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footer5.xml" ContentType="application/vnd.openxmlformats-officedocument.wordprocessingml.footer+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AD" w:rsidRPr="00735A09" w:rsidRDefault="008351D7" w:rsidP="00735A09">
      <w:pPr>
        <w:spacing w:line="240" w:lineRule="auto"/>
        <w:rPr>
          <w:b/>
          <w:sz w:val="28"/>
          <w:szCs w:val="28"/>
        </w:rPr>
      </w:pPr>
      <w:r>
        <w:rPr>
          <w:noProof/>
          <w:lang w:eastAsia="en-AU"/>
        </w:rPr>
        <mc:AlternateContent>
          <mc:Choice Requires="wps">
            <w:drawing>
              <wp:inline distT="0" distB="0" distL="0" distR="0" wp14:anchorId="75460FED" wp14:editId="1BDDE312">
                <wp:extent cx="6573328" cy="9549442"/>
                <wp:effectExtent l="0" t="0" r="18415" b="13970"/>
                <wp:docPr id="1" name="Rectangle 2" descr="title page for NATIONAL PARTNERSHIP ON YOUTH ATTAINMENT AND TRANSITIONS Annual report for Western Australia 2012&#10;&#10;&#10;" title="Title p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328" cy="9549442"/>
                        </a:xfrm>
                        <a:prstGeom prst="rect">
                          <a:avLst/>
                        </a:prstGeom>
                        <a:solidFill>
                          <a:srgbClr val="EEECE1"/>
                        </a:solidFill>
                        <a:ln w="9525">
                          <a:solidFill>
                            <a:srgbClr val="004270"/>
                          </a:solidFill>
                          <a:miter lim="800000"/>
                          <a:headEnd/>
                          <a:tailEnd/>
                        </a:ln>
                      </wps:spPr>
                      <wps:txbx>
                        <w:txbxContent>
                          <w:p w:rsidR="00365DC0" w:rsidRPr="00135133" w:rsidRDefault="00365DC0" w:rsidP="00365DC0">
                            <w:pPr>
                              <w:pStyle w:val="Titlepage"/>
                              <w:jc w:val="left"/>
                            </w:pPr>
                          </w:p>
                          <w:p w:rsidR="00365DC0" w:rsidRPr="00135133" w:rsidRDefault="00365DC0" w:rsidP="00365DC0">
                            <w:pPr>
                              <w:pStyle w:val="Titlepage"/>
                            </w:pPr>
                            <w:r w:rsidRPr="00135133">
                              <w:t>NATIONAL PARTNERSHIP ON YOUTH ATTAINMENT AND TRANSITIONS</w:t>
                            </w:r>
                          </w:p>
                          <w:p w:rsidR="00365DC0" w:rsidRPr="00135133" w:rsidRDefault="00365DC0" w:rsidP="00365DC0">
                            <w:pPr>
                              <w:pStyle w:val="Titlepage"/>
                            </w:pPr>
                          </w:p>
                          <w:p w:rsidR="00365DC0" w:rsidRPr="00D43B11" w:rsidRDefault="00365DC0" w:rsidP="00365DC0">
                            <w:pPr>
                              <w:pStyle w:val="Titlepage"/>
                              <w:rPr>
                                <w:color w:val="FF0000"/>
                              </w:rPr>
                            </w:pPr>
                            <w:r>
                              <w:rPr>
                                <w:color w:val="FF0000"/>
                              </w:rPr>
                              <w:t>WESTERN AUSTRALIA</w:t>
                            </w:r>
                          </w:p>
                          <w:p w:rsidR="00365DC0" w:rsidRPr="00135133" w:rsidRDefault="00365DC0" w:rsidP="00365DC0">
                            <w:pPr>
                              <w:pStyle w:val="Titlepage"/>
                            </w:pPr>
                          </w:p>
                          <w:p w:rsidR="00365DC0" w:rsidRPr="00135133" w:rsidRDefault="00365DC0" w:rsidP="00365DC0">
                            <w:pPr>
                              <w:pStyle w:val="Titlepage"/>
                            </w:pPr>
                            <w:r w:rsidRPr="00135133">
                              <w:t>ANNUAL REPORT</w:t>
                            </w:r>
                          </w:p>
                          <w:p w:rsidR="00365DC0" w:rsidRPr="00135133" w:rsidRDefault="00365DC0" w:rsidP="00365DC0">
                            <w:pPr>
                              <w:pStyle w:val="Titlepage"/>
                            </w:pPr>
                            <w:r>
                              <w:t>MAY 2013</w:t>
                            </w:r>
                          </w:p>
                        </w:txbxContent>
                      </wps:txbx>
                      <wps:bodyPr rot="0" vert="horz" wrap="square" lIns="91440" tIns="45720" rIns="91440" bIns="45720" anchor="t" anchorCtr="0" upright="1">
                        <a:noAutofit/>
                      </wps:bodyPr>
                    </wps:wsp>
                  </a:graphicData>
                </a:graphic>
              </wp:inline>
            </w:drawing>
          </mc:Choice>
          <mc:Fallback>
            <w:pict>
              <v:rect id="Rectangle 2" o:spid="_x0000_s1026" alt="Title: Title page - Description: title page for NATIONAL PARTNERSHIP ON YOUTH ATTAINMENT AND TRANSITIONS Annual report for Western Australia 2012&#10;&#10;&#10;" style="width:517.6pt;height:7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" fillcolor="#eeece1" strokecolor="#004270">
                <v:textbox>
                  <w:txbxContent>
                    <w:p w:rsidR="00365DC0" w:rsidRPr="00135133" w:rsidRDefault="00365DC0" w:rsidP="00365DC0">
                      <w:pPr>
                        <w:pStyle w:val="Titlepage"/>
                        <w:jc w:val="left"/>
                      </w:pPr>
                    </w:p>
                    <w:p w:rsidR="00365DC0" w:rsidRPr="00135133" w:rsidRDefault="00365DC0" w:rsidP="00365DC0">
                      <w:pPr>
                        <w:pStyle w:val="Titlepage"/>
                      </w:pPr>
                      <w:r w:rsidRPr="00135133">
                        <w:t>NATIONAL PARTNERSHIP ON YOUTH ATTAINMENT AND TRANSITIONS</w:t>
                      </w:r>
                    </w:p>
                    <w:p w:rsidR="00365DC0" w:rsidRPr="00135133" w:rsidRDefault="00365DC0" w:rsidP="00365DC0">
                      <w:pPr>
                        <w:pStyle w:val="Titlepage"/>
                      </w:pPr>
                    </w:p>
                    <w:p w:rsidR="00365DC0" w:rsidRPr="00D43B11" w:rsidRDefault="00365DC0" w:rsidP="00365DC0">
                      <w:pPr>
                        <w:pStyle w:val="Titlepage"/>
                        <w:rPr>
                          <w:color w:val="FF0000"/>
                        </w:rPr>
                      </w:pPr>
                      <w:r>
                        <w:rPr>
                          <w:color w:val="FF0000"/>
                        </w:rPr>
                        <w:t>WESTERN AUSTRALIA</w:t>
                      </w:r>
                    </w:p>
                    <w:p w:rsidR="00365DC0" w:rsidRPr="00135133" w:rsidRDefault="00365DC0" w:rsidP="00365DC0">
                      <w:pPr>
                        <w:pStyle w:val="Titlepage"/>
                      </w:pPr>
                    </w:p>
                    <w:p w:rsidR="00365DC0" w:rsidRPr="00135133" w:rsidRDefault="00365DC0" w:rsidP="00365DC0">
                      <w:pPr>
                        <w:pStyle w:val="Titlepage"/>
                      </w:pPr>
                      <w:r w:rsidRPr="00135133">
                        <w:t>ANNUAL REPORT</w:t>
                      </w:r>
                    </w:p>
                    <w:p w:rsidR="00365DC0" w:rsidRPr="00135133" w:rsidRDefault="00365DC0" w:rsidP="00365DC0">
                      <w:pPr>
                        <w:pStyle w:val="Titlepage"/>
                      </w:pPr>
                      <w:r>
                        <w:t>MAY 2013</w:t>
                      </w:r>
                    </w:p>
                  </w:txbxContent>
                </v:textbox>
                <w10:anchorlock/>
              </v:rect>
            </w:pict>
          </mc:Fallback>
        </mc:AlternateContent>
      </w:r>
      <w:r w:rsidR="000C7DAD">
        <w:br w:type="page"/>
      </w:r>
      <w:bookmarkStart w:id="0" w:name="_Toc349909723"/>
      <w:bookmarkStart w:id="1" w:name="_Toc320003792"/>
      <w:r w:rsidR="00CC47AD" w:rsidRPr="00735A09">
        <w:rPr>
          <w:b/>
          <w:sz w:val="28"/>
          <w:szCs w:val="28"/>
        </w:rPr>
        <w:t>TABLE OF CONTENTS</w:t>
      </w:r>
    </w:p>
    <w:p w:rsidR="00CC47AD" w:rsidRPr="00CC47AD" w:rsidRDefault="00CC47AD" w:rsidP="00CC47AD">
      <w:pPr>
        <w:rPr>
          <w:lang w:val="en-US"/>
        </w:rPr>
      </w:pPr>
    </w:p>
    <w:p w:rsidR="00EC7A08" w:rsidRPr="00EC7A08" w:rsidRDefault="00345878">
      <w:pPr>
        <w:pStyle w:val="TOC1"/>
        <w:rPr>
          <w:rFonts w:asciiTheme="minorHAnsi" w:eastAsiaTheme="minorEastAsia" w:hAnsiTheme="minorHAnsi" w:cstheme="minorBidi"/>
          <w:b w:val="0"/>
          <w:sz w:val="22"/>
          <w:szCs w:val="22"/>
          <w:lang w:val="en-AU" w:eastAsia="en-AU"/>
        </w:rPr>
      </w:pPr>
      <w:r w:rsidRPr="00F533C8">
        <w:rPr>
          <w:b w:val="0"/>
        </w:rPr>
        <w:fldChar w:fldCharType="begin"/>
      </w:r>
      <w:r w:rsidRPr="00F533C8">
        <w:rPr>
          <w:b w:val="0"/>
        </w:rPr>
        <w:instrText xml:space="preserve"> TOC \o "1-2" \h \z \u </w:instrText>
      </w:r>
      <w:r w:rsidRPr="00F533C8">
        <w:rPr>
          <w:b w:val="0"/>
        </w:rPr>
        <w:fldChar w:fldCharType="separate"/>
      </w:r>
      <w:hyperlink w:anchor="_Toc384044183" w:history="1">
        <w:r w:rsidR="00EC7A08" w:rsidRPr="00EC7A08">
          <w:rPr>
            <w:rStyle w:val="Hyperlink"/>
            <w:b w:val="0"/>
          </w:rPr>
          <w:t>PART A: Outcomes and Performance Indicators, Western Australia</w:t>
        </w:r>
        <w:r w:rsidR="00EC7A08" w:rsidRPr="00EC7A08">
          <w:rPr>
            <w:b w:val="0"/>
            <w:webHidden/>
          </w:rPr>
          <w:tab/>
        </w:r>
        <w:r w:rsidR="00EC7A08" w:rsidRPr="00EC7A08">
          <w:rPr>
            <w:b w:val="0"/>
            <w:webHidden/>
          </w:rPr>
          <w:fldChar w:fldCharType="begin"/>
        </w:r>
        <w:r w:rsidR="00EC7A08" w:rsidRPr="00EC7A08">
          <w:rPr>
            <w:b w:val="0"/>
            <w:webHidden/>
          </w:rPr>
          <w:instrText xml:space="preserve"> PAGEREF _Toc384044183 \h </w:instrText>
        </w:r>
        <w:r w:rsidR="00EC7A08" w:rsidRPr="00EC7A08">
          <w:rPr>
            <w:b w:val="0"/>
            <w:webHidden/>
          </w:rPr>
        </w:r>
        <w:r w:rsidR="00EC7A08" w:rsidRPr="00EC7A08">
          <w:rPr>
            <w:b w:val="0"/>
            <w:webHidden/>
          </w:rPr>
          <w:fldChar w:fldCharType="separate"/>
        </w:r>
        <w:r w:rsidR="00855BAA">
          <w:rPr>
            <w:b w:val="0"/>
            <w:webHidden/>
          </w:rPr>
          <w:t>3</w:t>
        </w:r>
        <w:r w:rsidR="00EC7A08" w:rsidRPr="00EC7A08">
          <w:rPr>
            <w:b w:val="0"/>
            <w:webHidden/>
          </w:rPr>
          <w:fldChar w:fldCharType="end"/>
        </w:r>
      </w:hyperlink>
    </w:p>
    <w:p w:rsidR="00EC7A08" w:rsidRPr="00EC7A08" w:rsidRDefault="00EC7A08">
      <w:pPr>
        <w:pStyle w:val="TOC1"/>
        <w:rPr>
          <w:rFonts w:asciiTheme="minorHAnsi" w:eastAsiaTheme="minorEastAsia" w:hAnsiTheme="minorHAnsi" w:cstheme="minorBidi"/>
          <w:b w:val="0"/>
          <w:sz w:val="22"/>
          <w:szCs w:val="22"/>
          <w:lang w:val="en-AU" w:eastAsia="en-AU"/>
        </w:rPr>
      </w:pPr>
      <w:hyperlink w:anchor="_Toc384044184" w:history="1">
        <w:r w:rsidRPr="00EC7A08">
          <w:rPr>
            <w:rStyle w:val="Hyperlink"/>
            <w:b w:val="0"/>
          </w:rPr>
          <w:t>NPYAT Data Source Issues</w:t>
        </w:r>
        <w:r w:rsidRPr="00EC7A08">
          <w:rPr>
            <w:b w:val="0"/>
            <w:webHidden/>
          </w:rPr>
          <w:tab/>
        </w:r>
        <w:r w:rsidRPr="00EC7A08">
          <w:rPr>
            <w:b w:val="0"/>
            <w:webHidden/>
          </w:rPr>
          <w:fldChar w:fldCharType="begin"/>
        </w:r>
        <w:r w:rsidRPr="00EC7A08">
          <w:rPr>
            <w:b w:val="0"/>
            <w:webHidden/>
          </w:rPr>
          <w:instrText xml:space="preserve"> PAGEREF _Toc384044184 \h </w:instrText>
        </w:r>
        <w:r w:rsidRPr="00EC7A08">
          <w:rPr>
            <w:b w:val="0"/>
            <w:webHidden/>
          </w:rPr>
        </w:r>
        <w:r w:rsidRPr="00EC7A08">
          <w:rPr>
            <w:b w:val="0"/>
            <w:webHidden/>
          </w:rPr>
          <w:fldChar w:fldCharType="separate"/>
        </w:r>
        <w:r w:rsidR="00855BAA">
          <w:rPr>
            <w:b w:val="0"/>
            <w:webHidden/>
          </w:rPr>
          <w:t>4</w:t>
        </w:r>
        <w:r w:rsidRPr="00EC7A08">
          <w:rPr>
            <w:b w:val="0"/>
            <w:webHidden/>
          </w:rPr>
          <w:fldChar w:fldCharType="end"/>
        </w:r>
      </w:hyperlink>
    </w:p>
    <w:p w:rsidR="00EC7A08" w:rsidRPr="00EC7A08" w:rsidRDefault="00EC7A08">
      <w:pPr>
        <w:pStyle w:val="TOC1"/>
        <w:rPr>
          <w:rFonts w:asciiTheme="minorHAnsi" w:eastAsiaTheme="minorEastAsia" w:hAnsiTheme="minorHAnsi" w:cstheme="minorBidi"/>
          <w:b w:val="0"/>
          <w:sz w:val="22"/>
          <w:szCs w:val="22"/>
          <w:lang w:val="en-AU" w:eastAsia="en-AU"/>
        </w:rPr>
      </w:pPr>
      <w:hyperlink w:anchor="_Toc384044185" w:history="1">
        <w:r w:rsidRPr="00EC7A08">
          <w:rPr>
            <w:rStyle w:val="Hyperlink"/>
            <w:b w:val="0"/>
          </w:rPr>
          <w:t>PART B</w:t>
        </w:r>
        <w:r w:rsidRPr="00EC7A08">
          <w:rPr>
            <w:b w:val="0"/>
            <w:webHidden/>
          </w:rPr>
          <w:tab/>
        </w:r>
        <w:r>
          <w:rPr>
            <w:b w:val="0"/>
            <w:webHidden/>
          </w:rPr>
          <w:tab/>
        </w:r>
        <w:r w:rsidRPr="00EC7A08">
          <w:rPr>
            <w:b w:val="0"/>
            <w:webHidden/>
          </w:rPr>
          <w:fldChar w:fldCharType="begin"/>
        </w:r>
        <w:r w:rsidRPr="00EC7A08">
          <w:rPr>
            <w:b w:val="0"/>
            <w:webHidden/>
          </w:rPr>
          <w:instrText xml:space="preserve"> PAGEREF _Toc384044185 \h </w:instrText>
        </w:r>
        <w:r w:rsidRPr="00EC7A08">
          <w:rPr>
            <w:b w:val="0"/>
            <w:webHidden/>
          </w:rPr>
        </w:r>
        <w:r w:rsidRPr="00EC7A08">
          <w:rPr>
            <w:b w:val="0"/>
            <w:webHidden/>
          </w:rPr>
          <w:fldChar w:fldCharType="separate"/>
        </w:r>
        <w:r w:rsidR="00855BAA">
          <w:rPr>
            <w:b w:val="0"/>
            <w:webHidden/>
          </w:rPr>
          <w:t>5</w:t>
        </w:r>
        <w:r w:rsidRPr="00EC7A08">
          <w:rPr>
            <w:b w:val="0"/>
            <w:webHidden/>
          </w:rPr>
          <w:fldChar w:fldCharType="end"/>
        </w:r>
      </w:hyperlink>
    </w:p>
    <w:p w:rsidR="00EC7A08" w:rsidRPr="00EC7A08" w:rsidRDefault="00EC7A08">
      <w:pPr>
        <w:pStyle w:val="TOC1"/>
        <w:rPr>
          <w:rFonts w:asciiTheme="minorHAnsi" w:eastAsiaTheme="minorEastAsia" w:hAnsiTheme="minorHAnsi" w:cstheme="minorBidi"/>
          <w:b w:val="0"/>
          <w:sz w:val="22"/>
          <w:szCs w:val="22"/>
          <w:lang w:val="en-AU" w:eastAsia="en-AU"/>
        </w:rPr>
      </w:pPr>
      <w:hyperlink w:anchor="_Toc384044186" w:history="1">
        <w:r w:rsidRPr="00EC7A08">
          <w:rPr>
            <w:rStyle w:val="Hyperlink"/>
            <w:b w:val="0"/>
          </w:rPr>
          <w:t>1. Current Landscape (Jurisdictional Context)</w:t>
        </w:r>
        <w:r w:rsidRPr="00EC7A08">
          <w:rPr>
            <w:b w:val="0"/>
            <w:webHidden/>
          </w:rPr>
          <w:tab/>
        </w:r>
        <w:r w:rsidRPr="00EC7A08">
          <w:rPr>
            <w:b w:val="0"/>
            <w:webHidden/>
          </w:rPr>
          <w:fldChar w:fldCharType="begin"/>
        </w:r>
        <w:r w:rsidRPr="00EC7A08">
          <w:rPr>
            <w:b w:val="0"/>
            <w:webHidden/>
          </w:rPr>
          <w:instrText xml:space="preserve"> PAGEREF _Toc384044186 \h </w:instrText>
        </w:r>
        <w:r w:rsidRPr="00EC7A08">
          <w:rPr>
            <w:b w:val="0"/>
            <w:webHidden/>
          </w:rPr>
        </w:r>
        <w:r w:rsidRPr="00EC7A08">
          <w:rPr>
            <w:b w:val="0"/>
            <w:webHidden/>
          </w:rPr>
          <w:fldChar w:fldCharType="separate"/>
        </w:r>
        <w:r w:rsidR="00855BAA">
          <w:rPr>
            <w:b w:val="0"/>
            <w:webHidden/>
          </w:rPr>
          <w:t>5</w:t>
        </w:r>
        <w:r w:rsidRPr="00EC7A08">
          <w:rPr>
            <w:b w:val="0"/>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87" w:history="1">
        <w:r w:rsidRPr="00EC7A08">
          <w:rPr>
            <w:rStyle w:val="Hyperlink"/>
            <w:b w:val="0"/>
            <w:noProof/>
          </w:rPr>
          <w:t>2.</w:t>
        </w:r>
        <w:r w:rsidRPr="00EC7A08">
          <w:rPr>
            <w:rFonts w:asciiTheme="minorHAnsi" w:eastAsiaTheme="minorEastAsia" w:hAnsiTheme="minorHAnsi" w:cstheme="minorBidi"/>
            <w:b w:val="0"/>
            <w:noProof/>
            <w:sz w:val="22"/>
            <w:szCs w:val="22"/>
            <w:lang w:eastAsia="en-AU"/>
          </w:rPr>
          <w:tab/>
        </w:r>
        <w:r w:rsidRPr="00EC7A08">
          <w:rPr>
            <w:rStyle w:val="Hyperlink"/>
            <w:b w:val="0"/>
            <w:noProof/>
          </w:rPr>
          <w:t>Broad education reform direction and why?</w:t>
        </w:r>
        <w:r w:rsidRPr="00EC7A08">
          <w:rPr>
            <w:b w:val="0"/>
            <w:noProof/>
            <w:webHidden/>
          </w:rPr>
          <w:tab/>
        </w:r>
        <w:r w:rsidRPr="00EC7A08">
          <w:rPr>
            <w:b w:val="0"/>
            <w:noProof/>
            <w:webHidden/>
          </w:rPr>
          <w:fldChar w:fldCharType="begin"/>
        </w:r>
        <w:r w:rsidRPr="00EC7A08">
          <w:rPr>
            <w:b w:val="0"/>
            <w:noProof/>
            <w:webHidden/>
          </w:rPr>
          <w:instrText xml:space="preserve"> PAGEREF _Toc384044187 \h </w:instrText>
        </w:r>
        <w:r w:rsidRPr="00EC7A08">
          <w:rPr>
            <w:b w:val="0"/>
            <w:noProof/>
            <w:webHidden/>
          </w:rPr>
        </w:r>
        <w:r w:rsidRPr="00EC7A08">
          <w:rPr>
            <w:b w:val="0"/>
            <w:noProof/>
            <w:webHidden/>
          </w:rPr>
          <w:fldChar w:fldCharType="separate"/>
        </w:r>
        <w:r w:rsidR="00855BAA">
          <w:rPr>
            <w:b w:val="0"/>
            <w:noProof/>
            <w:webHidden/>
          </w:rPr>
          <w:t>8</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88" w:history="1">
        <w:r w:rsidRPr="00EC7A08">
          <w:rPr>
            <w:rStyle w:val="Hyperlink"/>
            <w:b w:val="0"/>
            <w:noProof/>
          </w:rPr>
          <w:t>3. Youth Attainment and Transitions reforms and programs not funded under NPYAT</w:t>
        </w:r>
        <w:r w:rsidRPr="00EC7A08">
          <w:rPr>
            <w:b w:val="0"/>
            <w:noProof/>
            <w:webHidden/>
          </w:rPr>
          <w:tab/>
        </w:r>
        <w:r w:rsidRPr="00EC7A08">
          <w:rPr>
            <w:b w:val="0"/>
            <w:noProof/>
            <w:webHidden/>
          </w:rPr>
          <w:fldChar w:fldCharType="begin"/>
        </w:r>
        <w:r w:rsidRPr="00EC7A08">
          <w:rPr>
            <w:b w:val="0"/>
            <w:noProof/>
            <w:webHidden/>
          </w:rPr>
          <w:instrText xml:space="preserve"> PAGEREF _Toc384044188 \h </w:instrText>
        </w:r>
        <w:r w:rsidRPr="00EC7A08">
          <w:rPr>
            <w:b w:val="0"/>
            <w:noProof/>
            <w:webHidden/>
          </w:rPr>
        </w:r>
        <w:r w:rsidRPr="00EC7A08">
          <w:rPr>
            <w:b w:val="0"/>
            <w:noProof/>
            <w:webHidden/>
          </w:rPr>
          <w:fldChar w:fldCharType="separate"/>
        </w:r>
        <w:r w:rsidR="00855BAA">
          <w:rPr>
            <w:b w:val="0"/>
            <w:noProof/>
            <w:webHidden/>
          </w:rPr>
          <w:t>10</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89" w:history="1">
        <w:r w:rsidRPr="00EC7A08">
          <w:rPr>
            <w:rStyle w:val="Hyperlink"/>
            <w:b w:val="0"/>
            <w:noProof/>
          </w:rPr>
          <w:t>4. Progress/Impact as a result of the NPYAT</w:t>
        </w:r>
        <w:r w:rsidRPr="00EC7A08">
          <w:rPr>
            <w:b w:val="0"/>
            <w:noProof/>
            <w:webHidden/>
          </w:rPr>
          <w:tab/>
        </w:r>
        <w:r w:rsidRPr="00EC7A08">
          <w:rPr>
            <w:b w:val="0"/>
            <w:noProof/>
            <w:webHidden/>
          </w:rPr>
          <w:fldChar w:fldCharType="begin"/>
        </w:r>
        <w:r w:rsidRPr="00EC7A08">
          <w:rPr>
            <w:b w:val="0"/>
            <w:noProof/>
            <w:webHidden/>
          </w:rPr>
          <w:instrText xml:space="preserve"> PAGEREF _Toc384044189 \h </w:instrText>
        </w:r>
        <w:r w:rsidRPr="00EC7A08">
          <w:rPr>
            <w:b w:val="0"/>
            <w:noProof/>
            <w:webHidden/>
          </w:rPr>
        </w:r>
        <w:r w:rsidRPr="00EC7A08">
          <w:rPr>
            <w:b w:val="0"/>
            <w:noProof/>
            <w:webHidden/>
          </w:rPr>
          <w:fldChar w:fldCharType="separate"/>
        </w:r>
        <w:r w:rsidR="00855BAA">
          <w:rPr>
            <w:b w:val="0"/>
            <w:noProof/>
            <w:webHidden/>
          </w:rPr>
          <w:t>12</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90" w:history="1">
        <w:r w:rsidRPr="00EC7A08">
          <w:rPr>
            <w:rStyle w:val="Hyperlink"/>
            <w:b w:val="0"/>
            <w:noProof/>
          </w:rPr>
          <w:t>5. Maximising Engagement, Attainment and Successful Transitions</w:t>
        </w:r>
        <w:r w:rsidRPr="00EC7A08">
          <w:rPr>
            <w:b w:val="0"/>
            <w:noProof/>
            <w:webHidden/>
          </w:rPr>
          <w:tab/>
        </w:r>
        <w:r w:rsidRPr="00EC7A08">
          <w:rPr>
            <w:b w:val="0"/>
            <w:noProof/>
            <w:webHidden/>
          </w:rPr>
          <w:fldChar w:fldCharType="begin"/>
        </w:r>
        <w:r w:rsidRPr="00EC7A08">
          <w:rPr>
            <w:b w:val="0"/>
            <w:noProof/>
            <w:webHidden/>
          </w:rPr>
          <w:instrText xml:space="preserve"> PAGEREF _Toc384044190 \h </w:instrText>
        </w:r>
        <w:r w:rsidRPr="00EC7A08">
          <w:rPr>
            <w:b w:val="0"/>
            <w:noProof/>
            <w:webHidden/>
          </w:rPr>
        </w:r>
        <w:r w:rsidRPr="00EC7A08">
          <w:rPr>
            <w:b w:val="0"/>
            <w:noProof/>
            <w:webHidden/>
          </w:rPr>
          <w:fldChar w:fldCharType="separate"/>
        </w:r>
        <w:r w:rsidR="00855BAA">
          <w:rPr>
            <w:b w:val="0"/>
            <w:noProof/>
            <w:webHidden/>
          </w:rPr>
          <w:t>16</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91" w:history="1">
        <w:r w:rsidRPr="00EC7A08">
          <w:rPr>
            <w:rStyle w:val="Hyperlink"/>
            <w:b w:val="0"/>
            <w:noProof/>
          </w:rPr>
          <w:t>6. Aboriginal Reporting</w:t>
        </w:r>
        <w:r w:rsidRPr="00EC7A08">
          <w:rPr>
            <w:b w:val="0"/>
            <w:noProof/>
            <w:webHidden/>
          </w:rPr>
          <w:tab/>
        </w:r>
        <w:r w:rsidRPr="00EC7A08">
          <w:rPr>
            <w:b w:val="0"/>
            <w:noProof/>
            <w:webHidden/>
          </w:rPr>
          <w:fldChar w:fldCharType="begin"/>
        </w:r>
        <w:r w:rsidRPr="00EC7A08">
          <w:rPr>
            <w:b w:val="0"/>
            <w:noProof/>
            <w:webHidden/>
          </w:rPr>
          <w:instrText xml:space="preserve"> PAGEREF _Toc384044191 \h </w:instrText>
        </w:r>
        <w:r w:rsidRPr="00EC7A08">
          <w:rPr>
            <w:b w:val="0"/>
            <w:noProof/>
            <w:webHidden/>
          </w:rPr>
        </w:r>
        <w:r w:rsidRPr="00EC7A08">
          <w:rPr>
            <w:b w:val="0"/>
            <w:noProof/>
            <w:webHidden/>
          </w:rPr>
          <w:fldChar w:fldCharType="separate"/>
        </w:r>
        <w:r w:rsidR="00855BAA">
          <w:rPr>
            <w:b w:val="0"/>
            <w:noProof/>
            <w:webHidden/>
          </w:rPr>
          <w:t>31</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92" w:history="1">
        <w:r w:rsidRPr="00EC7A08">
          <w:rPr>
            <w:rStyle w:val="Hyperlink"/>
            <w:b w:val="0"/>
            <w:noProof/>
          </w:rPr>
          <w:t>7. National Youth Participation Requirement</w:t>
        </w:r>
        <w:r w:rsidRPr="00EC7A08">
          <w:rPr>
            <w:b w:val="0"/>
            <w:noProof/>
            <w:webHidden/>
          </w:rPr>
          <w:tab/>
        </w:r>
        <w:r w:rsidRPr="00EC7A08">
          <w:rPr>
            <w:b w:val="0"/>
            <w:noProof/>
            <w:webHidden/>
          </w:rPr>
          <w:fldChar w:fldCharType="begin"/>
        </w:r>
        <w:r w:rsidRPr="00EC7A08">
          <w:rPr>
            <w:b w:val="0"/>
            <w:noProof/>
            <w:webHidden/>
          </w:rPr>
          <w:instrText xml:space="preserve"> PAGEREF _Toc384044192 \h </w:instrText>
        </w:r>
        <w:r w:rsidRPr="00EC7A08">
          <w:rPr>
            <w:b w:val="0"/>
            <w:noProof/>
            <w:webHidden/>
          </w:rPr>
        </w:r>
        <w:r w:rsidRPr="00EC7A08">
          <w:rPr>
            <w:b w:val="0"/>
            <w:noProof/>
            <w:webHidden/>
          </w:rPr>
          <w:fldChar w:fldCharType="separate"/>
        </w:r>
        <w:r w:rsidR="00855BAA">
          <w:rPr>
            <w:b w:val="0"/>
            <w:noProof/>
            <w:webHidden/>
          </w:rPr>
          <w:t>34</w:t>
        </w:r>
        <w:r w:rsidRPr="00EC7A08">
          <w:rPr>
            <w:b w:val="0"/>
            <w:noProof/>
            <w:webHidden/>
          </w:rPr>
          <w:fldChar w:fldCharType="end"/>
        </w:r>
      </w:hyperlink>
    </w:p>
    <w:p w:rsidR="00EC7A08" w:rsidRPr="00EC7A08" w:rsidRDefault="00EC7A08">
      <w:pPr>
        <w:pStyle w:val="TOC1"/>
        <w:rPr>
          <w:rFonts w:asciiTheme="minorHAnsi" w:eastAsiaTheme="minorEastAsia" w:hAnsiTheme="minorHAnsi" w:cstheme="minorBidi"/>
          <w:b w:val="0"/>
          <w:sz w:val="22"/>
          <w:szCs w:val="22"/>
          <w:lang w:val="en-AU" w:eastAsia="en-AU"/>
        </w:rPr>
      </w:pPr>
      <w:hyperlink w:anchor="_Toc384044193" w:history="1">
        <w:r w:rsidRPr="00EC7A08">
          <w:rPr>
            <w:rStyle w:val="Hyperlink"/>
            <w:b w:val="0"/>
            <w:lang w:eastAsia="en-AU"/>
          </w:rPr>
          <w:t>ANNEXURE 1 A – Youth Connections – National Summary</w:t>
        </w:r>
        <w:r w:rsidRPr="00EC7A08">
          <w:rPr>
            <w:b w:val="0"/>
            <w:webHidden/>
          </w:rPr>
          <w:tab/>
        </w:r>
        <w:r w:rsidRPr="00EC7A08">
          <w:rPr>
            <w:b w:val="0"/>
            <w:webHidden/>
          </w:rPr>
          <w:fldChar w:fldCharType="begin"/>
        </w:r>
        <w:r w:rsidRPr="00EC7A08">
          <w:rPr>
            <w:b w:val="0"/>
            <w:webHidden/>
          </w:rPr>
          <w:instrText xml:space="preserve"> PAGEREF _Toc384044193 \h </w:instrText>
        </w:r>
        <w:r w:rsidRPr="00EC7A08">
          <w:rPr>
            <w:b w:val="0"/>
            <w:webHidden/>
          </w:rPr>
        </w:r>
        <w:r w:rsidRPr="00EC7A08">
          <w:rPr>
            <w:b w:val="0"/>
            <w:webHidden/>
          </w:rPr>
          <w:fldChar w:fldCharType="separate"/>
        </w:r>
        <w:r w:rsidR="00855BAA">
          <w:rPr>
            <w:b w:val="0"/>
            <w:webHidden/>
          </w:rPr>
          <w:t>35</w:t>
        </w:r>
        <w:r w:rsidRPr="00EC7A08">
          <w:rPr>
            <w:b w:val="0"/>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94" w:history="1">
        <w:r w:rsidRPr="00EC7A08">
          <w:rPr>
            <w:rStyle w:val="Hyperlink"/>
            <w:b w:val="0"/>
            <w:noProof/>
            <w:lang w:eastAsia="en-AU"/>
          </w:rPr>
          <w:t>Western Australia Summary</w:t>
        </w:r>
        <w:r w:rsidRPr="00EC7A08">
          <w:rPr>
            <w:b w:val="0"/>
            <w:noProof/>
            <w:webHidden/>
          </w:rPr>
          <w:tab/>
        </w:r>
        <w:r w:rsidRPr="00EC7A08">
          <w:rPr>
            <w:b w:val="0"/>
            <w:noProof/>
            <w:webHidden/>
          </w:rPr>
          <w:fldChar w:fldCharType="begin"/>
        </w:r>
        <w:r w:rsidRPr="00EC7A08">
          <w:rPr>
            <w:b w:val="0"/>
            <w:noProof/>
            <w:webHidden/>
          </w:rPr>
          <w:instrText xml:space="preserve"> PAGEREF _Toc384044194 \h </w:instrText>
        </w:r>
        <w:r w:rsidRPr="00EC7A08">
          <w:rPr>
            <w:b w:val="0"/>
            <w:noProof/>
            <w:webHidden/>
          </w:rPr>
        </w:r>
        <w:r w:rsidRPr="00EC7A08">
          <w:rPr>
            <w:b w:val="0"/>
            <w:noProof/>
            <w:webHidden/>
          </w:rPr>
          <w:fldChar w:fldCharType="separate"/>
        </w:r>
        <w:r w:rsidR="00855BAA">
          <w:rPr>
            <w:b w:val="0"/>
            <w:noProof/>
            <w:webHidden/>
          </w:rPr>
          <w:t>38</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95" w:history="1">
        <w:r w:rsidRPr="00EC7A08">
          <w:rPr>
            <w:rStyle w:val="Hyperlink"/>
            <w:b w:val="0"/>
            <w:noProof/>
            <w:lang w:eastAsia="en-AU"/>
          </w:rPr>
          <w:t>Youth Connections program data</w:t>
        </w:r>
        <w:r w:rsidRPr="00EC7A08">
          <w:rPr>
            <w:b w:val="0"/>
            <w:noProof/>
            <w:webHidden/>
          </w:rPr>
          <w:tab/>
        </w:r>
        <w:r w:rsidRPr="00EC7A08">
          <w:rPr>
            <w:b w:val="0"/>
            <w:noProof/>
            <w:webHidden/>
          </w:rPr>
          <w:fldChar w:fldCharType="begin"/>
        </w:r>
        <w:r w:rsidRPr="00EC7A08">
          <w:rPr>
            <w:b w:val="0"/>
            <w:noProof/>
            <w:webHidden/>
          </w:rPr>
          <w:instrText xml:space="preserve"> PAGEREF _Toc384044195 \h </w:instrText>
        </w:r>
        <w:r w:rsidRPr="00EC7A08">
          <w:rPr>
            <w:b w:val="0"/>
            <w:noProof/>
            <w:webHidden/>
          </w:rPr>
        </w:r>
        <w:r w:rsidRPr="00EC7A08">
          <w:rPr>
            <w:b w:val="0"/>
            <w:noProof/>
            <w:webHidden/>
          </w:rPr>
          <w:fldChar w:fldCharType="separate"/>
        </w:r>
        <w:r w:rsidR="00855BAA">
          <w:rPr>
            <w:b w:val="0"/>
            <w:noProof/>
            <w:webHidden/>
          </w:rPr>
          <w:t>39</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96" w:history="1">
        <w:r w:rsidRPr="00EC7A08">
          <w:rPr>
            <w:rStyle w:val="Hyperlink"/>
            <w:b w:val="0"/>
            <w:noProof/>
            <w:lang w:eastAsia="en-AU"/>
          </w:rPr>
          <w:t>Outcomes</w:t>
        </w:r>
        <w:r w:rsidRPr="00EC7A08">
          <w:rPr>
            <w:b w:val="0"/>
            <w:noProof/>
            <w:webHidden/>
          </w:rPr>
          <w:tab/>
        </w:r>
        <w:r w:rsidRPr="00EC7A08">
          <w:rPr>
            <w:b w:val="0"/>
            <w:noProof/>
            <w:webHidden/>
          </w:rPr>
          <w:fldChar w:fldCharType="begin"/>
        </w:r>
        <w:r w:rsidRPr="00EC7A08">
          <w:rPr>
            <w:b w:val="0"/>
            <w:noProof/>
            <w:webHidden/>
          </w:rPr>
          <w:instrText xml:space="preserve"> PAGEREF _Toc384044196 \h </w:instrText>
        </w:r>
        <w:r w:rsidRPr="00EC7A08">
          <w:rPr>
            <w:b w:val="0"/>
            <w:noProof/>
            <w:webHidden/>
          </w:rPr>
        </w:r>
        <w:r w:rsidRPr="00EC7A08">
          <w:rPr>
            <w:b w:val="0"/>
            <w:noProof/>
            <w:webHidden/>
          </w:rPr>
          <w:fldChar w:fldCharType="separate"/>
        </w:r>
        <w:r w:rsidR="00855BAA">
          <w:rPr>
            <w:b w:val="0"/>
            <w:noProof/>
            <w:webHidden/>
          </w:rPr>
          <w:t>51</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97" w:history="1">
        <w:r w:rsidRPr="00EC7A08">
          <w:rPr>
            <w:rStyle w:val="Hyperlink"/>
            <w:b w:val="0"/>
            <w:noProof/>
            <w:lang w:eastAsia="en-AU"/>
          </w:rPr>
          <w:t>Indigenous</w:t>
        </w:r>
        <w:r w:rsidRPr="00EC7A08">
          <w:rPr>
            <w:b w:val="0"/>
            <w:noProof/>
            <w:webHidden/>
          </w:rPr>
          <w:tab/>
        </w:r>
        <w:r w:rsidRPr="00EC7A08">
          <w:rPr>
            <w:b w:val="0"/>
            <w:noProof/>
            <w:webHidden/>
          </w:rPr>
          <w:fldChar w:fldCharType="begin"/>
        </w:r>
        <w:r w:rsidRPr="00EC7A08">
          <w:rPr>
            <w:b w:val="0"/>
            <w:noProof/>
            <w:webHidden/>
          </w:rPr>
          <w:instrText xml:space="preserve"> PAGEREF _Toc384044197 \h </w:instrText>
        </w:r>
        <w:r w:rsidRPr="00EC7A08">
          <w:rPr>
            <w:b w:val="0"/>
            <w:noProof/>
            <w:webHidden/>
          </w:rPr>
        </w:r>
        <w:r w:rsidRPr="00EC7A08">
          <w:rPr>
            <w:b w:val="0"/>
            <w:noProof/>
            <w:webHidden/>
          </w:rPr>
          <w:fldChar w:fldCharType="separate"/>
        </w:r>
        <w:r w:rsidR="00855BAA">
          <w:rPr>
            <w:b w:val="0"/>
            <w:noProof/>
            <w:webHidden/>
          </w:rPr>
          <w:t>58</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98" w:history="1">
        <w:r w:rsidRPr="00EC7A08">
          <w:rPr>
            <w:rStyle w:val="Hyperlink"/>
            <w:b w:val="0"/>
            <w:noProof/>
            <w:lang w:eastAsia="en-AU"/>
          </w:rPr>
          <w:t>Humanitarian Refugee</w:t>
        </w:r>
        <w:r w:rsidRPr="00EC7A08">
          <w:rPr>
            <w:b w:val="0"/>
            <w:noProof/>
            <w:webHidden/>
          </w:rPr>
          <w:tab/>
        </w:r>
        <w:r w:rsidRPr="00EC7A08">
          <w:rPr>
            <w:b w:val="0"/>
            <w:noProof/>
            <w:webHidden/>
          </w:rPr>
          <w:fldChar w:fldCharType="begin"/>
        </w:r>
        <w:r w:rsidRPr="00EC7A08">
          <w:rPr>
            <w:b w:val="0"/>
            <w:noProof/>
            <w:webHidden/>
          </w:rPr>
          <w:instrText xml:space="preserve"> PAGEREF _Toc384044198 \h </w:instrText>
        </w:r>
        <w:r w:rsidRPr="00EC7A08">
          <w:rPr>
            <w:b w:val="0"/>
            <w:noProof/>
            <w:webHidden/>
          </w:rPr>
        </w:r>
        <w:r w:rsidRPr="00EC7A08">
          <w:rPr>
            <w:b w:val="0"/>
            <w:noProof/>
            <w:webHidden/>
          </w:rPr>
          <w:fldChar w:fldCharType="separate"/>
        </w:r>
        <w:r w:rsidR="00855BAA">
          <w:rPr>
            <w:b w:val="0"/>
            <w:noProof/>
            <w:webHidden/>
          </w:rPr>
          <w:t>60</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199" w:history="1">
        <w:r w:rsidRPr="00EC7A08">
          <w:rPr>
            <w:rStyle w:val="Hyperlink"/>
            <w:b w:val="0"/>
            <w:noProof/>
            <w:lang w:eastAsia="en-AU"/>
          </w:rPr>
          <w:t>Outreach and Re-engagement Services</w:t>
        </w:r>
        <w:r w:rsidRPr="00EC7A08">
          <w:rPr>
            <w:b w:val="0"/>
            <w:noProof/>
            <w:webHidden/>
          </w:rPr>
          <w:tab/>
        </w:r>
        <w:r w:rsidRPr="00EC7A08">
          <w:rPr>
            <w:b w:val="0"/>
            <w:noProof/>
            <w:webHidden/>
          </w:rPr>
          <w:fldChar w:fldCharType="begin"/>
        </w:r>
        <w:r w:rsidRPr="00EC7A08">
          <w:rPr>
            <w:b w:val="0"/>
            <w:noProof/>
            <w:webHidden/>
          </w:rPr>
          <w:instrText xml:space="preserve"> PAGEREF _Toc384044199 \h </w:instrText>
        </w:r>
        <w:r w:rsidRPr="00EC7A08">
          <w:rPr>
            <w:b w:val="0"/>
            <w:noProof/>
            <w:webHidden/>
          </w:rPr>
        </w:r>
        <w:r w:rsidRPr="00EC7A08">
          <w:rPr>
            <w:b w:val="0"/>
            <w:noProof/>
            <w:webHidden/>
          </w:rPr>
          <w:fldChar w:fldCharType="separate"/>
        </w:r>
        <w:r w:rsidR="00855BAA">
          <w:rPr>
            <w:b w:val="0"/>
            <w:noProof/>
            <w:webHidden/>
          </w:rPr>
          <w:t>61</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200" w:history="1">
        <w:r w:rsidRPr="00EC7A08">
          <w:rPr>
            <w:rStyle w:val="Hyperlink"/>
            <w:b w:val="0"/>
            <w:noProof/>
            <w:lang w:eastAsia="en-AU"/>
          </w:rPr>
          <w:t>Strengthening Services in the Region</w:t>
        </w:r>
        <w:r w:rsidRPr="00EC7A08">
          <w:rPr>
            <w:b w:val="0"/>
            <w:noProof/>
            <w:webHidden/>
          </w:rPr>
          <w:tab/>
        </w:r>
        <w:r w:rsidRPr="00EC7A08">
          <w:rPr>
            <w:b w:val="0"/>
            <w:noProof/>
            <w:webHidden/>
          </w:rPr>
          <w:fldChar w:fldCharType="begin"/>
        </w:r>
        <w:r w:rsidRPr="00EC7A08">
          <w:rPr>
            <w:b w:val="0"/>
            <w:noProof/>
            <w:webHidden/>
          </w:rPr>
          <w:instrText xml:space="preserve"> PAGEREF _Toc384044200 \h </w:instrText>
        </w:r>
        <w:r w:rsidRPr="00EC7A08">
          <w:rPr>
            <w:b w:val="0"/>
            <w:noProof/>
            <w:webHidden/>
          </w:rPr>
        </w:r>
        <w:r w:rsidRPr="00EC7A08">
          <w:rPr>
            <w:b w:val="0"/>
            <w:noProof/>
            <w:webHidden/>
          </w:rPr>
          <w:fldChar w:fldCharType="separate"/>
        </w:r>
        <w:r w:rsidR="00855BAA">
          <w:rPr>
            <w:b w:val="0"/>
            <w:noProof/>
            <w:webHidden/>
          </w:rPr>
          <w:t>62</w:t>
        </w:r>
        <w:r w:rsidRPr="00EC7A08">
          <w:rPr>
            <w:b w:val="0"/>
            <w:noProof/>
            <w:webHidden/>
          </w:rPr>
          <w:fldChar w:fldCharType="end"/>
        </w:r>
      </w:hyperlink>
    </w:p>
    <w:p w:rsidR="00EC7A08" w:rsidRPr="00EC7A08" w:rsidRDefault="00EC7A08">
      <w:pPr>
        <w:pStyle w:val="TOC1"/>
        <w:rPr>
          <w:rFonts w:asciiTheme="minorHAnsi" w:eastAsiaTheme="minorEastAsia" w:hAnsiTheme="minorHAnsi" w:cstheme="minorBidi"/>
          <w:b w:val="0"/>
          <w:sz w:val="22"/>
          <w:szCs w:val="22"/>
          <w:lang w:val="en-AU" w:eastAsia="en-AU"/>
        </w:rPr>
      </w:pPr>
      <w:hyperlink w:anchor="_Toc384044201" w:history="1">
        <w:r w:rsidRPr="00EC7A08">
          <w:rPr>
            <w:rStyle w:val="Hyperlink"/>
            <w:b w:val="0"/>
          </w:rPr>
          <w:t>ANNEXURE 1 B – School Business Community Partnership Brokers - WA</w:t>
        </w:r>
        <w:r w:rsidRPr="00EC7A08">
          <w:rPr>
            <w:b w:val="0"/>
            <w:webHidden/>
          </w:rPr>
          <w:tab/>
        </w:r>
        <w:r w:rsidRPr="00EC7A08">
          <w:rPr>
            <w:b w:val="0"/>
            <w:webHidden/>
          </w:rPr>
          <w:fldChar w:fldCharType="begin"/>
        </w:r>
        <w:r w:rsidRPr="00EC7A08">
          <w:rPr>
            <w:b w:val="0"/>
            <w:webHidden/>
          </w:rPr>
          <w:instrText xml:space="preserve"> PAGEREF _Toc384044201 \h </w:instrText>
        </w:r>
        <w:r w:rsidRPr="00EC7A08">
          <w:rPr>
            <w:b w:val="0"/>
            <w:webHidden/>
          </w:rPr>
        </w:r>
        <w:r w:rsidRPr="00EC7A08">
          <w:rPr>
            <w:b w:val="0"/>
            <w:webHidden/>
          </w:rPr>
          <w:fldChar w:fldCharType="separate"/>
        </w:r>
        <w:r w:rsidR="00855BAA">
          <w:rPr>
            <w:b w:val="0"/>
            <w:webHidden/>
          </w:rPr>
          <w:t>63</w:t>
        </w:r>
        <w:r w:rsidRPr="00EC7A08">
          <w:rPr>
            <w:b w:val="0"/>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202" w:history="1">
        <w:r w:rsidRPr="00EC7A08">
          <w:rPr>
            <w:rStyle w:val="Hyperlink"/>
            <w:b w:val="0"/>
            <w:noProof/>
            <w:lang w:eastAsia="en-AU"/>
          </w:rPr>
          <w:t>National Summary</w:t>
        </w:r>
        <w:r w:rsidRPr="00EC7A08">
          <w:rPr>
            <w:b w:val="0"/>
            <w:noProof/>
            <w:webHidden/>
          </w:rPr>
          <w:tab/>
        </w:r>
        <w:r w:rsidRPr="00EC7A08">
          <w:rPr>
            <w:b w:val="0"/>
            <w:noProof/>
            <w:webHidden/>
          </w:rPr>
          <w:fldChar w:fldCharType="begin"/>
        </w:r>
        <w:r w:rsidRPr="00EC7A08">
          <w:rPr>
            <w:b w:val="0"/>
            <w:noProof/>
            <w:webHidden/>
          </w:rPr>
          <w:instrText xml:space="preserve"> PAGEREF _Toc384044202 \h </w:instrText>
        </w:r>
        <w:r w:rsidRPr="00EC7A08">
          <w:rPr>
            <w:b w:val="0"/>
            <w:noProof/>
            <w:webHidden/>
          </w:rPr>
        </w:r>
        <w:r w:rsidRPr="00EC7A08">
          <w:rPr>
            <w:b w:val="0"/>
            <w:noProof/>
            <w:webHidden/>
          </w:rPr>
          <w:fldChar w:fldCharType="separate"/>
        </w:r>
        <w:r w:rsidR="00855BAA">
          <w:rPr>
            <w:b w:val="0"/>
            <w:noProof/>
            <w:webHidden/>
          </w:rPr>
          <w:t>63</w:t>
        </w:r>
        <w:r w:rsidRPr="00EC7A08">
          <w:rPr>
            <w:b w:val="0"/>
            <w:noProof/>
            <w:webHidden/>
          </w:rPr>
          <w:fldChar w:fldCharType="end"/>
        </w:r>
      </w:hyperlink>
    </w:p>
    <w:p w:rsidR="00EC7A08" w:rsidRPr="00EC7A08" w:rsidRDefault="00EC7A08">
      <w:pPr>
        <w:pStyle w:val="TOC1"/>
        <w:rPr>
          <w:rFonts w:asciiTheme="minorHAnsi" w:eastAsiaTheme="minorEastAsia" w:hAnsiTheme="minorHAnsi" w:cstheme="minorBidi"/>
          <w:b w:val="0"/>
          <w:sz w:val="22"/>
          <w:szCs w:val="22"/>
          <w:lang w:val="en-AU" w:eastAsia="en-AU"/>
        </w:rPr>
      </w:pPr>
      <w:hyperlink w:anchor="_Toc384044203" w:history="1">
        <w:r w:rsidRPr="00EC7A08">
          <w:rPr>
            <w:rStyle w:val="Hyperlink"/>
            <w:b w:val="0"/>
            <w:lang w:eastAsia="en-AU"/>
          </w:rPr>
          <w:t>Western Australia Summary</w:t>
        </w:r>
        <w:r w:rsidRPr="00EC7A08">
          <w:rPr>
            <w:b w:val="0"/>
            <w:webHidden/>
          </w:rPr>
          <w:tab/>
        </w:r>
        <w:r w:rsidRPr="00EC7A08">
          <w:rPr>
            <w:b w:val="0"/>
            <w:webHidden/>
          </w:rPr>
          <w:fldChar w:fldCharType="begin"/>
        </w:r>
        <w:r w:rsidRPr="00EC7A08">
          <w:rPr>
            <w:b w:val="0"/>
            <w:webHidden/>
          </w:rPr>
          <w:instrText xml:space="preserve"> PAGEREF _Toc384044203 \h </w:instrText>
        </w:r>
        <w:r w:rsidRPr="00EC7A08">
          <w:rPr>
            <w:b w:val="0"/>
            <w:webHidden/>
          </w:rPr>
        </w:r>
        <w:r w:rsidRPr="00EC7A08">
          <w:rPr>
            <w:b w:val="0"/>
            <w:webHidden/>
          </w:rPr>
          <w:fldChar w:fldCharType="separate"/>
        </w:r>
        <w:r w:rsidR="00855BAA">
          <w:rPr>
            <w:b w:val="0"/>
            <w:webHidden/>
          </w:rPr>
          <w:t>68</w:t>
        </w:r>
        <w:r w:rsidRPr="00EC7A08">
          <w:rPr>
            <w:b w:val="0"/>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204" w:history="1">
        <w:r w:rsidRPr="00EC7A08">
          <w:rPr>
            <w:rStyle w:val="Hyperlink"/>
            <w:b w:val="0"/>
            <w:noProof/>
            <w:lang w:eastAsia="en-AU"/>
          </w:rPr>
          <w:t>Organisations</w:t>
        </w:r>
        <w:r w:rsidRPr="00EC7A08">
          <w:rPr>
            <w:b w:val="0"/>
            <w:noProof/>
            <w:webHidden/>
          </w:rPr>
          <w:tab/>
        </w:r>
        <w:r w:rsidRPr="00EC7A08">
          <w:rPr>
            <w:b w:val="0"/>
            <w:noProof/>
            <w:webHidden/>
          </w:rPr>
          <w:fldChar w:fldCharType="begin"/>
        </w:r>
        <w:r w:rsidRPr="00EC7A08">
          <w:rPr>
            <w:b w:val="0"/>
            <w:noProof/>
            <w:webHidden/>
          </w:rPr>
          <w:instrText xml:space="preserve"> PAGEREF _Toc384044204 \h </w:instrText>
        </w:r>
        <w:r w:rsidRPr="00EC7A08">
          <w:rPr>
            <w:b w:val="0"/>
            <w:noProof/>
            <w:webHidden/>
          </w:rPr>
        </w:r>
        <w:r w:rsidRPr="00EC7A08">
          <w:rPr>
            <w:b w:val="0"/>
            <w:noProof/>
            <w:webHidden/>
          </w:rPr>
          <w:fldChar w:fldCharType="separate"/>
        </w:r>
        <w:r w:rsidR="00855BAA">
          <w:rPr>
            <w:b w:val="0"/>
            <w:noProof/>
            <w:webHidden/>
          </w:rPr>
          <w:t>69</w:t>
        </w:r>
        <w:r w:rsidRPr="00EC7A08">
          <w:rPr>
            <w:b w:val="0"/>
            <w:noProof/>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205" w:history="1">
        <w:r w:rsidRPr="00EC7A08">
          <w:rPr>
            <w:rStyle w:val="Hyperlink"/>
            <w:b w:val="0"/>
            <w:noProof/>
            <w:lang w:eastAsia="en-AU"/>
          </w:rPr>
          <w:t>Partnerships</w:t>
        </w:r>
        <w:r w:rsidRPr="00EC7A08">
          <w:rPr>
            <w:b w:val="0"/>
            <w:noProof/>
            <w:webHidden/>
          </w:rPr>
          <w:tab/>
        </w:r>
        <w:r w:rsidRPr="00EC7A08">
          <w:rPr>
            <w:b w:val="0"/>
            <w:noProof/>
            <w:webHidden/>
          </w:rPr>
          <w:fldChar w:fldCharType="begin"/>
        </w:r>
        <w:r w:rsidRPr="00EC7A08">
          <w:rPr>
            <w:b w:val="0"/>
            <w:noProof/>
            <w:webHidden/>
          </w:rPr>
          <w:instrText xml:space="preserve"> PAGEREF _Toc384044205 \h </w:instrText>
        </w:r>
        <w:r w:rsidRPr="00EC7A08">
          <w:rPr>
            <w:b w:val="0"/>
            <w:noProof/>
            <w:webHidden/>
          </w:rPr>
        </w:r>
        <w:r w:rsidRPr="00EC7A08">
          <w:rPr>
            <w:b w:val="0"/>
            <w:noProof/>
            <w:webHidden/>
          </w:rPr>
          <w:fldChar w:fldCharType="separate"/>
        </w:r>
        <w:r w:rsidR="00855BAA">
          <w:rPr>
            <w:b w:val="0"/>
            <w:noProof/>
            <w:webHidden/>
          </w:rPr>
          <w:t>72</w:t>
        </w:r>
        <w:r w:rsidRPr="00EC7A08">
          <w:rPr>
            <w:b w:val="0"/>
            <w:noProof/>
            <w:webHidden/>
          </w:rPr>
          <w:fldChar w:fldCharType="end"/>
        </w:r>
      </w:hyperlink>
    </w:p>
    <w:p w:rsidR="00EC7A08" w:rsidRPr="00EC7A08" w:rsidRDefault="00EC7A08">
      <w:pPr>
        <w:pStyle w:val="TOC1"/>
        <w:rPr>
          <w:rFonts w:asciiTheme="minorHAnsi" w:eastAsiaTheme="minorEastAsia" w:hAnsiTheme="minorHAnsi" w:cstheme="minorBidi"/>
          <w:b w:val="0"/>
          <w:sz w:val="22"/>
          <w:szCs w:val="22"/>
          <w:lang w:val="en-AU" w:eastAsia="en-AU"/>
        </w:rPr>
      </w:pPr>
      <w:hyperlink w:anchor="_Toc384044206" w:history="1">
        <w:r w:rsidRPr="00EC7A08">
          <w:rPr>
            <w:rStyle w:val="Hyperlink"/>
            <w:b w:val="0"/>
          </w:rPr>
          <w:t>ANNEXURE 1 C – National Career Development</w:t>
        </w:r>
        <w:r w:rsidRPr="00EC7A08">
          <w:rPr>
            <w:b w:val="0"/>
            <w:webHidden/>
          </w:rPr>
          <w:tab/>
        </w:r>
        <w:r w:rsidRPr="00EC7A08">
          <w:rPr>
            <w:b w:val="0"/>
            <w:webHidden/>
          </w:rPr>
          <w:fldChar w:fldCharType="begin"/>
        </w:r>
        <w:r w:rsidRPr="00EC7A08">
          <w:rPr>
            <w:b w:val="0"/>
            <w:webHidden/>
          </w:rPr>
          <w:instrText xml:space="preserve"> PAGEREF _Toc384044206 \h </w:instrText>
        </w:r>
        <w:r w:rsidRPr="00EC7A08">
          <w:rPr>
            <w:b w:val="0"/>
            <w:webHidden/>
          </w:rPr>
        </w:r>
        <w:r w:rsidRPr="00EC7A08">
          <w:rPr>
            <w:b w:val="0"/>
            <w:webHidden/>
          </w:rPr>
          <w:fldChar w:fldCharType="separate"/>
        </w:r>
        <w:r w:rsidR="00855BAA">
          <w:rPr>
            <w:b w:val="0"/>
            <w:webHidden/>
          </w:rPr>
          <w:t>82</w:t>
        </w:r>
        <w:r w:rsidRPr="00EC7A08">
          <w:rPr>
            <w:b w:val="0"/>
            <w:webHidden/>
          </w:rPr>
          <w:fldChar w:fldCharType="end"/>
        </w:r>
      </w:hyperlink>
    </w:p>
    <w:p w:rsidR="00EC7A08" w:rsidRPr="00EC7A08" w:rsidRDefault="00EC7A08">
      <w:pPr>
        <w:pStyle w:val="TOC2"/>
        <w:rPr>
          <w:rFonts w:asciiTheme="minorHAnsi" w:eastAsiaTheme="minorEastAsia" w:hAnsiTheme="minorHAnsi" w:cstheme="minorBidi"/>
          <w:b w:val="0"/>
          <w:noProof/>
          <w:sz w:val="22"/>
          <w:szCs w:val="22"/>
          <w:lang w:eastAsia="en-AU"/>
        </w:rPr>
      </w:pPr>
      <w:hyperlink w:anchor="_Toc384044207" w:history="1">
        <w:r w:rsidRPr="00EC7A08">
          <w:rPr>
            <w:rStyle w:val="Hyperlink"/>
            <w:b w:val="0"/>
            <w:noProof/>
          </w:rPr>
          <w:t>National Summary: Activity during the 2012 calendar year</w:t>
        </w:r>
        <w:r w:rsidRPr="00EC7A08">
          <w:rPr>
            <w:b w:val="0"/>
            <w:noProof/>
            <w:webHidden/>
          </w:rPr>
          <w:tab/>
        </w:r>
        <w:r w:rsidRPr="00EC7A08">
          <w:rPr>
            <w:b w:val="0"/>
            <w:noProof/>
            <w:webHidden/>
          </w:rPr>
          <w:fldChar w:fldCharType="begin"/>
        </w:r>
        <w:r w:rsidRPr="00EC7A08">
          <w:rPr>
            <w:b w:val="0"/>
            <w:noProof/>
            <w:webHidden/>
          </w:rPr>
          <w:instrText xml:space="preserve"> PAGEREF _Toc384044207 \h </w:instrText>
        </w:r>
        <w:r w:rsidRPr="00EC7A08">
          <w:rPr>
            <w:b w:val="0"/>
            <w:noProof/>
            <w:webHidden/>
          </w:rPr>
        </w:r>
        <w:r w:rsidRPr="00EC7A08">
          <w:rPr>
            <w:b w:val="0"/>
            <w:noProof/>
            <w:webHidden/>
          </w:rPr>
          <w:fldChar w:fldCharType="separate"/>
        </w:r>
        <w:r w:rsidR="00855BAA">
          <w:rPr>
            <w:b w:val="0"/>
            <w:noProof/>
            <w:webHidden/>
          </w:rPr>
          <w:t>82</w:t>
        </w:r>
        <w:r w:rsidRPr="00EC7A08">
          <w:rPr>
            <w:b w:val="0"/>
            <w:noProof/>
            <w:webHidden/>
          </w:rPr>
          <w:fldChar w:fldCharType="end"/>
        </w:r>
      </w:hyperlink>
    </w:p>
    <w:p w:rsidR="00B64B7B" w:rsidRDefault="00345878" w:rsidP="00CC47AD">
      <w:pPr>
        <w:pStyle w:val="TOC1"/>
        <w:sectPr w:rsidR="00B64B7B" w:rsidSect="007363C7">
          <w:headerReference w:type="default" r:id="rId9"/>
          <w:footerReference w:type="default" r:id="rId10"/>
          <w:headerReference w:type="first" r:id="rId11"/>
          <w:footerReference w:type="first" r:id="rId12"/>
          <w:type w:val="oddPage"/>
          <w:pgSz w:w="11907" w:h="16839" w:code="9"/>
          <w:pgMar w:top="737" w:right="851" w:bottom="567" w:left="851" w:header="567" w:footer="709" w:gutter="0"/>
          <w:cols w:space="708"/>
          <w:titlePg/>
          <w:docGrid w:linePitch="360"/>
        </w:sectPr>
      </w:pPr>
      <w:r w:rsidRPr="00F533C8">
        <w:rPr>
          <w:b w:val="0"/>
        </w:rPr>
        <w:fldChar w:fldCharType="end"/>
      </w:r>
      <w:bookmarkStart w:id="2" w:name="_GoBack"/>
      <w:bookmarkEnd w:id="2"/>
    </w:p>
    <w:p w:rsidR="00113CDC" w:rsidRDefault="00113CDC" w:rsidP="00113CDC">
      <w:pPr>
        <w:keepNext/>
        <w:keepLines/>
        <w:spacing w:before="120"/>
        <w:outlineLvl w:val="1"/>
        <w:rPr>
          <w:rFonts w:ascii="Arial" w:eastAsia="Times New Roman" w:hAnsi="Arial"/>
          <w:b/>
          <w:bCs/>
          <w:color w:val="000000"/>
          <w:sz w:val="28"/>
          <w:szCs w:val="26"/>
        </w:rPr>
      </w:pPr>
      <w:bookmarkStart w:id="3" w:name="_Toc289170217"/>
      <w:bookmarkEnd w:id="0"/>
    </w:p>
    <w:p w:rsidR="00113CDC" w:rsidRPr="00113CDC" w:rsidRDefault="00113CDC" w:rsidP="002C3F70">
      <w:pPr>
        <w:pStyle w:val="Heading1"/>
      </w:pPr>
      <w:bookmarkStart w:id="4" w:name="_Toc384044183"/>
      <w:r w:rsidRPr="00113CDC">
        <w:t xml:space="preserve">PART A: </w:t>
      </w:r>
      <w:bookmarkEnd w:id="3"/>
      <w:r w:rsidRPr="00113CDC">
        <w:t>Outcomes and Performance Indicators, Western Australia</w:t>
      </w:r>
      <w:bookmarkEnd w:id="4"/>
    </w:p>
    <w:tbl>
      <w:tblPr>
        <w:tblStyle w:val="TableGrid1"/>
        <w:tblW w:w="21855" w:type="dxa"/>
        <w:tblLayout w:type="fixed"/>
        <w:tblLook w:val="01E0" w:firstRow="1" w:lastRow="1" w:firstColumn="1" w:lastColumn="1" w:noHBand="0" w:noVBand="0"/>
        <w:tblCaption w:val="PART A: Outcomes and Performance Indicators, Western Australia"/>
        <w:tblDescription w:val="The table provides data covering the period 2010 to 2012 for the outcomes and performance indicators included in the National Partnership on Youth Attainment and Transitions."/>
      </w:tblPr>
      <w:tblGrid>
        <w:gridCol w:w="3842"/>
        <w:gridCol w:w="7983"/>
        <w:gridCol w:w="3070"/>
        <w:gridCol w:w="2456"/>
        <w:gridCol w:w="2253"/>
        <w:gridCol w:w="2251"/>
      </w:tblGrid>
      <w:tr w:rsidR="00113CDC" w:rsidRPr="00113CDC" w:rsidTr="0071554D">
        <w:trPr>
          <w:cantSplit/>
          <w:trHeight w:val="489"/>
          <w:tblHeader/>
        </w:trPr>
        <w:tc>
          <w:tcPr>
            <w:tcW w:w="3842" w:type="dxa"/>
            <w:tcBorders>
              <w:top w:val="single" w:sz="12" w:space="0" w:color="auto"/>
              <w:left w:val="single" w:sz="12" w:space="0" w:color="auto"/>
              <w:bottom w:val="single" w:sz="12" w:space="0" w:color="auto"/>
              <w:right w:val="single" w:sz="4" w:space="0" w:color="auto"/>
            </w:tcBorders>
            <w:shd w:val="clear" w:color="auto" w:fill="E0E0E0"/>
            <w:vAlign w:val="center"/>
          </w:tcPr>
          <w:p w:rsidR="00113CDC" w:rsidRPr="00113CDC" w:rsidRDefault="00113CDC" w:rsidP="00113CDC">
            <w:pPr>
              <w:rPr>
                <w:b/>
                <w:sz w:val="20"/>
                <w:szCs w:val="20"/>
              </w:rPr>
            </w:pPr>
            <w:r w:rsidRPr="00113CDC">
              <w:rPr>
                <w:b/>
                <w:sz w:val="20"/>
                <w:szCs w:val="20"/>
              </w:rPr>
              <w:t>Outcome</w:t>
            </w:r>
          </w:p>
        </w:tc>
        <w:tc>
          <w:tcPr>
            <w:tcW w:w="7983" w:type="dxa"/>
            <w:tcBorders>
              <w:top w:val="single" w:sz="12" w:space="0" w:color="auto"/>
              <w:left w:val="single" w:sz="4" w:space="0" w:color="auto"/>
              <w:bottom w:val="single" w:sz="12" w:space="0" w:color="auto"/>
              <w:right w:val="single" w:sz="4" w:space="0" w:color="auto"/>
            </w:tcBorders>
            <w:shd w:val="clear" w:color="auto" w:fill="E0E0E0"/>
            <w:vAlign w:val="center"/>
          </w:tcPr>
          <w:p w:rsidR="00113CDC" w:rsidRPr="00113CDC" w:rsidRDefault="00113CDC" w:rsidP="00113CDC">
            <w:pPr>
              <w:rPr>
                <w:b/>
                <w:sz w:val="20"/>
                <w:szCs w:val="20"/>
              </w:rPr>
            </w:pPr>
            <w:r w:rsidRPr="00113CDC">
              <w:rPr>
                <w:b/>
                <w:sz w:val="20"/>
                <w:szCs w:val="20"/>
              </w:rPr>
              <w:t>Performance Indicator</w:t>
            </w:r>
          </w:p>
        </w:tc>
        <w:tc>
          <w:tcPr>
            <w:tcW w:w="3070" w:type="dxa"/>
            <w:tcBorders>
              <w:top w:val="single" w:sz="12" w:space="0" w:color="auto"/>
              <w:left w:val="single" w:sz="4" w:space="0" w:color="auto"/>
              <w:bottom w:val="single" w:sz="12" w:space="0" w:color="auto"/>
              <w:right w:val="single" w:sz="12" w:space="0" w:color="auto"/>
            </w:tcBorders>
            <w:shd w:val="clear" w:color="auto" w:fill="E0E0E0"/>
            <w:vAlign w:val="center"/>
          </w:tcPr>
          <w:p w:rsidR="00113CDC" w:rsidRPr="00113CDC" w:rsidRDefault="00113CDC" w:rsidP="00113CDC">
            <w:pPr>
              <w:rPr>
                <w:b/>
                <w:sz w:val="20"/>
                <w:szCs w:val="20"/>
              </w:rPr>
            </w:pPr>
            <w:r w:rsidRPr="00113CDC">
              <w:rPr>
                <w:b/>
                <w:sz w:val="20"/>
                <w:szCs w:val="20"/>
              </w:rPr>
              <w:t>Source</w:t>
            </w:r>
          </w:p>
        </w:tc>
        <w:tc>
          <w:tcPr>
            <w:tcW w:w="2456" w:type="dxa"/>
            <w:tcBorders>
              <w:top w:val="single" w:sz="12" w:space="0" w:color="auto"/>
              <w:left w:val="single" w:sz="4" w:space="0" w:color="auto"/>
              <w:bottom w:val="single" w:sz="12" w:space="0" w:color="auto"/>
              <w:right w:val="single" w:sz="4" w:space="0" w:color="auto"/>
            </w:tcBorders>
            <w:shd w:val="clear" w:color="auto" w:fill="E0E0E0"/>
          </w:tcPr>
          <w:p w:rsidR="00113CDC" w:rsidRPr="00113CDC" w:rsidRDefault="00113CDC" w:rsidP="00113CDC">
            <w:pPr>
              <w:jc w:val="center"/>
              <w:rPr>
                <w:b/>
                <w:sz w:val="20"/>
                <w:szCs w:val="20"/>
              </w:rPr>
            </w:pPr>
            <w:r w:rsidRPr="00113CDC">
              <w:rPr>
                <w:b/>
                <w:sz w:val="20"/>
                <w:szCs w:val="20"/>
              </w:rPr>
              <w:t>2010</w:t>
            </w:r>
          </w:p>
        </w:tc>
        <w:tc>
          <w:tcPr>
            <w:tcW w:w="2253" w:type="dxa"/>
            <w:tcBorders>
              <w:top w:val="single" w:sz="12" w:space="0" w:color="auto"/>
              <w:left w:val="single" w:sz="4" w:space="0" w:color="auto"/>
              <w:bottom w:val="single" w:sz="12" w:space="0" w:color="auto"/>
              <w:right w:val="single" w:sz="4" w:space="0" w:color="auto"/>
            </w:tcBorders>
            <w:shd w:val="clear" w:color="auto" w:fill="E0E0E0"/>
          </w:tcPr>
          <w:p w:rsidR="00113CDC" w:rsidRPr="00113CDC" w:rsidRDefault="00113CDC" w:rsidP="00113CDC">
            <w:pPr>
              <w:jc w:val="center"/>
              <w:rPr>
                <w:b/>
                <w:sz w:val="20"/>
                <w:szCs w:val="20"/>
              </w:rPr>
            </w:pPr>
            <w:r w:rsidRPr="00113CDC">
              <w:rPr>
                <w:b/>
                <w:sz w:val="20"/>
                <w:szCs w:val="20"/>
              </w:rPr>
              <w:t>2011</w:t>
            </w:r>
          </w:p>
        </w:tc>
        <w:tc>
          <w:tcPr>
            <w:tcW w:w="2251" w:type="dxa"/>
            <w:tcBorders>
              <w:top w:val="single" w:sz="12" w:space="0" w:color="auto"/>
              <w:left w:val="single" w:sz="4" w:space="0" w:color="auto"/>
              <w:bottom w:val="single" w:sz="12" w:space="0" w:color="auto"/>
              <w:right w:val="single" w:sz="12" w:space="0" w:color="000000" w:themeColor="text1"/>
            </w:tcBorders>
            <w:shd w:val="clear" w:color="auto" w:fill="E0E0E0"/>
          </w:tcPr>
          <w:p w:rsidR="00113CDC" w:rsidRPr="00113CDC" w:rsidRDefault="00113CDC" w:rsidP="00113CDC">
            <w:pPr>
              <w:jc w:val="center"/>
              <w:rPr>
                <w:b/>
                <w:sz w:val="20"/>
                <w:szCs w:val="20"/>
              </w:rPr>
            </w:pPr>
            <w:r w:rsidRPr="00113CDC">
              <w:rPr>
                <w:b/>
                <w:sz w:val="20"/>
                <w:szCs w:val="20"/>
              </w:rPr>
              <w:t>2012</w:t>
            </w:r>
          </w:p>
        </w:tc>
      </w:tr>
      <w:tr w:rsidR="00113CDC" w:rsidRPr="00113CDC" w:rsidTr="0071554D">
        <w:trPr>
          <w:cantSplit/>
          <w:trHeight w:val="304"/>
        </w:trPr>
        <w:tc>
          <w:tcPr>
            <w:tcW w:w="3842" w:type="dxa"/>
            <w:vMerge w:val="restart"/>
            <w:tcBorders>
              <w:top w:val="single" w:sz="12" w:space="0" w:color="auto"/>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r w:rsidRPr="00113CDC">
              <w:rPr>
                <w:rFonts w:ascii="Arial Narrow" w:hAnsi="Arial Narrow"/>
                <w:sz w:val="20"/>
                <w:szCs w:val="20"/>
              </w:rPr>
              <w:t>Increased participation of young people in education and training</w:t>
            </w:r>
          </w:p>
        </w:tc>
        <w:tc>
          <w:tcPr>
            <w:tcW w:w="7983" w:type="dxa"/>
            <w:tcBorders>
              <w:top w:val="single" w:sz="12" w:space="0" w:color="auto"/>
            </w:tcBorders>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cs="Corbel"/>
                <w:sz w:val="20"/>
                <w:szCs w:val="20"/>
              </w:rPr>
              <w:t>Enrolment of full</w:t>
            </w:r>
            <w:r w:rsidRPr="00113CDC">
              <w:rPr>
                <w:rFonts w:cs="Corbel"/>
                <w:sz w:val="20"/>
                <w:szCs w:val="20"/>
              </w:rPr>
              <w:t>‐</w:t>
            </w:r>
            <w:r w:rsidRPr="00113CDC">
              <w:rPr>
                <w:rFonts w:ascii="Arial Narrow" w:hAnsi="Arial Narrow" w:cs="Corbel"/>
                <w:sz w:val="20"/>
                <w:szCs w:val="20"/>
              </w:rPr>
              <w:t>time equivalent students in years 11 and 12</w:t>
            </w:r>
          </w:p>
        </w:tc>
        <w:tc>
          <w:tcPr>
            <w:tcW w:w="3070" w:type="dxa"/>
            <w:vMerge w:val="restart"/>
            <w:tcBorders>
              <w:top w:val="single" w:sz="12" w:space="0" w:color="auto"/>
              <w:right w:val="single" w:sz="12" w:space="0" w:color="auto"/>
            </w:tcBorders>
            <w:shd w:val="clear" w:color="auto" w:fill="auto"/>
            <w:vAlign w:val="center"/>
          </w:tcPr>
          <w:p w:rsidR="00113CDC" w:rsidRPr="00113CDC" w:rsidRDefault="00113CDC" w:rsidP="00113CDC">
            <w:pPr>
              <w:autoSpaceDE w:val="0"/>
              <w:autoSpaceDN w:val="0"/>
              <w:adjustRightInd w:val="0"/>
              <w:rPr>
                <w:rFonts w:ascii="Arial Narrow" w:hAnsi="Arial Narrow"/>
                <w:sz w:val="20"/>
                <w:szCs w:val="20"/>
              </w:rPr>
            </w:pPr>
            <w:r w:rsidRPr="00113CDC">
              <w:rPr>
                <w:rFonts w:ascii="Arial Narrow" w:hAnsi="Arial Narrow"/>
                <w:sz w:val="20"/>
                <w:szCs w:val="20"/>
              </w:rPr>
              <w:t>National Schools Statistics Collection (ABS)</w:t>
            </w:r>
          </w:p>
        </w:tc>
        <w:tc>
          <w:tcPr>
            <w:tcW w:w="2456" w:type="dxa"/>
            <w:tcBorders>
              <w:top w:val="single" w:sz="12"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51,359</w:t>
            </w:r>
          </w:p>
        </w:tc>
        <w:tc>
          <w:tcPr>
            <w:tcW w:w="2253" w:type="dxa"/>
            <w:tcBorders>
              <w:top w:val="single" w:sz="12" w:space="0" w:color="auto"/>
              <w:left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51,988</w:t>
            </w:r>
          </w:p>
        </w:tc>
        <w:tc>
          <w:tcPr>
            <w:tcW w:w="2251" w:type="dxa"/>
            <w:tcBorders>
              <w:top w:val="single" w:sz="12" w:space="0" w:color="auto"/>
              <w:left w:val="single" w:sz="4"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52,553</w:t>
            </w:r>
          </w:p>
        </w:tc>
      </w:tr>
      <w:tr w:rsidR="00113CDC" w:rsidRPr="00113CDC" w:rsidTr="0071554D">
        <w:trPr>
          <w:cantSplit/>
          <w:trHeight w:val="434"/>
        </w:trPr>
        <w:tc>
          <w:tcPr>
            <w:tcW w:w="3842" w:type="dxa"/>
            <w:vMerge/>
            <w:tcBorders>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p>
        </w:tc>
        <w:tc>
          <w:tcPr>
            <w:tcW w:w="7983" w:type="dxa"/>
            <w:tcBorders>
              <w:top w:val="single" w:sz="4" w:space="0" w:color="auto"/>
            </w:tcBorders>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cs="Corbel"/>
                <w:sz w:val="20"/>
                <w:szCs w:val="20"/>
              </w:rPr>
              <w:t>Enrolment of Indigenous full</w:t>
            </w:r>
            <w:r w:rsidRPr="00113CDC">
              <w:rPr>
                <w:rFonts w:cs="Corbel"/>
                <w:sz w:val="20"/>
                <w:szCs w:val="20"/>
              </w:rPr>
              <w:t>‐</w:t>
            </w:r>
            <w:r w:rsidRPr="00113CDC">
              <w:rPr>
                <w:rFonts w:ascii="Arial Narrow" w:hAnsi="Arial Narrow" w:cs="Corbel"/>
                <w:sz w:val="20"/>
                <w:szCs w:val="20"/>
              </w:rPr>
              <w:t>time equivalent students in years 11 and 12</w:t>
            </w:r>
          </w:p>
        </w:tc>
        <w:tc>
          <w:tcPr>
            <w:tcW w:w="3070" w:type="dxa"/>
            <w:vMerge/>
            <w:tcBorders>
              <w:right w:val="single" w:sz="12" w:space="0" w:color="auto"/>
            </w:tcBorders>
            <w:shd w:val="clear" w:color="auto" w:fill="auto"/>
            <w:vAlign w:val="center"/>
          </w:tcPr>
          <w:p w:rsidR="00113CDC" w:rsidRPr="00113CDC" w:rsidRDefault="00113CDC" w:rsidP="00113CDC">
            <w:pPr>
              <w:autoSpaceDE w:val="0"/>
              <w:autoSpaceDN w:val="0"/>
              <w:adjustRightInd w:val="0"/>
              <w:rPr>
                <w:rFonts w:ascii="Arial Narrow" w:hAnsi="Arial Narrow"/>
                <w:sz w:val="20"/>
                <w:szCs w:val="20"/>
              </w:rPr>
            </w:pPr>
          </w:p>
        </w:tc>
        <w:tc>
          <w:tcPr>
            <w:tcW w:w="2456" w:type="dxa"/>
            <w:tcBorders>
              <w:right w:val="single" w:sz="4" w:space="0" w:color="auto"/>
            </w:tcBorders>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2,196</w:t>
            </w:r>
          </w:p>
        </w:tc>
        <w:tc>
          <w:tcPr>
            <w:tcW w:w="2253" w:type="dxa"/>
            <w:tcBorders>
              <w:left w:val="single" w:sz="4" w:space="0" w:color="auto"/>
              <w:right w:val="single" w:sz="4" w:space="0" w:color="auto"/>
            </w:tcBorders>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2,143</w:t>
            </w:r>
          </w:p>
        </w:tc>
        <w:tc>
          <w:tcPr>
            <w:tcW w:w="2251" w:type="dxa"/>
            <w:tcBorders>
              <w:left w:val="single" w:sz="4" w:space="0" w:color="auto"/>
              <w:right w:val="single" w:sz="12" w:space="0" w:color="000000" w:themeColor="text1"/>
            </w:tcBorders>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2,205</w:t>
            </w:r>
          </w:p>
        </w:tc>
      </w:tr>
      <w:tr w:rsidR="00113CDC" w:rsidRPr="00113CDC" w:rsidTr="0071554D">
        <w:trPr>
          <w:cantSplit/>
          <w:trHeight w:val="261"/>
        </w:trPr>
        <w:tc>
          <w:tcPr>
            <w:tcW w:w="3842" w:type="dxa"/>
            <w:vMerge/>
            <w:tcBorders>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p>
        </w:tc>
        <w:tc>
          <w:tcPr>
            <w:tcW w:w="7983" w:type="dxa"/>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sz w:val="20"/>
                <w:szCs w:val="20"/>
              </w:rPr>
              <w:t xml:space="preserve">Enrolment of Indigenous </w:t>
            </w:r>
            <w:r w:rsidRPr="00113CDC">
              <w:rPr>
                <w:rFonts w:ascii="Arial Narrow" w:hAnsi="Arial Narrow" w:cs="Corbel"/>
                <w:sz w:val="20"/>
                <w:szCs w:val="20"/>
              </w:rPr>
              <w:t>full</w:t>
            </w:r>
            <w:r w:rsidRPr="00113CDC">
              <w:rPr>
                <w:rFonts w:cs="Corbel"/>
                <w:sz w:val="20"/>
                <w:szCs w:val="20"/>
              </w:rPr>
              <w:t>‐</w:t>
            </w:r>
            <w:r w:rsidRPr="00113CDC">
              <w:rPr>
                <w:rFonts w:ascii="Arial Narrow" w:hAnsi="Arial Narrow" w:cs="Corbel"/>
                <w:sz w:val="20"/>
                <w:szCs w:val="20"/>
              </w:rPr>
              <w:t xml:space="preserve">time equivalent </w:t>
            </w:r>
            <w:r w:rsidRPr="00113CDC">
              <w:rPr>
                <w:rFonts w:ascii="Arial Narrow" w:hAnsi="Arial Narrow"/>
                <w:sz w:val="20"/>
                <w:szCs w:val="20"/>
              </w:rPr>
              <w:t>students in years 9 and 10</w:t>
            </w:r>
          </w:p>
        </w:tc>
        <w:tc>
          <w:tcPr>
            <w:tcW w:w="3070" w:type="dxa"/>
            <w:vMerge/>
            <w:tcBorders>
              <w:right w:val="single" w:sz="12" w:space="0" w:color="auto"/>
            </w:tcBorders>
            <w:shd w:val="clear" w:color="auto" w:fill="auto"/>
            <w:vAlign w:val="center"/>
          </w:tcPr>
          <w:p w:rsidR="00113CDC" w:rsidRPr="00113CDC" w:rsidRDefault="00113CDC" w:rsidP="00113CDC">
            <w:pPr>
              <w:rPr>
                <w:rFonts w:ascii="Arial Narrow" w:hAnsi="Arial Narrow"/>
                <w:sz w:val="20"/>
                <w:szCs w:val="20"/>
              </w:rPr>
            </w:pPr>
          </w:p>
        </w:tc>
        <w:tc>
          <w:tcPr>
            <w:tcW w:w="2456" w:type="dxa"/>
            <w:tcBorders>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3,393</w:t>
            </w:r>
          </w:p>
        </w:tc>
        <w:tc>
          <w:tcPr>
            <w:tcW w:w="2253" w:type="dxa"/>
            <w:tcBorders>
              <w:left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2,729</w:t>
            </w:r>
          </w:p>
        </w:tc>
        <w:tc>
          <w:tcPr>
            <w:tcW w:w="2251" w:type="dxa"/>
            <w:tcBorders>
              <w:left w:val="single" w:sz="4"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2,718</w:t>
            </w:r>
          </w:p>
        </w:tc>
      </w:tr>
      <w:tr w:rsidR="00113CDC" w:rsidRPr="00113CDC" w:rsidTr="0071554D">
        <w:trPr>
          <w:cantSplit/>
          <w:trHeight w:val="841"/>
        </w:trPr>
        <w:tc>
          <w:tcPr>
            <w:tcW w:w="3842" w:type="dxa"/>
            <w:vMerge/>
            <w:tcBorders>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p>
        </w:tc>
        <w:tc>
          <w:tcPr>
            <w:tcW w:w="7983" w:type="dxa"/>
            <w:shd w:val="clear" w:color="auto" w:fill="auto"/>
            <w:vAlign w:val="center"/>
          </w:tcPr>
          <w:p w:rsidR="00113CDC" w:rsidRPr="00113CDC" w:rsidRDefault="00113CDC" w:rsidP="00113CDC">
            <w:pPr>
              <w:autoSpaceDE w:val="0"/>
              <w:autoSpaceDN w:val="0"/>
              <w:adjustRightInd w:val="0"/>
              <w:rPr>
                <w:rFonts w:ascii="Arial Narrow" w:hAnsi="Arial Narrow"/>
                <w:sz w:val="20"/>
                <w:szCs w:val="20"/>
              </w:rPr>
            </w:pPr>
            <w:r w:rsidRPr="00113CDC">
              <w:rPr>
                <w:rFonts w:ascii="Arial Narrow" w:hAnsi="Arial Narrow" w:cs="Corbel"/>
                <w:sz w:val="20"/>
                <w:szCs w:val="20"/>
              </w:rPr>
              <w:t>15</w:t>
            </w:r>
            <w:r w:rsidRPr="00113CDC">
              <w:rPr>
                <w:rFonts w:cs="Corbel"/>
                <w:sz w:val="20"/>
                <w:szCs w:val="20"/>
              </w:rPr>
              <w:t>‐</w:t>
            </w:r>
            <w:r w:rsidRPr="00113CDC">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3070" w:type="dxa"/>
            <w:vMerge w:val="restart"/>
            <w:tcBorders>
              <w:right w:val="single" w:sz="12" w:space="0" w:color="auto"/>
            </w:tcBorders>
            <w:shd w:val="clear" w:color="auto" w:fill="auto"/>
            <w:vAlign w:val="center"/>
          </w:tcPr>
          <w:p w:rsidR="00113CDC" w:rsidRPr="00113CDC" w:rsidRDefault="00113CDC" w:rsidP="00113CDC">
            <w:pPr>
              <w:rPr>
                <w:rFonts w:ascii="Arial Narrow" w:hAnsi="Arial Narrow"/>
                <w:sz w:val="20"/>
                <w:szCs w:val="20"/>
              </w:rPr>
            </w:pPr>
            <w:proofErr w:type="spellStart"/>
            <w:r w:rsidRPr="00113CDC">
              <w:rPr>
                <w:rFonts w:ascii="Arial Narrow" w:hAnsi="Arial Narrow"/>
                <w:sz w:val="20"/>
                <w:szCs w:val="20"/>
              </w:rPr>
              <w:t>VOCSTATS</w:t>
            </w:r>
            <w:proofErr w:type="spellEnd"/>
            <w:r w:rsidRPr="00113CDC">
              <w:rPr>
                <w:rFonts w:ascii="Arial Narrow" w:hAnsi="Arial Narrow"/>
                <w:sz w:val="20"/>
                <w:szCs w:val="20"/>
              </w:rPr>
              <w:t xml:space="preserve"> (</w:t>
            </w:r>
            <w:proofErr w:type="spellStart"/>
            <w:r w:rsidRPr="00113CDC">
              <w:rPr>
                <w:rFonts w:ascii="Arial Narrow" w:hAnsi="Arial Narrow"/>
                <w:sz w:val="20"/>
                <w:szCs w:val="20"/>
              </w:rPr>
              <w:t>NCVER</w:t>
            </w:r>
            <w:proofErr w:type="spellEnd"/>
            <w:r w:rsidRPr="00113CDC">
              <w:rPr>
                <w:rFonts w:ascii="Arial Narrow" w:hAnsi="Arial Narrow"/>
                <w:sz w:val="20"/>
                <w:szCs w:val="20"/>
              </w:rPr>
              <w:t>) (a)</w:t>
            </w:r>
          </w:p>
        </w:tc>
        <w:tc>
          <w:tcPr>
            <w:tcW w:w="2456" w:type="dxa"/>
            <w:tcBorders>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12,956</w:t>
            </w:r>
          </w:p>
        </w:tc>
        <w:tc>
          <w:tcPr>
            <w:tcW w:w="2253" w:type="dxa"/>
            <w:tcBorders>
              <w:left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12,159</w:t>
            </w:r>
          </w:p>
        </w:tc>
        <w:tc>
          <w:tcPr>
            <w:tcW w:w="2251" w:type="dxa"/>
            <w:tcBorders>
              <w:left w:val="single" w:sz="4"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11,294</w:t>
            </w:r>
          </w:p>
        </w:tc>
      </w:tr>
      <w:tr w:rsidR="00113CDC" w:rsidRPr="00113CDC" w:rsidTr="0071554D">
        <w:trPr>
          <w:cantSplit/>
          <w:trHeight w:val="841"/>
        </w:trPr>
        <w:tc>
          <w:tcPr>
            <w:tcW w:w="3842" w:type="dxa"/>
            <w:vMerge/>
            <w:tcBorders>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p>
        </w:tc>
        <w:tc>
          <w:tcPr>
            <w:tcW w:w="7983" w:type="dxa"/>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cs="Corbel"/>
                <w:sz w:val="20"/>
                <w:szCs w:val="20"/>
              </w:rPr>
              <w:t>Indigenous 15</w:t>
            </w:r>
            <w:r w:rsidRPr="00113CDC">
              <w:rPr>
                <w:rFonts w:cs="Corbel"/>
                <w:sz w:val="20"/>
                <w:szCs w:val="20"/>
              </w:rPr>
              <w:t>‐</w:t>
            </w:r>
            <w:r w:rsidRPr="00113CDC">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3070" w:type="dxa"/>
            <w:vMerge/>
            <w:tcBorders>
              <w:right w:val="single" w:sz="12" w:space="0" w:color="auto"/>
            </w:tcBorders>
            <w:shd w:val="clear" w:color="auto" w:fill="auto"/>
            <w:vAlign w:val="center"/>
          </w:tcPr>
          <w:p w:rsidR="00113CDC" w:rsidRPr="00113CDC" w:rsidRDefault="00113CDC" w:rsidP="00113CDC">
            <w:pPr>
              <w:rPr>
                <w:rFonts w:ascii="Arial Narrow" w:hAnsi="Arial Narrow"/>
                <w:sz w:val="20"/>
                <w:szCs w:val="20"/>
              </w:rPr>
            </w:pPr>
          </w:p>
        </w:tc>
        <w:tc>
          <w:tcPr>
            <w:tcW w:w="2456" w:type="dxa"/>
            <w:tcBorders>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892</w:t>
            </w:r>
          </w:p>
        </w:tc>
        <w:tc>
          <w:tcPr>
            <w:tcW w:w="2253" w:type="dxa"/>
            <w:tcBorders>
              <w:left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972</w:t>
            </w:r>
          </w:p>
        </w:tc>
        <w:tc>
          <w:tcPr>
            <w:tcW w:w="2251" w:type="dxa"/>
            <w:tcBorders>
              <w:left w:val="single" w:sz="4"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870</w:t>
            </w:r>
          </w:p>
        </w:tc>
      </w:tr>
      <w:tr w:rsidR="00113CDC" w:rsidRPr="00113CDC" w:rsidTr="0071554D">
        <w:trPr>
          <w:cantSplit/>
          <w:trHeight w:val="1149"/>
        </w:trPr>
        <w:tc>
          <w:tcPr>
            <w:tcW w:w="3842" w:type="dxa"/>
            <w:vMerge/>
            <w:tcBorders>
              <w:left w:val="single" w:sz="12" w:space="0" w:color="auto"/>
              <w:bottom w:val="single" w:sz="12" w:space="0" w:color="auto"/>
            </w:tcBorders>
            <w:shd w:val="clear" w:color="auto" w:fill="E6E6E6"/>
            <w:vAlign w:val="center"/>
          </w:tcPr>
          <w:p w:rsidR="00113CDC" w:rsidRPr="00113CDC" w:rsidRDefault="00113CDC" w:rsidP="00113CDC">
            <w:pPr>
              <w:rPr>
                <w:rFonts w:ascii="Arial Narrow" w:hAnsi="Arial Narrow"/>
                <w:sz w:val="20"/>
                <w:szCs w:val="20"/>
              </w:rPr>
            </w:pPr>
          </w:p>
        </w:tc>
        <w:tc>
          <w:tcPr>
            <w:tcW w:w="7983" w:type="dxa"/>
            <w:tcBorders>
              <w:bottom w:val="single" w:sz="12" w:space="0" w:color="auto"/>
            </w:tcBorders>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sz w:val="20"/>
                <w:szCs w:val="20"/>
              </w:rPr>
              <w:t>Indigenous 15-19 year olds without a Year 12 certificate and not enrolled in school who are enrolled in a vocational education and training (VET) course at Certificate I level</w:t>
            </w:r>
          </w:p>
        </w:tc>
        <w:tc>
          <w:tcPr>
            <w:tcW w:w="3070" w:type="dxa"/>
            <w:vMerge/>
            <w:tcBorders>
              <w:bottom w:val="single" w:sz="12" w:space="0" w:color="auto"/>
              <w:right w:val="single" w:sz="12" w:space="0" w:color="auto"/>
            </w:tcBorders>
            <w:shd w:val="clear" w:color="auto" w:fill="auto"/>
            <w:vAlign w:val="center"/>
          </w:tcPr>
          <w:p w:rsidR="00113CDC" w:rsidRPr="00113CDC" w:rsidRDefault="00113CDC" w:rsidP="00113CDC">
            <w:pPr>
              <w:rPr>
                <w:rFonts w:ascii="Arial Narrow" w:hAnsi="Arial Narrow"/>
                <w:sz w:val="20"/>
                <w:szCs w:val="20"/>
              </w:rPr>
            </w:pPr>
          </w:p>
        </w:tc>
        <w:tc>
          <w:tcPr>
            <w:tcW w:w="2456" w:type="dxa"/>
            <w:tcBorders>
              <w:bottom w:val="single" w:sz="12"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473</w:t>
            </w:r>
          </w:p>
        </w:tc>
        <w:tc>
          <w:tcPr>
            <w:tcW w:w="2253" w:type="dxa"/>
            <w:tcBorders>
              <w:left w:val="single" w:sz="4" w:space="0" w:color="auto"/>
              <w:bottom w:val="single" w:sz="12"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364</w:t>
            </w:r>
          </w:p>
        </w:tc>
        <w:tc>
          <w:tcPr>
            <w:tcW w:w="2251" w:type="dxa"/>
            <w:tcBorders>
              <w:left w:val="single" w:sz="4" w:space="0" w:color="auto"/>
              <w:bottom w:val="single" w:sz="12"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296</w:t>
            </w:r>
          </w:p>
        </w:tc>
      </w:tr>
      <w:tr w:rsidR="00113CDC" w:rsidRPr="00113CDC" w:rsidTr="0071554D">
        <w:trPr>
          <w:cantSplit/>
          <w:trHeight w:val="473"/>
        </w:trPr>
        <w:tc>
          <w:tcPr>
            <w:tcW w:w="3842" w:type="dxa"/>
            <w:vMerge w:val="restart"/>
            <w:tcBorders>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r w:rsidRPr="00113CDC">
              <w:rPr>
                <w:rFonts w:ascii="Arial Narrow" w:hAnsi="Arial Narrow"/>
                <w:sz w:val="20"/>
                <w:szCs w:val="20"/>
              </w:rPr>
              <w:t>Increased attainment of young people aged 15</w:t>
            </w:r>
            <w:r w:rsidRPr="00113CDC">
              <w:rPr>
                <w:sz w:val="20"/>
                <w:szCs w:val="20"/>
              </w:rPr>
              <w:t>‐</w:t>
            </w:r>
            <w:r w:rsidRPr="00113CDC">
              <w:rPr>
                <w:rFonts w:ascii="Arial Narrow" w:hAnsi="Arial Narrow"/>
                <w:sz w:val="20"/>
                <w:szCs w:val="20"/>
              </w:rPr>
              <w:t>24, including Indigenous youth</w:t>
            </w:r>
          </w:p>
        </w:tc>
        <w:tc>
          <w:tcPr>
            <w:tcW w:w="7983" w:type="dxa"/>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cs="Corbel"/>
                <w:sz w:val="20"/>
                <w:szCs w:val="20"/>
              </w:rPr>
              <w:t>The proportion of young people aged 20</w:t>
            </w:r>
            <w:r w:rsidRPr="00113CDC">
              <w:rPr>
                <w:rFonts w:cs="Corbel"/>
                <w:sz w:val="20"/>
                <w:szCs w:val="20"/>
              </w:rPr>
              <w:t>‐</w:t>
            </w:r>
            <w:r w:rsidRPr="00113CDC">
              <w:rPr>
                <w:rFonts w:ascii="Arial Narrow" w:hAnsi="Arial Narrow" w:cs="Corbel"/>
                <w:sz w:val="20"/>
                <w:szCs w:val="20"/>
              </w:rPr>
              <w:t>24 who have attained Year 12 or Certificate II or above (b)</w:t>
            </w:r>
          </w:p>
        </w:tc>
        <w:tc>
          <w:tcPr>
            <w:tcW w:w="3070" w:type="dxa"/>
            <w:vMerge w:val="restart"/>
            <w:tcBorders>
              <w:top w:val="single" w:sz="4" w:space="0" w:color="auto"/>
              <w:right w:val="single" w:sz="12" w:space="0" w:color="auto"/>
            </w:tcBorders>
            <w:shd w:val="clear" w:color="auto" w:fill="auto"/>
            <w:vAlign w:val="center"/>
          </w:tcPr>
          <w:p w:rsidR="00113CDC" w:rsidRPr="00113CDC" w:rsidRDefault="00113CDC" w:rsidP="00113CDC">
            <w:pPr>
              <w:rPr>
                <w:rFonts w:ascii="Arial Narrow" w:hAnsi="Arial Narrow"/>
                <w:sz w:val="20"/>
                <w:szCs w:val="20"/>
              </w:rPr>
            </w:pPr>
            <w:r w:rsidRPr="00113CDC">
              <w:rPr>
                <w:rFonts w:ascii="Arial Narrow" w:hAnsi="Arial Narrow"/>
                <w:sz w:val="20"/>
                <w:szCs w:val="20"/>
              </w:rPr>
              <w:t>Census (ABS)</w:t>
            </w:r>
          </w:p>
        </w:tc>
        <w:tc>
          <w:tcPr>
            <w:tcW w:w="2456" w:type="dxa"/>
            <w:tcBorders>
              <w:top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N/A</w:t>
            </w:r>
          </w:p>
        </w:tc>
        <w:tc>
          <w:tcPr>
            <w:tcW w:w="2253" w:type="dxa"/>
            <w:tcBorders>
              <w:top w:val="single" w:sz="4" w:space="0" w:color="auto"/>
              <w:left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83.1%</w:t>
            </w:r>
          </w:p>
        </w:tc>
        <w:tc>
          <w:tcPr>
            <w:tcW w:w="2251" w:type="dxa"/>
            <w:tcBorders>
              <w:top w:val="single" w:sz="4" w:space="0" w:color="auto"/>
              <w:left w:val="single" w:sz="4"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N/A</w:t>
            </w:r>
          </w:p>
        </w:tc>
      </w:tr>
      <w:tr w:rsidR="00113CDC" w:rsidRPr="00113CDC" w:rsidTr="0071554D">
        <w:trPr>
          <w:cantSplit/>
          <w:trHeight w:val="737"/>
        </w:trPr>
        <w:tc>
          <w:tcPr>
            <w:tcW w:w="3842" w:type="dxa"/>
            <w:vMerge/>
            <w:tcBorders>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p>
        </w:tc>
        <w:tc>
          <w:tcPr>
            <w:tcW w:w="7983" w:type="dxa"/>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cs="Corbel"/>
                <w:sz w:val="20"/>
                <w:szCs w:val="20"/>
              </w:rPr>
              <w:t>The proportion of young Indigenous people aged 20</w:t>
            </w:r>
            <w:r w:rsidRPr="00113CDC">
              <w:rPr>
                <w:rFonts w:cs="Corbel"/>
                <w:sz w:val="20"/>
                <w:szCs w:val="20"/>
              </w:rPr>
              <w:t>‐</w:t>
            </w:r>
            <w:r w:rsidRPr="00113CDC">
              <w:rPr>
                <w:rFonts w:ascii="Arial Narrow" w:hAnsi="Arial Narrow" w:cs="Corbel"/>
                <w:sz w:val="20"/>
                <w:szCs w:val="20"/>
              </w:rPr>
              <w:t>24 who have attained Year 12 or Certificate II or above</w:t>
            </w:r>
          </w:p>
        </w:tc>
        <w:tc>
          <w:tcPr>
            <w:tcW w:w="3070" w:type="dxa"/>
            <w:vMerge/>
            <w:tcBorders>
              <w:right w:val="single" w:sz="12" w:space="0" w:color="auto"/>
            </w:tcBorders>
            <w:shd w:val="clear" w:color="auto" w:fill="auto"/>
            <w:vAlign w:val="center"/>
          </w:tcPr>
          <w:p w:rsidR="00113CDC" w:rsidRPr="00113CDC" w:rsidRDefault="00113CDC" w:rsidP="00113CDC">
            <w:pPr>
              <w:rPr>
                <w:rFonts w:ascii="Arial Narrow" w:hAnsi="Arial Narrow"/>
                <w:sz w:val="20"/>
                <w:szCs w:val="20"/>
              </w:rPr>
            </w:pPr>
          </w:p>
        </w:tc>
        <w:tc>
          <w:tcPr>
            <w:tcW w:w="2456" w:type="dxa"/>
            <w:tcBorders>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N/A</w:t>
            </w:r>
          </w:p>
        </w:tc>
        <w:tc>
          <w:tcPr>
            <w:tcW w:w="2253" w:type="dxa"/>
            <w:tcBorders>
              <w:left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45.3%</w:t>
            </w:r>
          </w:p>
        </w:tc>
        <w:tc>
          <w:tcPr>
            <w:tcW w:w="2251" w:type="dxa"/>
            <w:tcBorders>
              <w:left w:val="single" w:sz="4"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N/A</w:t>
            </w:r>
          </w:p>
        </w:tc>
      </w:tr>
      <w:tr w:rsidR="00113CDC" w:rsidRPr="00113CDC" w:rsidTr="0071554D">
        <w:trPr>
          <w:cantSplit/>
          <w:trHeight w:val="494"/>
        </w:trPr>
        <w:tc>
          <w:tcPr>
            <w:tcW w:w="3842" w:type="dxa"/>
            <w:vMerge/>
            <w:tcBorders>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p>
        </w:tc>
        <w:tc>
          <w:tcPr>
            <w:tcW w:w="7983" w:type="dxa"/>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cs="Corbel"/>
                <w:sz w:val="20"/>
                <w:szCs w:val="20"/>
              </w:rPr>
              <w:t>20-24 year old VET completions at Certificate II or above</w:t>
            </w:r>
          </w:p>
        </w:tc>
        <w:tc>
          <w:tcPr>
            <w:tcW w:w="3070" w:type="dxa"/>
            <w:vMerge w:val="restart"/>
            <w:tcBorders>
              <w:right w:val="single" w:sz="12" w:space="0" w:color="auto"/>
            </w:tcBorders>
            <w:shd w:val="clear" w:color="auto" w:fill="auto"/>
            <w:vAlign w:val="center"/>
          </w:tcPr>
          <w:p w:rsidR="00113CDC" w:rsidRPr="00113CDC" w:rsidRDefault="00113CDC" w:rsidP="00113CDC">
            <w:pPr>
              <w:rPr>
                <w:rFonts w:ascii="Arial Narrow" w:hAnsi="Arial Narrow"/>
                <w:sz w:val="20"/>
                <w:szCs w:val="20"/>
              </w:rPr>
            </w:pPr>
            <w:proofErr w:type="spellStart"/>
            <w:r w:rsidRPr="00113CDC">
              <w:rPr>
                <w:rFonts w:ascii="Arial Narrow" w:hAnsi="Arial Narrow"/>
                <w:sz w:val="20"/>
                <w:szCs w:val="20"/>
              </w:rPr>
              <w:t>VOCSTATS</w:t>
            </w:r>
            <w:proofErr w:type="spellEnd"/>
            <w:r w:rsidRPr="00113CDC">
              <w:rPr>
                <w:rFonts w:ascii="Arial Narrow" w:hAnsi="Arial Narrow"/>
                <w:sz w:val="20"/>
                <w:szCs w:val="20"/>
              </w:rPr>
              <w:t xml:space="preserve"> (</w:t>
            </w:r>
            <w:proofErr w:type="spellStart"/>
            <w:r w:rsidRPr="00113CDC">
              <w:rPr>
                <w:rFonts w:ascii="Arial Narrow" w:hAnsi="Arial Narrow"/>
                <w:sz w:val="20"/>
                <w:szCs w:val="20"/>
              </w:rPr>
              <w:t>NCVER</w:t>
            </w:r>
            <w:proofErr w:type="spellEnd"/>
            <w:r w:rsidRPr="00113CDC">
              <w:rPr>
                <w:rFonts w:ascii="Arial Narrow" w:hAnsi="Arial Narrow"/>
                <w:sz w:val="20"/>
                <w:szCs w:val="20"/>
              </w:rPr>
              <w:t>) (a)</w:t>
            </w:r>
          </w:p>
        </w:tc>
        <w:tc>
          <w:tcPr>
            <w:tcW w:w="2456" w:type="dxa"/>
            <w:tcBorders>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10,064</w:t>
            </w:r>
          </w:p>
        </w:tc>
        <w:tc>
          <w:tcPr>
            <w:tcW w:w="2253" w:type="dxa"/>
            <w:tcBorders>
              <w:left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9,566</w:t>
            </w:r>
          </w:p>
        </w:tc>
        <w:tc>
          <w:tcPr>
            <w:tcW w:w="2251" w:type="dxa"/>
            <w:tcBorders>
              <w:left w:val="single" w:sz="4"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Not yet available</w:t>
            </w:r>
          </w:p>
        </w:tc>
      </w:tr>
      <w:tr w:rsidR="00113CDC" w:rsidRPr="00113CDC" w:rsidTr="0071554D">
        <w:trPr>
          <w:cantSplit/>
          <w:trHeight w:val="502"/>
        </w:trPr>
        <w:tc>
          <w:tcPr>
            <w:tcW w:w="3842" w:type="dxa"/>
            <w:vMerge/>
            <w:tcBorders>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p>
        </w:tc>
        <w:tc>
          <w:tcPr>
            <w:tcW w:w="7983" w:type="dxa"/>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cs="Corbel"/>
                <w:sz w:val="20"/>
                <w:szCs w:val="20"/>
              </w:rPr>
              <w:t>Indigenous 20-24 year old VET completions at Certificate II or above</w:t>
            </w:r>
          </w:p>
        </w:tc>
        <w:tc>
          <w:tcPr>
            <w:tcW w:w="3070" w:type="dxa"/>
            <w:vMerge/>
            <w:tcBorders>
              <w:bottom w:val="single" w:sz="12" w:space="0" w:color="auto"/>
              <w:right w:val="single" w:sz="12" w:space="0" w:color="auto"/>
            </w:tcBorders>
            <w:shd w:val="clear" w:color="auto" w:fill="auto"/>
            <w:vAlign w:val="center"/>
          </w:tcPr>
          <w:p w:rsidR="00113CDC" w:rsidRPr="00113CDC" w:rsidRDefault="00113CDC" w:rsidP="00113CDC">
            <w:pPr>
              <w:rPr>
                <w:rFonts w:ascii="Arial Narrow" w:hAnsi="Arial Narrow"/>
                <w:sz w:val="20"/>
                <w:szCs w:val="20"/>
              </w:rPr>
            </w:pPr>
          </w:p>
        </w:tc>
        <w:tc>
          <w:tcPr>
            <w:tcW w:w="2456" w:type="dxa"/>
            <w:tcBorders>
              <w:bottom w:val="single" w:sz="12"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293</w:t>
            </w:r>
          </w:p>
        </w:tc>
        <w:tc>
          <w:tcPr>
            <w:tcW w:w="2253" w:type="dxa"/>
            <w:tcBorders>
              <w:left w:val="single" w:sz="4" w:space="0" w:color="auto"/>
              <w:bottom w:val="single" w:sz="12"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372</w:t>
            </w:r>
          </w:p>
        </w:tc>
        <w:tc>
          <w:tcPr>
            <w:tcW w:w="2251" w:type="dxa"/>
            <w:tcBorders>
              <w:left w:val="single" w:sz="4" w:space="0" w:color="auto"/>
              <w:bottom w:val="single" w:sz="12"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Not yet available</w:t>
            </w:r>
          </w:p>
        </w:tc>
      </w:tr>
      <w:tr w:rsidR="00113CDC" w:rsidRPr="00113CDC" w:rsidTr="0071554D">
        <w:trPr>
          <w:cantSplit/>
          <w:trHeight w:val="729"/>
        </w:trPr>
        <w:tc>
          <w:tcPr>
            <w:tcW w:w="3842" w:type="dxa"/>
            <w:tcBorders>
              <w:top w:val="single" w:sz="12" w:space="0" w:color="auto"/>
              <w:left w:val="single" w:sz="12" w:space="0" w:color="auto"/>
            </w:tcBorders>
            <w:shd w:val="clear" w:color="auto" w:fill="E6E6E6"/>
            <w:vAlign w:val="center"/>
          </w:tcPr>
          <w:p w:rsidR="00113CDC" w:rsidRPr="00113CDC" w:rsidRDefault="00113CDC" w:rsidP="00113CDC">
            <w:pPr>
              <w:rPr>
                <w:rFonts w:ascii="Arial Narrow" w:hAnsi="Arial Narrow"/>
                <w:sz w:val="20"/>
                <w:szCs w:val="20"/>
              </w:rPr>
            </w:pPr>
            <w:bookmarkStart w:id="5" w:name="_Hlk237158622"/>
            <w:r w:rsidRPr="00113CDC">
              <w:rPr>
                <w:rFonts w:ascii="Arial Narrow" w:hAnsi="Arial Narrow"/>
                <w:sz w:val="20"/>
                <w:szCs w:val="20"/>
              </w:rPr>
              <w:t>Young people make a successful transition from school to further education, training or full</w:t>
            </w:r>
            <w:r w:rsidRPr="00113CDC">
              <w:rPr>
                <w:sz w:val="20"/>
                <w:szCs w:val="20"/>
              </w:rPr>
              <w:t>‐</w:t>
            </w:r>
            <w:r w:rsidRPr="00113CDC">
              <w:rPr>
                <w:rFonts w:ascii="Arial Narrow" w:hAnsi="Arial Narrow"/>
                <w:sz w:val="20"/>
                <w:szCs w:val="20"/>
              </w:rPr>
              <w:t>time employment</w:t>
            </w:r>
          </w:p>
        </w:tc>
        <w:tc>
          <w:tcPr>
            <w:tcW w:w="7983" w:type="dxa"/>
            <w:tcBorders>
              <w:top w:val="single" w:sz="12" w:space="0" w:color="auto"/>
            </w:tcBorders>
            <w:shd w:val="clear" w:color="auto" w:fill="auto"/>
            <w:vAlign w:val="center"/>
          </w:tcPr>
          <w:p w:rsidR="00113CDC" w:rsidRPr="00113CDC" w:rsidRDefault="00113CDC" w:rsidP="00113CDC">
            <w:pPr>
              <w:rPr>
                <w:rFonts w:ascii="Arial Narrow" w:hAnsi="Arial Narrow"/>
                <w:i/>
                <w:sz w:val="20"/>
                <w:szCs w:val="20"/>
              </w:rPr>
            </w:pPr>
            <w:r w:rsidRPr="00113CDC">
              <w:rPr>
                <w:rFonts w:ascii="Arial Narrow" w:hAnsi="Arial Narrow"/>
                <w:sz w:val="20"/>
                <w:szCs w:val="20"/>
              </w:rPr>
              <w:t>The proportion of young people aged 17</w:t>
            </w:r>
            <w:r w:rsidRPr="00113CDC">
              <w:rPr>
                <w:sz w:val="20"/>
                <w:szCs w:val="20"/>
              </w:rPr>
              <w:t>‐</w:t>
            </w:r>
            <w:r w:rsidRPr="00113CDC">
              <w:rPr>
                <w:rFonts w:ascii="Arial Narrow" w:hAnsi="Arial Narrow"/>
                <w:sz w:val="20"/>
                <w:szCs w:val="20"/>
              </w:rPr>
              <w:t>24 years participating in post</w:t>
            </w:r>
            <w:r w:rsidRPr="00113CDC">
              <w:rPr>
                <w:sz w:val="20"/>
                <w:szCs w:val="20"/>
              </w:rPr>
              <w:t>‐</w:t>
            </w:r>
            <w:r w:rsidRPr="00113CDC">
              <w:rPr>
                <w:rFonts w:ascii="Arial Narrow" w:hAnsi="Arial Narrow"/>
                <w:sz w:val="20"/>
                <w:szCs w:val="20"/>
              </w:rPr>
              <w:t>school education, training or employment (c)</w:t>
            </w:r>
          </w:p>
        </w:tc>
        <w:tc>
          <w:tcPr>
            <w:tcW w:w="3070" w:type="dxa"/>
            <w:tcBorders>
              <w:top w:val="single" w:sz="12" w:space="0" w:color="auto"/>
              <w:bottom w:val="single" w:sz="4" w:space="0" w:color="auto"/>
              <w:right w:val="single" w:sz="12" w:space="0" w:color="auto"/>
            </w:tcBorders>
            <w:shd w:val="clear" w:color="auto" w:fill="auto"/>
            <w:vAlign w:val="center"/>
          </w:tcPr>
          <w:p w:rsidR="00113CDC" w:rsidRPr="00113CDC" w:rsidRDefault="00113CDC" w:rsidP="00113CDC">
            <w:pPr>
              <w:rPr>
                <w:rFonts w:ascii="Arial Narrow" w:hAnsi="Arial Narrow"/>
                <w:sz w:val="20"/>
                <w:szCs w:val="20"/>
              </w:rPr>
            </w:pPr>
            <w:r w:rsidRPr="00113CDC">
              <w:rPr>
                <w:rFonts w:ascii="Arial Narrow" w:hAnsi="Arial Narrow"/>
                <w:sz w:val="20"/>
                <w:szCs w:val="20"/>
              </w:rPr>
              <w:t>Census (ABS)</w:t>
            </w:r>
          </w:p>
        </w:tc>
        <w:tc>
          <w:tcPr>
            <w:tcW w:w="2456" w:type="dxa"/>
            <w:tcBorders>
              <w:top w:val="single" w:sz="12" w:space="0" w:color="auto"/>
              <w:bottom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N/A</w:t>
            </w:r>
          </w:p>
        </w:tc>
        <w:tc>
          <w:tcPr>
            <w:tcW w:w="2253" w:type="dxa"/>
            <w:tcBorders>
              <w:top w:val="single" w:sz="12" w:space="0" w:color="auto"/>
              <w:left w:val="single" w:sz="4" w:space="0" w:color="auto"/>
              <w:bottom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74.1%</w:t>
            </w:r>
          </w:p>
        </w:tc>
        <w:tc>
          <w:tcPr>
            <w:tcW w:w="2251" w:type="dxa"/>
            <w:tcBorders>
              <w:top w:val="single" w:sz="12" w:space="0" w:color="auto"/>
              <w:left w:val="single" w:sz="4" w:space="0" w:color="auto"/>
              <w:bottom w:val="single" w:sz="4"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N/A</w:t>
            </w:r>
          </w:p>
        </w:tc>
      </w:tr>
      <w:bookmarkEnd w:id="5"/>
      <w:tr w:rsidR="00113CDC" w:rsidRPr="00113CDC" w:rsidTr="0071554D">
        <w:trPr>
          <w:cantSplit/>
          <w:trHeight w:val="459"/>
        </w:trPr>
        <w:tc>
          <w:tcPr>
            <w:tcW w:w="3842" w:type="dxa"/>
            <w:vMerge w:val="restart"/>
            <w:tcBorders>
              <w:top w:val="single" w:sz="12" w:space="0" w:color="000000" w:themeColor="text1"/>
              <w:left w:val="single" w:sz="12" w:space="0" w:color="000000" w:themeColor="text1"/>
            </w:tcBorders>
            <w:shd w:val="clear" w:color="auto" w:fill="E6E6E6"/>
            <w:vAlign w:val="center"/>
          </w:tcPr>
          <w:p w:rsidR="00113CDC" w:rsidRPr="00113CDC" w:rsidRDefault="00113CDC" w:rsidP="00113CDC">
            <w:pPr>
              <w:rPr>
                <w:rFonts w:ascii="Arial Narrow" w:hAnsi="Arial Narrow"/>
                <w:sz w:val="20"/>
                <w:szCs w:val="20"/>
              </w:rPr>
            </w:pPr>
            <w:r w:rsidRPr="00113CDC">
              <w:rPr>
                <w:rFonts w:ascii="Arial Narrow" w:hAnsi="Arial Narrow"/>
                <w:sz w:val="20"/>
                <w:szCs w:val="20"/>
              </w:rPr>
              <w:t>Improved Indigenous retention</w:t>
            </w:r>
          </w:p>
        </w:tc>
        <w:tc>
          <w:tcPr>
            <w:tcW w:w="7983" w:type="dxa"/>
            <w:tcBorders>
              <w:top w:val="single" w:sz="12" w:space="0" w:color="000000" w:themeColor="text1"/>
            </w:tcBorders>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cs="Corbel"/>
                <w:sz w:val="20"/>
                <w:szCs w:val="20"/>
              </w:rPr>
              <w:t>Apparent retention years 7/8 to year 10, by Indigenous status (d)</w:t>
            </w:r>
          </w:p>
        </w:tc>
        <w:tc>
          <w:tcPr>
            <w:tcW w:w="3070" w:type="dxa"/>
            <w:vMerge w:val="restart"/>
            <w:tcBorders>
              <w:top w:val="single" w:sz="12" w:space="0" w:color="000000" w:themeColor="text1"/>
              <w:right w:val="single" w:sz="12" w:space="0" w:color="auto"/>
            </w:tcBorders>
            <w:shd w:val="clear" w:color="auto" w:fill="auto"/>
            <w:vAlign w:val="center"/>
          </w:tcPr>
          <w:p w:rsidR="00113CDC" w:rsidRPr="00113CDC" w:rsidRDefault="00113CDC" w:rsidP="00113CDC">
            <w:pPr>
              <w:rPr>
                <w:rFonts w:ascii="Arial Narrow" w:hAnsi="Arial Narrow"/>
                <w:sz w:val="20"/>
                <w:szCs w:val="20"/>
              </w:rPr>
            </w:pPr>
            <w:r w:rsidRPr="00113CDC">
              <w:rPr>
                <w:rFonts w:ascii="Arial Narrow" w:hAnsi="Arial Narrow"/>
                <w:sz w:val="20"/>
                <w:szCs w:val="20"/>
              </w:rPr>
              <w:t>National Schools Statistics Collection (ABS)</w:t>
            </w:r>
          </w:p>
        </w:tc>
        <w:tc>
          <w:tcPr>
            <w:tcW w:w="2456" w:type="dxa"/>
            <w:tcBorders>
              <w:top w:val="single" w:sz="12" w:space="0" w:color="000000" w:themeColor="text1"/>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90.7%</w:t>
            </w:r>
          </w:p>
        </w:tc>
        <w:tc>
          <w:tcPr>
            <w:tcW w:w="2253" w:type="dxa"/>
            <w:tcBorders>
              <w:top w:val="single" w:sz="12" w:space="0" w:color="000000" w:themeColor="text1"/>
              <w:left w:val="single" w:sz="4" w:space="0" w:color="auto"/>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92.4%</w:t>
            </w:r>
          </w:p>
        </w:tc>
        <w:tc>
          <w:tcPr>
            <w:tcW w:w="2251" w:type="dxa"/>
            <w:tcBorders>
              <w:top w:val="single" w:sz="12" w:space="0" w:color="000000" w:themeColor="text1"/>
              <w:left w:val="single" w:sz="4" w:space="0" w:color="auto"/>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90.9%</w:t>
            </w:r>
          </w:p>
        </w:tc>
      </w:tr>
      <w:tr w:rsidR="00113CDC" w:rsidRPr="00113CDC" w:rsidTr="0071554D">
        <w:trPr>
          <w:cantSplit/>
          <w:trHeight w:val="493"/>
        </w:trPr>
        <w:tc>
          <w:tcPr>
            <w:tcW w:w="3842" w:type="dxa"/>
            <w:vMerge/>
            <w:tcBorders>
              <w:left w:val="single" w:sz="12" w:space="0" w:color="000000" w:themeColor="text1"/>
              <w:bottom w:val="single" w:sz="12" w:space="0" w:color="000000" w:themeColor="text1"/>
            </w:tcBorders>
            <w:shd w:val="clear" w:color="auto" w:fill="E6E6E6"/>
            <w:vAlign w:val="center"/>
          </w:tcPr>
          <w:p w:rsidR="00113CDC" w:rsidRPr="00113CDC" w:rsidRDefault="00113CDC" w:rsidP="00113CDC">
            <w:pPr>
              <w:rPr>
                <w:rFonts w:ascii="Arial Narrow" w:hAnsi="Arial Narrow"/>
                <w:sz w:val="20"/>
                <w:szCs w:val="20"/>
              </w:rPr>
            </w:pPr>
          </w:p>
        </w:tc>
        <w:tc>
          <w:tcPr>
            <w:tcW w:w="7983" w:type="dxa"/>
            <w:tcBorders>
              <w:bottom w:val="single" w:sz="12" w:space="0" w:color="000000" w:themeColor="text1"/>
            </w:tcBorders>
            <w:shd w:val="clear" w:color="auto" w:fill="auto"/>
            <w:vAlign w:val="center"/>
          </w:tcPr>
          <w:p w:rsidR="00113CDC" w:rsidRPr="00113CDC" w:rsidRDefault="00113CDC" w:rsidP="00113CDC">
            <w:pPr>
              <w:autoSpaceDE w:val="0"/>
              <w:autoSpaceDN w:val="0"/>
              <w:adjustRightInd w:val="0"/>
              <w:rPr>
                <w:rFonts w:ascii="Arial Narrow" w:hAnsi="Arial Narrow" w:cs="Corbel"/>
                <w:sz w:val="20"/>
                <w:szCs w:val="20"/>
              </w:rPr>
            </w:pPr>
            <w:r w:rsidRPr="00113CDC">
              <w:rPr>
                <w:rFonts w:ascii="Arial Narrow" w:hAnsi="Arial Narrow" w:cs="Corbel"/>
                <w:sz w:val="20"/>
                <w:szCs w:val="20"/>
              </w:rPr>
              <w:t>Apparent retention years 7/8 to year 12, by Indigenous status (d)</w:t>
            </w:r>
          </w:p>
        </w:tc>
        <w:tc>
          <w:tcPr>
            <w:tcW w:w="3070" w:type="dxa"/>
            <w:vMerge/>
            <w:tcBorders>
              <w:bottom w:val="single" w:sz="12" w:space="0" w:color="000000" w:themeColor="text1"/>
              <w:right w:val="single" w:sz="12" w:space="0" w:color="auto"/>
            </w:tcBorders>
            <w:shd w:val="clear" w:color="auto" w:fill="auto"/>
            <w:vAlign w:val="center"/>
          </w:tcPr>
          <w:p w:rsidR="00113CDC" w:rsidRPr="00113CDC" w:rsidRDefault="00113CDC" w:rsidP="00113CDC">
            <w:pPr>
              <w:rPr>
                <w:rFonts w:ascii="Arial Narrow" w:hAnsi="Arial Narrow"/>
                <w:sz w:val="20"/>
                <w:szCs w:val="20"/>
              </w:rPr>
            </w:pPr>
          </w:p>
        </w:tc>
        <w:tc>
          <w:tcPr>
            <w:tcW w:w="2456" w:type="dxa"/>
            <w:tcBorders>
              <w:bottom w:val="single" w:sz="12" w:space="0" w:color="000000" w:themeColor="text1"/>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42.9%</w:t>
            </w:r>
          </w:p>
        </w:tc>
        <w:tc>
          <w:tcPr>
            <w:tcW w:w="2253" w:type="dxa"/>
            <w:tcBorders>
              <w:left w:val="single" w:sz="4" w:space="0" w:color="auto"/>
              <w:bottom w:val="single" w:sz="12" w:space="0" w:color="000000" w:themeColor="text1"/>
              <w:right w:val="single" w:sz="4" w:space="0" w:color="auto"/>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40.3%</w:t>
            </w:r>
          </w:p>
        </w:tc>
        <w:tc>
          <w:tcPr>
            <w:tcW w:w="2251" w:type="dxa"/>
            <w:tcBorders>
              <w:left w:val="single" w:sz="4" w:space="0" w:color="auto"/>
              <w:bottom w:val="single" w:sz="12" w:space="0" w:color="000000" w:themeColor="text1"/>
              <w:right w:val="single" w:sz="12" w:space="0" w:color="000000" w:themeColor="text1"/>
            </w:tcBorders>
            <w:vAlign w:val="center"/>
          </w:tcPr>
          <w:p w:rsidR="00113CDC" w:rsidRPr="00113CDC" w:rsidRDefault="00113CDC" w:rsidP="00113CDC">
            <w:pPr>
              <w:jc w:val="right"/>
              <w:rPr>
                <w:rFonts w:ascii="Arial Narrow" w:hAnsi="Arial Narrow" w:cs="Calibri"/>
                <w:color w:val="000000"/>
                <w:sz w:val="20"/>
                <w:szCs w:val="20"/>
              </w:rPr>
            </w:pPr>
            <w:r w:rsidRPr="00113CDC">
              <w:rPr>
                <w:rFonts w:ascii="Arial Narrow" w:hAnsi="Arial Narrow" w:cs="Calibri"/>
                <w:color w:val="000000"/>
                <w:sz w:val="20"/>
                <w:szCs w:val="20"/>
              </w:rPr>
              <w:t>41.2%</w:t>
            </w:r>
          </w:p>
        </w:tc>
      </w:tr>
    </w:tbl>
    <w:p w:rsidR="00CA69DC" w:rsidRDefault="00CA69DC" w:rsidP="00113CDC">
      <w:pPr>
        <w:rPr>
          <w:b/>
          <w:sz w:val="22"/>
          <w:szCs w:val="22"/>
        </w:rPr>
      </w:pPr>
    </w:p>
    <w:p w:rsidR="00113CDC" w:rsidRPr="00113CDC" w:rsidRDefault="00113CDC" w:rsidP="00113CDC">
      <w:pPr>
        <w:rPr>
          <w:b/>
          <w:sz w:val="22"/>
          <w:szCs w:val="22"/>
        </w:rPr>
      </w:pPr>
      <w:r w:rsidRPr="00113CDC">
        <w:rPr>
          <w:b/>
          <w:sz w:val="22"/>
          <w:szCs w:val="22"/>
        </w:rPr>
        <w:t>Notes on the data</w:t>
      </w:r>
    </w:p>
    <w:p w:rsidR="00113CDC" w:rsidRPr="00113CDC" w:rsidRDefault="00113CDC" w:rsidP="00113CDC">
      <w:pPr>
        <w:numPr>
          <w:ilvl w:val="0"/>
          <w:numId w:val="79"/>
        </w:numPr>
        <w:spacing w:line="240" w:lineRule="auto"/>
        <w:contextualSpacing/>
        <w:rPr>
          <w:rFonts w:ascii="Arial" w:hAnsi="Arial" w:cs="Arial"/>
          <w:sz w:val="18"/>
          <w:szCs w:val="18"/>
        </w:rPr>
      </w:pPr>
      <w:r w:rsidRPr="00113CDC">
        <w:rPr>
          <w:rFonts w:ascii="Arial" w:hAnsi="Arial" w:cs="Arial"/>
          <w:sz w:val="18"/>
          <w:szCs w:val="18"/>
        </w:rPr>
        <w:t xml:space="preserve">Data on students and courses are normally available in July the following year. Data on qualifications completed in 2012 are not available until July 2014. VET statistics reflect a cumulative summary of the year’s activity as opposed to a point in time. </w:t>
      </w:r>
    </w:p>
    <w:p w:rsidR="00113CDC" w:rsidRPr="00113CDC" w:rsidRDefault="00113CDC" w:rsidP="00113CDC">
      <w:pPr>
        <w:numPr>
          <w:ilvl w:val="0"/>
          <w:numId w:val="79"/>
        </w:numPr>
        <w:spacing w:line="240" w:lineRule="auto"/>
        <w:contextualSpacing/>
        <w:rPr>
          <w:rFonts w:ascii="Arial" w:hAnsi="Arial" w:cs="Arial"/>
          <w:sz w:val="18"/>
          <w:szCs w:val="18"/>
        </w:rPr>
      </w:pPr>
      <w:r w:rsidRPr="00113CDC">
        <w:rPr>
          <w:rFonts w:ascii="Arial" w:hAnsi="Arial" w:cs="Arial"/>
          <w:sz w:val="18"/>
          <w:szCs w:val="18"/>
        </w:rPr>
        <w:t xml:space="preserve">The NP YAT specifies that the attainment indicator for 20 to 24 year olds is to be sourced from the Survey of Education and Work (SEW). The </w:t>
      </w:r>
      <w:r w:rsidRPr="00113CDC">
        <w:rPr>
          <w:rFonts w:ascii="Arial" w:hAnsi="Arial" w:cs="Arial"/>
          <w:i/>
          <w:sz w:val="18"/>
          <w:szCs w:val="18"/>
        </w:rPr>
        <w:t>Review of the National Education Agreement Performance Framework</w:t>
      </w:r>
      <w:r w:rsidRPr="00113CDC">
        <w:rPr>
          <w:rFonts w:ascii="Arial" w:hAnsi="Arial" w:cs="Arial"/>
          <w:sz w:val="18"/>
          <w:szCs w:val="18"/>
        </w:rPr>
        <w:t>, released in July 2012, noted that “large Relative Standard Errors (</w:t>
      </w:r>
      <w:proofErr w:type="spellStart"/>
      <w:r w:rsidRPr="00113CDC">
        <w:rPr>
          <w:rFonts w:ascii="Arial" w:hAnsi="Arial" w:cs="Arial"/>
          <w:sz w:val="18"/>
          <w:szCs w:val="18"/>
        </w:rPr>
        <w:t>RSEs</w:t>
      </w:r>
      <w:proofErr w:type="spellEnd"/>
      <w:r w:rsidRPr="00113CDC">
        <w:rPr>
          <w:rFonts w:ascii="Arial" w:hAnsi="Arial" w:cs="Arial"/>
          <w:sz w:val="18"/>
          <w:szCs w:val="18"/>
        </w:rPr>
        <w:t>) for this indicator can limit the appropriateness of the SEW to draw reliable jurisdiction level estimates from year to year, especially for smaller jurisdictions”. It recommended that the indicator be measured at the jurisdictional level with Census data or administrative data. In-line with this recommendation, data from the Census is now reported for this indicator.</w:t>
      </w:r>
    </w:p>
    <w:p w:rsidR="00113CDC" w:rsidRPr="00113CDC" w:rsidRDefault="00113CDC" w:rsidP="00113CDC">
      <w:pPr>
        <w:numPr>
          <w:ilvl w:val="0"/>
          <w:numId w:val="79"/>
        </w:numPr>
        <w:spacing w:line="240" w:lineRule="auto"/>
        <w:contextualSpacing/>
        <w:rPr>
          <w:rFonts w:ascii="Arial" w:hAnsi="Arial" w:cs="Arial"/>
          <w:sz w:val="18"/>
          <w:szCs w:val="18"/>
        </w:rPr>
      </w:pPr>
      <w:r w:rsidRPr="00113CDC">
        <w:rPr>
          <w:rFonts w:ascii="Arial" w:hAnsi="Arial" w:cs="Arial"/>
          <w:sz w:val="18"/>
          <w:szCs w:val="18"/>
        </w:rPr>
        <w:t xml:space="preserve">The NP YAT includes the indicator “The proportion of young people aged 15-24 participating in post-school education, training or employment six months after leaving school” to be measured by the SEW. The </w:t>
      </w:r>
      <w:r w:rsidRPr="00113CDC">
        <w:rPr>
          <w:rFonts w:ascii="Arial" w:hAnsi="Arial" w:cs="Arial"/>
          <w:i/>
          <w:sz w:val="18"/>
          <w:szCs w:val="18"/>
        </w:rPr>
        <w:t>Review of the National Education Agreement Performance Framework</w:t>
      </w:r>
      <w:r w:rsidRPr="00113CDC">
        <w:rPr>
          <w:rFonts w:ascii="Arial" w:hAnsi="Arial" w:cs="Arial"/>
          <w:sz w:val="18"/>
          <w:szCs w:val="18"/>
        </w:rPr>
        <w:t xml:space="preserve"> recommended that the following indicator be revised to measure 17-24 year olds as 17 is the age at which participation in education is no longer compulsory. It was also recommended that Census data be used to provide reliable information at a jurisdictional level. In-line with these recommendations, this indicator has been aligned with the new NEA indicator 5 and data from the Census is now reported for this indicator.</w:t>
      </w:r>
    </w:p>
    <w:p w:rsidR="00113CDC" w:rsidRPr="00113CDC" w:rsidRDefault="00113CDC" w:rsidP="00113CDC">
      <w:pPr>
        <w:numPr>
          <w:ilvl w:val="0"/>
          <w:numId w:val="79"/>
        </w:numPr>
        <w:spacing w:line="240" w:lineRule="auto"/>
        <w:contextualSpacing/>
        <w:rPr>
          <w:rFonts w:ascii="Arial" w:hAnsi="Arial" w:cs="Arial"/>
          <w:sz w:val="18"/>
          <w:szCs w:val="18"/>
        </w:rPr>
      </w:pPr>
      <w:r w:rsidRPr="00113CDC">
        <w:rPr>
          <w:rFonts w:ascii="Arial" w:hAnsi="Arial" w:cs="Arial"/>
          <w:sz w:val="18"/>
          <w:szCs w:val="18"/>
        </w:rPr>
        <w:t>The apparent retention rate measures the number of full-time school students in a designated level/year of education as a percentage of their respective cohort group in a base year. Ungraded students not included. Apparent retention rates for Indigenous students can be inflated by an increased propensity to identify as Indigenous over time. Caution should be taken in interpreting the data for apparent retention rates at the State and Territory level which can be inflated by a net increase in interstate migration. Small numbers of Indigenous students can also affect results from the State and Territory level and may produce apparent variations from year to year that may not accurately reflect the long-term trend.</w:t>
      </w:r>
    </w:p>
    <w:p w:rsidR="000C7DAD" w:rsidRPr="0045514D" w:rsidRDefault="000C7DAD" w:rsidP="00440AE1">
      <w:pPr>
        <w:sectPr w:rsidR="000C7DAD" w:rsidRPr="0045514D" w:rsidSect="00365DC0">
          <w:footerReference w:type="default" r:id="rId13"/>
          <w:pgSz w:w="23814" w:h="16839" w:orient="landscape" w:code="8"/>
          <w:pgMar w:top="567" w:right="567" w:bottom="567" w:left="567" w:header="567" w:footer="284" w:gutter="0"/>
          <w:cols w:space="708"/>
          <w:docGrid w:linePitch="360"/>
        </w:sectPr>
      </w:pPr>
    </w:p>
    <w:p w:rsidR="005B004A" w:rsidRPr="0020726D" w:rsidRDefault="00365DC0" w:rsidP="002C3F70">
      <w:pPr>
        <w:pStyle w:val="Heading1"/>
      </w:pPr>
      <w:bookmarkStart w:id="6" w:name="_Toc320003793"/>
      <w:bookmarkStart w:id="7" w:name="_Toc349909724"/>
      <w:bookmarkStart w:id="8" w:name="_Toc384044184"/>
      <w:bookmarkEnd w:id="1"/>
      <w:bookmarkEnd w:id="6"/>
      <w:bookmarkEnd w:id="7"/>
      <w:proofErr w:type="spellStart"/>
      <w:r>
        <w:lastRenderedPageBreak/>
        <w:t>NPYAT</w:t>
      </w:r>
      <w:proofErr w:type="spellEnd"/>
      <w:r>
        <w:t xml:space="preserve"> Data Source</w:t>
      </w:r>
      <w:r w:rsidR="005B004A" w:rsidRPr="0020726D">
        <w:t xml:space="preserve"> I</w:t>
      </w:r>
      <w:r>
        <w:t>ssues</w:t>
      </w:r>
      <w:bookmarkEnd w:id="8"/>
    </w:p>
    <w:p w:rsidR="005B004A" w:rsidRPr="00C83862" w:rsidRDefault="005B004A" w:rsidP="00F179A6">
      <w:pPr>
        <w:spacing w:line="240" w:lineRule="auto"/>
        <w:rPr>
          <w:rFonts w:asciiTheme="majorHAnsi" w:hAnsiTheme="majorHAnsi" w:cs="Arial"/>
          <w:sz w:val="23"/>
          <w:szCs w:val="23"/>
        </w:rPr>
      </w:pPr>
      <w:r w:rsidRPr="00C83862">
        <w:rPr>
          <w:rFonts w:asciiTheme="majorHAnsi" w:hAnsiTheme="majorHAnsi" w:cs="Arial"/>
          <w:sz w:val="23"/>
          <w:szCs w:val="23"/>
        </w:rPr>
        <w:t>In considering the various data sources (Part A: Reporting Requirements outlined in the National Partnership</w:t>
      </w:r>
      <w:r w:rsidRPr="00C83862" w:rsidDel="00A95902">
        <w:rPr>
          <w:rFonts w:asciiTheme="majorHAnsi" w:hAnsiTheme="majorHAnsi" w:cs="Arial"/>
          <w:sz w:val="23"/>
          <w:szCs w:val="23"/>
        </w:rPr>
        <w:t xml:space="preserve"> </w:t>
      </w:r>
      <w:r w:rsidRPr="00C83862">
        <w:rPr>
          <w:rFonts w:asciiTheme="majorHAnsi" w:hAnsiTheme="majorHAnsi" w:cs="Arial"/>
          <w:sz w:val="23"/>
          <w:szCs w:val="23"/>
        </w:rPr>
        <w:t xml:space="preserve">on Youth Attainment and Transitions) and their use to measure against the </w:t>
      </w:r>
      <w:proofErr w:type="spellStart"/>
      <w:r w:rsidRPr="00C83862">
        <w:rPr>
          <w:rFonts w:asciiTheme="majorHAnsi" w:hAnsiTheme="majorHAnsi" w:cs="Arial"/>
          <w:sz w:val="23"/>
          <w:szCs w:val="23"/>
        </w:rPr>
        <w:t>NPYAT</w:t>
      </w:r>
      <w:proofErr w:type="spellEnd"/>
      <w:r w:rsidRPr="00C83862">
        <w:rPr>
          <w:rFonts w:asciiTheme="majorHAnsi" w:hAnsiTheme="majorHAnsi" w:cs="Arial"/>
          <w:sz w:val="23"/>
          <w:szCs w:val="23"/>
        </w:rPr>
        <w:t xml:space="preserve"> deliverables, Western Australia raised a number of issues in the </w:t>
      </w:r>
      <w:r w:rsidRPr="00C83862">
        <w:rPr>
          <w:rFonts w:asciiTheme="majorHAnsi" w:hAnsiTheme="majorHAnsi" w:cs="Arial"/>
          <w:i/>
          <w:sz w:val="23"/>
          <w:szCs w:val="23"/>
        </w:rPr>
        <w:t xml:space="preserve">2009 </w:t>
      </w:r>
      <w:proofErr w:type="spellStart"/>
      <w:r w:rsidRPr="00C83862">
        <w:rPr>
          <w:rFonts w:asciiTheme="majorHAnsi" w:hAnsiTheme="majorHAnsi" w:cs="Arial"/>
          <w:i/>
          <w:sz w:val="23"/>
          <w:szCs w:val="23"/>
        </w:rPr>
        <w:t>NPYAT</w:t>
      </w:r>
      <w:proofErr w:type="spellEnd"/>
      <w:r w:rsidRPr="00C83862">
        <w:rPr>
          <w:rFonts w:asciiTheme="majorHAnsi" w:hAnsiTheme="majorHAnsi" w:cs="Arial"/>
          <w:i/>
          <w:sz w:val="23"/>
          <w:szCs w:val="23"/>
        </w:rPr>
        <w:t xml:space="preserve"> Implementation Plan</w:t>
      </w:r>
      <w:r w:rsidRPr="00C83862">
        <w:rPr>
          <w:rFonts w:asciiTheme="majorHAnsi" w:hAnsiTheme="majorHAnsi" w:cs="Arial"/>
          <w:sz w:val="23"/>
          <w:szCs w:val="23"/>
        </w:rPr>
        <w:t xml:space="preserve"> and again in the </w:t>
      </w:r>
      <w:r w:rsidRPr="00C83862">
        <w:rPr>
          <w:rFonts w:asciiTheme="majorHAnsi" w:hAnsiTheme="majorHAnsi" w:cs="Arial"/>
          <w:i/>
          <w:sz w:val="23"/>
          <w:szCs w:val="23"/>
        </w:rPr>
        <w:t xml:space="preserve">2010 </w:t>
      </w:r>
      <w:proofErr w:type="spellStart"/>
      <w:r w:rsidRPr="00C83862">
        <w:rPr>
          <w:rFonts w:asciiTheme="majorHAnsi" w:hAnsiTheme="majorHAnsi" w:cs="Arial"/>
          <w:i/>
          <w:sz w:val="23"/>
          <w:szCs w:val="23"/>
        </w:rPr>
        <w:t>NPYAT</w:t>
      </w:r>
      <w:proofErr w:type="spellEnd"/>
      <w:r w:rsidRPr="00C83862">
        <w:rPr>
          <w:rFonts w:asciiTheme="majorHAnsi" w:hAnsiTheme="majorHAnsi" w:cs="Arial"/>
          <w:i/>
          <w:sz w:val="23"/>
          <w:szCs w:val="23"/>
        </w:rPr>
        <w:t xml:space="preserve"> </w:t>
      </w:r>
      <w:r w:rsidR="00D92070" w:rsidRPr="00C83862">
        <w:rPr>
          <w:rFonts w:asciiTheme="majorHAnsi" w:hAnsiTheme="majorHAnsi" w:cs="Arial"/>
          <w:i/>
          <w:sz w:val="23"/>
          <w:szCs w:val="23"/>
        </w:rPr>
        <w:t>A</w:t>
      </w:r>
      <w:r w:rsidRPr="00C83862">
        <w:rPr>
          <w:rFonts w:asciiTheme="majorHAnsi" w:hAnsiTheme="majorHAnsi" w:cs="Arial"/>
          <w:i/>
          <w:sz w:val="23"/>
          <w:szCs w:val="23"/>
        </w:rPr>
        <w:t>nnual</w:t>
      </w:r>
      <w:r w:rsidR="00D92070" w:rsidRPr="00C83862">
        <w:rPr>
          <w:rFonts w:asciiTheme="majorHAnsi" w:hAnsiTheme="majorHAnsi" w:cs="Arial"/>
          <w:i/>
          <w:sz w:val="23"/>
          <w:szCs w:val="23"/>
        </w:rPr>
        <w:t xml:space="preserve"> R</w:t>
      </w:r>
      <w:r w:rsidRPr="00C83862">
        <w:rPr>
          <w:rFonts w:asciiTheme="majorHAnsi" w:hAnsiTheme="majorHAnsi" w:cs="Arial"/>
          <w:i/>
          <w:sz w:val="23"/>
          <w:szCs w:val="23"/>
        </w:rPr>
        <w:t>eport</w:t>
      </w:r>
      <w:r w:rsidRPr="00C83862">
        <w:rPr>
          <w:rFonts w:asciiTheme="majorHAnsi" w:hAnsiTheme="majorHAnsi" w:cs="Arial"/>
          <w:sz w:val="23"/>
          <w:szCs w:val="23"/>
        </w:rPr>
        <w:t>, regarding usage and appropriateness. These issues continue to be relevant and are raised in relation to the reporting data template as detailed below.</w:t>
      </w:r>
    </w:p>
    <w:p w:rsidR="005B004A" w:rsidRPr="00C83862" w:rsidRDefault="005B004A" w:rsidP="00A03016">
      <w:pPr>
        <w:pStyle w:val="Heading3"/>
      </w:pPr>
      <w:r w:rsidRPr="00C83862">
        <w:t>Participation</w:t>
      </w:r>
    </w:p>
    <w:p w:rsidR="005B004A" w:rsidRPr="00C83862" w:rsidRDefault="005B004A" w:rsidP="00F179A6">
      <w:pPr>
        <w:spacing w:line="240" w:lineRule="auto"/>
        <w:rPr>
          <w:rFonts w:asciiTheme="majorHAnsi" w:hAnsiTheme="majorHAnsi" w:cs="Arial"/>
          <w:sz w:val="23"/>
          <w:szCs w:val="23"/>
        </w:rPr>
      </w:pPr>
      <w:r w:rsidRPr="00C83862">
        <w:rPr>
          <w:rFonts w:asciiTheme="majorHAnsi" w:hAnsiTheme="majorHAnsi" w:cs="Arial"/>
          <w:sz w:val="23"/>
          <w:szCs w:val="23"/>
        </w:rPr>
        <w:t xml:space="preserve">Under the outcome “Increased participation of young people in education and training”, </w:t>
      </w:r>
      <w:r w:rsidR="00BE6C0A" w:rsidRPr="00C83862">
        <w:rPr>
          <w:rFonts w:asciiTheme="majorHAnsi" w:hAnsiTheme="majorHAnsi" w:cs="Arial"/>
          <w:sz w:val="23"/>
          <w:szCs w:val="23"/>
        </w:rPr>
        <w:t xml:space="preserve">interpreting </w:t>
      </w:r>
      <w:r w:rsidRPr="00C83862">
        <w:rPr>
          <w:rFonts w:asciiTheme="majorHAnsi" w:hAnsiTheme="majorHAnsi" w:cs="Arial"/>
          <w:sz w:val="23"/>
          <w:szCs w:val="23"/>
        </w:rPr>
        <w:t>“not stated” data</w:t>
      </w:r>
      <w:r w:rsidR="00BE6C0A" w:rsidRPr="00C83862">
        <w:rPr>
          <w:rFonts w:asciiTheme="majorHAnsi" w:hAnsiTheme="majorHAnsi" w:cs="Arial"/>
          <w:sz w:val="23"/>
          <w:szCs w:val="23"/>
        </w:rPr>
        <w:t xml:space="preserve"> in relation to previous educational attainment is difficult. The “not stated” data have been excluded by the </w:t>
      </w:r>
      <w:r w:rsidR="003A595D" w:rsidRPr="00C83862">
        <w:rPr>
          <w:rFonts w:asciiTheme="majorHAnsi" w:hAnsiTheme="majorHAnsi" w:cs="Arial"/>
          <w:sz w:val="23"/>
          <w:szCs w:val="23"/>
        </w:rPr>
        <w:t>Council of Australian Governments</w:t>
      </w:r>
      <w:r w:rsidR="00196C9B" w:rsidRPr="00C83862">
        <w:rPr>
          <w:rFonts w:asciiTheme="majorHAnsi" w:hAnsiTheme="majorHAnsi" w:cs="Arial"/>
          <w:sz w:val="23"/>
          <w:szCs w:val="23"/>
        </w:rPr>
        <w:t>’</w:t>
      </w:r>
      <w:r w:rsidR="003A595D" w:rsidRPr="00C83862">
        <w:rPr>
          <w:rFonts w:asciiTheme="majorHAnsi" w:hAnsiTheme="majorHAnsi" w:cs="Arial"/>
          <w:sz w:val="23"/>
          <w:szCs w:val="23"/>
        </w:rPr>
        <w:t xml:space="preserve"> (</w:t>
      </w:r>
      <w:proofErr w:type="spellStart"/>
      <w:r w:rsidR="003A595D" w:rsidRPr="00C83862">
        <w:rPr>
          <w:rFonts w:asciiTheme="majorHAnsi" w:hAnsiTheme="majorHAnsi" w:cs="Arial"/>
          <w:sz w:val="23"/>
          <w:szCs w:val="23"/>
        </w:rPr>
        <w:t>COAG</w:t>
      </w:r>
      <w:proofErr w:type="spellEnd"/>
      <w:r w:rsidR="003A595D" w:rsidRPr="00C83862">
        <w:rPr>
          <w:rFonts w:asciiTheme="majorHAnsi" w:hAnsiTheme="majorHAnsi" w:cs="Arial"/>
          <w:sz w:val="23"/>
          <w:szCs w:val="23"/>
        </w:rPr>
        <w:t>) Reform Council (</w:t>
      </w:r>
      <w:r w:rsidR="00BE6C0A" w:rsidRPr="00C83862">
        <w:rPr>
          <w:rFonts w:asciiTheme="majorHAnsi" w:hAnsiTheme="majorHAnsi" w:cs="Arial"/>
          <w:sz w:val="23"/>
          <w:szCs w:val="23"/>
        </w:rPr>
        <w:t>CRC</w:t>
      </w:r>
      <w:r w:rsidR="003A595D" w:rsidRPr="00C83862">
        <w:rPr>
          <w:rFonts w:asciiTheme="majorHAnsi" w:hAnsiTheme="majorHAnsi" w:cs="Arial"/>
          <w:sz w:val="23"/>
          <w:szCs w:val="23"/>
        </w:rPr>
        <w:t>)</w:t>
      </w:r>
      <w:r w:rsidR="00BE6C0A" w:rsidRPr="00C83862">
        <w:rPr>
          <w:rFonts w:asciiTheme="majorHAnsi" w:hAnsiTheme="majorHAnsi" w:cs="Arial"/>
          <w:sz w:val="23"/>
          <w:szCs w:val="23"/>
        </w:rPr>
        <w:t xml:space="preserve"> in their deliberations of jurisdiction performance and are likely to </w:t>
      </w:r>
      <w:r w:rsidRPr="00C83862">
        <w:rPr>
          <w:rFonts w:asciiTheme="majorHAnsi" w:hAnsiTheme="majorHAnsi" w:cs="Arial"/>
          <w:sz w:val="23"/>
          <w:szCs w:val="23"/>
        </w:rPr>
        <w:t>produce under-estimates of the participation rates</w:t>
      </w:r>
      <w:r w:rsidR="00BE6C0A" w:rsidRPr="00C83862">
        <w:rPr>
          <w:rFonts w:asciiTheme="majorHAnsi" w:hAnsiTheme="majorHAnsi" w:cs="Arial"/>
          <w:sz w:val="23"/>
          <w:szCs w:val="23"/>
        </w:rPr>
        <w:t xml:space="preserve"> due to sample bias</w:t>
      </w:r>
      <w:r w:rsidRPr="00C83862">
        <w:rPr>
          <w:rFonts w:asciiTheme="majorHAnsi" w:hAnsiTheme="majorHAnsi" w:cs="Arial"/>
          <w:sz w:val="23"/>
          <w:szCs w:val="23"/>
        </w:rPr>
        <w:t xml:space="preserve">. These concerns were consistently raised by Western Australia throughout the consultation process around the </w:t>
      </w:r>
      <w:r w:rsidR="003A595D" w:rsidRPr="00C83862">
        <w:rPr>
          <w:rFonts w:asciiTheme="majorHAnsi" w:hAnsiTheme="majorHAnsi" w:cs="Arial"/>
          <w:sz w:val="23"/>
          <w:szCs w:val="23"/>
        </w:rPr>
        <w:t>CRC’s</w:t>
      </w:r>
      <w:r w:rsidRPr="00C83862">
        <w:rPr>
          <w:rFonts w:asciiTheme="majorHAnsi" w:hAnsiTheme="majorHAnsi" w:cs="Arial"/>
          <w:sz w:val="23"/>
          <w:szCs w:val="23"/>
        </w:rPr>
        <w:t xml:space="preserve"> 2010 participation target performance report. </w:t>
      </w:r>
    </w:p>
    <w:p w:rsidR="00BE6C0A" w:rsidRPr="00C83862" w:rsidRDefault="00BE6C0A" w:rsidP="00F179A6">
      <w:pPr>
        <w:spacing w:line="240" w:lineRule="auto"/>
        <w:rPr>
          <w:rFonts w:asciiTheme="majorHAnsi" w:hAnsiTheme="majorHAnsi" w:cs="Arial"/>
          <w:sz w:val="23"/>
          <w:szCs w:val="23"/>
        </w:rPr>
      </w:pPr>
    </w:p>
    <w:p w:rsidR="005B004A" w:rsidRPr="00C83862" w:rsidRDefault="00BE6C0A" w:rsidP="00F179A6">
      <w:pPr>
        <w:spacing w:line="240" w:lineRule="auto"/>
        <w:rPr>
          <w:rFonts w:asciiTheme="majorHAnsi" w:hAnsiTheme="majorHAnsi" w:cs="Arial"/>
          <w:sz w:val="23"/>
          <w:szCs w:val="23"/>
        </w:rPr>
      </w:pPr>
      <w:r w:rsidRPr="00C83862">
        <w:rPr>
          <w:rFonts w:asciiTheme="majorHAnsi" w:hAnsiTheme="majorHAnsi" w:cs="Arial"/>
          <w:sz w:val="23"/>
          <w:szCs w:val="23"/>
        </w:rPr>
        <w:t>M</w:t>
      </w:r>
      <w:r w:rsidR="005B004A" w:rsidRPr="00C83862">
        <w:rPr>
          <w:rFonts w:asciiTheme="majorHAnsi" w:hAnsiTheme="majorHAnsi" w:cs="Arial"/>
          <w:sz w:val="23"/>
          <w:szCs w:val="23"/>
        </w:rPr>
        <w:t>odelling by</w:t>
      </w:r>
      <w:r w:rsidR="00196C9B" w:rsidRPr="00C83862">
        <w:rPr>
          <w:rFonts w:asciiTheme="majorHAnsi" w:hAnsiTheme="majorHAnsi" w:cs="Arial"/>
          <w:sz w:val="23"/>
          <w:szCs w:val="23"/>
        </w:rPr>
        <w:t xml:space="preserve"> the</w:t>
      </w:r>
      <w:r w:rsidR="005B004A" w:rsidRPr="00C83862">
        <w:rPr>
          <w:rFonts w:asciiTheme="majorHAnsi" w:hAnsiTheme="majorHAnsi" w:cs="Arial"/>
          <w:sz w:val="23"/>
          <w:szCs w:val="23"/>
        </w:rPr>
        <w:t xml:space="preserve"> D</w:t>
      </w:r>
      <w:r w:rsidR="0054174A" w:rsidRPr="00C83862">
        <w:rPr>
          <w:rFonts w:asciiTheme="majorHAnsi" w:hAnsiTheme="majorHAnsi" w:cs="Arial"/>
          <w:sz w:val="23"/>
          <w:szCs w:val="23"/>
        </w:rPr>
        <w:t xml:space="preserve">epartment of </w:t>
      </w:r>
      <w:r w:rsidR="005B004A" w:rsidRPr="00C83862">
        <w:rPr>
          <w:rFonts w:asciiTheme="majorHAnsi" w:hAnsiTheme="majorHAnsi" w:cs="Arial"/>
          <w:sz w:val="23"/>
          <w:szCs w:val="23"/>
        </w:rPr>
        <w:t>E</w:t>
      </w:r>
      <w:r w:rsidR="0054174A" w:rsidRPr="00C83862">
        <w:rPr>
          <w:rFonts w:asciiTheme="majorHAnsi" w:hAnsiTheme="majorHAnsi" w:cs="Arial"/>
          <w:sz w:val="23"/>
          <w:szCs w:val="23"/>
        </w:rPr>
        <w:t>ducation, Employment and Workplace Relations (DE</w:t>
      </w:r>
      <w:r w:rsidR="005B004A" w:rsidRPr="00C83862">
        <w:rPr>
          <w:rFonts w:asciiTheme="majorHAnsi" w:hAnsiTheme="majorHAnsi" w:cs="Arial"/>
          <w:sz w:val="23"/>
          <w:szCs w:val="23"/>
        </w:rPr>
        <w:t>EWR</w:t>
      </w:r>
      <w:r w:rsidR="0054174A" w:rsidRPr="00C83862">
        <w:rPr>
          <w:rFonts w:asciiTheme="majorHAnsi" w:hAnsiTheme="majorHAnsi" w:cs="Arial"/>
          <w:sz w:val="23"/>
          <w:szCs w:val="23"/>
        </w:rPr>
        <w:t>)</w:t>
      </w:r>
      <w:r w:rsidR="005B004A" w:rsidRPr="00C83862">
        <w:rPr>
          <w:rFonts w:asciiTheme="majorHAnsi" w:hAnsiTheme="majorHAnsi" w:cs="Arial"/>
          <w:sz w:val="23"/>
          <w:szCs w:val="23"/>
        </w:rPr>
        <w:t xml:space="preserve"> highlig</w:t>
      </w:r>
      <w:r w:rsidRPr="00C83862">
        <w:rPr>
          <w:rFonts w:asciiTheme="majorHAnsi" w:hAnsiTheme="majorHAnsi" w:cs="Arial"/>
          <w:sz w:val="23"/>
          <w:szCs w:val="23"/>
        </w:rPr>
        <w:t>hted the extent of underestimation</w:t>
      </w:r>
      <w:r w:rsidR="005B004A" w:rsidRPr="00C83862">
        <w:rPr>
          <w:rFonts w:asciiTheme="majorHAnsi" w:hAnsiTheme="majorHAnsi" w:cs="Arial"/>
          <w:sz w:val="23"/>
          <w:szCs w:val="23"/>
        </w:rPr>
        <w:t xml:space="preserve"> as a result of excluding the “not stated” groups from the participation target count. </w:t>
      </w:r>
      <w:proofErr w:type="spellStart"/>
      <w:r w:rsidR="005B004A" w:rsidRPr="00C83862">
        <w:rPr>
          <w:rFonts w:asciiTheme="majorHAnsi" w:hAnsiTheme="majorHAnsi" w:cs="Arial"/>
          <w:sz w:val="23"/>
          <w:szCs w:val="23"/>
        </w:rPr>
        <w:t>DEEWR’s</w:t>
      </w:r>
      <w:proofErr w:type="spellEnd"/>
      <w:r w:rsidR="005B004A" w:rsidRPr="00C83862">
        <w:rPr>
          <w:rFonts w:asciiTheme="majorHAnsi" w:hAnsiTheme="majorHAnsi" w:cs="Arial"/>
          <w:sz w:val="23"/>
          <w:szCs w:val="23"/>
        </w:rPr>
        <w:t xml:space="preserve"> modelling co</w:t>
      </w:r>
      <w:r w:rsidRPr="00C83862">
        <w:rPr>
          <w:rFonts w:asciiTheme="majorHAnsi" w:hAnsiTheme="majorHAnsi" w:cs="Arial"/>
          <w:sz w:val="23"/>
          <w:szCs w:val="23"/>
        </w:rPr>
        <w:t>nfirmed that Western Australia sh</w:t>
      </w:r>
      <w:r w:rsidR="005B004A" w:rsidRPr="00C83862">
        <w:rPr>
          <w:rFonts w:asciiTheme="majorHAnsi" w:hAnsiTheme="majorHAnsi" w:cs="Arial"/>
          <w:sz w:val="23"/>
          <w:szCs w:val="23"/>
        </w:rPr>
        <w:t xml:space="preserve">ould </w:t>
      </w:r>
      <w:r w:rsidRPr="00C83862">
        <w:rPr>
          <w:rFonts w:asciiTheme="majorHAnsi" w:hAnsiTheme="majorHAnsi" w:cs="Arial"/>
          <w:sz w:val="23"/>
          <w:szCs w:val="23"/>
        </w:rPr>
        <w:t xml:space="preserve">have </w:t>
      </w:r>
      <w:r w:rsidR="005B004A" w:rsidRPr="00C83862">
        <w:rPr>
          <w:rFonts w:asciiTheme="majorHAnsi" w:hAnsiTheme="majorHAnsi" w:cs="Arial"/>
          <w:sz w:val="23"/>
          <w:szCs w:val="23"/>
        </w:rPr>
        <w:t>achieve</w:t>
      </w:r>
      <w:r w:rsidRPr="00C83862">
        <w:rPr>
          <w:rFonts w:asciiTheme="majorHAnsi" w:hAnsiTheme="majorHAnsi" w:cs="Arial"/>
          <w:sz w:val="23"/>
          <w:szCs w:val="23"/>
        </w:rPr>
        <w:t>d</w:t>
      </w:r>
      <w:r w:rsidR="00CA3B53" w:rsidRPr="00C83862">
        <w:rPr>
          <w:rFonts w:asciiTheme="majorHAnsi" w:hAnsiTheme="majorHAnsi" w:cs="Arial"/>
          <w:sz w:val="23"/>
          <w:szCs w:val="23"/>
        </w:rPr>
        <w:t xml:space="preserve"> </w:t>
      </w:r>
      <w:r w:rsidR="005B004A" w:rsidRPr="00C83862">
        <w:rPr>
          <w:rFonts w:asciiTheme="majorHAnsi" w:hAnsiTheme="majorHAnsi" w:cs="Arial"/>
          <w:sz w:val="23"/>
          <w:szCs w:val="23"/>
        </w:rPr>
        <w:t xml:space="preserve">100% of the participation target if the “not stated” groups were appropriately apportioned into the participation baseline and target. Nonetheless, DEEWR did not support the inclusion of the </w:t>
      </w:r>
      <w:r w:rsidR="00D92070" w:rsidRPr="00C83862">
        <w:rPr>
          <w:rFonts w:asciiTheme="majorHAnsi" w:hAnsiTheme="majorHAnsi" w:cs="Arial"/>
          <w:sz w:val="23"/>
          <w:szCs w:val="23"/>
        </w:rPr>
        <w:t>“</w:t>
      </w:r>
      <w:r w:rsidR="005B004A" w:rsidRPr="00C83862">
        <w:rPr>
          <w:rFonts w:asciiTheme="majorHAnsi" w:hAnsiTheme="majorHAnsi" w:cs="Arial"/>
          <w:sz w:val="23"/>
          <w:szCs w:val="23"/>
        </w:rPr>
        <w:t>not stated</w:t>
      </w:r>
      <w:r w:rsidR="00D92070" w:rsidRPr="00C83862">
        <w:rPr>
          <w:rFonts w:asciiTheme="majorHAnsi" w:hAnsiTheme="majorHAnsi" w:cs="Arial"/>
          <w:sz w:val="23"/>
          <w:szCs w:val="23"/>
        </w:rPr>
        <w:t>”</w:t>
      </w:r>
      <w:r w:rsidR="005B004A" w:rsidRPr="00C83862">
        <w:rPr>
          <w:rFonts w:asciiTheme="majorHAnsi" w:hAnsiTheme="majorHAnsi" w:cs="Arial"/>
          <w:sz w:val="23"/>
          <w:szCs w:val="23"/>
        </w:rPr>
        <w:t xml:space="preserve"> groups in the count; and the reporting was finalised by the CRC with the exclusion of the</w:t>
      </w:r>
      <w:r w:rsidR="00D92070" w:rsidRPr="00C83862">
        <w:rPr>
          <w:rFonts w:asciiTheme="majorHAnsi" w:hAnsiTheme="majorHAnsi" w:cs="Arial"/>
          <w:sz w:val="23"/>
          <w:szCs w:val="23"/>
        </w:rPr>
        <w:t xml:space="preserve"> “</w:t>
      </w:r>
      <w:r w:rsidR="005B004A" w:rsidRPr="00C83862">
        <w:rPr>
          <w:rFonts w:asciiTheme="majorHAnsi" w:hAnsiTheme="majorHAnsi" w:cs="Arial"/>
          <w:sz w:val="23"/>
          <w:szCs w:val="23"/>
        </w:rPr>
        <w:t>not stated</w:t>
      </w:r>
      <w:r w:rsidR="00D92070" w:rsidRPr="00C83862">
        <w:rPr>
          <w:rFonts w:asciiTheme="majorHAnsi" w:hAnsiTheme="majorHAnsi" w:cs="Arial"/>
          <w:sz w:val="23"/>
          <w:szCs w:val="23"/>
        </w:rPr>
        <w:t>”</w:t>
      </w:r>
      <w:r w:rsidR="005B004A" w:rsidRPr="00C83862">
        <w:rPr>
          <w:rFonts w:asciiTheme="majorHAnsi" w:hAnsiTheme="majorHAnsi" w:cs="Arial"/>
          <w:sz w:val="23"/>
          <w:szCs w:val="23"/>
        </w:rPr>
        <w:t xml:space="preserve"> groups. Western Australia</w:t>
      </w:r>
      <w:r w:rsidR="00196C9B" w:rsidRPr="00C83862">
        <w:rPr>
          <w:rFonts w:asciiTheme="majorHAnsi" w:hAnsiTheme="majorHAnsi" w:cs="Arial"/>
          <w:sz w:val="23"/>
          <w:szCs w:val="23"/>
        </w:rPr>
        <w:t xml:space="preserve"> consequently </w:t>
      </w:r>
      <w:r w:rsidR="005B004A" w:rsidRPr="00C83862">
        <w:rPr>
          <w:rFonts w:asciiTheme="majorHAnsi" w:hAnsiTheme="majorHAnsi" w:cs="Arial"/>
          <w:sz w:val="23"/>
          <w:szCs w:val="23"/>
        </w:rPr>
        <w:t xml:space="preserve">received only 88.3% of the participation reward funding made in the 2011-2012 financial year. </w:t>
      </w:r>
    </w:p>
    <w:p w:rsidR="005B004A" w:rsidRPr="00C83862" w:rsidRDefault="005B004A" w:rsidP="00A03016">
      <w:pPr>
        <w:pStyle w:val="Heading3"/>
      </w:pPr>
      <w:r w:rsidRPr="00C83862">
        <w:t>Attainment</w:t>
      </w:r>
    </w:p>
    <w:p w:rsidR="005B004A" w:rsidRPr="00C83862" w:rsidRDefault="005B004A" w:rsidP="00F179A6">
      <w:pPr>
        <w:spacing w:line="240" w:lineRule="auto"/>
        <w:rPr>
          <w:rFonts w:asciiTheme="majorHAnsi" w:hAnsiTheme="majorHAnsi"/>
          <w:sz w:val="23"/>
          <w:szCs w:val="23"/>
        </w:rPr>
      </w:pPr>
      <w:r w:rsidRPr="00C83862">
        <w:rPr>
          <w:rFonts w:asciiTheme="majorHAnsi" w:hAnsiTheme="majorHAnsi" w:cs="Arial"/>
          <w:sz w:val="23"/>
          <w:szCs w:val="23"/>
        </w:rPr>
        <w:t>Under the outcome “Increased attainment of young people aged 15-24, including Aboriginal youth”, the first indicator is “The proportion of young people aged 20</w:t>
      </w:r>
      <w:r w:rsidRPr="00C83862">
        <w:rPr>
          <w:rFonts w:asciiTheme="majorHAnsi" w:eastAsia="MS Mincho" w:hAnsiTheme="majorHAnsi" w:cs="Arial"/>
          <w:sz w:val="23"/>
          <w:szCs w:val="23"/>
        </w:rPr>
        <w:t>-</w:t>
      </w:r>
      <w:r w:rsidRPr="00C83862">
        <w:rPr>
          <w:rFonts w:asciiTheme="majorHAnsi" w:hAnsiTheme="majorHAnsi" w:cs="Arial"/>
          <w:sz w:val="23"/>
          <w:szCs w:val="23"/>
        </w:rPr>
        <w:t xml:space="preserve">24 who have attained Year 12 or Certificate II or above”. The original proposed data source was the Survey of Education and Work (SEW). However, all jurisdictions raised issues over the use of SEW data as the appropriate source for this performance measure. </w:t>
      </w:r>
      <w:r w:rsidRPr="00C83862">
        <w:rPr>
          <w:rFonts w:asciiTheme="majorHAnsi" w:hAnsiTheme="majorHAnsi"/>
          <w:sz w:val="23"/>
          <w:szCs w:val="23"/>
        </w:rPr>
        <w:t xml:space="preserve">The Australian Bureau of Statistics (ABS), CRC and </w:t>
      </w:r>
      <w:proofErr w:type="spellStart"/>
      <w:r w:rsidRPr="00C83862">
        <w:rPr>
          <w:rFonts w:asciiTheme="majorHAnsi" w:hAnsiTheme="majorHAnsi"/>
          <w:sz w:val="23"/>
          <w:szCs w:val="23"/>
        </w:rPr>
        <w:t>COAG</w:t>
      </w:r>
      <w:proofErr w:type="spellEnd"/>
      <w:r w:rsidRPr="00C83862">
        <w:rPr>
          <w:rFonts w:asciiTheme="majorHAnsi" w:hAnsiTheme="majorHAnsi"/>
          <w:sz w:val="23"/>
          <w:szCs w:val="23"/>
        </w:rPr>
        <w:t xml:space="preserve"> subsequently agreed that this is an unreliable measure. Consequently, in July 2012 the Australian Council for Educational Research (ACER) was engaged to identify more accurate measurement options. The two options identified were the ABS Census of Population and Housing, and administrative data collected by each jurisdiction. </w:t>
      </w:r>
    </w:p>
    <w:p w:rsidR="005B004A" w:rsidRPr="00C83862" w:rsidRDefault="005B004A" w:rsidP="00F179A6">
      <w:pPr>
        <w:spacing w:line="240" w:lineRule="auto"/>
        <w:rPr>
          <w:rFonts w:asciiTheme="majorHAnsi" w:hAnsiTheme="majorHAnsi"/>
          <w:sz w:val="23"/>
          <w:szCs w:val="23"/>
        </w:rPr>
      </w:pPr>
    </w:p>
    <w:p w:rsidR="00937B46" w:rsidRPr="00C83862" w:rsidRDefault="005B004A" w:rsidP="00F179A6">
      <w:pPr>
        <w:spacing w:line="240" w:lineRule="auto"/>
        <w:rPr>
          <w:rFonts w:asciiTheme="majorHAnsi" w:hAnsiTheme="majorHAnsi"/>
          <w:sz w:val="23"/>
          <w:szCs w:val="23"/>
        </w:rPr>
      </w:pPr>
      <w:r w:rsidRPr="00C83862">
        <w:rPr>
          <w:rFonts w:asciiTheme="majorHAnsi" w:hAnsiTheme="majorHAnsi"/>
          <w:sz w:val="23"/>
          <w:szCs w:val="23"/>
        </w:rPr>
        <w:t xml:space="preserve">Both options have significant limitations: </w:t>
      </w:r>
    </w:p>
    <w:p w:rsidR="005B004A" w:rsidRPr="00C83862" w:rsidRDefault="005B004A" w:rsidP="00BA3E66">
      <w:pPr>
        <w:pStyle w:val="ListParagraph"/>
        <w:numPr>
          <w:ilvl w:val="0"/>
          <w:numId w:val="28"/>
        </w:numPr>
        <w:spacing w:line="240" w:lineRule="auto"/>
        <w:rPr>
          <w:rFonts w:asciiTheme="majorHAnsi" w:hAnsiTheme="majorHAnsi"/>
          <w:sz w:val="23"/>
          <w:szCs w:val="23"/>
        </w:rPr>
      </w:pPr>
      <w:r w:rsidRPr="00C83862">
        <w:rPr>
          <w:rFonts w:asciiTheme="majorHAnsi" w:hAnsiTheme="majorHAnsi"/>
          <w:sz w:val="23"/>
          <w:szCs w:val="23"/>
        </w:rPr>
        <w:t>ABS Census data: The five-yearly Census provides measures of 19</w:t>
      </w:r>
      <w:r w:rsidR="00937B46" w:rsidRPr="00C83862">
        <w:rPr>
          <w:rFonts w:asciiTheme="majorHAnsi" w:hAnsiTheme="majorHAnsi"/>
          <w:sz w:val="23"/>
          <w:szCs w:val="23"/>
        </w:rPr>
        <w:t xml:space="preserve"> to</w:t>
      </w:r>
      <w:r w:rsidR="00196C9B" w:rsidRPr="00C83862">
        <w:rPr>
          <w:rFonts w:asciiTheme="majorHAnsi" w:hAnsiTheme="majorHAnsi"/>
          <w:sz w:val="23"/>
          <w:szCs w:val="23"/>
        </w:rPr>
        <w:t xml:space="preserve"> </w:t>
      </w:r>
      <w:r w:rsidRPr="00C83862">
        <w:rPr>
          <w:rFonts w:asciiTheme="majorHAnsi" w:hAnsiTheme="majorHAnsi"/>
          <w:sz w:val="23"/>
          <w:szCs w:val="23"/>
        </w:rPr>
        <w:t>23 year-olds in the target year meaning some proxy data will be required to measure 20</w:t>
      </w:r>
      <w:r w:rsidR="00937B46" w:rsidRPr="00C83862">
        <w:rPr>
          <w:rFonts w:asciiTheme="majorHAnsi" w:hAnsiTheme="majorHAnsi"/>
          <w:sz w:val="23"/>
          <w:szCs w:val="23"/>
        </w:rPr>
        <w:t xml:space="preserve"> to </w:t>
      </w:r>
      <w:r w:rsidRPr="00C83862">
        <w:rPr>
          <w:rFonts w:asciiTheme="majorHAnsi" w:hAnsiTheme="majorHAnsi"/>
          <w:sz w:val="23"/>
          <w:szCs w:val="23"/>
        </w:rPr>
        <w:t>24 year-olds. It also relies on self-reporting, which is comparatively low in Western Australia for some cohorts, such as Indigenous. This self-reporting also results in lower quality data.</w:t>
      </w:r>
    </w:p>
    <w:p w:rsidR="005B004A" w:rsidRPr="00C83862" w:rsidRDefault="005B004A" w:rsidP="00BA3E66">
      <w:pPr>
        <w:pStyle w:val="ListParagraph"/>
        <w:numPr>
          <w:ilvl w:val="0"/>
          <w:numId w:val="28"/>
        </w:numPr>
        <w:spacing w:line="240" w:lineRule="auto"/>
        <w:rPr>
          <w:rFonts w:asciiTheme="majorHAnsi" w:hAnsiTheme="majorHAnsi"/>
          <w:sz w:val="23"/>
          <w:szCs w:val="23"/>
        </w:rPr>
      </w:pPr>
      <w:r w:rsidRPr="00C83862">
        <w:rPr>
          <w:rFonts w:asciiTheme="majorHAnsi" w:hAnsiTheme="majorHAnsi"/>
          <w:sz w:val="23"/>
          <w:szCs w:val="23"/>
        </w:rPr>
        <w:t>Administrative data: Many jurisdictions do not have a consistent data series due to recent system changes. Furthermore, data is not comparable across jurisdictions</w:t>
      </w:r>
      <w:r w:rsidR="00937B46" w:rsidRPr="00C83862">
        <w:rPr>
          <w:rFonts w:asciiTheme="majorHAnsi" w:hAnsiTheme="majorHAnsi"/>
          <w:sz w:val="23"/>
          <w:szCs w:val="23"/>
        </w:rPr>
        <w:t>;</w:t>
      </w:r>
      <w:r w:rsidRPr="00C83862">
        <w:rPr>
          <w:rFonts w:asciiTheme="majorHAnsi" w:hAnsiTheme="majorHAnsi"/>
          <w:sz w:val="23"/>
          <w:szCs w:val="23"/>
        </w:rPr>
        <w:t xml:space="preserve"> is resource intensive to gather</w:t>
      </w:r>
      <w:r w:rsidR="00937B46" w:rsidRPr="00C83862">
        <w:rPr>
          <w:rFonts w:asciiTheme="majorHAnsi" w:hAnsiTheme="majorHAnsi"/>
          <w:sz w:val="23"/>
          <w:szCs w:val="23"/>
        </w:rPr>
        <w:t>;</w:t>
      </w:r>
      <w:r w:rsidRPr="00C83862">
        <w:rPr>
          <w:rFonts w:asciiTheme="majorHAnsi" w:hAnsiTheme="majorHAnsi"/>
          <w:sz w:val="23"/>
          <w:szCs w:val="23"/>
        </w:rPr>
        <w:t xml:space="preserve"> and will push timeframes out to 2014. This may jeopardise funding given the September Federal election and possible change of Government.</w:t>
      </w:r>
    </w:p>
    <w:p w:rsidR="005B004A" w:rsidRPr="00C83862" w:rsidRDefault="005B004A" w:rsidP="00F179A6">
      <w:pPr>
        <w:spacing w:line="240" w:lineRule="auto"/>
        <w:rPr>
          <w:rFonts w:asciiTheme="majorHAnsi" w:hAnsiTheme="majorHAnsi"/>
          <w:sz w:val="23"/>
          <w:szCs w:val="23"/>
        </w:rPr>
      </w:pPr>
    </w:p>
    <w:p w:rsidR="005B004A" w:rsidRPr="00C83862" w:rsidRDefault="005B004A" w:rsidP="00F179A6">
      <w:pPr>
        <w:spacing w:line="240" w:lineRule="auto"/>
        <w:rPr>
          <w:rFonts w:asciiTheme="majorHAnsi" w:eastAsia="Times New Roman" w:hAnsiTheme="majorHAnsi"/>
          <w:b/>
          <w:bCs/>
          <w:sz w:val="23"/>
          <w:szCs w:val="23"/>
        </w:rPr>
      </w:pPr>
      <w:r w:rsidRPr="00C83862">
        <w:rPr>
          <w:sz w:val="23"/>
          <w:szCs w:val="23"/>
        </w:rPr>
        <w:t>Subsequently, the NP YAT Multilateral Working Group agreed that the ABS Census data provided the best alternative measure to the SEW for the purposes of CRC reporting. It also agreed that when determining reward payments, the Commonwealth Government</w:t>
      </w:r>
      <w:r w:rsidRPr="00C83862">
        <w:rPr>
          <w:rFonts w:asciiTheme="majorHAnsi" w:hAnsiTheme="majorHAnsi"/>
          <w:sz w:val="23"/>
          <w:szCs w:val="23"/>
        </w:rPr>
        <w:t xml:space="preserve"> would consider the CRC report along with any supplementary information that jurisdictions choose to provide to demonstrate their achievement against the attainment target.</w:t>
      </w:r>
      <w:r w:rsidRPr="00C83862">
        <w:rPr>
          <w:rFonts w:asciiTheme="majorHAnsi" w:hAnsiTheme="majorHAnsi"/>
          <w:sz w:val="23"/>
          <w:szCs w:val="23"/>
        </w:rPr>
        <w:br w:type="page"/>
      </w:r>
    </w:p>
    <w:p w:rsidR="00CC47AD" w:rsidRDefault="00127FEC" w:rsidP="00CC47AD">
      <w:pPr>
        <w:pStyle w:val="Heading1"/>
      </w:pPr>
      <w:bookmarkStart w:id="9" w:name="_Toc384044185"/>
      <w:r w:rsidRPr="002C3F70">
        <w:lastRenderedPageBreak/>
        <w:t>PART B</w:t>
      </w:r>
      <w:bookmarkEnd w:id="9"/>
    </w:p>
    <w:p w:rsidR="000C7DAD" w:rsidRPr="00CE1A86" w:rsidRDefault="002C3F70" w:rsidP="00CC47AD">
      <w:pPr>
        <w:pStyle w:val="Heading1"/>
        <w:rPr>
          <w:noProof/>
        </w:rPr>
      </w:pPr>
      <w:bookmarkStart w:id="10" w:name="_Toc384044186"/>
      <w:r>
        <w:rPr>
          <w:noProof/>
        </w:rPr>
        <w:t xml:space="preserve">1. </w:t>
      </w:r>
      <w:r w:rsidR="00365DC0">
        <w:rPr>
          <w:noProof/>
        </w:rPr>
        <w:t>Current Landscape</w:t>
      </w:r>
      <w:r w:rsidR="000C7DAD" w:rsidRPr="00CE1A86">
        <w:rPr>
          <w:noProof/>
        </w:rPr>
        <w:t xml:space="preserve"> (J</w:t>
      </w:r>
      <w:r w:rsidR="00365DC0">
        <w:rPr>
          <w:noProof/>
        </w:rPr>
        <w:t>urisdictional</w:t>
      </w:r>
      <w:r w:rsidR="000C7DAD" w:rsidRPr="00CE1A86">
        <w:rPr>
          <w:noProof/>
        </w:rPr>
        <w:t xml:space="preserve"> C</w:t>
      </w:r>
      <w:r w:rsidR="00365DC0">
        <w:rPr>
          <w:noProof/>
        </w:rPr>
        <w:t>ontext</w:t>
      </w:r>
      <w:r w:rsidR="000C7DAD" w:rsidRPr="00CE1A86">
        <w:rPr>
          <w:noProof/>
        </w:rPr>
        <w:t>)</w:t>
      </w:r>
      <w:bookmarkEnd w:id="10"/>
    </w:p>
    <w:p w:rsidR="00C3168A" w:rsidRPr="00017102" w:rsidRDefault="00C3168A" w:rsidP="00937D1E">
      <w:pPr>
        <w:spacing w:line="240" w:lineRule="auto"/>
      </w:pPr>
      <w:r w:rsidRPr="00017102">
        <w:t>Outlined below is an update on the Western Australian context, including economic context, as well as some of the State Government’s more recent strategic initiatives and reforms that contribute to supporting increased participation, attainment and successful transitions for all young people.</w:t>
      </w:r>
    </w:p>
    <w:p w:rsidR="00C3168A" w:rsidRPr="00017102" w:rsidRDefault="00C3168A" w:rsidP="00937D1E">
      <w:pPr>
        <w:spacing w:line="240" w:lineRule="auto"/>
      </w:pPr>
    </w:p>
    <w:p w:rsidR="00C3168A" w:rsidRPr="00017102" w:rsidRDefault="00C3168A" w:rsidP="00937D1E">
      <w:pPr>
        <w:spacing w:line="240" w:lineRule="auto"/>
      </w:pPr>
      <w:r w:rsidRPr="00017102">
        <w:t>Western Australia’s economy continues to perform well, recording strong real growth of 6.7% in 2011</w:t>
      </w:r>
      <w:r w:rsidRPr="00017102">
        <w:noBreakHyphen/>
        <w:t xml:space="preserve">12. This was the highest rate recorded by all states, and nearly double Australia’s economic growth rate of 3.4%. </w:t>
      </w:r>
    </w:p>
    <w:p w:rsidR="00C3168A" w:rsidRPr="00017102" w:rsidRDefault="00C3168A" w:rsidP="00937D1E">
      <w:pPr>
        <w:spacing w:line="240" w:lineRule="auto"/>
      </w:pPr>
    </w:p>
    <w:p w:rsidR="00C3168A" w:rsidRPr="00017102" w:rsidRDefault="00C3168A" w:rsidP="00937D1E">
      <w:pPr>
        <w:spacing w:line="240" w:lineRule="auto"/>
      </w:pPr>
      <w:r w:rsidRPr="00017102">
        <w:t xml:space="preserve">Overall, the State’s labour market remains </w:t>
      </w:r>
      <w:r w:rsidR="00CA3B53" w:rsidRPr="00017102">
        <w:t>relatively</w:t>
      </w:r>
      <w:r w:rsidRPr="00017102">
        <w:t xml:space="preserve"> healthy, with employment growing by 18,500 (seasonally adjusted) or 1.4% for the full year to March 2013, compared to 1.0% growth for the whole of Australia. Western Australia’s labour force participation rate fell from 69.1% in March 2012, to 68.6% in March 2013. Despite this fall, the Western Australian participation rate continues its historical trend of being higher than the national figure which was 65.2%. The State’s unemployment rate was 4.8% in March 2013, lower than the national result of 5.6%, but 0.8% points higher than what was recorded for Western Australia a year prior. </w:t>
      </w:r>
    </w:p>
    <w:p w:rsidR="00C3168A" w:rsidRPr="00017102" w:rsidRDefault="00C3168A" w:rsidP="00937D1E">
      <w:pPr>
        <w:spacing w:line="240" w:lineRule="auto"/>
      </w:pPr>
    </w:p>
    <w:p w:rsidR="00C3168A" w:rsidRPr="00017102" w:rsidRDefault="00C3168A" w:rsidP="00937D1E">
      <w:pPr>
        <w:spacing w:line="240" w:lineRule="auto"/>
      </w:pPr>
      <w:r w:rsidRPr="00017102">
        <w:t xml:space="preserve">In broad terms, outcomes in respect to youth engagement in Western Australia’s labour market were similar to the State’s overall labour market. The State’s </w:t>
      </w:r>
      <w:r w:rsidRPr="00017102">
        <w:rPr>
          <w:bCs/>
        </w:rPr>
        <w:t xml:space="preserve">youth </w:t>
      </w:r>
      <w:r w:rsidRPr="00017102">
        <w:t>unemployment rate</w:t>
      </w:r>
      <w:r w:rsidRPr="00017102">
        <w:rPr>
          <w:vertAlign w:val="superscript"/>
        </w:rPr>
        <w:footnoteReference w:id="1"/>
      </w:r>
      <w:r w:rsidRPr="00017102">
        <w:t xml:space="preserve"> averaged 17.4% over the 12 months to March 2013, to remain the lowest of all states, and also well below the national rate of 24.3%. It was also slightly below the State’s average youth unemployment rate of 17.7% from a year prior. </w:t>
      </w:r>
    </w:p>
    <w:p w:rsidR="00C3168A" w:rsidRPr="00017102" w:rsidRDefault="00C3168A" w:rsidP="00937D1E">
      <w:pPr>
        <w:spacing w:line="240" w:lineRule="auto"/>
      </w:pPr>
    </w:p>
    <w:p w:rsidR="00C3168A" w:rsidRPr="00017102" w:rsidRDefault="00C3168A" w:rsidP="00937D1E">
      <w:pPr>
        <w:spacing w:line="240" w:lineRule="auto"/>
      </w:pPr>
      <w:r w:rsidRPr="00017102">
        <w:t>The State’s overall</w:t>
      </w:r>
      <w:r w:rsidRPr="00017102">
        <w:rPr>
          <w:b/>
        </w:rPr>
        <w:t xml:space="preserve"> </w:t>
      </w:r>
      <w:r w:rsidRPr="00017102">
        <w:t xml:space="preserve">youth labour force participation rate averaged 59.4% over the 12 months to March 2013 – higher than the national participation rate of 54.8%. The State’s labour force participation rate for those youth not attending full time education averaged 85.1% over the 12 months to March 2013, which was higher than the national average of 82.1%, and also higher than the State’s annual average rate for the year prior (of 83.5%). </w:t>
      </w:r>
    </w:p>
    <w:p w:rsidR="00C3168A" w:rsidRPr="00017102" w:rsidRDefault="00C3168A" w:rsidP="00937D1E">
      <w:pPr>
        <w:spacing w:line="240" w:lineRule="auto"/>
      </w:pPr>
    </w:p>
    <w:p w:rsidR="00C3168A" w:rsidRPr="00017102" w:rsidRDefault="00C3168A" w:rsidP="00937D1E">
      <w:pPr>
        <w:spacing w:line="240" w:lineRule="auto"/>
      </w:pPr>
      <w:r w:rsidRPr="00017102">
        <w:t xml:space="preserve">Given youth unemployment rates typically fluctuate in broadly similar patterns to overall unemployment rates (in response to prevailing economic conditions), it can be useful to look at youth unemployment rates as a proportion of overall unemployment rates over time to better appreciate conditions particular to youth in the labour market. </w:t>
      </w:r>
    </w:p>
    <w:p w:rsidR="00C3168A" w:rsidRPr="00017102" w:rsidRDefault="00C3168A" w:rsidP="00937D1E">
      <w:pPr>
        <w:spacing w:line="240" w:lineRule="auto"/>
      </w:pPr>
    </w:p>
    <w:p w:rsidR="008226E0" w:rsidRPr="00017102" w:rsidRDefault="008226E0" w:rsidP="00937D1E">
      <w:pPr>
        <w:spacing w:line="240" w:lineRule="auto"/>
      </w:pPr>
      <w:r w:rsidRPr="00017102">
        <w:t xml:space="preserve">Such data shows that for Western Australia (see solid red line in chart following), the State’s youth unemployment rate relative to the State’s overall unemployment </w:t>
      </w:r>
      <w:r w:rsidR="00196C9B" w:rsidRPr="00017102">
        <w:t xml:space="preserve">rate </w:t>
      </w:r>
      <w:r w:rsidR="00B12B3B" w:rsidRPr="00017102">
        <w:t xml:space="preserve">was an </w:t>
      </w:r>
      <w:r w:rsidRPr="00017102">
        <w:t>average</w:t>
      </w:r>
      <w:r w:rsidR="00236173" w:rsidRPr="00017102">
        <w:t xml:space="preserve"> four times higher for</w:t>
      </w:r>
      <w:r w:rsidRPr="00017102">
        <w:t xml:space="preserve"> the 12 months to March 2013. This was lower than the equivalent rates in most other states and nationally, though Western Australia has followed the trend of seeing a greater proportion of the unemployed represented by the youth cohort.</w:t>
      </w:r>
    </w:p>
    <w:p w:rsidR="008226E0" w:rsidRPr="00B7159E" w:rsidRDefault="008226E0" w:rsidP="00937D1E">
      <w:pPr>
        <w:pStyle w:val="Default"/>
      </w:pPr>
    </w:p>
    <w:p w:rsidR="00C3168A" w:rsidRDefault="008226E0" w:rsidP="00937D1E">
      <w:pPr>
        <w:pStyle w:val="Default"/>
      </w:pPr>
      <w:r>
        <w:rPr>
          <w:noProof/>
          <w:lang w:eastAsia="en-AU"/>
        </w:rPr>
        <w:lastRenderedPageBreak/>
        <w:drawing>
          <wp:inline distT="0" distB="0" distL="0" distR="0" wp14:anchorId="5405F40C" wp14:editId="03706387">
            <wp:extent cx="6381750" cy="3438525"/>
            <wp:effectExtent l="0" t="0" r="19050" b="9525"/>
            <wp:docPr id="6" name="Chart 6" descr="This is a graph comparing youth unemployment rates in Western Australia as a multiple of overall unemployment in Australia from 1979 to 2012. It shows an upward trend for Australia's youth unemployment from 2.9% in 1979 to 4.5% in 2012. Western Australia's rate has generally followed same trend starting at 2.6% in 1979 to 4.1% in 2012. " title="Graph of youth unemployment rat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7DAD" w:rsidRDefault="0092548B" w:rsidP="00937D1E">
      <w:pPr>
        <w:pStyle w:val="Default"/>
        <w:rPr>
          <w:rFonts w:ascii="Calibri" w:hAnsi="Calibri"/>
          <w:sz w:val="22"/>
          <w:szCs w:val="22"/>
        </w:rPr>
      </w:pPr>
      <w:r>
        <w:rPr>
          <w:rFonts w:ascii="Calibri" w:hAnsi="Calibri"/>
          <w:sz w:val="22"/>
          <w:szCs w:val="22"/>
        </w:rPr>
        <w:t>Figure 1: Youth unemployment rates (seeking full time work) as multiple of overall unemployment rates</w:t>
      </w:r>
    </w:p>
    <w:p w:rsidR="0018046E" w:rsidRPr="00651B71" w:rsidRDefault="0018046E" w:rsidP="00937D1E">
      <w:pPr>
        <w:pStyle w:val="Default"/>
        <w:rPr>
          <w:rFonts w:ascii="Calibri" w:hAnsi="Calibri"/>
          <w:sz w:val="22"/>
          <w:szCs w:val="22"/>
        </w:rPr>
      </w:pPr>
      <w:r>
        <w:rPr>
          <w:rFonts w:ascii="Calibri" w:hAnsi="Calibri"/>
          <w:sz w:val="22"/>
          <w:szCs w:val="22"/>
        </w:rPr>
        <w:t>Source: ABS Catalogue No. 6202.0</w:t>
      </w:r>
    </w:p>
    <w:p w:rsidR="00937B46" w:rsidRPr="00392BC5" w:rsidRDefault="00937B46" w:rsidP="00937D1E">
      <w:pPr>
        <w:pStyle w:val="Heading3"/>
        <w:spacing w:line="240" w:lineRule="auto"/>
      </w:pPr>
      <w:r w:rsidRPr="00392BC5">
        <w:t>1.1</w:t>
      </w:r>
      <w:r w:rsidRPr="00392BC5">
        <w:tab/>
      </w:r>
      <w:r w:rsidRPr="002C3F70">
        <w:rPr>
          <w:i w:val="0"/>
        </w:rPr>
        <w:t>Western Australia’s School Curriculum and Standards Authority Data</w:t>
      </w:r>
    </w:p>
    <w:p w:rsidR="000C7DAD" w:rsidRPr="00651B71" w:rsidRDefault="000C7DAD" w:rsidP="00937D1E">
      <w:pPr>
        <w:pStyle w:val="listparagraph0"/>
        <w:spacing w:line="240" w:lineRule="auto"/>
        <w:ind w:left="0"/>
        <w:rPr>
          <w:rFonts w:cs="Arial"/>
        </w:rPr>
      </w:pPr>
      <w:r w:rsidRPr="00651B71">
        <w:rPr>
          <w:rFonts w:cs="Arial"/>
        </w:rPr>
        <w:t>In 2012 the Western Australian School Curriculum and Standards Authority issued 23,757 statements of results to Year 12 students (23,352 in 2011). The number of Western Australian Certificates of Education (WACE) issued to Year 12 students in 2012 was 21,326 (21,109 in 2011).</w:t>
      </w:r>
    </w:p>
    <w:p w:rsidR="000C7DAD" w:rsidRPr="00651B71" w:rsidRDefault="000C7DAD" w:rsidP="00937D1E">
      <w:pPr>
        <w:pStyle w:val="Heading3"/>
        <w:spacing w:line="240" w:lineRule="auto"/>
      </w:pPr>
      <w:r w:rsidRPr="00651B71">
        <w:t>1.</w:t>
      </w:r>
      <w:r w:rsidR="00937B46">
        <w:t>2</w:t>
      </w:r>
      <w:r w:rsidRPr="00651B71">
        <w:tab/>
      </w:r>
      <w:r w:rsidR="00A01F65" w:rsidRPr="00A01F65">
        <w:t>Skilling WA</w:t>
      </w:r>
    </w:p>
    <w:p w:rsidR="000C7DAD" w:rsidRPr="00017102" w:rsidRDefault="00145EF1" w:rsidP="00937D1E">
      <w:pPr>
        <w:pStyle w:val="msolistparagraph0"/>
        <w:ind w:left="0"/>
        <w:rPr>
          <w:rFonts w:ascii="Calibri" w:hAnsi="Calibri"/>
        </w:rPr>
      </w:pPr>
      <w:r w:rsidRPr="00017102">
        <w:rPr>
          <w:rFonts w:ascii="Calibri" w:hAnsi="Calibri"/>
        </w:rPr>
        <w:t>S</w:t>
      </w:r>
      <w:r w:rsidR="000C7DAD" w:rsidRPr="00017102">
        <w:rPr>
          <w:rFonts w:ascii="Calibri" w:hAnsi="Calibri"/>
        </w:rPr>
        <w:t xml:space="preserve">ignificant progress has been made on the implementation of </w:t>
      </w:r>
      <w:r w:rsidR="000C7DAD" w:rsidRPr="00017102">
        <w:rPr>
          <w:rFonts w:ascii="Calibri" w:hAnsi="Calibri"/>
          <w:i/>
          <w:iCs/>
        </w:rPr>
        <w:t>Skilling WA – A workforce development plan for Western Australia (Skilling WA)</w:t>
      </w:r>
      <w:r w:rsidRPr="00017102">
        <w:rPr>
          <w:rFonts w:ascii="Calibri" w:hAnsi="Calibri"/>
          <w:i/>
          <w:iCs/>
        </w:rPr>
        <w:t xml:space="preserve"> </w:t>
      </w:r>
      <w:r w:rsidRPr="00017102">
        <w:rPr>
          <w:rFonts w:ascii="Calibri" w:hAnsi="Calibri"/>
          <w:iCs/>
        </w:rPr>
        <w:t>which was launched in 2010</w:t>
      </w:r>
      <w:r w:rsidR="000C7DAD" w:rsidRPr="00017102">
        <w:rPr>
          <w:rFonts w:ascii="Calibri" w:hAnsi="Calibri"/>
        </w:rPr>
        <w:t xml:space="preserve">.  A whole of government initiative, </w:t>
      </w:r>
      <w:r w:rsidR="0054174A" w:rsidRPr="00017102">
        <w:rPr>
          <w:rFonts w:ascii="Calibri" w:hAnsi="Calibri"/>
          <w:i/>
        </w:rPr>
        <w:t>Skilling </w:t>
      </w:r>
      <w:r w:rsidR="000C7DAD" w:rsidRPr="00017102">
        <w:rPr>
          <w:rFonts w:ascii="Calibri" w:hAnsi="Calibri"/>
          <w:i/>
        </w:rPr>
        <w:t>WA</w:t>
      </w:r>
      <w:r w:rsidR="000C7DAD" w:rsidRPr="00017102">
        <w:rPr>
          <w:rFonts w:ascii="Calibri" w:hAnsi="Calibri"/>
        </w:rPr>
        <w:t xml:space="preserve"> supports activities to attract, develop and retain a workforce with the appropriate skills to service the economic and community needs of the State.</w:t>
      </w:r>
    </w:p>
    <w:p w:rsidR="000C7DAD" w:rsidRPr="00017102" w:rsidRDefault="000C7DAD" w:rsidP="00937D1E">
      <w:pPr>
        <w:pStyle w:val="msolistparagraph0"/>
        <w:ind w:left="0"/>
        <w:rPr>
          <w:rFonts w:ascii="Calibri" w:hAnsi="Calibri"/>
          <w:i/>
          <w:iCs/>
        </w:rPr>
      </w:pPr>
    </w:p>
    <w:p w:rsidR="000C7DAD" w:rsidRPr="00017102" w:rsidRDefault="000C7DAD" w:rsidP="00937D1E">
      <w:pPr>
        <w:spacing w:line="240" w:lineRule="auto"/>
        <w:rPr>
          <w:rFonts w:cs="Arial"/>
        </w:rPr>
      </w:pPr>
      <w:r w:rsidRPr="00017102">
        <w:rPr>
          <w:rFonts w:cs="Arial"/>
        </w:rPr>
        <w:t xml:space="preserve">Strategic Goal 1 of </w:t>
      </w:r>
      <w:r w:rsidR="00A01F65" w:rsidRPr="00017102">
        <w:rPr>
          <w:rFonts w:cs="Arial"/>
          <w:i/>
        </w:rPr>
        <w:t>Skilling WA</w:t>
      </w:r>
      <w:r w:rsidRPr="00017102">
        <w:rPr>
          <w:rFonts w:cs="Arial"/>
        </w:rPr>
        <w:t xml:space="preserve"> aims to increase participation in the workforce particularly among the under-employed and disengaged Aboriginal and Torres Strait Islander</w:t>
      </w:r>
      <w:r w:rsidR="00A01F65" w:rsidRPr="00017102">
        <w:rPr>
          <w:rFonts w:cs="Arial"/>
        </w:rPr>
        <w:t xml:space="preserve"> people </w:t>
      </w:r>
      <w:r w:rsidRPr="00017102">
        <w:rPr>
          <w:rFonts w:cs="Arial"/>
        </w:rPr>
        <w:t>and other under-represented groups.  Young people, particularly those at risk, are an important focus of this strategy along with priority actions aimed at supporting the mentoring of Western Australian youth to assist their transition into training, higher education and employment.</w:t>
      </w:r>
    </w:p>
    <w:p w:rsidR="000C7DAD" w:rsidRPr="00017102" w:rsidRDefault="000C7DAD" w:rsidP="00937D1E">
      <w:pPr>
        <w:pStyle w:val="msolistparagraph0"/>
        <w:ind w:left="0"/>
        <w:rPr>
          <w:rFonts w:ascii="Calibri" w:hAnsi="Calibri"/>
        </w:rPr>
      </w:pPr>
    </w:p>
    <w:p w:rsidR="007579BC" w:rsidRPr="00017102" w:rsidRDefault="00A01F65" w:rsidP="00937D1E">
      <w:pPr>
        <w:pStyle w:val="msolistparagraph0"/>
        <w:ind w:left="0"/>
        <w:rPr>
          <w:rFonts w:ascii="Calibri" w:hAnsi="Calibri"/>
        </w:rPr>
      </w:pPr>
      <w:r w:rsidRPr="00017102">
        <w:rPr>
          <w:rFonts w:ascii="Calibri" w:hAnsi="Calibri"/>
          <w:color w:val="000000"/>
        </w:rPr>
        <w:t xml:space="preserve">The Department of Training and Workforce Development has </w:t>
      </w:r>
      <w:r w:rsidR="007579BC" w:rsidRPr="00017102">
        <w:rPr>
          <w:rFonts w:ascii="Calibri" w:hAnsi="Calibri"/>
          <w:color w:val="000000"/>
        </w:rPr>
        <w:t xml:space="preserve">a role in </w:t>
      </w:r>
      <w:r w:rsidR="007579BC" w:rsidRPr="00017102">
        <w:rPr>
          <w:rFonts w:ascii="Calibri" w:hAnsi="Calibri"/>
        </w:rPr>
        <w:t xml:space="preserve">both implementing its own </w:t>
      </w:r>
      <w:r w:rsidRPr="00017102">
        <w:rPr>
          <w:rFonts w:ascii="Calibri" w:hAnsi="Calibri"/>
          <w:i/>
        </w:rPr>
        <w:t>Skilling WA</w:t>
      </w:r>
      <w:r w:rsidR="007579BC" w:rsidRPr="00017102">
        <w:rPr>
          <w:rFonts w:ascii="Calibri" w:hAnsi="Calibri"/>
        </w:rPr>
        <w:t xml:space="preserve"> priority actions and monitoring the implementation of priority actions of other agencies</w:t>
      </w:r>
      <w:r w:rsidRPr="00017102">
        <w:rPr>
          <w:rFonts w:ascii="Calibri" w:hAnsi="Calibri"/>
        </w:rPr>
        <w:t xml:space="preserve">. The </w:t>
      </w:r>
      <w:r w:rsidR="007579BC" w:rsidRPr="00017102">
        <w:rPr>
          <w:rFonts w:ascii="Calibri" w:hAnsi="Calibri"/>
          <w:color w:val="000000"/>
        </w:rPr>
        <w:t xml:space="preserve">Department is supporting the </w:t>
      </w:r>
      <w:proofErr w:type="spellStart"/>
      <w:r w:rsidR="007579BC" w:rsidRPr="00017102">
        <w:rPr>
          <w:rFonts w:ascii="Calibri" w:hAnsi="Calibri"/>
          <w:color w:val="000000"/>
        </w:rPr>
        <w:t>NPYAT</w:t>
      </w:r>
      <w:proofErr w:type="spellEnd"/>
      <w:r w:rsidR="007579BC" w:rsidRPr="00017102">
        <w:rPr>
          <w:rFonts w:ascii="Calibri" w:hAnsi="Calibri"/>
          <w:color w:val="000000"/>
        </w:rPr>
        <w:t xml:space="preserve"> in Western Australia in the capacity of contract manager for the program with responsibility for auditing and reporting.</w:t>
      </w:r>
    </w:p>
    <w:p w:rsidR="007579BC" w:rsidRDefault="007579BC" w:rsidP="00937D1E">
      <w:pPr>
        <w:pStyle w:val="Heading3"/>
        <w:spacing w:line="240" w:lineRule="auto"/>
      </w:pPr>
      <w:r>
        <w:t>1.</w:t>
      </w:r>
      <w:r w:rsidR="00937B46">
        <w:t>3</w:t>
      </w:r>
      <w:r>
        <w:tab/>
      </w:r>
      <w:r w:rsidRPr="00937B46">
        <w:t>Training Together – Working Together</w:t>
      </w:r>
    </w:p>
    <w:p w:rsidR="000C7DAD" w:rsidRPr="00651B71" w:rsidRDefault="007579BC" w:rsidP="00937D1E">
      <w:pPr>
        <w:spacing w:line="240" w:lineRule="auto"/>
        <w:rPr>
          <w:rFonts w:cs="Arial"/>
        </w:rPr>
      </w:pPr>
      <w:r>
        <w:rPr>
          <w:rFonts w:cs="Arial"/>
        </w:rPr>
        <w:t xml:space="preserve">In March 2010 the Minister for Training and Workforce Development launched </w:t>
      </w:r>
      <w:r>
        <w:rPr>
          <w:rFonts w:cs="Arial"/>
          <w:i/>
        </w:rPr>
        <w:t xml:space="preserve">Training together – working together: An Aboriginal workforce development strategy. </w:t>
      </w:r>
      <w:r>
        <w:rPr>
          <w:rFonts w:cs="Arial"/>
        </w:rPr>
        <w:t>This strategy is designed to facilitate the removal of barriers to participation and improve employment and training outcomes of Aboriginal people in Western Australia</w:t>
      </w:r>
      <w:r w:rsidR="000C7DAD" w:rsidRPr="00651B71">
        <w:rPr>
          <w:rFonts w:cs="Arial"/>
        </w:rPr>
        <w:t xml:space="preserve">. </w:t>
      </w:r>
    </w:p>
    <w:p w:rsidR="00E67B55" w:rsidRDefault="00E67B55" w:rsidP="00937D1E">
      <w:pPr>
        <w:spacing w:line="240" w:lineRule="auto"/>
        <w:rPr>
          <w:rFonts w:cs="Arial"/>
        </w:rPr>
      </w:pPr>
      <w:r>
        <w:rPr>
          <w:rFonts w:cs="Arial"/>
        </w:rPr>
        <w:br w:type="page"/>
      </w:r>
    </w:p>
    <w:p w:rsidR="000C7DAD" w:rsidRPr="00651B71" w:rsidRDefault="000C7DAD" w:rsidP="00937D1E">
      <w:pPr>
        <w:pStyle w:val="ListParagraph"/>
        <w:spacing w:line="240" w:lineRule="auto"/>
        <w:ind w:left="0"/>
        <w:rPr>
          <w:rFonts w:cs="Arial"/>
        </w:rPr>
      </w:pPr>
      <w:r w:rsidRPr="00651B71">
        <w:rPr>
          <w:rFonts w:cs="Arial"/>
        </w:rPr>
        <w:lastRenderedPageBreak/>
        <w:t>Strategies include:</w:t>
      </w:r>
    </w:p>
    <w:p w:rsidR="000C7DAD" w:rsidRPr="00651B71" w:rsidRDefault="000C7DAD" w:rsidP="00937D1E">
      <w:pPr>
        <w:pStyle w:val="ListParagraph"/>
        <w:numPr>
          <w:ilvl w:val="0"/>
          <w:numId w:val="5"/>
        </w:numPr>
        <w:spacing w:line="240" w:lineRule="auto"/>
        <w:ind w:left="357" w:hanging="357"/>
        <w:rPr>
          <w:rFonts w:cs="Arial"/>
        </w:rPr>
      </w:pPr>
      <w:r w:rsidRPr="00651B71">
        <w:rPr>
          <w:rFonts w:cs="Arial"/>
        </w:rPr>
        <w:t>creation of the Aboriginal Workforce Development Centre (</w:t>
      </w:r>
      <w:proofErr w:type="spellStart"/>
      <w:r w:rsidRPr="00651B71">
        <w:rPr>
          <w:rFonts w:cs="Arial"/>
        </w:rPr>
        <w:t>AWDC</w:t>
      </w:r>
      <w:proofErr w:type="spellEnd"/>
      <w:r w:rsidRPr="00651B71">
        <w:rPr>
          <w:rFonts w:cs="Arial"/>
        </w:rPr>
        <w:t>) which is the central coordinating point to support Aboriginal people transitioning into employment and assist employers to meet their workforce needs;</w:t>
      </w:r>
    </w:p>
    <w:p w:rsidR="000C7DAD" w:rsidRPr="00651B71" w:rsidRDefault="00F17560" w:rsidP="00937D1E">
      <w:pPr>
        <w:pStyle w:val="ListParagraph"/>
        <w:numPr>
          <w:ilvl w:val="0"/>
          <w:numId w:val="5"/>
        </w:numPr>
        <w:spacing w:line="240" w:lineRule="auto"/>
        <w:ind w:left="357" w:hanging="357"/>
        <w:rPr>
          <w:rFonts w:cs="Arial"/>
        </w:rPr>
      </w:pPr>
      <w:r>
        <w:rPr>
          <w:rFonts w:cs="Arial"/>
        </w:rPr>
        <w:t xml:space="preserve">creation of four </w:t>
      </w:r>
      <w:proofErr w:type="spellStart"/>
      <w:r>
        <w:rPr>
          <w:rFonts w:cs="Arial"/>
        </w:rPr>
        <w:t>AWDCs</w:t>
      </w:r>
      <w:proofErr w:type="spellEnd"/>
      <w:r w:rsidR="000C7DAD" w:rsidRPr="00651B71">
        <w:rPr>
          <w:rFonts w:cs="Arial"/>
        </w:rPr>
        <w:t xml:space="preserve"> in selected regional areas of Western Australia to engage and link Aboriginal people and local employers;</w:t>
      </w:r>
    </w:p>
    <w:p w:rsidR="000C7DAD" w:rsidRPr="00651B71" w:rsidRDefault="000C7DAD" w:rsidP="00937D1E">
      <w:pPr>
        <w:pStyle w:val="ListParagraph"/>
        <w:numPr>
          <w:ilvl w:val="0"/>
          <w:numId w:val="5"/>
        </w:numPr>
        <w:spacing w:line="240" w:lineRule="auto"/>
        <w:rPr>
          <w:rFonts w:cs="Arial"/>
        </w:rPr>
      </w:pPr>
      <w:r w:rsidRPr="00651B71">
        <w:rPr>
          <w:rFonts w:cs="Arial"/>
        </w:rPr>
        <w:t>develop</w:t>
      </w:r>
      <w:r w:rsidR="00A01F65">
        <w:rPr>
          <w:rFonts w:cs="Arial"/>
        </w:rPr>
        <w:t>ment</w:t>
      </w:r>
      <w:r w:rsidRPr="00651B71">
        <w:rPr>
          <w:rFonts w:cs="Arial"/>
        </w:rPr>
        <w:t xml:space="preserve"> and implement</w:t>
      </w:r>
      <w:r w:rsidR="00A01F65">
        <w:rPr>
          <w:rFonts w:cs="Arial"/>
        </w:rPr>
        <w:t>ation of</w:t>
      </w:r>
      <w:r w:rsidRPr="00651B71">
        <w:rPr>
          <w:rFonts w:cs="Arial"/>
        </w:rPr>
        <w:t xml:space="preserve"> mentoring strategies to develop and support Aboriginal people to gain employment;</w:t>
      </w:r>
    </w:p>
    <w:p w:rsidR="000C7DAD" w:rsidRPr="00651B71" w:rsidRDefault="000C7DAD" w:rsidP="00937D1E">
      <w:pPr>
        <w:pStyle w:val="ListParagraph"/>
        <w:numPr>
          <w:ilvl w:val="0"/>
          <w:numId w:val="5"/>
        </w:numPr>
        <w:spacing w:line="240" w:lineRule="auto"/>
        <w:rPr>
          <w:rFonts w:cs="Arial"/>
        </w:rPr>
      </w:pPr>
      <w:r w:rsidRPr="00651B71">
        <w:rPr>
          <w:rFonts w:cs="Arial"/>
        </w:rPr>
        <w:t>develop</w:t>
      </w:r>
      <w:r w:rsidR="00A01F65">
        <w:rPr>
          <w:rFonts w:cs="Arial"/>
        </w:rPr>
        <w:t>ment of</w:t>
      </w:r>
      <w:r w:rsidRPr="00651B71">
        <w:rPr>
          <w:rFonts w:cs="Arial"/>
        </w:rPr>
        <w:t xml:space="preserve"> an Aboriginal Workforce Development website that will provide easy access to existing mentor services and resources; and</w:t>
      </w:r>
    </w:p>
    <w:p w:rsidR="000C7DAD" w:rsidRPr="00651B71" w:rsidRDefault="000C7DAD" w:rsidP="00937D1E">
      <w:pPr>
        <w:pStyle w:val="ListParagraph"/>
        <w:numPr>
          <w:ilvl w:val="0"/>
          <w:numId w:val="5"/>
        </w:numPr>
        <w:spacing w:line="240" w:lineRule="auto"/>
        <w:rPr>
          <w:rFonts w:cs="Arial"/>
        </w:rPr>
      </w:pPr>
      <w:proofErr w:type="gramStart"/>
      <w:r w:rsidRPr="00651B71">
        <w:rPr>
          <w:rFonts w:cs="Arial"/>
        </w:rPr>
        <w:t>identif</w:t>
      </w:r>
      <w:r w:rsidR="00A01F65">
        <w:rPr>
          <w:rFonts w:cs="Arial"/>
        </w:rPr>
        <w:t>ication</w:t>
      </w:r>
      <w:proofErr w:type="gramEnd"/>
      <w:r w:rsidR="00A01F65">
        <w:rPr>
          <w:rFonts w:cs="Arial"/>
        </w:rPr>
        <w:t xml:space="preserve"> of</w:t>
      </w:r>
      <w:r w:rsidRPr="00651B71">
        <w:rPr>
          <w:rFonts w:cs="Arial"/>
        </w:rPr>
        <w:t xml:space="preserve"> a range of Aboriginal role models who will be encouraged to inspire Aboriginal people with the stories of their careers and </w:t>
      </w:r>
      <w:r w:rsidR="00196C9B">
        <w:rPr>
          <w:rFonts w:cs="Arial"/>
        </w:rPr>
        <w:t>promote positive images</w:t>
      </w:r>
      <w:r w:rsidRPr="00651B71">
        <w:rPr>
          <w:rFonts w:cs="Arial"/>
        </w:rPr>
        <w:t xml:space="preserve"> of Aboriginal people as employees.</w:t>
      </w:r>
    </w:p>
    <w:p w:rsidR="000C7DAD" w:rsidRPr="00651B71" w:rsidRDefault="000C7DAD" w:rsidP="00937D1E">
      <w:pPr>
        <w:pStyle w:val="Heading3"/>
        <w:spacing w:line="240" w:lineRule="auto"/>
      </w:pPr>
      <w:r w:rsidRPr="00651B71">
        <w:t>1.</w:t>
      </w:r>
      <w:r w:rsidR="00937B46">
        <w:t>4</w:t>
      </w:r>
      <w:r w:rsidRPr="00651B71">
        <w:tab/>
      </w:r>
      <w:r w:rsidRPr="002C3F70">
        <w:t>Training Western Australia</w:t>
      </w:r>
    </w:p>
    <w:p w:rsidR="004205B6" w:rsidRPr="00017102" w:rsidRDefault="004205B6" w:rsidP="00937D1E">
      <w:pPr>
        <w:spacing w:line="240" w:lineRule="auto"/>
        <w:rPr>
          <w:rFonts w:eastAsia="Times New Roman" w:cs="Arial"/>
          <w:lang w:eastAsia="en-AU"/>
        </w:rPr>
      </w:pPr>
      <w:r w:rsidRPr="00017102">
        <w:rPr>
          <w:rFonts w:eastAsia="Times New Roman" w:cs="Arial"/>
          <w:lang w:eastAsia="en-AU"/>
        </w:rPr>
        <w:t xml:space="preserve">In 2009, the State Government and the State Training Board released </w:t>
      </w:r>
      <w:r w:rsidRPr="00017102">
        <w:rPr>
          <w:rFonts w:eastAsia="Times New Roman" w:cs="Arial"/>
          <w:i/>
          <w:lang w:eastAsia="en-AU"/>
        </w:rPr>
        <w:t>Training WA:  Planning for the future 2009 – 2018</w:t>
      </w:r>
      <w:r w:rsidR="00F17560" w:rsidRPr="00017102">
        <w:rPr>
          <w:rFonts w:eastAsia="Times New Roman" w:cs="Arial"/>
          <w:i/>
          <w:lang w:eastAsia="en-AU"/>
        </w:rPr>
        <w:t xml:space="preserve"> (Training WA)</w:t>
      </w:r>
      <w:r w:rsidRPr="00017102">
        <w:rPr>
          <w:rFonts w:eastAsia="Times New Roman" w:cs="Arial"/>
          <w:lang w:eastAsia="en-AU"/>
        </w:rPr>
        <w:t xml:space="preserve">. This strategy recognised the need for continued investment in training and a flexible and innovative training system to position Western Australia for future employment demands. </w:t>
      </w:r>
      <w:r w:rsidRPr="00017102">
        <w:rPr>
          <w:rFonts w:eastAsia="Times New Roman" w:cs="Arial"/>
          <w:i/>
          <w:lang w:eastAsia="en-AU"/>
        </w:rPr>
        <w:t>Training WA</w:t>
      </w:r>
      <w:r w:rsidRPr="00017102">
        <w:rPr>
          <w:rFonts w:eastAsia="Times New Roman" w:cs="Arial"/>
          <w:lang w:eastAsia="en-AU"/>
        </w:rPr>
        <w:t xml:space="preserve"> provided a blueprint to transform training in Western Australia to maximise economic growth. </w:t>
      </w:r>
      <w:r w:rsidRPr="00017102">
        <w:rPr>
          <w:rFonts w:eastAsia="Times New Roman" w:cs="Arial"/>
          <w:i/>
          <w:lang w:eastAsia="en-AU"/>
        </w:rPr>
        <w:t>Training WA</w:t>
      </w:r>
      <w:r w:rsidR="00F17560" w:rsidRPr="00017102">
        <w:rPr>
          <w:rFonts w:eastAsia="Times New Roman" w:cs="Arial"/>
          <w:lang w:eastAsia="en-AU"/>
        </w:rPr>
        <w:t xml:space="preserve"> focus</w:t>
      </w:r>
      <w:r w:rsidRPr="00017102">
        <w:rPr>
          <w:rFonts w:eastAsia="Times New Roman" w:cs="Arial"/>
          <w:lang w:eastAsia="en-AU"/>
        </w:rPr>
        <w:t>ed on developing:</w:t>
      </w:r>
    </w:p>
    <w:p w:rsidR="004205B6" w:rsidRPr="00017102" w:rsidRDefault="004205B6" w:rsidP="00BA3E66">
      <w:pPr>
        <w:numPr>
          <w:ilvl w:val="0"/>
          <w:numId w:val="29"/>
        </w:numPr>
        <w:spacing w:line="240" w:lineRule="auto"/>
        <w:ind w:left="357" w:hanging="357"/>
        <w:contextualSpacing/>
        <w:jc w:val="both"/>
        <w:rPr>
          <w:rFonts w:cs="Arial"/>
          <w:lang w:eastAsia="en-AU"/>
        </w:rPr>
      </w:pPr>
      <w:r w:rsidRPr="00017102">
        <w:rPr>
          <w:rFonts w:cs="Arial"/>
          <w:lang w:eastAsia="en-AU"/>
        </w:rPr>
        <w:t>a skilled workforce;</w:t>
      </w:r>
    </w:p>
    <w:p w:rsidR="004205B6" w:rsidRPr="00017102" w:rsidRDefault="004205B6" w:rsidP="00BA3E66">
      <w:pPr>
        <w:numPr>
          <w:ilvl w:val="0"/>
          <w:numId w:val="29"/>
        </w:numPr>
        <w:spacing w:line="240" w:lineRule="auto"/>
        <w:contextualSpacing/>
        <w:jc w:val="both"/>
        <w:rPr>
          <w:rFonts w:cs="Arial"/>
          <w:lang w:eastAsia="en-AU"/>
        </w:rPr>
      </w:pPr>
      <w:r w:rsidRPr="00017102">
        <w:rPr>
          <w:rFonts w:cs="Arial"/>
          <w:lang w:eastAsia="en-AU"/>
        </w:rPr>
        <w:t>a contemporary apprenticeship and traineeship system;</w:t>
      </w:r>
    </w:p>
    <w:p w:rsidR="004205B6" w:rsidRPr="00017102" w:rsidRDefault="004205B6" w:rsidP="00BA3E66">
      <w:pPr>
        <w:numPr>
          <w:ilvl w:val="0"/>
          <w:numId w:val="29"/>
        </w:numPr>
        <w:spacing w:line="240" w:lineRule="auto"/>
        <w:contextualSpacing/>
        <w:jc w:val="both"/>
        <w:rPr>
          <w:rFonts w:cs="Arial"/>
          <w:lang w:eastAsia="en-AU"/>
        </w:rPr>
      </w:pPr>
      <w:r w:rsidRPr="00017102">
        <w:rPr>
          <w:rFonts w:cs="Arial"/>
          <w:lang w:eastAsia="en-AU"/>
        </w:rPr>
        <w:t>individual participation in training;</w:t>
      </w:r>
    </w:p>
    <w:p w:rsidR="004205B6" w:rsidRPr="00017102" w:rsidRDefault="004205B6" w:rsidP="00BA3E66">
      <w:pPr>
        <w:numPr>
          <w:ilvl w:val="0"/>
          <w:numId w:val="29"/>
        </w:numPr>
        <w:spacing w:line="240" w:lineRule="auto"/>
        <w:contextualSpacing/>
        <w:jc w:val="both"/>
        <w:rPr>
          <w:rFonts w:cs="Arial"/>
          <w:lang w:eastAsia="en-AU"/>
        </w:rPr>
      </w:pPr>
      <w:r w:rsidRPr="00017102">
        <w:rPr>
          <w:rFonts w:cs="Arial"/>
          <w:lang w:eastAsia="en-AU"/>
        </w:rPr>
        <w:t>support for regional communities;</w:t>
      </w:r>
    </w:p>
    <w:p w:rsidR="004205B6" w:rsidRPr="00017102" w:rsidRDefault="004205B6" w:rsidP="00BA3E66">
      <w:pPr>
        <w:numPr>
          <w:ilvl w:val="0"/>
          <w:numId w:val="29"/>
        </w:numPr>
        <w:spacing w:line="240" w:lineRule="auto"/>
        <w:contextualSpacing/>
        <w:jc w:val="both"/>
        <w:rPr>
          <w:rFonts w:cs="Arial"/>
          <w:lang w:eastAsia="en-AU"/>
        </w:rPr>
      </w:pPr>
      <w:r w:rsidRPr="00017102">
        <w:rPr>
          <w:rFonts w:cs="Arial"/>
          <w:lang w:eastAsia="en-AU"/>
        </w:rPr>
        <w:t>a vibrant and diverse training market; and</w:t>
      </w:r>
    </w:p>
    <w:p w:rsidR="004205B6" w:rsidRPr="00017102" w:rsidRDefault="004205B6" w:rsidP="00BA3E66">
      <w:pPr>
        <w:numPr>
          <w:ilvl w:val="0"/>
          <w:numId w:val="29"/>
        </w:numPr>
        <w:spacing w:line="240" w:lineRule="auto"/>
        <w:contextualSpacing/>
        <w:jc w:val="both"/>
        <w:rPr>
          <w:rFonts w:cs="Arial"/>
          <w:lang w:eastAsia="en-AU"/>
        </w:rPr>
      </w:pPr>
      <w:proofErr w:type="gramStart"/>
      <w:r w:rsidRPr="00017102">
        <w:rPr>
          <w:rFonts w:cs="Arial"/>
          <w:lang w:eastAsia="en-AU"/>
        </w:rPr>
        <w:t>training</w:t>
      </w:r>
      <w:proofErr w:type="gramEnd"/>
      <w:r w:rsidRPr="00017102">
        <w:rPr>
          <w:rFonts w:cs="Arial"/>
          <w:lang w:eastAsia="en-AU"/>
        </w:rPr>
        <w:t xml:space="preserve"> system capability and capacity.</w:t>
      </w:r>
    </w:p>
    <w:p w:rsidR="000C7DAD" w:rsidRPr="00017102" w:rsidRDefault="000C7DAD" w:rsidP="00937D1E">
      <w:pPr>
        <w:pStyle w:val="ListParagraph"/>
        <w:spacing w:line="240" w:lineRule="auto"/>
        <w:ind w:left="0"/>
        <w:rPr>
          <w:rFonts w:cs="Arial"/>
        </w:rPr>
      </w:pPr>
    </w:p>
    <w:p w:rsidR="000C7DAD" w:rsidRPr="00017102" w:rsidRDefault="004205B6" w:rsidP="00937D1E">
      <w:pPr>
        <w:spacing w:line="240" w:lineRule="auto"/>
        <w:jc w:val="both"/>
        <w:rPr>
          <w:rFonts w:eastAsia="Times New Roman" w:cs="Arial"/>
          <w:lang w:eastAsia="en-AU"/>
        </w:rPr>
      </w:pPr>
      <w:r w:rsidRPr="00017102">
        <w:rPr>
          <w:rFonts w:eastAsia="Times New Roman" w:cs="Arial"/>
          <w:i/>
          <w:lang w:eastAsia="en-AU"/>
        </w:rPr>
        <w:t>Training WA</w:t>
      </w:r>
      <w:r w:rsidRPr="00017102">
        <w:rPr>
          <w:rFonts w:eastAsia="Times New Roman" w:cs="Arial"/>
          <w:lang w:eastAsia="en-AU"/>
        </w:rPr>
        <w:t xml:space="preserve"> set a series of targets to be achieved by 2012. Many of these targets were achieved with: </w:t>
      </w:r>
    </w:p>
    <w:p w:rsidR="000C7DAD" w:rsidRPr="00017102" w:rsidRDefault="004205B6" w:rsidP="00937D1E">
      <w:pPr>
        <w:numPr>
          <w:ilvl w:val="0"/>
          <w:numId w:val="6"/>
        </w:numPr>
        <w:autoSpaceDE w:val="0"/>
        <w:autoSpaceDN w:val="0"/>
        <w:adjustRightInd w:val="0"/>
        <w:spacing w:line="240" w:lineRule="auto"/>
        <w:rPr>
          <w:rFonts w:cs="Arial"/>
          <w:color w:val="000000"/>
        </w:rPr>
      </w:pPr>
      <w:r w:rsidRPr="00017102">
        <w:rPr>
          <w:rFonts w:cs="Arial"/>
          <w:color w:val="000000"/>
        </w:rPr>
        <w:t xml:space="preserve">increased </w:t>
      </w:r>
      <w:r w:rsidR="000C7DAD" w:rsidRPr="00017102">
        <w:rPr>
          <w:rFonts w:cs="Arial"/>
          <w:color w:val="000000"/>
        </w:rPr>
        <w:t>participation in training, with a 17% increase in the number of working aged Western Australians undertaking training between 2008 and 2012;</w:t>
      </w:r>
    </w:p>
    <w:p w:rsidR="000C7DAD" w:rsidRPr="00017102" w:rsidRDefault="004205B6" w:rsidP="00937D1E">
      <w:pPr>
        <w:numPr>
          <w:ilvl w:val="0"/>
          <w:numId w:val="6"/>
        </w:numPr>
        <w:autoSpaceDE w:val="0"/>
        <w:autoSpaceDN w:val="0"/>
        <w:adjustRightInd w:val="0"/>
        <w:spacing w:line="240" w:lineRule="auto"/>
        <w:rPr>
          <w:rFonts w:cs="Arial"/>
          <w:color w:val="000000"/>
        </w:rPr>
      </w:pPr>
      <w:r w:rsidRPr="00017102">
        <w:rPr>
          <w:rFonts w:cs="Arial"/>
          <w:color w:val="000000"/>
        </w:rPr>
        <w:t xml:space="preserve">an increased </w:t>
      </w:r>
      <w:r w:rsidR="000C7DAD" w:rsidRPr="00017102">
        <w:rPr>
          <w:rFonts w:cs="Arial"/>
          <w:color w:val="000000"/>
        </w:rPr>
        <w:t>training participation rate of the working-age population in W</w:t>
      </w:r>
      <w:r w:rsidR="00F17560" w:rsidRPr="00017102">
        <w:rPr>
          <w:rFonts w:cs="Arial"/>
          <w:color w:val="000000"/>
        </w:rPr>
        <w:t>estern Australia</w:t>
      </w:r>
      <w:r w:rsidR="000C7DAD" w:rsidRPr="00017102">
        <w:rPr>
          <w:rFonts w:cs="Arial"/>
          <w:color w:val="000000"/>
        </w:rPr>
        <w:t xml:space="preserve"> </w:t>
      </w:r>
      <w:r w:rsidRPr="00017102">
        <w:rPr>
          <w:rFonts w:cs="Arial"/>
          <w:color w:val="000000"/>
        </w:rPr>
        <w:t>f</w:t>
      </w:r>
      <w:r w:rsidR="000C7DAD" w:rsidRPr="00017102">
        <w:rPr>
          <w:rFonts w:cs="Arial"/>
          <w:color w:val="000000"/>
        </w:rPr>
        <w:t xml:space="preserve">rom 8.6% in 2008 to 9.0% in 2012; </w:t>
      </w:r>
    </w:p>
    <w:p w:rsidR="000C7DAD" w:rsidRPr="00017102" w:rsidRDefault="000C7DAD" w:rsidP="00937D1E">
      <w:pPr>
        <w:numPr>
          <w:ilvl w:val="0"/>
          <w:numId w:val="6"/>
        </w:numPr>
        <w:autoSpaceDE w:val="0"/>
        <w:autoSpaceDN w:val="0"/>
        <w:adjustRightInd w:val="0"/>
        <w:spacing w:line="240" w:lineRule="auto"/>
        <w:rPr>
          <w:rFonts w:cs="Arial"/>
          <w:color w:val="000000"/>
        </w:rPr>
      </w:pPr>
      <w:r w:rsidRPr="00017102">
        <w:rPr>
          <w:rFonts w:cs="Arial"/>
          <w:color w:val="000000"/>
        </w:rPr>
        <w:t>a 37% increase in high level training enrolments at Certificate IV and above between 2008 and 2012; and</w:t>
      </w:r>
    </w:p>
    <w:p w:rsidR="000C7DAD" w:rsidRPr="00017102" w:rsidRDefault="000C7DAD" w:rsidP="00937D1E">
      <w:pPr>
        <w:numPr>
          <w:ilvl w:val="0"/>
          <w:numId w:val="6"/>
        </w:numPr>
        <w:autoSpaceDE w:val="0"/>
        <w:autoSpaceDN w:val="0"/>
        <w:adjustRightInd w:val="0"/>
        <w:spacing w:line="240" w:lineRule="auto"/>
        <w:rPr>
          <w:rFonts w:cs="Arial"/>
          <w:color w:val="000000"/>
        </w:rPr>
      </w:pPr>
      <w:proofErr w:type="gramStart"/>
      <w:r w:rsidRPr="00017102">
        <w:rPr>
          <w:rFonts w:cs="Arial"/>
          <w:color w:val="000000"/>
        </w:rPr>
        <w:t>a</w:t>
      </w:r>
      <w:proofErr w:type="gramEnd"/>
      <w:r w:rsidRPr="00017102">
        <w:rPr>
          <w:rFonts w:cs="Arial"/>
          <w:color w:val="000000"/>
        </w:rPr>
        <w:t xml:space="preserve"> 34% increase in Aboriginal employment related training enrolments over this same period.</w:t>
      </w:r>
    </w:p>
    <w:p w:rsidR="00FC1AE2" w:rsidRPr="00651B71" w:rsidRDefault="00FC1AE2" w:rsidP="00937D1E">
      <w:pPr>
        <w:pStyle w:val="Heading3"/>
        <w:spacing w:line="240" w:lineRule="auto"/>
      </w:pPr>
      <w:r>
        <w:rPr>
          <w:noProof/>
        </w:rPr>
        <w:t>1.5</w:t>
      </w:r>
      <w:r>
        <w:rPr>
          <w:noProof/>
        </w:rPr>
        <w:tab/>
      </w:r>
      <w:r w:rsidRPr="00651B71">
        <w:t>Education and Training Entitlement</w:t>
      </w:r>
    </w:p>
    <w:p w:rsidR="00FC1AE2" w:rsidRPr="00651B71" w:rsidRDefault="00FC1AE2" w:rsidP="00937D1E">
      <w:pPr>
        <w:numPr>
          <w:ilvl w:val="0"/>
          <w:numId w:val="18"/>
        </w:numPr>
        <w:spacing w:line="240" w:lineRule="auto"/>
        <w:rPr>
          <w:rFonts w:cs="Arial"/>
        </w:rPr>
      </w:pPr>
      <w:r w:rsidRPr="00CA3B53">
        <w:rPr>
          <w:rFonts w:cs="Arial"/>
        </w:rPr>
        <w:t>A</w:t>
      </w:r>
      <w:r w:rsidR="00CA3B53">
        <w:rPr>
          <w:rFonts w:cs="Arial"/>
        </w:rPr>
        <w:t>n</w:t>
      </w:r>
      <w:r w:rsidRPr="00651B71">
        <w:rPr>
          <w:rFonts w:cs="Arial"/>
        </w:rPr>
        <w:t xml:space="preserve"> entitlement </w:t>
      </w:r>
      <w:r w:rsidR="00CA3B53">
        <w:rPr>
          <w:rFonts w:cs="Arial"/>
        </w:rPr>
        <w:t xml:space="preserve">to publicly funded training </w:t>
      </w:r>
      <w:r w:rsidRPr="00651B71">
        <w:rPr>
          <w:rFonts w:cs="Arial"/>
        </w:rPr>
        <w:t xml:space="preserve">will be introduced </w:t>
      </w:r>
      <w:r w:rsidR="00CA3B53">
        <w:rPr>
          <w:rFonts w:cs="Arial"/>
        </w:rPr>
        <w:t>in</w:t>
      </w:r>
      <w:r w:rsidRPr="00651B71">
        <w:rPr>
          <w:rFonts w:cs="Arial"/>
        </w:rPr>
        <w:t xml:space="preserve"> Western Australia in 2014 as agreed to by state and Commonwealth governments under the National Partnership Agreement on Skills Reform.</w:t>
      </w:r>
    </w:p>
    <w:p w:rsidR="00FC1AE2" w:rsidRPr="00651B71" w:rsidRDefault="00FC1AE2" w:rsidP="00937D1E">
      <w:pPr>
        <w:numPr>
          <w:ilvl w:val="0"/>
          <w:numId w:val="18"/>
        </w:numPr>
        <w:spacing w:line="240" w:lineRule="auto"/>
        <w:ind w:left="357" w:hanging="357"/>
        <w:rPr>
          <w:rFonts w:cs="Arial"/>
          <w:lang w:val="en-US"/>
        </w:rPr>
      </w:pPr>
      <w:r w:rsidRPr="00651B71">
        <w:rPr>
          <w:rFonts w:cs="Arial"/>
          <w:lang w:val="en-US"/>
        </w:rPr>
        <w:t xml:space="preserve">The entitlement will encourage students to undertake training in areas that support State priorities, and improve the quality of information available to students for making decisions about training providers and courses.  </w:t>
      </w:r>
    </w:p>
    <w:p w:rsidR="00017255" w:rsidRPr="00044674" w:rsidRDefault="00044674" w:rsidP="00017255">
      <w:pPr>
        <w:numPr>
          <w:ilvl w:val="0"/>
          <w:numId w:val="18"/>
        </w:numPr>
        <w:spacing w:after="240" w:line="240" w:lineRule="auto"/>
      </w:pPr>
      <w:r w:rsidRPr="00044674">
        <w:t>It is anticipated that Western Australia will continue to face significant labour market shortfalls.  The introduction of a training entitlement</w:t>
      </w:r>
      <w:r w:rsidRPr="00044674">
        <w:rPr>
          <w:lang w:eastAsia="en-AU"/>
        </w:rPr>
        <w:t xml:space="preserve"> will </w:t>
      </w:r>
      <w:r w:rsidRPr="00044674">
        <w:t xml:space="preserve">help alleviate </w:t>
      </w:r>
      <w:r w:rsidRPr="00044674">
        <w:rPr>
          <w:lang w:eastAsia="en-AU"/>
        </w:rPr>
        <w:t xml:space="preserve">shortfalls by facilitating greater </w:t>
      </w:r>
      <w:r w:rsidRPr="00044674">
        <w:t>participation in training,</w:t>
      </w:r>
      <w:r w:rsidRPr="00044674">
        <w:rPr>
          <w:lang w:eastAsia="en-AU"/>
        </w:rPr>
        <w:t xml:space="preserve"> especially in qualifications that are in </w:t>
      </w:r>
      <w:r w:rsidRPr="00044674">
        <w:t>high industry demand.</w:t>
      </w:r>
    </w:p>
    <w:p w:rsidR="00FC1AE2" w:rsidRPr="00651B71" w:rsidRDefault="00FC1AE2" w:rsidP="00937D1E">
      <w:pPr>
        <w:spacing w:line="240" w:lineRule="auto"/>
        <w:rPr>
          <w:rFonts w:cs="Arial"/>
        </w:rPr>
      </w:pPr>
      <w:r w:rsidRPr="00651B71">
        <w:rPr>
          <w:rFonts w:cs="Arial"/>
        </w:rPr>
        <w:t>In 2012, 15</w:t>
      </w:r>
      <w:r>
        <w:rPr>
          <w:rFonts w:cs="Arial"/>
        </w:rPr>
        <w:t xml:space="preserve"> to </w:t>
      </w:r>
      <w:r w:rsidRPr="00651B71">
        <w:rPr>
          <w:rFonts w:cs="Arial"/>
        </w:rPr>
        <w:t xml:space="preserve">19 year olds had 47,544 course enrolments with public training </w:t>
      </w:r>
      <w:proofErr w:type="gramStart"/>
      <w:r w:rsidRPr="00651B71">
        <w:rPr>
          <w:rFonts w:cs="Arial"/>
        </w:rPr>
        <w:t>providers,</w:t>
      </w:r>
      <w:proofErr w:type="gramEnd"/>
      <w:r w:rsidRPr="00651B71">
        <w:rPr>
          <w:rFonts w:cs="Arial"/>
        </w:rPr>
        <w:t xml:space="preserve"> and 26</w:t>
      </w:r>
      <w:r w:rsidR="00044674">
        <w:rPr>
          <w:rFonts w:cs="Arial"/>
        </w:rPr>
        <w:t>,2</w:t>
      </w:r>
      <w:r w:rsidRPr="00651B71">
        <w:rPr>
          <w:rFonts w:cs="Arial"/>
        </w:rPr>
        <w:t>31 for 20</w:t>
      </w:r>
      <w:r w:rsidR="00B86003">
        <w:rPr>
          <w:rFonts w:cs="Arial"/>
        </w:rPr>
        <w:t> </w:t>
      </w:r>
      <w:r>
        <w:rPr>
          <w:rFonts w:cs="Arial"/>
        </w:rPr>
        <w:t>to</w:t>
      </w:r>
      <w:r w:rsidR="00044674">
        <w:rPr>
          <w:rFonts w:cs="Arial"/>
        </w:rPr>
        <w:t> </w:t>
      </w:r>
      <w:r w:rsidRPr="00651B71">
        <w:rPr>
          <w:rFonts w:cs="Arial"/>
        </w:rPr>
        <w:t>24 year olds.</w:t>
      </w:r>
    </w:p>
    <w:p w:rsidR="000C7DAD" w:rsidRPr="00651B71" w:rsidRDefault="000C7DAD" w:rsidP="00937D1E">
      <w:pPr>
        <w:pStyle w:val="Heading2"/>
        <w:spacing w:line="240" w:lineRule="auto"/>
        <w:rPr>
          <w:noProof/>
        </w:rPr>
      </w:pPr>
      <w:bookmarkStart w:id="11" w:name="_Toc384044187"/>
      <w:r w:rsidRPr="00651B71">
        <w:rPr>
          <w:noProof/>
        </w:rPr>
        <w:lastRenderedPageBreak/>
        <w:t>2.</w:t>
      </w:r>
      <w:r w:rsidRPr="00651B71">
        <w:rPr>
          <w:noProof/>
        </w:rPr>
        <w:tab/>
      </w:r>
      <w:r w:rsidR="00365DC0">
        <w:rPr>
          <w:noProof/>
        </w:rPr>
        <w:t>Broad education reform direction a</w:t>
      </w:r>
      <w:r w:rsidR="00365DC0" w:rsidRPr="005C1688">
        <w:rPr>
          <w:noProof/>
        </w:rPr>
        <w:t>nd why</w:t>
      </w:r>
      <w:r w:rsidR="00365DC0" w:rsidRPr="00651B71">
        <w:rPr>
          <w:noProof/>
        </w:rPr>
        <w:t>?</w:t>
      </w:r>
      <w:bookmarkEnd w:id="11"/>
    </w:p>
    <w:p w:rsidR="000C7DAD" w:rsidRPr="001C52EF" w:rsidRDefault="000C7DAD" w:rsidP="00937D1E">
      <w:pPr>
        <w:pStyle w:val="Heading3"/>
        <w:spacing w:line="240" w:lineRule="auto"/>
        <w:rPr>
          <w:b w:val="0"/>
          <w:noProof/>
        </w:rPr>
      </w:pPr>
      <w:r w:rsidRPr="00651B71">
        <w:rPr>
          <w:noProof/>
        </w:rPr>
        <w:t>2.1</w:t>
      </w:r>
      <w:r w:rsidRPr="00651B71">
        <w:rPr>
          <w:noProof/>
        </w:rPr>
        <w:tab/>
        <w:t>Department of Education</w:t>
      </w:r>
    </w:p>
    <w:p w:rsidR="000C7DAD" w:rsidRPr="00651B71" w:rsidRDefault="000C7DAD" w:rsidP="00937D1E">
      <w:pPr>
        <w:spacing w:line="240" w:lineRule="auto"/>
        <w:rPr>
          <w:rFonts w:cs="Arial"/>
        </w:rPr>
      </w:pPr>
      <w:r w:rsidRPr="00651B71">
        <w:rPr>
          <w:rFonts w:cs="Arial"/>
        </w:rPr>
        <w:t>Through the Western Australian Department of Education, a number of key reforms and National Partnership arrangements are being implemented. These include the creation of a new Independent Public Schools model</w:t>
      </w:r>
      <w:r w:rsidR="00735308">
        <w:rPr>
          <w:rFonts w:cs="Arial"/>
        </w:rPr>
        <w:t xml:space="preserve"> providing </w:t>
      </w:r>
      <w:r w:rsidRPr="00651B71">
        <w:rPr>
          <w:rFonts w:cs="Arial"/>
        </w:rPr>
        <w:t xml:space="preserve"> schools greater autonomy, enhancing school leadership, reducing bureaucratic restrictions and locating support services within or as close to schools as possible. These changes focus on creating conditions for improved student outcomes. </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rPr>
      </w:pPr>
      <w:r w:rsidRPr="00651B71">
        <w:rPr>
          <w:rFonts w:cs="Arial"/>
        </w:rPr>
        <w:t xml:space="preserve">Priorities for the public school system are also outlined in the Department of Education’s </w:t>
      </w:r>
      <w:r w:rsidRPr="00651B71">
        <w:rPr>
          <w:rFonts w:cs="Arial"/>
          <w:i/>
        </w:rPr>
        <w:t xml:space="preserve">Focus 2012 - Directions for Schools </w:t>
      </w:r>
      <w:r w:rsidRPr="00651B71">
        <w:rPr>
          <w:rFonts w:cs="Arial"/>
        </w:rPr>
        <w:t xml:space="preserve">plan which continues to support and strengthen </w:t>
      </w:r>
      <w:r w:rsidRPr="00651B71">
        <w:rPr>
          <w:rFonts w:cs="Arial"/>
          <w:i/>
        </w:rPr>
        <w:t>Classroom First</w:t>
      </w:r>
      <w:r w:rsidRPr="00651B71">
        <w:rPr>
          <w:rFonts w:cs="Arial"/>
        </w:rPr>
        <w:t xml:space="preserve"> commitments through five key priorities: </w:t>
      </w:r>
    </w:p>
    <w:p w:rsidR="000C7DAD" w:rsidRPr="00651B71" w:rsidRDefault="000C7DAD" w:rsidP="00937D1E">
      <w:pPr>
        <w:numPr>
          <w:ilvl w:val="0"/>
          <w:numId w:val="7"/>
        </w:numPr>
        <w:spacing w:line="240" w:lineRule="auto"/>
        <w:rPr>
          <w:rFonts w:cs="Arial"/>
        </w:rPr>
      </w:pPr>
      <w:r w:rsidRPr="00651B71">
        <w:rPr>
          <w:rFonts w:cs="Arial"/>
        </w:rPr>
        <w:t>raising standards in literacy and numeracy;</w:t>
      </w:r>
    </w:p>
    <w:p w:rsidR="000C7DAD" w:rsidRPr="00651B71" w:rsidRDefault="000C7DAD" w:rsidP="00937D1E">
      <w:pPr>
        <w:numPr>
          <w:ilvl w:val="0"/>
          <w:numId w:val="7"/>
        </w:numPr>
        <w:spacing w:line="240" w:lineRule="auto"/>
        <w:rPr>
          <w:rFonts w:cs="Arial"/>
        </w:rPr>
      </w:pPr>
      <w:r w:rsidRPr="00651B71">
        <w:rPr>
          <w:rFonts w:cs="Arial"/>
        </w:rPr>
        <w:t>improving student behaviour, attendance and wellbeing;</w:t>
      </w:r>
    </w:p>
    <w:p w:rsidR="000C7DAD" w:rsidRPr="00651B71" w:rsidRDefault="000C7DAD" w:rsidP="00937D1E">
      <w:pPr>
        <w:numPr>
          <w:ilvl w:val="0"/>
          <w:numId w:val="7"/>
        </w:numPr>
        <w:spacing w:line="240" w:lineRule="auto"/>
        <w:rPr>
          <w:rFonts w:cs="Arial"/>
        </w:rPr>
      </w:pPr>
      <w:r w:rsidRPr="00651B71">
        <w:rPr>
          <w:rFonts w:cs="Arial"/>
        </w:rPr>
        <w:t>supporting teachers and school leaders;</w:t>
      </w:r>
    </w:p>
    <w:p w:rsidR="000C7DAD" w:rsidRPr="00651B71" w:rsidRDefault="000C7DAD" w:rsidP="00937D1E">
      <w:pPr>
        <w:numPr>
          <w:ilvl w:val="0"/>
          <w:numId w:val="7"/>
        </w:numPr>
        <w:spacing w:line="240" w:lineRule="auto"/>
        <w:rPr>
          <w:rFonts w:cs="Arial"/>
        </w:rPr>
      </w:pPr>
      <w:r w:rsidRPr="00651B71">
        <w:rPr>
          <w:rFonts w:cs="Arial"/>
        </w:rPr>
        <w:t>strengthening early childhood education; and</w:t>
      </w:r>
    </w:p>
    <w:p w:rsidR="000C7DAD" w:rsidRPr="00651B71" w:rsidRDefault="000C7DAD" w:rsidP="00937D1E">
      <w:pPr>
        <w:numPr>
          <w:ilvl w:val="0"/>
          <w:numId w:val="7"/>
        </w:numPr>
        <w:spacing w:line="240" w:lineRule="auto"/>
        <w:rPr>
          <w:rFonts w:cs="Arial"/>
        </w:rPr>
      </w:pPr>
      <w:proofErr w:type="gramStart"/>
      <w:r w:rsidRPr="00651B71">
        <w:rPr>
          <w:rFonts w:cs="Arial"/>
        </w:rPr>
        <w:t>enabling</w:t>
      </w:r>
      <w:proofErr w:type="gramEnd"/>
      <w:r w:rsidRPr="00651B71">
        <w:rPr>
          <w:rFonts w:cs="Arial"/>
        </w:rPr>
        <w:t xml:space="preserve"> greater school autonomy, flexibility and innovation.</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rPr>
      </w:pPr>
      <w:r w:rsidRPr="00651B71">
        <w:rPr>
          <w:rFonts w:cs="Arial"/>
        </w:rPr>
        <w:t xml:space="preserve">In addition, the Department of Education launched its </w:t>
      </w:r>
      <w:r w:rsidRPr="00651B71">
        <w:rPr>
          <w:rFonts w:cs="Arial"/>
          <w:i/>
        </w:rPr>
        <w:t xml:space="preserve">Aboriginal Education Plan for Western Australian Public Schools 2011-14. </w:t>
      </w:r>
      <w:r w:rsidRPr="00651B71">
        <w:rPr>
          <w:rFonts w:cs="Arial"/>
        </w:rPr>
        <w:t>This plan is in line with the national</w:t>
      </w:r>
      <w:r w:rsidRPr="00651B71">
        <w:rPr>
          <w:rFonts w:cs="Arial"/>
          <w:i/>
        </w:rPr>
        <w:t xml:space="preserve"> Aboriginal and Islander Education Action Plan 2010-14, </w:t>
      </w:r>
      <w:r w:rsidRPr="00651B71">
        <w:rPr>
          <w:rFonts w:cs="Arial"/>
        </w:rPr>
        <w:t xml:space="preserve">which has been prepared for </w:t>
      </w:r>
      <w:proofErr w:type="spellStart"/>
      <w:r w:rsidRPr="00651B71">
        <w:rPr>
          <w:rFonts w:cs="Arial"/>
        </w:rPr>
        <w:t>COAG</w:t>
      </w:r>
      <w:proofErr w:type="spellEnd"/>
      <w:r w:rsidRPr="00651B71">
        <w:rPr>
          <w:rFonts w:cs="Arial"/>
        </w:rPr>
        <w:t>. The focus of Wester</w:t>
      </w:r>
      <w:r w:rsidR="00B86003">
        <w:rPr>
          <w:rFonts w:cs="Arial"/>
        </w:rPr>
        <w:t xml:space="preserve">n Australia’s plan is on school </w:t>
      </w:r>
      <w:r w:rsidRPr="00651B71">
        <w:rPr>
          <w:rFonts w:cs="Arial"/>
        </w:rPr>
        <w:t>led responses to meet the needs of Aboriginal students in six key areas:</w:t>
      </w:r>
    </w:p>
    <w:p w:rsidR="000C7DAD" w:rsidRPr="00651B71" w:rsidRDefault="000C7DAD" w:rsidP="00937D1E">
      <w:pPr>
        <w:numPr>
          <w:ilvl w:val="0"/>
          <w:numId w:val="8"/>
        </w:numPr>
        <w:spacing w:line="240" w:lineRule="auto"/>
        <w:rPr>
          <w:rFonts w:cs="Arial"/>
        </w:rPr>
      </w:pPr>
      <w:r w:rsidRPr="00651B71">
        <w:rPr>
          <w:rFonts w:cs="Arial"/>
        </w:rPr>
        <w:t>readiness for school;</w:t>
      </w:r>
    </w:p>
    <w:p w:rsidR="000C7DAD" w:rsidRPr="00651B71" w:rsidRDefault="000C7DAD" w:rsidP="00937D1E">
      <w:pPr>
        <w:numPr>
          <w:ilvl w:val="0"/>
          <w:numId w:val="8"/>
        </w:numPr>
        <w:spacing w:line="240" w:lineRule="auto"/>
        <w:rPr>
          <w:rFonts w:cs="Arial"/>
        </w:rPr>
      </w:pPr>
      <w:r w:rsidRPr="00651B71">
        <w:rPr>
          <w:rFonts w:cs="Arial"/>
        </w:rPr>
        <w:t>attendance;</w:t>
      </w:r>
    </w:p>
    <w:p w:rsidR="000C7DAD" w:rsidRPr="00651B71" w:rsidRDefault="000C7DAD" w:rsidP="00937D1E">
      <w:pPr>
        <w:numPr>
          <w:ilvl w:val="0"/>
          <w:numId w:val="8"/>
        </w:numPr>
        <w:spacing w:line="240" w:lineRule="auto"/>
        <w:rPr>
          <w:rFonts w:cs="Arial"/>
        </w:rPr>
      </w:pPr>
      <w:r w:rsidRPr="00651B71">
        <w:rPr>
          <w:rFonts w:cs="Arial"/>
        </w:rPr>
        <w:t>literacy and numeracy;</w:t>
      </w:r>
    </w:p>
    <w:p w:rsidR="000C7DAD" w:rsidRPr="00651B71" w:rsidRDefault="000C7DAD" w:rsidP="00937D1E">
      <w:pPr>
        <w:numPr>
          <w:ilvl w:val="0"/>
          <w:numId w:val="8"/>
        </w:numPr>
        <w:spacing w:line="240" w:lineRule="auto"/>
        <w:rPr>
          <w:rFonts w:cs="Arial"/>
        </w:rPr>
      </w:pPr>
      <w:r w:rsidRPr="00651B71">
        <w:rPr>
          <w:rFonts w:cs="Arial"/>
        </w:rPr>
        <w:t>pathways to real post school options;</w:t>
      </w:r>
    </w:p>
    <w:p w:rsidR="000C7DAD" w:rsidRPr="00651B71" w:rsidRDefault="000C7DAD" w:rsidP="00937D1E">
      <w:pPr>
        <w:numPr>
          <w:ilvl w:val="0"/>
          <w:numId w:val="8"/>
        </w:numPr>
        <w:spacing w:line="240" w:lineRule="auto"/>
        <w:rPr>
          <w:rFonts w:cs="Arial"/>
        </w:rPr>
      </w:pPr>
      <w:r w:rsidRPr="00651B71">
        <w:rPr>
          <w:rFonts w:cs="Arial"/>
        </w:rPr>
        <w:t xml:space="preserve">engagement and connections with families and communities; and </w:t>
      </w:r>
    </w:p>
    <w:p w:rsidR="000C7DAD" w:rsidRPr="00651B71" w:rsidRDefault="000C7DAD" w:rsidP="00937D1E">
      <w:pPr>
        <w:numPr>
          <w:ilvl w:val="0"/>
          <w:numId w:val="8"/>
        </w:numPr>
        <w:spacing w:line="240" w:lineRule="auto"/>
        <w:rPr>
          <w:rFonts w:cs="Arial"/>
        </w:rPr>
      </w:pPr>
      <w:proofErr w:type="gramStart"/>
      <w:r w:rsidRPr="00651B71">
        <w:rPr>
          <w:rFonts w:cs="Arial"/>
        </w:rPr>
        <w:t>leadership</w:t>
      </w:r>
      <w:proofErr w:type="gramEnd"/>
      <w:r w:rsidRPr="00651B71">
        <w:rPr>
          <w:rFonts w:cs="Arial"/>
        </w:rPr>
        <w:t>, quality teaching and workforce development.</w:t>
      </w:r>
    </w:p>
    <w:p w:rsidR="000C7DAD" w:rsidRPr="00651B71" w:rsidRDefault="000C7DAD" w:rsidP="00937D1E">
      <w:pPr>
        <w:pStyle w:val="Heading3"/>
        <w:spacing w:line="240" w:lineRule="auto"/>
        <w:rPr>
          <w:noProof/>
        </w:rPr>
      </w:pPr>
      <w:r w:rsidRPr="00651B71">
        <w:rPr>
          <w:noProof/>
        </w:rPr>
        <w:t>2.2</w:t>
      </w:r>
      <w:r w:rsidRPr="00651B71">
        <w:rPr>
          <w:noProof/>
        </w:rPr>
        <w:tab/>
        <w:t>Catholic Education Office of Western Australia</w:t>
      </w:r>
    </w:p>
    <w:p w:rsidR="00977BCA" w:rsidRPr="004205B6" w:rsidRDefault="00977BCA" w:rsidP="00937D1E">
      <w:pPr>
        <w:spacing w:line="240" w:lineRule="auto"/>
        <w:rPr>
          <w:rFonts w:cs="Arial"/>
          <w:color w:val="000000"/>
        </w:rPr>
      </w:pPr>
      <w:r w:rsidRPr="004205B6">
        <w:rPr>
          <w:rFonts w:cs="Arial"/>
          <w:color w:val="000000"/>
        </w:rPr>
        <w:t>The Catholic Education Office of Western Australia (</w:t>
      </w:r>
      <w:proofErr w:type="spellStart"/>
      <w:r w:rsidRPr="004205B6">
        <w:rPr>
          <w:rFonts w:cs="Arial"/>
          <w:color w:val="000000"/>
        </w:rPr>
        <w:t>CEOWA</w:t>
      </w:r>
      <w:proofErr w:type="spellEnd"/>
      <w:r w:rsidRPr="004205B6">
        <w:rPr>
          <w:rFonts w:cs="Arial"/>
          <w:color w:val="000000"/>
        </w:rPr>
        <w:t xml:space="preserve">) has continued to work collaboratively with </w:t>
      </w:r>
      <w:r>
        <w:rPr>
          <w:rFonts w:cs="Arial"/>
          <w:color w:val="000000"/>
        </w:rPr>
        <w:t xml:space="preserve">the </w:t>
      </w:r>
      <w:r w:rsidRPr="004205B6">
        <w:rPr>
          <w:rFonts w:cs="Arial"/>
          <w:noProof/>
        </w:rPr>
        <w:t>Association of Independent Schools of Western Australia</w:t>
      </w:r>
      <w:r w:rsidRPr="004205B6">
        <w:rPr>
          <w:rFonts w:cs="Arial"/>
          <w:color w:val="000000"/>
        </w:rPr>
        <w:t xml:space="preserve"> (</w:t>
      </w:r>
      <w:proofErr w:type="spellStart"/>
      <w:r w:rsidRPr="004205B6">
        <w:rPr>
          <w:rFonts w:cs="Arial"/>
          <w:color w:val="000000"/>
        </w:rPr>
        <w:t>AISWA</w:t>
      </w:r>
      <w:proofErr w:type="spellEnd"/>
      <w:r w:rsidRPr="004205B6">
        <w:rPr>
          <w:rFonts w:cs="Arial"/>
          <w:color w:val="000000"/>
        </w:rPr>
        <w:t xml:space="preserve">) and the Department of Education in supporting the </w:t>
      </w:r>
      <w:proofErr w:type="spellStart"/>
      <w:r w:rsidRPr="004205B6">
        <w:rPr>
          <w:rFonts w:cs="Arial"/>
          <w:color w:val="000000"/>
        </w:rPr>
        <w:t>NPYAT</w:t>
      </w:r>
      <w:proofErr w:type="spellEnd"/>
      <w:r w:rsidRPr="004205B6">
        <w:rPr>
          <w:rFonts w:cs="Arial"/>
          <w:color w:val="000000"/>
        </w:rPr>
        <w:t xml:space="preserve">. The </w:t>
      </w:r>
      <w:proofErr w:type="spellStart"/>
      <w:r w:rsidRPr="004205B6">
        <w:rPr>
          <w:rFonts w:cs="Arial"/>
          <w:color w:val="000000"/>
        </w:rPr>
        <w:t>CEOWA</w:t>
      </w:r>
      <w:proofErr w:type="spellEnd"/>
      <w:r w:rsidRPr="004205B6">
        <w:rPr>
          <w:rFonts w:cs="Arial"/>
          <w:color w:val="000000"/>
        </w:rPr>
        <w:t xml:space="preserve"> highlighted a number of reform focused strategic themes in its </w:t>
      </w:r>
      <w:r w:rsidRPr="004205B6">
        <w:rPr>
          <w:rFonts w:cs="Arial"/>
          <w:i/>
          <w:color w:val="000000"/>
        </w:rPr>
        <w:t xml:space="preserve">Strategic Plan </w:t>
      </w:r>
      <w:r>
        <w:rPr>
          <w:rFonts w:cs="Arial"/>
          <w:i/>
          <w:color w:val="000000"/>
        </w:rPr>
        <w:t>2013 - 2016</w:t>
      </w:r>
      <w:r w:rsidRPr="004205B6">
        <w:rPr>
          <w:rFonts w:cs="Arial"/>
          <w:color w:val="000000"/>
        </w:rPr>
        <w:t>. These themes include:</w:t>
      </w:r>
    </w:p>
    <w:p w:rsidR="00977BCA" w:rsidRDefault="00977BCA" w:rsidP="00937D1E">
      <w:pPr>
        <w:pStyle w:val="ListParagraph"/>
        <w:numPr>
          <w:ilvl w:val="0"/>
          <w:numId w:val="16"/>
        </w:numPr>
        <w:spacing w:line="240" w:lineRule="auto"/>
        <w:rPr>
          <w:rFonts w:cs="Arial"/>
          <w:color w:val="000000"/>
        </w:rPr>
      </w:pPr>
      <w:r>
        <w:rPr>
          <w:rFonts w:cs="Arial"/>
          <w:color w:val="000000"/>
        </w:rPr>
        <w:t>developing initiat</w:t>
      </w:r>
      <w:r w:rsidR="00196C9B">
        <w:rPr>
          <w:rFonts w:cs="Arial"/>
          <w:color w:val="000000"/>
        </w:rPr>
        <w:t>iv</w:t>
      </w:r>
      <w:r>
        <w:rPr>
          <w:rFonts w:cs="Arial"/>
          <w:color w:val="000000"/>
        </w:rPr>
        <w:t>es in curriculum and pedagogy that reflect inclusiveness and subsidiarity;</w:t>
      </w:r>
    </w:p>
    <w:p w:rsidR="00977BCA" w:rsidRDefault="00B86003" w:rsidP="00937D1E">
      <w:pPr>
        <w:pStyle w:val="ListParagraph"/>
        <w:numPr>
          <w:ilvl w:val="0"/>
          <w:numId w:val="16"/>
        </w:numPr>
        <w:spacing w:line="240" w:lineRule="auto"/>
        <w:rPr>
          <w:rFonts w:cs="Arial"/>
          <w:color w:val="000000"/>
        </w:rPr>
      </w:pPr>
      <w:r>
        <w:rPr>
          <w:rFonts w:cs="Arial"/>
          <w:color w:val="000000"/>
        </w:rPr>
        <w:t xml:space="preserve">A whole </w:t>
      </w:r>
      <w:r w:rsidR="00977BCA">
        <w:rPr>
          <w:rFonts w:cs="Arial"/>
          <w:color w:val="000000"/>
        </w:rPr>
        <w:t>system focus for enhancing literacy and numeracy learning;</w:t>
      </w:r>
    </w:p>
    <w:p w:rsidR="00977BCA" w:rsidRPr="00192902" w:rsidRDefault="00977BCA" w:rsidP="00937D1E">
      <w:pPr>
        <w:pStyle w:val="ListParagraph"/>
        <w:numPr>
          <w:ilvl w:val="0"/>
          <w:numId w:val="16"/>
        </w:numPr>
        <w:spacing w:line="240" w:lineRule="auto"/>
        <w:rPr>
          <w:rFonts w:cs="Arial"/>
        </w:rPr>
      </w:pPr>
      <w:r w:rsidRPr="00192902">
        <w:rPr>
          <w:rFonts w:cs="Arial"/>
          <w:color w:val="000000"/>
        </w:rPr>
        <w:t>Developing initiatives to improve learning and life outcomes for Aboriginal students, families and communities.</w:t>
      </w:r>
    </w:p>
    <w:p w:rsidR="00977BCA" w:rsidRPr="0092548B" w:rsidRDefault="00977BCA" w:rsidP="00937D1E">
      <w:pPr>
        <w:pStyle w:val="ListParagraph"/>
        <w:numPr>
          <w:ilvl w:val="0"/>
          <w:numId w:val="16"/>
        </w:numPr>
        <w:spacing w:line="240" w:lineRule="auto"/>
        <w:rPr>
          <w:rFonts w:cs="Arial"/>
        </w:rPr>
      </w:pPr>
      <w:r w:rsidRPr="0092548B">
        <w:rPr>
          <w:rFonts w:cs="Arial"/>
        </w:rPr>
        <w:t>defining, promoting and evaluating curriculum in Catholic schools;</w:t>
      </w:r>
    </w:p>
    <w:p w:rsidR="00977BCA" w:rsidRPr="0092548B" w:rsidRDefault="00B86003" w:rsidP="00937D1E">
      <w:pPr>
        <w:pStyle w:val="ListParagraph"/>
        <w:numPr>
          <w:ilvl w:val="0"/>
          <w:numId w:val="16"/>
        </w:numPr>
        <w:spacing w:line="240" w:lineRule="auto"/>
        <w:rPr>
          <w:rFonts w:cs="Arial"/>
        </w:rPr>
      </w:pPr>
      <w:r>
        <w:rPr>
          <w:rFonts w:cs="Arial"/>
        </w:rPr>
        <w:t xml:space="preserve">developing a system </w:t>
      </w:r>
      <w:r w:rsidR="00977BCA" w:rsidRPr="0092548B">
        <w:rPr>
          <w:rFonts w:cs="Arial"/>
        </w:rPr>
        <w:t>wide focus on whole school development; and</w:t>
      </w:r>
    </w:p>
    <w:p w:rsidR="00977BCA" w:rsidRPr="00192902" w:rsidRDefault="00977BCA" w:rsidP="00937D1E">
      <w:pPr>
        <w:pStyle w:val="ListParagraph"/>
        <w:numPr>
          <w:ilvl w:val="0"/>
          <w:numId w:val="16"/>
        </w:numPr>
        <w:spacing w:line="240" w:lineRule="auto"/>
        <w:rPr>
          <w:rFonts w:cs="Arial"/>
          <w:color w:val="000000"/>
        </w:rPr>
      </w:pPr>
      <w:proofErr w:type="gramStart"/>
      <w:r w:rsidRPr="0092548B">
        <w:rPr>
          <w:rFonts w:cs="Arial"/>
        </w:rPr>
        <w:t>responding</w:t>
      </w:r>
      <w:proofErr w:type="gramEnd"/>
      <w:r w:rsidRPr="0092548B">
        <w:rPr>
          <w:rFonts w:cs="Arial"/>
        </w:rPr>
        <w:t xml:space="preserve"> to State and Australian government </w:t>
      </w:r>
      <w:r w:rsidRPr="004205B6">
        <w:rPr>
          <w:rFonts w:cs="Arial"/>
          <w:color w:val="000000"/>
        </w:rPr>
        <w:t>initiatives in education.</w:t>
      </w:r>
    </w:p>
    <w:p w:rsidR="00977BCA" w:rsidRPr="004205B6" w:rsidRDefault="00977BCA" w:rsidP="00937D1E">
      <w:pPr>
        <w:pStyle w:val="ListParagraph"/>
        <w:spacing w:line="240" w:lineRule="auto"/>
        <w:ind w:left="360"/>
        <w:rPr>
          <w:rFonts w:cs="Arial"/>
          <w:color w:val="000000"/>
        </w:rPr>
      </w:pPr>
    </w:p>
    <w:p w:rsidR="00977BCA" w:rsidRDefault="00977BCA" w:rsidP="00937D1E">
      <w:pPr>
        <w:spacing w:line="240" w:lineRule="auto"/>
        <w:rPr>
          <w:rFonts w:cs="Arial"/>
          <w:color w:val="000000"/>
        </w:rPr>
      </w:pPr>
      <w:r w:rsidRPr="00651B71">
        <w:rPr>
          <w:rFonts w:cs="Arial"/>
          <w:color w:val="000000"/>
        </w:rPr>
        <w:t xml:space="preserve">The </w:t>
      </w:r>
      <w:proofErr w:type="spellStart"/>
      <w:r w:rsidRPr="00651B71">
        <w:rPr>
          <w:rFonts w:cs="Arial"/>
          <w:color w:val="000000"/>
        </w:rPr>
        <w:t>CEOWA</w:t>
      </w:r>
      <w:proofErr w:type="spellEnd"/>
      <w:r w:rsidRPr="00651B71">
        <w:rPr>
          <w:rFonts w:cs="Arial"/>
          <w:color w:val="000000"/>
        </w:rPr>
        <w:t xml:space="preserve"> also proactively supports improved learning outcomes for Aboriginal students through its </w:t>
      </w:r>
      <w:r w:rsidRPr="00651B71">
        <w:rPr>
          <w:rFonts w:cs="Arial"/>
          <w:i/>
          <w:color w:val="000000"/>
        </w:rPr>
        <w:t>Aboriginal Education Policy</w:t>
      </w:r>
      <w:r w:rsidRPr="00651B71">
        <w:rPr>
          <w:rFonts w:cs="Arial"/>
          <w:color w:val="000000"/>
        </w:rPr>
        <w:t>.</w:t>
      </w:r>
      <w:r>
        <w:rPr>
          <w:rFonts w:cs="Arial"/>
          <w:color w:val="000000"/>
        </w:rPr>
        <w:t xml:space="preserve">  Some of those policy initiat</w:t>
      </w:r>
      <w:r w:rsidR="00196C9B">
        <w:rPr>
          <w:rFonts w:cs="Arial"/>
          <w:color w:val="000000"/>
        </w:rPr>
        <w:t>iv</w:t>
      </w:r>
      <w:r>
        <w:rPr>
          <w:rFonts w:cs="Arial"/>
          <w:color w:val="000000"/>
        </w:rPr>
        <w:t>es are listed below:</w:t>
      </w:r>
    </w:p>
    <w:p w:rsidR="00977BCA" w:rsidRDefault="00977BCA" w:rsidP="00017102">
      <w:pPr>
        <w:pStyle w:val="ListParagraph"/>
        <w:numPr>
          <w:ilvl w:val="0"/>
          <w:numId w:val="31"/>
        </w:numPr>
        <w:spacing w:line="240" w:lineRule="auto"/>
        <w:ind w:left="284" w:hanging="284"/>
        <w:rPr>
          <w:rFonts w:cs="Arial"/>
          <w:color w:val="000000"/>
        </w:rPr>
      </w:pPr>
      <w:r>
        <w:rPr>
          <w:rFonts w:cs="Arial"/>
          <w:color w:val="000000"/>
        </w:rPr>
        <w:t>Catholic education is committed to increasing knowledge and understanding of the histories, cultures and experience of Aboriginal people as the first peoples of Australia.</w:t>
      </w:r>
    </w:p>
    <w:p w:rsidR="00977BCA" w:rsidRDefault="00977BCA" w:rsidP="00017102">
      <w:pPr>
        <w:pStyle w:val="ListParagraph"/>
        <w:numPr>
          <w:ilvl w:val="0"/>
          <w:numId w:val="31"/>
        </w:numPr>
        <w:spacing w:line="240" w:lineRule="auto"/>
        <w:ind w:left="284" w:hanging="284"/>
        <w:rPr>
          <w:rFonts w:cs="Arial"/>
          <w:color w:val="000000"/>
        </w:rPr>
      </w:pPr>
      <w:r>
        <w:rPr>
          <w:rFonts w:cs="Arial"/>
          <w:color w:val="000000"/>
        </w:rPr>
        <w:t>Aboriginal students in Catholic schools have the right to be provided with education experiences comparable to all Australians whilst maintaining their cultural identity.</w:t>
      </w:r>
    </w:p>
    <w:p w:rsidR="00977BCA" w:rsidRDefault="00977BCA" w:rsidP="00017102">
      <w:pPr>
        <w:pStyle w:val="ListParagraph"/>
        <w:numPr>
          <w:ilvl w:val="0"/>
          <w:numId w:val="31"/>
        </w:numPr>
        <w:spacing w:line="240" w:lineRule="auto"/>
        <w:ind w:left="284" w:hanging="284"/>
        <w:rPr>
          <w:rFonts w:cs="Arial"/>
          <w:color w:val="000000"/>
        </w:rPr>
      </w:pPr>
      <w:r>
        <w:rPr>
          <w:rFonts w:cs="Arial"/>
          <w:color w:val="000000"/>
        </w:rPr>
        <w:lastRenderedPageBreak/>
        <w:t>Catholic education is committed to increasing employment and promotional opportunities for Aboriginal people.</w:t>
      </w:r>
    </w:p>
    <w:p w:rsidR="00977BCA" w:rsidRDefault="00977BCA" w:rsidP="00017102">
      <w:pPr>
        <w:pStyle w:val="ListParagraph"/>
        <w:numPr>
          <w:ilvl w:val="0"/>
          <w:numId w:val="31"/>
        </w:numPr>
        <w:spacing w:line="240" w:lineRule="auto"/>
        <w:ind w:left="284" w:hanging="284"/>
        <w:rPr>
          <w:rFonts w:cs="Arial"/>
          <w:color w:val="000000"/>
        </w:rPr>
      </w:pPr>
      <w:r>
        <w:rPr>
          <w:rFonts w:cs="Arial"/>
          <w:color w:val="000000"/>
        </w:rPr>
        <w:t>All Catholic schools shall integrate Aboriginal education across all areas of curriculum.</w:t>
      </w:r>
    </w:p>
    <w:p w:rsidR="00977BCA" w:rsidRDefault="00977BCA" w:rsidP="00017102">
      <w:pPr>
        <w:pStyle w:val="ListParagraph"/>
        <w:numPr>
          <w:ilvl w:val="0"/>
          <w:numId w:val="31"/>
        </w:numPr>
        <w:spacing w:line="240" w:lineRule="auto"/>
        <w:ind w:left="284" w:hanging="284"/>
        <w:rPr>
          <w:rFonts w:cs="Arial"/>
          <w:color w:val="000000"/>
        </w:rPr>
      </w:pPr>
      <w:r>
        <w:rPr>
          <w:rFonts w:cs="Arial"/>
          <w:color w:val="000000"/>
        </w:rPr>
        <w:t>All Catholic schools shall be fully involved in the reconciliation process through the recognition, acceptance and celebration of Aboriginal cultural traditions and values.</w:t>
      </w:r>
    </w:p>
    <w:p w:rsidR="00977BCA" w:rsidRDefault="00977BCA" w:rsidP="00937D1E">
      <w:pPr>
        <w:pStyle w:val="ListParagraph"/>
        <w:spacing w:line="240" w:lineRule="auto"/>
        <w:rPr>
          <w:rFonts w:cs="Arial"/>
          <w:color w:val="000000"/>
        </w:rPr>
      </w:pPr>
    </w:p>
    <w:p w:rsidR="00977BCA" w:rsidRPr="00192902" w:rsidRDefault="00977BCA" w:rsidP="00937D1E">
      <w:pPr>
        <w:spacing w:line="240" w:lineRule="auto"/>
        <w:rPr>
          <w:rFonts w:cs="Arial"/>
          <w:color w:val="000000"/>
        </w:rPr>
      </w:pPr>
      <w:r>
        <w:rPr>
          <w:rFonts w:cs="Arial"/>
          <w:color w:val="000000"/>
        </w:rPr>
        <w:t>In addition to the above</w:t>
      </w:r>
      <w:r w:rsidR="00B86003">
        <w:rPr>
          <w:rFonts w:cs="Arial"/>
          <w:color w:val="000000"/>
        </w:rPr>
        <w:t>,</w:t>
      </w:r>
      <w:r>
        <w:rPr>
          <w:rFonts w:cs="Arial"/>
          <w:color w:val="000000"/>
        </w:rPr>
        <w:t xml:space="preserve"> the </w:t>
      </w:r>
      <w:r w:rsidRPr="00B86003">
        <w:rPr>
          <w:rFonts w:cs="Arial"/>
          <w:i/>
          <w:color w:val="000000"/>
        </w:rPr>
        <w:t>Aboriginal and Torres Strait Islander Education Action Plan 2010 – 2014</w:t>
      </w:r>
      <w:r>
        <w:rPr>
          <w:rFonts w:cs="Arial"/>
          <w:color w:val="000000"/>
        </w:rPr>
        <w:t xml:space="preserve"> has been incorporated and regularly reported upon to assist in the improvement of  educational outcomes for Aboriginal and Torres Strait Islander students.</w:t>
      </w:r>
    </w:p>
    <w:p w:rsidR="000C7DAD" w:rsidRPr="00651B71" w:rsidRDefault="000C7DAD" w:rsidP="00937D1E">
      <w:pPr>
        <w:pStyle w:val="Heading3"/>
        <w:spacing w:line="240" w:lineRule="auto"/>
        <w:rPr>
          <w:noProof/>
        </w:rPr>
      </w:pPr>
      <w:r w:rsidRPr="00651B71">
        <w:rPr>
          <w:noProof/>
        </w:rPr>
        <w:t>2.3</w:t>
      </w:r>
      <w:r w:rsidRPr="00651B71">
        <w:rPr>
          <w:noProof/>
        </w:rPr>
        <w:tab/>
        <w:t>Association of Independent Schools of Western Australia</w:t>
      </w:r>
    </w:p>
    <w:p w:rsidR="000C7DAD" w:rsidRPr="00651B71" w:rsidRDefault="000C7DAD" w:rsidP="00937D1E">
      <w:pPr>
        <w:tabs>
          <w:tab w:val="left" w:pos="990"/>
          <w:tab w:val="left" w:pos="1430"/>
          <w:tab w:val="left" w:pos="2200"/>
          <w:tab w:val="right" w:leader="dot" w:pos="9680"/>
          <w:tab w:val="left" w:pos="9781"/>
        </w:tabs>
        <w:spacing w:line="240" w:lineRule="auto"/>
        <w:ind w:right="52"/>
        <w:rPr>
          <w:rFonts w:cs="Arial"/>
        </w:rPr>
      </w:pPr>
      <w:r w:rsidRPr="00651B71">
        <w:rPr>
          <w:rFonts w:cs="Arial"/>
        </w:rPr>
        <w:t>The Association of Independent Schools of Western Australia (</w:t>
      </w:r>
      <w:proofErr w:type="spellStart"/>
      <w:r w:rsidRPr="00651B71">
        <w:rPr>
          <w:rFonts w:cs="Arial"/>
        </w:rPr>
        <w:t>AISWA</w:t>
      </w:r>
      <w:proofErr w:type="spellEnd"/>
      <w:r w:rsidRPr="00651B71">
        <w:rPr>
          <w:rFonts w:cs="Arial"/>
        </w:rPr>
        <w:t xml:space="preserve">) is the peak body representing membership of 148 independent schools in Western Australia, with over 70,000 students. </w:t>
      </w:r>
      <w:proofErr w:type="spellStart"/>
      <w:r w:rsidR="000A2FA7">
        <w:rPr>
          <w:rFonts w:cs="Arial"/>
        </w:rPr>
        <w:t>A</w:t>
      </w:r>
      <w:r w:rsidRPr="00651B71">
        <w:rPr>
          <w:rFonts w:cs="Arial"/>
        </w:rPr>
        <w:t>ISWA</w:t>
      </w:r>
      <w:proofErr w:type="spellEnd"/>
      <w:r w:rsidRPr="00651B71">
        <w:rPr>
          <w:rFonts w:cs="Arial"/>
        </w:rPr>
        <w:t xml:space="preserve"> supports all schools in the delivery of high quality education that meets the needs of each school’s student body</w:t>
      </w:r>
      <w:r w:rsidR="000A2FA7">
        <w:rPr>
          <w:rFonts w:cs="Arial"/>
        </w:rPr>
        <w:t>,</w:t>
      </w:r>
      <w:r w:rsidRPr="00651B71">
        <w:rPr>
          <w:rFonts w:cs="Arial"/>
        </w:rPr>
        <w:t xml:space="preserve"> while acknowledging that each school is independent and has its own strategic plan. The schools in the sector vary from small (less than 25 students in remote areas) to large (over 2</w:t>
      </w:r>
      <w:r w:rsidR="00B86003">
        <w:rPr>
          <w:rFonts w:cs="Arial"/>
        </w:rPr>
        <w:t>,</w:t>
      </w:r>
      <w:r w:rsidRPr="00651B71">
        <w:rPr>
          <w:rFonts w:cs="Arial"/>
        </w:rPr>
        <w:t>000 students in metro</w:t>
      </w:r>
      <w:r w:rsidR="00B86003">
        <w:rPr>
          <w:rFonts w:cs="Arial"/>
        </w:rPr>
        <w:t xml:space="preserve">politan </w:t>
      </w:r>
      <w:r w:rsidRPr="00651B71">
        <w:rPr>
          <w:rFonts w:cs="Arial"/>
        </w:rPr>
        <w:t>areas) and comprise various religious, philosophical and cultural backgrounds. As such each school’s planning reflects their size, location, philosophy and mission and their student body.</w:t>
      </w:r>
    </w:p>
    <w:p w:rsidR="000C7DAD" w:rsidRPr="00651B71" w:rsidRDefault="000C7DAD" w:rsidP="00937D1E">
      <w:pPr>
        <w:pStyle w:val="Heading3"/>
        <w:spacing w:line="240" w:lineRule="auto"/>
        <w:rPr>
          <w:noProof/>
        </w:rPr>
      </w:pPr>
      <w:r w:rsidRPr="00651B71">
        <w:rPr>
          <w:noProof/>
        </w:rPr>
        <w:t>2.4</w:t>
      </w:r>
      <w:r w:rsidRPr="00651B71">
        <w:rPr>
          <w:noProof/>
        </w:rPr>
        <w:tab/>
        <w:t>Department of Corrective Services</w:t>
      </w:r>
    </w:p>
    <w:p w:rsidR="000C7DAD" w:rsidRPr="00651B71" w:rsidRDefault="000C7DAD" w:rsidP="00937D1E">
      <w:pPr>
        <w:pStyle w:val="ListParagraph"/>
        <w:spacing w:line="240" w:lineRule="auto"/>
        <w:ind w:left="0"/>
        <w:rPr>
          <w:rFonts w:cs="Arial"/>
        </w:rPr>
      </w:pPr>
      <w:r w:rsidRPr="00651B71">
        <w:rPr>
          <w:rFonts w:cs="Arial"/>
        </w:rPr>
        <w:t>The Department of Corrective Services</w:t>
      </w:r>
      <w:r w:rsidR="00196C9B">
        <w:rPr>
          <w:rFonts w:cs="Arial"/>
        </w:rPr>
        <w:t xml:space="preserve"> (</w:t>
      </w:r>
      <w:proofErr w:type="spellStart"/>
      <w:r w:rsidR="00196C9B">
        <w:rPr>
          <w:rFonts w:cs="Arial"/>
        </w:rPr>
        <w:t>D</w:t>
      </w:r>
      <w:r w:rsidR="004205B6">
        <w:rPr>
          <w:rFonts w:cs="Arial"/>
        </w:rPr>
        <w:t>C</w:t>
      </w:r>
      <w:r w:rsidR="00196C9B">
        <w:rPr>
          <w:rFonts w:cs="Arial"/>
        </w:rPr>
        <w:t>S</w:t>
      </w:r>
      <w:proofErr w:type="spellEnd"/>
      <w:r w:rsidR="004205B6">
        <w:rPr>
          <w:rFonts w:cs="Arial"/>
        </w:rPr>
        <w:t>)</w:t>
      </w:r>
      <w:r w:rsidRPr="00651B71">
        <w:rPr>
          <w:rFonts w:cs="Arial"/>
        </w:rPr>
        <w:t xml:space="preserve"> is a partner in the </w:t>
      </w:r>
      <w:proofErr w:type="spellStart"/>
      <w:r w:rsidRPr="00651B71">
        <w:rPr>
          <w:rFonts w:cs="Arial"/>
        </w:rPr>
        <w:t>NPYAT</w:t>
      </w:r>
      <w:proofErr w:type="spellEnd"/>
      <w:r w:rsidRPr="00651B71">
        <w:rPr>
          <w:rFonts w:cs="Arial"/>
        </w:rPr>
        <w:t xml:space="preserve"> in Western Australia through its work in the</w:t>
      </w:r>
      <w:r w:rsidR="00196C9B">
        <w:rPr>
          <w:rFonts w:cs="Arial"/>
        </w:rPr>
        <w:t xml:space="preserve"> delivery of career advice and vocational education and t</w:t>
      </w:r>
      <w:r w:rsidR="00B86003">
        <w:rPr>
          <w:rFonts w:cs="Arial"/>
        </w:rPr>
        <w:t>raining</w:t>
      </w:r>
      <w:r w:rsidR="00027D81">
        <w:rPr>
          <w:rFonts w:cs="Arial"/>
        </w:rPr>
        <w:t xml:space="preserve"> (VET)</w:t>
      </w:r>
      <w:r w:rsidR="00B86003">
        <w:rPr>
          <w:rFonts w:cs="Arial"/>
        </w:rPr>
        <w:t xml:space="preserve"> </w:t>
      </w:r>
      <w:r w:rsidRPr="00651B71">
        <w:rPr>
          <w:rFonts w:cs="Arial"/>
        </w:rPr>
        <w:t xml:space="preserve">for young offenders. This work is based on Australian research studies identifying a clear link between VET training and reduced recidivism. Through the </w:t>
      </w:r>
      <w:proofErr w:type="spellStart"/>
      <w:r w:rsidRPr="00651B71">
        <w:rPr>
          <w:rFonts w:cs="Arial"/>
        </w:rPr>
        <w:t>NPYAT</w:t>
      </w:r>
      <w:proofErr w:type="spellEnd"/>
      <w:r w:rsidRPr="00651B71">
        <w:rPr>
          <w:rFonts w:cs="Arial"/>
        </w:rPr>
        <w:t>, training delivery and career support is being expanded to</w:t>
      </w:r>
      <w:r w:rsidR="00EB04AB">
        <w:rPr>
          <w:rFonts w:cs="Arial"/>
        </w:rPr>
        <w:t xml:space="preserve"> focus on VET training for post </w:t>
      </w:r>
      <w:r w:rsidRPr="00651B71">
        <w:rPr>
          <w:rFonts w:cs="Arial"/>
        </w:rPr>
        <w:t>custodial employment.</w:t>
      </w:r>
      <w:r w:rsidRPr="00651B71" w:rsidDel="006D42F8">
        <w:rPr>
          <w:rFonts w:cs="Arial"/>
        </w:rPr>
        <w:t xml:space="preserve"> </w:t>
      </w:r>
    </w:p>
    <w:p w:rsidR="000C7DAD" w:rsidRPr="00651B71" w:rsidRDefault="000C7DAD" w:rsidP="00937D1E">
      <w:pPr>
        <w:tabs>
          <w:tab w:val="left" w:pos="990"/>
          <w:tab w:val="left" w:pos="1430"/>
          <w:tab w:val="left" w:pos="2200"/>
          <w:tab w:val="right" w:leader="dot" w:pos="9680"/>
        </w:tabs>
        <w:spacing w:line="240" w:lineRule="auto"/>
        <w:ind w:right="425"/>
        <w:rPr>
          <w:rFonts w:cs="Arial"/>
          <w:b/>
          <w:noProof/>
        </w:rPr>
      </w:pPr>
    </w:p>
    <w:p w:rsidR="00E81B57" w:rsidRDefault="00E81B57" w:rsidP="00937D1E">
      <w:pPr>
        <w:tabs>
          <w:tab w:val="num" w:pos="0"/>
        </w:tabs>
        <w:spacing w:line="240" w:lineRule="auto"/>
        <w:rPr>
          <w:rFonts w:cs="Arial"/>
        </w:rPr>
      </w:pPr>
      <w:proofErr w:type="spellStart"/>
      <w:r>
        <w:rPr>
          <w:rFonts w:cs="Arial"/>
          <w:lang w:eastAsia="en-AU"/>
        </w:rPr>
        <w:t>DCS</w:t>
      </w:r>
      <w:proofErr w:type="spellEnd"/>
      <w:r>
        <w:rPr>
          <w:rFonts w:cs="Arial"/>
          <w:lang w:eastAsia="en-AU"/>
        </w:rPr>
        <w:t xml:space="preserve"> data for 2009-2012 </w:t>
      </w:r>
      <w:r>
        <w:rPr>
          <w:rFonts w:cs="Arial"/>
        </w:rPr>
        <w:t>supports international research findings that education positively impacts on recidivism rates of ex-prisone</w:t>
      </w:r>
      <w:r w:rsidR="00EB04AB">
        <w:rPr>
          <w:rFonts w:cs="Arial"/>
        </w:rPr>
        <w:t xml:space="preserve">rs. </w:t>
      </w:r>
      <w:proofErr w:type="spellStart"/>
      <w:r w:rsidR="00EB04AB">
        <w:rPr>
          <w:rFonts w:cs="Arial"/>
        </w:rPr>
        <w:t>DCS</w:t>
      </w:r>
      <w:proofErr w:type="spellEnd"/>
      <w:r w:rsidR="00EB04AB">
        <w:rPr>
          <w:rFonts w:cs="Arial"/>
        </w:rPr>
        <w:t xml:space="preserve"> statistics comparing ex-</w:t>
      </w:r>
      <w:r>
        <w:rPr>
          <w:rFonts w:cs="Arial"/>
        </w:rPr>
        <w:t>prisoners that have completed five or more units of study with those who did not engage in education revealed that this cohort of educational participants h</w:t>
      </w:r>
      <w:r>
        <w:rPr>
          <w:rFonts w:cs="Arial"/>
          <w:lang w:eastAsia="en-AU"/>
        </w:rPr>
        <w:t xml:space="preserve">ad </w:t>
      </w:r>
      <w:r>
        <w:rPr>
          <w:rFonts w:cs="Arial"/>
        </w:rPr>
        <w:t xml:space="preserve">an average reduction in recidivism of approximately 15% when compared to those that did not engage in education. With </w:t>
      </w:r>
      <w:r w:rsidR="00196C9B">
        <w:rPr>
          <w:rFonts w:cs="Arial"/>
        </w:rPr>
        <w:t xml:space="preserve">an </w:t>
      </w:r>
      <w:r>
        <w:rPr>
          <w:rFonts w:cs="Arial"/>
        </w:rPr>
        <w:t>annual cost of approximately $115,000 per year per prisoner, the savings to the community by the provision of accredited target</w:t>
      </w:r>
      <w:r w:rsidR="00196C9B">
        <w:rPr>
          <w:rFonts w:cs="Arial"/>
        </w:rPr>
        <w:t>ed vocational training are</w:t>
      </w:r>
      <w:r>
        <w:rPr>
          <w:rFonts w:cs="Arial"/>
        </w:rPr>
        <w:t xml:space="preserve"> substantial. </w:t>
      </w:r>
    </w:p>
    <w:p w:rsidR="000C7DAD" w:rsidRPr="00651B71" w:rsidRDefault="000C7DAD" w:rsidP="00937D1E">
      <w:pPr>
        <w:pStyle w:val="Heading3"/>
        <w:spacing w:line="240" w:lineRule="auto"/>
        <w:rPr>
          <w:noProof/>
        </w:rPr>
      </w:pPr>
      <w:r w:rsidRPr="00651B71">
        <w:rPr>
          <w:noProof/>
        </w:rPr>
        <w:t>2.5</w:t>
      </w:r>
      <w:r w:rsidRPr="00651B71">
        <w:rPr>
          <w:noProof/>
        </w:rPr>
        <w:tab/>
        <w:t>Department for Communities –</w:t>
      </w:r>
      <w:r w:rsidR="009B0338">
        <w:rPr>
          <w:noProof/>
        </w:rPr>
        <w:t xml:space="preserve"> </w:t>
      </w:r>
      <w:r w:rsidRPr="00651B71">
        <w:rPr>
          <w:noProof/>
        </w:rPr>
        <w:t>Youth</w:t>
      </w:r>
    </w:p>
    <w:p w:rsidR="009B0338" w:rsidRPr="00651B71" w:rsidRDefault="009B0338" w:rsidP="00937D1E">
      <w:pPr>
        <w:tabs>
          <w:tab w:val="left" w:pos="1870"/>
        </w:tabs>
        <w:spacing w:line="240" w:lineRule="auto"/>
        <w:rPr>
          <w:rFonts w:cs="Arial"/>
          <w:b/>
        </w:rPr>
      </w:pPr>
      <w:r w:rsidRPr="00651B71">
        <w:rPr>
          <w:rFonts w:cs="Arial"/>
        </w:rPr>
        <w:t xml:space="preserve">The Department for Communities </w:t>
      </w:r>
      <w:r w:rsidR="00EB04AB">
        <w:rPr>
          <w:rFonts w:cs="Arial"/>
        </w:rPr>
        <w:t xml:space="preserve">is </w:t>
      </w:r>
      <w:r>
        <w:rPr>
          <w:rFonts w:cs="Arial"/>
        </w:rPr>
        <w:t xml:space="preserve">managing the </w:t>
      </w:r>
      <w:r w:rsidRPr="00651B71">
        <w:rPr>
          <w:rFonts w:cs="Arial"/>
        </w:rPr>
        <w:t xml:space="preserve">mentoring reform under the </w:t>
      </w:r>
      <w:proofErr w:type="spellStart"/>
      <w:r w:rsidRPr="00651B71">
        <w:rPr>
          <w:rFonts w:cs="Arial"/>
        </w:rPr>
        <w:t>NPYAT</w:t>
      </w:r>
      <w:proofErr w:type="spellEnd"/>
      <w:r w:rsidR="00EB04AB">
        <w:rPr>
          <w:rFonts w:cs="Arial"/>
        </w:rPr>
        <w:t xml:space="preserve">.  The </w:t>
      </w:r>
      <w:r>
        <w:rPr>
          <w:rFonts w:cs="Arial"/>
        </w:rPr>
        <w:t xml:space="preserve">project </w:t>
      </w:r>
      <w:r w:rsidR="00EB04AB">
        <w:rPr>
          <w:rFonts w:cs="Arial"/>
        </w:rPr>
        <w:t xml:space="preserve">is </w:t>
      </w:r>
      <w:r>
        <w:rPr>
          <w:rFonts w:cs="Arial"/>
        </w:rPr>
        <w:t xml:space="preserve">being led by the WA Youth Mentoring Reform Group which </w:t>
      </w:r>
      <w:r w:rsidRPr="00651B71">
        <w:rPr>
          <w:rFonts w:cs="Arial"/>
        </w:rPr>
        <w:t xml:space="preserve">has developed </w:t>
      </w:r>
      <w:r w:rsidRPr="00EB04AB">
        <w:rPr>
          <w:rFonts w:cs="Arial"/>
          <w:i/>
        </w:rPr>
        <w:t>the Western Australian Youth Mentoring Reform Strategic Framework</w:t>
      </w:r>
      <w:r w:rsidRPr="00651B71">
        <w:rPr>
          <w:rFonts w:cs="Arial"/>
        </w:rPr>
        <w:t xml:space="preserve">. </w:t>
      </w:r>
      <w:r w:rsidRPr="00651B71">
        <w:rPr>
          <w:rFonts w:cs="Arial"/>
          <w:lang w:eastAsia="en-AU"/>
        </w:rPr>
        <w:t xml:space="preserve">Through the youth mentoring reform </w:t>
      </w:r>
      <w:r>
        <w:rPr>
          <w:rFonts w:cs="Arial"/>
          <w:lang w:eastAsia="en-AU"/>
        </w:rPr>
        <w:t>project</w:t>
      </w:r>
      <w:r w:rsidRPr="00651B71">
        <w:rPr>
          <w:rFonts w:cs="Arial"/>
          <w:lang w:eastAsia="en-AU"/>
        </w:rPr>
        <w:t xml:space="preserve">, the Department for Communities is in contact with </w:t>
      </w:r>
      <w:r>
        <w:rPr>
          <w:rFonts w:cs="Arial"/>
          <w:lang w:eastAsia="en-AU"/>
        </w:rPr>
        <w:t>more than</w:t>
      </w:r>
      <w:r w:rsidRPr="00651B71">
        <w:rPr>
          <w:rFonts w:cs="Arial"/>
          <w:lang w:eastAsia="en-AU"/>
        </w:rPr>
        <w:t xml:space="preserve"> 420 </w:t>
      </w:r>
      <w:r>
        <w:rPr>
          <w:rFonts w:cs="Arial"/>
          <w:lang w:eastAsia="en-AU"/>
        </w:rPr>
        <w:t xml:space="preserve">individuals, </w:t>
      </w:r>
      <w:r w:rsidRPr="00651B71">
        <w:rPr>
          <w:rFonts w:cs="Arial"/>
          <w:lang w:eastAsia="en-AU"/>
        </w:rPr>
        <w:t xml:space="preserve">government and non-government agencies and </w:t>
      </w:r>
      <w:r>
        <w:rPr>
          <w:rFonts w:cs="Arial"/>
          <w:lang w:eastAsia="en-AU"/>
        </w:rPr>
        <w:t xml:space="preserve">other </w:t>
      </w:r>
      <w:r w:rsidRPr="00651B71">
        <w:rPr>
          <w:rFonts w:cs="Arial"/>
          <w:lang w:eastAsia="en-AU"/>
        </w:rPr>
        <w:t xml:space="preserve">organisations. Benefits flow to these organisations through increased awareness of </w:t>
      </w:r>
      <w:r w:rsidRPr="0092548B">
        <w:rPr>
          <w:rFonts w:cs="Arial"/>
          <w:lang w:eastAsia="en-AU"/>
        </w:rPr>
        <w:t xml:space="preserve">the </w:t>
      </w:r>
      <w:r w:rsidRPr="0092548B">
        <w:rPr>
          <w:rFonts w:cs="Arial"/>
          <w:i/>
          <w:lang w:eastAsia="en-AU"/>
        </w:rPr>
        <w:t>Australian Youth Mentoring Benchmarks</w:t>
      </w:r>
      <w:r w:rsidRPr="0092548B">
        <w:rPr>
          <w:rFonts w:cs="Arial"/>
          <w:lang w:eastAsia="en-AU"/>
        </w:rPr>
        <w:t xml:space="preserve">, improved quality of mentoring programs, and training for program managers and coordinators, mentors, mentees </w:t>
      </w:r>
      <w:r w:rsidR="00EB04AB">
        <w:rPr>
          <w:rFonts w:cs="Arial"/>
          <w:lang w:eastAsia="en-AU"/>
        </w:rPr>
        <w:t>and parents/care</w:t>
      </w:r>
      <w:r w:rsidRPr="00651B71">
        <w:rPr>
          <w:rFonts w:cs="Arial"/>
          <w:lang w:eastAsia="en-AU"/>
        </w:rPr>
        <w:t>givers in the field.</w:t>
      </w:r>
    </w:p>
    <w:p w:rsidR="00937D1E" w:rsidRDefault="00937D1E">
      <w:pPr>
        <w:spacing w:line="240" w:lineRule="auto"/>
        <w:rPr>
          <w:rFonts w:ascii="Arial" w:eastAsia="Times New Roman" w:hAnsi="Arial"/>
          <w:b/>
          <w:bCs/>
          <w:color w:val="000000"/>
          <w:sz w:val="28"/>
          <w:szCs w:val="26"/>
        </w:rPr>
      </w:pPr>
      <w:r>
        <w:br w:type="page"/>
      </w:r>
    </w:p>
    <w:p w:rsidR="000C7DAD" w:rsidRPr="00E474C4" w:rsidRDefault="002C3F70" w:rsidP="002C3F70">
      <w:pPr>
        <w:pStyle w:val="Heading2"/>
        <w:spacing w:line="240" w:lineRule="auto"/>
        <w:ind w:left="284" w:hanging="284"/>
      </w:pPr>
      <w:bookmarkStart w:id="12" w:name="_Toc384044188"/>
      <w:r>
        <w:lastRenderedPageBreak/>
        <w:t xml:space="preserve">3. </w:t>
      </w:r>
      <w:r w:rsidR="00365DC0">
        <w:t>Youth Attainment a</w:t>
      </w:r>
      <w:r w:rsidR="00365DC0" w:rsidRPr="00E474C4">
        <w:t>nd T</w:t>
      </w:r>
      <w:r w:rsidR="00365DC0">
        <w:t xml:space="preserve">ransitions reforms and programs </w:t>
      </w:r>
      <w:r w:rsidR="00365DC0" w:rsidRPr="00E474C4">
        <w:t xml:space="preserve">not funded under </w:t>
      </w:r>
      <w:proofErr w:type="spellStart"/>
      <w:r w:rsidR="00365DC0" w:rsidRPr="00E474C4">
        <w:t>NPYAT</w:t>
      </w:r>
      <w:bookmarkEnd w:id="12"/>
      <w:proofErr w:type="spellEnd"/>
    </w:p>
    <w:p w:rsidR="00DB02B2" w:rsidRDefault="00171632" w:rsidP="00017255">
      <w:pPr>
        <w:spacing w:line="240" w:lineRule="auto"/>
        <w:jc w:val="both"/>
        <w:rPr>
          <w:rFonts w:cs="Arial"/>
        </w:rPr>
      </w:pPr>
      <w:r w:rsidRPr="00651B71">
        <w:rPr>
          <w:rFonts w:cs="Arial"/>
        </w:rPr>
        <w:t xml:space="preserve">The </w:t>
      </w:r>
      <w:r w:rsidR="0035241C">
        <w:rPr>
          <w:rFonts w:cs="Arial"/>
        </w:rPr>
        <w:t xml:space="preserve">Western Australian </w:t>
      </w:r>
      <w:r w:rsidR="0035241C" w:rsidRPr="00EB04AB">
        <w:rPr>
          <w:rFonts w:cs="Arial"/>
          <w:i/>
        </w:rPr>
        <w:t xml:space="preserve">School Education </w:t>
      </w:r>
      <w:r w:rsidRPr="00EB04AB">
        <w:rPr>
          <w:rFonts w:cs="Arial"/>
          <w:i/>
        </w:rPr>
        <w:t xml:space="preserve">Act </w:t>
      </w:r>
      <w:r w:rsidR="0035241C" w:rsidRPr="00EB04AB">
        <w:rPr>
          <w:rFonts w:cs="Arial"/>
          <w:i/>
        </w:rPr>
        <w:t>1999</w:t>
      </w:r>
      <w:r w:rsidR="0035241C">
        <w:rPr>
          <w:rFonts w:cs="Arial"/>
        </w:rPr>
        <w:t xml:space="preserve"> </w:t>
      </w:r>
      <w:r w:rsidRPr="00651B71">
        <w:rPr>
          <w:rFonts w:cs="Arial"/>
        </w:rPr>
        <w:t xml:space="preserve">identifies approved options, other than full time school available to young people, which will satisfy the </w:t>
      </w:r>
      <w:r w:rsidR="00196C9B">
        <w:rPr>
          <w:rFonts w:cs="Arial"/>
        </w:rPr>
        <w:t xml:space="preserve">Youth Compact </w:t>
      </w:r>
      <w:r w:rsidRPr="00651B71">
        <w:rPr>
          <w:rFonts w:cs="Arial"/>
        </w:rPr>
        <w:t xml:space="preserve">participation requirement. </w:t>
      </w:r>
    </w:p>
    <w:p w:rsidR="00DB02B2" w:rsidRDefault="00DB02B2" w:rsidP="00D04B1B">
      <w:pPr>
        <w:spacing w:line="240" w:lineRule="auto"/>
        <w:jc w:val="both"/>
        <w:rPr>
          <w:rFonts w:cs="Arial"/>
        </w:rPr>
      </w:pPr>
    </w:p>
    <w:p w:rsidR="00171632" w:rsidRPr="00651B71" w:rsidRDefault="00171632" w:rsidP="00017255">
      <w:pPr>
        <w:spacing w:line="240" w:lineRule="auto"/>
        <w:jc w:val="both"/>
        <w:rPr>
          <w:rFonts w:cs="Arial"/>
        </w:rPr>
      </w:pPr>
      <w:r w:rsidRPr="00651B71">
        <w:rPr>
          <w:rFonts w:cs="Arial"/>
        </w:rPr>
        <w:t>These are:</w:t>
      </w:r>
    </w:p>
    <w:p w:rsidR="00171632" w:rsidRPr="00651B71" w:rsidRDefault="00171632" w:rsidP="00017255">
      <w:pPr>
        <w:numPr>
          <w:ilvl w:val="0"/>
          <w:numId w:val="33"/>
        </w:numPr>
        <w:spacing w:line="240" w:lineRule="auto"/>
        <w:jc w:val="both"/>
        <w:rPr>
          <w:rFonts w:cs="Arial"/>
        </w:rPr>
      </w:pPr>
      <w:r w:rsidRPr="00651B71">
        <w:rPr>
          <w:rFonts w:cs="Arial"/>
        </w:rPr>
        <w:t>full time enrolment in accredited training at a registered training organisation;</w:t>
      </w:r>
    </w:p>
    <w:p w:rsidR="00171632" w:rsidRPr="00651B71" w:rsidRDefault="00171632" w:rsidP="00017255">
      <w:pPr>
        <w:numPr>
          <w:ilvl w:val="0"/>
          <w:numId w:val="33"/>
        </w:numPr>
        <w:spacing w:line="240" w:lineRule="auto"/>
        <w:jc w:val="both"/>
        <w:rPr>
          <w:rFonts w:cs="Arial"/>
        </w:rPr>
      </w:pPr>
      <w:r w:rsidRPr="00651B71">
        <w:rPr>
          <w:rFonts w:cs="Arial"/>
        </w:rPr>
        <w:t>full time apprenticeship or traineeship;</w:t>
      </w:r>
    </w:p>
    <w:p w:rsidR="00171632" w:rsidRPr="00651B71" w:rsidRDefault="00171632" w:rsidP="00017255">
      <w:pPr>
        <w:numPr>
          <w:ilvl w:val="0"/>
          <w:numId w:val="33"/>
        </w:numPr>
        <w:spacing w:line="240" w:lineRule="auto"/>
        <w:jc w:val="both"/>
        <w:rPr>
          <w:rFonts w:cs="Arial"/>
        </w:rPr>
      </w:pPr>
      <w:r w:rsidRPr="00651B71">
        <w:rPr>
          <w:rFonts w:cs="Arial"/>
        </w:rPr>
        <w:t>full time enrolment in a gazetted community based course;</w:t>
      </w:r>
    </w:p>
    <w:p w:rsidR="00171632" w:rsidRPr="00651B71" w:rsidRDefault="00171632" w:rsidP="00017255">
      <w:pPr>
        <w:numPr>
          <w:ilvl w:val="0"/>
          <w:numId w:val="33"/>
        </w:numPr>
        <w:spacing w:line="240" w:lineRule="auto"/>
        <w:jc w:val="both"/>
        <w:rPr>
          <w:rFonts w:cs="Arial"/>
        </w:rPr>
      </w:pPr>
      <w:r w:rsidRPr="00651B71">
        <w:rPr>
          <w:rFonts w:cs="Arial"/>
        </w:rPr>
        <w:t>a course through higher education or university;</w:t>
      </w:r>
    </w:p>
    <w:p w:rsidR="00171632" w:rsidRPr="00651B71" w:rsidRDefault="00171632" w:rsidP="00017255">
      <w:pPr>
        <w:numPr>
          <w:ilvl w:val="0"/>
          <w:numId w:val="33"/>
        </w:numPr>
        <w:spacing w:line="240" w:lineRule="auto"/>
        <w:jc w:val="both"/>
        <w:rPr>
          <w:rFonts w:cs="Arial"/>
        </w:rPr>
      </w:pPr>
      <w:r w:rsidRPr="00651B71">
        <w:rPr>
          <w:rFonts w:cs="Arial"/>
        </w:rPr>
        <w:t>full time employment; or</w:t>
      </w:r>
    </w:p>
    <w:p w:rsidR="00171632" w:rsidRPr="00651B71" w:rsidRDefault="00171632" w:rsidP="00017255">
      <w:pPr>
        <w:numPr>
          <w:ilvl w:val="0"/>
          <w:numId w:val="33"/>
        </w:numPr>
        <w:spacing w:line="240" w:lineRule="auto"/>
        <w:jc w:val="both"/>
        <w:rPr>
          <w:rFonts w:cs="Arial"/>
        </w:rPr>
      </w:pPr>
      <w:proofErr w:type="gramStart"/>
      <w:r w:rsidRPr="00651B71">
        <w:rPr>
          <w:rFonts w:cs="Arial"/>
        </w:rPr>
        <w:t>a</w:t>
      </w:r>
      <w:proofErr w:type="gramEnd"/>
      <w:r w:rsidRPr="00651B71">
        <w:rPr>
          <w:rFonts w:cs="Arial"/>
        </w:rPr>
        <w:t xml:space="preserve"> full time combination of any of the above, such as part time school, training and/or part time work.</w:t>
      </w:r>
    </w:p>
    <w:p w:rsidR="00196C9B" w:rsidRDefault="00196C9B" w:rsidP="00D04B1B">
      <w:pPr>
        <w:spacing w:line="240" w:lineRule="auto"/>
        <w:jc w:val="both"/>
        <w:rPr>
          <w:rFonts w:cs="Arial"/>
        </w:rPr>
      </w:pPr>
    </w:p>
    <w:p w:rsidR="00196C9B" w:rsidRDefault="00196C9B" w:rsidP="00017255">
      <w:pPr>
        <w:spacing w:line="240" w:lineRule="auto"/>
        <w:jc w:val="both"/>
        <w:rPr>
          <w:rFonts w:cs="Arial"/>
        </w:rPr>
      </w:pPr>
      <w:r w:rsidRPr="00651B71">
        <w:rPr>
          <w:rFonts w:cs="Arial"/>
        </w:rPr>
        <w:t>Western Australia has exceeded the requirements by</w:t>
      </w:r>
      <w:r>
        <w:rPr>
          <w:rFonts w:cs="Arial"/>
        </w:rPr>
        <w:t xml:space="preserve"> </w:t>
      </w:r>
      <w:proofErr w:type="gramStart"/>
      <w:r>
        <w:rPr>
          <w:rFonts w:cs="Arial"/>
        </w:rPr>
        <w:t>legislating</w:t>
      </w:r>
      <w:proofErr w:type="gramEnd"/>
      <w:r>
        <w:rPr>
          <w:rFonts w:cs="Arial"/>
        </w:rPr>
        <w:t xml:space="preserve"> the requirement for </w:t>
      </w:r>
      <w:r w:rsidRPr="00651B71">
        <w:rPr>
          <w:rFonts w:cs="Arial"/>
        </w:rPr>
        <w:t>young people to participate until the end of their 17</w:t>
      </w:r>
      <w:r w:rsidRPr="00651B71">
        <w:rPr>
          <w:rFonts w:cs="Arial"/>
          <w:vertAlign w:val="superscript"/>
        </w:rPr>
        <w:t>th</w:t>
      </w:r>
      <w:r w:rsidRPr="00651B71">
        <w:rPr>
          <w:rFonts w:cs="Arial"/>
        </w:rPr>
        <w:t xml:space="preserve"> year.</w:t>
      </w:r>
    </w:p>
    <w:p w:rsidR="00196C9B" w:rsidRPr="00651B71" w:rsidRDefault="00196C9B" w:rsidP="00017255">
      <w:pPr>
        <w:spacing w:line="240" w:lineRule="auto"/>
        <w:jc w:val="both"/>
        <w:rPr>
          <w:rFonts w:cs="Arial"/>
        </w:rPr>
      </w:pPr>
    </w:p>
    <w:p w:rsidR="00171632" w:rsidRPr="00651B71" w:rsidRDefault="00171632" w:rsidP="00017255">
      <w:pPr>
        <w:spacing w:line="240" w:lineRule="auto"/>
        <w:jc w:val="both"/>
        <w:rPr>
          <w:rFonts w:cs="Arial"/>
        </w:rPr>
      </w:pPr>
      <w:r w:rsidRPr="00651B71">
        <w:rPr>
          <w:rFonts w:cs="Arial"/>
        </w:rPr>
        <w:t>An outcome of this initiative has been significant improvements in the levels of participation by this cohort, from approximately 87% prior to the introduction of the legislation in 2006 to 96.0% in 2012.</w:t>
      </w:r>
    </w:p>
    <w:p w:rsidR="000C7DAD" w:rsidRPr="00BD7DAB" w:rsidRDefault="00171632" w:rsidP="00937D1E">
      <w:pPr>
        <w:pStyle w:val="Heading3"/>
        <w:spacing w:line="240" w:lineRule="auto"/>
      </w:pPr>
      <w:r>
        <w:t xml:space="preserve">3.1 </w:t>
      </w:r>
      <w:r w:rsidR="000C7DAD" w:rsidRPr="00BD7DAB">
        <w:t>State Training Board of Western Australia</w:t>
      </w:r>
    </w:p>
    <w:p w:rsidR="000C7DAD" w:rsidRPr="00651B71" w:rsidRDefault="000C7DAD" w:rsidP="00937D1E">
      <w:pPr>
        <w:spacing w:line="240" w:lineRule="auto"/>
        <w:rPr>
          <w:rFonts w:cs="Arial"/>
          <w:lang w:eastAsia="en-AU"/>
        </w:rPr>
      </w:pPr>
      <w:r w:rsidRPr="00651B71">
        <w:rPr>
          <w:rFonts w:cs="Arial"/>
          <w:lang w:eastAsia="en-AU"/>
        </w:rPr>
        <w:t>The Stat</w:t>
      </w:r>
      <w:r w:rsidR="00196C9B">
        <w:rPr>
          <w:rFonts w:cs="Arial"/>
          <w:lang w:eastAsia="en-AU"/>
        </w:rPr>
        <w:t>e Training Board established a</w:t>
      </w:r>
      <w:r w:rsidRPr="00651B71">
        <w:rPr>
          <w:rFonts w:cs="Arial"/>
          <w:lang w:eastAsia="en-AU"/>
        </w:rPr>
        <w:t xml:space="preserve"> Youth Unemployment Committee in March 2012. Chaired by Audrey Jackson, the committee included representatives from industry, </w:t>
      </w:r>
      <w:proofErr w:type="spellStart"/>
      <w:r w:rsidRPr="00651B71">
        <w:rPr>
          <w:rFonts w:cs="Arial"/>
          <w:lang w:eastAsia="en-AU"/>
        </w:rPr>
        <w:t>UnionsWA</w:t>
      </w:r>
      <w:proofErr w:type="spellEnd"/>
      <w:r w:rsidRPr="00651B71">
        <w:rPr>
          <w:rFonts w:cs="Arial"/>
          <w:lang w:eastAsia="en-AU"/>
        </w:rPr>
        <w:t>, and the Departments of Education and Training and Workforce Development. The Committee’s terms of reference included:</w:t>
      </w:r>
    </w:p>
    <w:p w:rsidR="000C7DAD" w:rsidRPr="00651B71" w:rsidRDefault="000C7DAD" w:rsidP="00937D1E">
      <w:pPr>
        <w:numPr>
          <w:ilvl w:val="0"/>
          <w:numId w:val="4"/>
        </w:numPr>
        <w:spacing w:line="240" w:lineRule="auto"/>
        <w:ind w:left="284" w:hanging="284"/>
        <w:rPr>
          <w:rFonts w:cs="Arial"/>
          <w:lang w:eastAsia="en-AU"/>
        </w:rPr>
      </w:pPr>
      <w:r w:rsidRPr="00651B71">
        <w:rPr>
          <w:rFonts w:cs="Arial"/>
          <w:lang w:eastAsia="en-AU"/>
        </w:rPr>
        <w:t>Youth unemploy</w:t>
      </w:r>
      <w:r w:rsidR="00196C9B">
        <w:rPr>
          <w:rFonts w:cs="Arial"/>
          <w:lang w:eastAsia="en-AU"/>
        </w:rPr>
        <w:t>ment demographics: with a view to</w:t>
      </w:r>
      <w:r w:rsidRPr="00651B71">
        <w:rPr>
          <w:rFonts w:cs="Arial"/>
          <w:lang w:eastAsia="en-AU"/>
        </w:rPr>
        <w:t xml:space="preserve"> developing a statistical picture of young people’s transition to employment and further education.</w:t>
      </w:r>
    </w:p>
    <w:p w:rsidR="000C7DAD" w:rsidRPr="00651B71" w:rsidRDefault="000C7DAD" w:rsidP="00937D1E">
      <w:pPr>
        <w:numPr>
          <w:ilvl w:val="0"/>
          <w:numId w:val="4"/>
        </w:numPr>
        <w:spacing w:line="240" w:lineRule="auto"/>
        <w:ind w:left="284" w:hanging="284"/>
        <w:rPr>
          <w:rFonts w:cs="Arial"/>
          <w:lang w:eastAsia="en-AU"/>
        </w:rPr>
      </w:pPr>
      <w:r w:rsidRPr="00651B71">
        <w:rPr>
          <w:rFonts w:cs="Arial"/>
          <w:lang w:eastAsia="en-AU"/>
        </w:rPr>
        <w:t>Factors that may contribute to successful transitions: including employability skills, education and training attainment, work readiness, rewarding and secure employment, career and transition support and income support.</w:t>
      </w:r>
    </w:p>
    <w:p w:rsidR="000C7DAD" w:rsidRPr="00651B71" w:rsidRDefault="000C7DAD" w:rsidP="00937D1E">
      <w:pPr>
        <w:numPr>
          <w:ilvl w:val="0"/>
          <w:numId w:val="4"/>
        </w:numPr>
        <w:spacing w:line="240" w:lineRule="auto"/>
        <w:ind w:left="284" w:hanging="284"/>
        <w:rPr>
          <w:rFonts w:cs="Arial"/>
          <w:lang w:eastAsia="en-AU"/>
        </w:rPr>
      </w:pPr>
      <w:r w:rsidRPr="00651B71">
        <w:rPr>
          <w:rFonts w:cs="Arial"/>
          <w:lang w:eastAsia="en-AU"/>
        </w:rPr>
        <w:t>Preparation of Young People: Identifying best practice activities, programs and training that provide for a successful transition from secondary education to further education, training and employment</w:t>
      </w:r>
      <w:r w:rsidR="001B140F">
        <w:rPr>
          <w:rFonts w:cs="Arial"/>
          <w:lang w:eastAsia="en-AU"/>
        </w:rPr>
        <w:t>.</w:t>
      </w:r>
    </w:p>
    <w:p w:rsidR="000C7DAD" w:rsidRPr="00651B71" w:rsidRDefault="00A9625C" w:rsidP="00937D1E">
      <w:pPr>
        <w:numPr>
          <w:ilvl w:val="0"/>
          <w:numId w:val="4"/>
        </w:numPr>
        <w:spacing w:line="240" w:lineRule="auto"/>
        <w:ind w:left="284" w:hanging="284"/>
        <w:rPr>
          <w:rFonts w:cs="Arial"/>
          <w:lang w:eastAsia="en-AU"/>
        </w:rPr>
      </w:pPr>
      <w:r w:rsidRPr="00651B71">
        <w:rPr>
          <w:rFonts w:cs="Arial"/>
          <w:lang w:eastAsia="en-AU"/>
        </w:rPr>
        <w:t>Career Advice for young people: targeting career advic</w:t>
      </w:r>
      <w:r>
        <w:rPr>
          <w:rFonts w:cs="Arial"/>
          <w:lang w:eastAsia="en-AU"/>
        </w:rPr>
        <w:t xml:space="preserve">e to the level of need for </w:t>
      </w:r>
      <w:r w:rsidRPr="00651B71">
        <w:rPr>
          <w:rFonts w:cs="Arial"/>
          <w:lang w:eastAsia="en-AU"/>
        </w:rPr>
        <w:t xml:space="preserve">young people and their parents/guardians, teachers and employers. </w:t>
      </w:r>
    </w:p>
    <w:p w:rsidR="000C7DAD" w:rsidRPr="00651B71" w:rsidRDefault="000C7DAD" w:rsidP="00937D1E">
      <w:pPr>
        <w:spacing w:line="240" w:lineRule="auto"/>
        <w:rPr>
          <w:rFonts w:cs="Arial"/>
          <w:lang w:eastAsia="en-AU"/>
        </w:rPr>
      </w:pPr>
    </w:p>
    <w:p w:rsidR="000C7DAD" w:rsidRPr="00651B71" w:rsidRDefault="000C7DAD" w:rsidP="00937D1E">
      <w:pPr>
        <w:spacing w:line="240" w:lineRule="auto"/>
      </w:pPr>
      <w:r w:rsidRPr="00651B71">
        <w:rPr>
          <w:lang w:eastAsia="en-AU"/>
        </w:rPr>
        <w:t>As at 31 December 2012 the Committee had prepared a draft report for the</w:t>
      </w:r>
      <w:r w:rsidR="001B140F">
        <w:rPr>
          <w:lang w:eastAsia="en-AU"/>
        </w:rPr>
        <w:t xml:space="preserve"> Western Australian</w:t>
      </w:r>
      <w:r w:rsidRPr="00651B71">
        <w:rPr>
          <w:lang w:eastAsia="en-AU"/>
        </w:rPr>
        <w:t xml:space="preserve"> Minister for Training and Workforce Development.</w:t>
      </w:r>
    </w:p>
    <w:p w:rsidR="000C7DAD" w:rsidRPr="00651B71" w:rsidRDefault="000C7DAD" w:rsidP="00937D1E">
      <w:pPr>
        <w:pStyle w:val="Heading3"/>
        <w:spacing w:line="240" w:lineRule="auto"/>
        <w:jc w:val="both"/>
        <w:rPr>
          <w:noProof/>
        </w:rPr>
      </w:pPr>
      <w:r w:rsidRPr="00651B71">
        <w:rPr>
          <w:noProof/>
        </w:rPr>
        <w:t>3.2</w:t>
      </w:r>
      <w:r w:rsidRPr="00651B71">
        <w:rPr>
          <w:noProof/>
        </w:rPr>
        <w:tab/>
        <w:t>Complementary National Partnerships</w:t>
      </w:r>
    </w:p>
    <w:p w:rsidR="000C7DAD" w:rsidRPr="00651B71" w:rsidRDefault="000C7DAD" w:rsidP="00937D1E">
      <w:pPr>
        <w:pStyle w:val="ListParagraph"/>
        <w:spacing w:line="240" w:lineRule="auto"/>
        <w:ind w:left="0"/>
        <w:rPr>
          <w:rFonts w:cs="Arial"/>
        </w:rPr>
      </w:pPr>
      <w:r w:rsidRPr="00651B71">
        <w:rPr>
          <w:rFonts w:cs="Arial"/>
        </w:rPr>
        <w:t xml:space="preserve">There are a number of other reforms contributing to increased student participation and attainment levels that are complementary to the </w:t>
      </w:r>
      <w:proofErr w:type="spellStart"/>
      <w:r w:rsidRPr="00651B71">
        <w:rPr>
          <w:rFonts w:cs="Arial"/>
        </w:rPr>
        <w:t>NPYAT</w:t>
      </w:r>
      <w:proofErr w:type="spellEnd"/>
      <w:r w:rsidRPr="00651B71">
        <w:rPr>
          <w:rFonts w:cs="Arial"/>
        </w:rPr>
        <w:t>. These include education focused National Partnerships between the Commonwealth Government and the three school systems/sector in Western Australia including the:</w:t>
      </w:r>
    </w:p>
    <w:bookmarkStart w:id="13" w:name="OLE_LINK16"/>
    <w:bookmarkStart w:id="14" w:name="OLE_LINK17"/>
    <w:p w:rsidR="00017102" w:rsidRPr="00EC7A08" w:rsidRDefault="000C7DAD" w:rsidP="00EC7A08">
      <w:pPr>
        <w:numPr>
          <w:ilvl w:val="0"/>
          <w:numId w:val="9"/>
        </w:numPr>
        <w:spacing w:line="240" w:lineRule="auto"/>
        <w:rPr>
          <w:rFonts w:cs="Arial"/>
        </w:rPr>
      </w:pPr>
      <w:r w:rsidRPr="00EC7A08">
        <w:rPr>
          <w:rFonts w:cs="Arial"/>
          <w:u w:val="single"/>
        </w:rPr>
        <w:fldChar w:fldCharType="begin"/>
      </w:r>
      <w:r w:rsidRPr="00EC7A08">
        <w:rPr>
          <w:rFonts w:cs="Arial"/>
          <w:u w:val="single"/>
        </w:rPr>
        <w:instrText xml:space="preserve"> HYPERLINK "http://www.federalfinancialrelations.gov.au/content/national_agreements/education/education_agreement.pdf" </w:instrText>
      </w:r>
      <w:r w:rsidRPr="00EC7A08">
        <w:rPr>
          <w:rFonts w:cs="Arial"/>
          <w:u w:val="single"/>
        </w:rPr>
        <w:fldChar w:fldCharType="separate"/>
      </w:r>
      <w:r w:rsidRPr="00EC7A08">
        <w:rPr>
          <w:rStyle w:val="Hyperlink"/>
          <w:rFonts w:cs="Arial"/>
          <w:color w:val="auto"/>
        </w:rPr>
        <w:t>National Education Agreement</w:t>
      </w:r>
      <w:r w:rsidRPr="00EC7A08">
        <w:rPr>
          <w:rFonts w:cs="Arial"/>
          <w:u w:val="single"/>
        </w:rPr>
        <w:fldChar w:fldCharType="end"/>
      </w:r>
      <w:r w:rsidRPr="00EC7A08">
        <w:rPr>
          <w:rFonts w:cs="Arial"/>
        </w:rPr>
        <w:t xml:space="preserve"> - the key overarching Commonwealth/State agreement with its key objective to ensure “all Australian school students acquire the knowledge and skills to participate effectively in society and employment, in a globalised economy” (</w:t>
      </w:r>
      <w:proofErr w:type="spellStart"/>
      <w:r w:rsidRPr="00EC7A08">
        <w:rPr>
          <w:rFonts w:cs="Arial"/>
        </w:rPr>
        <w:t>COAG</w:t>
      </w:r>
      <w:proofErr w:type="spellEnd"/>
      <w:r w:rsidRPr="00EC7A08">
        <w:rPr>
          <w:rFonts w:cs="Arial"/>
        </w:rPr>
        <w:t xml:space="preserve"> 2009 Schedule F, p 1).The performance indicators identified in the </w:t>
      </w:r>
      <w:proofErr w:type="spellStart"/>
      <w:r w:rsidRPr="00EC7A08">
        <w:rPr>
          <w:rFonts w:cs="Arial"/>
        </w:rPr>
        <w:t>NPYAT</w:t>
      </w:r>
      <w:proofErr w:type="spellEnd"/>
      <w:r w:rsidRPr="00EC7A08">
        <w:rPr>
          <w:rFonts w:cs="Arial"/>
        </w:rPr>
        <w:t xml:space="preserve"> are aligned to the goals of this agreement.</w:t>
      </w:r>
      <w:r w:rsidR="00017102" w:rsidRPr="00EC7A08">
        <w:rPr>
          <w:rFonts w:cs="Arial"/>
        </w:rPr>
        <w:br w:type="page"/>
      </w:r>
    </w:p>
    <w:bookmarkStart w:id="15" w:name="OLE_LINK7"/>
    <w:bookmarkStart w:id="16" w:name="OLE_LINK8"/>
    <w:p w:rsidR="000C7DAD" w:rsidRPr="00651B71" w:rsidRDefault="000C7DAD" w:rsidP="00937D1E">
      <w:pPr>
        <w:numPr>
          <w:ilvl w:val="0"/>
          <w:numId w:val="9"/>
        </w:numPr>
        <w:spacing w:line="240" w:lineRule="auto"/>
        <w:rPr>
          <w:rFonts w:cs="Arial"/>
        </w:rPr>
      </w:pPr>
      <w:r w:rsidRPr="00651B71">
        <w:rPr>
          <w:rFonts w:cs="Arial"/>
          <w:u w:val="single"/>
        </w:rPr>
        <w:lastRenderedPageBreak/>
        <w:fldChar w:fldCharType="begin"/>
      </w:r>
      <w:r w:rsidRPr="00651B71">
        <w:rPr>
          <w:rFonts w:cs="Arial"/>
          <w:u w:val="single"/>
        </w:rPr>
        <w:instrText xml:space="preserve"> HYPERLINK "http://smarterschools.gov.au/Pages/default.aspx" </w:instrText>
      </w:r>
      <w:r w:rsidRPr="00651B71">
        <w:rPr>
          <w:rFonts w:cs="Arial"/>
          <w:u w:val="single"/>
        </w:rPr>
        <w:fldChar w:fldCharType="separate"/>
      </w:r>
      <w:r w:rsidRPr="00651B71">
        <w:rPr>
          <w:rStyle w:val="Hyperlink"/>
          <w:rFonts w:cs="Arial"/>
          <w:color w:val="auto"/>
        </w:rPr>
        <w:t>Smarter Schools National Partnerships</w:t>
      </w:r>
      <w:r w:rsidRPr="00651B71">
        <w:rPr>
          <w:rFonts w:cs="Arial"/>
          <w:u w:val="single"/>
        </w:rPr>
        <w:fldChar w:fldCharType="end"/>
      </w:r>
      <w:r w:rsidRPr="00651B71">
        <w:rPr>
          <w:rFonts w:cs="Arial"/>
        </w:rPr>
        <w:t xml:space="preserve"> </w:t>
      </w:r>
      <w:bookmarkEnd w:id="15"/>
      <w:bookmarkEnd w:id="16"/>
      <w:r w:rsidRPr="00651B71">
        <w:rPr>
          <w:rFonts w:cs="Arial"/>
        </w:rPr>
        <w:t>which comprise:</w:t>
      </w:r>
    </w:p>
    <w:p w:rsidR="000C7DAD" w:rsidRPr="00651B71" w:rsidRDefault="000C7DAD" w:rsidP="00BA3E66">
      <w:pPr>
        <w:numPr>
          <w:ilvl w:val="0"/>
          <w:numId w:val="34"/>
        </w:numPr>
        <w:spacing w:line="240" w:lineRule="auto"/>
        <w:rPr>
          <w:rFonts w:cs="Arial"/>
        </w:rPr>
      </w:pPr>
      <w:r w:rsidRPr="00651B71">
        <w:rPr>
          <w:rFonts w:cs="Arial"/>
        </w:rPr>
        <w:t>National Partnership Agreement for Improving Teacher Quality;</w:t>
      </w:r>
    </w:p>
    <w:p w:rsidR="000C7DAD" w:rsidRPr="00651B71" w:rsidRDefault="000C7DAD" w:rsidP="00BA3E66">
      <w:pPr>
        <w:numPr>
          <w:ilvl w:val="0"/>
          <w:numId w:val="34"/>
        </w:numPr>
        <w:spacing w:line="240" w:lineRule="auto"/>
        <w:rPr>
          <w:rFonts w:cs="Arial"/>
        </w:rPr>
      </w:pPr>
      <w:r w:rsidRPr="00651B71">
        <w:rPr>
          <w:rFonts w:cs="Arial"/>
        </w:rPr>
        <w:t>National Partnership Agreement for Literacy and Numeracy; and</w:t>
      </w:r>
    </w:p>
    <w:p w:rsidR="000C7DAD" w:rsidRPr="00651B71" w:rsidRDefault="000C7DAD" w:rsidP="00BA3E66">
      <w:pPr>
        <w:numPr>
          <w:ilvl w:val="0"/>
          <w:numId w:val="34"/>
        </w:numPr>
        <w:spacing w:line="240" w:lineRule="auto"/>
        <w:rPr>
          <w:rFonts w:cs="Arial"/>
        </w:rPr>
      </w:pPr>
      <w:r w:rsidRPr="00651B71">
        <w:rPr>
          <w:rFonts w:cs="Arial"/>
        </w:rPr>
        <w:t>National Partnership Agreement for Low Socio-Economic Status School Communities.</w:t>
      </w:r>
    </w:p>
    <w:p w:rsidR="000C7DAD" w:rsidRPr="00651B71" w:rsidRDefault="00365DC0" w:rsidP="00937D1E">
      <w:pPr>
        <w:numPr>
          <w:ilvl w:val="0"/>
          <w:numId w:val="10"/>
        </w:numPr>
        <w:autoSpaceDE w:val="0"/>
        <w:autoSpaceDN w:val="0"/>
        <w:spacing w:line="240" w:lineRule="auto"/>
        <w:rPr>
          <w:rFonts w:cs="Arial"/>
        </w:rPr>
      </w:pPr>
      <w:hyperlink r:id="rId15" w:history="1">
        <w:bookmarkEnd w:id="13"/>
        <w:bookmarkEnd w:id="14"/>
        <w:r w:rsidR="000C7DAD" w:rsidRPr="00651B71">
          <w:rPr>
            <w:rStyle w:val="Hyperlink"/>
            <w:rFonts w:cs="Arial"/>
            <w:color w:val="auto"/>
          </w:rPr>
          <w:t>Trade Training Centres in Schools</w:t>
        </w:r>
      </w:hyperlink>
      <w:r w:rsidR="000C7DAD" w:rsidRPr="00651B71">
        <w:rPr>
          <w:rFonts w:cs="Arial"/>
          <w:u w:val="single"/>
        </w:rPr>
        <w:t xml:space="preserve"> (</w:t>
      </w:r>
      <w:proofErr w:type="spellStart"/>
      <w:r w:rsidR="000C7DAD" w:rsidRPr="00651B71">
        <w:rPr>
          <w:rFonts w:cs="Arial"/>
          <w:u w:val="single"/>
        </w:rPr>
        <w:t>TTCs</w:t>
      </w:r>
      <w:proofErr w:type="spellEnd"/>
      <w:r w:rsidR="000C7DAD" w:rsidRPr="00651B71">
        <w:rPr>
          <w:rFonts w:cs="Arial"/>
          <w:u w:val="single"/>
        </w:rPr>
        <w:t>)</w:t>
      </w:r>
      <w:r w:rsidR="000C7DAD" w:rsidRPr="00651B71">
        <w:rPr>
          <w:rFonts w:cs="Arial"/>
        </w:rPr>
        <w:t xml:space="preserve"> Program provides students with an opportunity to undertake trade level training in schools, increasing the proportion of students achieving Year 12 or an equivalent qualification and helping address skill shortages in traditional trades and emerging industries. This strategy makes a strong contribution to the </w:t>
      </w:r>
      <w:proofErr w:type="spellStart"/>
      <w:r w:rsidR="000C7DAD" w:rsidRPr="00651B71">
        <w:rPr>
          <w:rFonts w:cs="Arial"/>
        </w:rPr>
        <w:t>NPYAT</w:t>
      </w:r>
      <w:proofErr w:type="spellEnd"/>
      <w:r w:rsidR="000C7DAD" w:rsidRPr="00651B71">
        <w:rPr>
          <w:rFonts w:cs="Arial"/>
        </w:rPr>
        <w:t xml:space="preserve"> attainment targets. To date, 42 centres have been funded across all school systems/sector throughout regional and metropolitan Western Australia.  Of those, 35 are publi</w:t>
      </w:r>
      <w:r w:rsidR="00A9625C">
        <w:rPr>
          <w:rFonts w:cs="Arial"/>
        </w:rPr>
        <w:t xml:space="preserve">c school sector </w:t>
      </w:r>
      <w:proofErr w:type="spellStart"/>
      <w:proofErr w:type="gramStart"/>
      <w:r w:rsidR="00A9625C">
        <w:rPr>
          <w:rFonts w:cs="Arial"/>
        </w:rPr>
        <w:t>T</w:t>
      </w:r>
      <w:r w:rsidR="000C7DAD" w:rsidRPr="00651B71">
        <w:rPr>
          <w:rFonts w:cs="Arial"/>
        </w:rPr>
        <w:t>TCs</w:t>
      </w:r>
      <w:proofErr w:type="spellEnd"/>
      <w:r w:rsidR="000C7DAD" w:rsidRPr="00651B71">
        <w:rPr>
          <w:rFonts w:cs="Arial"/>
        </w:rPr>
        <w:t>,</w:t>
      </w:r>
      <w:proofErr w:type="gramEnd"/>
      <w:r w:rsidR="000C7DAD" w:rsidRPr="00651B71">
        <w:rPr>
          <w:rFonts w:cs="Arial"/>
        </w:rPr>
        <w:t xml:space="preserve"> six are from the Catholic sector and one from the Independent sector.  A further seven funding proposals have just been submitted by the public and Catholic sectors for Round Five Phase 1.  It is anticipated that the successful pro</w:t>
      </w:r>
      <w:r w:rsidR="00A666BA">
        <w:rPr>
          <w:rFonts w:cs="Arial"/>
        </w:rPr>
        <w:t xml:space="preserve">posals will be announced by </w:t>
      </w:r>
      <w:proofErr w:type="spellStart"/>
      <w:r w:rsidR="00A666BA">
        <w:rPr>
          <w:rFonts w:cs="Arial"/>
        </w:rPr>
        <w:t xml:space="preserve">mid </w:t>
      </w:r>
      <w:r w:rsidR="000C7DAD" w:rsidRPr="00651B71">
        <w:rPr>
          <w:rFonts w:cs="Arial"/>
        </w:rPr>
        <w:t>2013</w:t>
      </w:r>
      <w:proofErr w:type="spellEnd"/>
      <w:r w:rsidR="000C7DAD" w:rsidRPr="00651B71">
        <w:rPr>
          <w:rFonts w:cs="Arial"/>
        </w:rPr>
        <w:t>.</w:t>
      </w:r>
    </w:p>
    <w:p w:rsidR="000C7DAD" w:rsidRPr="00651B71" w:rsidRDefault="00365DC0" w:rsidP="00937D1E">
      <w:pPr>
        <w:numPr>
          <w:ilvl w:val="0"/>
          <w:numId w:val="10"/>
        </w:numPr>
        <w:autoSpaceDE w:val="0"/>
        <w:autoSpaceDN w:val="0"/>
        <w:spacing w:line="240" w:lineRule="auto"/>
        <w:jc w:val="both"/>
        <w:rPr>
          <w:rFonts w:cs="Arial"/>
        </w:rPr>
      </w:pPr>
      <w:hyperlink r:id="rId16" w:history="1">
        <w:r w:rsidR="000C7DAD" w:rsidRPr="00651B71">
          <w:rPr>
            <w:rStyle w:val="Hyperlink"/>
            <w:rFonts w:cs="Arial"/>
            <w:color w:val="auto"/>
          </w:rPr>
          <w:t>National Partnership Agreement on School Pathways Program</w:t>
        </w:r>
      </w:hyperlink>
      <w:r w:rsidR="000C7DAD" w:rsidRPr="00651B71">
        <w:rPr>
          <w:rFonts w:cs="Arial"/>
        </w:rPr>
        <w:t xml:space="preserve"> aims to address the skills shortage in the defence industry and focuses on providing career pathways for young people into areas including advanced manufacturing, maritime and technology skills with</w:t>
      </w:r>
      <w:r w:rsidR="0060058B">
        <w:rPr>
          <w:rFonts w:cs="Arial"/>
        </w:rPr>
        <w:t>in</w:t>
      </w:r>
      <w:r w:rsidR="000C7DAD" w:rsidRPr="00651B71">
        <w:rPr>
          <w:rFonts w:cs="Arial"/>
        </w:rPr>
        <w:t xml:space="preserve"> the defence industry.</w:t>
      </w:r>
    </w:p>
    <w:p w:rsidR="000C7DAD" w:rsidRPr="006D1584" w:rsidRDefault="000C7DAD" w:rsidP="00937D1E">
      <w:pPr>
        <w:pStyle w:val="Heading3"/>
        <w:spacing w:line="240" w:lineRule="auto"/>
      </w:pPr>
      <w:r w:rsidRPr="006D1584">
        <w:t>3.3</w:t>
      </w:r>
      <w:r w:rsidRPr="006D1584">
        <w:tab/>
        <w:t>Department of Education initiatives</w:t>
      </w:r>
    </w:p>
    <w:p w:rsidR="000C7DAD" w:rsidRPr="00651B71" w:rsidRDefault="000C7DAD" w:rsidP="00937D1E">
      <w:pPr>
        <w:spacing w:line="240" w:lineRule="auto"/>
        <w:rPr>
          <w:rFonts w:cs="Arial"/>
        </w:rPr>
      </w:pPr>
      <w:r w:rsidRPr="00651B71">
        <w:rPr>
          <w:rFonts w:cs="Arial"/>
        </w:rPr>
        <w:t>The Department of Education encourages schools to ensure that Year 12 students achieve their Senior Secondary Certi</w:t>
      </w:r>
      <w:r w:rsidR="00EB04AB">
        <w:rPr>
          <w:rFonts w:cs="Arial"/>
        </w:rPr>
        <w:t xml:space="preserve">ficate with an emphasis on post </w:t>
      </w:r>
      <w:r w:rsidRPr="00651B71">
        <w:rPr>
          <w:rFonts w:cs="Arial"/>
        </w:rPr>
        <w:t xml:space="preserve">school pathways of education, training and/or employment. </w:t>
      </w:r>
      <w:r w:rsidR="0060058B">
        <w:rPr>
          <w:rFonts w:cs="Arial"/>
        </w:rPr>
        <w:t>S</w:t>
      </w:r>
      <w:r w:rsidRPr="00651B71">
        <w:rPr>
          <w:rFonts w:cs="Arial"/>
        </w:rPr>
        <w:t xml:space="preserve">chools are supported to develop programs </w:t>
      </w:r>
      <w:r w:rsidR="0060058B">
        <w:rPr>
          <w:rFonts w:cs="Arial"/>
        </w:rPr>
        <w:t>for</w:t>
      </w:r>
      <w:r w:rsidR="002564F5">
        <w:rPr>
          <w:rFonts w:cs="Arial"/>
        </w:rPr>
        <w:t xml:space="preserve"> </w:t>
      </w:r>
      <w:r w:rsidRPr="00651B71">
        <w:rPr>
          <w:rFonts w:cs="Arial"/>
        </w:rPr>
        <w:t xml:space="preserve">students </w:t>
      </w:r>
      <w:r w:rsidR="0060058B">
        <w:rPr>
          <w:rFonts w:cs="Arial"/>
        </w:rPr>
        <w:t xml:space="preserve">to </w:t>
      </w:r>
      <w:r w:rsidRPr="00651B71">
        <w:rPr>
          <w:rFonts w:cs="Arial"/>
        </w:rPr>
        <w:t xml:space="preserve">achieve an </w:t>
      </w:r>
      <w:r w:rsidR="0060058B">
        <w:rPr>
          <w:rFonts w:cs="Arial"/>
        </w:rPr>
        <w:t>Australian Tertiary Admission Rank (</w:t>
      </w:r>
      <w:proofErr w:type="spellStart"/>
      <w:r w:rsidRPr="00651B71">
        <w:rPr>
          <w:rFonts w:cs="Arial"/>
        </w:rPr>
        <w:t>ATAR</w:t>
      </w:r>
      <w:proofErr w:type="spellEnd"/>
      <w:r w:rsidR="0060058B">
        <w:rPr>
          <w:rFonts w:cs="Arial"/>
        </w:rPr>
        <w:t>)</w:t>
      </w:r>
      <w:r w:rsidRPr="00651B71">
        <w:rPr>
          <w:rFonts w:cs="Arial"/>
        </w:rPr>
        <w:t xml:space="preserve"> of at least 55 and/or a Certificate II qualification. </w:t>
      </w:r>
      <w:r w:rsidR="0060058B">
        <w:rPr>
          <w:rFonts w:cs="Arial"/>
        </w:rPr>
        <w:t>S</w:t>
      </w:r>
      <w:r w:rsidRPr="00651B71">
        <w:rPr>
          <w:rFonts w:cs="Arial"/>
        </w:rPr>
        <w:t>upport</w:t>
      </w:r>
      <w:r w:rsidR="0060058B">
        <w:rPr>
          <w:rFonts w:cs="Arial"/>
        </w:rPr>
        <w:t>s include</w:t>
      </w:r>
      <w:r w:rsidRPr="00651B71">
        <w:rPr>
          <w:rFonts w:cs="Arial"/>
        </w:rPr>
        <w:t xml:space="preserve"> a wide range of resources available on-line</w:t>
      </w:r>
      <w:r w:rsidR="0060058B">
        <w:rPr>
          <w:rFonts w:cs="Arial"/>
        </w:rPr>
        <w:t>,</w:t>
      </w:r>
      <w:r w:rsidR="00196C9B">
        <w:rPr>
          <w:rFonts w:cs="Arial"/>
        </w:rPr>
        <w:t xml:space="preserve"> as well as access to </w:t>
      </w:r>
      <w:r w:rsidRPr="00651B71">
        <w:rPr>
          <w:rFonts w:cs="Arial"/>
        </w:rPr>
        <w:t>Secondary Support consultants</w:t>
      </w:r>
      <w:r w:rsidR="0060058B">
        <w:rPr>
          <w:rFonts w:cs="Arial"/>
        </w:rPr>
        <w:t>,</w:t>
      </w:r>
      <w:r w:rsidRPr="00651B71">
        <w:rPr>
          <w:rFonts w:cs="Arial"/>
        </w:rPr>
        <w:t xml:space="preserve"> who </w:t>
      </w:r>
      <w:r w:rsidR="0060058B">
        <w:rPr>
          <w:rFonts w:cs="Arial"/>
        </w:rPr>
        <w:t>offer</w:t>
      </w:r>
      <w:r w:rsidRPr="00651B71">
        <w:rPr>
          <w:rFonts w:cs="Arial"/>
        </w:rPr>
        <w:t xml:space="preserve"> specific advice regarding their senior secondary programs and courses.</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rPr>
      </w:pPr>
      <w:r w:rsidRPr="00651B71">
        <w:rPr>
          <w:rFonts w:cs="Arial"/>
        </w:rPr>
        <w:t xml:space="preserve">In addition, to support young people who are unable to successfully access and engage with mainstream school programs (including VET) or training and employment options, schools are encouraged to develop </w:t>
      </w:r>
      <w:r w:rsidR="0060058B">
        <w:rPr>
          <w:rFonts w:cs="Arial"/>
        </w:rPr>
        <w:t>e</w:t>
      </w:r>
      <w:r w:rsidRPr="00651B71">
        <w:rPr>
          <w:rFonts w:cs="Arial"/>
        </w:rPr>
        <w:t xml:space="preserve">ngagement </w:t>
      </w:r>
      <w:r w:rsidR="0060058B">
        <w:rPr>
          <w:rFonts w:cs="Arial"/>
        </w:rPr>
        <w:t>p</w:t>
      </w:r>
      <w:r w:rsidRPr="00651B71">
        <w:rPr>
          <w:rFonts w:cs="Arial"/>
        </w:rPr>
        <w:t xml:space="preserve">rograms.  These programs are specially tailored to respond to the needs of young people who may be experiencing difficulty with traditional schooling approaches and require a more supportive learning environment. Engagement </w:t>
      </w:r>
      <w:r w:rsidR="0060058B">
        <w:rPr>
          <w:rFonts w:cs="Arial"/>
        </w:rPr>
        <w:t>p</w:t>
      </w:r>
      <w:r w:rsidRPr="00651B71">
        <w:rPr>
          <w:rFonts w:cs="Arial"/>
        </w:rPr>
        <w:t xml:space="preserve">rograms provide students with the opportunity to achieve formal accreditation.  </w:t>
      </w:r>
    </w:p>
    <w:p w:rsidR="000C7DAD" w:rsidRPr="00651B71" w:rsidRDefault="000C7DAD" w:rsidP="00937D1E">
      <w:pPr>
        <w:spacing w:line="240" w:lineRule="auto"/>
        <w:rPr>
          <w:rFonts w:cs="Arial"/>
        </w:rPr>
      </w:pPr>
      <w:r w:rsidRPr="00651B71">
        <w:rPr>
          <w:rFonts w:cs="Arial"/>
        </w:rPr>
        <w:t xml:space="preserve">Public schools are encouraged to develop </w:t>
      </w:r>
      <w:r w:rsidR="0060058B">
        <w:rPr>
          <w:rFonts w:cs="Arial"/>
        </w:rPr>
        <w:t>e</w:t>
      </w:r>
      <w:r w:rsidRPr="00651B71">
        <w:rPr>
          <w:rFonts w:cs="Arial"/>
        </w:rPr>
        <w:t xml:space="preserve">ngagement </w:t>
      </w:r>
      <w:r w:rsidR="0060058B">
        <w:rPr>
          <w:rFonts w:cs="Arial"/>
        </w:rPr>
        <w:t>p</w:t>
      </w:r>
      <w:r w:rsidRPr="00651B71">
        <w:rPr>
          <w:rFonts w:cs="Arial"/>
        </w:rPr>
        <w:t>rograms that respond to the needs of their particular students within the context of their school and their community. Whilst this process has generated a range of programs, the following are key components of all programs:</w:t>
      </w:r>
    </w:p>
    <w:p w:rsidR="000C7DAD" w:rsidRPr="00651B71" w:rsidRDefault="00EB04AB" w:rsidP="00937D1E">
      <w:pPr>
        <w:numPr>
          <w:ilvl w:val="0"/>
          <w:numId w:val="11"/>
        </w:numPr>
        <w:spacing w:line="240" w:lineRule="auto"/>
        <w:jc w:val="both"/>
        <w:rPr>
          <w:rFonts w:cs="Arial"/>
        </w:rPr>
      </w:pPr>
      <w:r>
        <w:rPr>
          <w:rFonts w:cs="Arial"/>
        </w:rPr>
        <w:t>student focu</w:t>
      </w:r>
      <w:r w:rsidR="000C7DAD" w:rsidRPr="00651B71">
        <w:rPr>
          <w:rFonts w:cs="Arial"/>
        </w:rPr>
        <w:t xml:space="preserve">sed (as opposed to content); </w:t>
      </w:r>
    </w:p>
    <w:p w:rsidR="000C7DAD" w:rsidRPr="00651B71" w:rsidRDefault="000C7DAD" w:rsidP="00937D1E">
      <w:pPr>
        <w:numPr>
          <w:ilvl w:val="0"/>
          <w:numId w:val="11"/>
        </w:numPr>
        <w:spacing w:line="240" w:lineRule="auto"/>
        <w:jc w:val="both"/>
        <w:rPr>
          <w:rFonts w:cs="Arial"/>
        </w:rPr>
      </w:pPr>
      <w:r w:rsidRPr="00651B71">
        <w:rPr>
          <w:rFonts w:cs="Arial"/>
        </w:rPr>
        <w:t xml:space="preserve">case management approach; </w:t>
      </w:r>
    </w:p>
    <w:p w:rsidR="000C7DAD" w:rsidRPr="00651B71" w:rsidRDefault="000C7DAD" w:rsidP="00937D1E">
      <w:pPr>
        <w:numPr>
          <w:ilvl w:val="0"/>
          <w:numId w:val="11"/>
        </w:numPr>
        <w:spacing w:line="240" w:lineRule="auto"/>
        <w:jc w:val="both"/>
        <w:rPr>
          <w:rFonts w:cs="Arial"/>
        </w:rPr>
      </w:pPr>
      <w:r w:rsidRPr="00651B71">
        <w:rPr>
          <w:rFonts w:cs="Arial"/>
        </w:rPr>
        <w:t>core curriculum based around numeracy and literacy;</w:t>
      </w:r>
    </w:p>
    <w:p w:rsidR="000C7DAD" w:rsidRPr="00651B71" w:rsidRDefault="000C7DAD" w:rsidP="00937D1E">
      <w:pPr>
        <w:numPr>
          <w:ilvl w:val="0"/>
          <w:numId w:val="11"/>
        </w:numPr>
        <w:spacing w:line="240" w:lineRule="auto"/>
        <w:jc w:val="both"/>
        <w:rPr>
          <w:rFonts w:cs="Arial"/>
        </w:rPr>
      </w:pPr>
      <w:r w:rsidRPr="00651B71">
        <w:rPr>
          <w:rFonts w:cs="Arial"/>
        </w:rPr>
        <w:t xml:space="preserve">formal accreditation and skill development; </w:t>
      </w:r>
    </w:p>
    <w:p w:rsidR="000C7DAD" w:rsidRPr="00651B71" w:rsidRDefault="000C7DAD" w:rsidP="00937D1E">
      <w:pPr>
        <w:numPr>
          <w:ilvl w:val="0"/>
          <w:numId w:val="11"/>
        </w:numPr>
        <w:spacing w:line="240" w:lineRule="auto"/>
        <w:jc w:val="both"/>
        <w:rPr>
          <w:rFonts w:cs="Arial"/>
        </w:rPr>
      </w:pPr>
      <w:r w:rsidRPr="00651B71">
        <w:rPr>
          <w:rFonts w:cs="Arial"/>
        </w:rPr>
        <w:t xml:space="preserve">provision of and access to additional student support; </w:t>
      </w:r>
    </w:p>
    <w:p w:rsidR="000C7DAD" w:rsidRPr="00651B71" w:rsidRDefault="000C7DAD" w:rsidP="00937D1E">
      <w:pPr>
        <w:numPr>
          <w:ilvl w:val="0"/>
          <w:numId w:val="11"/>
        </w:numPr>
        <w:spacing w:line="240" w:lineRule="auto"/>
        <w:jc w:val="both"/>
        <w:rPr>
          <w:rFonts w:cs="Arial"/>
        </w:rPr>
      </w:pPr>
      <w:r w:rsidRPr="00651B71">
        <w:rPr>
          <w:rFonts w:cs="Arial"/>
        </w:rPr>
        <w:t xml:space="preserve">focus on development of social and emotional competencies as well as academic; </w:t>
      </w:r>
    </w:p>
    <w:p w:rsidR="000C7DAD" w:rsidRPr="00651B71" w:rsidRDefault="000C7DAD" w:rsidP="00937D1E">
      <w:pPr>
        <w:numPr>
          <w:ilvl w:val="0"/>
          <w:numId w:val="11"/>
        </w:numPr>
        <w:spacing w:line="240" w:lineRule="auto"/>
        <w:jc w:val="both"/>
        <w:rPr>
          <w:rFonts w:cs="Arial"/>
        </w:rPr>
      </w:pPr>
      <w:r w:rsidRPr="00651B71">
        <w:rPr>
          <w:rFonts w:cs="Arial"/>
        </w:rPr>
        <w:t xml:space="preserve">smaller class sizes; and </w:t>
      </w:r>
    </w:p>
    <w:p w:rsidR="000C7DAD" w:rsidRPr="00651B71" w:rsidRDefault="00EB04AB" w:rsidP="00937D1E">
      <w:pPr>
        <w:numPr>
          <w:ilvl w:val="0"/>
          <w:numId w:val="11"/>
        </w:numPr>
        <w:spacing w:line="240" w:lineRule="auto"/>
        <w:jc w:val="both"/>
        <w:rPr>
          <w:rFonts w:cs="Arial"/>
        </w:rPr>
      </w:pPr>
      <w:proofErr w:type="gramStart"/>
      <w:r>
        <w:rPr>
          <w:rFonts w:cs="Arial"/>
        </w:rPr>
        <w:t>student</w:t>
      </w:r>
      <w:proofErr w:type="gramEnd"/>
      <w:r>
        <w:rPr>
          <w:rFonts w:cs="Arial"/>
        </w:rPr>
        <w:t xml:space="preserve"> </w:t>
      </w:r>
      <w:r w:rsidR="000C7DAD" w:rsidRPr="00651B71">
        <w:rPr>
          <w:rFonts w:cs="Arial"/>
        </w:rPr>
        <w:t xml:space="preserve">centred teaching and learning approach. </w:t>
      </w:r>
    </w:p>
    <w:p w:rsidR="000C7DAD" w:rsidRPr="00651B71" w:rsidRDefault="000C7DAD" w:rsidP="00937D1E">
      <w:pPr>
        <w:pStyle w:val="Heading3"/>
        <w:spacing w:line="240" w:lineRule="auto"/>
        <w:rPr>
          <w:noProof/>
        </w:rPr>
      </w:pPr>
      <w:r w:rsidRPr="00651B71">
        <w:rPr>
          <w:noProof/>
        </w:rPr>
        <w:t>3.4</w:t>
      </w:r>
      <w:r w:rsidRPr="00651B71">
        <w:rPr>
          <w:noProof/>
        </w:rPr>
        <w:tab/>
      </w:r>
      <w:r w:rsidRPr="006D1584">
        <w:t>Catholic Education Office of W</w:t>
      </w:r>
      <w:r w:rsidR="00B706E9" w:rsidRPr="006D1584">
        <w:t xml:space="preserve">estern Australia </w:t>
      </w:r>
      <w:r w:rsidRPr="006D1584">
        <w:t>initiatives</w:t>
      </w:r>
    </w:p>
    <w:p w:rsidR="00977BCA" w:rsidRPr="00651B71" w:rsidRDefault="00977BCA" w:rsidP="00937D1E">
      <w:pPr>
        <w:spacing w:line="240" w:lineRule="auto"/>
        <w:rPr>
          <w:rFonts w:cs="Arial"/>
        </w:rPr>
      </w:pPr>
      <w:r w:rsidRPr="00651B71">
        <w:rPr>
          <w:rFonts w:cs="Arial"/>
        </w:rPr>
        <w:t>Schools implement various programs to suit the student cohort within their school and also programs such as Vocational Education and Training in Schools (</w:t>
      </w:r>
      <w:proofErr w:type="spellStart"/>
      <w:r w:rsidRPr="00651B71">
        <w:rPr>
          <w:rFonts w:cs="Arial"/>
        </w:rPr>
        <w:t>VETiS</w:t>
      </w:r>
      <w:proofErr w:type="spellEnd"/>
      <w:r w:rsidRPr="00651B71">
        <w:rPr>
          <w:rFonts w:cs="Arial"/>
        </w:rPr>
        <w:t xml:space="preserve">), </w:t>
      </w:r>
      <w:r w:rsidR="00196C9B">
        <w:rPr>
          <w:rFonts w:cs="Arial"/>
        </w:rPr>
        <w:t xml:space="preserve">and </w:t>
      </w:r>
      <w:r>
        <w:rPr>
          <w:rFonts w:cs="Arial"/>
        </w:rPr>
        <w:t>a</w:t>
      </w:r>
      <w:r w:rsidRPr="00651B71">
        <w:rPr>
          <w:rFonts w:cs="Arial"/>
        </w:rPr>
        <w:t xml:space="preserve">pprenticeships and </w:t>
      </w:r>
      <w:r>
        <w:rPr>
          <w:rFonts w:cs="Arial"/>
        </w:rPr>
        <w:t>t</w:t>
      </w:r>
      <w:r w:rsidRPr="00651B71">
        <w:rPr>
          <w:rFonts w:cs="Arial"/>
        </w:rPr>
        <w:t>raineeships to cater for all students</w:t>
      </w:r>
      <w:r>
        <w:rPr>
          <w:rFonts w:cs="Arial"/>
        </w:rPr>
        <w:t>’</w:t>
      </w:r>
      <w:r w:rsidRPr="00651B71">
        <w:rPr>
          <w:rFonts w:cs="Arial"/>
        </w:rPr>
        <w:t xml:space="preserve"> educational requirements.  The </w:t>
      </w:r>
      <w:r w:rsidRPr="00CE1BC6">
        <w:rPr>
          <w:rFonts w:cs="Arial"/>
          <w:i/>
        </w:rPr>
        <w:t>Processes and Procedures for Funding</w:t>
      </w:r>
      <w:r w:rsidRPr="00651B71">
        <w:rPr>
          <w:rFonts w:cs="Arial"/>
        </w:rPr>
        <w:t xml:space="preserve"> were </w:t>
      </w:r>
      <w:r>
        <w:rPr>
          <w:rFonts w:cs="Arial"/>
        </w:rPr>
        <w:t>implemented</w:t>
      </w:r>
      <w:r w:rsidRPr="00651B71">
        <w:rPr>
          <w:rFonts w:cs="Arial"/>
        </w:rPr>
        <w:t xml:space="preserve"> </w:t>
      </w:r>
      <w:r>
        <w:rPr>
          <w:rFonts w:cs="Arial"/>
        </w:rPr>
        <w:t xml:space="preserve">in 2010 </w:t>
      </w:r>
      <w:r w:rsidRPr="00651B71">
        <w:rPr>
          <w:rFonts w:cs="Arial"/>
        </w:rPr>
        <w:t xml:space="preserve">to promote students </w:t>
      </w:r>
      <w:r>
        <w:rPr>
          <w:rFonts w:cs="Arial"/>
        </w:rPr>
        <w:t>e</w:t>
      </w:r>
      <w:r w:rsidRPr="00651B71">
        <w:rPr>
          <w:rFonts w:cs="Arial"/>
        </w:rPr>
        <w:t xml:space="preserve">nrolling in Certificate II and higher in line with the </w:t>
      </w:r>
      <w:proofErr w:type="spellStart"/>
      <w:r>
        <w:rPr>
          <w:rFonts w:cs="Arial"/>
        </w:rPr>
        <w:t>NPYAT</w:t>
      </w:r>
      <w:proofErr w:type="spellEnd"/>
      <w:r w:rsidRPr="00651B71">
        <w:rPr>
          <w:rFonts w:cs="Arial"/>
        </w:rPr>
        <w:t xml:space="preserve"> requirements.  This has ensured students are working towards </w:t>
      </w:r>
      <w:r>
        <w:rPr>
          <w:rFonts w:cs="Arial"/>
        </w:rPr>
        <w:t xml:space="preserve">Certificate II and above </w:t>
      </w:r>
      <w:r w:rsidRPr="00651B71">
        <w:rPr>
          <w:rFonts w:cs="Arial"/>
        </w:rPr>
        <w:t>complet</w:t>
      </w:r>
      <w:r>
        <w:rPr>
          <w:rFonts w:cs="Arial"/>
        </w:rPr>
        <w:t>ion</w:t>
      </w:r>
      <w:r w:rsidRPr="00651B71">
        <w:rPr>
          <w:rFonts w:cs="Arial"/>
        </w:rPr>
        <w:t xml:space="preserve"> and have recognised pathways.</w:t>
      </w:r>
    </w:p>
    <w:p w:rsidR="00977BCA" w:rsidRPr="00651B71" w:rsidRDefault="00977BCA" w:rsidP="00937D1E">
      <w:pPr>
        <w:spacing w:line="240" w:lineRule="auto"/>
        <w:rPr>
          <w:rFonts w:cs="Arial"/>
        </w:rPr>
      </w:pPr>
    </w:p>
    <w:p w:rsidR="00977BCA" w:rsidRPr="00651B71" w:rsidRDefault="00977BCA" w:rsidP="00937D1E">
      <w:pPr>
        <w:spacing w:line="240" w:lineRule="auto"/>
        <w:rPr>
          <w:rFonts w:cs="Arial"/>
        </w:rPr>
      </w:pPr>
      <w:r w:rsidRPr="00651B71">
        <w:rPr>
          <w:rFonts w:cs="Arial"/>
        </w:rPr>
        <w:t xml:space="preserve">The </w:t>
      </w:r>
      <w:r w:rsidRPr="00CE1BC6">
        <w:rPr>
          <w:rFonts w:cs="Arial"/>
          <w:i/>
        </w:rPr>
        <w:t>Aboriginal School Based Training Institutional Pathway Program</w:t>
      </w:r>
      <w:r w:rsidRPr="00651B71">
        <w:rPr>
          <w:rFonts w:cs="Arial"/>
        </w:rPr>
        <w:t xml:space="preserve"> w</w:t>
      </w:r>
      <w:r>
        <w:rPr>
          <w:rFonts w:cs="Arial"/>
        </w:rPr>
        <w:t>as</w:t>
      </w:r>
      <w:r w:rsidRPr="00651B71">
        <w:rPr>
          <w:rFonts w:cs="Arial"/>
        </w:rPr>
        <w:t xml:space="preserve"> supported and offered </w:t>
      </w:r>
      <w:r>
        <w:rPr>
          <w:rFonts w:cs="Arial"/>
        </w:rPr>
        <w:t xml:space="preserve">in </w:t>
      </w:r>
      <w:r w:rsidRPr="00651B71">
        <w:rPr>
          <w:rFonts w:cs="Arial"/>
        </w:rPr>
        <w:t xml:space="preserve">2012. The </w:t>
      </w:r>
      <w:r>
        <w:rPr>
          <w:rFonts w:cs="Arial"/>
        </w:rPr>
        <w:t>p</w:t>
      </w:r>
      <w:r w:rsidRPr="00651B71">
        <w:rPr>
          <w:rFonts w:cs="Arial"/>
        </w:rPr>
        <w:t xml:space="preserve">rogram </w:t>
      </w:r>
      <w:r>
        <w:rPr>
          <w:rFonts w:cs="Arial"/>
        </w:rPr>
        <w:t>l</w:t>
      </w:r>
      <w:r w:rsidRPr="00651B71">
        <w:rPr>
          <w:rFonts w:cs="Arial"/>
        </w:rPr>
        <w:t>ead</w:t>
      </w:r>
      <w:r>
        <w:rPr>
          <w:rFonts w:cs="Arial"/>
        </w:rPr>
        <w:t>s</w:t>
      </w:r>
      <w:r w:rsidRPr="00651B71">
        <w:rPr>
          <w:rFonts w:cs="Arial"/>
        </w:rPr>
        <w:t xml:space="preserve"> to either an institutional or a school based traineeshi</w:t>
      </w:r>
      <w:r w:rsidR="00A03016">
        <w:rPr>
          <w:rFonts w:cs="Arial"/>
        </w:rPr>
        <w:t>p pathway in Years 10, 11 or 12.</w:t>
      </w:r>
    </w:p>
    <w:p w:rsidR="00977BCA" w:rsidRPr="00651B71" w:rsidRDefault="00977BCA" w:rsidP="00937D1E">
      <w:pPr>
        <w:spacing w:line="240" w:lineRule="auto"/>
        <w:rPr>
          <w:rFonts w:cs="Arial"/>
        </w:rPr>
      </w:pPr>
    </w:p>
    <w:p w:rsidR="00977BCA" w:rsidRDefault="00977BCA" w:rsidP="00937D1E">
      <w:pPr>
        <w:spacing w:line="240" w:lineRule="auto"/>
        <w:rPr>
          <w:rFonts w:cs="Arial"/>
        </w:rPr>
      </w:pPr>
      <w:r w:rsidRPr="00651B71">
        <w:rPr>
          <w:rFonts w:cs="Arial"/>
        </w:rPr>
        <w:t xml:space="preserve">The </w:t>
      </w:r>
      <w:proofErr w:type="spellStart"/>
      <w:r>
        <w:rPr>
          <w:rFonts w:cs="Arial"/>
        </w:rPr>
        <w:t>CEOWA</w:t>
      </w:r>
      <w:proofErr w:type="spellEnd"/>
      <w:r>
        <w:rPr>
          <w:rFonts w:cs="Arial"/>
        </w:rPr>
        <w:t xml:space="preserve"> </w:t>
      </w:r>
      <w:r w:rsidRPr="00651B71">
        <w:rPr>
          <w:rFonts w:cs="Arial"/>
        </w:rPr>
        <w:t xml:space="preserve">facilitates the sharing of good practice and strategies between schools and </w:t>
      </w:r>
      <w:r>
        <w:rPr>
          <w:rFonts w:cs="Arial"/>
        </w:rPr>
        <w:t xml:space="preserve">provides </w:t>
      </w:r>
      <w:r w:rsidRPr="00651B71">
        <w:rPr>
          <w:rFonts w:cs="Arial"/>
        </w:rPr>
        <w:t xml:space="preserve">a valuable part of whole school improvement with obvious links to Quality Catholic Schooling (QCS). Facilitator teachers from various schools </w:t>
      </w:r>
      <w:r>
        <w:rPr>
          <w:rFonts w:cs="Arial"/>
        </w:rPr>
        <w:t>coordinate g</w:t>
      </w:r>
      <w:r w:rsidRPr="00651B71">
        <w:rPr>
          <w:rFonts w:cs="Arial"/>
        </w:rPr>
        <w:t xml:space="preserve">roup meetings and provide ongoing advice to teachers in preparation for student transition.  This gives an opportunity for outstanding practitioners to share their knowledge and expertise, </w:t>
      </w:r>
      <w:r>
        <w:rPr>
          <w:rFonts w:cs="Arial"/>
        </w:rPr>
        <w:t xml:space="preserve">and </w:t>
      </w:r>
      <w:r w:rsidRPr="00651B71">
        <w:rPr>
          <w:rFonts w:cs="Arial"/>
        </w:rPr>
        <w:t>thus capacity building across the system. The QCS project creates and implements a whole-school planning and an improvement framework for all Catholic Schools in We</w:t>
      </w:r>
      <w:r>
        <w:rPr>
          <w:rFonts w:cs="Arial"/>
        </w:rPr>
        <w:t xml:space="preserve">stern Australia. </w:t>
      </w:r>
    </w:p>
    <w:p w:rsidR="00977BCA" w:rsidRDefault="00977BCA" w:rsidP="00937D1E">
      <w:pPr>
        <w:spacing w:line="240" w:lineRule="auto"/>
        <w:rPr>
          <w:rFonts w:cs="Arial"/>
        </w:rPr>
      </w:pPr>
    </w:p>
    <w:p w:rsidR="00977BCA" w:rsidRPr="00AA1147" w:rsidRDefault="00977BCA" w:rsidP="00937D1E">
      <w:pPr>
        <w:spacing w:line="240" w:lineRule="auto"/>
        <w:rPr>
          <w:rFonts w:cs="Arial"/>
        </w:rPr>
      </w:pPr>
      <w:r>
        <w:rPr>
          <w:rFonts w:cs="Arial"/>
        </w:rPr>
        <w:t>Schools adhere to the Aboriginal Education Policy, Aboriginal and Torres Strait Islander Education Action Plan 2010 – 2014 and Catholic Education Strategic Plan when implementing school programs for Aboriginal students.  The Catholic system has two Curriculum and Re-engagement (CARE) schools which offer specialised programs for Aboriginal students.</w:t>
      </w:r>
    </w:p>
    <w:p w:rsidR="000C7DAD" w:rsidRPr="006D1584" w:rsidRDefault="000C7DAD" w:rsidP="00937D1E">
      <w:pPr>
        <w:pStyle w:val="Heading3"/>
        <w:spacing w:line="240" w:lineRule="auto"/>
      </w:pPr>
      <w:r w:rsidRPr="006D1584">
        <w:t>3.5</w:t>
      </w:r>
      <w:r w:rsidRPr="006D1584">
        <w:tab/>
        <w:t>Association of Independent Schools of Western Australia initiatives</w:t>
      </w:r>
    </w:p>
    <w:p w:rsidR="000C7DAD" w:rsidRPr="00651B71" w:rsidRDefault="000C7DAD" w:rsidP="00937D1E">
      <w:pPr>
        <w:spacing w:line="240" w:lineRule="auto"/>
        <w:rPr>
          <w:rFonts w:cs="Arial"/>
        </w:rPr>
      </w:pPr>
      <w:r w:rsidRPr="00651B71">
        <w:rPr>
          <w:rFonts w:cs="Arial"/>
        </w:rPr>
        <w:t>Independent schools offer a range of individual school programs and also VET in Schools</w:t>
      </w:r>
      <w:r w:rsidR="00CE1BC6">
        <w:rPr>
          <w:rFonts w:cs="Arial"/>
        </w:rPr>
        <w:t xml:space="preserve"> (</w:t>
      </w:r>
      <w:proofErr w:type="spellStart"/>
      <w:r w:rsidR="00CE1BC6">
        <w:rPr>
          <w:rFonts w:cs="Arial"/>
        </w:rPr>
        <w:t>VETiS</w:t>
      </w:r>
      <w:proofErr w:type="spellEnd"/>
      <w:r w:rsidR="00CE1BC6">
        <w:rPr>
          <w:rFonts w:cs="Arial"/>
        </w:rPr>
        <w:t>)</w:t>
      </w:r>
      <w:r w:rsidRPr="00651B71">
        <w:rPr>
          <w:rFonts w:cs="Arial"/>
        </w:rPr>
        <w:t>, school based apprenticeship</w:t>
      </w:r>
      <w:r w:rsidR="0097282F">
        <w:rPr>
          <w:rFonts w:cs="Arial"/>
        </w:rPr>
        <w:t>s</w:t>
      </w:r>
      <w:r w:rsidRPr="00651B71">
        <w:rPr>
          <w:rFonts w:cs="Arial"/>
        </w:rPr>
        <w:t xml:space="preserve"> and traineeships and work based learning.</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rPr>
      </w:pPr>
      <w:r w:rsidRPr="00651B71">
        <w:rPr>
          <w:rFonts w:cs="Arial"/>
        </w:rPr>
        <w:t>Seven CARE (Curriculum and Re-engagement) schools implement a number of specialised programs to cater for the specific needs of their student cohort, with the overall aim to increase re-engagement and attainment.</w:t>
      </w:r>
    </w:p>
    <w:p w:rsidR="000C7DAD" w:rsidRPr="00651B71" w:rsidRDefault="000C7DAD" w:rsidP="00937D1E">
      <w:pPr>
        <w:pStyle w:val="Heading3"/>
        <w:spacing w:line="240" w:lineRule="auto"/>
      </w:pPr>
      <w:r w:rsidRPr="00651B71">
        <w:t>3.6</w:t>
      </w:r>
      <w:r w:rsidRPr="00651B71">
        <w:tab/>
        <w:t>Department of Corrective Service</w:t>
      </w:r>
      <w:r w:rsidR="00ED20B5">
        <w:t xml:space="preserve">s </w:t>
      </w:r>
    </w:p>
    <w:p w:rsidR="00E81B57" w:rsidRDefault="00E81B57" w:rsidP="00937D1E">
      <w:pPr>
        <w:spacing w:line="240" w:lineRule="auto"/>
        <w:rPr>
          <w:rFonts w:cs="Arial"/>
        </w:rPr>
      </w:pPr>
      <w:r>
        <w:rPr>
          <w:rFonts w:cs="Arial"/>
        </w:rPr>
        <w:t>D</w:t>
      </w:r>
      <w:r w:rsidR="00EB04AB">
        <w:rPr>
          <w:rFonts w:cs="Arial"/>
        </w:rPr>
        <w:t>epar</w:t>
      </w:r>
      <w:r w:rsidR="00196C9B">
        <w:rPr>
          <w:rFonts w:cs="Arial"/>
        </w:rPr>
        <w:t>tment of Corrective Services (</w:t>
      </w:r>
      <w:proofErr w:type="spellStart"/>
      <w:r w:rsidR="00196C9B">
        <w:rPr>
          <w:rFonts w:cs="Arial"/>
        </w:rPr>
        <w:t>D</w:t>
      </w:r>
      <w:r w:rsidR="00EB04AB">
        <w:rPr>
          <w:rFonts w:cs="Arial"/>
        </w:rPr>
        <w:t>C</w:t>
      </w:r>
      <w:r w:rsidR="00196C9B">
        <w:rPr>
          <w:rFonts w:cs="Arial"/>
        </w:rPr>
        <w:t>S</w:t>
      </w:r>
      <w:proofErr w:type="spellEnd"/>
      <w:r w:rsidR="00EB04AB">
        <w:rPr>
          <w:rFonts w:cs="Arial"/>
        </w:rPr>
        <w:t xml:space="preserve">) </w:t>
      </w:r>
      <w:r>
        <w:rPr>
          <w:rFonts w:cs="Arial"/>
        </w:rPr>
        <w:t xml:space="preserve">has commissioned an 80 bed prison for 18 to 24 year old prisoners, which focuses on providing education, training and skill development. The Department’s Education and Vocational Training Unit is now introducing an emotional intelligence course into </w:t>
      </w:r>
      <w:r w:rsidR="00027D81">
        <w:rPr>
          <w:rFonts w:cs="Arial"/>
        </w:rPr>
        <w:t xml:space="preserve">their </w:t>
      </w:r>
      <w:r>
        <w:rPr>
          <w:rFonts w:cs="Arial"/>
        </w:rPr>
        <w:t>VET training</w:t>
      </w:r>
      <w:r w:rsidR="00027D81">
        <w:rPr>
          <w:rFonts w:cs="Arial"/>
        </w:rPr>
        <w:t xml:space="preserve"> programs</w:t>
      </w:r>
      <w:r>
        <w:rPr>
          <w:rFonts w:cs="Arial"/>
        </w:rPr>
        <w:t xml:space="preserve">, to address the issue of an identified lack of inter and intra personal communication skills. The course is provided to </w:t>
      </w:r>
      <w:r>
        <w:t>better equip the prisoner population both socially and emotionally to tackle the job market.</w:t>
      </w:r>
      <w:r>
        <w:rPr>
          <w:rFonts w:cs="Arial"/>
        </w:rPr>
        <w:t xml:space="preserve"> This deficiency in communication skills has been proven to undermine attempts at securing sustainable employment placement in the workforce.</w:t>
      </w:r>
    </w:p>
    <w:p w:rsidR="000C7DAD" w:rsidRPr="00651B71" w:rsidRDefault="002C3F70" w:rsidP="00937D1E">
      <w:pPr>
        <w:pStyle w:val="Heading2"/>
        <w:spacing w:line="240" w:lineRule="auto"/>
        <w:rPr>
          <w:noProof/>
          <w:webHidden/>
        </w:rPr>
      </w:pPr>
      <w:bookmarkStart w:id="17" w:name="_Toc384044189"/>
      <w:r>
        <w:rPr>
          <w:noProof/>
          <w:webHidden/>
        </w:rPr>
        <w:t xml:space="preserve">4. </w:t>
      </w:r>
      <w:r w:rsidR="00365DC0">
        <w:rPr>
          <w:noProof/>
          <w:webHidden/>
        </w:rPr>
        <w:t>Progress/Impact as a result of t</w:t>
      </w:r>
      <w:r w:rsidR="00365DC0" w:rsidRPr="00651B71">
        <w:rPr>
          <w:noProof/>
          <w:webHidden/>
        </w:rPr>
        <w:t xml:space="preserve">he </w:t>
      </w:r>
      <w:r w:rsidR="000C7DAD" w:rsidRPr="00651B71">
        <w:rPr>
          <w:noProof/>
          <w:webHidden/>
        </w:rPr>
        <w:t>NPYAT</w:t>
      </w:r>
      <w:bookmarkEnd w:id="17"/>
    </w:p>
    <w:p w:rsidR="009639A6" w:rsidRDefault="009639A6" w:rsidP="00937D1E">
      <w:pPr>
        <w:spacing w:line="240" w:lineRule="auto"/>
      </w:pPr>
      <w:r>
        <w:t>The National Partnership has facilitated collaborative, long term relationships between stakeholders, which is contributing to successful out</w:t>
      </w:r>
      <w:r w:rsidR="00DF7439">
        <w:t xml:space="preserve">comes </w:t>
      </w:r>
      <w:r>
        <w:t>in Western Australia including:</w:t>
      </w:r>
    </w:p>
    <w:p w:rsidR="009639A6" w:rsidRDefault="009639A6" w:rsidP="00BA3E66">
      <w:pPr>
        <w:pStyle w:val="ListParagraph"/>
        <w:numPr>
          <w:ilvl w:val="0"/>
          <w:numId w:val="30"/>
        </w:numPr>
        <w:spacing w:after="200" w:line="240" w:lineRule="auto"/>
      </w:pPr>
      <w:r>
        <w:t xml:space="preserve">Completion of </w:t>
      </w:r>
      <w:r w:rsidRPr="002F743F">
        <w:t>career</w:t>
      </w:r>
      <w:r>
        <w:t xml:space="preserve"> </w:t>
      </w:r>
      <w:r w:rsidRPr="002F743F">
        <w:t>development</w:t>
      </w:r>
      <w:r>
        <w:t xml:space="preserve"> resources and subsequent professional development for Career Practitioners conducted across all school sectors.</w:t>
      </w:r>
    </w:p>
    <w:p w:rsidR="009639A6" w:rsidRDefault="009639A6" w:rsidP="00BA3E66">
      <w:pPr>
        <w:pStyle w:val="ListParagraph"/>
        <w:numPr>
          <w:ilvl w:val="0"/>
          <w:numId w:val="30"/>
        </w:numPr>
        <w:spacing w:after="200" w:line="240" w:lineRule="auto"/>
      </w:pPr>
      <w:r>
        <w:t>A successful School Leaver Destination Survey was conducted across all school sectors involving the 2012 Year 12 cohort</w:t>
      </w:r>
      <w:r w:rsidR="00DF7439">
        <w:t>, w</w:t>
      </w:r>
      <w:r>
        <w:t>ith around 6,000 students contacted who are not currently enrolled in a university, State Training Providers or in an apprenticeship/traineeship, to determine transition trends.  The survey also allowed critical links to be established between the Department’s Workforce Development Centres and students who need advice and assistance with training and employment options.</w:t>
      </w:r>
    </w:p>
    <w:p w:rsidR="009B0338" w:rsidRDefault="009B0338" w:rsidP="00BA3E66">
      <w:pPr>
        <w:pStyle w:val="ListParagraph"/>
        <w:numPr>
          <w:ilvl w:val="0"/>
          <w:numId w:val="30"/>
        </w:numPr>
        <w:spacing w:after="200" w:line="240" w:lineRule="auto"/>
      </w:pPr>
      <w:r>
        <w:t xml:space="preserve">The </w:t>
      </w:r>
      <w:r w:rsidRPr="006B40ED">
        <w:rPr>
          <w:i/>
        </w:rPr>
        <w:t>W</w:t>
      </w:r>
      <w:r w:rsidR="006B40ED" w:rsidRPr="006B40ED">
        <w:rPr>
          <w:i/>
        </w:rPr>
        <w:t xml:space="preserve">estern Australian </w:t>
      </w:r>
      <w:r w:rsidRPr="006B40ED">
        <w:rPr>
          <w:i/>
        </w:rPr>
        <w:t>Youth Mentoring Framework</w:t>
      </w:r>
      <w:r>
        <w:t xml:space="preserve"> was released late 2012; seven community sector mentoring agencies collaborated to develop a suite of resources to demonstrate b</w:t>
      </w:r>
      <w:r w:rsidR="00DF7439">
        <w:t xml:space="preserve">est </w:t>
      </w:r>
      <w:r w:rsidR="00DF7439">
        <w:lastRenderedPageBreak/>
        <w:t xml:space="preserve">practice in youth mentoring </w:t>
      </w:r>
      <w:r>
        <w:t>and additional training was delivered across the State to increase awareness of national benchmarks.</w:t>
      </w:r>
    </w:p>
    <w:p w:rsidR="009639A6" w:rsidRDefault="009639A6" w:rsidP="00BA3E66">
      <w:pPr>
        <w:pStyle w:val="ListParagraph"/>
        <w:numPr>
          <w:ilvl w:val="0"/>
          <w:numId w:val="30"/>
        </w:numPr>
        <w:spacing w:after="200" w:line="240" w:lineRule="auto"/>
      </w:pPr>
      <w:r>
        <w:t xml:space="preserve">Additional </w:t>
      </w:r>
      <w:proofErr w:type="spellStart"/>
      <w:r>
        <w:t>VETiS</w:t>
      </w:r>
      <w:proofErr w:type="spellEnd"/>
      <w:r>
        <w:t xml:space="preserve"> delivery in the State’s priority occupation areas. </w:t>
      </w:r>
    </w:p>
    <w:p w:rsidR="009639A6" w:rsidRDefault="009639A6" w:rsidP="00BA3E66">
      <w:pPr>
        <w:pStyle w:val="ListParagraph"/>
        <w:numPr>
          <w:ilvl w:val="0"/>
          <w:numId w:val="30"/>
        </w:numPr>
        <w:spacing w:after="200" w:line="240" w:lineRule="auto"/>
      </w:pPr>
      <w:r>
        <w:t>Strong interest and subsequent take up from teachers from all school sectors/system to undertake the Certificate IV Training and Assessment and upgrade relevant industry qualifications to enhance their a</w:t>
      </w:r>
      <w:r w:rsidR="00977BCA">
        <w:t>bility to d</w:t>
      </w:r>
      <w:r w:rsidR="00DF7439">
        <w:t xml:space="preserve">eliver quality </w:t>
      </w:r>
      <w:proofErr w:type="spellStart"/>
      <w:r w:rsidR="00DF7439">
        <w:t>VETiS</w:t>
      </w:r>
      <w:proofErr w:type="spellEnd"/>
      <w:r w:rsidR="00DF7439">
        <w:t xml:space="preserve"> and engage</w:t>
      </w:r>
      <w:r w:rsidR="00977BCA">
        <w:t xml:space="preserve"> in career coaching courses.</w:t>
      </w:r>
      <w:r w:rsidR="00977BCA" w:rsidRPr="002F743F">
        <w:t xml:space="preserve"> </w:t>
      </w:r>
      <w:r w:rsidRPr="002F743F">
        <w:t xml:space="preserve"> </w:t>
      </w:r>
    </w:p>
    <w:p w:rsidR="009639A6" w:rsidRDefault="0035241C" w:rsidP="00BA3E66">
      <w:pPr>
        <w:pStyle w:val="ListParagraph"/>
        <w:numPr>
          <w:ilvl w:val="0"/>
          <w:numId w:val="30"/>
        </w:numPr>
        <w:spacing w:after="200" w:line="240" w:lineRule="auto"/>
      </w:pPr>
      <w:r>
        <w:t>There has been</w:t>
      </w:r>
      <w:r w:rsidR="009639A6">
        <w:t xml:space="preserve"> considerable uptake from Prison Officers to complete their Certificate IV Training and Assessment; career guidance including post-r</w:t>
      </w:r>
      <w:r w:rsidR="001C324C">
        <w:t>elease assistance has increased</w:t>
      </w:r>
      <w:r w:rsidR="009639A6">
        <w:t xml:space="preserve"> substantially in W</w:t>
      </w:r>
      <w:r w:rsidR="006B40ED">
        <w:t xml:space="preserve">estern Australian </w:t>
      </w:r>
      <w:r w:rsidR="009639A6">
        <w:t xml:space="preserve">prisons; </w:t>
      </w:r>
      <w:r w:rsidR="001C324C">
        <w:t xml:space="preserve">a number of </w:t>
      </w:r>
      <w:r w:rsidR="009639A6">
        <w:t xml:space="preserve">youth at risk </w:t>
      </w:r>
      <w:r w:rsidR="001C324C">
        <w:t xml:space="preserve">have commenced in traineeships; and a </w:t>
      </w:r>
      <w:r w:rsidR="009639A6">
        <w:t xml:space="preserve">unique program </w:t>
      </w:r>
      <w:r w:rsidR="001C324C">
        <w:t xml:space="preserve">commenced </w:t>
      </w:r>
      <w:r w:rsidR="009639A6">
        <w:t>for Aboriginal youth at risk combining conservation and land management traineeship</w:t>
      </w:r>
      <w:r w:rsidR="001C324C">
        <w:t>s</w:t>
      </w:r>
      <w:r w:rsidR="009639A6">
        <w:t xml:space="preserve"> with the teaching of Noongar language and culture.</w:t>
      </w:r>
    </w:p>
    <w:p w:rsidR="000C7DAD" w:rsidRPr="00651B71" w:rsidRDefault="009639A6" w:rsidP="00937D1E">
      <w:pPr>
        <w:pStyle w:val="Heading3"/>
        <w:spacing w:line="240" w:lineRule="auto"/>
      </w:pPr>
      <w:r>
        <w:t>4.1</w:t>
      </w:r>
      <w:r w:rsidR="000C7DAD" w:rsidRPr="00651B71">
        <w:tab/>
        <w:t>Department of Education</w:t>
      </w:r>
    </w:p>
    <w:p w:rsidR="000C7DAD" w:rsidRPr="00651B71" w:rsidRDefault="000C7DAD" w:rsidP="00937D1E">
      <w:pPr>
        <w:spacing w:line="240" w:lineRule="auto"/>
        <w:rPr>
          <w:rFonts w:cs="Arial"/>
        </w:rPr>
      </w:pPr>
      <w:r w:rsidRPr="00651B71">
        <w:rPr>
          <w:rFonts w:cs="Arial"/>
        </w:rPr>
        <w:t xml:space="preserve">The </w:t>
      </w:r>
      <w:proofErr w:type="spellStart"/>
      <w:r w:rsidRPr="00651B71">
        <w:rPr>
          <w:rFonts w:cs="Arial"/>
        </w:rPr>
        <w:t>NPYAT</w:t>
      </w:r>
      <w:proofErr w:type="spellEnd"/>
      <w:r w:rsidRPr="00651B71">
        <w:rPr>
          <w:rFonts w:cs="Arial"/>
        </w:rPr>
        <w:t xml:space="preserve"> has had a significant impact on the Department of Education in that the schools are now being encouraged to ensure Year 12 students achieve their Senior Secondary Certificate with an emphasis on p</w:t>
      </w:r>
      <w:r w:rsidR="006B40ED">
        <w:rPr>
          <w:rFonts w:cs="Arial"/>
        </w:rPr>
        <w:t xml:space="preserve">ost </w:t>
      </w:r>
      <w:r w:rsidRPr="00651B71">
        <w:rPr>
          <w:rFonts w:cs="Arial"/>
        </w:rPr>
        <w:t xml:space="preserve">school pathways of education, training and/or employment. </w:t>
      </w:r>
      <w:r w:rsidR="00AC0D36">
        <w:rPr>
          <w:rFonts w:cs="Arial"/>
        </w:rPr>
        <w:t>S</w:t>
      </w:r>
      <w:r w:rsidRPr="00651B71">
        <w:rPr>
          <w:rFonts w:cs="Arial"/>
        </w:rPr>
        <w:t xml:space="preserve">chools are being supported to develop programs where students achieve an </w:t>
      </w:r>
      <w:proofErr w:type="spellStart"/>
      <w:r w:rsidRPr="00651B71">
        <w:rPr>
          <w:rFonts w:cs="Arial"/>
        </w:rPr>
        <w:t>ATAR</w:t>
      </w:r>
      <w:proofErr w:type="spellEnd"/>
      <w:r w:rsidRPr="00651B71">
        <w:rPr>
          <w:rFonts w:cs="Arial"/>
        </w:rPr>
        <w:t xml:space="preserve"> of at least 55 and/or a Certificate II qualification. </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rPr>
      </w:pPr>
      <w:r w:rsidRPr="00651B71">
        <w:rPr>
          <w:rFonts w:cs="Arial"/>
        </w:rPr>
        <w:t xml:space="preserve">The </w:t>
      </w:r>
      <w:proofErr w:type="spellStart"/>
      <w:r w:rsidRPr="00651B71">
        <w:rPr>
          <w:rFonts w:cs="Arial"/>
        </w:rPr>
        <w:t>NPYAT</w:t>
      </w:r>
      <w:proofErr w:type="spellEnd"/>
      <w:r w:rsidRPr="00651B71">
        <w:rPr>
          <w:rFonts w:cs="Arial"/>
        </w:rPr>
        <w:t xml:space="preserve"> has also allowed for a range of new programs to be p</w:t>
      </w:r>
      <w:r w:rsidR="00DF7439">
        <w:rPr>
          <w:rFonts w:cs="Arial"/>
        </w:rPr>
        <w:t xml:space="preserve">iloted. It has </w:t>
      </w:r>
      <w:r w:rsidR="00CE1BC6" w:rsidRPr="0092548B">
        <w:rPr>
          <w:rFonts w:cs="Arial"/>
        </w:rPr>
        <w:t>resulted in</w:t>
      </w:r>
      <w:r w:rsidRPr="0092548B">
        <w:rPr>
          <w:rFonts w:cs="Arial"/>
        </w:rPr>
        <w:t xml:space="preserve"> </w:t>
      </w:r>
      <w:r w:rsidRPr="00651B71">
        <w:rPr>
          <w:rFonts w:cs="Arial"/>
        </w:rPr>
        <w:t>the three school systems/sector strengthen</w:t>
      </w:r>
      <w:r w:rsidR="00CE1BC6">
        <w:rPr>
          <w:rFonts w:cs="Arial"/>
        </w:rPr>
        <w:t>ing</w:t>
      </w:r>
      <w:r w:rsidRPr="00651B71">
        <w:rPr>
          <w:rFonts w:cs="Arial"/>
        </w:rPr>
        <w:t xml:space="preserve"> their working relationships and </w:t>
      </w:r>
      <w:r w:rsidR="00CE1BC6">
        <w:rPr>
          <w:rFonts w:cs="Arial"/>
        </w:rPr>
        <w:t>being</w:t>
      </w:r>
      <w:r w:rsidRPr="00651B71">
        <w:rPr>
          <w:rFonts w:cs="Arial"/>
        </w:rPr>
        <w:t xml:space="preserve"> able to develop common processes and paperwork.</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rPr>
      </w:pPr>
      <w:r w:rsidRPr="00651B71">
        <w:rPr>
          <w:rFonts w:cs="Arial"/>
        </w:rPr>
        <w:t>In relation to specific programs:</w:t>
      </w:r>
    </w:p>
    <w:p w:rsidR="000C7DAD" w:rsidRPr="00651B71" w:rsidRDefault="000C7DAD" w:rsidP="00937D1E">
      <w:pPr>
        <w:numPr>
          <w:ilvl w:val="0"/>
          <w:numId w:val="12"/>
        </w:numPr>
        <w:spacing w:line="240" w:lineRule="auto"/>
        <w:ind w:left="357" w:hanging="357"/>
        <w:rPr>
          <w:rFonts w:cs="Arial"/>
        </w:rPr>
      </w:pPr>
      <w:r w:rsidRPr="00651B71">
        <w:rPr>
          <w:rFonts w:cs="Arial"/>
        </w:rPr>
        <w:t xml:space="preserve">VET in Schools – schools now have access to a range of qualifications that they previously would not access due to limits on other sources of </w:t>
      </w:r>
      <w:proofErr w:type="spellStart"/>
      <w:r w:rsidR="00CE1BC6">
        <w:rPr>
          <w:rFonts w:cs="Arial"/>
        </w:rPr>
        <w:t>VETiS</w:t>
      </w:r>
      <w:proofErr w:type="spellEnd"/>
      <w:r w:rsidR="00DF7439">
        <w:rPr>
          <w:rFonts w:cs="Arial"/>
        </w:rPr>
        <w:t xml:space="preserve"> funding. There was also</w:t>
      </w:r>
      <w:r w:rsidRPr="00651B71">
        <w:rPr>
          <w:rFonts w:cs="Arial"/>
        </w:rPr>
        <w:t xml:space="preserve"> an expansion into an emerging skills shortage area (Telecommunications) which, given the number of classes and students that undertook delivery in 2012, proved popular.</w:t>
      </w:r>
    </w:p>
    <w:p w:rsidR="000C7DAD" w:rsidRPr="00651B71" w:rsidRDefault="000C7DAD" w:rsidP="00937D1E">
      <w:pPr>
        <w:numPr>
          <w:ilvl w:val="0"/>
          <w:numId w:val="12"/>
        </w:numPr>
        <w:spacing w:line="240" w:lineRule="auto"/>
        <w:ind w:left="357" w:hanging="357"/>
        <w:rPr>
          <w:rFonts w:cs="Arial"/>
        </w:rPr>
      </w:pPr>
      <w:r w:rsidRPr="00651B71">
        <w:rPr>
          <w:rFonts w:cs="Arial"/>
        </w:rPr>
        <w:t xml:space="preserve">Career </w:t>
      </w:r>
      <w:r w:rsidR="00AC0D36">
        <w:rPr>
          <w:rFonts w:cs="Arial"/>
        </w:rPr>
        <w:t>d</w:t>
      </w:r>
      <w:r w:rsidRPr="00651B71">
        <w:rPr>
          <w:rFonts w:cs="Arial"/>
        </w:rPr>
        <w:t xml:space="preserve">evelopment in schools – this </w:t>
      </w:r>
      <w:r w:rsidR="00AC0D36">
        <w:rPr>
          <w:rFonts w:cs="Arial"/>
        </w:rPr>
        <w:t xml:space="preserve">project </w:t>
      </w:r>
      <w:r w:rsidR="00DF7439">
        <w:rPr>
          <w:rFonts w:cs="Arial"/>
        </w:rPr>
        <w:t>has allowed schools to apply</w:t>
      </w:r>
      <w:r w:rsidRPr="00651B71">
        <w:rPr>
          <w:rFonts w:cs="Arial"/>
        </w:rPr>
        <w:t xml:space="preserve"> for programs that are about “whole school” change to assist students with career development and planning. The pr</w:t>
      </w:r>
      <w:r w:rsidR="00DF7439">
        <w:rPr>
          <w:rFonts w:cs="Arial"/>
        </w:rPr>
        <w:t xml:space="preserve">oviso that schools must share </w:t>
      </w:r>
      <w:r w:rsidRPr="00651B71">
        <w:rPr>
          <w:rFonts w:cs="Arial"/>
        </w:rPr>
        <w:t>information on the “why” and the “how” will make it possible for the Department to see what works and support other schools to make changes in the future.</w:t>
      </w:r>
    </w:p>
    <w:p w:rsidR="000C7DAD" w:rsidRPr="00651B71" w:rsidRDefault="000C7DAD" w:rsidP="00937D1E">
      <w:pPr>
        <w:numPr>
          <w:ilvl w:val="0"/>
          <w:numId w:val="12"/>
        </w:numPr>
        <w:spacing w:line="240" w:lineRule="auto"/>
        <w:ind w:left="357" w:hanging="357"/>
        <w:rPr>
          <w:rFonts w:cs="Arial"/>
        </w:rPr>
      </w:pPr>
      <w:r w:rsidRPr="00651B71">
        <w:rPr>
          <w:rFonts w:cs="Arial"/>
        </w:rPr>
        <w:t>Teacher capacity building – the additional funding allow</w:t>
      </w:r>
      <w:r w:rsidR="00AC0D36">
        <w:rPr>
          <w:rFonts w:cs="Arial"/>
        </w:rPr>
        <w:t>s</w:t>
      </w:r>
      <w:r w:rsidRPr="00651B71">
        <w:rPr>
          <w:rFonts w:cs="Arial"/>
        </w:rPr>
        <w:t xml:space="preserve"> the Department to support schools to meet the vocational competence requirement of the </w:t>
      </w:r>
      <w:r w:rsidR="00CE1BC6">
        <w:rPr>
          <w:rFonts w:cs="Arial"/>
        </w:rPr>
        <w:t>Australian Quality Training Framework (</w:t>
      </w:r>
      <w:proofErr w:type="spellStart"/>
      <w:r w:rsidRPr="00651B71">
        <w:rPr>
          <w:rFonts w:cs="Arial"/>
        </w:rPr>
        <w:t>AQTF</w:t>
      </w:r>
      <w:proofErr w:type="spellEnd"/>
      <w:r w:rsidR="00CE1BC6">
        <w:rPr>
          <w:rFonts w:cs="Arial"/>
        </w:rPr>
        <w:t>)</w:t>
      </w:r>
      <w:r w:rsidRPr="00651B71">
        <w:rPr>
          <w:rFonts w:cs="Arial"/>
        </w:rPr>
        <w:t xml:space="preserve">. There </w:t>
      </w:r>
      <w:r w:rsidR="00AC0D36">
        <w:rPr>
          <w:rFonts w:cs="Arial"/>
        </w:rPr>
        <w:t>i</w:t>
      </w:r>
      <w:r w:rsidRPr="00651B71">
        <w:rPr>
          <w:rFonts w:cs="Arial"/>
        </w:rPr>
        <w:t>s</w:t>
      </w:r>
      <w:r w:rsidR="002564F5">
        <w:rPr>
          <w:rFonts w:cs="Arial"/>
        </w:rPr>
        <w:t xml:space="preserve"> </w:t>
      </w:r>
      <w:r w:rsidRPr="00651B71">
        <w:rPr>
          <w:rFonts w:cs="Arial"/>
        </w:rPr>
        <w:t xml:space="preserve">no capacity within the Department’s </w:t>
      </w:r>
      <w:r w:rsidR="00A666BA">
        <w:rPr>
          <w:rFonts w:cs="Arial"/>
        </w:rPr>
        <w:t>current</w:t>
      </w:r>
      <w:r w:rsidRPr="00651B71">
        <w:rPr>
          <w:rFonts w:cs="Arial"/>
        </w:rPr>
        <w:t xml:space="preserve"> </w:t>
      </w:r>
      <w:proofErr w:type="spellStart"/>
      <w:r w:rsidR="00CE1BC6">
        <w:rPr>
          <w:rFonts w:cs="Arial"/>
        </w:rPr>
        <w:t>VETiS</w:t>
      </w:r>
      <w:proofErr w:type="spellEnd"/>
      <w:r w:rsidRPr="00651B71">
        <w:rPr>
          <w:rFonts w:cs="Arial"/>
        </w:rPr>
        <w:t xml:space="preserve"> funding to support teachers and schools with this aspect of VET delivery requirements.</w:t>
      </w:r>
    </w:p>
    <w:p w:rsidR="000C7DAD" w:rsidRPr="00651B71" w:rsidRDefault="000C7DAD" w:rsidP="00937D1E">
      <w:pPr>
        <w:spacing w:line="240" w:lineRule="auto"/>
        <w:rPr>
          <w:rFonts w:cs="Arial"/>
        </w:rPr>
      </w:pPr>
    </w:p>
    <w:p w:rsidR="000C7DAD" w:rsidRPr="00651B71" w:rsidRDefault="006B40ED" w:rsidP="00937D1E">
      <w:pPr>
        <w:spacing w:line="240" w:lineRule="auto"/>
        <w:rPr>
          <w:rFonts w:cs="Arial"/>
        </w:rPr>
      </w:pPr>
      <w:r>
        <w:rPr>
          <w:rFonts w:cs="Arial"/>
        </w:rPr>
        <w:t>The S</w:t>
      </w:r>
      <w:r w:rsidR="000C7DAD" w:rsidRPr="00651B71">
        <w:rPr>
          <w:rFonts w:cs="Arial"/>
        </w:rPr>
        <w:t xml:space="preserve">tate’s participation rate for </w:t>
      </w:r>
      <w:r w:rsidR="00AC0D36">
        <w:rPr>
          <w:rFonts w:cs="Arial"/>
        </w:rPr>
        <w:t xml:space="preserve">young people in </w:t>
      </w:r>
      <w:r w:rsidR="000C7DAD" w:rsidRPr="00651B71">
        <w:rPr>
          <w:rFonts w:cs="Arial"/>
        </w:rPr>
        <w:t xml:space="preserve">Year 11 and 12 increased to 96.0% in 2012. This can be attributed to a range of Commonwealth and State initiatives that have worked in tandem to support young people in their transitions. Attempting to identify one particular program as being the catalyst for any change is not useful. The strength of the </w:t>
      </w:r>
      <w:proofErr w:type="spellStart"/>
      <w:r w:rsidR="000C7DAD" w:rsidRPr="00651B71">
        <w:rPr>
          <w:rFonts w:cs="Arial"/>
        </w:rPr>
        <w:t>NPYAT</w:t>
      </w:r>
      <w:proofErr w:type="spellEnd"/>
      <w:r w:rsidR="000C7DAD" w:rsidRPr="00651B71">
        <w:rPr>
          <w:rFonts w:cs="Arial"/>
        </w:rPr>
        <w:t xml:space="preserve"> is that it has allowed all agencies to come together and work towards the targets and goals.</w:t>
      </w:r>
    </w:p>
    <w:p w:rsidR="000C7DAD" w:rsidRPr="00651B71" w:rsidRDefault="009639A6" w:rsidP="00937D1E">
      <w:pPr>
        <w:pStyle w:val="Heading3"/>
        <w:spacing w:line="240" w:lineRule="auto"/>
      </w:pPr>
      <w:r>
        <w:t>4.2</w:t>
      </w:r>
      <w:r w:rsidR="000C7DAD" w:rsidRPr="00651B71">
        <w:tab/>
        <w:t>Catholic Education Office of Western Australia</w:t>
      </w:r>
    </w:p>
    <w:p w:rsidR="00977BCA" w:rsidRPr="00651B71" w:rsidRDefault="00977BCA" w:rsidP="00937D1E">
      <w:pPr>
        <w:spacing w:line="240" w:lineRule="auto"/>
        <w:rPr>
          <w:rFonts w:cs="Arial"/>
        </w:rPr>
      </w:pPr>
      <w:r w:rsidRPr="009C7C2D">
        <w:rPr>
          <w:rFonts w:cs="Arial"/>
        </w:rPr>
        <w:t>Certificate IV Training and Assessment qualifications and upgrades gained strong support during 2012. Classes commenced in April 2012 resulting in 110 teachers achieving the full qualification and 73 upgrading their qualification.</w:t>
      </w:r>
      <w:r>
        <w:rPr>
          <w:rFonts w:cs="Arial"/>
        </w:rPr>
        <w:t xml:space="preserve">  Teachers were keen to participate in the career coaching courses and several opportunities were offered to encourage whole school development.</w:t>
      </w:r>
    </w:p>
    <w:p w:rsidR="00977BCA" w:rsidRPr="00651B71" w:rsidRDefault="00977BCA" w:rsidP="00937D1E">
      <w:pPr>
        <w:spacing w:line="240" w:lineRule="auto"/>
        <w:rPr>
          <w:rFonts w:cs="Arial"/>
        </w:rPr>
      </w:pPr>
    </w:p>
    <w:p w:rsidR="00977BCA" w:rsidRDefault="00977BCA" w:rsidP="00937D1E">
      <w:pPr>
        <w:spacing w:line="240" w:lineRule="auto"/>
        <w:rPr>
          <w:rFonts w:cs="Arial"/>
        </w:rPr>
      </w:pPr>
      <w:r w:rsidRPr="00651B71">
        <w:rPr>
          <w:rFonts w:cs="Arial"/>
        </w:rPr>
        <w:lastRenderedPageBreak/>
        <w:t>The</w:t>
      </w:r>
      <w:r w:rsidR="00FA31EF">
        <w:rPr>
          <w:rFonts w:cs="Arial"/>
        </w:rPr>
        <w:t xml:space="preserve"> School Leaver Program was</w:t>
      </w:r>
      <w:r w:rsidRPr="00651B71">
        <w:rPr>
          <w:rFonts w:cs="Arial"/>
        </w:rPr>
        <w:t xml:space="preserve"> successful with 31 from 39 schools forwarding Year 12 data to </w:t>
      </w:r>
      <w:r w:rsidR="00FA31EF">
        <w:rPr>
          <w:rFonts w:cs="Arial"/>
        </w:rPr>
        <w:t>be involved in the surveys</w:t>
      </w:r>
      <w:r w:rsidRPr="00651B71">
        <w:rPr>
          <w:rFonts w:cs="Arial"/>
        </w:rPr>
        <w:t xml:space="preserve">. The </w:t>
      </w:r>
      <w:r w:rsidR="00FA31EF">
        <w:rPr>
          <w:rFonts w:cs="Arial"/>
        </w:rPr>
        <w:t>results were</w:t>
      </w:r>
      <w:r w:rsidRPr="00651B71">
        <w:rPr>
          <w:rFonts w:cs="Arial"/>
        </w:rPr>
        <w:t xml:space="preserve"> forwarded to schools in May 2013 </w:t>
      </w:r>
      <w:r w:rsidR="00FA31EF">
        <w:rPr>
          <w:rFonts w:cs="Arial"/>
        </w:rPr>
        <w:t xml:space="preserve">and </w:t>
      </w:r>
      <w:r w:rsidRPr="00651B71">
        <w:rPr>
          <w:rFonts w:cs="Arial"/>
        </w:rPr>
        <w:t>inform</w:t>
      </w:r>
      <w:r w:rsidR="00FA31EF">
        <w:rPr>
          <w:rFonts w:cs="Arial"/>
        </w:rPr>
        <w:t>ed</w:t>
      </w:r>
      <w:r w:rsidRPr="00651B71">
        <w:rPr>
          <w:rFonts w:cs="Arial"/>
        </w:rPr>
        <w:t xml:space="preserve"> teachers </w:t>
      </w:r>
      <w:r w:rsidR="00FA31EF">
        <w:rPr>
          <w:rFonts w:cs="Arial"/>
        </w:rPr>
        <w:t xml:space="preserve">about </w:t>
      </w:r>
      <w:r w:rsidRPr="00651B71">
        <w:rPr>
          <w:rFonts w:cs="Arial"/>
        </w:rPr>
        <w:t>better practice going forward</w:t>
      </w:r>
      <w:r>
        <w:rPr>
          <w:rFonts w:cs="Arial"/>
        </w:rPr>
        <w:t xml:space="preserve">. The </w:t>
      </w:r>
      <w:r w:rsidRPr="00651B71">
        <w:rPr>
          <w:rFonts w:cs="Arial"/>
        </w:rPr>
        <w:t xml:space="preserve">additional </w:t>
      </w:r>
      <w:proofErr w:type="spellStart"/>
      <w:r w:rsidRPr="00651B71">
        <w:rPr>
          <w:rFonts w:cs="Arial"/>
        </w:rPr>
        <w:t>VETiS</w:t>
      </w:r>
      <w:proofErr w:type="spellEnd"/>
      <w:r w:rsidRPr="00651B71">
        <w:rPr>
          <w:rFonts w:cs="Arial"/>
        </w:rPr>
        <w:t xml:space="preserve"> delivery procurement began slowly in 2012 due to late release of funding as students had already prepared for their training pathway choices. </w:t>
      </w:r>
    </w:p>
    <w:p w:rsidR="00FA31EF" w:rsidRPr="00651B71" w:rsidRDefault="00FA31EF" w:rsidP="00937D1E">
      <w:pPr>
        <w:spacing w:line="240" w:lineRule="auto"/>
        <w:rPr>
          <w:rFonts w:cs="Arial"/>
          <w:b/>
        </w:rPr>
      </w:pPr>
    </w:p>
    <w:p w:rsidR="00977BCA" w:rsidRDefault="00977BCA" w:rsidP="00937D1E">
      <w:pPr>
        <w:spacing w:line="240" w:lineRule="auto"/>
        <w:rPr>
          <w:rFonts w:cs="Arial"/>
        </w:rPr>
      </w:pPr>
      <w:r w:rsidRPr="00651B71">
        <w:rPr>
          <w:rFonts w:cs="Arial"/>
        </w:rPr>
        <w:t>The collaborative approach between the Department of Training and Workforce Development, Department of Education</w:t>
      </w:r>
      <w:r w:rsidR="00FA31EF">
        <w:rPr>
          <w:rFonts w:cs="Arial"/>
        </w:rPr>
        <w:t>,</w:t>
      </w:r>
      <w:r w:rsidRPr="00651B71">
        <w:rPr>
          <w:rFonts w:cs="Arial"/>
        </w:rPr>
        <w:t xml:space="preserve"> </w:t>
      </w:r>
      <w:proofErr w:type="spellStart"/>
      <w:r>
        <w:rPr>
          <w:rFonts w:cs="Arial"/>
        </w:rPr>
        <w:t>AIS</w:t>
      </w:r>
      <w:r w:rsidRPr="00651B71">
        <w:rPr>
          <w:rFonts w:cs="Arial"/>
        </w:rPr>
        <w:t>WA</w:t>
      </w:r>
      <w:proofErr w:type="spellEnd"/>
      <w:r w:rsidRPr="00651B71">
        <w:rPr>
          <w:rFonts w:cs="Arial"/>
        </w:rPr>
        <w:t xml:space="preserve"> </w:t>
      </w:r>
      <w:r w:rsidR="00FA31EF">
        <w:rPr>
          <w:rFonts w:cs="Arial"/>
        </w:rPr>
        <w:t xml:space="preserve">and the Catholic Education Office of WA </w:t>
      </w:r>
      <w:r w:rsidRPr="00651B71">
        <w:rPr>
          <w:rFonts w:cs="Arial"/>
        </w:rPr>
        <w:t xml:space="preserve">has been a strong focus for Western Australia. </w:t>
      </w:r>
    </w:p>
    <w:p w:rsidR="00977BCA" w:rsidRDefault="00977BCA" w:rsidP="00937D1E">
      <w:pPr>
        <w:spacing w:line="240" w:lineRule="auto"/>
        <w:rPr>
          <w:rFonts w:cs="Arial"/>
        </w:rPr>
      </w:pPr>
    </w:p>
    <w:p w:rsidR="00977BCA" w:rsidRPr="00651B71" w:rsidRDefault="00977BCA" w:rsidP="00937D1E">
      <w:pPr>
        <w:spacing w:line="240" w:lineRule="auto"/>
        <w:rPr>
          <w:rFonts w:cs="Arial"/>
        </w:rPr>
      </w:pPr>
      <w:r>
        <w:rPr>
          <w:rFonts w:cs="Arial"/>
        </w:rPr>
        <w:t xml:space="preserve">Students were able to access VET in Schools at relevant Registered Training Providers through the Certificate Procurement initiative.  This </w:t>
      </w:r>
      <w:r w:rsidR="006D6B2D">
        <w:rPr>
          <w:rFonts w:cs="Arial"/>
        </w:rPr>
        <w:t>allowed schools from a low socio</w:t>
      </w:r>
      <w:r>
        <w:rPr>
          <w:rFonts w:cs="Arial"/>
        </w:rPr>
        <w:t xml:space="preserve">economic area to be able to access training which they would not normally have been able to afford.   For 2013 there has been an increase in enrolments. </w:t>
      </w:r>
    </w:p>
    <w:p w:rsidR="000C7DAD" w:rsidRPr="00651B71" w:rsidRDefault="009639A6" w:rsidP="00937D1E">
      <w:pPr>
        <w:pStyle w:val="Heading3"/>
        <w:spacing w:line="240" w:lineRule="auto"/>
      </w:pPr>
      <w:r>
        <w:t>4.3</w:t>
      </w:r>
      <w:r w:rsidR="000C7DAD" w:rsidRPr="00651B71">
        <w:tab/>
        <w:t>Association of Independent Schools of Western Australia</w:t>
      </w:r>
    </w:p>
    <w:p w:rsidR="000C7DAD" w:rsidRPr="00651B71" w:rsidRDefault="000C7DAD" w:rsidP="00937D1E">
      <w:pPr>
        <w:spacing w:line="240" w:lineRule="auto"/>
        <w:rPr>
          <w:rFonts w:cs="Arial"/>
        </w:rPr>
      </w:pPr>
      <w:r w:rsidRPr="00651B71">
        <w:rPr>
          <w:rFonts w:cs="Arial"/>
        </w:rPr>
        <w:t xml:space="preserve">2012 saw an increase in participation and awareness in the </w:t>
      </w:r>
      <w:proofErr w:type="spellStart"/>
      <w:r w:rsidR="00CA1D60">
        <w:rPr>
          <w:rFonts w:cs="Arial"/>
        </w:rPr>
        <w:t>NP</w:t>
      </w:r>
      <w:r w:rsidRPr="00651B71">
        <w:rPr>
          <w:rFonts w:cs="Arial"/>
        </w:rPr>
        <w:t>YAT</w:t>
      </w:r>
      <w:proofErr w:type="spellEnd"/>
      <w:r w:rsidRPr="00651B71">
        <w:rPr>
          <w:rFonts w:cs="Arial"/>
        </w:rPr>
        <w:t xml:space="preserve"> elements overall.</w:t>
      </w:r>
      <w:r w:rsidR="002564F5">
        <w:rPr>
          <w:rFonts w:cs="Arial"/>
        </w:rPr>
        <w:t xml:space="preserve"> </w:t>
      </w:r>
      <w:r w:rsidRPr="00651B71">
        <w:rPr>
          <w:rFonts w:cs="Arial"/>
        </w:rPr>
        <w:t>Schools have responded very positively to t</w:t>
      </w:r>
      <w:r w:rsidR="00FA31EF">
        <w:rPr>
          <w:rFonts w:cs="Arial"/>
        </w:rPr>
        <w:t>he opportunity to gain or upgrade</w:t>
      </w:r>
      <w:r w:rsidRPr="00651B71">
        <w:rPr>
          <w:rFonts w:cs="Arial"/>
        </w:rPr>
        <w:t xml:space="preserve"> Certificate IV TAE for teachers with </w:t>
      </w:r>
      <w:r w:rsidR="00CA1D60">
        <w:rPr>
          <w:rFonts w:cs="Arial"/>
        </w:rPr>
        <w:t>93</w:t>
      </w:r>
      <w:r w:rsidRPr="00651B71">
        <w:rPr>
          <w:rFonts w:cs="Arial"/>
        </w:rPr>
        <w:t xml:space="preserve"> teachers supported throughout the year.</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i/>
        </w:rPr>
      </w:pPr>
      <w:r w:rsidRPr="00651B71">
        <w:rPr>
          <w:rFonts w:cs="Arial"/>
        </w:rPr>
        <w:t xml:space="preserve">A wide range of activities were undertaken by schools as part of the </w:t>
      </w:r>
      <w:r w:rsidR="00CA1D60">
        <w:rPr>
          <w:rFonts w:cs="Arial"/>
        </w:rPr>
        <w:t>c</w:t>
      </w:r>
      <w:r w:rsidRPr="00651B71">
        <w:rPr>
          <w:rFonts w:cs="Arial"/>
        </w:rPr>
        <w:t xml:space="preserve">areer </w:t>
      </w:r>
      <w:r w:rsidR="00CA1D60">
        <w:rPr>
          <w:rFonts w:cs="Arial"/>
        </w:rPr>
        <w:t>d</w:t>
      </w:r>
      <w:r w:rsidRPr="00651B71">
        <w:rPr>
          <w:rFonts w:cs="Arial"/>
        </w:rPr>
        <w:t>evelopment element</w:t>
      </w:r>
      <w:r w:rsidR="00CA1D60">
        <w:rPr>
          <w:rFonts w:cs="Arial"/>
        </w:rPr>
        <w:t>, with p</w:t>
      </w:r>
      <w:r w:rsidRPr="00651B71">
        <w:rPr>
          <w:rFonts w:cs="Arial"/>
        </w:rPr>
        <w:t>articipating schools welcom</w:t>
      </w:r>
      <w:r w:rsidR="00CA1D60">
        <w:rPr>
          <w:rFonts w:cs="Arial"/>
        </w:rPr>
        <w:t>ing</w:t>
      </w:r>
      <w:r w:rsidRPr="00651B71">
        <w:rPr>
          <w:rFonts w:cs="Arial"/>
        </w:rPr>
        <w:t xml:space="preserve"> the opportunity to introduce or expand </w:t>
      </w:r>
      <w:r w:rsidR="00CA1D60">
        <w:rPr>
          <w:rFonts w:cs="Arial"/>
        </w:rPr>
        <w:t>c</w:t>
      </w:r>
      <w:r w:rsidRPr="00651B71">
        <w:rPr>
          <w:rFonts w:cs="Arial"/>
        </w:rPr>
        <w:t xml:space="preserve">areer </w:t>
      </w:r>
      <w:r w:rsidR="00CA1D60">
        <w:rPr>
          <w:rFonts w:cs="Arial"/>
        </w:rPr>
        <w:t>d</w:t>
      </w:r>
      <w:r w:rsidRPr="00651B71">
        <w:rPr>
          <w:rFonts w:cs="Arial"/>
        </w:rPr>
        <w:t>evelo</w:t>
      </w:r>
      <w:r w:rsidR="00CC08BA">
        <w:rPr>
          <w:rFonts w:cs="Arial"/>
        </w:rPr>
        <w:t>p</w:t>
      </w:r>
      <w:r w:rsidRPr="00651B71">
        <w:rPr>
          <w:rFonts w:cs="Arial"/>
        </w:rPr>
        <w:t xml:space="preserve">ment in their schools.  Whilst </w:t>
      </w:r>
      <w:r w:rsidR="00CA1D60">
        <w:rPr>
          <w:rFonts w:cs="Arial"/>
        </w:rPr>
        <w:t xml:space="preserve">a </w:t>
      </w:r>
      <w:r w:rsidRPr="00651B71">
        <w:rPr>
          <w:rFonts w:cs="Arial"/>
        </w:rPr>
        <w:t>positive response w</w:t>
      </w:r>
      <w:r w:rsidR="00CA1D60">
        <w:rPr>
          <w:rFonts w:cs="Arial"/>
        </w:rPr>
        <w:t>as</w:t>
      </w:r>
      <w:r w:rsidRPr="00651B71">
        <w:rPr>
          <w:rFonts w:cs="Arial"/>
        </w:rPr>
        <w:t xml:space="preserve"> received from participating schools</w:t>
      </w:r>
      <w:r w:rsidR="00CA1D60">
        <w:rPr>
          <w:rFonts w:cs="Arial"/>
        </w:rPr>
        <w:t>,</w:t>
      </w:r>
      <w:r w:rsidRPr="00651B71">
        <w:rPr>
          <w:rFonts w:cs="Arial"/>
        </w:rPr>
        <w:t xml:space="preserve"> the uptake from the sector is lower than expected.  Several schools reported having well established </w:t>
      </w:r>
      <w:r w:rsidR="00CA1D60">
        <w:rPr>
          <w:rFonts w:cs="Arial"/>
        </w:rPr>
        <w:t>c</w:t>
      </w:r>
      <w:r w:rsidRPr="00651B71">
        <w:rPr>
          <w:rFonts w:cs="Arial"/>
        </w:rPr>
        <w:t xml:space="preserve">areer </w:t>
      </w:r>
      <w:r w:rsidR="00CA1D60">
        <w:rPr>
          <w:rFonts w:cs="Arial"/>
        </w:rPr>
        <w:t>d</w:t>
      </w:r>
      <w:r w:rsidRPr="00651B71">
        <w:rPr>
          <w:rFonts w:cs="Arial"/>
        </w:rPr>
        <w:t xml:space="preserve">evelopment programs and, as a result, did not seek funding.   A common response from other schools, including those participating in the program, was the need for professional development of staff, including those in </w:t>
      </w:r>
      <w:r w:rsidR="00CA1D60">
        <w:rPr>
          <w:rFonts w:cs="Arial"/>
        </w:rPr>
        <w:t xml:space="preserve">career development </w:t>
      </w:r>
      <w:r w:rsidRPr="00651B71">
        <w:rPr>
          <w:rFonts w:cs="Arial"/>
        </w:rPr>
        <w:t>roles and others (</w:t>
      </w:r>
      <w:r w:rsidR="00CC08BA">
        <w:rPr>
          <w:rFonts w:cs="Arial"/>
        </w:rPr>
        <w:t>for example year coordinators and</w:t>
      </w:r>
      <w:r w:rsidRPr="00651B71">
        <w:rPr>
          <w:rFonts w:cs="Arial"/>
        </w:rPr>
        <w:t xml:space="preserve"> pastoral care staff) who often informally provide career advice to students.   In response to this, it is planned to offer </w:t>
      </w:r>
      <w:r w:rsidRPr="00651B71">
        <w:rPr>
          <w:rFonts w:cs="Arial"/>
          <w:i/>
        </w:rPr>
        <w:t xml:space="preserve">Coaching Young People for Success </w:t>
      </w:r>
      <w:r w:rsidRPr="00CC08BA">
        <w:rPr>
          <w:rFonts w:cs="Arial"/>
        </w:rPr>
        <w:t>workshops in 2013.</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rPr>
      </w:pPr>
      <w:r w:rsidRPr="00651B71">
        <w:rPr>
          <w:rFonts w:cs="Arial"/>
        </w:rPr>
        <w:t xml:space="preserve">Uptake of the </w:t>
      </w:r>
      <w:proofErr w:type="spellStart"/>
      <w:r w:rsidR="00CA1D60">
        <w:rPr>
          <w:rFonts w:cs="Arial"/>
        </w:rPr>
        <w:t>NP</w:t>
      </w:r>
      <w:r w:rsidRPr="00651B71">
        <w:rPr>
          <w:rFonts w:cs="Arial"/>
        </w:rPr>
        <w:t>YAT</w:t>
      </w:r>
      <w:proofErr w:type="spellEnd"/>
      <w:r w:rsidRPr="00651B71">
        <w:rPr>
          <w:rFonts w:cs="Arial"/>
        </w:rPr>
        <w:t xml:space="preserve"> </w:t>
      </w:r>
      <w:proofErr w:type="spellStart"/>
      <w:r w:rsidRPr="00651B71">
        <w:rPr>
          <w:rFonts w:cs="Arial"/>
        </w:rPr>
        <w:t>VETiS</w:t>
      </w:r>
      <w:proofErr w:type="spellEnd"/>
      <w:r w:rsidRPr="00651B71">
        <w:rPr>
          <w:rFonts w:cs="Arial"/>
        </w:rPr>
        <w:t xml:space="preserve"> element has not been strong</w:t>
      </w:r>
      <w:r w:rsidR="00CA1D60">
        <w:rPr>
          <w:rFonts w:cs="Arial"/>
        </w:rPr>
        <w:t>,</w:t>
      </w:r>
      <w:r w:rsidRPr="00651B71">
        <w:rPr>
          <w:rFonts w:cs="Arial"/>
        </w:rPr>
        <w:t xml:space="preserve"> with schools reporting both an increase in profile participation with </w:t>
      </w:r>
      <w:r w:rsidR="00CA1D60">
        <w:rPr>
          <w:rFonts w:cs="Arial"/>
        </w:rPr>
        <w:t xml:space="preserve">State Training Providers </w:t>
      </w:r>
      <w:r w:rsidRPr="00651B71">
        <w:rPr>
          <w:rFonts w:cs="Arial"/>
        </w:rPr>
        <w:t xml:space="preserve">and difficulty in accessing </w:t>
      </w:r>
      <w:r w:rsidR="00CA1D60">
        <w:rPr>
          <w:rFonts w:cs="Arial"/>
        </w:rPr>
        <w:t>Registered Training Organisations (</w:t>
      </w:r>
      <w:proofErr w:type="spellStart"/>
      <w:r w:rsidRPr="00651B71">
        <w:rPr>
          <w:rFonts w:cs="Arial"/>
        </w:rPr>
        <w:t>RTOs</w:t>
      </w:r>
      <w:proofErr w:type="spellEnd"/>
      <w:r w:rsidR="00CA1D60">
        <w:rPr>
          <w:rFonts w:cs="Arial"/>
        </w:rPr>
        <w:t>)</w:t>
      </w:r>
      <w:r w:rsidRPr="00651B71">
        <w:rPr>
          <w:rFonts w:cs="Arial"/>
        </w:rPr>
        <w:t xml:space="preserve"> in terms of location.   </w:t>
      </w:r>
      <w:r w:rsidR="00CA1D60">
        <w:rPr>
          <w:rFonts w:cs="Arial"/>
        </w:rPr>
        <w:t>A</w:t>
      </w:r>
      <w:r w:rsidRPr="00651B71">
        <w:rPr>
          <w:rFonts w:cs="Arial"/>
        </w:rPr>
        <w:t>n increase</w:t>
      </w:r>
      <w:r w:rsidR="00CA1D60">
        <w:rPr>
          <w:rFonts w:cs="Arial"/>
        </w:rPr>
        <w:t>d</w:t>
      </w:r>
      <w:r w:rsidRPr="00651B71">
        <w:rPr>
          <w:rFonts w:cs="Arial"/>
        </w:rPr>
        <w:t xml:space="preserve"> uptake is expected for 2013</w:t>
      </w:r>
      <w:r w:rsidR="00CA1D60">
        <w:rPr>
          <w:rFonts w:cs="Arial"/>
        </w:rPr>
        <w:t>.</w:t>
      </w:r>
      <w:r w:rsidRPr="00651B71">
        <w:rPr>
          <w:rFonts w:cs="Arial"/>
        </w:rPr>
        <w:t xml:space="preserve"> </w:t>
      </w:r>
    </w:p>
    <w:p w:rsidR="000C7DAD" w:rsidRPr="00651B71" w:rsidRDefault="009639A6" w:rsidP="00937D1E">
      <w:pPr>
        <w:pStyle w:val="Heading3"/>
        <w:spacing w:line="240" w:lineRule="auto"/>
      </w:pPr>
      <w:r>
        <w:t>4.4</w:t>
      </w:r>
      <w:r w:rsidR="000C7DAD" w:rsidRPr="00651B71">
        <w:tab/>
        <w:t>Department for Communities</w:t>
      </w:r>
    </w:p>
    <w:p w:rsidR="000C7DAD" w:rsidRPr="00651B71" w:rsidRDefault="000C7DAD" w:rsidP="00937D1E">
      <w:pPr>
        <w:spacing w:line="240" w:lineRule="auto"/>
        <w:rPr>
          <w:rFonts w:cs="Arial"/>
        </w:rPr>
      </w:pPr>
      <w:r w:rsidRPr="00651B71">
        <w:rPr>
          <w:rFonts w:cs="Arial"/>
        </w:rPr>
        <w:t xml:space="preserve">The cumulative progress and impact of the </w:t>
      </w:r>
      <w:proofErr w:type="spellStart"/>
      <w:r w:rsidRPr="00CE1BC6">
        <w:rPr>
          <w:rFonts w:cs="Arial"/>
          <w:i/>
        </w:rPr>
        <w:t>NPYAT</w:t>
      </w:r>
      <w:proofErr w:type="spellEnd"/>
      <w:r w:rsidRPr="00CE1BC6">
        <w:rPr>
          <w:rFonts w:cs="Arial"/>
          <w:i/>
        </w:rPr>
        <w:t xml:space="preserve"> Youth Mentoring Reform</w:t>
      </w:r>
      <w:r w:rsidRPr="00651B71">
        <w:rPr>
          <w:rFonts w:cs="Arial"/>
        </w:rPr>
        <w:t xml:space="preserve"> in Western Australia has been substantial. The second round of the </w:t>
      </w:r>
      <w:r w:rsidR="009B0338" w:rsidRPr="009B0338">
        <w:rPr>
          <w:rFonts w:cs="Arial"/>
          <w:i/>
        </w:rPr>
        <w:t>W</w:t>
      </w:r>
      <w:r w:rsidR="006D6B2D">
        <w:rPr>
          <w:rFonts w:cs="Arial"/>
          <w:i/>
        </w:rPr>
        <w:t>estern Australian</w:t>
      </w:r>
      <w:r w:rsidR="009B0338">
        <w:rPr>
          <w:rFonts w:cs="Arial"/>
        </w:rPr>
        <w:t xml:space="preserve"> </w:t>
      </w:r>
      <w:r w:rsidRPr="00CE1BC6">
        <w:rPr>
          <w:rFonts w:cs="Arial"/>
          <w:i/>
        </w:rPr>
        <w:t>Youth Mentoring</w:t>
      </w:r>
      <w:r w:rsidR="009B0338">
        <w:rPr>
          <w:rFonts w:cs="Arial"/>
          <w:i/>
        </w:rPr>
        <w:t xml:space="preserve"> Reform</w:t>
      </w:r>
      <w:r w:rsidRPr="00CE1BC6">
        <w:rPr>
          <w:rFonts w:cs="Arial"/>
          <w:i/>
        </w:rPr>
        <w:t xml:space="preserve"> Strategic Framework</w:t>
      </w:r>
      <w:r w:rsidRPr="00651B71">
        <w:rPr>
          <w:rFonts w:cs="Arial"/>
        </w:rPr>
        <w:t xml:space="preserve"> consultation process in April–June 2012 involved workshops throughout the State which provided training and professional development to the sector, at the same time as conducting consultations. This significantly raised the profile of mentoring, improved the sector’s understanding of the importance of the </w:t>
      </w:r>
      <w:r w:rsidR="00CE1BC6">
        <w:rPr>
          <w:rFonts w:cs="Arial"/>
        </w:rPr>
        <w:t>na</w:t>
      </w:r>
      <w:r w:rsidRPr="00651B71">
        <w:rPr>
          <w:rFonts w:cs="Arial"/>
        </w:rPr>
        <w:t xml:space="preserve">tional </w:t>
      </w:r>
      <w:r w:rsidR="00CE1BC6">
        <w:rPr>
          <w:rFonts w:cs="Arial"/>
        </w:rPr>
        <w:t>b</w:t>
      </w:r>
      <w:r w:rsidRPr="00651B71">
        <w:rPr>
          <w:rFonts w:cs="Arial"/>
        </w:rPr>
        <w:t xml:space="preserve">enchmarks and their role in building and sustaining quality in youth mentoring programs. </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rPr>
      </w:pPr>
      <w:r w:rsidRPr="00651B71">
        <w:rPr>
          <w:rFonts w:cs="Arial"/>
        </w:rPr>
        <w:t xml:space="preserve">The process also increased understanding across government of the importance of the </w:t>
      </w:r>
      <w:r w:rsidR="00CE1BC6">
        <w:rPr>
          <w:rFonts w:cs="Arial"/>
        </w:rPr>
        <w:t>b</w:t>
      </w:r>
      <w:r w:rsidRPr="00651B71">
        <w:rPr>
          <w:rFonts w:cs="Arial"/>
        </w:rPr>
        <w:t>enchmarks as a consideration in making funding decisions about mentoring programs. The reform process, and the role of the W</w:t>
      </w:r>
      <w:r w:rsidR="006D6B2D">
        <w:rPr>
          <w:rFonts w:cs="Arial"/>
        </w:rPr>
        <w:t>estern Australian</w:t>
      </w:r>
      <w:r w:rsidRPr="00651B71">
        <w:rPr>
          <w:rFonts w:cs="Arial"/>
        </w:rPr>
        <w:t xml:space="preserve"> Youth Mentoring Reform Group in particular, has provided an opportunity to demonstrate best practice in a government/community sector partnership approach in </w:t>
      </w:r>
      <w:r w:rsidR="00FA31EF">
        <w:rPr>
          <w:rFonts w:cs="Arial"/>
        </w:rPr>
        <w:t xml:space="preserve">the </w:t>
      </w:r>
      <w:r w:rsidRPr="00651B71">
        <w:rPr>
          <w:rFonts w:cs="Arial"/>
        </w:rPr>
        <w:t xml:space="preserve">development of policy. </w:t>
      </w:r>
    </w:p>
    <w:p w:rsidR="000C7DAD" w:rsidRPr="00651B71" w:rsidRDefault="000C7DAD" w:rsidP="00937D1E">
      <w:pPr>
        <w:spacing w:line="240" w:lineRule="auto"/>
        <w:rPr>
          <w:rFonts w:cs="Arial"/>
        </w:rPr>
      </w:pPr>
    </w:p>
    <w:p w:rsidR="000C7DAD" w:rsidRPr="00651B71" w:rsidRDefault="000C7DAD" w:rsidP="00937D1E">
      <w:pPr>
        <w:spacing w:line="240" w:lineRule="auto"/>
        <w:rPr>
          <w:rFonts w:cs="Arial"/>
        </w:rPr>
      </w:pPr>
      <w:r w:rsidRPr="00651B71">
        <w:rPr>
          <w:rFonts w:cs="Arial"/>
        </w:rPr>
        <w:t>Working groups identified in the Strategic Framework were formed and have commenced operations aimed at achieving outcomes and deliverables of the Framework.</w:t>
      </w:r>
    </w:p>
    <w:p w:rsidR="000C7DAD" w:rsidRPr="00651B71" w:rsidRDefault="000C7DAD" w:rsidP="00937D1E">
      <w:pPr>
        <w:numPr>
          <w:ilvl w:val="0"/>
          <w:numId w:val="17"/>
        </w:numPr>
        <w:spacing w:line="240" w:lineRule="auto"/>
        <w:rPr>
          <w:rFonts w:cs="Arial"/>
        </w:rPr>
      </w:pPr>
      <w:r w:rsidRPr="00651B71">
        <w:rPr>
          <w:rFonts w:cs="Arial"/>
        </w:rPr>
        <w:lastRenderedPageBreak/>
        <w:t>Best Practice demonstration projects: Four projects involving seven non-government youth mentoring organisations were funded and made substantial progress in developing a suite of resources to demonstrate best practice in youth mentoring. All projects are scheduled to launch their resources during National Youth Week in April 2013.</w:t>
      </w:r>
    </w:p>
    <w:p w:rsidR="000C7DAD" w:rsidRPr="00651B71" w:rsidRDefault="000C7DAD" w:rsidP="00937D1E">
      <w:pPr>
        <w:numPr>
          <w:ilvl w:val="0"/>
          <w:numId w:val="17"/>
        </w:numPr>
        <w:spacing w:line="240" w:lineRule="auto"/>
        <w:rPr>
          <w:rFonts w:cs="Arial"/>
        </w:rPr>
      </w:pPr>
      <w:r w:rsidRPr="00651B71">
        <w:rPr>
          <w:rFonts w:cs="Arial"/>
          <w:bCs/>
          <w:color w:val="000000"/>
        </w:rPr>
        <w:t>A training consultation survey conducted in 2012</w:t>
      </w:r>
      <w:r w:rsidRPr="00651B71">
        <w:rPr>
          <w:rFonts w:cs="Arial"/>
          <w:b/>
          <w:bCs/>
          <w:color w:val="000000"/>
        </w:rPr>
        <w:t xml:space="preserve"> </w:t>
      </w:r>
      <w:r w:rsidRPr="00651B71">
        <w:rPr>
          <w:rFonts w:cs="Arial"/>
          <w:color w:val="000000"/>
        </w:rPr>
        <w:t>will assist in the design of relevant training that is cost effective and targeted</w:t>
      </w:r>
      <w:r w:rsidR="00FA31EF">
        <w:rPr>
          <w:rFonts w:cs="Arial"/>
          <w:color w:val="000000"/>
        </w:rPr>
        <w:t>,</w:t>
      </w:r>
      <w:r w:rsidRPr="00651B71">
        <w:rPr>
          <w:rFonts w:cs="Arial"/>
          <w:color w:val="000000"/>
        </w:rPr>
        <w:t xml:space="preserve"> with distribution throughout WA. The results will guide the development of sustainable models for the delivery of training after the conclusion of the funding for the youth mentoring reform project.</w:t>
      </w:r>
    </w:p>
    <w:p w:rsidR="000C7DAD" w:rsidRPr="00651B71" w:rsidRDefault="000C7DAD" w:rsidP="00937D1E">
      <w:pPr>
        <w:numPr>
          <w:ilvl w:val="0"/>
          <w:numId w:val="17"/>
        </w:numPr>
        <w:spacing w:line="240" w:lineRule="auto"/>
        <w:rPr>
          <w:rFonts w:cs="Arial"/>
        </w:rPr>
      </w:pPr>
      <w:r w:rsidRPr="00651B71">
        <w:rPr>
          <w:rFonts w:cs="Arial"/>
          <w:color w:val="000000"/>
        </w:rPr>
        <w:t>Market research conducted with the private sector will provide a report on prospective development of sustainable models for funding youth mentoring agencies.</w:t>
      </w:r>
    </w:p>
    <w:p w:rsidR="000C7DAD" w:rsidRPr="00651B71" w:rsidRDefault="0059610C" w:rsidP="00937D1E">
      <w:pPr>
        <w:numPr>
          <w:ilvl w:val="0"/>
          <w:numId w:val="17"/>
        </w:numPr>
        <w:spacing w:line="240" w:lineRule="auto"/>
        <w:rPr>
          <w:rFonts w:cs="Arial"/>
        </w:rPr>
      </w:pPr>
      <w:r>
        <w:rPr>
          <w:rFonts w:cs="Arial"/>
        </w:rPr>
        <w:t>The r</w:t>
      </w:r>
      <w:r w:rsidR="000C7DAD" w:rsidRPr="00651B71">
        <w:rPr>
          <w:rFonts w:cs="Arial"/>
        </w:rPr>
        <w:t xml:space="preserve">esearch and </w:t>
      </w:r>
      <w:r>
        <w:rPr>
          <w:rFonts w:cs="Arial"/>
        </w:rPr>
        <w:t>e</w:t>
      </w:r>
      <w:r w:rsidR="000C7DAD" w:rsidRPr="00651B71">
        <w:rPr>
          <w:rFonts w:cs="Arial"/>
        </w:rPr>
        <w:t>valuation group continued work to identify a suitable research proposal for funding.</w:t>
      </w:r>
    </w:p>
    <w:p w:rsidR="000C7DAD" w:rsidRPr="00651B71" w:rsidRDefault="000C7DAD" w:rsidP="00937D1E">
      <w:pPr>
        <w:spacing w:line="240" w:lineRule="auto"/>
        <w:ind w:left="360"/>
        <w:rPr>
          <w:rFonts w:cs="Arial"/>
        </w:rPr>
      </w:pPr>
    </w:p>
    <w:p w:rsidR="000C7DAD" w:rsidRPr="00651B71" w:rsidRDefault="000C7DAD" w:rsidP="00937D1E">
      <w:pPr>
        <w:spacing w:line="240" w:lineRule="auto"/>
        <w:rPr>
          <w:rFonts w:cs="Arial"/>
        </w:rPr>
      </w:pPr>
      <w:r w:rsidRPr="00651B71">
        <w:rPr>
          <w:rFonts w:cs="Arial"/>
        </w:rPr>
        <w:t xml:space="preserve">The chief impact of the </w:t>
      </w:r>
      <w:proofErr w:type="spellStart"/>
      <w:r w:rsidRPr="00651B71">
        <w:rPr>
          <w:rFonts w:cs="Arial"/>
        </w:rPr>
        <w:t>NPYAT</w:t>
      </w:r>
      <w:proofErr w:type="spellEnd"/>
      <w:r w:rsidRPr="00651B71">
        <w:rPr>
          <w:rFonts w:cs="Arial"/>
        </w:rPr>
        <w:t xml:space="preserve"> youth mentoring reform project has been improved understanding in the sector of the importance of National Benchmarks as the essential components of quality mentoring programs. There has been an increased awareness within the youth mentoring sector of its community building mission and the potential for the creation of sustainable social capital. Media coverage of workshops and consultations has led to increased profile for mentoring, particularly in regional areas.</w:t>
      </w:r>
    </w:p>
    <w:p w:rsidR="000C7DAD" w:rsidRPr="00651B71" w:rsidRDefault="009639A6" w:rsidP="00937D1E">
      <w:pPr>
        <w:pStyle w:val="Heading3"/>
        <w:spacing w:line="240" w:lineRule="auto"/>
      </w:pPr>
      <w:r>
        <w:t>4.5</w:t>
      </w:r>
      <w:r w:rsidR="000C7DAD" w:rsidRPr="00651B71">
        <w:tab/>
        <w:t xml:space="preserve">Department of Corrective Services </w:t>
      </w:r>
      <w:r w:rsidR="00FA31EF">
        <w:t>(</w:t>
      </w:r>
      <w:proofErr w:type="spellStart"/>
      <w:r w:rsidR="00FA31EF">
        <w:t>D</w:t>
      </w:r>
      <w:r w:rsidR="0059610C">
        <w:t>C</w:t>
      </w:r>
      <w:r w:rsidR="00FA31EF">
        <w:t>S</w:t>
      </w:r>
      <w:proofErr w:type="spellEnd"/>
      <w:r w:rsidR="0059610C">
        <w:t>)</w:t>
      </w:r>
    </w:p>
    <w:p w:rsidR="00E81B57" w:rsidRDefault="00E81B57" w:rsidP="00937D1E">
      <w:pPr>
        <w:spacing w:line="240" w:lineRule="auto"/>
        <w:rPr>
          <w:rFonts w:cs="Arial"/>
        </w:rPr>
      </w:pPr>
      <w:r>
        <w:rPr>
          <w:rFonts w:cs="Arial"/>
        </w:rPr>
        <w:t>In the adult correctional system, youth at risk, Aboriginal, and female youth at risk train</w:t>
      </w:r>
      <w:r w:rsidR="00261A27">
        <w:rPr>
          <w:rFonts w:cs="Arial"/>
        </w:rPr>
        <w:t xml:space="preserve">eeship registrations continued </w:t>
      </w:r>
      <w:r>
        <w:rPr>
          <w:rFonts w:cs="Arial"/>
        </w:rPr>
        <w:t xml:space="preserve">to demonstrate steady growth.  In regards to capacity building, the Multicultural Responsive Teaching and Learning Unit for prison educators was completed; career and employer expos for prisoners were provided at each public prison at least once a year and  </w:t>
      </w:r>
      <w:proofErr w:type="spellStart"/>
      <w:r>
        <w:rPr>
          <w:rFonts w:cs="Arial"/>
        </w:rPr>
        <w:t>DCS</w:t>
      </w:r>
      <w:proofErr w:type="spellEnd"/>
      <w:r>
        <w:rPr>
          <w:rFonts w:cs="Arial"/>
        </w:rPr>
        <w:t xml:space="preserve"> had 53 prison staff enrolled in </w:t>
      </w:r>
      <w:r w:rsidR="00EB00AE">
        <w:rPr>
          <w:rFonts w:cs="Arial"/>
        </w:rPr>
        <w:t>Certificate IV Training and Assessment (TAE)</w:t>
      </w:r>
      <w:r>
        <w:rPr>
          <w:rFonts w:cs="Arial"/>
        </w:rPr>
        <w:t>. This total includes the highest number of Vocational Support Officers (VSO’s) the Department has had participating in a nationally accredited prisoner training and assessment course. Additionally, 17 VSO’s have completed the whole TAE Certificate IV Training and Assessment.</w:t>
      </w:r>
    </w:p>
    <w:p w:rsidR="00E81B57" w:rsidRDefault="00E81B57" w:rsidP="00937D1E">
      <w:pPr>
        <w:spacing w:line="240" w:lineRule="auto"/>
        <w:jc w:val="both"/>
        <w:rPr>
          <w:rFonts w:cs="Arial"/>
        </w:rPr>
      </w:pPr>
    </w:p>
    <w:p w:rsidR="00E81B57" w:rsidRDefault="00E81B57" w:rsidP="00937D1E">
      <w:pPr>
        <w:spacing w:line="240" w:lineRule="auto"/>
        <w:rPr>
          <w:rFonts w:cs="Arial"/>
        </w:rPr>
      </w:pPr>
      <w:r>
        <w:rPr>
          <w:rFonts w:cs="Arial"/>
        </w:rPr>
        <w:t>There has been a steady increase in prisoners engaging i</w:t>
      </w:r>
      <w:r w:rsidR="00261A27">
        <w:rPr>
          <w:rFonts w:cs="Arial"/>
        </w:rPr>
        <w:t>n career guidance and support, from 1160 prisoners in 2011 to 1610</w:t>
      </w:r>
      <w:r>
        <w:rPr>
          <w:rFonts w:cs="Arial"/>
        </w:rPr>
        <w:t xml:space="preserve"> in 2012. There have also been increases in Certificate II level training with youth at risk, through registrations in traineeships.</w:t>
      </w:r>
    </w:p>
    <w:p w:rsidR="00E81B57" w:rsidRDefault="00E81B57" w:rsidP="00937D1E">
      <w:pPr>
        <w:spacing w:line="240" w:lineRule="auto"/>
        <w:rPr>
          <w:rFonts w:cs="Arial"/>
        </w:rPr>
      </w:pPr>
      <w:r>
        <w:rPr>
          <w:rFonts w:cs="Arial"/>
        </w:rPr>
        <w:t xml:space="preserve"> </w:t>
      </w:r>
    </w:p>
    <w:p w:rsidR="00E81B57" w:rsidRDefault="00E81B57" w:rsidP="00937D1E">
      <w:pPr>
        <w:spacing w:line="240" w:lineRule="auto"/>
        <w:rPr>
          <w:rFonts w:cs="Arial"/>
        </w:rPr>
      </w:pPr>
      <w:r>
        <w:rPr>
          <w:rFonts w:cs="Arial"/>
        </w:rPr>
        <w:t>The Education and Vocational Training Unit commenced an innovative training program for Aboriginal prisoners which combined a Conservation and Land Management traineeship with the teaching of Noongar language and culture. Five pr</w:t>
      </w:r>
      <w:r w:rsidR="00261A27">
        <w:rPr>
          <w:rFonts w:cs="Arial"/>
        </w:rPr>
        <w:t>isoners completed this training</w:t>
      </w:r>
      <w:r>
        <w:rPr>
          <w:rFonts w:cs="Arial"/>
        </w:rPr>
        <w:t xml:space="preserve">, with three others completing a significant number of units before being released to the community. </w:t>
      </w:r>
    </w:p>
    <w:p w:rsidR="00E81B57" w:rsidRDefault="00E81B57" w:rsidP="00937D1E">
      <w:pPr>
        <w:spacing w:line="240" w:lineRule="auto"/>
        <w:rPr>
          <w:rFonts w:cs="Arial"/>
        </w:rPr>
      </w:pPr>
    </w:p>
    <w:p w:rsidR="00E81B57" w:rsidRDefault="00E81B57" w:rsidP="00937D1E">
      <w:pPr>
        <w:spacing w:line="240" w:lineRule="auto"/>
      </w:pPr>
      <w:r>
        <w:rPr>
          <w:rFonts w:cs="Arial"/>
        </w:rPr>
        <w:t>Total youth at risk prisoner traineeship enrolments ros</w:t>
      </w:r>
      <w:r w:rsidR="00261A27">
        <w:rPr>
          <w:rFonts w:cs="Arial"/>
        </w:rPr>
        <w:t>e from 79 in 2011 to 88 in 2012</w:t>
      </w:r>
      <w:r>
        <w:rPr>
          <w:rFonts w:cs="Arial"/>
        </w:rPr>
        <w:t>,</w:t>
      </w:r>
      <w:r w:rsidR="00261A27">
        <w:rPr>
          <w:rFonts w:cs="Arial"/>
        </w:rPr>
        <w:t xml:space="preserve"> </w:t>
      </w:r>
      <w:r>
        <w:rPr>
          <w:rFonts w:cs="Arial"/>
        </w:rPr>
        <w:t xml:space="preserve">with 35% of the students being Aboriginal. Once again, the overall percentage of successful traineeship completions in prison provided by </w:t>
      </w:r>
      <w:r w:rsidR="00FA31EF">
        <w:rPr>
          <w:rFonts w:cs="Arial"/>
        </w:rPr>
        <w:t xml:space="preserve">State Training </w:t>
      </w:r>
      <w:r w:rsidR="00A9625C">
        <w:rPr>
          <w:rFonts w:cs="Arial"/>
        </w:rPr>
        <w:t>Providers</w:t>
      </w:r>
      <w:r>
        <w:rPr>
          <w:rFonts w:cs="Arial"/>
        </w:rPr>
        <w:t xml:space="preserve"> to prisoners was higher than those achieved in the community.</w:t>
      </w:r>
    </w:p>
    <w:p w:rsidR="00CA69DC" w:rsidRDefault="00CA69DC">
      <w:pPr>
        <w:spacing w:line="240" w:lineRule="auto"/>
        <w:rPr>
          <w:rFonts w:ascii="Arial" w:eastAsia="Times New Roman" w:hAnsi="Arial"/>
          <w:b/>
          <w:bCs/>
          <w:color w:val="000000"/>
          <w:sz w:val="28"/>
          <w:szCs w:val="26"/>
        </w:rPr>
      </w:pPr>
      <w:r>
        <w:br w:type="page"/>
      </w:r>
    </w:p>
    <w:p w:rsidR="000C7DAD" w:rsidRPr="002C3F70" w:rsidRDefault="002C3F70" w:rsidP="002C3F70">
      <w:pPr>
        <w:pStyle w:val="Heading2"/>
      </w:pPr>
      <w:bookmarkStart w:id="18" w:name="_Toc384044190"/>
      <w:r w:rsidRPr="002C3F70">
        <w:lastRenderedPageBreak/>
        <w:t xml:space="preserve">5. </w:t>
      </w:r>
      <w:hyperlink w:anchor="_Toc320196892" w:history="1">
        <w:r w:rsidR="00365DC0" w:rsidRPr="002C3F70">
          <w:rPr>
            <w:rStyle w:val="Hyperlink"/>
            <w:color w:val="000000"/>
            <w:u w:val="none"/>
          </w:rPr>
          <w:t>Max</w:t>
        </w:r>
        <w:r w:rsidR="00365DC0">
          <w:rPr>
            <w:rStyle w:val="Hyperlink"/>
            <w:color w:val="000000"/>
            <w:u w:val="none"/>
          </w:rPr>
          <w:t>imising Engagement, Attainment a</w:t>
        </w:r>
        <w:r w:rsidR="00365DC0" w:rsidRPr="002C3F70">
          <w:rPr>
            <w:rStyle w:val="Hyperlink"/>
            <w:color w:val="000000"/>
            <w:u w:val="none"/>
          </w:rPr>
          <w:t>nd Successful Transitions</w:t>
        </w:r>
        <w:bookmarkEnd w:id="18"/>
      </w:hyperlink>
      <w:r w:rsidR="00365DC0" w:rsidRPr="002C3F70">
        <w:rPr>
          <w:rStyle w:val="Hyperlink"/>
          <w:color w:val="000000"/>
          <w:u w:val="none"/>
        </w:rPr>
        <w:t xml:space="preserve"> </w:t>
      </w:r>
    </w:p>
    <w:p w:rsidR="00DB02B2" w:rsidRDefault="000C7DAD" w:rsidP="008A6EA4">
      <w:pPr>
        <w:pStyle w:val="Heading3"/>
      </w:pPr>
      <w:r w:rsidRPr="00CC08BA">
        <w:t>5.1.1</w:t>
      </w:r>
      <w:r w:rsidRPr="00CC08BA">
        <w:tab/>
        <w:t xml:space="preserve">Additional Vocational Education and Training in Schools delivery </w:t>
      </w:r>
    </w:p>
    <w:p w:rsidR="00DB15C1" w:rsidRPr="008A6EA4" w:rsidRDefault="00F23399" w:rsidP="008A6EA4">
      <w:pPr>
        <w:rPr>
          <w:u w:val="single"/>
        </w:rPr>
      </w:pPr>
      <w:bookmarkStart w:id="19" w:name="_Toc360526694"/>
      <w:bookmarkStart w:id="20" w:name="_Toc360536338"/>
      <w:r w:rsidRPr="008A6EA4">
        <w:rPr>
          <w:u w:val="single"/>
        </w:rPr>
        <w:t>Purpose</w:t>
      </w:r>
      <w:bookmarkEnd w:id="19"/>
      <w:bookmarkEnd w:id="20"/>
    </w:p>
    <w:p w:rsidR="00F23399" w:rsidRDefault="00F23399" w:rsidP="00937D1E">
      <w:pPr>
        <w:spacing w:line="240" w:lineRule="auto"/>
        <w:rPr>
          <w:rFonts w:cs="Arial"/>
        </w:rPr>
      </w:pPr>
      <w:r w:rsidRPr="00F23399">
        <w:rPr>
          <w:rFonts w:cs="Arial"/>
        </w:rPr>
        <w:t xml:space="preserve">Western Australia has experienced strong growth in </w:t>
      </w:r>
      <w:proofErr w:type="spellStart"/>
      <w:r w:rsidRPr="00F23399">
        <w:rPr>
          <w:rFonts w:cs="Arial"/>
        </w:rPr>
        <w:t>VETiS</w:t>
      </w:r>
      <w:proofErr w:type="spellEnd"/>
      <w:r w:rsidRPr="00F23399">
        <w:rPr>
          <w:rFonts w:cs="Arial"/>
        </w:rPr>
        <w:t xml:space="preserve"> in all three school systems/sector placing increasing demand on resources and available training places. This provision of additional </w:t>
      </w:r>
      <w:proofErr w:type="spellStart"/>
      <w:r w:rsidRPr="00F23399">
        <w:rPr>
          <w:rFonts w:cs="Arial"/>
        </w:rPr>
        <w:t>VETiS</w:t>
      </w:r>
      <w:proofErr w:type="spellEnd"/>
      <w:r w:rsidRPr="00F23399">
        <w:rPr>
          <w:rFonts w:cs="Arial"/>
        </w:rPr>
        <w:t xml:space="preserve"> training delivery focuses on full certificate completions and increasing the number of qualifications attained in key priority industry areas as per the State Priority Occupation List. The target cohort encompasses all Western Australian Year 11 and 12 students. </w:t>
      </w:r>
    </w:p>
    <w:p w:rsidR="00F23399" w:rsidRPr="008A6EA4" w:rsidRDefault="00F23399" w:rsidP="008A6EA4">
      <w:pPr>
        <w:rPr>
          <w:u w:val="single"/>
        </w:rPr>
      </w:pPr>
      <w:r w:rsidRPr="008A6EA4">
        <w:rPr>
          <w:u w:val="single"/>
        </w:rPr>
        <w:t>2012</w:t>
      </w:r>
    </w:p>
    <w:p w:rsidR="00F23399" w:rsidRDefault="00F23399" w:rsidP="00937D1E">
      <w:pPr>
        <w:spacing w:line="240" w:lineRule="auto"/>
        <w:rPr>
          <w:rFonts w:cs="Arial"/>
        </w:rPr>
      </w:pPr>
      <w:proofErr w:type="spellStart"/>
      <w:r w:rsidRPr="00F23399">
        <w:rPr>
          <w:rFonts w:cs="Arial"/>
        </w:rPr>
        <w:t>NPYAT</w:t>
      </w:r>
      <w:proofErr w:type="spellEnd"/>
      <w:r w:rsidRPr="00F23399">
        <w:rPr>
          <w:rFonts w:cs="Arial"/>
        </w:rPr>
        <w:t xml:space="preserve"> funding of $4,712,000 has been set aside for delivery of additional VET to Western Australian schools during 2012-2014, and provided to schools based on student demand. </w:t>
      </w:r>
      <w:proofErr w:type="gramStart"/>
      <w:r w:rsidRPr="00F23399">
        <w:rPr>
          <w:rFonts w:cs="Arial"/>
        </w:rPr>
        <w:t>58% to Department of Education; 21% each to Catholic Education Office of WA and Association of Independent Schools of WA.</w:t>
      </w:r>
      <w:proofErr w:type="gramEnd"/>
    </w:p>
    <w:p w:rsidR="000E5D05" w:rsidRPr="00F23399" w:rsidRDefault="000E5D05" w:rsidP="00937D1E">
      <w:pPr>
        <w:spacing w:line="240" w:lineRule="auto"/>
        <w:rPr>
          <w:rFonts w:cs="Arial"/>
        </w:rPr>
      </w:pPr>
    </w:p>
    <w:p w:rsidR="00F23399" w:rsidRPr="008A6EA4" w:rsidRDefault="00F23399" w:rsidP="008A6EA4">
      <w:pPr>
        <w:rPr>
          <w:u w:val="single"/>
        </w:rPr>
      </w:pPr>
      <w:r w:rsidRPr="008A6EA4">
        <w:rPr>
          <w:u w:val="single"/>
        </w:rPr>
        <w:t>Timing</w:t>
      </w:r>
    </w:p>
    <w:p w:rsidR="00F23399" w:rsidRDefault="00F23399" w:rsidP="00937D1E">
      <w:pPr>
        <w:spacing w:line="240" w:lineRule="auto"/>
        <w:rPr>
          <w:rFonts w:cs="Arial"/>
        </w:rPr>
      </w:pPr>
      <w:proofErr w:type="spellStart"/>
      <w:r w:rsidRPr="00F23399">
        <w:rPr>
          <w:rFonts w:cs="Arial"/>
        </w:rPr>
        <w:t>VETiS</w:t>
      </w:r>
      <w:proofErr w:type="spellEnd"/>
      <w:r w:rsidRPr="00F23399">
        <w:rPr>
          <w:rFonts w:cs="Arial"/>
        </w:rPr>
        <w:t xml:space="preserve"> delivery to operate over 2012-2014</w:t>
      </w:r>
    </w:p>
    <w:p w:rsidR="00937D1E" w:rsidRDefault="00937D1E" w:rsidP="00937D1E">
      <w:pPr>
        <w:spacing w:line="240" w:lineRule="auto"/>
        <w:rPr>
          <w:rFonts w:cs="Arial"/>
        </w:rPr>
      </w:pPr>
    </w:p>
    <w:p w:rsidR="00F23399" w:rsidRPr="008A6EA4" w:rsidRDefault="00F23399" w:rsidP="008A6EA4">
      <w:pPr>
        <w:rPr>
          <w:u w:val="single"/>
        </w:rPr>
      </w:pPr>
      <w:r w:rsidRPr="008A6EA4">
        <w:rPr>
          <w:u w:val="single"/>
        </w:rPr>
        <w:t>Stakeholders</w:t>
      </w:r>
    </w:p>
    <w:p w:rsidR="00F179A6" w:rsidRDefault="00F23399" w:rsidP="00BA3E66">
      <w:pPr>
        <w:pStyle w:val="ListParagraph"/>
        <w:numPr>
          <w:ilvl w:val="0"/>
          <w:numId w:val="55"/>
        </w:numPr>
        <w:spacing w:line="240" w:lineRule="auto"/>
      </w:pPr>
      <w:r w:rsidRPr="00E67B55">
        <w:t>Department of Education</w:t>
      </w:r>
    </w:p>
    <w:p w:rsidR="00F179A6" w:rsidRDefault="00F23399" w:rsidP="00BA3E66">
      <w:pPr>
        <w:pStyle w:val="ListParagraph"/>
        <w:numPr>
          <w:ilvl w:val="0"/>
          <w:numId w:val="55"/>
        </w:numPr>
        <w:spacing w:line="240" w:lineRule="auto"/>
      </w:pPr>
      <w:r>
        <w:t>Cath</w:t>
      </w:r>
      <w:r w:rsidR="00F179A6">
        <w:t>olic Education Office of WA</w:t>
      </w:r>
    </w:p>
    <w:p w:rsidR="00F23399" w:rsidRDefault="00F23399" w:rsidP="00BA3E66">
      <w:pPr>
        <w:pStyle w:val="ListParagraph"/>
        <w:numPr>
          <w:ilvl w:val="0"/>
          <w:numId w:val="55"/>
        </w:numPr>
        <w:spacing w:line="240" w:lineRule="auto"/>
      </w:pPr>
      <w:r w:rsidRPr="00E67B55">
        <w:t>Associati</w:t>
      </w:r>
      <w:r>
        <w:t>on of Independent Schools of WA.</w:t>
      </w:r>
    </w:p>
    <w:p w:rsidR="00937D1E" w:rsidRDefault="00937D1E" w:rsidP="00937D1E">
      <w:pPr>
        <w:spacing w:line="240" w:lineRule="auto"/>
      </w:pPr>
    </w:p>
    <w:p w:rsidR="00F23399" w:rsidRPr="008A6EA4" w:rsidRDefault="00F23399" w:rsidP="008A6EA4">
      <w:pPr>
        <w:rPr>
          <w:u w:val="single"/>
        </w:rPr>
      </w:pPr>
      <w:r w:rsidRPr="008A6EA4">
        <w:rPr>
          <w:u w:val="single"/>
        </w:rPr>
        <w:t>Action taken</w:t>
      </w:r>
    </w:p>
    <w:p w:rsidR="00F179A6" w:rsidRDefault="00F23399" w:rsidP="00937D1E">
      <w:pPr>
        <w:spacing w:line="240" w:lineRule="auto"/>
      </w:pPr>
      <w:r w:rsidRPr="00F23399">
        <w:t>Additional qualifications were added to the list in 2012 for 2013 delivery – Certificate II Building and Construction (Para-professional pathway), Certificate II Building and Construction (Trades pathway), Certificate II Warehousing and Certificate III Education Support.  The Department of Training and Workforce Development ran a further procurement process to add training providers to the Panel List to deliver the additional qualifications.</w:t>
      </w:r>
    </w:p>
    <w:p w:rsidR="00F23399" w:rsidRPr="000E5D05" w:rsidRDefault="00F23399" w:rsidP="00937D1E">
      <w:pPr>
        <w:pStyle w:val="ListParagraph"/>
        <w:numPr>
          <w:ilvl w:val="1"/>
          <w:numId w:val="3"/>
        </w:numPr>
        <w:spacing w:line="240" w:lineRule="auto"/>
        <w:ind w:left="364" w:hanging="392"/>
        <w:rPr>
          <w:b/>
        </w:rPr>
      </w:pPr>
      <w:r w:rsidRPr="000E5D05">
        <w:rPr>
          <w:b/>
        </w:rPr>
        <w:t>Department of Education</w:t>
      </w:r>
    </w:p>
    <w:p w:rsidR="00F23399" w:rsidRDefault="00F23399" w:rsidP="00BA3E66">
      <w:pPr>
        <w:pStyle w:val="ListParagraph"/>
        <w:numPr>
          <w:ilvl w:val="0"/>
          <w:numId w:val="37"/>
        </w:numPr>
        <w:spacing w:line="240" w:lineRule="auto"/>
        <w:ind w:left="709" w:hanging="317"/>
        <w:rPr>
          <w:sz w:val="23"/>
          <w:szCs w:val="23"/>
        </w:rPr>
      </w:pPr>
      <w:r w:rsidRPr="005C35B5">
        <w:rPr>
          <w:sz w:val="23"/>
          <w:szCs w:val="23"/>
        </w:rPr>
        <w:t>Department of Education’s Education, Training and Industry Liaison Officer (</w:t>
      </w:r>
      <w:proofErr w:type="spellStart"/>
      <w:r w:rsidRPr="005C35B5">
        <w:rPr>
          <w:sz w:val="23"/>
          <w:szCs w:val="23"/>
        </w:rPr>
        <w:t>ETILOs</w:t>
      </w:r>
      <w:proofErr w:type="spellEnd"/>
      <w:r w:rsidRPr="005C35B5">
        <w:rPr>
          <w:sz w:val="23"/>
          <w:szCs w:val="23"/>
        </w:rPr>
        <w:t xml:space="preserve">) in each region managed the process of identifying qualifications and students and contacting </w:t>
      </w:r>
      <w:proofErr w:type="spellStart"/>
      <w:r w:rsidRPr="005C35B5">
        <w:rPr>
          <w:sz w:val="23"/>
          <w:szCs w:val="23"/>
        </w:rPr>
        <w:t>RTOs</w:t>
      </w:r>
      <w:proofErr w:type="spellEnd"/>
      <w:r w:rsidRPr="005C35B5">
        <w:rPr>
          <w:sz w:val="23"/>
          <w:szCs w:val="23"/>
        </w:rPr>
        <w:t xml:space="preserve"> from the preferred provider list.</w:t>
      </w:r>
    </w:p>
    <w:p w:rsidR="00AF06A9" w:rsidRDefault="00F23399" w:rsidP="00BA3E66">
      <w:pPr>
        <w:pStyle w:val="ListParagraph"/>
        <w:numPr>
          <w:ilvl w:val="0"/>
          <w:numId w:val="37"/>
        </w:numPr>
        <w:spacing w:line="240" w:lineRule="auto"/>
        <w:ind w:left="709" w:hanging="317"/>
        <w:rPr>
          <w:sz w:val="23"/>
          <w:szCs w:val="23"/>
        </w:rPr>
      </w:pPr>
      <w:r w:rsidRPr="00AF06A9">
        <w:rPr>
          <w:sz w:val="23"/>
          <w:szCs w:val="23"/>
        </w:rPr>
        <w:t xml:space="preserve">During 2012, all applications came through </w:t>
      </w:r>
      <w:proofErr w:type="spellStart"/>
      <w:r w:rsidRPr="00AF06A9">
        <w:rPr>
          <w:sz w:val="23"/>
          <w:szCs w:val="23"/>
        </w:rPr>
        <w:t>ETILOs</w:t>
      </w:r>
      <w:proofErr w:type="spellEnd"/>
      <w:r w:rsidRPr="00AF06A9">
        <w:rPr>
          <w:sz w:val="23"/>
          <w:szCs w:val="23"/>
        </w:rPr>
        <w:t xml:space="preserve"> to the Department of Education officers.</w:t>
      </w:r>
    </w:p>
    <w:p w:rsidR="00017255" w:rsidRPr="00AF06A9" w:rsidRDefault="00017255" w:rsidP="00017255">
      <w:pPr>
        <w:pStyle w:val="ListParagraph"/>
        <w:spacing w:line="240" w:lineRule="auto"/>
        <w:ind w:left="709"/>
        <w:rPr>
          <w:sz w:val="23"/>
          <w:szCs w:val="23"/>
        </w:rPr>
      </w:pPr>
    </w:p>
    <w:p w:rsidR="00F23399" w:rsidRDefault="00F23399" w:rsidP="00937D1E">
      <w:pPr>
        <w:pStyle w:val="ListParagraph"/>
        <w:numPr>
          <w:ilvl w:val="1"/>
          <w:numId w:val="3"/>
        </w:numPr>
        <w:spacing w:line="240" w:lineRule="auto"/>
        <w:ind w:left="392" w:hanging="420"/>
        <w:rPr>
          <w:b/>
        </w:rPr>
      </w:pPr>
      <w:r w:rsidRPr="00F23399">
        <w:rPr>
          <w:b/>
        </w:rPr>
        <w:t>Catholic Education Office of WA</w:t>
      </w:r>
    </w:p>
    <w:p w:rsidR="00F23399" w:rsidRPr="005C35B5" w:rsidRDefault="00F23399" w:rsidP="00BA3E66">
      <w:pPr>
        <w:pStyle w:val="ListParagraph"/>
        <w:numPr>
          <w:ilvl w:val="0"/>
          <w:numId w:val="36"/>
        </w:numPr>
        <w:spacing w:line="240" w:lineRule="auto"/>
        <w:ind w:left="700" w:hanging="322"/>
        <w:rPr>
          <w:sz w:val="23"/>
          <w:szCs w:val="23"/>
        </w:rPr>
      </w:pPr>
      <w:r w:rsidRPr="005C35B5">
        <w:rPr>
          <w:sz w:val="23"/>
          <w:szCs w:val="23"/>
        </w:rPr>
        <w:t>Application forms prepared for distribution to schools.</w:t>
      </w:r>
    </w:p>
    <w:p w:rsidR="00F23399" w:rsidRPr="005C35B5" w:rsidRDefault="00F23399" w:rsidP="00BA3E66">
      <w:pPr>
        <w:pStyle w:val="ListParagraph"/>
        <w:numPr>
          <w:ilvl w:val="0"/>
          <w:numId w:val="36"/>
        </w:numPr>
        <w:spacing w:line="240" w:lineRule="auto"/>
        <w:ind w:left="700" w:hanging="322"/>
        <w:rPr>
          <w:sz w:val="23"/>
          <w:szCs w:val="23"/>
        </w:rPr>
      </w:pPr>
      <w:r w:rsidRPr="005C35B5">
        <w:rPr>
          <w:sz w:val="23"/>
          <w:szCs w:val="23"/>
        </w:rPr>
        <w:t>Student applications received and students clustered into classes with school systems/sector in various regions.</w:t>
      </w:r>
    </w:p>
    <w:p w:rsidR="00F23399" w:rsidRPr="005C35B5" w:rsidRDefault="00F23399" w:rsidP="00BA3E66">
      <w:pPr>
        <w:pStyle w:val="ListParagraph"/>
        <w:numPr>
          <w:ilvl w:val="0"/>
          <w:numId w:val="36"/>
        </w:numPr>
        <w:spacing w:line="240" w:lineRule="auto"/>
        <w:ind w:left="700" w:hanging="322"/>
        <w:rPr>
          <w:sz w:val="23"/>
          <w:szCs w:val="23"/>
        </w:rPr>
      </w:pPr>
      <w:r w:rsidRPr="005C35B5">
        <w:rPr>
          <w:sz w:val="23"/>
          <w:szCs w:val="23"/>
        </w:rPr>
        <w:t xml:space="preserve">Selection process undertaken to match schools with </w:t>
      </w:r>
      <w:proofErr w:type="spellStart"/>
      <w:r w:rsidRPr="005C35B5">
        <w:rPr>
          <w:sz w:val="23"/>
          <w:szCs w:val="23"/>
        </w:rPr>
        <w:t>RTOs</w:t>
      </w:r>
      <w:proofErr w:type="spellEnd"/>
      <w:r w:rsidRPr="005C35B5">
        <w:rPr>
          <w:sz w:val="23"/>
          <w:szCs w:val="23"/>
        </w:rPr>
        <w:t xml:space="preserve"> in the region.</w:t>
      </w:r>
    </w:p>
    <w:p w:rsidR="00F23399" w:rsidRPr="000E5D05" w:rsidRDefault="00F23399" w:rsidP="00BA3E66">
      <w:pPr>
        <w:pStyle w:val="ListParagraph"/>
        <w:numPr>
          <w:ilvl w:val="0"/>
          <w:numId w:val="36"/>
        </w:numPr>
        <w:spacing w:line="240" w:lineRule="auto"/>
        <w:ind w:left="700" w:hanging="322"/>
        <w:rPr>
          <w:b/>
          <w:sz w:val="23"/>
          <w:szCs w:val="23"/>
        </w:rPr>
      </w:pPr>
      <w:r w:rsidRPr="005C35B5">
        <w:rPr>
          <w:sz w:val="23"/>
          <w:szCs w:val="23"/>
        </w:rPr>
        <w:t>Accurate recording templates prepared.</w:t>
      </w:r>
    </w:p>
    <w:p w:rsidR="00F23399" w:rsidRPr="000E5D05" w:rsidRDefault="00F23399" w:rsidP="00937D1E">
      <w:pPr>
        <w:pStyle w:val="ListParagraph"/>
        <w:numPr>
          <w:ilvl w:val="1"/>
          <w:numId w:val="3"/>
        </w:numPr>
        <w:spacing w:line="240" w:lineRule="auto"/>
        <w:ind w:left="426" w:hanging="426"/>
        <w:rPr>
          <w:b/>
        </w:rPr>
      </w:pPr>
      <w:r w:rsidRPr="000E5D05">
        <w:rPr>
          <w:b/>
        </w:rPr>
        <w:t>Association of Independent Schools of WA</w:t>
      </w:r>
    </w:p>
    <w:p w:rsidR="00F23399" w:rsidRPr="00F23399" w:rsidRDefault="00F23399" w:rsidP="00BA3E66">
      <w:pPr>
        <w:pStyle w:val="ListParagraph"/>
        <w:numPr>
          <w:ilvl w:val="0"/>
          <w:numId w:val="39"/>
        </w:numPr>
        <w:spacing w:line="240" w:lineRule="auto"/>
        <w:ind w:left="709" w:hanging="283"/>
      </w:pPr>
      <w:r w:rsidRPr="00F23399">
        <w:t>Interviewed preferred providers to determine suitability and process delivery options.</w:t>
      </w:r>
    </w:p>
    <w:p w:rsidR="00F23399" w:rsidRPr="00F23399" w:rsidRDefault="00F23399" w:rsidP="00BA3E66">
      <w:pPr>
        <w:pStyle w:val="ListParagraph"/>
        <w:numPr>
          <w:ilvl w:val="0"/>
          <w:numId w:val="39"/>
        </w:numPr>
        <w:spacing w:line="240" w:lineRule="auto"/>
        <w:ind w:left="709" w:hanging="283"/>
      </w:pPr>
      <w:r w:rsidRPr="00F23399">
        <w:t>Expression of Interest sought from schools.</w:t>
      </w:r>
    </w:p>
    <w:p w:rsidR="00F23399" w:rsidRPr="00F23399" w:rsidRDefault="00F23399" w:rsidP="00BA3E66">
      <w:pPr>
        <w:pStyle w:val="ListParagraph"/>
        <w:numPr>
          <w:ilvl w:val="0"/>
          <w:numId w:val="39"/>
        </w:numPr>
        <w:spacing w:line="240" w:lineRule="auto"/>
        <w:ind w:left="709" w:hanging="283"/>
      </w:pPr>
      <w:r w:rsidRPr="00F23399">
        <w:t>Information forwarded to all schools.</w:t>
      </w:r>
    </w:p>
    <w:p w:rsidR="00F23399" w:rsidRPr="00F23399" w:rsidRDefault="00F23399" w:rsidP="00BA3E66">
      <w:pPr>
        <w:pStyle w:val="ListParagraph"/>
        <w:numPr>
          <w:ilvl w:val="0"/>
          <w:numId w:val="39"/>
        </w:numPr>
        <w:spacing w:line="240" w:lineRule="auto"/>
        <w:ind w:left="709" w:hanging="283"/>
      </w:pPr>
      <w:r w:rsidRPr="00F23399">
        <w:t xml:space="preserve">Establishment/negotiation with </w:t>
      </w:r>
      <w:proofErr w:type="spellStart"/>
      <w:r w:rsidRPr="00F23399">
        <w:t>CEOWA</w:t>
      </w:r>
      <w:proofErr w:type="spellEnd"/>
      <w:r w:rsidRPr="00F23399">
        <w:t xml:space="preserve"> and Department of Education with an aim to deliver cross-sectoral classes where possible.</w:t>
      </w:r>
    </w:p>
    <w:p w:rsidR="00F23399" w:rsidRPr="00F23399" w:rsidRDefault="00F23399" w:rsidP="00BA3E66">
      <w:pPr>
        <w:pStyle w:val="ListParagraph"/>
        <w:numPr>
          <w:ilvl w:val="0"/>
          <w:numId w:val="39"/>
        </w:numPr>
        <w:spacing w:line="240" w:lineRule="auto"/>
        <w:ind w:left="709" w:hanging="283"/>
      </w:pPr>
      <w:r w:rsidRPr="00F23399">
        <w:t>Student applications received and reviewed.</w:t>
      </w:r>
    </w:p>
    <w:p w:rsidR="00F23399" w:rsidRPr="00F23399" w:rsidRDefault="00F23399" w:rsidP="00BA3E66">
      <w:pPr>
        <w:pStyle w:val="ListParagraph"/>
        <w:numPr>
          <w:ilvl w:val="0"/>
          <w:numId w:val="39"/>
        </w:numPr>
        <w:spacing w:line="240" w:lineRule="auto"/>
        <w:ind w:left="709" w:hanging="283"/>
      </w:pPr>
      <w:r w:rsidRPr="00F23399">
        <w:t xml:space="preserve">Cluster groups established with </w:t>
      </w:r>
      <w:proofErr w:type="spellStart"/>
      <w:r w:rsidRPr="00F23399">
        <w:t>CEOWA</w:t>
      </w:r>
      <w:proofErr w:type="spellEnd"/>
      <w:r w:rsidRPr="00F23399">
        <w:t xml:space="preserve"> </w:t>
      </w:r>
    </w:p>
    <w:p w:rsidR="00F23399" w:rsidRPr="00F23399" w:rsidRDefault="00F23399" w:rsidP="00BA3E66">
      <w:pPr>
        <w:pStyle w:val="ListParagraph"/>
        <w:numPr>
          <w:ilvl w:val="0"/>
          <w:numId w:val="39"/>
        </w:numPr>
        <w:spacing w:line="240" w:lineRule="auto"/>
        <w:ind w:left="709" w:hanging="283"/>
      </w:pPr>
      <w:r w:rsidRPr="00F23399">
        <w:lastRenderedPageBreak/>
        <w:t xml:space="preserve">Consultation/negotiation with </w:t>
      </w:r>
      <w:proofErr w:type="spellStart"/>
      <w:r w:rsidRPr="00F23399">
        <w:t>RTOs</w:t>
      </w:r>
      <w:proofErr w:type="spellEnd"/>
      <w:r w:rsidRPr="00F23399">
        <w:t>.</w:t>
      </w:r>
    </w:p>
    <w:p w:rsidR="00F23399" w:rsidRPr="00F23399" w:rsidRDefault="00F23399" w:rsidP="00BA3E66">
      <w:pPr>
        <w:pStyle w:val="ListParagraph"/>
        <w:numPr>
          <w:ilvl w:val="0"/>
          <w:numId w:val="39"/>
        </w:numPr>
        <w:spacing w:line="240" w:lineRule="auto"/>
        <w:ind w:left="709" w:hanging="283"/>
      </w:pPr>
      <w:r w:rsidRPr="00F23399">
        <w:t xml:space="preserve">Advised schools of successful applicants. </w:t>
      </w:r>
    </w:p>
    <w:p w:rsidR="00F23399" w:rsidRPr="00F23399" w:rsidRDefault="00F23399" w:rsidP="00BA3E66">
      <w:pPr>
        <w:pStyle w:val="ListParagraph"/>
        <w:numPr>
          <w:ilvl w:val="0"/>
          <w:numId w:val="39"/>
        </w:numPr>
        <w:spacing w:line="240" w:lineRule="auto"/>
        <w:ind w:left="709" w:hanging="283"/>
      </w:pPr>
      <w:r w:rsidRPr="00F23399">
        <w:t>Advised schools which courses will be available (based on viable numbers).</w:t>
      </w:r>
    </w:p>
    <w:p w:rsidR="00F23399" w:rsidRPr="00F23399" w:rsidRDefault="00F23399" w:rsidP="00BA3E66">
      <w:pPr>
        <w:pStyle w:val="ListParagraph"/>
        <w:numPr>
          <w:ilvl w:val="0"/>
          <w:numId w:val="39"/>
        </w:numPr>
        <w:spacing w:line="240" w:lineRule="auto"/>
        <w:ind w:left="709" w:hanging="283"/>
      </w:pPr>
      <w:r w:rsidRPr="00F23399">
        <w:t>Recording template developed.</w:t>
      </w:r>
    </w:p>
    <w:p w:rsidR="00937D1E" w:rsidRDefault="00937D1E" w:rsidP="00937D1E">
      <w:pPr>
        <w:spacing w:line="240" w:lineRule="auto"/>
        <w:rPr>
          <w:b/>
          <w:u w:val="single"/>
        </w:rPr>
      </w:pPr>
    </w:p>
    <w:p w:rsidR="005C35B5" w:rsidRPr="008A6EA4" w:rsidRDefault="00F23399" w:rsidP="008A6EA4">
      <w:pPr>
        <w:rPr>
          <w:u w:val="single"/>
        </w:rPr>
      </w:pPr>
      <w:r w:rsidRPr="008A6EA4">
        <w:rPr>
          <w:u w:val="single"/>
        </w:rPr>
        <w:t>Outcomes</w:t>
      </w:r>
    </w:p>
    <w:p w:rsidR="00F23399" w:rsidRPr="005C35B5" w:rsidRDefault="00F23399" w:rsidP="00937D1E">
      <w:pPr>
        <w:spacing w:line="240" w:lineRule="auto"/>
        <w:rPr>
          <w:sz w:val="23"/>
          <w:szCs w:val="23"/>
        </w:rPr>
      </w:pPr>
      <w:r w:rsidRPr="005C35B5">
        <w:rPr>
          <w:sz w:val="23"/>
          <w:szCs w:val="23"/>
        </w:rPr>
        <w:t xml:space="preserve">All school systems/sector working together within clusters is proving to be a very positive aspect of this project. </w:t>
      </w:r>
    </w:p>
    <w:p w:rsidR="00F23399" w:rsidRPr="005C35B5" w:rsidRDefault="00F23399" w:rsidP="00937D1E">
      <w:pPr>
        <w:spacing w:line="240" w:lineRule="auto"/>
        <w:rPr>
          <w:sz w:val="23"/>
          <w:szCs w:val="23"/>
        </w:rPr>
      </w:pPr>
      <w:proofErr w:type="spellStart"/>
      <w:r w:rsidRPr="005C35B5">
        <w:rPr>
          <w:sz w:val="23"/>
          <w:szCs w:val="23"/>
        </w:rPr>
        <w:t>VETiS</w:t>
      </w:r>
      <w:proofErr w:type="spellEnd"/>
      <w:r w:rsidRPr="005C35B5">
        <w:rPr>
          <w:sz w:val="23"/>
          <w:szCs w:val="23"/>
        </w:rPr>
        <w:t xml:space="preserve"> delivery commenced in 2012 with 328 additional </w:t>
      </w:r>
      <w:proofErr w:type="spellStart"/>
      <w:r w:rsidRPr="005C35B5">
        <w:rPr>
          <w:sz w:val="23"/>
          <w:szCs w:val="23"/>
        </w:rPr>
        <w:t>VETiS</w:t>
      </w:r>
      <w:proofErr w:type="spellEnd"/>
      <w:r w:rsidRPr="005C35B5">
        <w:rPr>
          <w:sz w:val="23"/>
          <w:szCs w:val="23"/>
        </w:rPr>
        <w:t xml:space="preserve"> commencements, however uptake of places was slower than anticipated therefore additional qualifications were added to the list. </w:t>
      </w:r>
    </w:p>
    <w:p w:rsidR="00F23399" w:rsidRDefault="00F23399" w:rsidP="00937D1E">
      <w:pPr>
        <w:spacing w:line="240" w:lineRule="auto"/>
        <w:rPr>
          <w:sz w:val="23"/>
          <w:szCs w:val="23"/>
        </w:rPr>
      </w:pPr>
      <w:r w:rsidRPr="005C35B5">
        <w:rPr>
          <w:sz w:val="23"/>
          <w:szCs w:val="23"/>
        </w:rPr>
        <w:t>Demand has been growing steadily throughout 2012, particularly from the public and Catholic school systems.</w:t>
      </w:r>
    </w:p>
    <w:p w:rsidR="00F179A6" w:rsidRDefault="00F179A6" w:rsidP="00937D1E">
      <w:pPr>
        <w:spacing w:line="240" w:lineRule="auto"/>
        <w:rPr>
          <w:sz w:val="23"/>
          <w:szCs w:val="23"/>
        </w:rPr>
      </w:pPr>
    </w:p>
    <w:p w:rsidR="00126635" w:rsidRPr="000E5D05" w:rsidRDefault="00126635" w:rsidP="00937D1E">
      <w:pPr>
        <w:pStyle w:val="ListParagraph"/>
        <w:numPr>
          <w:ilvl w:val="2"/>
          <w:numId w:val="3"/>
        </w:numPr>
        <w:spacing w:line="240" w:lineRule="auto"/>
        <w:ind w:left="426" w:hanging="426"/>
        <w:rPr>
          <w:b/>
        </w:rPr>
      </w:pPr>
      <w:r w:rsidRPr="000E5D05">
        <w:rPr>
          <w:b/>
        </w:rPr>
        <w:t>Department of Education</w:t>
      </w:r>
    </w:p>
    <w:p w:rsidR="00937D1E" w:rsidRDefault="00126635" w:rsidP="00937D1E">
      <w:pPr>
        <w:spacing w:line="240" w:lineRule="auto"/>
        <w:ind w:left="426"/>
      </w:pPr>
      <w:r w:rsidRPr="00E67B55">
        <w:t>The two metropolitan regions, the South West and Pilbara regions accessed places under this funding.</w:t>
      </w:r>
    </w:p>
    <w:p w:rsidR="00126635" w:rsidRPr="000E5D05" w:rsidRDefault="00126635" w:rsidP="00937D1E">
      <w:pPr>
        <w:pStyle w:val="ListParagraph"/>
        <w:numPr>
          <w:ilvl w:val="2"/>
          <w:numId w:val="3"/>
        </w:numPr>
        <w:spacing w:line="240" w:lineRule="auto"/>
        <w:ind w:left="426" w:hanging="426"/>
        <w:rPr>
          <w:b/>
        </w:rPr>
      </w:pPr>
      <w:r w:rsidRPr="000E5D05">
        <w:rPr>
          <w:b/>
        </w:rPr>
        <w:t>Catholic Education Office of WA</w:t>
      </w:r>
    </w:p>
    <w:p w:rsidR="00126635" w:rsidRDefault="00126635" w:rsidP="00937D1E">
      <w:pPr>
        <w:spacing w:line="240" w:lineRule="auto"/>
        <w:ind w:left="426"/>
      </w:pPr>
      <w:r w:rsidRPr="00E67B55">
        <w:t xml:space="preserve">50 students were involved in training in 2012 in six industry areas. Due to delays in the funding, unfortunately many students had already been timetabled into courses, so 2012 numbers were lower than anticipated. The following industry areas were taken up during 2012: Certificate IV Business, Certificate II Community Services, Certificate III Children Services, Certificate II Health Support Services, </w:t>
      </w:r>
      <w:proofErr w:type="gramStart"/>
      <w:r w:rsidRPr="00E67B55">
        <w:t>Certificate</w:t>
      </w:r>
      <w:proofErr w:type="gramEnd"/>
      <w:r w:rsidRPr="00E67B55">
        <w:t xml:space="preserve"> II in Telecommunications (Cabling), Certificate II in Engineering and Certificate II in Tourism.  Student participation numbers by regions were: Metropolitan (20 students), Peel (20 students), Pilbara (3 students), Goldfields (4 students) and South West (3 students).</w:t>
      </w:r>
    </w:p>
    <w:p w:rsidR="00126635" w:rsidRPr="000E5D05" w:rsidRDefault="00126635" w:rsidP="00937D1E">
      <w:pPr>
        <w:pStyle w:val="ListParagraph"/>
        <w:numPr>
          <w:ilvl w:val="2"/>
          <w:numId w:val="3"/>
        </w:numPr>
        <w:spacing w:line="240" w:lineRule="auto"/>
        <w:ind w:left="426" w:hanging="426"/>
        <w:rPr>
          <w:b/>
        </w:rPr>
      </w:pPr>
      <w:r w:rsidRPr="000E5D05">
        <w:rPr>
          <w:b/>
        </w:rPr>
        <w:t>Association of Independent Schools of WA</w:t>
      </w:r>
    </w:p>
    <w:p w:rsidR="00126635" w:rsidRDefault="00126635" w:rsidP="00937D1E">
      <w:pPr>
        <w:spacing w:line="240" w:lineRule="auto"/>
        <w:ind w:left="426"/>
      </w:pPr>
      <w:r w:rsidRPr="00E67B55">
        <w:t>21 studen</w:t>
      </w:r>
      <w:r w:rsidR="000E5D05">
        <w:t>ts participated in six courses; u</w:t>
      </w:r>
      <w:r w:rsidRPr="00E67B55">
        <w:t>ptake by schools has increased.</w:t>
      </w:r>
    </w:p>
    <w:p w:rsidR="00017255" w:rsidRDefault="00017255" w:rsidP="00937D1E">
      <w:pPr>
        <w:spacing w:line="240" w:lineRule="auto"/>
        <w:rPr>
          <w:b/>
          <w:u w:val="single"/>
        </w:rPr>
      </w:pPr>
    </w:p>
    <w:p w:rsidR="00126635" w:rsidRPr="008A6EA4" w:rsidRDefault="006C3FB9" w:rsidP="008A6EA4">
      <w:pPr>
        <w:rPr>
          <w:u w:val="single"/>
        </w:rPr>
      </w:pPr>
      <w:r w:rsidRPr="008A6EA4">
        <w:rPr>
          <w:u w:val="single"/>
        </w:rPr>
        <w:t>Planned adjustments/ Changes</w:t>
      </w:r>
    </w:p>
    <w:p w:rsidR="006C3FB9" w:rsidRPr="00DB02B2" w:rsidRDefault="0060765B" w:rsidP="00BA3E66">
      <w:pPr>
        <w:pStyle w:val="ListParagraph"/>
        <w:numPr>
          <w:ilvl w:val="0"/>
          <w:numId w:val="46"/>
        </w:numPr>
        <w:spacing w:line="240" w:lineRule="auto"/>
        <w:ind w:left="426" w:hanging="426"/>
        <w:rPr>
          <w:b/>
        </w:rPr>
      </w:pPr>
      <w:r w:rsidRPr="00DB02B2">
        <w:rPr>
          <w:b/>
        </w:rPr>
        <w:t>D</w:t>
      </w:r>
      <w:r w:rsidR="006C3FB9" w:rsidRPr="00DB02B2">
        <w:rPr>
          <w:b/>
        </w:rPr>
        <w:t>epartment of Education</w:t>
      </w:r>
    </w:p>
    <w:p w:rsidR="006C3FB9" w:rsidRPr="00E67B55" w:rsidRDefault="006C3FB9" w:rsidP="00BA3E66">
      <w:pPr>
        <w:pStyle w:val="ListParagraph"/>
        <w:numPr>
          <w:ilvl w:val="0"/>
          <w:numId w:val="38"/>
        </w:numPr>
        <w:spacing w:line="240" w:lineRule="auto"/>
        <w:ind w:hanging="294"/>
      </w:pPr>
      <w:r w:rsidRPr="00E67B55">
        <w:t>Many of the classes are two year programs and therefore continuing on from 2012 into 2013.</w:t>
      </w:r>
    </w:p>
    <w:p w:rsidR="006C3FB9" w:rsidRPr="00E67B55" w:rsidRDefault="006C3FB9" w:rsidP="00BA3E66">
      <w:pPr>
        <w:pStyle w:val="ListParagraph"/>
        <w:numPr>
          <w:ilvl w:val="0"/>
          <w:numId w:val="38"/>
        </w:numPr>
        <w:spacing w:line="240" w:lineRule="auto"/>
        <w:ind w:hanging="294"/>
      </w:pPr>
      <w:r w:rsidRPr="00E67B55">
        <w:t>Some regions will have new classes commencing in 2013.</w:t>
      </w:r>
    </w:p>
    <w:p w:rsidR="00017255" w:rsidRDefault="006C3FB9" w:rsidP="00BA3E66">
      <w:pPr>
        <w:pStyle w:val="ListParagraph"/>
        <w:numPr>
          <w:ilvl w:val="0"/>
          <w:numId w:val="38"/>
        </w:numPr>
        <w:spacing w:line="240" w:lineRule="auto"/>
        <w:ind w:hanging="294"/>
      </w:pPr>
      <w:r w:rsidRPr="00E67B55">
        <w:t xml:space="preserve">New classes will be established specifically for Special Needs students. It is expected more regions will access the </w:t>
      </w:r>
      <w:proofErr w:type="spellStart"/>
      <w:r w:rsidRPr="00E67B55">
        <w:t>VETIS</w:t>
      </w:r>
      <w:proofErr w:type="spellEnd"/>
      <w:r w:rsidRPr="00E67B55">
        <w:t xml:space="preserve"> places during 2013.</w:t>
      </w:r>
    </w:p>
    <w:p w:rsidR="006C3FB9" w:rsidRPr="00DB02B2" w:rsidRDefault="006C3FB9" w:rsidP="00BA3E66">
      <w:pPr>
        <w:pStyle w:val="ListParagraph"/>
        <w:numPr>
          <w:ilvl w:val="0"/>
          <w:numId w:val="46"/>
        </w:numPr>
        <w:spacing w:line="240" w:lineRule="auto"/>
        <w:ind w:left="426" w:hanging="426"/>
        <w:rPr>
          <w:b/>
        </w:rPr>
      </w:pPr>
      <w:r w:rsidRPr="00DB02B2">
        <w:rPr>
          <w:b/>
        </w:rPr>
        <w:t>Catholic Education Office of WA</w:t>
      </w:r>
    </w:p>
    <w:p w:rsidR="006C3FB9" w:rsidRDefault="006C3FB9" w:rsidP="00937D1E">
      <w:pPr>
        <w:spacing w:line="240" w:lineRule="auto"/>
        <w:ind w:left="426"/>
      </w:pPr>
      <w:r w:rsidRPr="00E67B55">
        <w:t>Students were able to access quality as well as variety in training that would not normally have been available. Some schools can access profile places through State Training Providers, however this is not always possible and this opportunity gave more students who had missed out on the profile places access to training.</w:t>
      </w:r>
    </w:p>
    <w:p w:rsidR="006C3FB9" w:rsidRPr="00DB02B2" w:rsidRDefault="006C3FB9" w:rsidP="00BA3E66">
      <w:pPr>
        <w:pStyle w:val="ListParagraph"/>
        <w:numPr>
          <w:ilvl w:val="0"/>
          <w:numId w:val="46"/>
        </w:numPr>
        <w:spacing w:line="240" w:lineRule="auto"/>
        <w:ind w:left="426" w:hanging="426"/>
        <w:rPr>
          <w:b/>
        </w:rPr>
      </w:pPr>
      <w:r w:rsidRPr="00DB02B2">
        <w:rPr>
          <w:b/>
        </w:rPr>
        <w:t>Association of Independent Schools of WA</w:t>
      </w:r>
    </w:p>
    <w:p w:rsidR="006C3FB9" w:rsidRPr="00E67B55" w:rsidRDefault="006C3FB9" w:rsidP="00937D1E">
      <w:pPr>
        <w:spacing w:line="240" w:lineRule="auto"/>
        <w:ind w:left="426"/>
      </w:pPr>
      <w:proofErr w:type="gramStart"/>
      <w:r w:rsidRPr="00E67B55">
        <w:t>Advertising of program earlier to coincide with subject selection process in schools.</w:t>
      </w:r>
      <w:proofErr w:type="gramEnd"/>
    </w:p>
    <w:p w:rsidR="00D04B1B" w:rsidRDefault="00D04B1B">
      <w:pPr>
        <w:spacing w:line="240" w:lineRule="auto"/>
        <w:rPr>
          <w:b/>
        </w:rPr>
      </w:pPr>
      <w:r>
        <w:rPr>
          <w:b/>
        </w:rPr>
        <w:br w:type="page"/>
      </w:r>
    </w:p>
    <w:p w:rsidR="006C3FB9" w:rsidRDefault="006C3FB9" w:rsidP="008A6EA4">
      <w:pPr>
        <w:pStyle w:val="Heading3"/>
      </w:pPr>
      <w:r>
        <w:lastRenderedPageBreak/>
        <w:t>5.1.2</w:t>
      </w:r>
      <w:r>
        <w:tab/>
        <w:t>Capacity building</w:t>
      </w:r>
    </w:p>
    <w:p w:rsidR="006C3FB9" w:rsidRDefault="006C3FB9" w:rsidP="00A976BE">
      <w:pPr>
        <w:pStyle w:val="Heading4"/>
      </w:pPr>
      <w:r w:rsidRPr="004731BC">
        <w:t>Purpose</w:t>
      </w:r>
    </w:p>
    <w:p w:rsidR="006C3FB9" w:rsidRPr="00DB02B2" w:rsidRDefault="006C3FB9" w:rsidP="00BA3E66">
      <w:pPr>
        <w:pStyle w:val="ListParagraph"/>
        <w:numPr>
          <w:ilvl w:val="0"/>
          <w:numId w:val="47"/>
        </w:numPr>
        <w:spacing w:line="240" w:lineRule="auto"/>
        <w:ind w:left="426" w:hanging="426"/>
        <w:rPr>
          <w:b/>
          <w:sz w:val="20"/>
          <w:szCs w:val="20"/>
          <w:u w:val="single"/>
        </w:rPr>
      </w:pPr>
      <w:r>
        <w:rPr>
          <w:rStyle w:val="boldheadingsChar"/>
        </w:rPr>
        <w:t xml:space="preserve">School systems/sector: </w:t>
      </w:r>
      <w:r w:rsidRPr="002B26D6">
        <w:t>to increase the number of teachers with a Certificate IV in Training and Assessment (TAE) qualification and current relevant industry experience in the school sectors.</w:t>
      </w:r>
    </w:p>
    <w:p w:rsidR="006C3FB9" w:rsidRPr="00DB02B2" w:rsidRDefault="006C3FB9" w:rsidP="00BA3E66">
      <w:pPr>
        <w:pStyle w:val="ListParagraph"/>
        <w:numPr>
          <w:ilvl w:val="0"/>
          <w:numId w:val="47"/>
        </w:numPr>
        <w:spacing w:line="240" w:lineRule="auto"/>
        <w:ind w:left="426" w:hanging="426"/>
        <w:rPr>
          <w:b/>
          <w:sz w:val="20"/>
          <w:szCs w:val="20"/>
          <w:u w:val="single"/>
        </w:rPr>
      </w:pPr>
      <w:r w:rsidRPr="00BE0BE7">
        <w:rPr>
          <w:rStyle w:val="boldheadingsChar"/>
        </w:rPr>
        <w:t>Department of Corrective Services</w:t>
      </w:r>
      <w:r>
        <w:t xml:space="preserve">: </w:t>
      </w:r>
      <w:r w:rsidRPr="002B26D6">
        <w:t xml:space="preserve">to build the capacity of Department of Corrective Services’ education and training staff to deliver more VET programs and increase the likelihood of improved educational engagement, attainment and successful transitions of at risk offenders returning to the community. </w:t>
      </w:r>
    </w:p>
    <w:p w:rsidR="006C3FB9" w:rsidRPr="00DB02B2" w:rsidRDefault="00DB02B2" w:rsidP="00BA3E66">
      <w:pPr>
        <w:pStyle w:val="ListParagraph"/>
        <w:numPr>
          <w:ilvl w:val="0"/>
          <w:numId w:val="47"/>
        </w:numPr>
        <w:spacing w:line="240" w:lineRule="auto"/>
        <w:ind w:left="426" w:hanging="426"/>
        <w:rPr>
          <w:b/>
          <w:sz w:val="20"/>
          <w:szCs w:val="20"/>
          <w:u w:val="single"/>
        </w:rPr>
      </w:pPr>
      <w:r w:rsidRPr="00DB02B2">
        <w:rPr>
          <w:b/>
        </w:rPr>
        <w:t>De</w:t>
      </w:r>
      <w:r w:rsidR="006C3FB9" w:rsidRPr="00DB02B2">
        <w:rPr>
          <w:b/>
        </w:rPr>
        <w:t xml:space="preserve">partment of Training and Workforce Development: </w:t>
      </w:r>
    </w:p>
    <w:p w:rsidR="000E5D05" w:rsidRDefault="006C3FB9" w:rsidP="00BA3E66">
      <w:pPr>
        <w:pStyle w:val="ListParagraph"/>
        <w:numPr>
          <w:ilvl w:val="0"/>
          <w:numId w:val="43"/>
        </w:numPr>
        <w:spacing w:line="240" w:lineRule="auto"/>
      </w:pPr>
      <w:r w:rsidRPr="002B26D6">
        <w:t>The revised School Based Apprenticeships and Traineeships Policy (</w:t>
      </w:r>
      <w:proofErr w:type="spellStart"/>
      <w:r w:rsidRPr="002B26D6">
        <w:t>SBAT</w:t>
      </w:r>
      <w:proofErr w:type="spellEnd"/>
      <w:r w:rsidRPr="002B26D6">
        <w:t xml:space="preserve">) </w:t>
      </w:r>
      <w:proofErr w:type="spellStart"/>
      <w:r w:rsidRPr="002B26D6">
        <w:t>V2</w:t>
      </w:r>
      <w:proofErr w:type="spellEnd"/>
      <w:r w:rsidRPr="002B26D6">
        <w:t xml:space="preserve"> came into effect on 1 January 2013 after extensive consultation with stakeholders. It provides information relating to the delivery of school based apprenticeships and traineeships undertaken while a full time student is attending secondary school. The purpose of this project is to build capacity of the systems/sector in school based apprenticeship and traineeship policy and practice.</w:t>
      </w:r>
    </w:p>
    <w:p w:rsidR="000E5D05" w:rsidRPr="000E5D05" w:rsidRDefault="006C3FB9" w:rsidP="00BA3E66">
      <w:pPr>
        <w:pStyle w:val="ListParagraph"/>
        <w:numPr>
          <w:ilvl w:val="0"/>
          <w:numId w:val="43"/>
        </w:numPr>
        <w:spacing w:line="240" w:lineRule="auto"/>
      </w:pPr>
      <w:r w:rsidRPr="002B26D6">
        <w:t xml:space="preserve">To increase capacity of teachers by providing a facilitator guide for integration of Certificates I and II foundation skills qualifications </w:t>
      </w:r>
      <w:r w:rsidR="000E5D05">
        <w:t>in a range of industry settings.</w:t>
      </w:r>
    </w:p>
    <w:p w:rsidR="00937D1E" w:rsidRDefault="00937D1E" w:rsidP="007E42D1">
      <w:pPr>
        <w:spacing w:line="240" w:lineRule="auto"/>
        <w:rPr>
          <w:b/>
          <w:u w:val="single"/>
        </w:rPr>
      </w:pPr>
    </w:p>
    <w:p w:rsidR="007E42D1" w:rsidRPr="004731BC" w:rsidRDefault="00937D1E" w:rsidP="00A976BE">
      <w:pPr>
        <w:pStyle w:val="Heading4"/>
      </w:pPr>
      <w:r>
        <w:t xml:space="preserve">2012 </w:t>
      </w:r>
      <w:r w:rsidR="004731BC" w:rsidRPr="004731BC">
        <w:t>Funding</w:t>
      </w:r>
    </w:p>
    <w:p w:rsidR="007E42D1" w:rsidRPr="00DB02B2" w:rsidRDefault="007E42D1" w:rsidP="00BA3E66">
      <w:pPr>
        <w:pStyle w:val="ListParagraph"/>
        <w:numPr>
          <w:ilvl w:val="0"/>
          <w:numId w:val="48"/>
        </w:numPr>
        <w:spacing w:line="240" w:lineRule="auto"/>
        <w:ind w:left="426" w:hanging="426"/>
        <w:rPr>
          <w:rFonts w:cs="Arial"/>
          <w:sz w:val="20"/>
          <w:szCs w:val="20"/>
        </w:rPr>
      </w:pPr>
      <w:r w:rsidRPr="00DB02B2">
        <w:rPr>
          <w:rStyle w:val="boldheadingsChar"/>
        </w:rPr>
        <w:t>School systems/sector</w:t>
      </w:r>
      <w:r w:rsidRPr="00DB02B2">
        <w:rPr>
          <w:rFonts w:cs="Arial"/>
          <w:sz w:val="23"/>
          <w:szCs w:val="23"/>
        </w:rPr>
        <w:t xml:space="preserve">: </w:t>
      </w:r>
      <w:r w:rsidRPr="00DB02B2">
        <w:t xml:space="preserve">$600,000 allocated in 2012 - 21% each to </w:t>
      </w:r>
      <w:proofErr w:type="spellStart"/>
      <w:r w:rsidRPr="00DB02B2">
        <w:t>AISWA</w:t>
      </w:r>
      <w:proofErr w:type="spellEnd"/>
      <w:r w:rsidRPr="00DB02B2">
        <w:t xml:space="preserve"> ($126,000) and </w:t>
      </w:r>
      <w:proofErr w:type="spellStart"/>
      <w:r w:rsidRPr="00DB02B2">
        <w:t>CEOWA</w:t>
      </w:r>
      <w:proofErr w:type="spellEnd"/>
      <w:r w:rsidRPr="00DB02B2">
        <w:t xml:space="preserve"> ($126,000) and 58% ($348,000) to the Department of Education.</w:t>
      </w:r>
      <w:r w:rsidRPr="00DB02B2">
        <w:rPr>
          <w:rFonts w:cs="Arial"/>
          <w:sz w:val="20"/>
          <w:szCs w:val="20"/>
        </w:rPr>
        <w:t xml:space="preserve">  </w:t>
      </w:r>
    </w:p>
    <w:p w:rsidR="007E42D1" w:rsidRPr="00DB02B2" w:rsidRDefault="007E42D1" w:rsidP="00BA3E66">
      <w:pPr>
        <w:pStyle w:val="ListParagraph"/>
        <w:numPr>
          <w:ilvl w:val="0"/>
          <w:numId w:val="48"/>
        </w:numPr>
        <w:spacing w:line="240" w:lineRule="auto"/>
        <w:ind w:left="426" w:hanging="426"/>
        <w:rPr>
          <w:rFonts w:cs="Arial"/>
          <w:sz w:val="20"/>
          <w:szCs w:val="20"/>
        </w:rPr>
      </w:pPr>
      <w:r w:rsidRPr="00DB02B2">
        <w:rPr>
          <w:rStyle w:val="boldheadingsChar"/>
        </w:rPr>
        <w:t>Department of Corrective Services:</w:t>
      </w:r>
      <w:r w:rsidRPr="00DB02B2">
        <w:rPr>
          <w:rFonts w:cs="Arial"/>
          <w:sz w:val="20"/>
          <w:szCs w:val="20"/>
        </w:rPr>
        <w:t xml:space="preserve"> </w:t>
      </w:r>
      <w:r w:rsidRPr="00DB02B2">
        <w:t>$183,000 allocated.</w:t>
      </w:r>
    </w:p>
    <w:p w:rsidR="007E42D1" w:rsidRPr="00937D1E" w:rsidRDefault="007E42D1" w:rsidP="00BA3E66">
      <w:pPr>
        <w:pStyle w:val="ListParagraph"/>
        <w:numPr>
          <w:ilvl w:val="0"/>
          <w:numId w:val="48"/>
        </w:numPr>
        <w:spacing w:line="240" w:lineRule="auto"/>
        <w:ind w:left="426" w:hanging="426"/>
        <w:rPr>
          <w:rFonts w:cs="Arial"/>
          <w:sz w:val="20"/>
          <w:szCs w:val="20"/>
        </w:rPr>
      </w:pPr>
      <w:r w:rsidRPr="00DB02B2">
        <w:rPr>
          <w:rStyle w:val="boldheadingsChar"/>
        </w:rPr>
        <w:t>Department of Training and Workforce Development</w:t>
      </w:r>
      <w:r w:rsidRPr="00DB02B2">
        <w:rPr>
          <w:sz w:val="23"/>
          <w:szCs w:val="23"/>
        </w:rPr>
        <w:t xml:space="preserve">: </w:t>
      </w:r>
      <w:proofErr w:type="spellStart"/>
      <w:r w:rsidRPr="00DB02B2">
        <w:t>i</w:t>
      </w:r>
      <w:proofErr w:type="spellEnd"/>
      <w:r w:rsidRPr="00DB02B2">
        <w:t xml:space="preserve">) $45,000 - </w:t>
      </w:r>
      <w:proofErr w:type="spellStart"/>
      <w:r w:rsidRPr="00DB02B2">
        <w:t>SBAT</w:t>
      </w:r>
      <w:proofErr w:type="spellEnd"/>
      <w:r w:rsidRPr="00DB02B2">
        <w:t xml:space="preserve"> Professional Development for</w:t>
      </w:r>
      <w:r w:rsidRPr="00FA692D">
        <w:t xml:space="preserve"> all systems/sector and Good Practice guide for School Based Apprenticeships and Traineeships; and ii) $30,000 facilitators guide.</w:t>
      </w:r>
    </w:p>
    <w:p w:rsidR="00937D1E" w:rsidRPr="00DB02B2" w:rsidRDefault="00937D1E" w:rsidP="00937D1E">
      <w:pPr>
        <w:pStyle w:val="ListParagraph"/>
        <w:spacing w:line="240" w:lineRule="auto"/>
        <w:ind w:left="426"/>
        <w:rPr>
          <w:rFonts w:cs="Arial"/>
          <w:sz w:val="20"/>
          <w:szCs w:val="20"/>
        </w:rPr>
      </w:pPr>
    </w:p>
    <w:p w:rsidR="007E42D1" w:rsidRPr="004731BC" w:rsidRDefault="007E42D1" w:rsidP="00A976BE">
      <w:pPr>
        <w:pStyle w:val="Heading4"/>
      </w:pPr>
      <w:r w:rsidRPr="004731BC">
        <w:t>Timing</w:t>
      </w:r>
    </w:p>
    <w:p w:rsidR="007E42D1" w:rsidRPr="000E5D05" w:rsidRDefault="007E42D1" w:rsidP="00BA3E66">
      <w:pPr>
        <w:pStyle w:val="ListParagraph"/>
        <w:numPr>
          <w:ilvl w:val="0"/>
          <w:numId w:val="44"/>
        </w:numPr>
        <w:spacing w:line="240" w:lineRule="auto"/>
        <w:ind w:left="426" w:hanging="426"/>
        <w:rPr>
          <w:rFonts w:cs="Arial"/>
          <w:sz w:val="23"/>
          <w:szCs w:val="23"/>
        </w:rPr>
      </w:pPr>
      <w:r w:rsidRPr="00984246">
        <w:rPr>
          <w:rStyle w:val="boldheadingsChar"/>
        </w:rPr>
        <w:t>School sectors/system:</w:t>
      </w:r>
      <w:r w:rsidRPr="000E5D05">
        <w:rPr>
          <w:rFonts w:cs="Arial"/>
          <w:b/>
          <w:sz w:val="23"/>
          <w:szCs w:val="23"/>
        </w:rPr>
        <w:t xml:space="preserve"> </w:t>
      </w:r>
      <w:r w:rsidRPr="00FA692D">
        <w:t>a three year project scheduled to operate 2012-2014</w:t>
      </w:r>
    </w:p>
    <w:p w:rsidR="007E42D1" w:rsidRPr="000E5D05" w:rsidRDefault="007E42D1" w:rsidP="00BA3E66">
      <w:pPr>
        <w:pStyle w:val="ListParagraph"/>
        <w:numPr>
          <w:ilvl w:val="0"/>
          <w:numId w:val="44"/>
        </w:numPr>
        <w:spacing w:line="240" w:lineRule="auto"/>
        <w:ind w:left="426" w:hanging="426"/>
        <w:rPr>
          <w:rFonts w:cs="Arial"/>
          <w:sz w:val="23"/>
          <w:szCs w:val="23"/>
        </w:rPr>
      </w:pPr>
      <w:r w:rsidRPr="00984246">
        <w:rPr>
          <w:rStyle w:val="boldheadingsChar"/>
        </w:rPr>
        <w:t>Department of Corrective Services:</w:t>
      </w:r>
      <w:r w:rsidRPr="000E5D05">
        <w:rPr>
          <w:rFonts w:cs="Arial"/>
          <w:b/>
          <w:sz w:val="23"/>
          <w:szCs w:val="23"/>
        </w:rPr>
        <w:t xml:space="preserve"> </w:t>
      </w:r>
      <w:r w:rsidRPr="00FA692D">
        <w:t>ongoing</w:t>
      </w:r>
    </w:p>
    <w:p w:rsidR="007E42D1" w:rsidRPr="000E5D05" w:rsidRDefault="007E42D1" w:rsidP="00BA3E66">
      <w:pPr>
        <w:pStyle w:val="ListParagraph"/>
        <w:numPr>
          <w:ilvl w:val="0"/>
          <w:numId w:val="44"/>
        </w:numPr>
        <w:spacing w:line="240" w:lineRule="auto"/>
        <w:ind w:left="426" w:hanging="426"/>
        <w:rPr>
          <w:rFonts w:cs="Arial"/>
          <w:b/>
          <w:sz w:val="23"/>
          <w:szCs w:val="23"/>
        </w:rPr>
      </w:pPr>
      <w:r w:rsidRPr="000E5D05">
        <w:rPr>
          <w:b/>
        </w:rPr>
        <w:t xml:space="preserve">Department of Training and Workforce Development </w:t>
      </w:r>
    </w:p>
    <w:p w:rsidR="007E42D1" w:rsidRPr="000E5D05" w:rsidRDefault="007E42D1" w:rsidP="00BA3E66">
      <w:pPr>
        <w:pStyle w:val="ListParagraph"/>
        <w:numPr>
          <w:ilvl w:val="0"/>
          <w:numId w:val="45"/>
        </w:numPr>
        <w:spacing w:line="240" w:lineRule="auto"/>
        <w:ind w:left="426" w:firstLine="0"/>
        <w:rPr>
          <w:rFonts w:cs="Arial"/>
        </w:rPr>
      </w:pPr>
      <w:proofErr w:type="spellStart"/>
      <w:r w:rsidRPr="000E5D05">
        <w:rPr>
          <w:rFonts w:cs="Arial"/>
        </w:rPr>
        <w:t>PD</w:t>
      </w:r>
      <w:proofErr w:type="spellEnd"/>
      <w:r w:rsidRPr="000E5D05">
        <w:rPr>
          <w:rFonts w:cs="Arial"/>
        </w:rPr>
        <w:t xml:space="preserve"> conducted during 2012-2013; Good Practice Guide scheduled for completion in 2013.</w:t>
      </w:r>
    </w:p>
    <w:p w:rsidR="007E42D1" w:rsidRDefault="007E42D1" w:rsidP="00BA3E66">
      <w:pPr>
        <w:pStyle w:val="ListParagraph"/>
        <w:numPr>
          <w:ilvl w:val="0"/>
          <w:numId w:val="45"/>
        </w:numPr>
        <w:spacing w:line="240" w:lineRule="auto"/>
        <w:ind w:left="426" w:firstLine="0"/>
        <w:rPr>
          <w:rFonts w:cs="Arial"/>
        </w:rPr>
      </w:pPr>
      <w:r w:rsidRPr="000E5D05">
        <w:rPr>
          <w:rFonts w:cs="Arial"/>
        </w:rPr>
        <w:t>Facilitators Guide due for completion 30 June 2013.</w:t>
      </w:r>
    </w:p>
    <w:p w:rsidR="00937D1E" w:rsidRPr="000E5D05" w:rsidRDefault="00937D1E" w:rsidP="00937D1E">
      <w:pPr>
        <w:pStyle w:val="ListParagraph"/>
        <w:spacing w:line="240" w:lineRule="auto"/>
        <w:ind w:left="426"/>
        <w:rPr>
          <w:rFonts w:cs="Arial"/>
        </w:rPr>
      </w:pPr>
    </w:p>
    <w:p w:rsidR="007E42D1" w:rsidRPr="00DB02B2" w:rsidRDefault="007E42D1" w:rsidP="00A976BE">
      <w:pPr>
        <w:pStyle w:val="Heading4"/>
      </w:pPr>
      <w:r w:rsidRPr="00DB02B2">
        <w:t>Stakeholders</w:t>
      </w:r>
    </w:p>
    <w:p w:rsidR="00F179A6" w:rsidRDefault="007E42D1" w:rsidP="00BA3E66">
      <w:pPr>
        <w:pStyle w:val="ListParagraph"/>
        <w:numPr>
          <w:ilvl w:val="0"/>
          <w:numId w:val="54"/>
        </w:numPr>
        <w:spacing w:line="240" w:lineRule="auto"/>
      </w:pPr>
      <w:r w:rsidRPr="007E42D1">
        <w:t>Department o</w:t>
      </w:r>
      <w:r w:rsidR="00F179A6">
        <w:t>f Education</w:t>
      </w:r>
    </w:p>
    <w:p w:rsidR="00F179A6" w:rsidRDefault="007E42D1" w:rsidP="00BA3E66">
      <w:pPr>
        <w:pStyle w:val="ListParagraph"/>
        <w:numPr>
          <w:ilvl w:val="0"/>
          <w:numId w:val="54"/>
        </w:numPr>
        <w:spacing w:line="240" w:lineRule="auto"/>
      </w:pPr>
      <w:r w:rsidRPr="007E42D1">
        <w:t>C</w:t>
      </w:r>
      <w:r w:rsidR="00F179A6">
        <w:t>atholic Education Office of WA</w:t>
      </w:r>
    </w:p>
    <w:p w:rsidR="00F179A6" w:rsidRDefault="007E42D1" w:rsidP="00BA3E66">
      <w:pPr>
        <w:pStyle w:val="ListParagraph"/>
        <w:numPr>
          <w:ilvl w:val="0"/>
          <w:numId w:val="54"/>
        </w:numPr>
        <w:spacing w:line="240" w:lineRule="auto"/>
      </w:pPr>
      <w:r w:rsidRPr="007E42D1">
        <w:t>Associa</w:t>
      </w:r>
      <w:r w:rsidR="00F179A6">
        <w:t>tion of Independent Schools WA</w:t>
      </w:r>
    </w:p>
    <w:p w:rsidR="00F179A6" w:rsidRDefault="007E42D1" w:rsidP="00BA3E66">
      <w:pPr>
        <w:pStyle w:val="ListParagraph"/>
        <w:numPr>
          <w:ilvl w:val="0"/>
          <w:numId w:val="54"/>
        </w:numPr>
        <w:spacing w:line="240" w:lineRule="auto"/>
      </w:pPr>
      <w:r w:rsidRPr="007E42D1">
        <w:t>Depart</w:t>
      </w:r>
      <w:r w:rsidR="00F179A6">
        <w:t>ment of Corrective Services</w:t>
      </w:r>
    </w:p>
    <w:p w:rsidR="007E42D1" w:rsidRDefault="007E42D1" w:rsidP="00BA3E66">
      <w:pPr>
        <w:pStyle w:val="ListParagraph"/>
        <w:numPr>
          <w:ilvl w:val="0"/>
          <w:numId w:val="54"/>
        </w:numPr>
        <w:spacing w:line="240" w:lineRule="auto"/>
      </w:pPr>
      <w:r w:rsidRPr="007E42D1">
        <w:t>Department of Training and Workforce Development</w:t>
      </w:r>
    </w:p>
    <w:p w:rsidR="00937D1E" w:rsidRDefault="00937D1E" w:rsidP="00937D1E">
      <w:pPr>
        <w:spacing w:line="240" w:lineRule="auto"/>
      </w:pPr>
    </w:p>
    <w:p w:rsidR="007E42D1" w:rsidRPr="00DB02B2" w:rsidRDefault="007E42D1" w:rsidP="00A976BE">
      <w:pPr>
        <w:pStyle w:val="Heading4"/>
      </w:pPr>
      <w:r w:rsidRPr="00DB02B2">
        <w:t>Action taken</w:t>
      </w:r>
    </w:p>
    <w:p w:rsidR="007E42D1" w:rsidRPr="007E42D1" w:rsidRDefault="007E42D1" w:rsidP="00937D1E">
      <w:pPr>
        <w:spacing w:line="240" w:lineRule="auto"/>
        <w:rPr>
          <w:b/>
        </w:rPr>
      </w:pPr>
      <w:r w:rsidRPr="007E42D1">
        <w:rPr>
          <w:b/>
        </w:rPr>
        <w:t>Department of Education, Catholic Education Office of WA and Association of Independent Schools WA</w:t>
      </w:r>
    </w:p>
    <w:p w:rsidR="007E42D1" w:rsidRDefault="007E42D1" w:rsidP="00937D1E">
      <w:pPr>
        <w:spacing w:line="240" w:lineRule="auto"/>
        <w:rPr>
          <w:rFonts w:cs="Arial"/>
          <w:bCs/>
          <w:lang w:val="en-US"/>
        </w:rPr>
      </w:pPr>
      <w:r w:rsidRPr="00FA692D">
        <w:rPr>
          <w:rFonts w:cs="Arial"/>
          <w:bCs/>
          <w:lang w:val="en-US"/>
        </w:rPr>
        <w:t xml:space="preserve">Two models of delivery were developed for implementation in 2012. The first model aims to increase the number of staff with a Certificate IV Training and Assessment (TAE), and the second to increase the current relevant industry experience of teachers delivering </w:t>
      </w:r>
      <w:proofErr w:type="spellStart"/>
      <w:r w:rsidRPr="00FA692D">
        <w:rPr>
          <w:rFonts w:cs="Arial"/>
          <w:bCs/>
          <w:lang w:val="en-US"/>
        </w:rPr>
        <w:t>VETiS</w:t>
      </w:r>
      <w:proofErr w:type="spellEnd"/>
      <w:r w:rsidRPr="00FA692D">
        <w:rPr>
          <w:rFonts w:cs="Arial"/>
          <w:bCs/>
          <w:lang w:val="en-US"/>
        </w:rPr>
        <w:t>.</w:t>
      </w:r>
    </w:p>
    <w:p w:rsidR="007E42D1" w:rsidRPr="00DB02B2" w:rsidRDefault="007E42D1" w:rsidP="00BA3E66">
      <w:pPr>
        <w:pStyle w:val="ListParagraph"/>
        <w:numPr>
          <w:ilvl w:val="0"/>
          <w:numId w:val="49"/>
        </w:numPr>
        <w:spacing w:line="240" w:lineRule="auto"/>
        <w:ind w:left="426" w:hanging="426"/>
        <w:rPr>
          <w:rFonts w:cs="Arial"/>
          <w:b/>
          <w:bCs/>
          <w:lang w:val="en-US"/>
        </w:rPr>
      </w:pPr>
      <w:r w:rsidRPr="00DB02B2">
        <w:rPr>
          <w:rFonts w:cs="Arial"/>
          <w:b/>
          <w:bCs/>
          <w:lang w:val="en-US"/>
        </w:rPr>
        <w:t>Department of Education</w:t>
      </w:r>
    </w:p>
    <w:p w:rsidR="007E42D1" w:rsidRPr="00FA692D" w:rsidRDefault="007E42D1" w:rsidP="00937D1E">
      <w:pPr>
        <w:pStyle w:val="ListParagraph"/>
        <w:numPr>
          <w:ilvl w:val="0"/>
          <w:numId w:val="23"/>
        </w:numPr>
        <w:spacing w:line="240" w:lineRule="auto"/>
        <w:ind w:left="709" w:hanging="283"/>
        <w:rPr>
          <w:rFonts w:cs="Arial"/>
          <w:bCs/>
          <w:lang w:val="en-US"/>
        </w:rPr>
      </w:pPr>
      <w:r w:rsidRPr="00FA692D">
        <w:rPr>
          <w:rFonts w:cs="Arial"/>
          <w:bCs/>
          <w:lang w:val="en-US"/>
        </w:rPr>
        <w:t>Funding provided April 2012.</w:t>
      </w:r>
    </w:p>
    <w:p w:rsidR="007E42D1" w:rsidRPr="00FA692D" w:rsidRDefault="007E42D1" w:rsidP="00937D1E">
      <w:pPr>
        <w:pStyle w:val="ListParagraph"/>
        <w:numPr>
          <w:ilvl w:val="0"/>
          <w:numId w:val="23"/>
        </w:numPr>
        <w:spacing w:line="240" w:lineRule="auto"/>
        <w:ind w:left="709" w:hanging="283"/>
        <w:rPr>
          <w:rFonts w:cs="Arial"/>
          <w:bCs/>
          <w:lang w:val="en-US"/>
        </w:rPr>
      </w:pPr>
      <w:r w:rsidRPr="00FA692D">
        <w:rPr>
          <w:rFonts w:cs="Arial"/>
          <w:bCs/>
          <w:lang w:val="en-US"/>
        </w:rPr>
        <w:t xml:space="preserve">Advertising to schools May 2012, via the Department’s </w:t>
      </w:r>
      <w:proofErr w:type="spellStart"/>
      <w:r w:rsidRPr="00FA692D">
        <w:rPr>
          <w:rFonts w:cs="Arial"/>
          <w:bCs/>
          <w:lang w:val="en-US"/>
        </w:rPr>
        <w:t>VETiS</w:t>
      </w:r>
      <w:proofErr w:type="spellEnd"/>
      <w:r w:rsidRPr="00FA692D">
        <w:rPr>
          <w:rFonts w:cs="Arial"/>
          <w:bCs/>
          <w:lang w:val="en-US"/>
        </w:rPr>
        <w:t xml:space="preserve"> website and the regional </w:t>
      </w:r>
      <w:proofErr w:type="spellStart"/>
      <w:r w:rsidRPr="00FA692D">
        <w:rPr>
          <w:rFonts w:cs="Arial"/>
          <w:bCs/>
          <w:lang w:val="en-US"/>
        </w:rPr>
        <w:t>ETILO’s</w:t>
      </w:r>
      <w:proofErr w:type="spellEnd"/>
      <w:r w:rsidRPr="00FA692D">
        <w:rPr>
          <w:rFonts w:cs="Arial"/>
          <w:bCs/>
          <w:lang w:val="en-US"/>
        </w:rPr>
        <w:t>.</w:t>
      </w:r>
    </w:p>
    <w:p w:rsidR="007E42D1" w:rsidRPr="00FA692D" w:rsidRDefault="007E42D1" w:rsidP="00937D1E">
      <w:pPr>
        <w:pStyle w:val="ListParagraph"/>
        <w:numPr>
          <w:ilvl w:val="0"/>
          <w:numId w:val="23"/>
        </w:numPr>
        <w:spacing w:line="240" w:lineRule="auto"/>
        <w:ind w:left="709" w:hanging="283"/>
        <w:rPr>
          <w:rFonts w:cs="Arial"/>
          <w:bCs/>
          <w:lang w:val="en-US"/>
        </w:rPr>
      </w:pPr>
      <w:r w:rsidRPr="00FA692D">
        <w:rPr>
          <w:rFonts w:cs="Arial"/>
          <w:bCs/>
          <w:lang w:val="en-US"/>
        </w:rPr>
        <w:lastRenderedPageBreak/>
        <w:t>Subsidies available to staff to assist with gaining an industry qualification.  Eligible staff undertook Recognition of Prior Learning (</w:t>
      </w:r>
      <w:proofErr w:type="spellStart"/>
      <w:r w:rsidRPr="00FA692D">
        <w:rPr>
          <w:rFonts w:cs="Arial"/>
          <w:bCs/>
          <w:lang w:val="en-US"/>
        </w:rPr>
        <w:t>RPL</w:t>
      </w:r>
      <w:proofErr w:type="spellEnd"/>
      <w:r w:rsidRPr="00FA692D">
        <w:rPr>
          <w:rFonts w:cs="Arial"/>
          <w:bCs/>
          <w:lang w:val="en-US"/>
        </w:rPr>
        <w:t xml:space="preserve">) or completed training with a </w:t>
      </w:r>
      <w:proofErr w:type="spellStart"/>
      <w:r w:rsidRPr="00FA692D">
        <w:rPr>
          <w:rFonts w:cs="Arial"/>
          <w:bCs/>
          <w:lang w:val="en-US"/>
        </w:rPr>
        <w:t>RTO</w:t>
      </w:r>
      <w:proofErr w:type="spellEnd"/>
      <w:r w:rsidRPr="00FA692D">
        <w:rPr>
          <w:rFonts w:cs="Arial"/>
          <w:bCs/>
          <w:lang w:val="en-US"/>
        </w:rPr>
        <w:t xml:space="preserve"> to gain formal qualifications in the field they are delivering in within their school.</w:t>
      </w:r>
    </w:p>
    <w:p w:rsidR="007E42D1" w:rsidRDefault="007E42D1" w:rsidP="00937D1E">
      <w:pPr>
        <w:pStyle w:val="ListParagraph"/>
        <w:numPr>
          <w:ilvl w:val="0"/>
          <w:numId w:val="23"/>
        </w:numPr>
        <w:spacing w:line="240" w:lineRule="auto"/>
        <w:ind w:left="709" w:hanging="283"/>
        <w:rPr>
          <w:rFonts w:cs="Arial"/>
          <w:bCs/>
          <w:lang w:val="en-US"/>
        </w:rPr>
      </w:pPr>
      <w:r w:rsidRPr="00FA692D">
        <w:rPr>
          <w:rFonts w:cs="Arial"/>
          <w:bCs/>
          <w:lang w:val="en-US"/>
        </w:rPr>
        <w:t xml:space="preserve">Teachers delivering in Trade Training </w:t>
      </w:r>
      <w:proofErr w:type="spellStart"/>
      <w:r w:rsidRPr="00FA692D">
        <w:rPr>
          <w:rFonts w:cs="Arial"/>
          <w:bCs/>
          <w:lang w:val="en-US"/>
        </w:rPr>
        <w:t>Centres</w:t>
      </w:r>
      <w:proofErr w:type="spellEnd"/>
      <w:r w:rsidRPr="00FA692D">
        <w:rPr>
          <w:rFonts w:cs="Arial"/>
          <w:bCs/>
          <w:lang w:val="en-US"/>
        </w:rPr>
        <w:t xml:space="preserve"> and </w:t>
      </w:r>
      <w:proofErr w:type="spellStart"/>
      <w:r w:rsidRPr="00FA692D">
        <w:rPr>
          <w:rFonts w:cs="Arial"/>
          <w:bCs/>
          <w:lang w:val="en-US"/>
        </w:rPr>
        <w:t>RTO</w:t>
      </w:r>
      <w:proofErr w:type="spellEnd"/>
      <w:r w:rsidRPr="00FA692D">
        <w:rPr>
          <w:rFonts w:cs="Arial"/>
          <w:bCs/>
          <w:lang w:val="en-US"/>
        </w:rPr>
        <w:t xml:space="preserve"> schools were targeted first, followed by other VET teachers.</w:t>
      </w:r>
    </w:p>
    <w:p w:rsidR="007E42D1" w:rsidRPr="00FA692D" w:rsidRDefault="007E42D1" w:rsidP="00937D1E">
      <w:pPr>
        <w:pStyle w:val="ListParagraph"/>
        <w:numPr>
          <w:ilvl w:val="0"/>
          <w:numId w:val="23"/>
        </w:numPr>
        <w:spacing w:line="240" w:lineRule="auto"/>
        <w:ind w:left="709" w:hanging="283"/>
        <w:rPr>
          <w:rFonts w:cs="Arial"/>
          <w:bCs/>
          <w:lang w:val="en-US"/>
        </w:rPr>
      </w:pPr>
      <w:r w:rsidRPr="007E42D1">
        <w:rPr>
          <w:rFonts w:cs="Arial"/>
          <w:bCs/>
          <w:lang w:val="en-US"/>
        </w:rPr>
        <w:t xml:space="preserve">Teachers seeking full TAE or upgrading were supported. This was in addition to existing </w:t>
      </w:r>
      <w:proofErr w:type="spellStart"/>
      <w:r w:rsidRPr="007E42D1">
        <w:rPr>
          <w:rFonts w:cs="Arial"/>
          <w:bCs/>
          <w:lang w:val="en-US"/>
        </w:rPr>
        <w:t>VETiS</w:t>
      </w:r>
      <w:proofErr w:type="spellEnd"/>
      <w:r w:rsidRPr="007E42D1">
        <w:rPr>
          <w:rFonts w:cs="Arial"/>
          <w:bCs/>
          <w:lang w:val="en-US"/>
        </w:rPr>
        <w:t xml:space="preserve"> funding the Department already uses to support school staff with Certificate IV TAE.</w:t>
      </w:r>
    </w:p>
    <w:p w:rsidR="007E42D1" w:rsidRPr="00DB02B2" w:rsidRDefault="007E42D1" w:rsidP="00BA3E66">
      <w:pPr>
        <w:pStyle w:val="ListParagraph"/>
        <w:numPr>
          <w:ilvl w:val="0"/>
          <w:numId w:val="49"/>
        </w:numPr>
        <w:spacing w:line="240" w:lineRule="auto"/>
        <w:ind w:left="426" w:hanging="426"/>
        <w:rPr>
          <w:b/>
        </w:rPr>
      </w:pPr>
      <w:r w:rsidRPr="00DB02B2">
        <w:rPr>
          <w:b/>
        </w:rPr>
        <w:t>Catholic Education Office of WA</w:t>
      </w:r>
    </w:p>
    <w:p w:rsidR="007E42D1" w:rsidRPr="00FA692D" w:rsidRDefault="007E42D1" w:rsidP="00937D1E">
      <w:pPr>
        <w:pStyle w:val="ListParagraph"/>
        <w:numPr>
          <w:ilvl w:val="0"/>
          <w:numId w:val="24"/>
        </w:numPr>
        <w:spacing w:line="240" w:lineRule="auto"/>
        <w:ind w:left="709" w:hanging="283"/>
        <w:rPr>
          <w:rFonts w:cs="Arial"/>
        </w:rPr>
      </w:pPr>
      <w:r w:rsidRPr="00FA692D">
        <w:rPr>
          <w:rFonts w:cs="Arial"/>
        </w:rPr>
        <w:t>Combined workshops with independent schools began in April 2012.</w:t>
      </w:r>
    </w:p>
    <w:p w:rsidR="007E42D1" w:rsidRDefault="007E42D1" w:rsidP="00937D1E">
      <w:pPr>
        <w:pStyle w:val="ListParagraph"/>
        <w:numPr>
          <w:ilvl w:val="0"/>
          <w:numId w:val="24"/>
        </w:numPr>
        <w:spacing w:line="240" w:lineRule="auto"/>
        <w:ind w:left="709" w:hanging="283"/>
        <w:rPr>
          <w:rFonts w:cs="Arial"/>
        </w:rPr>
      </w:pPr>
      <w:r w:rsidRPr="00FA692D">
        <w:rPr>
          <w:rFonts w:cs="Arial"/>
        </w:rPr>
        <w:t xml:space="preserve">An </w:t>
      </w:r>
      <w:proofErr w:type="spellStart"/>
      <w:r w:rsidRPr="00FA692D">
        <w:rPr>
          <w:rFonts w:cs="Arial"/>
        </w:rPr>
        <w:t>RTO</w:t>
      </w:r>
      <w:proofErr w:type="spellEnd"/>
      <w:r w:rsidRPr="00FA692D">
        <w:rPr>
          <w:rFonts w:cs="Arial"/>
        </w:rPr>
        <w:t xml:space="preserve"> was chosen and workshops held from April to December 2012 in Broome, Metro, Bunbury, Busselton, and Albany.</w:t>
      </w:r>
    </w:p>
    <w:p w:rsidR="007E42D1" w:rsidRDefault="007E42D1" w:rsidP="00937D1E">
      <w:pPr>
        <w:pStyle w:val="ListParagraph"/>
        <w:numPr>
          <w:ilvl w:val="0"/>
          <w:numId w:val="24"/>
        </w:numPr>
        <w:spacing w:line="240" w:lineRule="auto"/>
        <w:ind w:left="709" w:hanging="283"/>
        <w:rPr>
          <w:rFonts w:cs="Arial"/>
        </w:rPr>
      </w:pPr>
      <w:r>
        <w:rPr>
          <w:rFonts w:cs="Arial"/>
        </w:rPr>
        <w:t xml:space="preserve">Applications were received from teachers teaching </w:t>
      </w:r>
      <w:proofErr w:type="spellStart"/>
      <w:r>
        <w:rPr>
          <w:rFonts w:cs="Arial"/>
        </w:rPr>
        <w:t>VETiS</w:t>
      </w:r>
      <w:proofErr w:type="spellEnd"/>
      <w:r>
        <w:rPr>
          <w:rFonts w:cs="Arial"/>
        </w:rPr>
        <w:t xml:space="preserve"> requiring full qualifications and upgrades.</w:t>
      </w:r>
    </w:p>
    <w:p w:rsidR="007E42D1" w:rsidRPr="00DB02B2" w:rsidRDefault="007E42D1" w:rsidP="00BA3E66">
      <w:pPr>
        <w:pStyle w:val="ListParagraph"/>
        <w:numPr>
          <w:ilvl w:val="0"/>
          <w:numId w:val="49"/>
        </w:numPr>
        <w:spacing w:line="240" w:lineRule="auto"/>
        <w:ind w:left="426" w:hanging="426"/>
        <w:rPr>
          <w:b/>
        </w:rPr>
      </w:pPr>
      <w:r w:rsidRPr="00DB02B2">
        <w:rPr>
          <w:b/>
        </w:rPr>
        <w:t>Association of Independent Schools of WA</w:t>
      </w:r>
    </w:p>
    <w:p w:rsidR="007E42D1" w:rsidRPr="00FA692D" w:rsidRDefault="007E42D1" w:rsidP="00937D1E">
      <w:pPr>
        <w:spacing w:line="240" w:lineRule="auto"/>
        <w:ind w:left="426"/>
        <w:rPr>
          <w:rFonts w:cs="Arial"/>
        </w:rPr>
      </w:pPr>
      <w:r w:rsidRPr="00FA692D">
        <w:rPr>
          <w:rFonts w:cs="Arial"/>
        </w:rPr>
        <w:t xml:space="preserve">Expressions of interest for Certificate IV Training and Assessment and/or upgrades sought from teachers. Priority of training based on: </w:t>
      </w:r>
    </w:p>
    <w:p w:rsidR="007E42D1" w:rsidRPr="00FA692D" w:rsidRDefault="007E42D1" w:rsidP="00937D1E">
      <w:pPr>
        <w:numPr>
          <w:ilvl w:val="0"/>
          <w:numId w:val="21"/>
        </w:numPr>
        <w:tabs>
          <w:tab w:val="num" w:pos="426"/>
        </w:tabs>
        <w:spacing w:line="240" w:lineRule="auto"/>
        <w:ind w:left="426" w:firstLine="0"/>
        <w:rPr>
          <w:rFonts w:cs="Arial"/>
        </w:rPr>
      </w:pPr>
      <w:r w:rsidRPr="00FA692D">
        <w:rPr>
          <w:rFonts w:cs="Arial"/>
        </w:rPr>
        <w:t xml:space="preserve">whether currently delivering </w:t>
      </w:r>
      <w:proofErr w:type="spellStart"/>
      <w:r w:rsidRPr="00FA692D">
        <w:rPr>
          <w:rFonts w:cs="Arial"/>
        </w:rPr>
        <w:t>VETiS</w:t>
      </w:r>
      <w:proofErr w:type="spellEnd"/>
      <w:r w:rsidRPr="00FA692D">
        <w:rPr>
          <w:rFonts w:cs="Arial"/>
        </w:rPr>
        <w:t>;</w:t>
      </w:r>
    </w:p>
    <w:p w:rsidR="007E42D1" w:rsidRPr="00FA692D" w:rsidRDefault="007E42D1" w:rsidP="00937D1E">
      <w:pPr>
        <w:numPr>
          <w:ilvl w:val="0"/>
          <w:numId w:val="21"/>
        </w:numPr>
        <w:tabs>
          <w:tab w:val="num" w:pos="426"/>
        </w:tabs>
        <w:spacing w:line="240" w:lineRule="auto"/>
        <w:ind w:left="426" w:firstLine="0"/>
        <w:rPr>
          <w:rFonts w:cs="Arial"/>
        </w:rPr>
      </w:pPr>
      <w:r w:rsidRPr="00FA692D">
        <w:rPr>
          <w:rFonts w:cs="Arial"/>
        </w:rPr>
        <w:t>skill priority areas;</w:t>
      </w:r>
    </w:p>
    <w:p w:rsidR="007E42D1" w:rsidRDefault="007E42D1" w:rsidP="00937D1E">
      <w:pPr>
        <w:numPr>
          <w:ilvl w:val="0"/>
          <w:numId w:val="21"/>
        </w:numPr>
        <w:tabs>
          <w:tab w:val="num" w:pos="426"/>
        </w:tabs>
        <w:spacing w:line="240" w:lineRule="auto"/>
        <w:ind w:left="426" w:firstLine="0"/>
        <w:rPr>
          <w:rFonts w:cs="Arial"/>
        </w:rPr>
      </w:pPr>
      <w:r w:rsidRPr="00FA692D">
        <w:rPr>
          <w:rFonts w:cs="Arial"/>
        </w:rPr>
        <w:t>trade training centre staff; and</w:t>
      </w:r>
    </w:p>
    <w:p w:rsidR="007E42D1" w:rsidRPr="00DB02B2" w:rsidRDefault="007E42D1" w:rsidP="00937D1E">
      <w:pPr>
        <w:numPr>
          <w:ilvl w:val="0"/>
          <w:numId w:val="21"/>
        </w:numPr>
        <w:tabs>
          <w:tab w:val="num" w:pos="426"/>
        </w:tabs>
        <w:spacing w:line="240" w:lineRule="auto"/>
        <w:ind w:left="426" w:firstLine="0"/>
        <w:rPr>
          <w:b/>
        </w:rPr>
      </w:pPr>
      <w:proofErr w:type="gramStart"/>
      <w:r w:rsidRPr="007E42D1">
        <w:rPr>
          <w:rFonts w:cs="Arial"/>
        </w:rPr>
        <w:t>updates  from</w:t>
      </w:r>
      <w:proofErr w:type="gramEnd"/>
      <w:r w:rsidRPr="007E42D1">
        <w:rPr>
          <w:rFonts w:cs="Arial"/>
        </w:rPr>
        <w:t xml:space="preserve"> superseded qualifications.</w:t>
      </w:r>
    </w:p>
    <w:p w:rsidR="007E42D1" w:rsidRPr="00DB02B2" w:rsidRDefault="007E42D1" w:rsidP="00BA3E66">
      <w:pPr>
        <w:pStyle w:val="ListParagraph"/>
        <w:numPr>
          <w:ilvl w:val="0"/>
          <w:numId w:val="49"/>
        </w:numPr>
        <w:spacing w:line="240" w:lineRule="auto"/>
        <w:ind w:left="426" w:hanging="426"/>
        <w:rPr>
          <w:b/>
        </w:rPr>
      </w:pPr>
      <w:r w:rsidRPr="00DB02B2">
        <w:rPr>
          <w:b/>
        </w:rPr>
        <w:t>Department of Corrective Services</w:t>
      </w:r>
    </w:p>
    <w:p w:rsidR="007E42D1" w:rsidRPr="00FA692D" w:rsidRDefault="007E42D1" w:rsidP="00937D1E">
      <w:pPr>
        <w:numPr>
          <w:ilvl w:val="0"/>
          <w:numId w:val="19"/>
        </w:numPr>
        <w:tabs>
          <w:tab w:val="num" w:pos="709"/>
        </w:tabs>
        <w:spacing w:line="240" w:lineRule="auto"/>
        <w:ind w:left="709" w:hanging="283"/>
        <w:rPr>
          <w:rFonts w:cs="Arial"/>
        </w:rPr>
      </w:pPr>
      <w:r w:rsidRPr="00FA692D">
        <w:rPr>
          <w:rFonts w:cs="Arial"/>
        </w:rPr>
        <w:t>Progressing development of a new accredited cross-cultural training unit for VET instructors/teaching staff.</w:t>
      </w:r>
    </w:p>
    <w:p w:rsidR="007E42D1" w:rsidRPr="00FA692D" w:rsidRDefault="007E42D1" w:rsidP="00937D1E">
      <w:pPr>
        <w:numPr>
          <w:ilvl w:val="0"/>
          <w:numId w:val="19"/>
        </w:numPr>
        <w:tabs>
          <w:tab w:val="num" w:pos="709"/>
        </w:tabs>
        <w:spacing w:line="240" w:lineRule="auto"/>
        <w:ind w:left="709" w:hanging="283"/>
        <w:rPr>
          <w:rFonts w:cs="Arial"/>
        </w:rPr>
      </w:pPr>
      <w:r w:rsidRPr="00FA692D">
        <w:rPr>
          <w:rFonts w:cs="Arial"/>
        </w:rPr>
        <w:t xml:space="preserve">Progressing development of an accredited unit of competence for offenders to provide an overview of multiculturalism in WA. </w:t>
      </w:r>
    </w:p>
    <w:p w:rsidR="007E42D1" w:rsidRPr="00315C21" w:rsidRDefault="007E42D1" w:rsidP="00937D1E">
      <w:pPr>
        <w:pStyle w:val="ListParagraph"/>
        <w:numPr>
          <w:ilvl w:val="0"/>
          <w:numId w:val="19"/>
        </w:numPr>
        <w:tabs>
          <w:tab w:val="left" w:pos="252"/>
          <w:tab w:val="num" w:pos="709"/>
        </w:tabs>
        <w:spacing w:line="240" w:lineRule="auto"/>
        <w:ind w:left="709" w:hanging="283"/>
        <w:rPr>
          <w:b/>
        </w:rPr>
      </w:pPr>
      <w:r w:rsidRPr="00315C21">
        <w:rPr>
          <w:rFonts w:cs="Arial"/>
        </w:rPr>
        <w:t>Delivery of Certificat</w:t>
      </w:r>
      <w:r w:rsidR="00315C21" w:rsidRPr="00FA692D">
        <w:rPr>
          <w:rFonts w:cs="Arial"/>
        </w:rPr>
        <w:t>e IV Training and Assessment to increase qualified staff engaged in accredited industry and work experience training.</w:t>
      </w:r>
    </w:p>
    <w:p w:rsidR="00315C21" w:rsidRDefault="00315C21" w:rsidP="00BA3E66">
      <w:pPr>
        <w:pStyle w:val="ListParagraph"/>
        <w:numPr>
          <w:ilvl w:val="0"/>
          <w:numId w:val="49"/>
        </w:numPr>
        <w:tabs>
          <w:tab w:val="left" w:pos="426"/>
        </w:tabs>
        <w:spacing w:line="240" w:lineRule="auto"/>
        <w:ind w:hanging="1080"/>
        <w:rPr>
          <w:b/>
        </w:rPr>
      </w:pPr>
      <w:r w:rsidRPr="00315C21">
        <w:rPr>
          <w:b/>
        </w:rPr>
        <w:t>Department of Training and Workforce Development</w:t>
      </w:r>
    </w:p>
    <w:p w:rsidR="00315C21" w:rsidRPr="00315C21" w:rsidRDefault="00315C21" w:rsidP="00BA3E66">
      <w:pPr>
        <w:pStyle w:val="ListParagraph"/>
        <w:numPr>
          <w:ilvl w:val="0"/>
          <w:numId w:val="50"/>
        </w:numPr>
        <w:spacing w:line="240" w:lineRule="auto"/>
        <w:rPr>
          <w:rFonts w:cs="Arial"/>
          <w:b/>
        </w:rPr>
      </w:pPr>
      <w:proofErr w:type="spellStart"/>
      <w:r w:rsidRPr="00FA692D">
        <w:rPr>
          <w:rFonts w:cs="Arial"/>
          <w:bCs/>
          <w:lang w:val="en-US"/>
        </w:rPr>
        <w:t>SBAT</w:t>
      </w:r>
      <w:proofErr w:type="spellEnd"/>
      <w:r w:rsidRPr="00FA692D">
        <w:rPr>
          <w:rFonts w:cs="Arial"/>
          <w:bCs/>
          <w:lang w:val="en-US"/>
        </w:rPr>
        <w:t xml:space="preserve"> </w:t>
      </w:r>
      <w:proofErr w:type="spellStart"/>
      <w:r w:rsidRPr="00FA692D">
        <w:rPr>
          <w:rFonts w:cs="Arial"/>
          <w:bCs/>
          <w:lang w:val="en-US"/>
        </w:rPr>
        <w:t>PD</w:t>
      </w:r>
      <w:proofErr w:type="spellEnd"/>
      <w:r w:rsidRPr="00FA692D">
        <w:rPr>
          <w:rFonts w:cs="Arial"/>
          <w:bCs/>
          <w:lang w:val="en-US"/>
        </w:rPr>
        <w:t xml:space="preserve"> - series of successful workshops to inform stakeholders of the Policy. Thirteen workshops were held with 429 participants representing stakeholders including Department of Education, the </w:t>
      </w:r>
      <w:proofErr w:type="spellStart"/>
      <w:r w:rsidRPr="00FA692D">
        <w:rPr>
          <w:rFonts w:cs="Arial"/>
          <w:bCs/>
          <w:lang w:val="en-US"/>
        </w:rPr>
        <w:t>AISWA</w:t>
      </w:r>
      <w:proofErr w:type="spellEnd"/>
      <w:r w:rsidRPr="00FA692D">
        <w:rPr>
          <w:rFonts w:cs="Arial"/>
          <w:bCs/>
          <w:lang w:val="en-US"/>
        </w:rPr>
        <w:t xml:space="preserve">, </w:t>
      </w:r>
      <w:proofErr w:type="spellStart"/>
      <w:r w:rsidRPr="00FA692D">
        <w:rPr>
          <w:rFonts w:cs="Arial"/>
          <w:bCs/>
          <w:lang w:val="en-US"/>
        </w:rPr>
        <w:t>CEOWA</w:t>
      </w:r>
      <w:proofErr w:type="spellEnd"/>
      <w:r w:rsidRPr="00FA692D">
        <w:rPr>
          <w:rFonts w:cs="Arial"/>
          <w:bCs/>
          <w:lang w:val="en-US"/>
        </w:rPr>
        <w:t>, the School Curriculum and Standards Authority of WA, Group Training Organisations and Registered Training Organisations.</w:t>
      </w:r>
    </w:p>
    <w:p w:rsidR="00315C21" w:rsidRPr="00937D1E" w:rsidRDefault="00315C21" w:rsidP="00BA3E66">
      <w:pPr>
        <w:pStyle w:val="ListParagraph"/>
        <w:numPr>
          <w:ilvl w:val="0"/>
          <w:numId w:val="50"/>
        </w:numPr>
        <w:spacing w:line="240" w:lineRule="auto"/>
        <w:rPr>
          <w:rFonts w:cs="Arial"/>
          <w:b/>
        </w:rPr>
      </w:pPr>
      <w:r>
        <w:rPr>
          <w:rFonts w:cs="Arial"/>
          <w:bCs/>
          <w:lang w:val="en-US"/>
        </w:rPr>
        <w:t>Facilitator guide scoped and approved for funding.</w:t>
      </w:r>
    </w:p>
    <w:p w:rsidR="00937D1E" w:rsidRPr="00315C21" w:rsidRDefault="00937D1E" w:rsidP="00937D1E">
      <w:pPr>
        <w:pStyle w:val="ListParagraph"/>
        <w:spacing w:line="240" w:lineRule="auto"/>
        <w:rPr>
          <w:rFonts w:cs="Arial"/>
          <w:b/>
        </w:rPr>
      </w:pPr>
    </w:p>
    <w:p w:rsidR="00315C21" w:rsidRPr="00937D1E" w:rsidRDefault="00315C21" w:rsidP="00A976BE">
      <w:pPr>
        <w:pStyle w:val="Heading4"/>
        <w:rPr>
          <w:lang w:val="en-US"/>
        </w:rPr>
      </w:pPr>
      <w:r w:rsidRPr="00937D1E">
        <w:rPr>
          <w:lang w:val="en-US"/>
        </w:rPr>
        <w:t xml:space="preserve">Outcomes </w:t>
      </w:r>
    </w:p>
    <w:p w:rsidR="00315C21" w:rsidRDefault="00315C21" w:rsidP="00BA3E66">
      <w:pPr>
        <w:pStyle w:val="ListParagraph"/>
        <w:numPr>
          <w:ilvl w:val="0"/>
          <w:numId w:val="51"/>
        </w:numPr>
        <w:spacing w:line="240" w:lineRule="auto"/>
        <w:ind w:left="426" w:hanging="426"/>
        <w:rPr>
          <w:rFonts w:cs="Arial"/>
          <w:b/>
        </w:rPr>
      </w:pPr>
      <w:r>
        <w:rPr>
          <w:rFonts w:cs="Arial"/>
          <w:b/>
        </w:rPr>
        <w:t>Department of Education</w:t>
      </w:r>
    </w:p>
    <w:p w:rsidR="00315C21" w:rsidRPr="00FA692D" w:rsidRDefault="00315C21" w:rsidP="00937D1E">
      <w:pPr>
        <w:spacing w:line="240" w:lineRule="auto"/>
        <w:ind w:left="426"/>
        <w:rPr>
          <w:rFonts w:cs="Arial"/>
        </w:rPr>
      </w:pPr>
      <w:r w:rsidRPr="00FA692D">
        <w:rPr>
          <w:rFonts w:cs="Arial"/>
        </w:rPr>
        <w:t>2012 delivery:</w:t>
      </w:r>
    </w:p>
    <w:p w:rsidR="00315C21" w:rsidRPr="00FA692D" w:rsidRDefault="00315C21" w:rsidP="00BA3E66">
      <w:pPr>
        <w:pStyle w:val="ListParagraph"/>
        <w:numPr>
          <w:ilvl w:val="0"/>
          <w:numId w:val="26"/>
        </w:numPr>
        <w:spacing w:line="240" w:lineRule="auto"/>
        <w:ind w:left="709" w:hanging="283"/>
        <w:rPr>
          <w:rFonts w:cs="Arial"/>
        </w:rPr>
      </w:pPr>
      <w:r w:rsidRPr="00FA692D">
        <w:rPr>
          <w:rFonts w:cs="Arial"/>
        </w:rPr>
        <w:t>Industry qualifications – 1 teacher.</w:t>
      </w:r>
    </w:p>
    <w:p w:rsidR="00315C21" w:rsidRPr="00FA692D" w:rsidRDefault="00315C21" w:rsidP="00BA3E66">
      <w:pPr>
        <w:pStyle w:val="ListParagraph"/>
        <w:numPr>
          <w:ilvl w:val="0"/>
          <w:numId w:val="26"/>
        </w:numPr>
        <w:spacing w:line="240" w:lineRule="auto"/>
        <w:ind w:left="709" w:hanging="283"/>
        <w:rPr>
          <w:rFonts w:cs="Arial"/>
        </w:rPr>
      </w:pPr>
      <w:r w:rsidRPr="00FA692D">
        <w:rPr>
          <w:rFonts w:cs="Arial"/>
        </w:rPr>
        <w:t>TAE – full qualification – 41 teachers from 24 schools.</w:t>
      </w:r>
    </w:p>
    <w:p w:rsidR="00315C21" w:rsidRDefault="00315C21" w:rsidP="00BA3E66">
      <w:pPr>
        <w:pStyle w:val="ListParagraph"/>
        <w:numPr>
          <w:ilvl w:val="0"/>
          <w:numId w:val="26"/>
        </w:numPr>
        <w:spacing w:line="240" w:lineRule="auto"/>
        <w:ind w:left="709" w:hanging="283"/>
        <w:rPr>
          <w:rFonts w:cs="Arial"/>
          <w:b/>
        </w:rPr>
      </w:pPr>
      <w:r w:rsidRPr="00FA692D">
        <w:rPr>
          <w:rFonts w:cs="Arial"/>
        </w:rPr>
        <w:t>TAE conversions/</w:t>
      </w:r>
      <w:r>
        <w:rPr>
          <w:rFonts w:cs="Arial"/>
        </w:rPr>
        <w:t xml:space="preserve"> </w:t>
      </w:r>
      <w:r w:rsidRPr="00FA692D">
        <w:rPr>
          <w:rFonts w:cs="Arial"/>
        </w:rPr>
        <w:t>upgrades – 10 teachers from 5 schools.</w:t>
      </w:r>
    </w:p>
    <w:p w:rsidR="00315C21" w:rsidRDefault="00315C21" w:rsidP="00BA3E66">
      <w:pPr>
        <w:pStyle w:val="ListParagraph"/>
        <w:numPr>
          <w:ilvl w:val="0"/>
          <w:numId w:val="51"/>
        </w:numPr>
        <w:spacing w:line="240" w:lineRule="auto"/>
        <w:ind w:left="426" w:hanging="426"/>
        <w:rPr>
          <w:rFonts w:cs="Arial"/>
          <w:b/>
        </w:rPr>
      </w:pPr>
      <w:r>
        <w:rPr>
          <w:rFonts w:cs="Arial"/>
          <w:b/>
        </w:rPr>
        <w:t>Catholic Education Office of WA</w:t>
      </w:r>
    </w:p>
    <w:p w:rsidR="00315C21" w:rsidRDefault="00315C21" w:rsidP="00937D1E">
      <w:pPr>
        <w:pStyle w:val="ListParagraph"/>
        <w:spacing w:line="240" w:lineRule="auto"/>
        <w:ind w:left="426"/>
        <w:rPr>
          <w:rFonts w:cs="Arial"/>
        </w:rPr>
      </w:pPr>
      <w:r w:rsidRPr="00FA692D">
        <w:rPr>
          <w:rFonts w:cs="Arial"/>
        </w:rPr>
        <w:t>In 2012, 110 teachers were able to achieve their full qualification with 73 upgrading their qualifications.</w:t>
      </w:r>
    </w:p>
    <w:p w:rsidR="00315C21" w:rsidRDefault="00315C21" w:rsidP="00BA3E66">
      <w:pPr>
        <w:pStyle w:val="ListParagraph"/>
        <w:numPr>
          <w:ilvl w:val="0"/>
          <w:numId w:val="51"/>
        </w:numPr>
        <w:spacing w:line="240" w:lineRule="auto"/>
        <w:ind w:left="426" w:hanging="426"/>
        <w:rPr>
          <w:rFonts w:cs="Arial"/>
          <w:b/>
        </w:rPr>
      </w:pPr>
      <w:r w:rsidRPr="00315C21">
        <w:rPr>
          <w:rFonts w:cs="Arial"/>
          <w:b/>
        </w:rPr>
        <w:t>Association of Independent Schools of WA</w:t>
      </w:r>
    </w:p>
    <w:p w:rsidR="00315C21" w:rsidRPr="00315C21" w:rsidRDefault="00315C21" w:rsidP="00BA3E66">
      <w:pPr>
        <w:pStyle w:val="ListParagraph"/>
        <w:numPr>
          <w:ilvl w:val="0"/>
          <w:numId w:val="41"/>
        </w:numPr>
        <w:spacing w:line="240" w:lineRule="auto"/>
        <w:ind w:left="709" w:hanging="283"/>
        <w:rPr>
          <w:rFonts w:cs="Arial"/>
          <w:b/>
        </w:rPr>
      </w:pPr>
      <w:r w:rsidRPr="00FA692D">
        <w:rPr>
          <w:rFonts w:cs="Arial"/>
        </w:rPr>
        <w:t xml:space="preserve">93 teachers from 25 schools completed the </w:t>
      </w:r>
      <w:proofErr w:type="gramStart"/>
      <w:r w:rsidRPr="00FA692D">
        <w:rPr>
          <w:rFonts w:cs="Arial"/>
        </w:rPr>
        <w:t>TAE,</w:t>
      </w:r>
      <w:proofErr w:type="gramEnd"/>
      <w:r w:rsidRPr="00FA692D">
        <w:rPr>
          <w:rFonts w:cs="Arial"/>
        </w:rPr>
        <w:t xml:space="preserve"> this included 5 full TAE qualifications, 22 upgrades from the </w:t>
      </w:r>
      <w:proofErr w:type="spellStart"/>
      <w:r w:rsidRPr="00FA692D">
        <w:rPr>
          <w:rFonts w:cs="Arial"/>
        </w:rPr>
        <w:t>TAA</w:t>
      </w:r>
      <w:proofErr w:type="spellEnd"/>
      <w:r w:rsidRPr="00FA692D">
        <w:rPr>
          <w:rFonts w:cs="Arial"/>
        </w:rPr>
        <w:t xml:space="preserve"> and 19 from the </w:t>
      </w:r>
      <w:proofErr w:type="spellStart"/>
      <w:r w:rsidRPr="00FA692D">
        <w:rPr>
          <w:rFonts w:cs="Arial"/>
        </w:rPr>
        <w:t>BSZ</w:t>
      </w:r>
      <w:proofErr w:type="spellEnd"/>
      <w:r w:rsidRPr="00FA692D">
        <w:rPr>
          <w:rFonts w:cs="Arial"/>
        </w:rPr>
        <w:t xml:space="preserve">.  </w:t>
      </w:r>
    </w:p>
    <w:p w:rsidR="00315C21" w:rsidRPr="00937D1E" w:rsidRDefault="00315C21" w:rsidP="00BA3E66">
      <w:pPr>
        <w:pStyle w:val="ListParagraph"/>
        <w:numPr>
          <w:ilvl w:val="0"/>
          <w:numId w:val="51"/>
        </w:numPr>
        <w:spacing w:line="240" w:lineRule="auto"/>
        <w:ind w:left="426" w:hanging="426"/>
        <w:rPr>
          <w:rFonts w:cs="Arial"/>
          <w:b/>
        </w:rPr>
      </w:pPr>
      <w:r w:rsidRPr="00937D1E">
        <w:rPr>
          <w:rFonts w:cs="Arial"/>
          <w:b/>
        </w:rPr>
        <w:t>Department of Corrective Services</w:t>
      </w:r>
    </w:p>
    <w:p w:rsidR="00315C21" w:rsidRPr="00FA692D" w:rsidRDefault="00315C21" w:rsidP="00937D1E">
      <w:pPr>
        <w:numPr>
          <w:ilvl w:val="0"/>
          <w:numId w:val="20"/>
        </w:numPr>
        <w:tabs>
          <w:tab w:val="clear" w:pos="720"/>
          <w:tab w:val="num" w:pos="709"/>
        </w:tabs>
        <w:spacing w:line="240" w:lineRule="auto"/>
        <w:ind w:left="709" w:hanging="283"/>
        <w:rPr>
          <w:rFonts w:cs="Arial"/>
        </w:rPr>
      </w:pPr>
      <w:r w:rsidRPr="00FA692D">
        <w:rPr>
          <w:rFonts w:cs="Arial"/>
        </w:rPr>
        <w:t xml:space="preserve">Culturally responsive teaching and training course completed. </w:t>
      </w:r>
    </w:p>
    <w:p w:rsidR="00315C21" w:rsidRPr="00FA692D" w:rsidRDefault="00315C21" w:rsidP="00937D1E">
      <w:pPr>
        <w:numPr>
          <w:ilvl w:val="0"/>
          <w:numId w:val="20"/>
        </w:numPr>
        <w:tabs>
          <w:tab w:val="clear" w:pos="720"/>
          <w:tab w:val="num" w:pos="709"/>
        </w:tabs>
        <w:spacing w:line="240" w:lineRule="auto"/>
        <w:ind w:left="709" w:hanging="283"/>
        <w:rPr>
          <w:rFonts w:cs="Arial"/>
        </w:rPr>
      </w:pPr>
      <w:r w:rsidRPr="00FA692D">
        <w:rPr>
          <w:rFonts w:cs="Arial"/>
        </w:rPr>
        <w:t>53 prison staff enrolled in TAE training. This is the highest number of Vocational Skills Officers (VSO) participating in an accredited prisoner training and assessment course.</w:t>
      </w:r>
    </w:p>
    <w:p w:rsidR="00315C21" w:rsidRPr="00FA692D" w:rsidRDefault="00315C21" w:rsidP="00937D1E">
      <w:pPr>
        <w:numPr>
          <w:ilvl w:val="0"/>
          <w:numId w:val="20"/>
        </w:numPr>
        <w:tabs>
          <w:tab w:val="clear" w:pos="720"/>
          <w:tab w:val="num" w:pos="709"/>
        </w:tabs>
        <w:spacing w:line="240" w:lineRule="auto"/>
        <w:ind w:left="709" w:hanging="283"/>
        <w:rPr>
          <w:rFonts w:cs="Arial"/>
        </w:rPr>
      </w:pPr>
      <w:r w:rsidRPr="00FA692D">
        <w:rPr>
          <w:rFonts w:cs="Arial"/>
        </w:rPr>
        <w:lastRenderedPageBreak/>
        <w:t>17 other VSO’s have completed the TAE.</w:t>
      </w:r>
    </w:p>
    <w:p w:rsidR="00315C21" w:rsidRPr="00FA692D" w:rsidRDefault="00315C21" w:rsidP="00937D1E">
      <w:pPr>
        <w:numPr>
          <w:ilvl w:val="0"/>
          <w:numId w:val="20"/>
        </w:numPr>
        <w:tabs>
          <w:tab w:val="clear" w:pos="720"/>
          <w:tab w:val="num" w:pos="709"/>
        </w:tabs>
        <w:spacing w:line="240" w:lineRule="auto"/>
        <w:ind w:left="709" w:hanging="283"/>
        <w:rPr>
          <w:rFonts w:cs="Arial"/>
        </w:rPr>
      </w:pPr>
      <w:r w:rsidRPr="00FA692D">
        <w:rPr>
          <w:rFonts w:cs="Arial"/>
        </w:rPr>
        <w:t>Employment and career support provided to 1610 prisoners.</w:t>
      </w:r>
    </w:p>
    <w:p w:rsidR="00315C21" w:rsidRPr="00315C21" w:rsidRDefault="00315C21" w:rsidP="00937D1E">
      <w:pPr>
        <w:pStyle w:val="ListParagraph"/>
        <w:numPr>
          <w:ilvl w:val="0"/>
          <w:numId w:val="20"/>
        </w:numPr>
        <w:tabs>
          <w:tab w:val="clear" w:pos="720"/>
          <w:tab w:val="num" w:pos="709"/>
        </w:tabs>
        <w:spacing w:line="240" w:lineRule="auto"/>
        <w:ind w:left="709" w:hanging="283"/>
        <w:rPr>
          <w:rFonts w:cs="Arial"/>
          <w:b/>
        </w:rPr>
      </w:pPr>
      <w:r w:rsidRPr="00315C21">
        <w:rPr>
          <w:rFonts w:cs="Arial"/>
        </w:rPr>
        <w:t>Career and employer expos held at all prisons with employment coordinators.</w:t>
      </w:r>
    </w:p>
    <w:p w:rsidR="00315C21" w:rsidRDefault="00315C21" w:rsidP="00BA3E66">
      <w:pPr>
        <w:pStyle w:val="ListParagraph"/>
        <w:numPr>
          <w:ilvl w:val="0"/>
          <w:numId w:val="51"/>
        </w:numPr>
        <w:spacing w:line="240" w:lineRule="auto"/>
        <w:ind w:left="426" w:hanging="426"/>
        <w:rPr>
          <w:rFonts w:cs="Arial"/>
          <w:b/>
        </w:rPr>
      </w:pPr>
      <w:r>
        <w:rPr>
          <w:rFonts w:cs="Arial"/>
          <w:b/>
        </w:rPr>
        <w:t>Department of Training and Workforce Development</w:t>
      </w:r>
    </w:p>
    <w:p w:rsidR="00315C21" w:rsidRDefault="00315C21" w:rsidP="00937D1E">
      <w:pPr>
        <w:pStyle w:val="ListParagraph"/>
        <w:spacing w:line="240" w:lineRule="auto"/>
        <w:ind w:left="426"/>
        <w:rPr>
          <w:rFonts w:cs="Arial"/>
          <w:bCs/>
          <w:lang w:val="en-US"/>
        </w:rPr>
      </w:pPr>
      <w:proofErr w:type="spellStart"/>
      <w:r w:rsidRPr="00FA692D">
        <w:rPr>
          <w:rFonts w:cs="Arial"/>
          <w:bCs/>
          <w:lang w:val="en-US"/>
        </w:rPr>
        <w:t>SBAT</w:t>
      </w:r>
      <w:proofErr w:type="spellEnd"/>
      <w:r w:rsidRPr="00FA692D">
        <w:rPr>
          <w:rFonts w:cs="Arial"/>
          <w:bCs/>
          <w:lang w:val="en-US"/>
        </w:rPr>
        <w:t xml:space="preserve"> - feedback received has been overwhelmingly positive in relation to clarity of the Policy, simplicity of explanation for changes to the policy, issues raised and benefits of interaction with all stakeholders.</w:t>
      </w:r>
    </w:p>
    <w:p w:rsidR="00937D1E" w:rsidRDefault="00937D1E" w:rsidP="00937D1E">
      <w:pPr>
        <w:pStyle w:val="ListParagraph"/>
        <w:spacing w:line="240" w:lineRule="auto"/>
        <w:ind w:left="426"/>
        <w:rPr>
          <w:rFonts w:cs="Arial"/>
          <w:bCs/>
          <w:lang w:val="en-US"/>
        </w:rPr>
      </w:pPr>
    </w:p>
    <w:p w:rsidR="00315C21" w:rsidRPr="00937D1E" w:rsidRDefault="00315C21" w:rsidP="00A976BE">
      <w:pPr>
        <w:pStyle w:val="Heading4"/>
      </w:pPr>
      <w:r w:rsidRPr="00937D1E">
        <w:t>Planned adjustments/changes</w:t>
      </w:r>
    </w:p>
    <w:p w:rsidR="00315C21" w:rsidRDefault="00315C21" w:rsidP="00BA3E66">
      <w:pPr>
        <w:pStyle w:val="boldheadings"/>
        <w:numPr>
          <w:ilvl w:val="0"/>
          <w:numId w:val="52"/>
        </w:numPr>
        <w:ind w:left="426" w:hanging="426"/>
      </w:pPr>
      <w:r>
        <w:t>Department of Education</w:t>
      </w:r>
    </w:p>
    <w:p w:rsidR="00315C21" w:rsidRPr="00381554" w:rsidRDefault="00315C21" w:rsidP="00BA3E66">
      <w:pPr>
        <w:pStyle w:val="ListParagraph"/>
        <w:numPr>
          <w:ilvl w:val="0"/>
          <w:numId w:val="41"/>
        </w:numPr>
        <w:tabs>
          <w:tab w:val="left" w:pos="709"/>
        </w:tabs>
        <w:spacing w:line="240" w:lineRule="auto"/>
        <w:ind w:left="709" w:hanging="283"/>
        <w:rPr>
          <w:rFonts w:cs="Arial"/>
        </w:rPr>
      </w:pPr>
      <w:r w:rsidRPr="00381554">
        <w:rPr>
          <w:rFonts w:cs="Arial"/>
        </w:rPr>
        <w:t>Continued promotion of availability of funding.</w:t>
      </w:r>
    </w:p>
    <w:p w:rsidR="00937D1E" w:rsidRDefault="00315C21" w:rsidP="00BA3E66">
      <w:pPr>
        <w:pStyle w:val="boldheadings"/>
        <w:numPr>
          <w:ilvl w:val="0"/>
          <w:numId w:val="41"/>
        </w:numPr>
        <w:tabs>
          <w:tab w:val="left" w:pos="238"/>
          <w:tab w:val="left" w:pos="709"/>
        </w:tabs>
        <w:ind w:left="709" w:hanging="283"/>
      </w:pPr>
      <w:r w:rsidRPr="00732844">
        <w:rPr>
          <w:b w:val="0"/>
        </w:rPr>
        <w:t>Changes to the TAE include an additional unit focussing on language, literacy and numeracy (</w:t>
      </w:r>
      <w:proofErr w:type="spellStart"/>
      <w:r w:rsidRPr="00732844">
        <w:rPr>
          <w:b w:val="0"/>
        </w:rPr>
        <w:t>LNN</w:t>
      </w:r>
      <w:proofErr w:type="spellEnd"/>
      <w:r w:rsidRPr="00732844">
        <w:rPr>
          <w:b w:val="0"/>
        </w:rPr>
        <w:t>).  During 2013, funding will be used to support teachers with the existing TAE to upgrade their qualification to include this unit as well</w:t>
      </w:r>
      <w:r w:rsidRPr="00FA692D">
        <w:t>.</w:t>
      </w:r>
    </w:p>
    <w:p w:rsidR="00732844" w:rsidRDefault="00732844" w:rsidP="00BA3E66">
      <w:pPr>
        <w:pStyle w:val="boldheadings"/>
        <w:numPr>
          <w:ilvl w:val="0"/>
          <w:numId w:val="52"/>
        </w:numPr>
        <w:tabs>
          <w:tab w:val="left" w:pos="426"/>
          <w:tab w:val="left" w:pos="709"/>
        </w:tabs>
        <w:ind w:left="426" w:hanging="426"/>
      </w:pPr>
      <w:r>
        <w:t>Catholic Education Office of WA</w:t>
      </w:r>
    </w:p>
    <w:p w:rsidR="00732844" w:rsidRPr="00FA692D" w:rsidRDefault="00732844" w:rsidP="00BA3E66">
      <w:pPr>
        <w:pStyle w:val="ListParagraph"/>
        <w:numPr>
          <w:ilvl w:val="0"/>
          <w:numId w:val="25"/>
        </w:numPr>
        <w:spacing w:line="240" w:lineRule="auto"/>
        <w:ind w:left="709" w:hanging="283"/>
        <w:rPr>
          <w:rFonts w:cs="Arial"/>
        </w:rPr>
      </w:pPr>
      <w:r w:rsidRPr="00FA692D">
        <w:rPr>
          <w:rFonts w:cs="Arial"/>
        </w:rPr>
        <w:t>Teachers now have ability to offer a wider range of certificate courses in the school environment.</w:t>
      </w:r>
    </w:p>
    <w:p w:rsidR="00732844" w:rsidRPr="00FA692D" w:rsidRDefault="00732844" w:rsidP="00BA3E66">
      <w:pPr>
        <w:pStyle w:val="ListParagraph"/>
        <w:numPr>
          <w:ilvl w:val="0"/>
          <w:numId w:val="25"/>
        </w:numPr>
        <w:spacing w:line="240" w:lineRule="auto"/>
        <w:ind w:left="709" w:hanging="283"/>
        <w:rPr>
          <w:rFonts w:cs="Arial"/>
          <w:b/>
        </w:rPr>
      </w:pPr>
      <w:r w:rsidRPr="00FA692D">
        <w:rPr>
          <w:rFonts w:cs="Arial"/>
        </w:rPr>
        <w:t xml:space="preserve">Without extra funding it will not be possible to assist schools in </w:t>
      </w:r>
      <w:proofErr w:type="spellStart"/>
      <w:r w:rsidRPr="00FA692D">
        <w:rPr>
          <w:rFonts w:cs="Arial"/>
        </w:rPr>
        <w:t>upskilling</w:t>
      </w:r>
      <w:proofErr w:type="spellEnd"/>
      <w:r w:rsidRPr="00FA692D">
        <w:rPr>
          <w:rFonts w:cs="Arial"/>
        </w:rPr>
        <w:t xml:space="preserve"> in line with the new </w:t>
      </w:r>
      <w:proofErr w:type="spellStart"/>
      <w:r w:rsidRPr="00FA692D">
        <w:rPr>
          <w:rFonts w:cs="Arial"/>
        </w:rPr>
        <w:t>LLN</w:t>
      </w:r>
      <w:proofErr w:type="spellEnd"/>
      <w:r w:rsidRPr="00FA692D">
        <w:rPr>
          <w:rFonts w:cs="Arial"/>
        </w:rPr>
        <w:t xml:space="preserve"> requirements for July 2014.</w:t>
      </w:r>
    </w:p>
    <w:p w:rsidR="00732844" w:rsidRPr="00732844" w:rsidRDefault="00732844" w:rsidP="00BA3E66">
      <w:pPr>
        <w:pStyle w:val="boldheadings"/>
        <w:numPr>
          <w:ilvl w:val="0"/>
          <w:numId w:val="25"/>
        </w:numPr>
        <w:tabs>
          <w:tab w:val="left" w:pos="210"/>
        </w:tabs>
        <w:ind w:left="709" w:hanging="283"/>
        <w:rPr>
          <w:b w:val="0"/>
        </w:rPr>
      </w:pPr>
      <w:r w:rsidRPr="00732844">
        <w:rPr>
          <w:b w:val="0"/>
        </w:rPr>
        <w:t>Other classes for upgrades only to be held in 2013.</w:t>
      </w:r>
    </w:p>
    <w:p w:rsidR="00732844" w:rsidRDefault="00732844" w:rsidP="00BA3E66">
      <w:pPr>
        <w:pStyle w:val="boldheadings"/>
        <w:numPr>
          <w:ilvl w:val="0"/>
          <w:numId w:val="52"/>
        </w:numPr>
        <w:tabs>
          <w:tab w:val="left" w:pos="210"/>
        </w:tabs>
        <w:ind w:left="426" w:hanging="426"/>
      </w:pPr>
      <w:r w:rsidRPr="00E67B55">
        <w:t>Association of Independent Schools WA</w:t>
      </w:r>
    </w:p>
    <w:p w:rsidR="00732844" w:rsidRPr="00732844" w:rsidRDefault="00732844" w:rsidP="00BA3E66">
      <w:pPr>
        <w:pStyle w:val="boldheadings"/>
        <w:numPr>
          <w:ilvl w:val="0"/>
          <w:numId w:val="42"/>
        </w:numPr>
        <w:tabs>
          <w:tab w:val="left" w:pos="210"/>
        </w:tabs>
        <w:ind w:firstLine="52"/>
        <w:rPr>
          <w:b w:val="0"/>
        </w:rPr>
      </w:pPr>
      <w:r w:rsidRPr="00732844">
        <w:rPr>
          <w:b w:val="0"/>
        </w:rPr>
        <w:t xml:space="preserve">The program has continued in 2013 and will cover the new </w:t>
      </w:r>
      <w:proofErr w:type="spellStart"/>
      <w:r w:rsidRPr="00732844">
        <w:rPr>
          <w:b w:val="0"/>
        </w:rPr>
        <w:t>LNN</w:t>
      </w:r>
      <w:proofErr w:type="spellEnd"/>
      <w:r w:rsidRPr="00732844">
        <w:rPr>
          <w:b w:val="0"/>
        </w:rPr>
        <w:t xml:space="preserve"> core unit.</w:t>
      </w:r>
    </w:p>
    <w:p w:rsidR="00732844" w:rsidRDefault="00732844" w:rsidP="00BA3E66">
      <w:pPr>
        <w:pStyle w:val="boldheadings"/>
        <w:numPr>
          <w:ilvl w:val="0"/>
          <w:numId w:val="52"/>
        </w:numPr>
        <w:tabs>
          <w:tab w:val="left" w:pos="210"/>
        </w:tabs>
        <w:ind w:left="426" w:hanging="426"/>
      </w:pPr>
      <w:r w:rsidRPr="00E67B55">
        <w:t>De</w:t>
      </w:r>
      <w:r>
        <w:t>partment of Corrective Services</w:t>
      </w:r>
    </w:p>
    <w:p w:rsidR="00732844" w:rsidRDefault="00732844" w:rsidP="00BA3E66">
      <w:pPr>
        <w:pStyle w:val="boldheadings"/>
        <w:numPr>
          <w:ilvl w:val="0"/>
          <w:numId w:val="42"/>
        </w:numPr>
        <w:tabs>
          <w:tab w:val="left" w:pos="709"/>
        </w:tabs>
        <w:ind w:left="709" w:hanging="283"/>
        <w:rPr>
          <w:b w:val="0"/>
        </w:rPr>
      </w:pPr>
      <w:r w:rsidRPr="00732844">
        <w:rPr>
          <w:b w:val="0"/>
        </w:rPr>
        <w:t>The complete Certificate IV Training and Assessment will be provided to staff as planned but delivery of different assessment and training skill sets will also be offered where appropriate.</w:t>
      </w:r>
    </w:p>
    <w:p w:rsidR="00732844" w:rsidRPr="00937D1E" w:rsidRDefault="00732844" w:rsidP="00BA3E66">
      <w:pPr>
        <w:pStyle w:val="boldheadings"/>
        <w:numPr>
          <w:ilvl w:val="0"/>
          <w:numId w:val="52"/>
        </w:numPr>
        <w:tabs>
          <w:tab w:val="left" w:pos="426"/>
        </w:tabs>
        <w:ind w:left="426" w:hanging="426"/>
        <w:rPr>
          <w:b w:val="0"/>
        </w:rPr>
      </w:pPr>
      <w:r w:rsidRPr="00E67B55">
        <w:t>Department of Training and Workforce Development</w:t>
      </w:r>
    </w:p>
    <w:p w:rsidR="00732844" w:rsidRDefault="00732844" w:rsidP="00BA3E66">
      <w:pPr>
        <w:pStyle w:val="boldheadings"/>
        <w:numPr>
          <w:ilvl w:val="0"/>
          <w:numId w:val="42"/>
        </w:numPr>
        <w:tabs>
          <w:tab w:val="left" w:pos="210"/>
        </w:tabs>
        <w:ind w:firstLine="52"/>
        <w:rPr>
          <w:b w:val="0"/>
        </w:rPr>
      </w:pPr>
      <w:r w:rsidRPr="00732844">
        <w:rPr>
          <w:b w:val="0"/>
        </w:rPr>
        <w:t>Nil</w:t>
      </w:r>
      <w:r>
        <w:rPr>
          <w:b w:val="0"/>
        </w:rPr>
        <w:t>.</w:t>
      </w:r>
    </w:p>
    <w:p w:rsidR="000C7DAD" w:rsidRDefault="000C7DAD" w:rsidP="008A6EA4">
      <w:pPr>
        <w:pStyle w:val="Heading3"/>
      </w:pPr>
      <w:r>
        <w:t>5.1.3</w:t>
      </w:r>
      <w:r>
        <w:tab/>
      </w:r>
      <w:r w:rsidRPr="00F34166">
        <w:t>M</w:t>
      </w:r>
      <w:r w:rsidR="00951D02">
        <w:t>entoring</w:t>
      </w:r>
    </w:p>
    <w:p w:rsidR="00732844" w:rsidRPr="00937D1E" w:rsidRDefault="00732844" w:rsidP="00A976BE">
      <w:pPr>
        <w:pStyle w:val="Heading4"/>
      </w:pPr>
      <w:r w:rsidRPr="00937D1E">
        <w:t>Purpose</w:t>
      </w:r>
    </w:p>
    <w:p w:rsidR="00732844" w:rsidRPr="00E67B55" w:rsidRDefault="00732844" w:rsidP="00937D1E">
      <w:pPr>
        <w:spacing w:line="240" w:lineRule="auto"/>
      </w:pPr>
      <w:r w:rsidRPr="00E67B55">
        <w:t>For mentoring to be widely recognised as an effective tool for empowering young people to achieve their potential, and for quality mentoring programs to be expanded and supported sustainably to maximise benefits to young Western Australians.</w:t>
      </w:r>
    </w:p>
    <w:p w:rsidR="00732844" w:rsidRDefault="00732844" w:rsidP="00937D1E">
      <w:pPr>
        <w:spacing w:line="240" w:lineRule="auto"/>
        <w:rPr>
          <w:b/>
        </w:rPr>
      </w:pPr>
    </w:p>
    <w:p w:rsidR="00732844" w:rsidRPr="00937D1E" w:rsidRDefault="00732844" w:rsidP="00A976BE">
      <w:pPr>
        <w:pStyle w:val="Heading4"/>
      </w:pPr>
      <w:r w:rsidRPr="00937D1E">
        <w:t>2012 Funding</w:t>
      </w:r>
    </w:p>
    <w:p w:rsidR="00732844" w:rsidRDefault="00732844" w:rsidP="00937D1E">
      <w:pPr>
        <w:spacing w:line="240" w:lineRule="auto"/>
      </w:pPr>
      <w:proofErr w:type="spellStart"/>
      <w:r w:rsidRPr="00E67B55">
        <w:t>NPYAT</w:t>
      </w:r>
      <w:proofErr w:type="spellEnd"/>
      <w:r w:rsidRPr="00E67B55">
        <w:t xml:space="preserve"> funding of $</w:t>
      </w:r>
      <w:proofErr w:type="spellStart"/>
      <w:r w:rsidRPr="00E67B55">
        <w:t>1.15M</w:t>
      </w:r>
      <w:proofErr w:type="spellEnd"/>
      <w:r w:rsidRPr="00E67B55">
        <w:t xml:space="preserve"> over four years to the Department for Communities - with funding and financial reporting by Financial Year – with notional funding of $300,000 allocated for 2012. Actual expenditure for the period 1 January 2012 to 31 December 2012 was $417,524.</w:t>
      </w:r>
    </w:p>
    <w:p w:rsidR="00732844" w:rsidRDefault="00732844" w:rsidP="00937D1E">
      <w:pPr>
        <w:spacing w:line="240" w:lineRule="auto"/>
      </w:pPr>
    </w:p>
    <w:p w:rsidR="00732844" w:rsidRPr="00937D1E" w:rsidRDefault="00732844" w:rsidP="00A976BE">
      <w:pPr>
        <w:pStyle w:val="Heading4"/>
      </w:pPr>
      <w:r w:rsidRPr="00937D1E">
        <w:t>Timing</w:t>
      </w:r>
    </w:p>
    <w:p w:rsidR="00732844" w:rsidRDefault="00732844" w:rsidP="00937D1E">
      <w:pPr>
        <w:spacing w:line="240" w:lineRule="auto"/>
      </w:pPr>
      <w:r w:rsidRPr="00E67B55">
        <w:t>The WA Youth Mentoring Reform is a four year project, initially scheduled to operate over the period 30 November 2010 to 31 December 2014.  To align the project with the provision of funding by financial year, the end date has been brought forward to end of June 2014.</w:t>
      </w:r>
    </w:p>
    <w:p w:rsidR="00732844" w:rsidRDefault="00732844" w:rsidP="00937D1E">
      <w:pPr>
        <w:spacing w:line="240" w:lineRule="auto"/>
      </w:pPr>
    </w:p>
    <w:p w:rsidR="00732844" w:rsidRPr="00937D1E" w:rsidRDefault="00732844" w:rsidP="00A976BE">
      <w:pPr>
        <w:pStyle w:val="Heading4"/>
      </w:pPr>
      <w:r w:rsidRPr="00937D1E">
        <w:t>Stakeholders</w:t>
      </w:r>
    </w:p>
    <w:p w:rsidR="00732844" w:rsidRDefault="00732844" w:rsidP="00937D1E">
      <w:pPr>
        <w:spacing w:line="240" w:lineRule="auto"/>
      </w:pPr>
      <w:r w:rsidRPr="00E67B55">
        <w:t>WA Youth Mentoring Reform Group is made up of Government and non-Government youth mentoring agencies.  The School Volunteer Program joined the group in 2012.</w:t>
      </w:r>
    </w:p>
    <w:p w:rsidR="00D04B1B" w:rsidRDefault="00D04B1B">
      <w:pPr>
        <w:spacing w:line="240" w:lineRule="auto"/>
        <w:rPr>
          <w:b/>
          <w:u w:val="single"/>
        </w:rPr>
      </w:pPr>
      <w:r>
        <w:rPr>
          <w:b/>
          <w:u w:val="single"/>
        </w:rPr>
        <w:br w:type="page"/>
      </w:r>
    </w:p>
    <w:p w:rsidR="00732844" w:rsidRPr="00937D1E" w:rsidRDefault="00732844" w:rsidP="00A976BE">
      <w:pPr>
        <w:pStyle w:val="Heading4"/>
      </w:pPr>
      <w:r w:rsidRPr="00937D1E">
        <w:lastRenderedPageBreak/>
        <w:t>Action taken</w:t>
      </w:r>
    </w:p>
    <w:p w:rsidR="00732844" w:rsidRDefault="00732844" w:rsidP="00937D1E">
      <w:pPr>
        <w:spacing w:line="240" w:lineRule="auto"/>
      </w:pPr>
      <w:r w:rsidRPr="00E67B55">
        <w:t>The WA Youth Mentoring Reform Group, established by the Department for Communities and co-chaired by a community sector representative, is overseeing and providing leadership in this reform. The Reform Group has a majority of youth mentoring community sector membership and includes relevant state and federal government agencies and an academic representative.</w:t>
      </w:r>
    </w:p>
    <w:p w:rsidR="00937D1E" w:rsidRPr="00E67B55" w:rsidRDefault="00937D1E" w:rsidP="00937D1E">
      <w:pPr>
        <w:spacing w:line="240" w:lineRule="auto"/>
      </w:pPr>
    </w:p>
    <w:p w:rsidR="00732844" w:rsidRPr="00E67B55" w:rsidRDefault="00732844" w:rsidP="00937D1E">
      <w:pPr>
        <w:spacing w:line="240" w:lineRule="auto"/>
        <w:rPr>
          <w:color w:val="333333"/>
        </w:rPr>
      </w:pPr>
      <w:r w:rsidRPr="00E67B55">
        <w:rPr>
          <w:color w:val="333333"/>
          <w:lang w:eastAsia="en-AU"/>
        </w:rPr>
        <w:t xml:space="preserve">The </w:t>
      </w:r>
      <w:hyperlink r:id="rId17" w:history="1">
        <w:r w:rsidRPr="00E67B55">
          <w:rPr>
            <w:rStyle w:val="Hyperlink"/>
            <w:rFonts w:cs="Arial"/>
            <w:i/>
            <w:lang w:eastAsia="en-AU"/>
          </w:rPr>
          <w:t xml:space="preserve">WA Youth Mentoring </w:t>
        </w:r>
        <w:r w:rsidRPr="00E67B55">
          <w:rPr>
            <w:rStyle w:val="Hyperlink"/>
            <w:rFonts w:cs="Arial"/>
            <w:bCs/>
            <w:i/>
            <w:lang w:eastAsia="en-AU"/>
          </w:rPr>
          <w:t>Strategic Framework</w:t>
        </w:r>
      </w:hyperlink>
      <w:r w:rsidRPr="00E67B55">
        <w:rPr>
          <w:color w:val="333333"/>
          <w:lang w:eastAsia="en-AU"/>
        </w:rPr>
        <w:t>, released in November 2012, is the cornerstone of the project. A second round of c</w:t>
      </w:r>
      <w:r w:rsidRPr="00E67B55">
        <w:rPr>
          <w:color w:val="333333"/>
        </w:rPr>
        <w:t>onsultations with approximately 250 people from community services and government agencies confirmed the importance of</w:t>
      </w:r>
      <w:r w:rsidRPr="00E67B55">
        <w:t xml:space="preserve"> five principal areas for reform: communication, capacity building, program operations, research and evaluation, and governance. Extensive training was provided to practitioners around the State in the context of consultation on the proposed Framework.</w:t>
      </w:r>
      <w:r w:rsidRPr="00E67B55">
        <w:rPr>
          <w:color w:val="333333"/>
        </w:rPr>
        <w:t xml:space="preserve"> The Framework presents the vision, operational priorities and key deliverables of the reform; these have been distilled into an implementation plan with action and progress regularly reported to the Reform Group.</w:t>
      </w:r>
    </w:p>
    <w:p w:rsidR="00732844" w:rsidRPr="00E67B55" w:rsidRDefault="00732844" w:rsidP="00937D1E">
      <w:pPr>
        <w:spacing w:line="240" w:lineRule="auto"/>
        <w:rPr>
          <w:color w:val="333333"/>
        </w:rPr>
      </w:pPr>
      <w:r w:rsidRPr="00E67B55">
        <w:t>Four Demonstration Projects involving seven non-government youth mentoring organisations were funded in 2012. The aim was to demonstrate best practice approaches to delivering mentoring to specified target groups, and to trial innovative approaches. The projects are:</w:t>
      </w:r>
    </w:p>
    <w:p w:rsidR="00732844" w:rsidRPr="00937D1E" w:rsidRDefault="00732844" w:rsidP="00BA3E66">
      <w:pPr>
        <w:pStyle w:val="ListParagraph"/>
        <w:numPr>
          <w:ilvl w:val="0"/>
          <w:numId w:val="42"/>
        </w:numPr>
        <w:spacing w:line="240" w:lineRule="auto"/>
        <w:rPr>
          <w:color w:val="000000"/>
          <w:lang w:eastAsia="en-AU"/>
        </w:rPr>
      </w:pPr>
      <w:r w:rsidRPr="00937D1E">
        <w:rPr>
          <w:color w:val="000000"/>
          <w:lang w:eastAsia="en-AU"/>
        </w:rPr>
        <w:t>‘</w:t>
      </w:r>
      <w:r w:rsidRPr="00937D1E">
        <w:rPr>
          <w:i/>
          <w:color w:val="000000"/>
          <w:lang w:eastAsia="en-AU"/>
        </w:rPr>
        <w:t>Demonstrating Best Practice in Youth Mentoring’</w:t>
      </w:r>
      <w:r w:rsidRPr="00937D1E">
        <w:rPr>
          <w:color w:val="000000"/>
          <w:lang w:eastAsia="en-AU"/>
        </w:rPr>
        <w:t xml:space="preserve"> - video and </w:t>
      </w:r>
      <w:hyperlink r:id="rId18" w:tgtFrame="_blank" w:history="1">
        <w:r w:rsidRPr="00E67B55">
          <w:rPr>
            <w:lang w:eastAsia="en-AU"/>
          </w:rPr>
          <w:t>supporting booklet</w:t>
        </w:r>
      </w:hyperlink>
      <w:r w:rsidRPr="00E67B55">
        <w:rPr>
          <w:lang w:eastAsia="en-AU"/>
        </w:rPr>
        <w:t xml:space="preserve"> </w:t>
      </w:r>
      <w:r w:rsidRPr="00937D1E">
        <w:rPr>
          <w:color w:val="000000"/>
          <w:lang w:eastAsia="en-AU"/>
        </w:rPr>
        <w:t>being developed by a consortium of four agencies: YMCA Perth Big Brothers Big Sisters, the Smith Family, Youth Futures and Youth Focus. The resources cover several of the Australian Youth Mentoring Benchmarks, drawing on the experience of each of the agencies to show a variety of approaches.</w:t>
      </w:r>
    </w:p>
    <w:p w:rsidR="00732844" w:rsidRPr="00937D1E" w:rsidRDefault="00732844" w:rsidP="00BA3E66">
      <w:pPr>
        <w:pStyle w:val="ListParagraph"/>
        <w:numPr>
          <w:ilvl w:val="0"/>
          <w:numId w:val="42"/>
        </w:numPr>
        <w:spacing w:line="240" w:lineRule="auto"/>
        <w:rPr>
          <w:color w:val="000000"/>
          <w:lang w:eastAsia="en-AU"/>
        </w:rPr>
      </w:pPr>
      <w:r w:rsidRPr="00937D1E">
        <w:rPr>
          <w:i/>
          <w:color w:val="000000"/>
          <w:lang w:eastAsia="en-AU"/>
        </w:rPr>
        <w:t>‘Mentoring Newly Arrived Youth’</w:t>
      </w:r>
      <w:r w:rsidRPr="00937D1E">
        <w:rPr>
          <w:color w:val="000000"/>
          <w:lang w:eastAsia="en-AU"/>
        </w:rPr>
        <w:t xml:space="preserve"> - </w:t>
      </w:r>
      <w:hyperlink r:id="rId19" w:tgtFrame="_blank" w:history="1">
        <w:r w:rsidRPr="00E67B55">
          <w:rPr>
            <w:lang w:eastAsia="en-AU"/>
          </w:rPr>
          <w:t>video</w:t>
        </w:r>
      </w:hyperlink>
      <w:r w:rsidRPr="00E67B55">
        <w:rPr>
          <w:lang w:eastAsia="en-AU"/>
        </w:rPr>
        <w:t xml:space="preserve"> and </w:t>
      </w:r>
      <w:hyperlink r:id="rId20" w:tgtFrame="_blank" w:history="1">
        <w:r w:rsidRPr="00E67B55">
          <w:rPr>
            <w:lang w:eastAsia="en-AU"/>
          </w:rPr>
          <w:t>booklet</w:t>
        </w:r>
      </w:hyperlink>
      <w:r w:rsidRPr="00937D1E">
        <w:rPr>
          <w:color w:val="000000"/>
          <w:lang w:eastAsia="en-AU"/>
        </w:rPr>
        <w:t xml:space="preserve"> being developed by the Metropolitan Migrant Resource Centre. The resources use mentor and mentee interviews to provide ideas to assist mainstream service providers to design or adapt mentoring programs to meet the needs of newly arrived young people from refugee backgrounds.</w:t>
      </w:r>
    </w:p>
    <w:p w:rsidR="00732844" w:rsidRPr="00937D1E" w:rsidRDefault="00732844" w:rsidP="00BA3E66">
      <w:pPr>
        <w:pStyle w:val="ListParagraph"/>
        <w:numPr>
          <w:ilvl w:val="0"/>
          <w:numId w:val="42"/>
        </w:numPr>
        <w:spacing w:line="240" w:lineRule="auto"/>
        <w:rPr>
          <w:color w:val="000000"/>
          <w:lang w:eastAsia="en-AU"/>
        </w:rPr>
      </w:pPr>
      <w:r w:rsidRPr="00937D1E">
        <w:rPr>
          <w:i/>
          <w:color w:val="000000"/>
          <w:lang w:eastAsia="en-AU"/>
        </w:rPr>
        <w:t>‘Minding the Match</w:t>
      </w:r>
      <w:r w:rsidRPr="00937D1E">
        <w:rPr>
          <w:color w:val="000000"/>
          <w:lang w:eastAsia="en-AU"/>
        </w:rPr>
        <w:t xml:space="preserve"> ’- </w:t>
      </w:r>
      <w:hyperlink r:id="rId21" w:tgtFrame="_blank" w:history="1">
        <w:r w:rsidRPr="00E67B55">
          <w:rPr>
            <w:lang w:eastAsia="en-AU"/>
          </w:rPr>
          <w:t>electronic resource</w:t>
        </w:r>
      </w:hyperlink>
      <w:r w:rsidRPr="00E67B55">
        <w:rPr>
          <w:lang w:eastAsia="en-AU"/>
        </w:rPr>
        <w:t xml:space="preserve"> is </w:t>
      </w:r>
      <w:r w:rsidRPr="00937D1E">
        <w:rPr>
          <w:color w:val="000000"/>
          <w:lang w:eastAsia="en-AU"/>
        </w:rPr>
        <w:t xml:space="preserve">an online training module developed by Jobs South-West Training and Community Services with particular focus on youth mentoring in regional and remote areas. A comprehensive </w:t>
      </w:r>
      <w:hyperlink r:id="rId22" w:tgtFrame="_blank" w:history="1">
        <w:r w:rsidRPr="00E67B55">
          <w:rPr>
            <w:lang w:eastAsia="en-AU"/>
          </w:rPr>
          <w:t>trainer’s manual</w:t>
        </w:r>
      </w:hyperlink>
      <w:r w:rsidRPr="00E67B55">
        <w:rPr>
          <w:lang w:eastAsia="en-AU"/>
        </w:rPr>
        <w:t xml:space="preserve"> </w:t>
      </w:r>
      <w:r w:rsidRPr="00937D1E">
        <w:rPr>
          <w:color w:val="000000"/>
          <w:lang w:eastAsia="en-AU"/>
        </w:rPr>
        <w:t>accompanies the resource.</w:t>
      </w:r>
    </w:p>
    <w:p w:rsidR="00732844" w:rsidRDefault="00732844" w:rsidP="00BA3E66">
      <w:pPr>
        <w:pStyle w:val="ListParagraph"/>
        <w:numPr>
          <w:ilvl w:val="0"/>
          <w:numId w:val="42"/>
        </w:numPr>
        <w:spacing w:line="240" w:lineRule="auto"/>
        <w:rPr>
          <w:color w:val="000000"/>
          <w:lang w:eastAsia="en-AU"/>
        </w:rPr>
      </w:pPr>
      <w:r w:rsidRPr="00937D1E">
        <w:rPr>
          <w:i/>
          <w:color w:val="000000"/>
          <w:lang w:eastAsia="en-AU"/>
        </w:rPr>
        <w:t>‘Evaluation Toolkit’</w:t>
      </w:r>
      <w:r w:rsidRPr="00937D1E">
        <w:rPr>
          <w:color w:val="000000"/>
          <w:lang w:eastAsia="en-AU"/>
        </w:rPr>
        <w:t xml:space="preserve"> - being developed by the School Volunteer Program and is comprised of a suite of easy to use evaluation tools to help agencies to effectively identify young people who could benefit from having a mentor, as well as determine the match quality of the mentoring relationship and measure the effectiveness of the program. </w:t>
      </w:r>
    </w:p>
    <w:p w:rsidR="00937D1E" w:rsidRPr="00937D1E" w:rsidRDefault="00937D1E" w:rsidP="00937D1E">
      <w:pPr>
        <w:pStyle w:val="ListParagraph"/>
        <w:spacing w:line="240" w:lineRule="auto"/>
        <w:ind w:left="374"/>
        <w:rPr>
          <w:color w:val="000000"/>
          <w:lang w:eastAsia="en-AU"/>
        </w:rPr>
      </w:pPr>
    </w:p>
    <w:p w:rsidR="00732844" w:rsidRDefault="00732844" w:rsidP="00937D1E">
      <w:pPr>
        <w:spacing w:line="240" w:lineRule="auto"/>
      </w:pPr>
      <w:r w:rsidRPr="00E67B55">
        <w:t>All projects will lead to production of a comprehensive and mutually complementary suite of resources by April 2013.</w:t>
      </w:r>
    </w:p>
    <w:p w:rsidR="00937D1E" w:rsidRPr="00E67B55" w:rsidRDefault="00937D1E" w:rsidP="00937D1E">
      <w:pPr>
        <w:spacing w:line="240" w:lineRule="auto"/>
        <w:rPr>
          <w:color w:val="000000"/>
          <w:lang w:eastAsia="en-AU"/>
        </w:rPr>
      </w:pPr>
    </w:p>
    <w:p w:rsidR="00732844" w:rsidRDefault="00732844" w:rsidP="00937D1E">
      <w:pPr>
        <w:spacing w:line="240" w:lineRule="auto"/>
        <w:rPr>
          <w:color w:val="000000"/>
        </w:rPr>
      </w:pPr>
      <w:r w:rsidRPr="00E67B55">
        <w:rPr>
          <w:color w:val="000000"/>
        </w:rPr>
        <w:t>The youth mentoring sector was surveyed to clarify what sort of training and professional development the sector is interested in during the Reform Project period and afterwards.</w:t>
      </w:r>
    </w:p>
    <w:p w:rsidR="00937D1E" w:rsidRPr="00E67B55" w:rsidRDefault="00937D1E" w:rsidP="00937D1E">
      <w:pPr>
        <w:spacing w:line="240" w:lineRule="auto"/>
        <w:rPr>
          <w:color w:val="000000"/>
        </w:rPr>
      </w:pPr>
    </w:p>
    <w:p w:rsidR="00732844" w:rsidRDefault="00732844" w:rsidP="00017255">
      <w:pPr>
        <w:spacing w:line="240" w:lineRule="auto"/>
        <w:rPr>
          <w:color w:val="000000"/>
        </w:rPr>
      </w:pPr>
      <w:r w:rsidRPr="00E67B55">
        <w:rPr>
          <w:color w:val="000000"/>
        </w:rPr>
        <w:t xml:space="preserve">The Research and Evaluation group met to develop a research proposal for </w:t>
      </w:r>
      <w:proofErr w:type="spellStart"/>
      <w:r w:rsidRPr="00E67B55">
        <w:rPr>
          <w:color w:val="000000"/>
        </w:rPr>
        <w:t>2012.Market</w:t>
      </w:r>
      <w:proofErr w:type="spellEnd"/>
      <w:r w:rsidRPr="00E67B55">
        <w:rPr>
          <w:color w:val="000000"/>
        </w:rPr>
        <w:t xml:space="preserve"> research with the private sector was commissioned and </w:t>
      </w:r>
      <w:proofErr w:type="gramStart"/>
      <w:r w:rsidRPr="00E67B55">
        <w:rPr>
          <w:color w:val="000000"/>
        </w:rPr>
        <w:t>phase</w:t>
      </w:r>
      <w:proofErr w:type="gramEnd"/>
      <w:r w:rsidRPr="00E67B55">
        <w:rPr>
          <w:color w:val="000000"/>
        </w:rPr>
        <w:t xml:space="preserve"> one completed. A report on ‘</w:t>
      </w:r>
      <w:r w:rsidRPr="00E67B55">
        <w:rPr>
          <w:i/>
          <w:color w:val="000000"/>
        </w:rPr>
        <w:t>Youth mentoring in the commercial world - an investigation of the potential for community sector engagement’</w:t>
      </w:r>
      <w:r w:rsidRPr="00E67B55">
        <w:rPr>
          <w:color w:val="000000"/>
        </w:rPr>
        <w:t xml:space="preserve"> will be completed in early 2013.</w:t>
      </w:r>
    </w:p>
    <w:p w:rsidR="00732844" w:rsidRDefault="00732844" w:rsidP="00017255">
      <w:pPr>
        <w:spacing w:line="240" w:lineRule="auto"/>
        <w:rPr>
          <w:color w:val="000000"/>
        </w:rPr>
      </w:pPr>
    </w:p>
    <w:p w:rsidR="00732844" w:rsidRPr="00937D1E" w:rsidRDefault="00732844" w:rsidP="00A976BE">
      <w:pPr>
        <w:pStyle w:val="Heading4"/>
      </w:pPr>
      <w:r w:rsidRPr="00937D1E">
        <w:t>Outcomes</w:t>
      </w:r>
    </w:p>
    <w:p w:rsidR="00732844" w:rsidRPr="00E67B55" w:rsidRDefault="00732844" w:rsidP="00017255">
      <w:pPr>
        <w:pStyle w:val="ListParagraph"/>
        <w:numPr>
          <w:ilvl w:val="0"/>
          <w:numId w:val="35"/>
        </w:numPr>
        <w:spacing w:line="240" w:lineRule="auto"/>
        <w:ind w:left="360"/>
      </w:pPr>
      <w:r w:rsidRPr="00FA692D">
        <w:rPr>
          <w:i/>
        </w:rPr>
        <w:t>Western Australian Youth Mentoring Reform Strategic Framework</w:t>
      </w:r>
      <w:r w:rsidRPr="00E67B55">
        <w:t>:  Consultation Draft completed and Framework was released in November 2012. A number of the Key Deliverables of the Framework have already been completed.</w:t>
      </w:r>
    </w:p>
    <w:p w:rsidR="00732844" w:rsidRDefault="00732844" w:rsidP="00017255">
      <w:pPr>
        <w:pStyle w:val="ListParagraph"/>
        <w:numPr>
          <w:ilvl w:val="0"/>
          <w:numId w:val="35"/>
        </w:numPr>
        <w:spacing w:line="240" w:lineRule="auto"/>
        <w:ind w:left="360"/>
      </w:pPr>
      <w:r w:rsidRPr="00E67B55">
        <w:t>Training has led to increased awareness of National Benchmarks across the State.</w:t>
      </w:r>
    </w:p>
    <w:p w:rsidR="00732844" w:rsidRDefault="00732844" w:rsidP="00017255">
      <w:pPr>
        <w:pStyle w:val="ListParagraph"/>
        <w:numPr>
          <w:ilvl w:val="0"/>
          <w:numId w:val="35"/>
        </w:numPr>
        <w:spacing w:line="240" w:lineRule="auto"/>
        <w:ind w:left="360"/>
      </w:pPr>
      <w:r w:rsidRPr="00E67B55">
        <w:lastRenderedPageBreak/>
        <w:t>Working Groups:  Three of the four proposed working groups have been formed and have commenced operations aimed at achieving outcomes and deliverables of the Framework. The intended work of the fourth group (sustainable funding) is being undertaken through market research and inter-agency liaison.</w:t>
      </w:r>
    </w:p>
    <w:p w:rsidR="00732844" w:rsidRPr="00FA692D" w:rsidRDefault="00732844" w:rsidP="00017255">
      <w:pPr>
        <w:pStyle w:val="ListParagraph"/>
        <w:numPr>
          <w:ilvl w:val="0"/>
          <w:numId w:val="35"/>
        </w:numPr>
        <w:spacing w:line="240" w:lineRule="auto"/>
        <w:ind w:left="360"/>
        <w:rPr>
          <w:rStyle w:val="Strong"/>
          <w:b w:val="0"/>
          <w:bCs w:val="0"/>
        </w:rPr>
      </w:pPr>
      <w:r w:rsidRPr="00E67B55">
        <w:t>Demonstration Projects:  Four demonstration projects involving seven non-government youth mentoring organisations have been funded and commenced in 2012. All projects are scheduled to be completed by April 2013 with the intention of launching resources during National Youth Week in April 2013.</w:t>
      </w:r>
    </w:p>
    <w:p w:rsidR="00732844" w:rsidRPr="00FA692D" w:rsidRDefault="00732844" w:rsidP="00017255">
      <w:pPr>
        <w:pStyle w:val="ListParagraph"/>
        <w:numPr>
          <w:ilvl w:val="0"/>
          <w:numId w:val="35"/>
        </w:numPr>
        <w:spacing w:line="240" w:lineRule="auto"/>
        <w:ind w:left="360"/>
      </w:pPr>
      <w:r w:rsidRPr="00FA692D">
        <w:rPr>
          <w:rStyle w:val="Strong"/>
          <w:rFonts w:cs="Arial"/>
          <w:b w:val="0"/>
          <w:color w:val="000000"/>
        </w:rPr>
        <w:t xml:space="preserve">Training consultation survey:  </w:t>
      </w:r>
      <w:r w:rsidRPr="00E67B55">
        <w:t xml:space="preserve">the </w:t>
      </w:r>
      <w:r w:rsidRPr="00FA692D">
        <w:rPr>
          <w:color w:val="000000"/>
        </w:rPr>
        <w:t>analysis assisted in the design of relevant training that is cost effective and targeted, with distribution throughout WA. The results guide the development of sustainable models for the delivery of training after the conclusion of the funding for the youth mentoring reform project.</w:t>
      </w:r>
    </w:p>
    <w:p w:rsidR="00732844" w:rsidRPr="00732844" w:rsidRDefault="00732844" w:rsidP="00017255">
      <w:pPr>
        <w:pStyle w:val="ListParagraph"/>
        <w:numPr>
          <w:ilvl w:val="0"/>
          <w:numId w:val="35"/>
        </w:numPr>
        <w:spacing w:line="240" w:lineRule="auto"/>
        <w:ind w:left="336" w:hanging="336"/>
        <w:rPr>
          <w:b/>
        </w:rPr>
      </w:pPr>
      <w:r w:rsidRPr="00732844">
        <w:rPr>
          <w:color w:val="000000"/>
        </w:rPr>
        <w:t>Research/report on youth mentoring in the commercial world with the prospective development of sustainable models for youth mentoring agencies will report early 2013.</w:t>
      </w:r>
    </w:p>
    <w:p w:rsidR="00732844" w:rsidRDefault="00732844" w:rsidP="00017255">
      <w:pPr>
        <w:pStyle w:val="ListParagraph"/>
        <w:spacing w:line="240" w:lineRule="auto"/>
        <w:ind w:left="336"/>
        <w:rPr>
          <w:b/>
        </w:rPr>
      </w:pPr>
    </w:p>
    <w:p w:rsidR="00A149C8" w:rsidRPr="00937D1E" w:rsidRDefault="00A149C8" w:rsidP="00A976BE">
      <w:pPr>
        <w:pStyle w:val="Heading4"/>
      </w:pPr>
      <w:r w:rsidRPr="00937D1E">
        <w:t>Planned adjustments/Changes</w:t>
      </w:r>
    </w:p>
    <w:p w:rsidR="00A149C8" w:rsidRDefault="00A149C8" w:rsidP="00017255">
      <w:pPr>
        <w:pStyle w:val="boldheadings"/>
      </w:pPr>
      <w:r w:rsidRPr="00A149C8">
        <w:rPr>
          <w:b w:val="0"/>
        </w:rPr>
        <w:t xml:space="preserve">It was originally intended to fund 8 </w:t>
      </w:r>
      <w:proofErr w:type="spellStart"/>
      <w:r w:rsidRPr="00A149C8">
        <w:rPr>
          <w:b w:val="0"/>
        </w:rPr>
        <w:t>to10</w:t>
      </w:r>
      <w:proofErr w:type="spellEnd"/>
      <w:r w:rsidRPr="00A149C8">
        <w:rPr>
          <w:b w:val="0"/>
        </w:rPr>
        <w:t xml:space="preserve"> Demonstration Projects over the second, third and fourth years of the reform project. Advice from the mentoring sector was that this would not demonstrate best practice and would be counter-productive to a sustainable funding model. Instead, it was decided to fund the projects</w:t>
      </w:r>
      <w:r w:rsidRPr="00E67B55">
        <w:t xml:space="preserve"> </w:t>
      </w:r>
      <w:r w:rsidRPr="00A149C8">
        <w:rPr>
          <w:b w:val="0"/>
        </w:rPr>
        <w:t>outlined above. The revised model has the added benefit of producing demonstration materials that can be used by the whole sector throughout the remaining term of the reform project and beyond</w:t>
      </w:r>
      <w:r w:rsidRPr="00E67B55">
        <w:t>.</w:t>
      </w:r>
    </w:p>
    <w:p w:rsidR="00A149C8" w:rsidRPr="00732844" w:rsidRDefault="00A149C8" w:rsidP="00017255">
      <w:pPr>
        <w:pStyle w:val="boldheadings"/>
      </w:pPr>
    </w:p>
    <w:p w:rsidR="000C7DAD" w:rsidRDefault="000C7DAD" w:rsidP="008A6EA4">
      <w:pPr>
        <w:pStyle w:val="Heading3"/>
        <w:rPr>
          <w:color w:val="0070C0"/>
        </w:rPr>
      </w:pPr>
      <w:r w:rsidRPr="009A533A">
        <w:t>5.1.4</w:t>
      </w:r>
      <w:r w:rsidRPr="009A533A">
        <w:tab/>
        <w:t>Young workers training initiative</w:t>
      </w:r>
      <w:r w:rsidR="00434004" w:rsidRPr="009A533A">
        <w:rPr>
          <w:color w:val="0070C0"/>
        </w:rPr>
        <w:t xml:space="preserve"> </w:t>
      </w:r>
    </w:p>
    <w:p w:rsidR="00A149C8" w:rsidRPr="00F179A6" w:rsidRDefault="00A149C8" w:rsidP="00A976BE">
      <w:pPr>
        <w:pStyle w:val="Heading4"/>
      </w:pPr>
      <w:r w:rsidRPr="00F179A6">
        <w:t>Purpose</w:t>
      </w:r>
    </w:p>
    <w:p w:rsidR="00A149C8" w:rsidRDefault="00A149C8" w:rsidP="00017255">
      <w:pPr>
        <w:spacing w:line="240" w:lineRule="auto"/>
      </w:pPr>
      <w:r w:rsidRPr="00E67B55">
        <w:t>Western Australia’s legislated changes to the school leaving age in 2005 (</w:t>
      </w:r>
      <w:r w:rsidRPr="00E67B55">
        <w:rPr>
          <w:i/>
        </w:rPr>
        <w:t>Amendments 1999 - Higher School Leaving Age and Related Provisions Act 2005</w:t>
      </w:r>
      <w:r w:rsidRPr="00E67B55">
        <w:t>) mean all young people in WA must participate full time in an approved education, training or employment option (or a combination of options) until the end of their 17</w:t>
      </w:r>
      <w:r w:rsidRPr="00E67B55">
        <w:rPr>
          <w:vertAlign w:val="superscript"/>
        </w:rPr>
        <w:t>th</w:t>
      </w:r>
      <w:r w:rsidRPr="00E67B55">
        <w:t xml:space="preserve"> year. Under these arrangements a number of students (often those most at risk) leave school and go directly into low level employment. These students are placed on a Notice of Arrangements (</w:t>
      </w:r>
      <w:proofErr w:type="spellStart"/>
      <w:r w:rsidRPr="00E67B55">
        <w:t>NOAs</w:t>
      </w:r>
      <w:proofErr w:type="spellEnd"/>
      <w:r w:rsidRPr="00E67B55">
        <w:t>). This project aims to support the achievement of Certificate II qualifications primarily for school age students on a Notice of Arrangements and secondly, for those 18-24 year olds in the retail and personal services sector.</w:t>
      </w:r>
    </w:p>
    <w:p w:rsidR="00A149C8" w:rsidRDefault="00A149C8" w:rsidP="00937D1E">
      <w:pPr>
        <w:spacing w:line="240" w:lineRule="auto"/>
      </w:pPr>
    </w:p>
    <w:p w:rsidR="00A149C8" w:rsidRPr="00F179A6" w:rsidRDefault="00A149C8" w:rsidP="00A976BE">
      <w:pPr>
        <w:pStyle w:val="Heading4"/>
      </w:pPr>
      <w:r w:rsidRPr="00F179A6">
        <w:t>2012 funding</w:t>
      </w:r>
    </w:p>
    <w:p w:rsidR="00A149C8" w:rsidRDefault="00A149C8" w:rsidP="00937D1E">
      <w:pPr>
        <w:spacing w:line="240" w:lineRule="auto"/>
      </w:pPr>
      <w:proofErr w:type="spellStart"/>
      <w:r w:rsidRPr="00E67B55">
        <w:t>NPYAT</w:t>
      </w:r>
      <w:proofErr w:type="spellEnd"/>
      <w:r w:rsidRPr="00E67B55">
        <w:t xml:space="preserve"> funding of $670,000 allocated over three years. – held by Department of Training and Workforce Development.</w:t>
      </w:r>
    </w:p>
    <w:p w:rsidR="00A149C8" w:rsidRDefault="00A149C8" w:rsidP="00937D1E">
      <w:pPr>
        <w:spacing w:line="240" w:lineRule="auto"/>
      </w:pPr>
    </w:p>
    <w:p w:rsidR="00A149C8" w:rsidRPr="00F179A6" w:rsidRDefault="00A149C8" w:rsidP="00A976BE">
      <w:pPr>
        <w:pStyle w:val="Heading4"/>
      </w:pPr>
      <w:r w:rsidRPr="00F179A6">
        <w:t>Timing</w:t>
      </w:r>
    </w:p>
    <w:p w:rsidR="00A149C8" w:rsidRDefault="00A149C8" w:rsidP="00937D1E">
      <w:pPr>
        <w:spacing w:line="240" w:lineRule="auto"/>
      </w:pPr>
      <w:proofErr w:type="gramStart"/>
      <w:r w:rsidRPr="00E67B55">
        <w:t>Procurement and implementation of the project to be undertaken 2012-2014.</w:t>
      </w:r>
      <w:proofErr w:type="gramEnd"/>
    </w:p>
    <w:p w:rsidR="00A149C8" w:rsidRDefault="00A149C8" w:rsidP="00937D1E">
      <w:pPr>
        <w:spacing w:line="240" w:lineRule="auto"/>
      </w:pPr>
    </w:p>
    <w:p w:rsidR="00A149C8" w:rsidRPr="00F179A6" w:rsidRDefault="00A149C8" w:rsidP="00A976BE">
      <w:pPr>
        <w:pStyle w:val="Heading4"/>
      </w:pPr>
      <w:r w:rsidRPr="00F179A6">
        <w:t>Stakeholders</w:t>
      </w:r>
    </w:p>
    <w:p w:rsidR="00F179A6" w:rsidRDefault="00F179A6" w:rsidP="00BA3E66">
      <w:pPr>
        <w:pStyle w:val="ListParagraph"/>
        <w:numPr>
          <w:ilvl w:val="0"/>
          <w:numId w:val="53"/>
        </w:numPr>
        <w:spacing w:line="240" w:lineRule="auto"/>
      </w:pPr>
      <w:r>
        <w:t>Department of Education</w:t>
      </w:r>
    </w:p>
    <w:p w:rsidR="00A149C8" w:rsidRDefault="00A149C8" w:rsidP="00BA3E66">
      <w:pPr>
        <w:pStyle w:val="ListParagraph"/>
        <w:numPr>
          <w:ilvl w:val="0"/>
          <w:numId w:val="53"/>
        </w:numPr>
        <w:spacing w:line="240" w:lineRule="auto"/>
      </w:pPr>
      <w:r w:rsidRPr="00E67B55">
        <w:t>Department of Training and Workforce Development</w:t>
      </w:r>
      <w:r>
        <w:t>.</w:t>
      </w:r>
    </w:p>
    <w:p w:rsidR="00A149C8" w:rsidRPr="00F179A6" w:rsidRDefault="00A149C8" w:rsidP="00937D1E">
      <w:pPr>
        <w:spacing w:line="240" w:lineRule="auto"/>
        <w:rPr>
          <w:u w:val="single"/>
        </w:rPr>
      </w:pPr>
    </w:p>
    <w:p w:rsidR="00CA69DC" w:rsidRDefault="00CA69DC">
      <w:pPr>
        <w:spacing w:line="240" w:lineRule="auto"/>
        <w:rPr>
          <w:rFonts w:asciiTheme="majorHAnsi" w:eastAsiaTheme="majorEastAsia" w:hAnsiTheme="majorHAnsi" w:cstheme="majorBidi"/>
          <w:b/>
          <w:bCs/>
          <w:iCs/>
          <w:u w:val="single"/>
        </w:rPr>
      </w:pPr>
      <w:r>
        <w:br w:type="page"/>
      </w:r>
    </w:p>
    <w:p w:rsidR="00A149C8" w:rsidRPr="00F179A6" w:rsidRDefault="00A149C8" w:rsidP="00A976BE">
      <w:pPr>
        <w:pStyle w:val="Heading4"/>
      </w:pPr>
      <w:r w:rsidRPr="00F179A6">
        <w:lastRenderedPageBreak/>
        <w:t>Action taken</w:t>
      </w:r>
    </w:p>
    <w:p w:rsidR="00A149C8" w:rsidRPr="00F179A6" w:rsidRDefault="00A149C8" w:rsidP="00BA3E66">
      <w:pPr>
        <w:pStyle w:val="ListParagraph"/>
        <w:numPr>
          <w:ilvl w:val="0"/>
          <w:numId w:val="56"/>
        </w:numPr>
        <w:spacing w:line="240" w:lineRule="auto"/>
        <w:ind w:left="392" w:hanging="392"/>
        <w:rPr>
          <w:b/>
        </w:rPr>
      </w:pPr>
      <w:r w:rsidRPr="00F179A6">
        <w:rPr>
          <w:b/>
        </w:rPr>
        <w:t>Department of Education</w:t>
      </w:r>
    </w:p>
    <w:p w:rsidR="00F179A6" w:rsidRPr="00E67B55" w:rsidRDefault="00A149C8" w:rsidP="00BA3E66">
      <w:pPr>
        <w:pStyle w:val="ListParagraph"/>
        <w:numPr>
          <w:ilvl w:val="0"/>
          <w:numId w:val="57"/>
        </w:numPr>
        <w:spacing w:line="240" w:lineRule="auto"/>
        <w:ind w:left="752"/>
      </w:pPr>
      <w:r w:rsidRPr="00E67B55">
        <w:t xml:space="preserve">Data gathered on numbers of </w:t>
      </w:r>
      <w:proofErr w:type="spellStart"/>
      <w:r w:rsidRPr="00E67B55">
        <w:t>NOAs</w:t>
      </w:r>
      <w:proofErr w:type="spellEnd"/>
      <w:r w:rsidRPr="00E67B55">
        <w:t xml:space="preserve"> in Retail in the State from the Participation Management Database (</w:t>
      </w:r>
      <w:proofErr w:type="spellStart"/>
      <w:r w:rsidRPr="00E67B55">
        <w:t>PMD</w:t>
      </w:r>
      <w:proofErr w:type="spellEnd"/>
      <w:r w:rsidRPr="00E67B55">
        <w:t>), with significant numbers identified in the metropolitan region and Bunbury.</w:t>
      </w:r>
    </w:p>
    <w:p w:rsidR="00A149C8" w:rsidRPr="00E67B55" w:rsidRDefault="00A149C8" w:rsidP="00BA3E66">
      <w:pPr>
        <w:pStyle w:val="ListParagraph"/>
        <w:numPr>
          <w:ilvl w:val="0"/>
          <w:numId w:val="57"/>
        </w:numPr>
        <w:spacing w:line="240" w:lineRule="auto"/>
        <w:ind w:left="752"/>
      </w:pPr>
      <w:r w:rsidRPr="00E67B55">
        <w:t>Discussions held with Engagement and Transitions Managers (</w:t>
      </w:r>
      <w:proofErr w:type="spellStart"/>
      <w:r w:rsidRPr="00E67B55">
        <w:t>ETMs</w:t>
      </w:r>
      <w:proofErr w:type="spellEnd"/>
      <w:r w:rsidRPr="00E67B55">
        <w:t xml:space="preserve">) in these regions as to the process of identifying and supporting the young people on </w:t>
      </w:r>
      <w:proofErr w:type="spellStart"/>
      <w:r w:rsidRPr="00E67B55">
        <w:t>NOAs</w:t>
      </w:r>
      <w:proofErr w:type="spellEnd"/>
      <w:r w:rsidRPr="00E67B55">
        <w:t>.</w:t>
      </w:r>
    </w:p>
    <w:p w:rsidR="00A149C8" w:rsidRPr="00E67B55" w:rsidRDefault="00A149C8" w:rsidP="00BA3E66">
      <w:pPr>
        <w:pStyle w:val="ListParagraph"/>
        <w:numPr>
          <w:ilvl w:val="0"/>
          <w:numId w:val="57"/>
        </w:numPr>
        <w:spacing w:line="240" w:lineRule="auto"/>
        <w:ind w:left="752"/>
      </w:pPr>
      <w:r w:rsidRPr="00E67B55">
        <w:t>Letters sent to young people, their parent/guardian and employers offering information on the Certificate II in Retail and details of the contracted providers.</w:t>
      </w:r>
    </w:p>
    <w:p w:rsidR="00A149C8" w:rsidRDefault="00A149C8" w:rsidP="00BA3E66">
      <w:pPr>
        <w:pStyle w:val="ListParagraph"/>
        <w:numPr>
          <w:ilvl w:val="0"/>
          <w:numId w:val="57"/>
        </w:numPr>
        <w:spacing w:line="240" w:lineRule="auto"/>
        <w:ind w:left="752"/>
      </w:pPr>
      <w:r w:rsidRPr="00E67B55">
        <w:t>204 young people in Metropolitan area and 28 in Bunbury Region were sent letters.</w:t>
      </w:r>
    </w:p>
    <w:p w:rsidR="00A149C8" w:rsidRPr="00F179A6" w:rsidRDefault="00A149C8" w:rsidP="00BA3E66">
      <w:pPr>
        <w:pStyle w:val="ListParagraph"/>
        <w:numPr>
          <w:ilvl w:val="0"/>
          <w:numId w:val="56"/>
        </w:numPr>
        <w:spacing w:line="240" w:lineRule="auto"/>
        <w:ind w:left="406" w:hanging="406"/>
        <w:rPr>
          <w:b/>
        </w:rPr>
      </w:pPr>
      <w:r w:rsidRPr="00F179A6">
        <w:rPr>
          <w:b/>
        </w:rPr>
        <w:t>Department of Training and Workforce Development</w:t>
      </w:r>
    </w:p>
    <w:p w:rsidR="00A149C8" w:rsidRDefault="00A149C8" w:rsidP="00F179A6">
      <w:pPr>
        <w:spacing w:line="240" w:lineRule="auto"/>
        <w:ind w:left="406"/>
      </w:pPr>
      <w:proofErr w:type="gramStart"/>
      <w:r w:rsidRPr="00E67B55">
        <w:t>Consultation undertaken with stakeholders to determine an alternative model for procurement and implementation of the program for 2013.</w:t>
      </w:r>
      <w:proofErr w:type="gramEnd"/>
    </w:p>
    <w:p w:rsidR="00A149C8" w:rsidRDefault="00A149C8" w:rsidP="00937D1E">
      <w:pPr>
        <w:spacing w:line="240" w:lineRule="auto"/>
      </w:pPr>
    </w:p>
    <w:p w:rsidR="00A149C8" w:rsidRPr="00F179A6" w:rsidRDefault="00A149C8" w:rsidP="00A976BE">
      <w:pPr>
        <w:pStyle w:val="Heading4"/>
      </w:pPr>
      <w:r w:rsidRPr="00F179A6">
        <w:t>Outcomes</w:t>
      </w:r>
    </w:p>
    <w:p w:rsidR="00A149C8" w:rsidRPr="00F179A6" w:rsidRDefault="00A149C8" w:rsidP="00BA3E66">
      <w:pPr>
        <w:pStyle w:val="ListParagraph"/>
        <w:numPr>
          <w:ilvl w:val="0"/>
          <w:numId w:val="58"/>
        </w:numPr>
        <w:spacing w:line="240" w:lineRule="auto"/>
        <w:ind w:left="426" w:hanging="426"/>
        <w:rPr>
          <w:b/>
        </w:rPr>
      </w:pPr>
      <w:r w:rsidRPr="00F179A6">
        <w:rPr>
          <w:b/>
        </w:rPr>
        <w:t>Department of Education</w:t>
      </w:r>
    </w:p>
    <w:p w:rsidR="00A149C8" w:rsidRPr="00E67B55" w:rsidRDefault="00A149C8" w:rsidP="002A57E3">
      <w:pPr>
        <w:pStyle w:val="ListParagraph"/>
        <w:numPr>
          <w:ilvl w:val="0"/>
          <w:numId w:val="78"/>
        </w:numPr>
        <w:spacing w:line="240" w:lineRule="auto"/>
      </w:pPr>
      <w:r w:rsidRPr="00E67B55">
        <w:t>Letters to young people, parents and employers by the Department of Education.</w:t>
      </w:r>
    </w:p>
    <w:p w:rsidR="00A149C8" w:rsidRDefault="00A149C8" w:rsidP="002A57E3">
      <w:pPr>
        <w:pStyle w:val="ListParagraph"/>
        <w:numPr>
          <w:ilvl w:val="0"/>
          <w:numId w:val="78"/>
        </w:numPr>
        <w:spacing w:line="240" w:lineRule="auto"/>
      </w:pPr>
      <w:r w:rsidRPr="00E67B55">
        <w:t>Anecdotally, limited take-up of opportunity.  Stakeholders discussing reasons why and possible minor adjustments to project.</w:t>
      </w:r>
    </w:p>
    <w:p w:rsidR="00A149C8" w:rsidRPr="00F179A6" w:rsidRDefault="00A149C8" w:rsidP="00BA3E66">
      <w:pPr>
        <w:pStyle w:val="ListParagraph"/>
        <w:numPr>
          <w:ilvl w:val="0"/>
          <w:numId w:val="58"/>
        </w:numPr>
        <w:spacing w:line="240" w:lineRule="auto"/>
        <w:ind w:left="426" w:hanging="426"/>
        <w:rPr>
          <w:b/>
        </w:rPr>
      </w:pPr>
      <w:r w:rsidRPr="00F179A6">
        <w:rPr>
          <w:b/>
        </w:rPr>
        <w:t>Department of Training and Workforce Development</w:t>
      </w:r>
    </w:p>
    <w:p w:rsidR="00A149C8" w:rsidRDefault="00A149C8" w:rsidP="00F179A6">
      <w:pPr>
        <w:spacing w:line="240" w:lineRule="auto"/>
        <w:ind w:left="426"/>
      </w:pPr>
      <w:proofErr w:type="gramStart"/>
      <w:r w:rsidRPr="00E67B55">
        <w:t>As at December 2012, very limited take up of funding places.</w:t>
      </w:r>
      <w:proofErr w:type="gramEnd"/>
    </w:p>
    <w:p w:rsidR="00A149C8" w:rsidRDefault="00A149C8" w:rsidP="00937D1E">
      <w:pPr>
        <w:spacing w:line="240" w:lineRule="auto"/>
      </w:pPr>
    </w:p>
    <w:p w:rsidR="00A149C8" w:rsidRPr="00F179A6" w:rsidRDefault="00A149C8" w:rsidP="00A976BE">
      <w:pPr>
        <w:pStyle w:val="Heading4"/>
      </w:pPr>
      <w:r w:rsidRPr="00F179A6">
        <w:t>Planned changes</w:t>
      </w:r>
    </w:p>
    <w:p w:rsidR="00A149C8" w:rsidRPr="00F179A6" w:rsidRDefault="00A149C8" w:rsidP="00BA3E66">
      <w:pPr>
        <w:pStyle w:val="ListParagraph"/>
        <w:numPr>
          <w:ilvl w:val="0"/>
          <w:numId w:val="59"/>
        </w:numPr>
        <w:spacing w:line="240" w:lineRule="auto"/>
        <w:ind w:left="426" w:hanging="426"/>
        <w:rPr>
          <w:b/>
        </w:rPr>
      </w:pPr>
      <w:r w:rsidRPr="00F179A6">
        <w:rPr>
          <w:b/>
        </w:rPr>
        <w:t>Department of Education</w:t>
      </w:r>
    </w:p>
    <w:p w:rsidR="00A149C8" w:rsidRDefault="00A149C8" w:rsidP="00F179A6">
      <w:pPr>
        <w:spacing w:line="240" w:lineRule="auto"/>
        <w:ind w:left="426"/>
      </w:pPr>
      <w:r w:rsidRPr="00E67B55">
        <w:t xml:space="preserve">Second round of letters being planned for 2013 as there is a new cohort.  </w:t>
      </w:r>
    </w:p>
    <w:p w:rsidR="00A149C8" w:rsidRPr="00F179A6" w:rsidRDefault="00A149C8" w:rsidP="00BA3E66">
      <w:pPr>
        <w:pStyle w:val="ListParagraph"/>
        <w:numPr>
          <w:ilvl w:val="0"/>
          <w:numId w:val="59"/>
        </w:numPr>
        <w:spacing w:line="240" w:lineRule="auto"/>
        <w:ind w:left="426" w:hanging="426"/>
        <w:rPr>
          <w:b/>
        </w:rPr>
      </w:pPr>
      <w:r w:rsidRPr="00F179A6">
        <w:rPr>
          <w:b/>
        </w:rPr>
        <w:t>Department of Training and Workforce Development</w:t>
      </w:r>
    </w:p>
    <w:p w:rsidR="00A149C8" w:rsidRDefault="00A149C8" w:rsidP="00F179A6">
      <w:pPr>
        <w:spacing w:line="240" w:lineRule="auto"/>
        <w:ind w:left="426"/>
      </w:pPr>
      <w:r w:rsidRPr="00E67B55">
        <w:t>If limited interest in second round, funding will be redirected.</w:t>
      </w:r>
    </w:p>
    <w:p w:rsidR="00A149C8" w:rsidRPr="00A149C8" w:rsidRDefault="00A149C8" w:rsidP="00937D1E">
      <w:pPr>
        <w:spacing w:line="240" w:lineRule="auto"/>
        <w:rPr>
          <w:b/>
        </w:rPr>
      </w:pPr>
    </w:p>
    <w:p w:rsidR="000C7DAD" w:rsidRDefault="009A533A" w:rsidP="008A6EA4">
      <w:pPr>
        <w:pStyle w:val="Heading3"/>
      </w:pPr>
      <w:r w:rsidRPr="009A533A">
        <w:t>5.1.5</w:t>
      </w:r>
      <w:r w:rsidRPr="009A533A">
        <w:tab/>
      </w:r>
      <w:r w:rsidR="000C7DAD" w:rsidRPr="009A533A">
        <w:t>Vocational Education and Training delivery for young people in custody</w:t>
      </w:r>
    </w:p>
    <w:p w:rsidR="00A149C8" w:rsidRPr="00F179A6" w:rsidRDefault="00A149C8" w:rsidP="00A976BE">
      <w:pPr>
        <w:pStyle w:val="Heading4"/>
      </w:pPr>
      <w:r w:rsidRPr="00F179A6">
        <w:t>Purpose</w:t>
      </w:r>
    </w:p>
    <w:p w:rsidR="00A149C8" w:rsidRDefault="00A149C8" w:rsidP="00937D1E">
      <w:pPr>
        <w:spacing w:line="240" w:lineRule="auto"/>
        <w:rPr>
          <w:lang w:eastAsia="en-AU"/>
        </w:rPr>
      </w:pPr>
      <w:r w:rsidRPr="00623DCC">
        <w:rPr>
          <w:lang w:eastAsia="en-AU"/>
        </w:rPr>
        <w:t xml:space="preserve">Provision of construction training or other </w:t>
      </w:r>
      <w:r w:rsidRPr="00623DCC">
        <w:t>Certificate II level training that</w:t>
      </w:r>
      <w:r w:rsidRPr="00623DCC">
        <w:rPr>
          <w:lang w:eastAsia="en-AU"/>
        </w:rPr>
        <w:t xml:space="preserve"> can lead to sustainable post-prison employment outcomes for offenders. Further tutorial/learning support to be provided to VET students as needed.</w:t>
      </w:r>
    </w:p>
    <w:p w:rsidR="00A149C8" w:rsidRDefault="00A149C8" w:rsidP="00937D1E">
      <w:pPr>
        <w:spacing w:line="240" w:lineRule="auto"/>
        <w:rPr>
          <w:lang w:eastAsia="en-AU"/>
        </w:rPr>
      </w:pPr>
    </w:p>
    <w:p w:rsidR="00A149C8" w:rsidRPr="00F179A6" w:rsidRDefault="00A149C8" w:rsidP="00A976BE">
      <w:pPr>
        <w:pStyle w:val="Heading4"/>
      </w:pPr>
      <w:r w:rsidRPr="00F179A6">
        <w:t>2012 funding</w:t>
      </w:r>
    </w:p>
    <w:p w:rsidR="00A149C8" w:rsidRDefault="00A149C8" w:rsidP="00937D1E">
      <w:pPr>
        <w:spacing w:line="240" w:lineRule="auto"/>
      </w:pPr>
      <w:r w:rsidRPr="00623DCC">
        <w:t>$127,826 funding for Certificate II and III level VET qualifications.</w:t>
      </w:r>
    </w:p>
    <w:p w:rsidR="00A149C8" w:rsidRDefault="00A149C8" w:rsidP="00937D1E">
      <w:pPr>
        <w:spacing w:line="240" w:lineRule="auto"/>
      </w:pPr>
    </w:p>
    <w:p w:rsidR="00A149C8" w:rsidRPr="00F179A6" w:rsidRDefault="00A149C8" w:rsidP="00A976BE">
      <w:pPr>
        <w:pStyle w:val="Heading4"/>
      </w:pPr>
      <w:r w:rsidRPr="00F179A6">
        <w:t>Timing</w:t>
      </w:r>
    </w:p>
    <w:p w:rsidR="00A149C8" w:rsidRDefault="00A149C8" w:rsidP="00937D1E">
      <w:pPr>
        <w:spacing w:line="240" w:lineRule="auto"/>
      </w:pPr>
      <w:r w:rsidRPr="00623DCC">
        <w:t>Planning and organisation for prisoner VET training commenced November 2011; delivery commenced March 2012.</w:t>
      </w:r>
    </w:p>
    <w:p w:rsidR="00A149C8" w:rsidRDefault="00A149C8" w:rsidP="00937D1E">
      <w:pPr>
        <w:spacing w:line="240" w:lineRule="auto"/>
      </w:pPr>
    </w:p>
    <w:p w:rsidR="00A149C8" w:rsidRPr="00F179A6" w:rsidRDefault="00A149C8" w:rsidP="00A976BE">
      <w:pPr>
        <w:pStyle w:val="Heading4"/>
      </w:pPr>
      <w:r w:rsidRPr="00F179A6">
        <w:t>Stakeholders</w:t>
      </w:r>
    </w:p>
    <w:p w:rsidR="00A149C8" w:rsidRDefault="00A149C8" w:rsidP="00937D1E">
      <w:pPr>
        <w:spacing w:line="240" w:lineRule="auto"/>
      </w:pPr>
      <w:r w:rsidRPr="00F179A6">
        <w:t>Department of Corrective Services (</w:t>
      </w:r>
      <w:proofErr w:type="spellStart"/>
      <w:r w:rsidRPr="00F179A6">
        <w:t>DCS</w:t>
      </w:r>
      <w:proofErr w:type="spellEnd"/>
      <w:r w:rsidRPr="00F179A6">
        <w:t>)</w:t>
      </w:r>
    </w:p>
    <w:p w:rsidR="00F179A6" w:rsidRPr="00F179A6" w:rsidRDefault="00F179A6" w:rsidP="00937D1E">
      <w:pPr>
        <w:spacing w:line="240" w:lineRule="auto"/>
      </w:pPr>
    </w:p>
    <w:p w:rsidR="00A149C8" w:rsidRPr="00F179A6" w:rsidRDefault="00A149C8" w:rsidP="00A976BE">
      <w:pPr>
        <w:pStyle w:val="Heading4"/>
      </w:pPr>
      <w:r w:rsidRPr="00F179A6">
        <w:t>Action taken</w:t>
      </w:r>
    </w:p>
    <w:p w:rsidR="00A149C8" w:rsidRDefault="00A149C8" w:rsidP="00BA3E66">
      <w:pPr>
        <w:pStyle w:val="ListParagraph"/>
        <w:numPr>
          <w:ilvl w:val="0"/>
          <w:numId w:val="60"/>
        </w:numPr>
        <w:spacing w:line="240" w:lineRule="auto"/>
      </w:pPr>
      <w:r w:rsidRPr="00623DCC">
        <w:t>Delivery of Certificate II and III qualifications continued.</w:t>
      </w:r>
    </w:p>
    <w:p w:rsidR="00A149C8" w:rsidRDefault="005F146D" w:rsidP="00BA3E66">
      <w:pPr>
        <w:pStyle w:val="ListParagraph"/>
        <w:numPr>
          <w:ilvl w:val="0"/>
          <w:numId w:val="60"/>
        </w:numPr>
        <w:spacing w:line="240" w:lineRule="auto"/>
      </w:pPr>
      <w:r w:rsidRPr="00623DCC">
        <w:t xml:space="preserve">Casuarina prison commenced a unique traineeship program for Aboriginal youth at risk which combines a conservation and land management traineeship with the teaching of Noongar language </w:t>
      </w:r>
      <w:r w:rsidRPr="00623DCC">
        <w:lastRenderedPageBreak/>
        <w:t>and culture. A new intake of Aboriginal youth at risk will commence a second traineeship program in June 2013, following a review and evaluation of the first course</w:t>
      </w:r>
    </w:p>
    <w:p w:rsidR="005F146D" w:rsidRDefault="005F146D" w:rsidP="00937D1E">
      <w:pPr>
        <w:spacing w:line="240" w:lineRule="auto"/>
      </w:pPr>
    </w:p>
    <w:p w:rsidR="00A149C8" w:rsidRPr="00F179A6" w:rsidRDefault="00A149C8" w:rsidP="00A976BE">
      <w:pPr>
        <w:pStyle w:val="Heading4"/>
      </w:pPr>
      <w:r w:rsidRPr="00F179A6">
        <w:t>Outcomes</w:t>
      </w:r>
    </w:p>
    <w:p w:rsidR="005F146D" w:rsidRPr="00F414FC" w:rsidRDefault="005F146D" w:rsidP="00BA3E66">
      <w:pPr>
        <w:pStyle w:val="ListParagraph"/>
        <w:numPr>
          <w:ilvl w:val="0"/>
          <w:numId w:val="61"/>
        </w:numPr>
        <w:spacing w:line="240" w:lineRule="auto"/>
      </w:pPr>
      <w:r w:rsidRPr="00F414FC">
        <w:t>Accredited VET delivery to 92 youth at risk trainees in 2012 from 13 prison sites (up from 79 in previous 12 month period) –</w:t>
      </w:r>
      <w:r>
        <w:t xml:space="preserve"> </w:t>
      </w:r>
      <w:r w:rsidRPr="00F414FC">
        <w:t>55 trainees were enrolled in Certificate II and 13 in Certificate III</w:t>
      </w:r>
      <w:r>
        <w:t>;</w:t>
      </w:r>
      <w:r w:rsidRPr="00F414FC">
        <w:t xml:space="preserve"> 31 (35% of total trainees) were Aboriginal.</w:t>
      </w:r>
    </w:p>
    <w:p w:rsidR="00A149C8" w:rsidRDefault="005F146D" w:rsidP="00BA3E66">
      <w:pPr>
        <w:pStyle w:val="ListParagraph"/>
        <w:numPr>
          <w:ilvl w:val="0"/>
          <w:numId w:val="61"/>
        </w:numPr>
        <w:spacing w:line="240" w:lineRule="auto"/>
      </w:pPr>
      <w:r w:rsidRPr="00F414FC">
        <w:t>Wandoo, a new youth facility, to commence new course in March 2013.</w:t>
      </w:r>
    </w:p>
    <w:p w:rsidR="00E95305" w:rsidRDefault="00E95305" w:rsidP="00937D1E">
      <w:pPr>
        <w:spacing w:line="240" w:lineRule="auto"/>
        <w:rPr>
          <w:b/>
        </w:rPr>
      </w:pPr>
    </w:p>
    <w:p w:rsidR="00A149C8" w:rsidRPr="00F179A6" w:rsidRDefault="00A149C8" w:rsidP="00A976BE">
      <w:pPr>
        <w:pStyle w:val="Heading4"/>
      </w:pPr>
      <w:r w:rsidRPr="00F179A6">
        <w:t>Planned changes</w:t>
      </w:r>
    </w:p>
    <w:p w:rsidR="00A149C8" w:rsidRDefault="00A149C8" w:rsidP="00937D1E">
      <w:pPr>
        <w:spacing w:line="240" w:lineRule="auto"/>
      </w:pPr>
      <w:proofErr w:type="gramStart"/>
      <w:r w:rsidRPr="00A149C8">
        <w:t>Nil.</w:t>
      </w:r>
      <w:proofErr w:type="gramEnd"/>
    </w:p>
    <w:p w:rsidR="000C7DAD" w:rsidRDefault="000C7DAD" w:rsidP="008A6EA4">
      <w:pPr>
        <w:pStyle w:val="Heading3"/>
      </w:pPr>
      <w:r w:rsidRPr="0036049F">
        <w:t>5.1.6</w:t>
      </w:r>
      <w:r w:rsidRPr="0036049F">
        <w:tab/>
        <w:t>Career development</w:t>
      </w:r>
    </w:p>
    <w:p w:rsidR="00D96990" w:rsidRPr="00F179A6" w:rsidRDefault="00D96990" w:rsidP="00A976BE">
      <w:pPr>
        <w:pStyle w:val="Heading4"/>
      </w:pPr>
      <w:r w:rsidRPr="00F179A6">
        <w:t>Purpose</w:t>
      </w:r>
    </w:p>
    <w:p w:rsidR="00D96990" w:rsidRPr="00EA4A6F" w:rsidRDefault="00D96990" w:rsidP="00BA3E66">
      <w:pPr>
        <w:pStyle w:val="ListParagraph"/>
        <w:numPr>
          <w:ilvl w:val="0"/>
          <w:numId w:val="62"/>
        </w:numPr>
        <w:spacing w:line="240" w:lineRule="auto"/>
      </w:pPr>
      <w:r w:rsidRPr="00EA4A6F">
        <w:t xml:space="preserve">To increase young peoples’ (primarily students in Years 10-12) access to career learning opportunities and build a career development culture via a coordinated commitment across the three school systems/sector, to support successful transitions for all Western Australian students. Utilising the </w:t>
      </w:r>
      <w:r w:rsidRPr="00F179A6">
        <w:rPr>
          <w:i/>
        </w:rPr>
        <w:t>Australian Blueprint for Career Development</w:t>
      </w:r>
      <w:r w:rsidRPr="00EA4A6F">
        <w:t xml:space="preserve"> (</w:t>
      </w:r>
      <w:proofErr w:type="spellStart"/>
      <w:r w:rsidRPr="00EA4A6F">
        <w:t>ABCD</w:t>
      </w:r>
      <w:proofErr w:type="spellEnd"/>
      <w:r w:rsidRPr="00EA4A6F">
        <w:t xml:space="preserve">) and the </w:t>
      </w:r>
      <w:r w:rsidRPr="00F179A6">
        <w:rPr>
          <w:i/>
        </w:rPr>
        <w:t xml:space="preserve">National Career Framework </w:t>
      </w:r>
      <w:r w:rsidRPr="00EA4A6F">
        <w:t xml:space="preserve">and progressing the establishment and promotion of the </w:t>
      </w:r>
      <w:r w:rsidRPr="00F179A6">
        <w:rPr>
          <w:i/>
        </w:rPr>
        <w:t>WA Career Development and Transition Skill Commitment.</w:t>
      </w:r>
    </w:p>
    <w:p w:rsidR="00D96990" w:rsidRDefault="00D96990" w:rsidP="00BA3E66">
      <w:pPr>
        <w:pStyle w:val="ListParagraph"/>
        <w:numPr>
          <w:ilvl w:val="0"/>
          <w:numId w:val="62"/>
        </w:numPr>
        <w:spacing w:line="240" w:lineRule="auto"/>
      </w:pPr>
      <w:r w:rsidRPr="00EA4A6F">
        <w:t>An increase in career support services for young offenders to improve transitions of those at-risk returning to the community.</w:t>
      </w:r>
    </w:p>
    <w:p w:rsidR="00D96990" w:rsidRDefault="00D96990" w:rsidP="00937D1E">
      <w:pPr>
        <w:spacing w:line="240" w:lineRule="auto"/>
      </w:pPr>
    </w:p>
    <w:p w:rsidR="00D96990" w:rsidRPr="00BA3E66" w:rsidRDefault="00D96990" w:rsidP="00A976BE">
      <w:pPr>
        <w:pStyle w:val="Heading4"/>
      </w:pPr>
      <w:r w:rsidRPr="00BA3E66">
        <w:t>2012 Funding</w:t>
      </w:r>
    </w:p>
    <w:p w:rsidR="00D96990" w:rsidRPr="00A666BA" w:rsidRDefault="00D96990" w:rsidP="00A03016">
      <w:pPr>
        <w:tabs>
          <w:tab w:val="left" w:pos="5812"/>
        </w:tabs>
        <w:spacing w:line="240" w:lineRule="auto"/>
        <w:jc w:val="both"/>
      </w:pPr>
      <w:r w:rsidRPr="00A666BA">
        <w:t>Department of Education</w:t>
      </w:r>
      <w:r w:rsidR="00A03016">
        <w:tab/>
      </w:r>
      <w:r w:rsidRPr="00A666BA">
        <w:t>$180,380</w:t>
      </w:r>
    </w:p>
    <w:p w:rsidR="00D96990" w:rsidRPr="00A666BA" w:rsidRDefault="00D96990" w:rsidP="00A03016">
      <w:pPr>
        <w:tabs>
          <w:tab w:val="left" w:pos="5812"/>
        </w:tabs>
        <w:spacing w:line="240" w:lineRule="auto"/>
        <w:jc w:val="both"/>
      </w:pPr>
      <w:r w:rsidRPr="00A666BA">
        <w:t>Catholic Education Office WA</w:t>
      </w:r>
      <w:r w:rsidRPr="00A666BA">
        <w:tab/>
        <w:t>$105,210</w:t>
      </w:r>
    </w:p>
    <w:p w:rsidR="00D96990" w:rsidRPr="00A666BA" w:rsidRDefault="00D96990" w:rsidP="00A03016">
      <w:pPr>
        <w:tabs>
          <w:tab w:val="left" w:pos="5812"/>
        </w:tabs>
        <w:spacing w:line="240" w:lineRule="auto"/>
        <w:jc w:val="both"/>
      </w:pPr>
      <w:r w:rsidRPr="00A666BA">
        <w:t>Association of Independent Schools of WA</w:t>
      </w:r>
      <w:r w:rsidR="00A03016">
        <w:tab/>
      </w:r>
      <w:r w:rsidRPr="00A666BA">
        <w:t>$105,210</w:t>
      </w:r>
    </w:p>
    <w:p w:rsidR="00D96990" w:rsidRPr="00A666BA" w:rsidRDefault="00D96990" w:rsidP="00A03016">
      <w:pPr>
        <w:tabs>
          <w:tab w:val="left" w:pos="5812"/>
        </w:tabs>
        <w:spacing w:line="240" w:lineRule="auto"/>
        <w:jc w:val="both"/>
      </w:pPr>
      <w:r w:rsidRPr="00A666BA">
        <w:t xml:space="preserve">Department of Corrective Services </w:t>
      </w:r>
      <w:r w:rsidR="00A03016">
        <w:tab/>
      </w:r>
      <w:r w:rsidRPr="00A666BA">
        <w:t>$67,760</w:t>
      </w:r>
    </w:p>
    <w:p w:rsidR="00E95305" w:rsidRDefault="00D96990" w:rsidP="00A03016">
      <w:pPr>
        <w:tabs>
          <w:tab w:val="left" w:pos="5812"/>
        </w:tabs>
        <w:spacing w:line="240" w:lineRule="auto"/>
      </w:pPr>
      <w:r w:rsidRPr="005906B8">
        <w:t xml:space="preserve">Department of Training and Workforce Development </w:t>
      </w:r>
      <w:r w:rsidR="00017255">
        <w:tab/>
      </w:r>
      <w:r w:rsidRPr="00A666BA">
        <w:t>$217,686</w:t>
      </w:r>
    </w:p>
    <w:p w:rsidR="00D96990" w:rsidRPr="00D96990" w:rsidRDefault="00A03016" w:rsidP="00A03016">
      <w:pPr>
        <w:tabs>
          <w:tab w:val="left" w:pos="5812"/>
        </w:tabs>
        <w:spacing w:line="240" w:lineRule="auto"/>
        <w:jc w:val="both"/>
      </w:pPr>
      <w:r>
        <w:rPr>
          <w:b/>
        </w:rPr>
        <w:t>Total</w:t>
      </w:r>
      <w:r>
        <w:rPr>
          <w:b/>
        </w:rPr>
        <w:tab/>
      </w:r>
      <w:r w:rsidR="00D96990" w:rsidRPr="00C83862">
        <w:rPr>
          <w:b/>
        </w:rPr>
        <w:t>$676,246</w:t>
      </w:r>
    </w:p>
    <w:p w:rsidR="00FF3AB5" w:rsidRDefault="00FF3AB5" w:rsidP="00937D1E">
      <w:pPr>
        <w:spacing w:line="240" w:lineRule="auto"/>
        <w:rPr>
          <w:b/>
        </w:rPr>
      </w:pPr>
    </w:p>
    <w:p w:rsidR="00D96990" w:rsidRPr="00BA3E66" w:rsidRDefault="00FF3AB5" w:rsidP="00A976BE">
      <w:pPr>
        <w:pStyle w:val="Heading4"/>
      </w:pPr>
      <w:r w:rsidRPr="00BA3E66">
        <w:t>Timing</w:t>
      </w:r>
    </w:p>
    <w:p w:rsidR="00FF3AB5" w:rsidRDefault="00FF3AB5" w:rsidP="00937D1E">
      <w:pPr>
        <w:spacing w:line="240" w:lineRule="auto"/>
      </w:pPr>
      <w:r w:rsidRPr="00A666BA">
        <w:t>All schools systems/sector: a four year project scheduled to operate 2012-2014, schools received funding in 2011; Department of Corrective Services: program implemented in July 2011;</w:t>
      </w:r>
      <w:r w:rsidR="00BA3E66">
        <w:t xml:space="preserve"> </w:t>
      </w:r>
      <w:r w:rsidRPr="00A666BA">
        <w:t xml:space="preserve">Department of Training and Workforce Development: </w:t>
      </w:r>
      <w:proofErr w:type="spellStart"/>
      <w:r w:rsidRPr="00A666BA">
        <w:t>SLDS</w:t>
      </w:r>
      <w:proofErr w:type="spellEnd"/>
      <w:r w:rsidRPr="00A666BA">
        <w:t xml:space="preserve"> to operate 2011-2014; website development funded in 2011, 2012, </w:t>
      </w:r>
      <w:proofErr w:type="gramStart"/>
      <w:r w:rsidRPr="00A666BA">
        <w:t>2014</w:t>
      </w:r>
      <w:proofErr w:type="gramEnd"/>
      <w:r>
        <w:t>.</w:t>
      </w:r>
    </w:p>
    <w:p w:rsidR="00FF3AB5" w:rsidRDefault="00FF3AB5" w:rsidP="00937D1E">
      <w:pPr>
        <w:spacing w:line="240" w:lineRule="auto"/>
      </w:pPr>
    </w:p>
    <w:p w:rsidR="00FF3AB5" w:rsidRPr="00BA3E66" w:rsidRDefault="00FF3AB5" w:rsidP="00A976BE">
      <w:pPr>
        <w:pStyle w:val="Heading4"/>
      </w:pPr>
      <w:r w:rsidRPr="00BA3E66">
        <w:t>Stakeholders</w:t>
      </w:r>
    </w:p>
    <w:p w:rsidR="00BA3E66" w:rsidRDefault="00FF3AB5" w:rsidP="00BA3E66">
      <w:pPr>
        <w:pStyle w:val="ListParagraph"/>
        <w:numPr>
          <w:ilvl w:val="0"/>
          <w:numId w:val="63"/>
        </w:numPr>
        <w:spacing w:line="240" w:lineRule="auto"/>
      </w:pPr>
      <w:r w:rsidRPr="00CA2524">
        <w:t>Department of Education</w:t>
      </w:r>
    </w:p>
    <w:p w:rsidR="00BA3E66" w:rsidRDefault="00BA3E66" w:rsidP="00BA3E66">
      <w:pPr>
        <w:pStyle w:val="ListParagraph"/>
        <w:numPr>
          <w:ilvl w:val="0"/>
          <w:numId w:val="63"/>
        </w:numPr>
        <w:spacing w:line="240" w:lineRule="auto"/>
      </w:pPr>
      <w:r>
        <w:t>Catholic Education Office WA</w:t>
      </w:r>
    </w:p>
    <w:p w:rsidR="00BA3E66" w:rsidRDefault="00FF3AB5" w:rsidP="00BA3E66">
      <w:pPr>
        <w:pStyle w:val="ListParagraph"/>
        <w:numPr>
          <w:ilvl w:val="0"/>
          <w:numId w:val="63"/>
        </w:numPr>
        <w:spacing w:line="240" w:lineRule="auto"/>
      </w:pPr>
      <w:r w:rsidRPr="00EA4A6F">
        <w:t>Association of Independent Schools WA</w:t>
      </w:r>
    </w:p>
    <w:p w:rsidR="00BA3E66" w:rsidRDefault="00FF3AB5" w:rsidP="00BA3E66">
      <w:pPr>
        <w:pStyle w:val="ListParagraph"/>
        <w:numPr>
          <w:ilvl w:val="0"/>
          <w:numId w:val="63"/>
        </w:numPr>
        <w:spacing w:line="240" w:lineRule="auto"/>
      </w:pPr>
      <w:r w:rsidRPr="00EA4A6F">
        <w:t>Department of Training and Workforce Development</w:t>
      </w:r>
    </w:p>
    <w:p w:rsidR="00FF3AB5" w:rsidRDefault="00FF3AB5" w:rsidP="00BA3E66">
      <w:pPr>
        <w:pStyle w:val="ListParagraph"/>
        <w:numPr>
          <w:ilvl w:val="0"/>
          <w:numId w:val="63"/>
        </w:numPr>
        <w:spacing w:line="240" w:lineRule="auto"/>
      </w:pPr>
      <w:r w:rsidRPr="00EA4A6F">
        <w:t>Department of Corrective Services</w:t>
      </w:r>
    </w:p>
    <w:p w:rsidR="00017255" w:rsidRDefault="00017255">
      <w:pPr>
        <w:spacing w:line="240" w:lineRule="auto"/>
        <w:rPr>
          <w:b/>
          <w:u w:val="single"/>
        </w:rPr>
      </w:pPr>
    </w:p>
    <w:p w:rsidR="00FF3AB5" w:rsidRPr="00BA3E66" w:rsidRDefault="00FF3AB5" w:rsidP="00A976BE">
      <w:pPr>
        <w:pStyle w:val="Heading4"/>
      </w:pPr>
      <w:r w:rsidRPr="00BA3E66">
        <w:t>Action taken</w:t>
      </w:r>
    </w:p>
    <w:p w:rsidR="00FF3AB5" w:rsidRPr="00EA4A6F" w:rsidRDefault="00FF3AB5" w:rsidP="00BA3E66">
      <w:pPr>
        <w:pStyle w:val="ListParagraph"/>
        <w:numPr>
          <w:ilvl w:val="0"/>
          <w:numId w:val="64"/>
        </w:numPr>
        <w:spacing w:line="240" w:lineRule="auto"/>
      </w:pPr>
      <w:r w:rsidRPr="00EA4A6F">
        <w:t>Collaborative action across the three school systems/sector included:</w:t>
      </w:r>
    </w:p>
    <w:p w:rsidR="00FF3AB5" w:rsidRPr="00EA4A6F" w:rsidRDefault="00FF3AB5" w:rsidP="00BA3E66">
      <w:pPr>
        <w:pStyle w:val="ListParagraph"/>
        <w:numPr>
          <w:ilvl w:val="0"/>
          <w:numId w:val="64"/>
        </w:numPr>
        <w:spacing w:line="240" w:lineRule="auto"/>
      </w:pPr>
      <w:r w:rsidRPr="00EA4A6F">
        <w:t>Schools from all systems/sector were invited to apply for funding to promote career development in schools.</w:t>
      </w:r>
    </w:p>
    <w:p w:rsidR="00FF3AB5" w:rsidRPr="00EA4A6F" w:rsidRDefault="00FF3AB5" w:rsidP="00BA3E66">
      <w:pPr>
        <w:pStyle w:val="ListParagraph"/>
        <w:numPr>
          <w:ilvl w:val="0"/>
          <w:numId w:val="64"/>
        </w:numPr>
        <w:spacing w:line="240" w:lineRule="auto"/>
      </w:pPr>
      <w:r w:rsidRPr="00EA4A6F">
        <w:lastRenderedPageBreak/>
        <w:t xml:space="preserve">School Leaver Program – </w:t>
      </w:r>
      <w:r>
        <w:t xml:space="preserve">across system/sector </w:t>
      </w:r>
      <w:r w:rsidRPr="00EA4A6F">
        <w:t>working group</w:t>
      </w:r>
      <w:r>
        <w:t xml:space="preserve"> continuing.</w:t>
      </w:r>
    </w:p>
    <w:p w:rsidR="00FF3AB5" w:rsidRPr="00EA4A6F" w:rsidRDefault="00FF3AB5" w:rsidP="00BA3E66">
      <w:pPr>
        <w:pStyle w:val="ListParagraph"/>
        <w:numPr>
          <w:ilvl w:val="0"/>
          <w:numId w:val="64"/>
        </w:numPr>
        <w:spacing w:line="240" w:lineRule="auto"/>
      </w:pPr>
      <w:r w:rsidRPr="00EA4A6F">
        <w:t>Joint one day Transition Forum held for school</w:t>
      </w:r>
      <w:r>
        <w:t xml:space="preserve"> career</w:t>
      </w:r>
      <w:r w:rsidRPr="00EA4A6F">
        <w:t xml:space="preserve"> practitioners</w:t>
      </w:r>
      <w:r>
        <w:t xml:space="preserve"> ($20,000).</w:t>
      </w:r>
    </w:p>
    <w:p w:rsidR="00FF3AB5" w:rsidRPr="00EA4A6F" w:rsidRDefault="00FF3AB5" w:rsidP="00BA3E66">
      <w:pPr>
        <w:pStyle w:val="ListParagraph"/>
        <w:numPr>
          <w:ilvl w:val="0"/>
          <w:numId w:val="64"/>
        </w:numPr>
        <w:spacing w:line="240" w:lineRule="auto"/>
      </w:pPr>
      <w:r w:rsidRPr="00EA4A6F">
        <w:t xml:space="preserve">Career Development Project Officer engaged to work across school systems/sector to refine career development resources to ensure a consistent approach to delivery. </w:t>
      </w:r>
    </w:p>
    <w:p w:rsidR="00FF3AB5" w:rsidRPr="00EA4A6F" w:rsidRDefault="00FF3AB5" w:rsidP="00BA3E66">
      <w:pPr>
        <w:pStyle w:val="ListParagraph"/>
        <w:numPr>
          <w:ilvl w:val="0"/>
          <w:numId w:val="64"/>
        </w:numPr>
        <w:spacing w:line="240" w:lineRule="auto"/>
      </w:pPr>
      <w:r w:rsidRPr="00EA4A6F">
        <w:t xml:space="preserve">WA Career Development Transition Support Guidelines have been updated, with an online audit tool </w:t>
      </w:r>
      <w:r>
        <w:t xml:space="preserve">now </w:t>
      </w:r>
      <w:r w:rsidRPr="00EA4A6F">
        <w:t>available.</w:t>
      </w:r>
    </w:p>
    <w:p w:rsidR="00FF3AB5" w:rsidRPr="00EA4A6F" w:rsidRDefault="00FF3AB5" w:rsidP="00BA3E66">
      <w:pPr>
        <w:pStyle w:val="ListParagraph"/>
        <w:numPr>
          <w:ilvl w:val="0"/>
          <w:numId w:val="64"/>
        </w:numPr>
        <w:spacing w:line="240" w:lineRule="auto"/>
      </w:pPr>
      <w:r w:rsidRPr="00EA4A6F">
        <w:t xml:space="preserve">A range of free online resources for career teachers/practitioners </w:t>
      </w:r>
      <w:r>
        <w:t xml:space="preserve">have </w:t>
      </w:r>
      <w:r w:rsidRPr="00EA4A6F">
        <w:t xml:space="preserve">now </w:t>
      </w:r>
      <w:r>
        <w:t>been added to</w:t>
      </w:r>
      <w:r w:rsidRPr="00EA4A6F">
        <w:t xml:space="preserve"> the Career Centre website.</w:t>
      </w:r>
    </w:p>
    <w:p w:rsidR="00FF3AB5" w:rsidRDefault="00FF3AB5" w:rsidP="00BA3E66">
      <w:pPr>
        <w:pStyle w:val="ListParagraph"/>
        <w:numPr>
          <w:ilvl w:val="0"/>
          <w:numId w:val="64"/>
        </w:numPr>
        <w:spacing w:line="240" w:lineRule="auto"/>
      </w:pPr>
      <w:r w:rsidRPr="00EA4A6F">
        <w:t xml:space="preserve">An area of the website has been established to allow resources developed by </w:t>
      </w:r>
      <w:proofErr w:type="spellStart"/>
      <w:r w:rsidRPr="00EA4A6F">
        <w:t>NPYAT</w:t>
      </w:r>
      <w:proofErr w:type="spellEnd"/>
      <w:r w:rsidRPr="00EA4A6F">
        <w:t xml:space="preserve"> funded schools, to be shared.</w:t>
      </w:r>
    </w:p>
    <w:p w:rsidR="00FF3AB5" w:rsidRDefault="00FF3AB5" w:rsidP="00BA3E66">
      <w:pPr>
        <w:pStyle w:val="ListParagraph"/>
        <w:numPr>
          <w:ilvl w:val="0"/>
          <w:numId w:val="65"/>
        </w:numPr>
        <w:spacing w:line="240" w:lineRule="auto"/>
        <w:ind w:left="378" w:hanging="378"/>
      </w:pPr>
      <w:r w:rsidRPr="00BA3E66">
        <w:rPr>
          <w:b/>
        </w:rPr>
        <w:t>Department of Education</w:t>
      </w:r>
    </w:p>
    <w:p w:rsidR="00FF3AB5" w:rsidRPr="00EA4A6F" w:rsidRDefault="00FF3AB5" w:rsidP="00BA3E66">
      <w:pPr>
        <w:spacing w:line="240" w:lineRule="auto"/>
        <w:ind w:left="378"/>
      </w:pPr>
      <w:r w:rsidRPr="00EA4A6F">
        <w:t>Schools applied for funding to promote a career development culture in their school.</w:t>
      </w:r>
    </w:p>
    <w:p w:rsidR="00FF3AB5" w:rsidRPr="00EA4A6F" w:rsidRDefault="00FF3AB5" w:rsidP="00BA3E66">
      <w:pPr>
        <w:spacing w:line="240" w:lineRule="auto"/>
        <w:ind w:left="378"/>
      </w:pPr>
      <w:r w:rsidRPr="00EA4A6F">
        <w:t>First round in funding was in 2011 and 11 schools (with 16 partner schools) were successful.</w:t>
      </w:r>
    </w:p>
    <w:p w:rsidR="00FF3AB5" w:rsidRDefault="00FF3AB5" w:rsidP="00BA3E66">
      <w:pPr>
        <w:spacing w:line="240" w:lineRule="auto"/>
        <w:ind w:left="378"/>
      </w:pPr>
      <w:r w:rsidRPr="00EA4A6F">
        <w:t>Second round of funding to schools advertised at commencement of Term 2, 2012.</w:t>
      </w:r>
    </w:p>
    <w:p w:rsidR="00FF3AB5" w:rsidRPr="00BA3E66" w:rsidRDefault="00FF3AB5" w:rsidP="00BA3E66">
      <w:pPr>
        <w:pStyle w:val="ListParagraph"/>
        <w:numPr>
          <w:ilvl w:val="0"/>
          <w:numId w:val="65"/>
        </w:numPr>
        <w:spacing w:line="240" w:lineRule="auto"/>
        <w:ind w:left="378" w:hanging="378"/>
        <w:rPr>
          <w:b/>
        </w:rPr>
      </w:pPr>
      <w:r w:rsidRPr="00BA3E66">
        <w:rPr>
          <w:b/>
        </w:rPr>
        <w:t>Catholic Education Office WA</w:t>
      </w:r>
    </w:p>
    <w:p w:rsidR="00FF3AB5" w:rsidRPr="00177C13" w:rsidRDefault="00FF3AB5" w:rsidP="00BA3E66">
      <w:pPr>
        <w:pStyle w:val="ListParagraph"/>
        <w:numPr>
          <w:ilvl w:val="0"/>
          <w:numId w:val="66"/>
        </w:numPr>
        <w:spacing w:line="240" w:lineRule="auto"/>
      </w:pPr>
      <w:r>
        <w:t>S</w:t>
      </w:r>
      <w:r w:rsidRPr="00177C13">
        <w:t xml:space="preserve">chools invited to apply for funding to promote </w:t>
      </w:r>
      <w:r>
        <w:t xml:space="preserve">a </w:t>
      </w:r>
      <w:r w:rsidRPr="00177C13">
        <w:t>career dev</w:t>
      </w:r>
      <w:r>
        <w:t>elopment culture in schools.</w:t>
      </w:r>
    </w:p>
    <w:p w:rsidR="00FF3AB5" w:rsidRPr="00EA4A6F" w:rsidRDefault="00FF3AB5" w:rsidP="00BA3E66">
      <w:pPr>
        <w:pStyle w:val="ListParagraph"/>
        <w:numPr>
          <w:ilvl w:val="0"/>
          <w:numId w:val="66"/>
        </w:numPr>
        <w:spacing w:line="240" w:lineRule="auto"/>
      </w:pPr>
      <w:r w:rsidRPr="00EA4A6F">
        <w:t>18 schools received</w:t>
      </w:r>
      <w:r>
        <w:t xml:space="preserve"> funding of between</w:t>
      </w:r>
      <w:r w:rsidRPr="00EA4A6F">
        <w:t xml:space="preserve"> $600</w:t>
      </w:r>
      <w:r>
        <w:t>-$7,000 (1 Aboriginal s</w:t>
      </w:r>
      <w:r w:rsidRPr="00EA4A6F">
        <w:t>chool, 2 female</w:t>
      </w:r>
      <w:r w:rsidR="005B34DF">
        <w:t xml:space="preserve"> only schools, 12 </w:t>
      </w:r>
      <w:r>
        <w:t>m</w:t>
      </w:r>
      <w:r w:rsidRPr="00EA4A6F">
        <w:t>etro</w:t>
      </w:r>
      <w:r>
        <w:t>politan</w:t>
      </w:r>
      <w:r w:rsidRPr="00EA4A6F">
        <w:t xml:space="preserve"> schools, 6 regional schools.</w:t>
      </w:r>
    </w:p>
    <w:p w:rsidR="00FF3AB5" w:rsidRPr="00507A7E" w:rsidRDefault="00FF3AB5" w:rsidP="00BA3E66">
      <w:pPr>
        <w:pStyle w:val="ListParagraph"/>
        <w:numPr>
          <w:ilvl w:val="0"/>
          <w:numId w:val="66"/>
        </w:numPr>
        <w:spacing w:line="240" w:lineRule="auto"/>
      </w:pPr>
      <w:r>
        <w:t>I</w:t>
      </w:r>
      <w:r w:rsidRPr="00EA4A6F">
        <w:t>mplement</w:t>
      </w:r>
      <w:r>
        <w:t>ed 2</w:t>
      </w:r>
      <w:r w:rsidRPr="00EA4A6F">
        <w:t xml:space="preserve"> day Coaching Young People </w:t>
      </w:r>
      <w:r>
        <w:t>f</w:t>
      </w:r>
      <w:r w:rsidRPr="00EA4A6F">
        <w:t xml:space="preserve">or Success Course plus the </w:t>
      </w:r>
      <w:r>
        <w:t xml:space="preserve">3 day Leaders Accreditation training (can now </w:t>
      </w:r>
      <w:r w:rsidRPr="00507A7E">
        <w:t>be used by students for WACE)</w:t>
      </w:r>
      <w:r>
        <w:t>.</w:t>
      </w:r>
    </w:p>
    <w:p w:rsidR="00FF3AB5" w:rsidRPr="00EA4A6F" w:rsidRDefault="00FF3AB5" w:rsidP="00BA3E66">
      <w:pPr>
        <w:pStyle w:val="ListParagraph"/>
        <w:numPr>
          <w:ilvl w:val="0"/>
          <w:numId w:val="66"/>
        </w:numPr>
        <w:spacing w:line="240" w:lineRule="auto"/>
      </w:pPr>
      <w:r w:rsidRPr="00EA4A6F">
        <w:t xml:space="preserve">Implementation of the Australian Blueprint for Career Development across Learning Areas and alignment with the Australian Curriculum. </w:t>
      </w:r>
    </w:p>
    <w:p w:rsidR="00FF3AB5" w:rsidRPr="00EA4A6F" w:rsidRDefault="00FF3AB5" w:rsidP="00BA3E66">
      <w:pPr>
        <w:pStyle w:val="ListParagraph"/>
        <w:numPr>
          <w:ilvl w:val="0"/>
          <w:numId w:val="66"/>
        </w:numPr>
        <w:spacing w:line="240" w:lineRule="auto"/>
      </w:pPr>
      <w:r w:rsidRPr="00EA4A6F">
        <w:t>Implement e</w:t>
      </w:r>
      <w:r>
        <w:t>-</w:t>
      </w:r>
      <w:r w:rsidRPr="00EA4A6F">
        <w:t xml:space="preserve">portfolio </w:t>
      </w:r>
      <w:r>
        <w:t>via</w:t>
      </w:r>
      <w:r w:rsidRPr="00EA4A6F">
        <w:t xml:space="preserve"> new Learning Management System</w:t>
      </w:r>
      <w:r>
        <w:t>.</w:t>
      </w:r>
    </w:p>
    <w:p w:rsidR="00FF3AB5" w:rsidRDefault="00FF3AB5" w:rsidP="00BA3E66">
      <w:pPr>
        <w:pStyle w:val="ListParagraph"/>
        <w:numPr>
          <w:ilvl w:val="0"/>
          <w:numId w:val="66"/>
        </w:numPr>
        <w:spacing w:line="240" w:lineRule="auto"/>
        <w:ind w:left="924" w:hanging="378"/>
      </w:pPr>
      <w:r w:rsidRPr="00EA4A6F">
        <w:t>Local Standards packages being developed for</w:t>
      </w:r>
      <w:r>
        <w:t xml:space="preserve"> </w:t>
      </w:r>
      <w:r w:rsidRPr="00EA4A6F">
        <w:t xml:space="preserve">teachers to assist students </w:t>
      </w:r>
      <w:r>
        <w:t xml:space="preserve">to </w:t>
      </w:r>
      <w:r w:rsidRPr="00EA4A6F">
        <w:t>develop a</w:t>
      </w:r>
      <w:r>
        <w:t>n</w:t>
      </w:r>
      <w:r w:rsidRPr="00EA4A6F">
        <w:t xml:space="preserve"> understanding of </w:t>
      </w:r>
      <w:r>
        <w:t>t</w:t>
      </w:r>
      <w:r w:rsidRPr="00EA4A6F">
        <w:t xml:space="preserve">he 11 career management competencies </w:t>
      </w:r>
      <w:r>
        <w:t>within the Blueprint.</w:t>
      </w:r>
    </w:p>
    <w:p w:rsidR="00FF3AB5" w:rsidRPr="00BA3E66" w:rsidRDefault="00FF3AB5" w:rsidP="00BA3E66">
      <w:pPr>
        <w:pStyle w:val="ListParagraph"/>
        <w:numPr>
          <w:ilvl w:val="0"/>
          <w:numId w:val="65"/>
        </w:numPr>
        <w:spacing w:line="240" w:lineRule="auto"/>
        <w:ind w:left="560" w:hanging="504"/>
        <w:rPr>
          <w:b/>
        </w:rPr>
      </w:pPr>
      <w:r w:rsidRPr="00BA3E66">
        <w:rPr>
          <w:b/>
        </w:rPr>
        <w:t>Association of Independent Schools WA</w:t>
      </w:r>
    </w:p>
    <w:p w:rsidR="00FF3AB5" w:rsidRPr="00EA4A6F" w:rsidRDefault="00FF3AB5" w:rsidP="00BA3E66">
      <w:pPr>
        <w:pStyle w:val="ListParagraph"/>
        <w:numPr>
          <w:ilvl w:val="0"/>
          <w:numId w:val="67"/>
        </w:numPr>
        <w:spacing w:line="240" w:lineRule="auto"/>
      </w:pPr>
      <w:r w:rsidRPr="00EA4A6F">
        <w:t>Information sessions and workshops were conducted</w:t>
      </w:r>
    </w:p>
    <w:p w:rsidR="00FF3AB5" w:rsidRPr="00EA4A6F" w:rsidRDefault="00FF3AB5" w:rsidP="00BA3E66">
      <w:pPr>
        <w:pStyle w:val="ListParagraph"/>
        <w:numPr>
          <w:ilvl w:val="0"/>
          <w:numId w:val="67"/>
        </w:numPr>
        <w:spacing w:line="240" w:lineRule="auto"/>
      </w:pPr>
      <w:r w:rsidRPr="00EA4A6F">
        <w:t>Invitation to apply forwar</w:t>
      </w:r>
      <w:r>
        <w:t>d</w:t>
      </w:r>
      <w:r w:rsidRPr="00EA4A6F">
        <w:t>ed to all schools.</w:t>
      </w:r>
    </w:p>
    <w:p w:rsidR="00FF3AB5" w:rsidRPr="00EA4A6F" w:rsidRDefault="00FF3AB5" w:rsidP="00BA3E66">
      <w:pPr>
        <w:pStyle w:val="ListParagraph"/>
        <w:numPr>
          <w:ilvl w:val="0"/>
          <w:numId w:val="67"/>
        </w:numPr>
        <w:spacing w:line="240" w:lineRule="auto"/>
      </w:pPr>
      <w:r w:rsidRPr="00EA4A6F">
        <w:t>Twelve schools received grants of $5000 each.</w:t>
      </w:r>
    </w:p>
    <w:p w:rsidR="00FF3AB5" w:rsidRPr="00EA4A6F" w:rsidRDefault="00FF3AB5" w:rsidP="00BA3E66">
      <w:pPr>
        <w:pStyle w:val="ListParagraph"/>
        <w:numPr>
          <w:ilvl w:val="0"/>
          <w:numId w:val="67"/>
        </w:numPr>
        <w:spacing w:line="240" w:lineRule="auto"/>
      </w:pPr>
      <w:r w:rsidRPr="00EA4A6F">
        <w:t>Col</w:t>
      </w:r>
      <w:r>
        <w:t>l</w:t>
      </w:r>
      <w:r w:rsidRPr="00EA4A6F">
        <w:t>aboration and consultation between education system/sector and the YAT project Officer in updating the WA Guidelines and Audit and Planning Tools.</w:t>
      </w:r>
    </w:p>
    <w:p w:rsidR="00FF3AB5" w:rsidRPr="00EA4A6F" w:rsidRDefault="00FF3AB5" w:rsidP="00BA3E66">
      <w:pPr>
        <w:pStyle w:val="ListParagraph"/>
        <w:numPr>
          <w:ilvl w:val="0"/>
          <w:numId w:val="67"/>
        </w:numPr>
        <w:spacing w:line="240" w:lineRule="auto"/>
      </w:pPr>
      <w:r w:rsidRPr="00EA4A6F">
        <w:t>Distribution of the above to all schools.</w:t>
      </w:r>
    </w:p>
    <w:p w:rsidR="00FF3AB5" w:rsidRDefault="00FF3AB5" w:rsidP="00BA3E66">
      <w:pPr>
        <w:pStyle w:val="ListParagraph"/>
        <w:numPr>
          <w:ilvl w:val="0"/>
          <w:numId w:val="67"/>
        </w:numPr>
        <w:spacing w:line="240" w:lineRule="auto"/>
      </w:pPr>
      <w:r w:rsidRPr="00EA4A6F">
        <w:t>Schools submitted project reports.</w:t>
      </w:r>
    </w:p>
    <w:p w:rsidR="00FF3AB5" w:rsidRPr="00BA3E66" w:rsidRDefault="00FF3AB5" w:rsidP="00BA3E66">
      <w:pPr>
        <w:pStyle w:val="ListParagraph"/>
        <w:numPr>
          <w:ilvl w:val="0"/>
          <w:numId w:val="65"/>
        </w:numPr>
        <w:spacing w:line="240" w:lineRule="auto"/>
        <w:ind w:left="560" w:hanging="504"/>
        <w:rPr>
          <w:b/>
        </w:rPr>
      </w:pPr>
      <w:r w:rsidRPr="00BA3E66">
        <w:rPr>
          <w:b/>
        </w:rPr>
        <w:t>Department of Training and Workforce Development</w:t>
      </w:r>
    </w:p>
    <w:p w:rsidR="00FF3AB5" w:rsidRPr="00A97B34" w:rsidRDefault="00FF3AB5" w:rsidP="00017255">
      <w:pPr>
        <w:pStyle w:val="ListParagraph"/>
        <w:numPr>
          <w:ilvl w:val="0"/>
          <w:numId w:val="68"/>
        </w:numPr>
        <w:spacing w:line="240" w:lineRule="auto"/>
      </w:pPr>
      <w:r w:rsidRPr="00A97B34">
        <w:t>School Leaver Destination Survey (</w:t>
      </w:r>
      <w:proofErr w:type="spellStart"/>
      <w:r w:rsidRPr="00A97B34">
        <w:t>SLDS</w:t>
      </w:r>
      <w:proofErr w:type="spellEnd"/>
      <w:r w:rsidRPr="00A97B34">
        <w:t>)</w:t>
      </w:r>
      <w:r w:rsidR="00017255">
        <w:t xml:space="preserve"> reviewed and conducted 2012</w:t>
      </w:r>
    </w:p>
    <w:p w:rsidR="00FF3AB5" w:rsidRPr="00BA3E66" w:rsidRDefault="00FF3AB5" w:rsidP="00BA3E66">
      <w:pPr>
        <w:pStyle w:val="ListParagraph"/>
        <w:numPr>
          <w:ilvl w:val="0"/>
          <w:numId w:val="68"/>
        </w:numPr>
        <w:spacing w:line="240" w:lineRule="auto"/>
        <w:rPr>
          <w:b/>
        </w:rPr>
      </w:pPr>
      <w:r w:rsidRPr="00A97B34">
        <w:t xml:space="preserve">2012 survey results </w:t>
      </w:r>
      <w:r w:rsidRPr="00E65929">
        <w:t>outlined in tables</w:t>
      </w:r>
      <w:r>
        <w:t xml:space="preserve"> 5.1.6.1</w:t>
      </w:r>
      <w:r w:rsidRPr="00BA3E66">
        <w:rPr>
          <w:color w:val="00B0F0"/>
        </w:rPr>
        <w:t xml:space="preserve"> </w:t>
      </w:r>
      <w:r w:rsidRPr="00E65929">
        <w:t>below.</w:t>
      </w:r>
    </w:p>
    <w:p w:rsidR="00FF3AB5" w:rsidRPr="00BA3E66" w:rsidRDefault="00FF3AB5" w:rsidP="00BA3E66">
      <w:pPr>
        <w:pStyle w:val="ListParagraph"/>
        <w:numPr>
          <w:ilvl w:val="0"/>
          <w:numId w:val="65"/>
        </w:numPr>
        <w:spacing w:line="240" w:lineRule="auto"/>
        <w:ind w:left="560" w:hanging="490"/>
        <w:rPr>
          <w:b/>
        </w:rPr>
      </w:pPr>
      <w:r w:rsidRPr="00BA3E66">
        <w:rPr>
          <w:b/>
        </w:rPr>
        <w:t>Department of Corrective Services</w:t>
      </w:r>
    </w:p>
    <w:p w:rsidR="00FF3AB5" w:rsidRPr="00EA4A6F" w:rsidRDefault="00FF3AB5" w:rsidP="00BA3E66">
      <w:pPr>
        <w:pStyle w:val="ListParagraph"/>
        <w:numPr>
          <w:ilvl w:val="0"/>
          <w:numId w:val="69"/>
        </w:numPr>
        <w:spacing w:line="240" w:lineRule="auto"/>
      </w:pPr>
      <w:r w:rsidRPr="00EA4A6F">
        <w:t xml:space="preserve">Implementation of career and employment services to increase career guidance and support for offenders both pre and post release. </w:t>
      </w:r>
    </w:p>
    <w:p w:rsidR="00FF3AB5" w:rsidRDefault="00FF3AB5" w:rsidP="00BA3E66">
      <w:pPr>
        <w:pStyle w:val="ListParagraph"/>
        <w:numPr>
          <w:ilvl w:val="0"/>
          <w:numId w:val="69"/>
        </w:numPr>
        <w:spacing w:line="240" w:lineRule="auto"/>
      </w:pPr>
      <w:r w:rsidRPr="00CA2524">
        <w:t xml:space="preserve">Employment Coordinators provided career and employment </w:t>
      </w:r>
      <w:r w:rsidRPr="00CB2605">
        <w:t xml:space="preserve">services including work preparation, job seeking, </w:t>
      </w:r>
      <w:proofErr w:type="gramStart"/>
      <w:r w:rsidRPr="00CB2605">
        <w:t>linkages</w:t>
      </w:r>
      <w:proofErr w:type="gramEnd"/>
      <w:r w:rsidRPr="00CB2605">
        <w:t xml:space="preserve"> to outside agencies, resume preparation, vocational training and employability skills to </w:t>
      </w:r>
      <w:r w:rsidRPr="00CA2524">
        <w:t xml:space="preserve">1252 prisoners at December 2012. This was slightly up from the 1160 in 2011. </w:t>
      </w:r>
    </w:p>
    <w:p w:rsidR="00BA3E66" w:rsidRDefault="00BA3E66" w:rsidP="00BA3E66">
      <w:pPr>
        <w:pStyle w:val="ListParagraph"/>
        <w:spacing w:line="240" w:lineRule="auto"/>
        <w:ind w:left="920"/>
      </w:pPr>
    </w:p>
    <w:p w:rsidR="00FF3AB5" w:rsidRPr="00BA3E66" w:rsidRDefault="00FF3AB5" w:rsidP="00A976BE">
      <w:pPr>
        <w:pStyle w:val="Heading4"/>
      </w:pPr>
      <w:r w:rsidRPr="00BA3E66">
        <w:t>Outcomes</w:t>
      </w:r>
    </w:p>
    <w:p w:rsidR="00FF3AB5" w:rsidRPr="00BA3E66" w:rsidRDefault="00FF3AB5" w:rsidP="00BA3E66">
      <w:pPr>
        <w:pStyle w:val="ListParagraph"/>
        <w:numPr>
          <w:ilvl w:val="0"/>
          <w:numId w:val="70"/>
        </w:numPr>
        <w:spacing w:line="240" w:lineRule="auto"/>
        <w:ind w:left="426" w:hanging="426"/>
        <w:rPr>
          <w:b/>
        </w:rPr>
      </w:pPr>
      <w:r w:rsidRPr="00BA3E66">
        <w:rPr>
          <w:b/>
        </w:rPr>
        <w:t>Department of Education</w:t>
      </w:r>
    </w:p>
    <w:p w:rsidR="00FF3AB5" w:rsidRPr="00EA4A6F" w:rsidRDefault="00FF3AB5" w:rsidP="00BA3E66">
      <w:pPr>
        <w:spacing w:line="240" w:lineRule="auto"/>
        <w:ind w:left="426"/>
      </w:pPr>
      <w:r w:rsidRPr="00EA4A6F">
        <w:t>Round 2 a</w:t>
      </w:r>
      <w:r>
        <w:t xml:space="preserve">pplications – 16 applications </w:t>
      </w:r>
      <w:r w:rsidRPr="00EA4A6F">
        <w:t>received, with an additional 17 schools as “partners”.</w:t>
      </w:r>
    </w:p>
    <w:p w:rsidR="00FF3AB5" w:rsidRPr="00CB2605" w:rsidRDefault="00FF3AB5" w:rsidP="00BA3E66">
      <w:pPr>
        <w:spacing w:line="240" w:lineRule="auto"/>
        <w:ind w:left="426"/>
      </w:pPr>
      <w:r w:rsidRPr="00CB2605">
        <w:t>8 schools selected, with 15 partner schools involved including  4 Senior High Schools, 2 Education Support Centres, 1 Remote Community School</w:t>
      </w:r>
      <w:r>
        <w:t xml:space="preserve"> and 1 Intensive English Centre.</w:t>
      </w:r>
    </w:p>
    <w:p w:rsidR="00FF3AB5" w:rsidRDefault="00FF3AB5" w:rsidP="00BA3E66">
      <w:pPr>
        <w:spacing w:line="240" w:lineRule="auto"/>
        <w:ind w:left="426"/>
      </w:pPr>
      <w:r w:rsidRPr="00EA4A6F">
        <w:lastRenderedPageBreak/>
        <w:t>Reporting from both rounds indicated schools well underway in planning, preparing and commencing projects</w:t>
      </w:r>
      <w:r>
        <w:t>.</w:t>
      </w:r>
    </w:p>
    <w:p w:rsidR="00FF3AB5" w:rsidRPr="00BA3E66" w:rsidRDefault="00FF3AB5" w:rsidP="00BA3E66">
      <w:pPr>
        <w:pStyle w:val="ListParagraph"/>
        <w:numPr>
          <w:ilvl w:val="0"/>
          <w:numId w:val="70"/>
        </w:numPr>
        <w:spacing w:line="240" w:lineRule="auto"/>
        <w:ind w:left="426" w:hanging="426"/>
        <w:rPr>
          <w:b/>
        </w:rPr>
      </w:pPr>
      <w:r w:rsidRPr="00BA3E66">
        <w:rPr>
          <w:b/>
        </w:rPr>
        <w:t>Catholic Education Office WA</w:t>
      </w:r>
    </w:p>
    <w:p w:rsidR="00FF3AB5" w:rsidRPr="00075AEE" w:rsidRDefault="00FF3AB5" w:rsidP="008A2DC9">
      <w:pPr>
        <w:pStyle w:val="ListParagraph"/>
        <w:numPr>
          <w:ilvl w:val="0"/>
          <w:numId w:val="72"/>
        </w:numPr>
        <w:spacing w:line="240" w:lineRule="auto"/>
        <w:ind w:hanging="294"/>
      </w:pPr>
      <w:r w:rsidRPr="00075AEE">
        <w:t>Professional development days and school visits were undertaken to assist funded schools with the management of the program.</w:t>
      </w:r>
    </w:p>
    <w:p w:rsidR="00FF3AB5" w:rsidRPr="00075AEE" w:rsidRDefault="00FF3AB5" w:rsidP="008A2DC9">
      <w:pPr>
        <w:pStyle w:val="ListParagraph"/>
        <w:numPr>
          <w:ilvl w:val="0"/>
          <w:numId w:val="72"/>
        </w:numPr>
        <w:spacing w:line="240" w:lineRule="auto"/>
        <w:ind w:hanging="294"/>
      </w:pPr>
      <w:r w:rsidRPr="00075AEE">
        <w:t>Career Development Coordinators attended Career Coaching to assist in building a career development culture within their school.</w:t>
      </w:r>
    </w:p>
    <w:p w:rsidR="00FF3AB5" w:rsidRPr="00D04B1B" w:rsidRDefault="00FF3AB5" w:rsidP="008A2DC9">
      <w:pPr>
        <w:pStyle w:val="ListParagraph"/>
        <w:numPr>
          <w:ilvl w:val="0"/>
          <w:numId w:val="72"/>
        </w:numPr>
        <w:spacing w:line="240" w:lineRule="auto"/>
        <w:ind w:hanging="294"/>
        <w:rPr>
          <w:b/>
        </w:rPr>
      </w:pPr>
      <w:r w:rsidRPr="00075AEE">
        <w:t>More resources were developed for teachers to use within their schools.</w:t>
      </w:r>
    </w:p>
    <w:p w:rsidR="00D04B1B" w:rsidRPr="008A2DC9" w:rsidRDefault="00D04B1B" w:rsidP="00D04B1B">
      <w:pPr>
        <w:pStyle w:val="ListParagraph"/>
        <w:spacing w:line="240" w:lineRule="auto"/>
        <w:rPr>
          <w:b/>
        </w:rPr>
      </w:pPr>
    </w:p>
    <w:p w:rsidR="00FF3AB5" w:rsidRPr="008A2DC9" w:rsidRDefault="00FF3AB5" w:rsidP="00937D1E">
      <w:pPr>
        <w:pStyle w:val="ListParagraph"/>
        <w:numPr>
          <w:ilvl w:val="0"/>
          <w:numId w:val="70"/>
        </w:numPr>
        <w:spacing w:line="240" w:lineRule="auto"/>
        <w:ind w:left="426" w:hanging="426"/>
        <w:rPr>
          <w:b/>
        </w:rPr>
      </w:pPr>
      <w:r w:rsidRPr="008A2DC9">
        <w:rPr>
          <w:b/>
        </w:rPr>
        <w:t>Association of Independent Schools WA</w:t>
      </w:r>
    </w:p>
    <w:p w:rsidR="00FF3AB5" w:rsidRPr="00075AEE" w:rsidRDefault="00FF3AB5" w:rsidP="008A2DC9">
      <w:pPr>
        <w:pStyle w:val="ListParagraph"/>
        <w:numPr>
          <w:ilvl w:val="0"/>
          <w:numId w:val="71"/>
        </w:numPr>
        <w:spacing w:line="240" w:lineRule="auto"/>
        <w:ind w:left="742" w:hanging="316"/>
      </w:pPr>
      <w:r w:rsidRPr="00075AEE">
        <w:t>Auditing of current practices</w:t>
      </w:r>
      <w:r>
        <w:t>.</w:t>
      </w:r>
    </w:p>
    <w:p w:rsidR="00FF3AB5" w:rsidRPr="00075AEE" w:rsidRDefault="00FF3AB5" w:rsidP="008A2DC9">
      <w:pPr>
        <w:pStyle w:val="ListParagraph"/>
        <w:numPr>
          <w:ilvl w:val="0"/>
          <w:numId w:val="71"/>
        </w:numPr>
        <w:spacing w:line="240" w:lineRule="auto"/>
        <w:ind w:left="742" w:hanging="316"/>
      </w:pPr>
      <w:r w:rsidRPr="00075AEE">
        <w:t>Progress across a range of elements in the Audit Tool</w:t>
      </w:r>
      <w:r>
        <w:t>.</w:t>
      </w:r>
    </w:p>
    <w:p w:rsidR="00FF3AB5" w:rsidRPr="00075AEE" w:rsidRDefault="00FF3AB5" w:rsidP="008A2DC9">
      <w:pPr>
        <w:pStyle w:val="ListParagraph"/>
        <w:numPr>
          <w:ilvl w:val="0"/>
          <w:numId w:val="71"/>
        </w:numPr>
        <w:spacing w:line="240" w:lineRule="auto"/>
        <w:ind w:left="742" w:hanging="316"/>
      </w:pPr>
      <w:r w:rsidRPr="00075AEE">
        <w:t>The development and implementation of career development programs</w:t>
      </w:r>
      <w:r>
        <w:t>.</w:t>
      </w:r>
    </w:p>
    <w:p w:rsidR="00FF3AB5" w:rsidRPr="00075AEE" w:rsidRDefault="00FF3AB5" w:rsidP="008A2DC9">
      <w:pPr>
        <w:pStyle w:val="ListParagraph"/>
        <w:numPr>
          <w:ilvl w:val="0"/>
          <w:numId w:val="71"/>
        </w:numPr>
        <w:spacing w:line="240" w:lineRule="auto"/>
        <w:ind w:left="742" w:hanging="316"/>
      </w:pPr>
      <w:r w:rsidRPr="00075AEE">
        <w:t>Implementation of Individual Pathways Plans, Exit and Transition Planning</w:t>
      </w:r>
      <w:r>
        <w:t>.</w:t>
      </w:r>
    </w:p>
    <w:p w:rsidR="00FF3AB5" w:rsidRPr="00075AEE" w:rsidRDefault="00FF3AB5" w:rsidP="008A2DC9">
      <w:pPr>
        <w:pStyle w:val="ListParagraph"/>
        <w:numPr>
          <w:ilvl w:val="0"/>
          <w:numId w:val="71"/>
        </w:numPr>
        <w:spacing w:line="240" w:lineRule="auto"/>
        <w:ind w:left="742" w:hanging="316"/>
      </w:pPr>
      <w:r w:rsidRPr="00075AEE">
        <w:t>Mapping of school curriculum</w:t>
      </w:r>
      <w:r>
        <w:t>.</w:t>
      </w:r>
    </w:p>
    <w:p w:rsidR="00FF3AB5" w:rsidRPr="00075AEE" w:rsidRDefault="00FF3AB5" w:rsidP="008A2DC9">
      <w:pPr>
        <w:pStyle w:val="ListParagraph"/>
        <w:numPr>
          <w:ilvl w:val="0"/>
          <w:numId w:val="71"/>
        </w:numPr>
        <w:spacing w:line="240" w:lineRule="auto"/>
        <w:ind w:left="742" w:hanging="316"/>
      </w:pPr>
      <w:r w:rsidRPr="00075AEE">
        <w:t>The need for qualified CD practit</w:t>
      </w:r>
      <w:r>
        <w:t>ioners and staff.</w:t>
      </w:r>
    </w:p>
    <w:p w:rsidR="00FF3AB5" w:rsidRPr="00075AEE" w:rsidRDefault="00FF3AB5" w:rsidP="008A2DC9">
      <w:pPr>
        <w:pStyle w:val="ListParagraph"/>
        <w:numPr>
          <w:ilvl w:val="0"/>
          <w:numId w:val="71"/>
        </w:numPr>
        <w:spacing w:line="240" w:lineRule="auto"/>
        <w:ind w:left="742" w:hanging="316"/>
      </w:pPr>
      <w:r w:rsidRPr="00075AEE">
        <w:t>Schools reported very positively and programs have been well accepted by school communities.</w:t>
      </w:r>
    </w:p>
    <w:p w:rsidR="00FF3AB5" w:rsidRDefault="00FF3AB5" w:rsidP="008A2DC9">
      <w:pPr>
        <w:pStyle w:val="ListParagraph"/>
        <w:numPr>
          <w:ilvl w:val="0"/>
          <w:numId w:val="71"/>
        </w:numPr>
        <w:spacing w:line="240" w:lineRule="auto"/>
        <w:ind w:left="742" w:hanging="316"/>
      </w:pPr>
      <w:r w:rsidRPr="00075AEE">
        <w:t>Indications to date show schools plan to continue and expand the program.</w:t>
      </w:r>
    </w:p>
    <w:p w:rsidR="008A2DC9" w:rsidRDefault="00FF3AB5" w:rsidP="008A2DC9">
      <w:pPr>
        <w:pStyle w:val="ListParagraph"/>
        <w:numPr>
          <w:ilvl w:val="0"/>
          <w:numId w:val="71"/>
        </w:numPr>
        <w:spacing w:line="240" w:lineRule="auto"/>
        <w:ind w:left="742" w:hanging="316"/>
      </w:pPr>
      <w:proofErr w:type="spellStart"/>
      <w:r>
        <w:t>SLDS</w:t>
      </w:r>
      <w:proofErr w:type="spellEnd"/>
      <w:r>
        <w:t xml:space="preserve"> - </w:t>
      </w:r>
      <w:r w:rsidRPr="002564F5">
        <w:t>schools have been very slow to take up this initiative and</w:t>
      </w:r>
      <w:r>
        <w:t xml:space="preserve"> have</w:t>
      </w:r>
      <w:r w:rsidRPr="002564F5">
        <w:t xml:space="preserve"> require</w:t>
      </w:r>
      <w:r>
        <w:t>d</w:t>
      </w:r>
      <w:r w:rsidRPr="002564F5">
        <w:t xml:space="preserve"> constant reminders.</w:t>
      </w:r>
    </w:p>
    <w:p w:rsidR="00FF3AB5" w:rsidRPr="008A2DC9" w:rsidRDefault="00FF3AB5" w:rsidP="008A2DC9">
      <w:pPr>
        <w:pStyle w:val="ListParagraph"/>
        <w:numPr>
          <w:ilvl w:val="0"/>
          <w:numId w:val="70"/>
        </w:numPr>
        <w:spacing w:line="240" w:lineRule="auto"/>
        <w:ind w:left="426" w:hanging="426"/>
        <w:rPr>
          <w:b/>
        </w:rPr>
      </w:pPr>
      <w:r w:rsidRPr="008A2DC9">
        <w:rPr>
          <w:b/>
        </w:rPr>
        <w:t>Department of Training and Workforce Development</w:t>
      </w:r>
    </w:p>
    <w:p w:rsidR="00FF3AB5" w:rsidRPr="00BA00CD" w:rsidRDefault="00FF3AB5" w:rsidP="008A2DC9">
      <w:pPr>
        <w:pStyle w:val="ListParagraph"/>
        <w:numPr>
          <w:ilvl w:val="0"/>
          <w:numId w:val="73"/>
        </w:numPr>
        <w:spacing w:line="240" w:lineRule="auto"/>
        <w:ind w:hanging="294"/>
      </w:pPr>
      <w:r w:rsidRPr="00BA00CD">
        <w:t>Workforce Development Centres (</w:t>
      </w:r>
      <w:proofErr w:type="spellStart"/>
      <w:r w:rsidRPr="00BA00CD">
        <w:t>WDCs</w:t>
      </w:r>
      <w:proofErr w:type="spellEnd"/>
      <w:r w:rsidRPr="00BA00CD">
        <w:t xml:space="preserve">) conducted </w:t>
      </w:r>
      <w:proofErr w:type="spellStart"/>
      <w:r w:rsidRPr="00BA00CD">
        <w:t>SLDS</w:t>
      </w:r>
      <w:proofErr w:type="spellEnd"/>
      <w:r w:rsidRPr="00BA00CD">
        <w:t xml:space="preserve"> in April/May 2012. Continuation of program beyond </w:t>
      </w:r>
      <w:proofErr w:type="spellStart"/>
      <w:r w:rsidRPr="00BA00CD">
        <w:t>NPYAT</w:t>
      </w:r>
      <w:proofErr w:type="spellEnd"/>
      <w:r w:rsidRPr="00BA00CD">
        <w:t xml:space="preserve"> has been approved by DTWD and will be included in the </w:t>
      </w:r>
      <w:proofErr w:type="spellStart"/>
      <w:r w:rsidRPr="00BA00CD">
        <w:t>WDC</w:t>
      </w:r>
      <w:proofErr w:type="spellEnd"/>
      <w:r w:rsidRPr="00BA00CD">
        <w:t xml:space="preserve"> service agreements from 2014.</w:t>
      </w:r>
    </w:p>
    <w:p w:rsidR="00FF3AB5" w:rsidRPr="008A2DC9" w:rsidRDefault="00FF3AB5" w:rsidP="008A2DC9">
      <w:pPr>
        <w:pStyle w:val="ListParagraph"/>
        <w:numPr>
          <w:ilvl w:val="0"/>
          <w:numId w:val="73"/>
        </w:numPr>
        <w:spacing w:line="240" w:lineRule="auto"/>
        <w:ind w:hanging="294"/>
        <w:rPr>
          <w:b/>
        </w:rPr>
      </w:pPr>
      <w:r w:rsidRPr="00BA00CD">
        <w:t>Career practitioners Transition Forum very successful- attended by 75 schools and 35 agencies - planning underway for a subsequent Forum in 2013</w:t>
      </w:r>
    </w:p>
    <w:p w:rsidR="00FF3AB5" w:rsidRPr="008A2DC9" w:rsidRDefault="00FF3AB5" w:rsidP="008A2DC9">
      <w:pPr>
        <w:pStyle w:val="ListParagraph"/>
        <w:numPr>
          <w:ilvl w:val="0"/>
          <w:numId w:val="70"/>
        </w:numPr>
        <w:spacing w:line="240" w:lineRule="auto"/>
        <w:ind w:left="426" w:hanging="426"/>
        <w:rPr>
          <w:b/>
        </w:rPr>
      </w:pPr>
      <w:r w:rsidRPr="008A2DC9">
        <w:rPr>
          <w:b/>
        </w:rPr>
        <w:t>Department of Corrective Services</w:t>
      </w:r>
    </w:p>
    <w:p w:rsidR="00FF3AB5" w:rsidRPr="00BA00CD" w:rsidRDefault="00FF3AB5" w:rsidP="008A2DC9">
      <w:pPr>
        <w:pStyle w:val="ListParagraph"/>
        <w:numPr>
          <w:ilvl w:val="0"/>
          <w:numId w:val="74"/>
        </w:numPr>
        <w:spacing w:line="240" w:lineRule="auto"/>
        <w:ind w:hanging="294"/>
      </w:pPr>
      <w:r w:rsidRPr="00BA00CD">
        <w:t xml:space="preserve">Employment placement figures were slightly down from 2011 reflecting the downturn in the mining industry and associated other service industries in 2012. </w:t>
      </w:r>
    </w:p>
    <w:p w:rsidR="00FF3AB5" w:rsidRPr="00BA00CD" w:rsidRDefault="00FF3AB5" w:rsidP="008A2DC9">
      <w:pPr>
        <w:pStyle w:val="ListParagraph"/>
        <w:numPr>
          <w:ilvl w:val="0"/>
          <w:numId w:val="74"/>
        </w:numPr>
        <w:spacing w:line="240" w:lineRule="auto"/>
        <w:ind w:hanging="294"/>
      </w:pPr>
      <w:r w:rsidRPr="00BA00CD">
        <w:t>Career and employer expos were held at all prisons which have Employment Coordinators for the first time and are now a fixture of local prison calendars.</w:t>
      </w:r>
    </w:p>
    <w:p w:rsidR="00FF3AB5" w:rsidRDefault="00017255" w:rsidP="00017255">
      <w:pPr>
        <w:pStyle w:val="ListParagraph"/>
        <w:numPr>
          <w:ilvl w:val="0"/>
          <w:numId w:val="74"/>
        </w:numPr>
        <w:spacing w:line="240" w:lineRule="auto"/>
        <w:ind w:right="-58" w:hanging="294"/>
      </w:pPr>
      <w:proofErr w:type="spellStart"/>
      <w:r>
        <w:t>SLDS</w:t>
      </w:r>
      <w:proofErr w:type="spellEnd"/>
      <w:r>
        <w:t xml:space="preserve"> </w:t>
      </w:r>
      <w:r w:rsidR="00FF3AB5" w:rsidRPr="00BA00CD">
        <w:t xml:space="preserve">conducted successfully with some differing data from 2011 due to </w:t>
      </w:r>
      <w:r>
        <w:t xml:space="preserve">changes to questions. </w:t>
      </w:r>
    </w:p>
    <w:p w:rsidR="00FF3AB5" w:rsidRDefault="00FF3AB5" w:rsidP="00937D1E">
      <w:pPr>
        <w:spacing w:line="240" w:lineRule="auto"/>
      </w:pPr>
    </w:p>
    <w:p w:rsidR="00FF3AB5" w:rsidRPr="008A2DC9" w:rsidRDefault="00FF3AB5" w:rsidP="00A976BE">
      <w:pPr>
        <w:pStyle w:val="Heading4"/>
      </w:pPr>
      <w:r w:rsidRPr="008A2DC9">
        <w:t>Planned adjustments/changes</w:t>
      </w:r>
    </w:p>
    <w:p w:rsidR="00FF3AB5" w:rsidRDefault="00FF3AB5" w:rsidP="008A2DC9">
      <w:pPr>
        <w:pStyle w:val="boldheadings"/>
        <w:numPr>
          <w:ilvl w:val="0"/>
          <w:numId w:val="75"/>
        </w:numPr>
        <w:ind w:left="426" w:hanging="426"/>
      </w:pPr>
      <w:r w:rsidRPr="00CA2524">
        <w:t>Department of Education</w:t>
      </w:r>
    </w:p>
    <w:p w:rsidR="00FF3AB5" w:rsidRPr="00CB2605" w:rsidRDefault="00FF3AB5" w:rsidP="00017255">
      <w:pPr>
        <w:pStyle w:val="ListParagraph"/>
        <w:numPr>
          <w:ilvl w:val="0"/>
          <w:numId w:val="76"/>
        </w:numPr>
        <w:spacing w:line="240" w:lineRule="auto"/>
        <w:ind w:right="-58"/>
      </w:pPr>
      <w:r w:rsidRPr="00CB2605">
        <w:t xml:space="preserve">Application forms to schools for Round 2 </w:t>
      </w:r>
      <w:r w:rsidR="00017255">
        <w:t>r</w:t>
      </w:r>
      <w:r w:rsidRPr="00CB2605">
        <w:t>evised to provide greater clarity of expectations.</w:t>
      </w:r>
    </w:p>
    <w:p w:rsidR="00FF3AB5" w:rsidRDefault="00FF3AB5" w:rsidP="008A2DC9">
      <w:pPr>
        <w:pStyle w:val="boldheadings"/>
        <w:numPr>
          <w:ilvl w:val="0"/>
          <w:numId w:val="76"/>
        </w:numPr>
        <w:tabs>
          <w:tab w:val="left" w:pos="426"/>
        </w:tabs>
        <w:rPr>
          <w:b w:val="0"/>
        </w:rPr>
      </w:pPr>
      <w:r w:rsidRPr="00FF3AB5">
        <w:rPr>
          <w:b w:val="0"/>
        </w:rPr>
        <w:t>Reporting back from schools streamlined and targeted to reflect school’s specific focus around career development as set out in their project proposal.</w:t>
      </w:r>
    </w:p>
    <w:p w:rsidR="00FF3AB5" w:rsidRDefault="00FF3AB5" w:rsidP="008A2DC9">
      <w:pPr>
        <w:pStyle w:val="boldheadings"/>
        <w:numPr>
          <w:ilvl w:val="0"/>
          <w:numId w:val="75"/>
        </w:numPr>
        <w:ind w:left="426" w:hanging="426"/>
      </w:pPr>
      <w:r w:rsidRPr="00EA4A6F">
        <w:t>Catholic Education Office WA</w:t>
      </w:r>
    </w:p>
    <w:p w:rsidR="00FF3AB5" w:rsidRPr="00EA4A6F" w:rsidRDefault="00FF3AB5" w:rsidP="008A2DC9">
      <w:pPr>
        <w:pStyle w:val="ListParagraph"/>
        <w:numPr>
          <w:ilvl w:val="0"/>
          <w:numId w:val="77"/>
        </w:numPr>
        <w:spacing w:line="240" w:lineRule="auto"/>
      </w:pPr>
      <w:r w:rsidRPr="00EA4A6F">
        <w:t xml:space="preserve">Continued to offer and support programs for regional schools. </w:t>
      </w:r>
    </w:p>
    <w:p w:rsidR="00FF3AB5" w:rsidRPr="00EA4A6F" w:rsidRDefault="00FF3AB5" w:rsidP="008A2DC9">
      <w:pPr>
        <w:pStyle w:val="ListParagraph"/>
        <w:numPr>
          <w:ilvl w:val="0"/>
          <w:numId w:val="77"/>
        </w:numPr>
        <w:tabs>
          <w:tab w:val="left" w:pos="8040"/>
        </w:tabs>
        <w:spacing w:line="240" w:lineRule="auto"/>
      </w:pPr>
      <w:r w:rsidRPr="00EA4A6F">
        <w:t>Funding was proportioned depending on the number of applications received.</w:t>
      </w:r>
      <w:r>
        <w:tab/>
      </w:r>
    </w:p>
    <w:p w:rsidR="00FF3AB5" w:rsidRDefault="00FF3AB5" w:rsidP="008A2DC9">
      <w:pPr>
        <w:pStyle w:val="boldheadings"/>
        <w:numPr>
          <w:ilvl w:val="0"/>
          <w:numId w:val="77"/>
        </w:numPr>
        <w:rPr>
          <w:b w:val="0"/>
        </w:rPr>
      </w:pPr>
      <w:r w:rsidRPr="00FF3AB5">
        <w:rPr>
          <w:b w:val="0"/>
        </w:rPr>
        <w:t xml:space="preserve">Planning in progress for another </w:t>
      </w:r>
      <w:r w:rsidR="00017255">
        <w:rPr>
          <w:b w:val="0"/>
        </w:rPr>
        <w:t>Career Development f</w:t>
      </w:r>
      <w:r w:rsidRPr="00FF3AB5">
        <w:rPr>
          <w:b w:val="0"/>
        </w:rPr>
        <w:t>orum</w:t>
      </w:r>
      <w:r w:rsidR="00017255">
        <w:rPr>
          <w:b w:val="0"/>
        </w:rPr>
        <w:t xml:space="preserve"> in 2013.</w:t>
      </w:r>
    </w:p>
    <w:p w:rsidR="00FF3AB5" w:rsidRPr="00FF3AB5" w:rsidRDefault="00FF3AB5" w:rsidP="008A2DC9">
      <w:pPr>
        <w:pStyle w:val="boldheadings"/>
        <w:numPr>
          <w:ilvl w:val="0"/>
          <w:numId w:val="75"/>
        </w:numPr>
        <w:ind w:left="426" w:hanging="426"/>
        <w:rPr>
          <w:b w:val="0"/>
        </w:rPr>
      </w:pPr>
      <w:r w:rsidRPr="00EA4A6F">
        <w:t>Association of Independent Schools WA:</w:t>
      </w:r>
    </w:p>
    <w:p w:rsidR="00FF3AB5" w:rsidRDefault="00FF3AB5" w:rsidP="008A2DC9">
      <w:pPr>
        <w:pStyle w:val="boldheadings"/>
        <w:ind w:left="426"/>
        <w:rPr>
          <w:b w:val="0"/>
        </w:rPr>
      </w:pPr>
      <w:r w:rsidRPr="00FF3AB5">
        <w:rPr>
          <w:b w:val="0"/>
        </w:rPr>
        <w:t>Based on concerns raised by school reporting, Coaching Young people for Success workshops will be offered to schools again in 2013.</w:t>
      </w:r>
    </w:p>
    <w:p w:rsidR="00FF3AB5" w:rsidRDefault="00FF3AB5" w:rsidP="008A2DC9">
      <w:pPr>
        <w:pStyle w:val="boldheadings"/>
        <w:numPr>
          <w:ilvl w:val="0"/>
          <w:numId w:val="75"/>
        </w:numPr>
        <w:ind w:left="426" w:hanging="426"/>
      </w:pPr>
      <w:r w:rsidRPr="00EA4A6F">
        <w:t>Department of Tra</w:t>
      </w:r>
      <w:r>
        <w:t>ining and Workforce Development</w:t>
      </w:r>
    </w:p>
    <w:p w:rsidR="00FF3AB5" w:rsidRPr="00FF3AB5" w:rsidRDefault="00FF3AB5" w:rsidP="008A2DC9">
      <w:pPr>
        <w:pStyle w:val="boldheadings"/>
        <w:ind w:left="426"/>
        <w:rPr>
          <w:b w:val="0"/>
        </w:rPr>
      </w:pPr>
      <w:r w:rsidRPr="00FF3AB5">
        <w:rPr>
          <w:b w:val="0"/>
        </w:rPr>
        <w:t xml:space="preserve">Following the review, the 2013 survey has been expanded to include questions regarding </w:t>
      </w:r>
      <w:proofErr w:type="spellStart"/>
      <w:r w:rsidRPr="00FF3AB5">
        <w:rPr>
          <w:b w:val="0"/>
        </w:rPr>
        <w:t>VETiS</w:t>
      </w:r>
      <w:proofErr w:type="spellEnd"/>
      <w:r w:rsidRPr="00FF3AB5">
        <w:rPr>
          <w:b w:val="0"/>
        </w:rPr>
        <w:t xml:space="preserve"> and transition to work/training in same industry area.</w:t>
      </w:r>
    </w:p>
    <w:p w:rsidR="008A2DC9" w:rsidRDefault="008A2DC9" w:rsidP="00937D1E">
      <w:pPr>
        <w:pStyle w:val="boldheadings"/>
      </w:pPr>
    </w:p>
    <w:p w:rsidR="00E164FC" w:rsidRPr="00283935" w:rsidRDefault="0035212D" w:rsidP="00A976BE">
      <w:pPr>
        <w:pStyle w:val="Heading4"/>
      </w:pPr>
      <w:r w:rsidRPr="00283935">
        <w:t>5.6.1.1</w:t>
      </w:r>
      <w:r w:rsidRPr="00283935">
        <w:tab/>
        <w:t>School Leaver Destination Survey</w:t>
      </w:r>
    </w:p>
    <w:p w:rsidR="00E164FC" w:rsidRDefault="0035212D" w:rsidP="00937D1E">
      <w:pPr>
        <w:spacing w:line="240" w:lineRule="auto"/>
      </w:pPr>
      <w:r>
        <w:t>The following report identifies pathways taken by former students</w:t>
      </w:r>
      <w:r w:rsidR="008878EF">
        <w:t xml:space="preserve"> </w:t>
      </w:r>
      <w:r w:rsidR="008878EF" w:rsidRPr="0092548B">
        <w:t>(enrolled in Year 12 in 2012)</w:t>
      </w:r>
      <w:r w:rsidR="005F4352">
        <w:t xml:space="preserve">.  </w:t>
      </w:r>
      <w:r w:rsidR="00283935">
        <w:t>In May 2013, d</w:t>
      </w:r>
      <w:r w:rsidR="005F4352">
        <w:t xml:space="preserve">ata was collected </w:t>
      </w:r>
      <w:r>
        <w:t>from University and State Training Provider</w:t>
      </w:r>
      <w:r w:rsidR="005F4352">
        <w:t>s</w:t>
      </w:r>
      <w:r>
        <w:t xml:space="preserve"> (</w:t>
      </w:r>
      <w:r w:rsidR="00F72129">
        <w:t xml:space="preserve">formerly </w:t>
      </w:r>
      <w:r>
        <w:t>TAFE</w:t>
      </w:r>
      <w:r w:rsidR="00F72129">
        <w:t xml:space="preserve"> colleges</w:t>
      </w:r>
      <w:r>
        <w:t xml:space="preserve">) </w:t>
      </w:r>
      <w:r w:rsidR="005F4352">
        <w:t xml:space="preserve">enrolments, apprenticeship/traineeship </w:t>
      </w:r>
      <w:r w:rsidR="00971CFD">
        <w:t>commencements and the d</w:t>
      </w:r>
      <w:r w:rsidR="005F4352">
        <w:t>estination survey</w:t>
      </w:r>
      <w:r w:rsidR="00971CFD">
        <w:t xml:space="preserve"> participants</w:t>
      </w:r>
      <w:r>
        <w:t>.  Where survey participants have indicated both study and work, their study response has been recorded and they have only been counted once.</w:t>
      </w:r>
    </w:p>
    <w:p w:rsidR="0092548B" w:rsidRDefault="0092548B" w:rsidP="00937D1E">
      <w:pPr>
        <w:spacing w:line="240" w:lineRule="auto"/>
      </w:pPr>
    </w:p>
    <w:p w:rsidR="0092548B" w:rsidRPr="00832218" w:rsidRDefault="0092548B" w:rsidP="00937D1E">
      <w:pPr>
        <w:spacing w:line="240" w:lineRule="auto"/>
      </w:pPr>
      <w:r w:rsidRPr="00832218">
        <w:t>Data was collected from</w:t>
      </w:r>
      <w:r w:rsidR="005F4AE4" w:rsidRPr="00832218">
        <w:t xml:space="preserve"> 197 </w:t>
      </w:r>
      <w:r w:rsidRPr="00832218">
        <w:t>schools</w:t>
      </w:r>
      <w:r w:rsidR="005F4AE4" w:rsidRPr="00832218">
        <w:t xml:space="preserve"> </w:t>
      </w:r>
      <w:r w:rsidRPr="00832218">
        <w:t>from a total of 17,248 students, representing</w:t>
      </w:r>
      <w:r w:rsidR="00283935">
        <w:t xml:space="preserve"> 74.3% </w:t>
      </w:r>
      <w:r w:rsidRPr="00832218">
        <w:t>of the total 2012 Year 12 cohort of</w:t>
      </w:r>
      <w:r w:rsidR="00283935">
        <w:t xml:space="preserve"> 23</w:t>
      </w:r>
      <w:r w:rsidR="00C750E5">
        <w:t>,</w:t>
      </w:r>
      <w:r w:rsidR="00283935">
        <w:t>207</w:t>
      </w:r>
      <w:r w:rsidRPr="00832218">
        <w:t>. Participation increased substantially this year with commitment to the survey from a larger number of Catholic and Independent schools:</w:t>
      </w:r>
    </w:p>
    <w:p w:rsidR="005F4352" w:rsidRDefault="005F4352" w:rsidP="00937D1E">
      <w:pPr>
        <w:spacing w:line="240" w:lineRule="auto"/>
        <w:rPr>
          <w:rFonts w:ascii="Arial" w:hAnsi="Arial" w:cs="Arial"/>
          <w:sz w:val="20"/>
          <w:szCs w:val="20"/>
        </w:rPr>
      </w:pPr>
    </w:p>
    <w:tbl>
      <w:tblPr>
        <w:tblW w:w="9640" w:type="dxa"/>
        <w:tblInd w:w="108" w:type="dxa"/>
        <w:tblCellMar>
          <w:left w:w="0" w:type="dxa"/>
          <w:right w:w="0" w:type="dxa"/>
        </w:tblCellMar>
        <w:tblLook w:val="04E0" w:firstRow="1" w:lastRow="1" w:firstColumn="1" w:lastColumn="0" w:noHBand="0" w:noVBand="1"/>
        <w:tblCaption w:val="Table: School participation by sector in school leaver destination survey"/>
        <w:tblDescription w:val="The table shows number of schools and students participating in the survey with 100% public school participation, 48% of independent school participation and 65% Catholic sechool participation.  A total of 17248 students out of a possible total student population of 23207."/>
      </w:tblPr>
      <w:tblGrid>
        <w:gridCol w:w="1770"/>
        <w:gridCol w:w="1487"/>
        <w:gridCol w:w="1699"/>
        <w:gridCol w:w="1428"/>
        <w:gridCol w:w="1698"/>
        <w:gridCol w:w="1558"/>
      </w:tblGrid>
      <w:tr w:rsidR="005F4352" w:rsidRPr="008F6761" w:rsidTr="008F6761">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F4352" w:rsidRPr="008F6761" w:rsidRDefault="008F6761" w:rsidP="00937D1E">
            <w:pPr>
              <w:spacing w:line="240" w:lineRule="auto"/>
              <w:jc w:val="center"/>
              <w:rPr>
                <w:rFonts w:ascii="Arial" w:eastAsiaTheme="minorHAnsi" w:hAnsi="Arial" w:cs="Arial"/>
                <w:b/>
                <w:sz w:val="20"/>
                <w:szCs w:val="20"/>
              </w:rPr>
            </w:pPr>
            <w:r w:rsidRPr="008F6761">
              <w:rPr>
                <w:rFonts w:ascii="Arial" w:eastAsiaTheme="minorHAnsi" w:hAnsi="Arial" w:cs="Arial"/>
                <w:b/>
                <w:sz w:val="20"/>
                <w:szCs w:val="20"/>
              </w:rPr>
              <w:t>School sector</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4352" w:rsidRPr="008F6761" w:rsidRDefault="005F4352" w:rsidP="00937D1E">
            <w:pPr>
              <w:spacing w:line="240" w:lineRule="auto"/>
              <w:jc w:val="center"/>
              <w:rPr>
                <w:rFonts w:ascii="Arial" w:eastAsiaTheme="minorHAnsi" w:hAnsi="Arial" w:cs="Arial"/>
                <w:b/>
                <w:bCs/>
                <w:sz w:val="20"/>
                <w:szCs w:val="20"/>
              </w:rPr>
            </w:pPr>
            <w:r w:rsidRPr="008F6761">
              <w:rPr>
                <w:rFonts w:ascii="Arial" w:hAnsi="Arial" w:cs="Arial"/>
                <w:b/>
                <w:bCs/>
                <w:sz w:val="20"/>
                <w:szCs w:val="20"/>
              </w:rPr>
              <w:t>Total Schools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6638" w:rsidRPr="008F6761" w:rsidRDefault="005F4352" w:rsidP="00937D1E">
            <w:pPr>
              <w:spacing w:line="240" w:lineRule="auto"/>
              <w:jc w:val="center"/>
              <w:rPr>
                <w:rFonts w:ascii="Arial" w:hAnsi="Arial" w:cs="Arial"/>
                <w:b/>
                <w:sz w:val="20"/>
                <w:szCs w:val="20"/>
              </w:rPr>
            </w:pPr>
            <w:r w:rsidRPr="008F6761">
              <w:rPr>
                <w:rFonts w:ascii="Arial" w:hAnsi="Arial" w:cs="Arial"/>
                <w:b/>
                <w:sz w:val="20"/>
                <w:szCs w:val="20"/>
              </w:rPr>
              <w:t xml:space="preserve">Participating Schools </w:t>
            </w:r>
          </w:p>
          <w:p w:rsidR="005F4352" w:rsidRPr="008F6761" w:rsidRDefault="005F4352" w:rsidP="00937D1E">
            <w:pPr>
              <w:spacing w:line="240" w:lineRule="auto"/>
              <w:jc w:val="center"/>
              <w:rPr>
                <w:rFonts w:ascii="Arial" w:eastAsiaTheme="minorHAnsi" w:hAnsi="Arial" w:cs="Arial"/>
                <w:b/>
                <w:sz w:val="20"/>
                <w:szCs w:val="20"/>
              </w:rPr>
            </w:pPr>
            <w:r w:rsidRPr="008F6761">
              <w:rPr>
                <w:rFonts w:ascii="Arial" w:hAnsi="Arial" w:cs="Arial"/>
                <w:b/>
                <w:sz w:val="20"/>
                <w:szCs w:val="20"/>
              </w:rPr>
              <w:t>(in the survey)</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4352" w:rsidRPr="008F6761" w:rsidRDefault="005F4352" w:rsidP="00937D1E">
            <w:pPr>
              <w:spacing w:line="240" w:lineRule="auto"/>
              <w:jc w:val="center"/>
              <w:rPr>
                <w:rFonts w:ascii="Arial" w:eastAsiaTheme="minorHAnsi" w:hAnsi="Arial" w:cs="Arial"/>
                <w:b/>
                <w:sz w:val="20"/>
                <w:szCs w:val="20"/>
              </w:rPr>
            </w:pPr>
            <w:r w:rsidRPr="008F6761">
              <w:rPr>
                <w:rFonts w:ascii="Arial" w:hAnsi="Arial" w:cs="Arial"/>
                <w:b/>
                <w:bCs/>
                <w:sz w:val="20"/>
                <w:szCs w:val="20"/>
              </w:rPr>
              <w:t>**</w:t>
            </w:r>
            <w:r w:rsidR="00971CFD" w:rsidRPr="008F6761">
              <w:rPr>
                <w:rFonts w:ascii="Arial" w:hAnsi="Arial" w:cs="Arial"/>
                <w:b/>
                <w:sz w:val="20"/>
                <w:szCs w:val="20"/>
              </w:rPr>
              <w:t xml:space="preserve"> Non-</w:t>
            </w:r>
            <w:r w:rsidRPr="008F6761">
              <w:rPr>
                <w:rFonts w:ascii="Arial" w:hAnsi="Arial" w:cs="Arial"/>
                <w:b/>
                <w:sz w:val="20"/>
                <w:szCs w:val="20"/>
              </w:rPr>
              <w:t>Participating Schools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4352" w:rsidRPr="008F6761" w:rsidRDefault="005F4352" w:rsidP="00937D1E">
            <w:pPr>
              <w:spacing w:line="240" w:lineRule="auto"/>
              <w:jc w:val="center"/>
              <w:rPr>
                <w:rFonts w:ascii="Arial" w:eastAsiaTheme="minorHAnsi" w:hAnsi="Arial" w:cs="Arial"/>
                <w:b/>
                <w:sz w:val="20"/>
                <w:szCs w:val="20"/>
              </w:rPr>
            </w:pPr>
            <w:r w:rsidRPr="008F6761">
              <w:rPr>
                <w:rFonts w:ascii="Arial" w:hAnsi="Arial" w:cs="Arial"/>
                <w:b/>
                <w:sz w:val="20"/>
                <w:szCs w:val="20"/>
              </w:rPr>
              <w:t>Students in Data Collection</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4352" w:rsidRPr="008F6761" w:rsidRDefault="005F4352" w:rsidP="00937D1E">
            <w:pPr>
              <w:spacing w:line="240" w:lineRule="auto"/>
              <w:jc w:val="center"/>
              <w:rPr>
                <w:rFonts w:ascii="Arial" w:eastAsiaTheme="minorHAnsi" w:hAnsi="Arial" w:cs="Arial"/>
                <w:b/>
                <w:sz w:val="20"/>
                <w:szCs w:val="20"/>
              </w:rPr>
            </w:pPr>
            <w:r w:rsidRPr="008F6761">
              <w:rPr>
                <w:rFonts w:ascii="Arial" w:hAnsi="Arial" w:cs="Arial"/>
                <w:b/>
                <w:sz w:val="20"/>
                <w:szCs w:val="20"/>
              </w:rPr>
              <w:t>Total Student Cohort 2012</w:t>
            </w:r>
          </w:p>
        </w:tc>
      </w:tr>
      <w:tr w:rsidR="005F4352" w:rsidTr="008F6761">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rPr>
                <w:rFonts w:ascii="Arial" w:eastAsiaTheme="minorHAnsi" w:hAnsi="Arial" w:cs="Arial"/>
                <w:b/>
                <w:bCs/>
                <w:sz w:val="20"/>
                <w:szCs w:val="20"/>
              </w:rPr>
            </w:pPr>
            <w:r>
              <w:rPr>
                <w:rFonts w:ascii="Arial" w:hAnsi="Arial" w:cs="Arial"/>
                <w:b/>
                <w:bCs/>
                <w:sz w:val="20"/>
                <w:szCs w:val="20"/>
              </w:rPr>
              <w:t>Public Schools</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601"/>
              <w:jc w:val="right"/>
              <w:rPr>
                <w:rFonts w:ascii="Arial" w:eastAsiaTheme="minorHAnsi" w:hAnsi="Arial" w:cs="Arial"/>
                <w:sz w:val="20"/>
                <w:szCs w:val="20"/>
              </w:rPr>
            </w:pPr>
            <w:r>
              <w:rPr>
                <w:rFonts w:ascii="Arial" w:hAnsi="Arial" w:cs="Arial"/>
                <w:sz w:val="20"/>
                <w:szCs w:val="20"/>
              </w:rPr>
              <w:t>139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672"/>
              <w:jc w:val="right"/>
              <w:rPr>
                <w:rFonts w:ascii="Arial" w:eastAsiaTheme="minorHAnsi" w:hAnsi="Arial" w:cs="Arial"/>
                <w:sz w:val="20"/>
                <w:szCs w:val="20"/>
              </w:rPr>
            </w:pPr>
            <w:r>
              <w:rPr>
                <w:rFonts w:ascii="Arial" w:hAnsi="Arial" w:cs="Arial"/>
                <w:sz w:val="20"/>
                <w:szCs w:val="20"/>
              </w:rPr>
              <w:t>139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tabs>
                <w:tab w:val="left" w:pos="813"/>
              </w:tabs>
              <w:spacing w:line="240" w:lineRule="auto"/>
              <w:ind w:right="736"/>
              <w:jc w:val="right"/>
              <w:rPr>
                <w:rFonts w:ascii="Arial" w:eastAsiaTheme="minorHAnsi" w:hAnsi="Arial" w:cs="Arial"/>
                <w:sz w:val="20"/>
                <w:szCs w:val="20"/>
              </w:rPr>
            </w:pPr>
            <w:r>
              <w:rPr>
                <w:rFonts w:ascii="Arial" w:hAnsi="Arial" w:cs="Arial"/>
                <w:sz w:val="20"/>
                <w:szCs w:val="20"/>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530"/>
              <w:jc w:val="right"/>
              <w:rPr>
                <w:rFonts w:ascii="Arial" w:eastAsiaTheme="minorHAnsi" w:hAnsi="Arial" w:cs="Arial"/>
                <w:sz w:val="20"/>
                <w:szCs w:val="20"/>
              </w:rPr>
            </w:pPr>
            <w:r>
              <w:rPr>
                <w:rFonts w:ascii="Arial" w:hAnsi="Arial" w:cs="Arial"/>
                <w:sz w:val="20"/>
                <w:szCs w:val="20"/>
              </w:rPr>
              <w:t>9717</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459"/>
              <w:jc w:val="right"/>
              <w:rPr>
                <w:rFonts w:ascii="Arial" w:eastAsiaTheme="minorHAnsi" w:hAnsi="Arial" w:cs="Arial"/>
                <w:sz w:val="20"/>
                <w:szCs w:val="20"/>
              </w:rPr>
            </w:pPr>
            <w:r>
              <w:rPr>
                <w:rFonts w:ascii="Arial" w:hAnsi="Arial" w:cs="Arial"/>
                <w:sz w:val="20"/>
                <w:szCs w:val="20"/>
              </w:rPr>
              <w:t>12964</w:t>
            </w:r>
          </w:p>
        </w:tc>
      </w:tr>
      <w:tr w:rsidR="005F4352" w:rsidTr="008F6761">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rPr>
                <w:rFonts w:ascii="Arial" w:eastAsiaTheme="minorHAnsi" w:hAnsi="Arial" w:cs="Arial"/>
                <w:b/>
                <w:bCs/>
                <w:sz w:val="20"/>
                <w:szCs w:val="20"/>
              </w:rPr>
            </w:pPr>
            <w:r>
              <w:rPr>
                <w:rFonts w:ascii="Arial" w:hAnsi="Arial" w:cs="Arial"/>
                <w:b/>
                <w:bCs/>
                <w:sz w:val="20"/>
                <w:szCs w:val="20"/>
              </w:rPr>
              <w:t>Independent</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601"/>
              <w:jc w:val="right"/>
              <w:rPr>
                <w:rFonts w:ascii="Arial" w:eastAsiaTheme="minorHAnsi" w:hAnsi="Arial" w:cs="Arial"/>
                <w:sz w:val="20"/>
                <w:szCs w:val="20"/>
              </w:rPr>
            </w:pPr>
            <w:r>
              <w:rPr>
                <w:rFonts w:ascii="Arial" w:hAnsi="Arial" w:cs="Arial"/>
                <w:sz w:val="20"/>
                <w:szCs w:val="20"/>
              </w:rPr>
              <w:t>64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672"/>
              <w:jc w:val="right"/>
              <w:rPr>
                <w:rFonts w:ascii="Arial" w:eastAsiaTheme="minorHAnsi" w:hAnsi="Arial" w:cs="Arial"/>
                <w:sz w:val="20"/>
                <w:szCs w:val="20"/>
              </w:rPr>
            </w:pPr>
            <w:r>
              <w:rPr>
                <w:rFonts w:ascii="Arial" w:hAnsi="Arial" w:cs="Arial"/>
                <w:sz w:val="20"/>
                <w:szCs w:val="20"/>
              </w:rPr>
              <w:t>31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tabs>
                <w:tab w:val="left" w:pos="813"/>
              </w:tabs>
              <w:spacing w:line="240" w:lineRule="auto"/>
              <w:ind w:right="736"/>
              <w:jc w:val="right"/>
              <w:rPr>
                <w:rFonts w:ascii="Arial" w:eastAsiaTheme="minorHAnsi" w:hAnsi="Arial" w:cs="Arial"/>
                <w:sz w:val="20"/>
                <w:szCs w:val="20"/>
              </w:rPr>
            </w:pPr>
            <w:r>
              <w:rPr>
                <w:rFonts w:ascii="Arial" w:hAnsi="Arial" w:cs="Arial"/>
                <w:sz w:val="20"/>
                <w:szCs w:val="20"/>
              </w:rPr>
              <w:t>33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530"/>
              <w:jc w:val="right"/>
              <w:rPr>
                <w:rFonts w:ascii="Arial" w:eastAsiaTheme="minorHAnsi" w:hAnsi="Arial" w:cs="Arial"/>
                <w:sz w:val="20"/>
                <w:szCs w:val="20"/>
              </w:rPr>
            </w:pPr>
            <w:r>
              <w:rPr>
                <w:rFonts w:ascii="Arial" w:hAnsi="Arial" w:cs="Arial"/>
                <w:sz w:val="20"/>
                <w:szCs w:val="20"/>
              </w:rPr>
              <w:t>3629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459"/>
              <w:jc w:val="right"/>
              <w:rPr>
                <w:rFonts w:ascii="Arial" w:eastAsiaTheme="minorHAnsi" w:hAnsi="Arial" w:cs="Arial"/>
                <w:sz w:val="20"/>
                <w:szCs w:val="20"/>
              </w:rPr>
            </w:pPr>
            <w:r>
              <w:rPr>
                <w:rFonts w:ascii="Arial" w:hAnsi="Arial" w:cs="Arial"/>
                <w:sz w:val="20"/>
                <w:szCs w:val="20"/>
              </w:rPr>
              <w:t>5333</w:t>
            </w:r>
          </w:p>
        </w:tc>
      </w:tr>
      <w:tr w:rsidR="005F4352" w:rsidTr="008F6761">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rPr>
                <w:rFonts w:ascii="Arial" w:eastAsiaTheme="minorHAnsi" w:hAnsi="Arial" w:cs="Arial"/>
                <w:b/>
                <w:bCs/>
                <w:sz w:val="20"/>
                <w:szCs w:val="20"/>
              </w:rPr>
            </w:pPr>
            <w:r>
              <w:rPr>
                <w:rFonts w:ascii="Arial" w:hAnsi="Arial" w:cs="Arial"/>
                <w:b/>
                <w:bCs/>
                <w:sz w:val="20"/>
                <w:szCs w:val="20"/>
              </w:rPr>
              <w:t>Catholic</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601"/>
              <w:jc w:val="right"/>
              <w:rPr>
                <w:rFonts w:ascii="Arial" w:eastAsiaTheme="minorHAnsi" w:hAnsi="Arial" w:cs="Arial"/>
                <w:sz w:val="20"/>
                <w:szCs w:val="20"/>
              </w:rPr>
            </w:pPr>
            <w:r>
              <w:rPr>
                <w:rFonts w:ascii="Arial" w:hAnsi="Arial" w:cs="Arial"/>
                <w:sz w:val="20"/>
                <w:szCs w:val="20"/>
              </w:rPr>
              <w:t>41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672"/>
              <w:jc w:val="right"/>
              <w:rPr>
                <w:rFonts w:ascii="Arial" w:eastAsiaTheme="minorHAnsi" w:hAnsi="Arial" w:cs="Arial"/>
                <w:sz w:val="20"/>
                <w:szCs w:val="20"/>
              </w:rPr>
            </w:pPr>
            <w:r>
              <w:rPr>
                <w:rFonts w:ascii="Arial" w:hAnsi="Arial" w:cs="Arial"/>
                <w:sz w:val="20"/>
                <w:szCs w:val="20"/>
              </w:rPr>
              <w:t>27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tabs>
                <w:tab w:val="left" w:pos="813"/>
              </w:tabs>
              <w:spacing w:line="240" w:lineRule="auto"/>
              <w:ind w:right="736"/>
              <w:jc w:val="right"/>
              <w:rPr>
                <w:rFonts w:ascii="Arial" w:eastAsiaTheme="minorHAnsi" w:hAnsi="Arial" w:cs="Arial"/>
                <w:sz w:val="20"/>
                <w:szCs w:val="20"/>
              </w:rPr>
            </w:pPr>
            <w:r>
              <w:rPr>
                <w:rFonts w:ascii="Arial" w:hAnsi="Arial" w:cs="Arial"/>
                <w:sz w:val="20"/>
                <w:szCs w:val="20"/>
              </w:rPr>
              <w:t>14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530"/>
              <w:jc w:val="right"/>
              <w:rPr>
                <w:rFonts w:ascii="Arial" w:eastAsiaTheme="minorHAnsi" w:hAnsi="Arial" w:cs="Arial"/>
                <w:sz w:val="20"/>
                <w:szCs w:val="20"/>
              </w:rPr>
            </w:pPr>
            <w:r>
              <w:rPr>
                <w:rFonts w:ascii="Arial" w:hAnsi="Arial" w:cs="Arial"/>
                <w:sz w:val="20"/>
                <w:szCs w:val="20"/>
              </w:rPr>
              <w:t>3902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459"/>
              <w:jc w:val="right"/>
              <w:rPr>
                <w:rFonts w:ascii="Arial" w:eastAsiaTheme="minorHAnsi" w:hAnsi="Arial" w:cs="Arial"/>
                <w:sz w:val="20"/>
                <w:szCs w:val="20"/>
              </w:rPr>
            </w:pPr>
            <w:r>
              <w:rPr>
                <w:rFonts w:ascii="Arial" w:hAnsi="Arial" w:cs="Arial"/>
                <w:sz w:val="20"/>
                <w:szCs w:val="20"/>
              </w:rPr>
              <w:t>4910</w:t>
            </w:r>
          </w:p>
        </w:tc>
      </w:tr>
      <w:tr w:rsidR="005F4352" w:rsidTr="008F6761">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rPr>
                <w:rFonts w:ascii="Arial" w:eastAsiaTheme="minorHAnsi" w:hAnsi="Arial" w:cs="Arial"/>
                <w:b/>
                <w:bCs/>
                <w:sz w:val="20"/>
                <w:szCs w:val="20"/>
              </w:rPr>
            </w:pPr>
            <w:r>
              <w:rPr>
                <w:rFonts w:ascii="Arial" w:hAnsi="Arial" w:cs="Arial"/>
                <w:b/>
                <w:bCs/>
                <w:sz w:val="20"/>
                <w:szCs w:val="20"/>
              </w:rPr>
              <w:t>Total</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601"/>
              <w:jc w:val="right"/>
              <w:rPr>
                <w:rFonts w:ascii="Arial" w:eastAsiaTheme="minorHAnsi" w:hAnsi="Arial" w:cs="Arial"/>
                <w:b/>
                <w:bCs/>
                <w:sz w:val="20"/>
                <w:szCs w:val="20"/>
              </w:rPr>
            </w:pPr>
            <w:r>
              <w:rPr>
                <w:rFonts w:ascii="Arial" w:hAnsi="Arial" w:cs="Arial"/>
                <w:b/>
                <w:bCs/>
                <w:sz w:val="20"/>
                <w:szCs w:val="20"/>
              </w:rPr>
              <w:t>244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672"/>
              <w:jc w:val="right"/>
              <w:rPr>
                <w:rFonts w:ascii="Arial" w:eastAsiaTheme="minorHAnsi" w:hAnsi="Arial" w:cs="Arial"/>
                <w:b/>
                <w:bCs/>
                <w:sz w:val="20"/>
                <w:szCs w:val="20"/>
              </w:rPr>
            </w:pPr>
            <w:r>
              <w:rPr>
                <w:rFonts w:ascii="Arial" w:hAnsi="Arial" w:cs="Arial"/>
                <w:b/>
                <w:bCs/>
                <w:sz w:val="20"/>
                <w:szCs w:val="20"/>
              </w:rPr>
              <w:t>197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tabs>
                <w:tab w:val="left" w:pos="813"/>
              </w:tabs>
              <w:spacing w:line="240" w:lineRule="auto"/>
              <w:ind w:right="736"/>
              <w:jc w:val="right"/>
              <w:rPr>
                <w:rFonts w:ascii="Arial" w:eastAsiaTheme="minorHAnsi" w:hAnsi="Arial" w:cs="Arial"/>
                <w:b/>
                <w:bCs/>
                <w:sz w:val="20"/>
                <w:szCs w:val="20"/>
              </w:rPr>
            </w:pPr>
            <w:r>
              <w:rPr>
                <w:rFonts w:ascii="Arial" w:hAnsi="Arial" w:cs="Arial"/>
                <w:b/>
                <w:bCs/>
                <w:sz w:val="20"/>
                <w:szCs w:val="20"/>
              </w:rPr>
              <w:t>47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530"/>
              <w:jc w:val="right"/>
              <w:rPr>
                <w:rFonts w:ascii="Arial" w:eastAsiaTheme="minorHAnsi" w:hAnsi="Arial" w:cs="Arial"/>
                <w:b/>
                <w:bCs/>
                <w:sz w:val="20"/>
                <w:szCs w:val="20"/>
              </w:rPr>
            </w:pPr>
            <w:r>
              <w:rPr>
                <w:rFonts w:ascii="Arial" w:hAnsi="Arial" w:cs="Arial"/>
                <w:b/>
                <w:bCs/>
                <w:sz w:val="20"/>
                <w:szCs w:val="20"/>
              </w:rPr>
              <w:t>17248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352" w:rsidRDefault="005F4352" w:rsidP="00937D1E">
            <w:pPr>
              <w:spacing w:line="240" w:lineRule="auto"/>
              <w:ind w:right="459"/>
              <w:jc w:val="right"/>
              <w:rPr>
                <w:rFonts w:ascii="Arial" w:eastAsiaTheme="minorHAnsi" w:hAnsi="Arial" w:cs="Arial"/>
                <w:b/>
                <w:bCs/>
                <w:sz w:val="20"/>
                <w:szCs w:val="20"/>
              </w:rPr>
            </w:pPr>
            <w:r>
              <w:rPr>
                <w:rFonts w:ascii="Arial" w:hAnsi="Arial" w:cs="Arial"/>
                <w:b/>
                <w:bCs/>
                <w:sz w:val="20"/>
                <w:szCs w:val="20"/>
              </w:rPr>
              <w:t>23207</w:t>
            </w:r>
          </w:p>
        </w:tc>
      </w:tr>
    </w:tbl>
    <w:p w:rsidR="005F4352" w:rsidRDefault="005F4352" w:rsidP="00937D1E">
      <w:pPr>
        <w:spacing w:line="240" w:lineRule="auto"/>
      </w:pPr>
      <w:r w:rsidRPr="00283935">
        <w:t xml:space="preserve">** </w:t>
      </w:r>
      <w:proofErr w:type="gramStart"/>
      <w:r w:rsidRPr="00283935">
        <w:t>these</w:t>
      </w:r>
      <w:proofErr w:type="gramEnd"/>
      <w:r w:rsidRPr="00283935">
        <w:t xml:space="preserve"> schools did not participate in the survey, however had students with known destinations that were included in the data collection. </w:t>
      </w:r>
    </w:p>
    <w:p w:rsidR="005F4352" w:rsidRDefault="005F4352" w:rsidP="00937D1E">
      <w:pPr>
        <w:spacing w:line="240" w:lineRule="auto"/>
      </w:pPr>
    </w:p>
    <w:p w:rsidR="001A0A7F" w:rsidRDefault="00283935" w:rsidP="00937D1E">
      <w:pPr>
        <w:spacing w:line="240" w:lineRule="auto"/>
      </w:pPr>
      <w:r>
        <w:t>T</w:t>
      </w:r>
      <w:r w:rsidR="004645FD">
        <w:t>he survey findings are detailed below.</w:t>
      </w:r>
    </w:p>
    <w:p w:rsidR="00AE2F97" w:rsidRDefault="00AE2F97" w:rsidP="00BA3E66">
      <w:pPr>
        <w:pStyle w:val="ListParagraph"/>
        <w:numPr>
          <w:ilvl w:val="0"/>
          <w:numId w:val="40"/>
        </w:numPr>
        <w:spacing w:line="240" w:lineRule="auto"/>
      </w:pPr>
      <w:r>
        <w:t>The majority of the survey respondents were female (45.7%)</w:t>
      </w:r>
      <w:r w:rsidR="000E45AA">
        <w:t xml:space="preserve"> (</w:t>
      </w:r>
      <w:proofErr w:type="gramStart"/>
      <w:r w:rsidR="000E45AA">
        <w:t>see</w:t>
      </w:r>
      <w:proofErr w:type="gramEnd"/>
      <w:r w:rsidR="000E45AA">
        <w:t xml:space="preserve"> Table A)</w:t>
      </w:r>
      <w:r>
        <w:t>.</w:t>
      </w:r>
      <w:r w:rsidR="00C47B94">
        <w:t xml:space="preserve"> One in eight survey respondents did not specify their gender.</w:t>
      </w:r>
      <w:r w:rsidR="00E048AA">
        <w:t xml:space="preserve"> More than half of the survey respondents (56.3%) undertook Year </w:t>
      </w:r>
      <w:smartTag w:uri="urn:schemas-microsoft-com:office:smarttags" w:element="metricconverter">
        <w:smartTagPr>
          <w:attr w:name="ProductID" w:val="12 in"/>
        </w:smartTagPr>
        <w:r w:rsidR="00E048AA">
          <w:t>12 in</w:t>
        </w:r>
      </w:smartTag>
      <w:r w:rsidR="00E048AA">
        <w:t xml:space="preserve"> 2012 at a Government </w:t>
      </w:r>
      <w:proofErr w:type="gramStart"/>
      <w:r w:rsidR="00E048AA">
        <w:t>school</w:t>
      </w:r>
      <w:r w:rsidR="004645FD">
        <w:t xml:space="preserve"> ,</w:t>
      </w:r>
      <w:proofErr w:type="gramEnd"/>
      <w:r w:rsidR="004645FD">
        <w:t xml:space="preserve"> with 22.6% attending a Catholic school and 21.0% attending an </w:t>
      </w:r>
      <w:proofErr w:type="spellStart"/>
      <w:r w:rsidR="004645FD">
        <w:t>AISWA</w:t>
      </w:r>
      <w:proofErr w:type="spellEnd"/>
      <w:r w:rsidR="004645FD">
        <w:t xml:space="preserve"> school</w:t>
      </w:r>
      <w:r w:rsidR="00E048AA">
        <w:t>.</w:t>
      </w:r>
    </w:p>
    <w:p w:rsidR="00DC13FA" w:rsidRDefault="00E67D03" w:rsidP="00BA3E66">
      <w:pPr>
        <w:pStyle w:val="ListParagraph"/>
        <w:numPr>
          <w:ilvl w:val="0"/>
          <w:numId w:val="40"/>
        </w:numPr>
        <w:spacing w:line="240" w:lineRule="auto"/>
      </w:pPr>
      <w:r>
        <w:t xml:space="preserve">The majority of former students (71.3%) were studying </w:t>
      </w:r>
      <w:r w:rsidR="000335BD">
        <w:t>in May 2013</w:t>
      </w:r>
      <w:r>
        <w:t>, with</w:t>
      </w:r>
      <w:r w:rsidR="00AA4275">
        <w:t xml:space="preserve"> </w:t>
      </w:r>
      <w:r w:rsidR="000335BD">
        <w:t xml:space="preserve">approximately </w:t>
      </w:r>
      <w:r w:rsidR="00AA4275">
        <w:t>half of the former students studying at university</w:t>
      </w:r>
      <w:r w:rsidR="000335BD">
        <w:t xml:space="preserve"> (50.7%)</w:t>
      </w:r>
      <w:r w:rsidR="00AA4275">
        <w:t xml:space="preserve"> (</w:t>
      </w:r>
      <w:proofErr w:type="gramStart"/>
      <w:r w:rsidR="00AA4275">
        <w:t>see</w:t>
      </w:r>
      <w:proofErr w:type="gramEnd"/>
      <w:r w:rsidR="00AA4275">
        <w:t xml:space="preserve"> Table </w:t>
      </w:r>
      <w:r w:rsidR="00AE2F97">
        <w:t>B</w:t>
      </w:r>
      <w:r w:rsidR="00AA4275">
        <w:t>). Less than one in five former students (17.1%) w</w:t>
      </w:r>
      <w:r w:rsidR="000335BD">
        <w:t>as</w:t>
      </w:r>
      <w:r w:rsidR="00AA4275">
        <w:t xml:space="preserve"> either employed or seeking employment assistance. One in ten (10.4%) had deferred study or training. </w:t>
      </w:r>
    </w:p>
    <w:p w:rsidR="001A0A7F" w:rsidRDefault="001A0A7F" w:rsidP="00BA3E66">
      <w:pPr>
        <w:pStyle w:val="ListParagraph"/>
        <w:numPr>
          <w:ilvl w:val="0"/>
          <w:numId w:val="40"/>
        </w:numPr>
        <w:spacing w:line="240" w:lineRule="auto"/>
      </w:pPr>
      <w:r>
        <w:t>Female survey respondents (70.8%) appeared to be more likely than male respondents (67.8%) to be studying (see Table C). Males (22.4%) were more likely to be employed or looking for employment than females (16.9%); and females (11.0%) were more likely than males (8.2%) to have deferred study or training.</w:t>
      </w:r>
    </w:p>
    <w:p w:rsidR="001A0A7F" w:rsidRDefault="001A0A7F" w:rsidP="00BA3E66">
      <w:pPr>
        <w:pStyle w:val="ListParagraph"/>
        <w:numPr>
          <w:ilvl w:val="0"/>
          <w:numId w:val="40"/>
        </w:numPr>
        <w:spacing w:line="240" w:lineRule="auto"/>
      </w:pPr>
      <w:r>
        <w:t xml:space="preserve">Approximately four out of five survey respondents who undertook Year 12 in 2012 in an </w:t>
      </w:r>
      <w:proofErr w:type="spellStart"/>
      <w:r>
        <w:t>AISWA</w:t>
      </w:r>
      <w:proofErr w:type="spellEnd"/>
      <w:r>
        <w:t xml:space="preserve"> (80.8%) or Catholic (79.9%) school were studying, compared to only 64.2% of respondents who undertook Year 12 in a Government school (see Table D). Survey respondents from a Government school (25.1%) were much more likely to be employed or looking for employment than those </w:t>
      </w:r>
      <w:r w:rsidR="005A53DA">
        <w:t>who attended</w:t>
      </w:r>
      <w:r>
        <w:t xml:space="preserve"> an </w:t>
      </w:r>
      <w:proofErr w:type="spellStart"/>
      <w:r>
        <w:t>AISWA</w:t>
      </w:r>
      <w:proofErr w:type="spellEnd"/>
      <w:r>
        <w:t xml:space="preserve"> (4.9%) or a Catholic (8.2%) school. Survey respondents from an </w:t>
      </w:r>
      <w:proofErr w:type="spellStart"/>
      <w:r>
        <w:t>AISWA</w:t>
      </w:r>
      <w:proofErr w:type="spellEnd"/>
      <w:r>
        <w:t xml:space="preserve"> school ((13.9%) were more likely than those from a Catholic (11.7%) or a Government (8.6%) school to have deferred study or training.</w:t>
      </w:r>
    </w:p>
    <w:p w:rsidR="001A0A7F" w:rsidRDefault="001A0A7F" w:rsidP="00017255">
      <w:pPr>
        <w:pStyle w:val="ListParagraph"/>
        <w:numPr>
          <w:ilvl w:val="0"/>
          <w:numId w:val="40"/>
        </w:numPr>
        <w:spacing w:line="240" w:lineRule="auto"/>
        <w:ind w:left="357" w:hanging="357"/>
      </w:pPr>
      <w:r>
        <w:t xml:space="preserve">Male survey respondents </w:t>
      </w:r>
      <w:r w:rsidR="004645FD">
        <w:t xml:space="preserve">across all three sectors </w:t>
      </w:r>
      <w:r>
        <w:t>were slightly less likely than female survey respondents to be studying (see Table E).</w:t>
      </w:r>
      <w:r w:rsidR="005A53DA">
        <w:t xml:space="preserve"> Male respondents from all sectors were more likely than female respondents to be employed or seeking employment, particularly among respondents who had attended a Government school. Female respondents across all sectors were more likely than male respondents to have deferred study or training.</w:t>
      </w:r>
    </w:p>
    <w:p w:rsidR="00D04B1B" w:rsidRDefault="00D04B1B">
      <w:pPr>
        <w:spacing w:line="240" w:lineRule="auto"/>
        <w:rPr>
          <w:b/>
        </w:rPr>
      </w:pPr>
      <w:r>
        <w:rPr>
          <w:b/>
        </w:rPr>
        <w:br w:type="page"/>
      </w:r>
    </w:p>
    <w:p w:rsidR="00944411" w:rsidRPr="00BC2B5D" w:rsidRDefault="00944411" w:rsidP="006F48D6">
      <w:pPr>
        <w:pStyle w:val="Heading4"/>
      </w:pPr>
      <w:r>
        <w:lastRenderedPageBreak/>
        <w:t>Table A:  2012 Year 12 Cohort – Sample charact</w:t>
      </w:r>
      <w:r w:rsidR="0092548B">
        <w:t>er</w:t>
      </w:r>
      <w:r>
        <w:t>istics</w:t>
      </w:r>
      <w:r w:rsidR="00C750E5">
        <w:t xml:space="preserve"> (n</w:t>
      </w:r>
      <w:r w:rsidR="00030583">
        <w:t>=17,248)</w:t>
      </w:r>
    </w:p>
    <w:tbl>
      <w:tblPr>
        <w:tblStyle w:val="TableGrid"/>
        <w:tblW w:w="0" w:type="auto"/>
        <w:tblInd w:w="221" w:type="dxa"/>
        <w:tblLayout w:type="fixed"/>
        <w:tblLook w:val="06E0" w:firstRow="1" w:lastRow="1" w:firstColumn="1" w:lastColumn="0" w:noHBand="1" w:noVBand="1"/>
        <w:tblDescription w:val="Table showing 2012 year 12 cohort sample characteristics, gender and school sector"/>
      </w:tblPr>
      <w:tblGrid>
        <w:gridCol w:w="4065"/>
        <w:gridCol w:w="1337"/>
        <w:gridCol w:w="1246"/>
      </w:tblGrid>
      <w:tr w:rsidR="00944411" w:rsidRPr="008878EF" w:rsidTr="007D5CF1">
        <w:trPr>
          <w:trHeight w:val="289"/>
          <w:tblHeader/>
        </w:trPr>
        <w:tc>
          <w:tcPr>
            <w:tcW w:w="4065" w:type="dxa"/>
            <w:tcBorders>
              <w:bottom w:val="single" w:sz="4" w:space="0" w:color="000000"/>
            </w:tcBorders>
            <w:noWrap/>
            <w:hideMark/>
          </w:tcPr>
          <w:p w:rsidR="00944411" w:rsidRPr="008878EF" w:rsidRDefault="00944411" w:rsidP="00017255">
            <w:pPr>
              <w:spacing w:line="240" w:lineRule="auto"/>
              <w:ind w:left="284"/>
              <w:rPr>
                <w:rFonts w:eastAsia="Times New Roman"/>
                <w:b/>
                <w:color w:val="000000"/>
                <w:lang w:eastAsia="en-AU"/>
              </w:rPr>
            </w:pPr>
            <w:r>
              <w:rPr>
                <w:rFonts w:eastAsia="Times New Roman"/>
                <w:b/>
                <w:color w:val="000000"/>
                <w:lang w:eastAsia="en-AU"/>
              </w:rPr>
              <w:t>Characteristics</w:t>
            </w:r>
            <w:r w:rsidR="002D0E03">
              <w:rPr>
                <w:rFonts w:eastAsia="Times New Roman"/>
                <w:b/>
                <w:color w:val="000000"/>
                <w:lang w:eastAsia="en-AU"/>
              </w:rPr>
              <w:t>- gender</w:t>
            </w:r>
          </w:p>
        </w:tc>
        <w:tc>
          <w:tcPr>
            <w:tcW w:w="1337" w:type="dxa"/>
            <w:tcBorders>
              <w:bottom w:val="single" w:sz="4" w:space="0" w:color="000000"/>
            </w:tcBorders>
            <w:noWrap/>
            <w:hideMark/>
          </w:tcPr>
          <w:p w:rsidR="00944411" w:rsidRPr="008878EF" w:rsidRDefault="00944411" w:rsidP="00017255">
            <w:pPr>
              <w:spacing w:line="240" w:lineRule="auto"/>
              <w:ind w:left="284"/>
              <w:jc w:val="right"/>
              <w:rPr>
                <w:rFonts w:eastAsia="Times New Roman"/>
                <w:b/>
                <w:color w:val="000000"/>
                <w:lang w:eastAsia="en-AU"/>
              </w:rPr>
            </w:pPr>
            <w:r w:rsidRPr="008878EF">
              <w:rPr>
                <w:rFonts w:eastAsia="Times New Roman"/>
                <w:b/>
                <w:color w:val="000000"/>
                <w:lang w:eastAsia="en-AU"/>
              </w:rPr>
              <w:t>Count</w:t>
            </w:r>
          </w:p>
        </w:tc>
        <w:tc>
          <w:tcPr>
            <w:tcW w:w="1246" w:type="dxa"/>
            <w:tcBorders>
              <w:bottom w:val="single" w:sz="4" w:space="0" w:color="000000"/>
            </w:tcBorders>
            <w:noWrap/>
            <w:hideMark/>
          </w:tcPr>
          <w:p w:rsidR="00944411" w:rsidRPr="008878EF" w:rsidRDefault="00944411" w:rsidP="00017255">
            <w:pPr>
              <w:spacing w:line="240" w:lineRule="auto"/>
              <w:ind w:left="284"/>
              <w:jc w:val="right"/>
              <w:rPr>
                <w:rFonts w:eastAsia="Times New Roman"/>
                <w:b/>
                <w:color w:val="000000"/>
                <w:lang w:eastAsia="en-AU"/>
              </w:rPr>
            </w:pPr>
            <w:r w:rsidRPr="008878EF">
              <w:rPr>
                <w:rFonts w:eastAsia="Times New Roman"/>
                <w:b/>
                <w:color w:val="000000"/>
                <w:lang w:eastAsia="en-AU"/>
              </w:rPr>
              <w:t>Percent</w:t>
            </w:r>
          </w:p>
        </w:tc>
      </w:tr>
      <w:tr w:rsidR="00944411" w:rsidRPr="00DC13FA" w:rsidTr="00E840FB">
        <w:trPr>
          <w:trHeight w:val="289"/>
        </w:trPr>
        <w:tc>
          <w:tcPr>
            <w:tcW w:w="4065" w:type="dxa"/>
            <w:noWrap/>
            <w:vAlign w:val="bottom"/>
            <w:hideMark/>
          </w:tcPr>
          <w:p w:rsidR="00944411" w:rsidRPr="00DC13FA" w:rsidRDefault="00944411" w:rsidP="00017255">
            <w:pPr>
              <w:ind w:left="284"/>
              <w:rPr>
                <w:color w:val="000000"/>
              </w:rPr>
            </w:pPr>
            <w:r>
              <w:rPr>
                <w:color w:val="000000"/>
              </w:rPr>
              <w:t>Female</w:t>
            </w:r>
          </w:p>
        </w:tc>
        <w:tc>
          <w:tcPr>
            <w:tcW w:w="1337" w:type="dxa"/>
            <w:noWrap/>
            <w:vAlign w:val="bottom"/>
          </w:tcPr>
          <w:p w:rsidR="00944411" w:rsidRPr="00DC13FA" w:rsidRDefault="00944411" w:rsidP="00017255">
            <w:pPr>
              <w:ind w:left="284"/>
              <w:jc w:val="right"/>
              <w:rPr>
                <w:color w:val="000000"/>
              </w:rPr>
            </w:pPr>
            <w:r>
              <w:rPr>
                <w:color w:val="000000"/>
              </w:rPr>
              <w:t>7,885</w:t>
            </w:r>
          </w:p>
        </w:tc>
        <w:tc>
          <w:tcPr>
            <w:tcW w:w="1246" w:type="dxa"/>
            <w:noWrap/>
            <w:vAlign w:val="bottom"/>
          </w:tcPr>
          <w:p w:rsidR="00944411" w:rsidRPr="00DC13FA" w:rsidRDefault="00EA50FC" w:rsidP="00017255">
            <w:pPr>
              <w:ind w:left="284"/>
              <w:jc w:val="right"/>
              <w:rPr>
                <w:color w:val="000000"/>
              </w:rPr>
            </w:pPr>
            <w:r>
              <w:rPr>
                <w:color w:val="000000"/>
              </w:rPr>
              <w:t>45.7</w:t>
            </w:r>
            <w:r w:rsidR="00C47B94">
              <w:rPr>
                <w:color w:val="000000"/>
              </w:rPr>
              <w:t>%</w:t>
            </w:r>
          </w:p>
        </w:tc>
      </w:tr>
      <w:tr w:rsidR="00944411" w:rsidRPr="00DC13FA" w:rsidTr="00E840FB">
        <w:trPr>
          <w:trHeight w:val="289"/>
        </w:trPr>
        <w:tc>
          <w:tcPr>
            <w:tcW w:w="4065" w:type="dxa"/>
            <w:noWrap/>
            <w:vAlign w:val="bottom"/>
            <w:hideMark/>
          </w:tcPr>
          <w:p w:rsidR="00944411" w:rsidRPr="00DC13FA" w:rsidRDefault="00944411" w:rsidP="00017255">
            <w:pPr>
              <w:ind w:left="284"/>
              <w:rPr>
                <w:color w:val="000000"/>
              </w:rPr>
            </w:pPr>
            <w:r>
              <w:rPr>
                <w:color w:val="000000"/>
              </w:rPr>
              <w:t>Male</w:t>
            </w:r>
          </w:p>
        </w:tc>
        <w:tc>
          <w:tcPr>
            <w:tcW w:w="1337" w:type="dxa"/>
            <w:noWrap/>
            <w:vAlign w:val="bottom"/>
          </w:tcPr>
          <w:p w:rsidR="00944411" w:rsidRPr="00DC13FA" w:rsidRDefault="00944411" w:rsidP="00017255">
            <w:pPr>
              <w:ind w:left="284"/>
              <w:jc w:val="right"/>
              <w:rPr>
                <w:color w:val="000000"/>
              </w:rPr>
            </w:pPr>
            <w:r>
              <w:rPr>
                <w:color w:val="000000"/>
              </w:rPr>
              <w:t>7,200</w:t>
            </w:r>
          </w:p>
        </w:tc>
        <w:tc>
          <w:tcPr>
            <w:tcW w:w="1246" w:type="dxa"/>
            <w:noWrap/>
            <w:vAlign w:val="bottom"/>
          </w:tcPr>
          <w:p w:rsidR="00944411" w:rsidRPr="00DC13FA" w:rsidRDefault="00EA50FC" w:rsidP="00017255">
            <w:pPr>
              <w:ind w:left="284"/>
              <w:jc w:val="right"/>
              <w:rPr>
                <w:color w:val="000000"/>
              </w:rPr>
            </w:pPr>
            <w:r>
              <w:rPr>
                <w:color w:val="000000"/>
              </w:rPr>
              <w:t>41.7</w:t>
            </w:r>
            <w:r w:rsidR="00C47B94">
              <w:rPr>
                <w:color w:val="000000"/>
              </w:rPr>
              <w:t>%</w:t>
            </w:r>
          </w:p>
        </w:tc>
      </w:tr>
      <w:tr w:rsidR="00944411" w:rsidRPr="00DC13FA" w:rsidTr="00E840FB">
        <w:trPr>
          <w:trHeight w:val="289"/>
        </w:trPr>
        <w:tc>
          <w:tcPr>
            <w:tcW w:w="4065" w:type="dxa"/>
            <w:noWrap/>
            <w:vAlign w:val="bottom"/>
            <w:hideMark/>
          </w:tcPr>
          <w:p w:rsidR="00944411" w:rsidRPr="00DC13FA" w:rsidRDefault="00944411" w:rsidP="00017255">
            <w:pPr>
              <w:ind w:left="284"/>
              <w:rPr>
                <w:color w:val="000000"/>
              </w:rPr>
            </w:pPr>
            <w:r>
              <w:rPr>
                <w:color w:val="000000"/>
              </w:rPr>
              <w:t>Gender not stated</w:t>
            </w:r>
          </w:p>
        </w:tc>
        <w:tc>
          <w:tcPr>
            <w:tcW w:w="1337" w:type="dxa"/>
            <w:noWrap/>
            <w:vAlign w:val="bottom"/>
          </w:tcPr>
          <w:p w:rsidR="00944411" w:rsidRPr="00DC13FA" w:rsidRDefault="00944411" w:rsidP="00017255">
            <w:pPr>
              <w:ind w:left="284"/>
              <w:jc w:val="right"/>
              <w:rPr>
                <w:color w:val="000000"/>
              </w:rPr>
            </w:pPr>
            <w:r>
              <w:rPr>
                <w:color w:val="000000"/>
              </w:rPr>
              <w:t>2,163</w:t>
            </w:r>
          </w:p>
        </w:tc>
        <w:tc>
          <w:tcPr>
            <w:tcW w:w="1246" w:type="dxa"/>
            <w:noWrap/>
            <w:vAlign w:val="bottom"/>
          </w:tcPr>
          <w:p w:rsidR="00944411" w:rsidRPr="00DC13FA" w:rsidRDefault="00EA50FC" w:rsidP="00017255">
            <w:pPr>
              <w:ind w:left="284"/>
              <w:jc w:val="right"/>
              <w:rPr>
                <w:color w:val="000000"/>
              </w:rPr>
            </w:pPr>
            <w:r>
              <w:rPr>
                <w:color w:val="000000"/>
              </w:rPr>
              <w:t>12.5</w:t>
            </w:r>
            <w:r w:rsidR="00C47B94">
              <w:rPr>
                <w:color w:val="000000"/>
              </w:rPr>
              <w:t>%</w:t>
            </w:r>
          </w:p>
        </w:tc>
      </w:tr>
      <w:tr w:rsidR="00944411" w:rsidRPr="00AE2F97" w:rsidTr="00E840FB">
        <w:trPr>
          <w:trHeight w:val="289"/>
        </w:trPr>
        <w:tc>
          <w:tcPr>
            <w:tcW w:w="4065" w:type="dxa"/>
            <w:tcBorders>
              <w:bottom w:val="single" w:sz="4" w:space="0" w:color="000000"/>
            </w:tcBorders>
            <w:noWrap/>
            <w:vAlign w:val="bottom"/>
          </w:tcPr>
          <w:p w:rsidR="00944411" w:rsidRPr="00AE2F97" w:rsidRDefault="00944411" w:rsidP="00017255">
            <w:pPr>
              <w:ind w:left="284"/>
              <w:rPr>
                <w:b/>
                <w:i/>
                <w:color w:val="000000"/>
              </w:rPr>
            </w:pPr>
            <w:r w:rsidRPr="00AE2F97">
              <w:rPr>
                <w:b/>
                <w:i/>
                <w:color w:val="000000"/>
              </w:rPr>
              <w:t>Total</w:t>
            </w:r>
          </w:p>
        </w:tc>
        <w:tc>
          <w:tcPr>
            <w:tcW w:w="1337" w:type="dxa"/>
            <w:tcBorders>
              <w:bottom w:val="single" w:sz="4" w:space="0" w:color="000000"/>
            </w:tcBorders>
            <w:noWrap/>
            <w:vAlign w:val="bottom"/>
          </w:tcPr>
          <w:p w:rsidR="00944411" w:rsidRPr="00AE2F97" w:rsidRDefault="00EA50FC" w:rsidP="00017255">
            <w:pPr>
              <w:ind w:left="284"/>
              <w:jc w:val="right"/>
              <w:rPr>
                <w:b/>
                <w:color w:val="000000"/>
              </w:rPr>
            </w:pPr>
            <w:r w:rsidRPr="00AE2F97">
              <w:rPr>
                <w:b/>
                <w:color w:val="000000"/>
              </w:rPr>
              <w:t>17,248</w:t>
            </w:r>
          </w:p>
        </w:tc>
        <w:tc>
          <w:tcPr>
            <w:tcW w:w="1246" w:type="dxa"/>
            <w:tcBorders>
              <w:bottom w:val="single" w:sz="4" w:space="0" w:color="000000"/>
            </w:tcBorders>
            <w:noWrap/>
            <w:vAlign w:val="bottom"/>
          </w:tcPr>
          <w:p w:rsidR="00944411" w:rsidRPr="00AE2F97" w:rsidRDefault="00EA50FC" w:rsidP="00017255">
            <w:pPr>
              <w:ind w:left="284"/>
              <w:jc w:val="right"/>
              <w:rPr>
                <w:b/>
                <w:color w:val="000000"/>
              </w:rPr>
            </w:pPr>
            <w:r w:rsidRPr="00AE2F97">
              <w:rPr>
                <w:b/>
                <w:color w:val="000000"/>
              </w:rPr>
              <w:t>100.0</w:t>
            </w:r>
            <w:r w:rsidR="00C47B94">
              <w:rPr>
                <w:b/>
                <w:color w:val="000000"/>
              </w:rPr>
              <w:t>%</w:t>
            </w:r>
            <w:r w:rsidRPr="00AE2F97">
              <w:rPr>
                <w:b/>
                <w:color w:val="000000"/>
              </w:rPr>
              <w:t>*</w:t>
            </w:r>
          </w:p>
        </w:tc>
      </w:tr>
      <w:tr w:rsidR="00944411" w:rsidRPr="002D0E03" w:rsidTr="00E840FB">
        <w:trPr>
          <w:trHeight w:val="289"/>
        </w:trPr>
        <w:tc>
          <w:tcPr>
            <w:tcW w:w="4065" w:type="dxa"/>
            <w:tcBorders>
              <w:top w:val="single" w:sz="4" w:space="0" w:color="auto"/>
              <w:bottom w:val="single" w:sz="4" w:space="0" w:color="000000"/>
            </w:tcBorders>
            <w:shd w:val="clear" w:color="auto" w:fill="DDDDDD" w:themeFill="accent1"/>
            <w:noWrap/>
            <w:vAlign w:val="bottom"/>
          </w:tcPr>
          <w:p w:rsidR="00944411" w:rsidRPr="002D0E03" w:rsidRDefault="00E048AA" w:rsidP="00017255">
            <w:pPr>
              <w:ind w:left="284"/>
              <w:rPr>
                <w:b/>
                <w:color w:val="000000"/>
              </w:rPr>
            </w:pPr>
            <w:r w:rsidRPr="002D0E03">
              <w:rPr>
                <w:b/>
                <w:color w:val="000000"/>
              </w:rPr>
              <w:t>Sector</w:t>
            </w:r>
          </w:p>
        </w:tc>
        <w:tc>
          <w:tcPr>
            <w:tcW w:w="1337" w:type="dxa"/>
            <w:tcBorders>
              <w:top w:val="single" w:sz="4" w:space="0" w:color="auto"/>
              <w:bottom w:val="single" w:sz="4" w:space="0" w:color="000000"/>
            </w:tcBorders>
            <w:shd w:val="clear" w:color="auto" w:fill="DDDDDD" w:themeFill="accent1"/>
            <w:noWrap/>
            <w:vAlign w:val="bottom"/>
          </w:tcPr>
          <w:p w:rsidR="00944411" w:rsidRPr="002D0E03" w:rsidRDefault="002D0E03" w:rsidP="00017255">
            <w:pPr>
              <w:ind w:left="284"/>
              <w:jc w:val="right"/>
              <w:rPr>
                <w:b/>
                <w:color w:val="000000"/>
              </w:rPr>
            </w:pPr>
            <w:r w:rsidRPr="002D0E03">
              <w:rPr>
                <w:b/>
                <w:color w:val="000000"/>
              </w:rPr>
              <w:t>Count</w:t>
            </w:r>
          </w:p>
        </w:tc>
        <w:tc>
          <w:tcPr>
            <w:tcW w:w="1246" w:type="dxa"/>
            <w:tcBorders>
              <w:top w:val="single" w:sz="4" w:space="0" w:color="auto"/>
              <w:bottom w:val="single" w:sz="4" w:space="0" w:color="000000"/>
            </w:tcBorders>
            <w:shd w:val="clear" w:color="auto" w:fill="DDDDDD" w:themeFill="accent1"/>
            <w:noWrap/>
            <w:vAlign w:val="bottom"/>
          </w:tcPr>
          <w:p w:rsidR="00944411" w:rsidRPr="002D0E03" w:rsidRDefault="002D0E03" w:rsidP="00017255">
            <w:pPr>
              <w:ind w:left="284"/>
              <w:jc w:val="right"/>
              <w:rPr>
                <w:b/>
                <w:color w:val="000000"/>
              </w:rPr>
            </w:pPr>
            <w:r w:rsidRPr="002D0E03">
              <w:rPr>
                <w:b/>
                <w:color w:val="000000"/>
              </w:rPr>
              <w:t>Percent</w:t>
            </w:r>
          </w:p>
        </w:tc>
      </w:tr>
      <w:tr w:rsidR="00944411" w:rsidRPr="00DC13FA" w:rsidTr="00E840FB">
        <w:trPr>
          <w:trHeight w:val="289"/>
        </w:trPr>
        <w:tc>
          <w:tcPr>
            <w:tcW w:w="4065" w:type="dxa"/>
            <w:noWrap/>
            <w:vAlign w:val="bottom"/>
          </w:tcPr>
          <w:p w:rsidR="00944411" w:rsidRPr="00DC13FA" w:rsidRDefault="00E048AA" w:rsidP="00017255">
            <w:pPr>
              <w:ind w:left="284"/>
              <w:rPr>
                <w:color w:val="000000"/>
              </w:rPr>
            </w:pPr>
            <w:proofErr w:type="spellStart"/>
            <w:r>
              <w:rPr>
                <w:color w:val="000000"/>
              </w:rPr>
              <w:t>AISWA</w:t>
            </w:r>
            <w:proofErr w:type="spellEnd"/>
          </w:p>
        </w:tc>
        <w:tc>
          <w:tcPr>
            <w:tcW w:w="1337" w:type="dxa"/>
            <w:noWrap/>
            <w:vAlign w:val="bottom"/>
          </w:tcPr>
          <w:p w:rsidR="00944411" w:rsidRPr="00DC13FA" w:rsidRDefault="00E048AA" w:rsidP="00017255">
            <w:pPr>
              <w:ind w:left="284"/>
              <w:jc w:val="right"/>
              <w:rPr>
                <w:color w:val="000000"/>
              </w:rPr>
            </w:pPr>
            <w:r>
              <w:rPr>
                <w:color w:val="000000"/>
              </w:rPr>
              <w:t>3,629</w:t>
            </w:r>
          </w:p>
        </w:tc>
        <w:tc>
          <w:tcPr>
            <w:tcW w:w="1246" w:type="dxa"/>
            <w:noWrap/>
            <w:vAlign w:val="bottom"/>
          </w:tcPr>
          <w:p w:rsidR="00944411" w:rsidRPr="00DC13FA" w:rsidRDefault="00E048AA" w:rsidP="00017255">
            <w:pPr>
              <w:ind w:left="284"/>
              <w:jc w:val="right"/>
              <w:rPr>
                <w:color w:val="000000"/>
              </w:rPr>
            </w:pPr>
            <w:r>
              <w:rPr>
                <w:color w:val="000000"/>
              </w:rPr>
              <w:t>21.0</w:t>
            </w:r>
            <w:r w:rsidR="00C47B94">
              <w:rPr>
                <w:color w:val="000000"/>
              </w:rPr>
              <w:t>%</w:t>
            </w:r>
          </w:p>
        </w:tc>
      </w:tr>
      <w:tr w:rsidR="00944411" w:rsidRPr="00DC13FA" w:rsidTr="00E840FB">
        <w:trPr>
          <w:trHeight w:val="289"/>
        </w:trPr>
        <w:tc>
          <w:tcPr>
            <w:tcW w:w="4065" w:type="dxa"/>
            <w:noWrap/>
            <w:vAlign w:val="bottom"/>
          </w:tcPr>
          <w:p w:rsidR="00944411" w:rsidRPr="00DC13FA" w:rsidRDefault="00E048AA" w:rsidP="00017255">
            <w:pPr>
              <w:ind w:left="284"/>
              <w:rPr>
                <w:color w:val="000000"/>
              </w:rPr>
            </w:pPr>
            <w:r>
              <w:rPr>
                <w:color w:val="000000"/>
              </w:rPr>
              <w:t>Catholic</w:t>
            </w:r>
          </w:p>
        </w:tc>
        <w:tc>
          <w:tcPr>
            <w:tcW w:w="1337" w:type="dxa"/>
            <w:noWrap/>
            <w:vAlign w:val="bottom"/>
          </w:tcPr>
          <w:p w:rsidR="00944411" w:rsidRPr="00DC13FA" w:rsidRDefault="00E048AA" w:rsidP="00017255">
            <w:pPr>
              <w:ind w:left="284"/>
              <w:jc w:val="right"/>
              <w:rPr>
                <w:color w:val="000000"/>
              </w:rPr>
            </w:pPr>
            <w:r>
              <w:rPr>
                <w:color w:val="000000"/>
              </w:rPr>
              <w:t>3,902</w:t>
            </w:r>
          </w:p>
        </w:tc>
        <w:tc>
          <w:tcPr>
            <w:tcW w:w="1246" w:type="dxa"/>
            <w:noWrap/>
            <w:vAlign w:val="bottom"/>
          </w:tcPr>
          <w:p w:rsidR="00944411" w:rsidRPr="00DC13FA" w:rsidRDefault="00E048AA" w:rsidP="00017255">
            <w:pPr>
              <w:ind w:left="284"/>
              <w:jc w:val="right"/>
              <w:rPr>
                <w:color w:val="000000"/>
              </w:rPr>
            </w:pPr>
            <w:r>
              <w:rPr>
                <w:color w:val="000000"/>
              </w:rPr>
              <w:t>22.6</w:t>
            </w:r>
            <w:r w:rsidR="00C47B94">
              <w:rPr>
                <w:color w:val="000000"/>
              </w:rPr>
              <w:t>%</w:t>
            </w:r>
          </w:p>
        </w:tc>
      </w:tr>
      <w:tr w:rsidR="00944411" w:rsidRPr="00DC13FA" w:rsidTr="00E840FB">
        <w:trPr>
          <w:trHeight w:val="289"/>
        </w:trPr>
        <w:tc>
          <w:tcPr>
            <w:tcW w:w="4065" w:type="dxa"/>
            <w:tcBorders>
              <w:bottom w:val="single" w:sz="4" w:space="0" w:color="000000"/>
            </w:tcBorders>
            <w:noWrap/>
            <w:vAlign w:val="bottom"/>
          </w:tcPr>
          <w:p w:rsidR="00944411" w:rsidRPr="00DC13FA" w:rsidRDefault="00E048AA" w:rsidP="00017255">
            <w:pPr>
              <w:ind w:left="284"/>
              <w:rPr>
                <w:color w:val="000000"/>
              </w:rPr>
            </w:pPr>
            <w:r>
              <w:rPr>
                <w:color w:val="000000"/>
              </w:rPr>
              <w:t>Government</w:t>
            </w:r>
          </w:p>
        </w:tc>
        <w:tc>
          <w:tcPr>
            <w:tcW w:w="1337" w:type="dxa"/>
            <w:tcBorders>
              <w:bottom w:val="single" w:sz="4" w:space="0" w:color="000000"/>
            </w:tcBorders>
            <w:noWrap/>
            <w:vAlign w:val="bottom"/>
          </w:tcPr>
          <w:p w:rsidR="00944411" w:rsidRPr="00DC13FA" w:rsidRDefault="00E048AA" w:rsidP="00017255">
            <w:pPr>
              <w:ind w:left="284"/>
              <w:jc w:val="right"/>
              <w:rPr>
                <w:color w:val="000000"/>
              </w:rPr>
            </w:pPr>
            <w:r>
              <w:rPr>
                <w:color w:val="000000"/>
              </w:rPr>
              <w:t>9,717</w:t>
            </w:r>
          </w:p>
        </w:tc>
        <w:tc>
          <w:tcPr>
            <w:tcW w:w="1246" w:type="dxa"/>
            <w:tcBorders>
              <w:bottom w:val="single" w:sz="4" w:space="0" w:color="000000"/>
            </w:tcBorders>
            <w:noWrap/>
            <w:vAlign w:val="bottom"/>
          </w:tcPr>
          <w:p w:rsidR="00944411" w:rsidRPr="00DC13FA" w:rsidRDefault="00E048AA" w:rsidP="00017255">
            <w:pPr>
              <w:ind w:left="284"/>
              <w:jc w:val="right"/>
              <w:rPr>
                <w:color w:val="000000"/>
              </w:rPr>
            </w:pPr>
            <w:r>
              <w:rPr>
                <w:color w:val="000000"/>
              </w:rPr>
              <w:t>56.3</w:t>
            </w:r>
            <w:r w:rsidR="00C47B94">
              <w:rPr>
                <w:color w:val="000000"/>
              </w:rPr>
              <w:t>%</w:t>
            </w:r>
          </w:p>
        </w:tc>
      </w:tr>
      <w:tr w:rsidR="00944411" w:rsidRPr="00E048AA" w:rsidTr="00E840FB">
        <w:trPr>
          <w:trHeight w:val="289"/>
        </w:trPr>
        <w:tc>
          <w:tcPr>
            <w:tcW w:w="4065" w:type="dxa"/>
            <w:noWrap/>
            <w:hideMark/>
          </w:tcPr>
          <w:p w:rsidR="00944411" w:rsidRPr="00E048AA" w:rsidRDefault="00944411" w:rsidP="00017255">
            <w:pPr>
              <w:spacing w:line="240" w:lineRule="auto"/>
              <w:ind w:left="284"/>
              <w:rPr>
                <w:rFonts w:eastAsia="Times New Roman"/>
                <w:b/>
                <w:i/>
                <w:color w:val="000000"/>
                <w:lang w:eastAsia="en-AU"/>
              </w:rPr>
            </w:pPr>
            <w:r w:rsidRPr="00E048AA">
              <w:rPr>
                <w:rFonts w:eastAsia="Times New Roman"/>
                <w:b/>
                <w:i/>
                <w:color w:val="000000"/>
                <w:lang w:eastAsia="en-AU"/>
              </w:rPr>
              <w:t> Total</w:t>
            </w:r>
          </w:p>
        </w:tc>
        <w:tc>
          <w:tcPr>
            <w:tcW w:w="1337" w:type="dxa"/>
            <w:noWrap/>
            <w:hideMark/>
          </w:tcPr>
          <w:p w:rsidR="00944411" w:rsidRPr="00E048AA" w:rsidRDefault="00944411" w:rsidP="00017255">
            <w:pPr>
              <w:spacing w:line="240" w:lineRule="auto"/>
              <w:ind w:left="284"/>
              <w:jc w:val="right"/>
              <w:rPr>
                <w:rFonts w:eastAsia="Times New Roman"/>
                <w:b/>
                <w:i/>
                <w:color w:val="000000"/>
                <w:lang w:eastAsia="en-AU"/>
              </w:rPr>
            </w:pPr>
            <w:r w:rsidRPr="00E048AA">
              <w:rPr>
                <w:rFonts w:eastAsia="Times New Roman"/>
                <w:b/>
                <w:i/>
                <w:color w:val="000000"/>
                <w:lang w:eastAsia="en-AU"/>
              </w:rPr>
              <w:t>17,248</w:t>
            </w:r>
          </w:p>
        </w:tc>
        <w:tc>
          <w:tcPr>
            <w:tcW w:w="1246" w:type="dxa"/>
            <w:noWrap/>
            <w:hideMark/>
          </w:tcPr>
          <w:p w:rsidR="00944411" w:rsidRPr="00E048AA" w:rsidRDefault="00944411" w:rsidP="00017255">
            <w:pPr>
              <w:spacing w:line="240" w:lineRule="auto"/>
              <w:ind w:left="284"/>
              <w:jc w:val="right"/>
              <w:rPr>
                <w:rFonts w:eastAsia="Times New Roman"/>
                <w:b/>
                <w:i/>
                <w:color w:val="000000"/>
                <w:lang w:eastAsia="en-AU"/>
              </w:rPr>
            </w:pPr>
            <w:r w:rsidRPr="00E048AA">
              <w:rPr>
                <w:rFonts w:eastAsia="Times New Roman"/>
                <w:b/>
                <w:i/>
                <w:color w:val="000000"/>
                <w:lang w:eastAsia="en-AU"/>
              </w:rPr>
              <w:t>100.0</w:t>
            </w:r>
            <w:r w:rsidR="00C47B94">
              <w:rPr>
                <w:rFonts w:eastAsia="Times New Roman"/>
                <w:b/>
                <w:i/>
                <w:color w:val="000000"/>
                <w:lang w:eastAsia="en-AU"/>
              </w:rPr>
              <w:t>%</w:t>
            </w:r>
            <w:r w:rsidRPr="00E048AA">
              <w:rPr>
                <w:rFonts w:eastAsia="Times New Roman"/>
                <w:b/>
                <w:i/>
                <w:color w:val="000000"/>
                <w:lang w:eastAsia="en-AU"/>
              </w:rPr>
              <w:t>*</w:t>
            </w:r>
          </w:p>
        </w:tc>
      </w:tr>
    </w:tbl>
    <w:p w:rsidR="00944411" w:rsidRPr="00E67D03" w:rsidRDefault="00944411" w:rsidP="00017255">
      <w:pPr>
        <w:spacing w:line="240" w:lineRule="auto"/>
        <w:ind w:left="284" w:firstLine="720"/>
        <w:rPr>
          <w:rFonts w:eastAsia="Times New Roman"/>
          <w:b/>
          <w:bCs/>
          <w:sz w:val="16"/>
          <w:szCs w:val="16"/>
        </w:rPr>
      </w:pPr>
      <w:r w:rsidRPr="00E67D03">
        <w:rPr>
          <w:rFonts w:eastAsia="Times New Roman"/>
          <w:b/>
          <w:bCs/>
          <w:sz w:val="16"/>
          <w:szCs w:val="16"/>
        </w:rPr>
        <w:t>* Allow for rounding error.</w:t>
      </w:r>
    </w:p>
    <w:p w:rsidR="00944411" w:rsidRDefault="00944411" w:rsidP="00017255">
      <w:pPr>
        <w:tabs>
          <w:tab w:val="left" w:pos="2520"/>
        </w:tabs>
        <w:spacing w:line="240" w:lineRule="auto"/>
        <w:ind w:left="284"/>
      </w:pPr>
    </w:p>
    <w:p w:rsidR="00BC2B5D" w:rsidRPr="00BC2B5D" w:rsidRDefault="008878EF" w:rsidP="006F48D6">
      <w:pPr>
        <w:pStyle w:val="Heading4"/>
      </w:pPr>
      <w:r>
        <w:t xml:space="preserve">Table </w:t>
      </w:r>
      <w:r w:rsidR="00AE2F97">
        <w:t>B</w:t>
      </w:r>
      <w:r>
        <w:t xml:space="preserve">: </w:t>
      </w:r>
      <w:r w:rsidR="00843F82">
        <w:t xml:space="preserve"> </w:t>
      </w:r>
      <w:r w:rsidR="00BC2B5D">
        <w:t>2012 Year 12 Cohort – Area of study or work status</w:t>
      </w:r>
      <w:r w:rsidR="00C750E5">
        <w:t xml:space="preserve"> (n</w:t>
      </w:r>
      <w:r w:rsidR="00AE2F97">
        <w:t>=17,248)</w:t>
      </w:r>
    </w:p>
    <w:tbl>
      <w:tblPr>
        <w:tblStyle w:val="TableGrid"/>
        <w:tblW w:w="6644" w:type="dxa"/>
        <w:tblInd w:w="221" w:type="dxa"/>
        <w:tblLook w:val="04E0" w:firstRow="1" w:lastRow="1" w:firstColumn="1" w:lastColumn="0" w:noHBand="0" w:noVBand="1"/>
        <w:tblDescription w:val="Table showing 2012 year 12 cohort by area of study or work status."/>
      </w:tblPr>
      <w:tblGrid>
        <w:gridCol w:w="4055"/>
        <w:gridCol w:w="1330"/>
        <w:gridCol w:w="1259"/>
      </w:tblGrid>
      <w:tr w:rsidR="006F06FA" w:rsidRPr="008878EF" w:rsidTr="007D5CF1">
        <w:trPr>
          <w:trHeight w:val="289"/>
          <w:tblHeader/>
        </w:trPr>
        <w:tc>
          <w:tcPr>
            <w:tcW w:w="4055" w:type="dxa"/>
            <w:noWrap/>
            <w:hideMark/>
          </w:tcPr>
          <w:p w:rsidR="006F06FA" w:rsidRPr="008878EF" w:rsidRDefault="00F21B9A" w:rsidP="00017255">
            <w:pPr>
              <w:spacing w:line="240" w:lineRule="auto"/>
              <w:ind w:left="284"/>
              <w:rPr>
                <w:rFonts w:eastAsia="Times New Roman"/>
                <w:b/>
                <w:color w:val="000000"/>
                <w:lang w:eastAsia="en-AU"/>
              </w:rPr>
            </w:pPr>
            <w:r>
              <w:rPr>
                <w:rFonts w:eastAsia="Times New Roman"/>
                <w:b/>
                <w:color w:val="000000"/>
                <w:lang w:eastAsia="en-AU"/>
              </w:rPr>
              <w:t>Study or work status</w:t>
            </w:r>
          </w:p>
        </w:tc>
        <w:tc>
          <w:tcPr>
            <w:tcW w:w="1330" w:type="dxa"/>
            <w:noWrap/>
            <w:hideMark/>
          </w:tcPr>
          <w:p w:rsidR="006F06FA" w:rsidRPr="008878EF" w:rsidRDefault="006F06FA" w:rsidP="00017255">
            <w:pPr>
              <w:spacing w:line="240" w:lineRule="auto"/>
              <w:ind w:left="284"/>
              <w:rPr>
                <w:rFonts w:eastAsia="Times New Roman"/>
                <w:b/>
                <w:color w:val="000000"/>
                <w:lang w:eastAsia="en-AU"/>
              </w:rPr>
            </w:pPr>
            <w:r w:rsidRPr="008878EF">
              <w:rPr>
                <w:rFonts w:eastAsia="Times New Roman"/>
                <w:b/>
                <w:color w:val="000000"/>
                <w:lang w:eastAsia="en-AU"/>
              </w:rPr>
              <w:t>Count</w:t>
            </w:r>
          </w:p>
        </w:tc>
        <w:tc>
          <w:tcPr>
            <w:tcW w:w="1259" w:type="dxa"/>
            <w:noWrap/>
            <w:hideMark/>
          </w:tcPr>
          <w:p w:rsidR="006F06FA" w:rsidRPr="008878EF" w:rsidRDefault="006F06FA" w:rsidP="00017255">
            <w:pPr>
              <w:spacing w:line="240" w:lineRule="auto"/>
              <w:ind w:left="284"/>
              <w:rPr>
                <w:rFonts w:eastAsia="Times New Roman"/>
                <w:b/>
                <w:color w:val="000000"/>
                <w:lang w:eastAsia="en-AU"/>
              </w:rPr>
            </w:pPr>
            <w:r w:rsidRPr="008878EF">
              <w:rPr>
                <w:rFonts w:eastAsia="Times New Roman"/>
                <w:b/>
                <w:color w:val="000000"/>
                <w:lang w:eastAsia="en-AU"/>
              </w:rPr>
              <w:t>Percent</w:t>
            </w:r>
          </w:p>
        </w:tc>
      </w:tr>
      <w:tr w:rsidR="00E67D03" w:rsidRPr="00DC13FA" w:rsidTr="00E840FB">
        <w:trPr>
          <w:trHeight w:val="289"/>
        </w:trPr>
        <w:tc>
          <w:tcPr>
            <w:tcW w:w="4055" w:type="dxa"/>
            <w:noWrap/>
            <w:vAlign w:val="bottom"/>
            <w:hideMark/>
          </w:tcPr>
          <w:p w:rsidR="00E67D03" w:rsidRPr="00DC13FA" w:rsidRDefault="00E67D03" w:rsidP="00017255">
            <w:pPr>
              <w:ind w:left="284"/>
              <w:rPr>
                <w:color w:val="000000"/>
              </w:rPr>
            </w:pPr>
            <w:r w:rsidRPr="00DC13FA">
              <w:rPr>
                <w:color w:val="000000"/>
              </w:rPr>
              <w:t>Returned to school</w:t>
            </w:r>
          </w:p>
        </w:tc>
        <w:tc>
          <w:tcPr>
            <w:tcW w:w="1330" w:type="dxa"/>
            <w:noWrap/>
            <w:vAlign w:val="bottom"/>
            <w:hideMark/>
          </w:tcPr>
          <w:p w:rsidR="00E67D03" w:rsidRPr="00DC13FA" w:rsidRDefault="00E67D03" w:rsidP="00017255">
            <w:pPr>
              <w:ind w:left="284"/>
              <w:rPr>
                <w:color w:val="000000"/>
              </w:rPr>
            </w:pPr>
            <w:r w:rsidRPr="00DC13FA">
              <w:rPr>
                <w:color w:val="000000"/>
              </w:rPr>
              <w:t>62</w:t>
            </w:r>
          </w:p>
        </w:tc>
        <w:tc>
          <w:tcPr>
            <w:tcW w:w="1259" w:type="dxa"/>
            <w:noWrap/>
            <w:vAlign w:val="bottom"/>
            <w:hideMark/>
          </w:tcPr>
          <w:p w:rsidR="00E67D03" w:rsidRPr="00DC13FA" w:rsidRDefault="00E67D03" w:rsidP="00017255">
            <w:pPr>
              <w:ind w:left="284"/>
              <w:rPr>
                <w:color w:val="000000"/>
              </w:rPr>
            </w:pPr>
            <w:r w:rsidRPr="00DC13FA">
              <w:rPr>
                <w:color w:val="000000"/>
              </w:rPr>
              <w:t>0.4</w:t>
            </w:r>
            <w:r w:rsidR="00C47B94">
              <w:rPr>
                <w:color w:val="000000"/>
              </w:rPr>
              <w:t>%</w:t>
            </w:r>
          </w:p>
        </w:tc>
      </w:tr>
      <w:tr w:rsidR="00E67D03" w:rsidRPr="00DC13FA" w:rsidTr="00E840FB">
        <w:trPr>
          <w:trHeight w:val="289"/>
        </w:trPr>
        <w:tc>
          <w:tcPr>
            <w:tcW w:w="4055" w:type="dxa"/>
            <w:noWrap/>
            <w:vAlign w:val="bottom"/>
            <w:hideMark/>
          </w:tcPr>
          <w:p w:rsidR="00E67D03" w:rsidRPr="00DC13FA" w:rsidRDefault="00E67D03" w:rsidP="00017255">
            <w:pPr>
              <w:ind w:left="284"/>
              <w:rPr>
                <w:color w:val="000000"/>
              </w:rPr>
            </w:pPr>
            <w:r w:rsidRPr="00DC13FA">
              <w:rPr>
                <w:color w:val="000000"/>
              </w:rPr>
              <w:t>Studying at University</w:t>
            </w:r>
          </w:p>
        </w:tc>
        <w:tc>
          <w:tcPr>
            <w:tcW w:w="1330" w:type="dxa"/>
            <w:noWrap/>
            <w:vAlign w:val="bottom"/>
            <w:hideMark/>
          </w:tcPr>
          <w:p w:rsidR="00E67D03" w:rsidRPr="00DC13FA" w:rsidRDefault="00E67D03" w:rsidP="00017255">
            <w:pPr>
              <w:ind w:left="284"/>
              <w:rPr>
                <w:color w:val="000000"/>
              </w:rPr>
            </w:pPr>
            <w:r w:rsidRPr="00DC13FA">
              <w:rPr>
                <w:color w:val="000000"/>
              </w:rPr>
              <w:t>8,743</w:t>
            </w:r>
          </w:p>
        </w:tc>
        <w:tc>
          <w:tcPr>
            <w:tcW w:w="1259" w:type="dxa"/>
            <w:noWrap/>
            <w:vAlign w:val="bottom"/>
            <w:hideMark/>
          </w:tcPr>
          <w:p w:rsidR="00E67D03" w:rsidRPr="00DC13FA" w:rsidRDefault="00E67D03" w:rsidP="00017255">
            <w:pPr>
              <w:ind w:left="284"/>
              <w:rPr>
                <w:color w:val="000000"/>
              </w:rPr>
            </w:pPr>
            <w:r w:rsidRPr="00DC13FA">
              <w:rPr>
                <w:color w:val="000000"/>
              </w:rPr>
              <w:t>50.7</w:t>
            </w:r>
            <w:r w:rsidR="00C47B94">
              <w:rPr>
                <w:color w:val="000000"/>
              </w:rPr>
              <w:t>%</w:t>
            </w:r>
          </w:p>
        </w:tc>
      </w:tr>
      <w:tr w:rsidR="00E67D03" w:rsidRPr="00DC13FA" w:rsidTr="00E840FB">
        <w:trPr>
          <w:trHeight w:val="289"/>
        </w:trPr>
        <w:tc>
          <w:tcPr>
            <w:tcW w:w="4055" w:type="dxa"/>
            <w:noWrap/>
            <w:vAlign w:val="bottom"/>
            <w:hideMark/>
          </w:tcPr>
          <w:p w:rsidR="00E67D03" w:rsidRPr="00DC13FA" w:rsidRDefault="00E67D03" w:rsidP="00017255">
            <w:pPr>
              <w:ind w:left="284"/>
              <w:rPr>
                <w:color w:val="000000"/>
              </w:rPr>
            </w:pPr>
            <w:r w:rsidRPr="00DC13FA">
              <w:rPr>
                <w:color w:val="000000"/>
              </w:rPr>
              <w:t>Studying a</w:t>
            </w:r>
            <w:r w:rsidR="00F72129">
              <w:rPr>
                <w:color w:val="000000"/>
              </w:rPr>
              <w:t>t State Training Provider</w:t>
            </w:r>
          </w:p>
        </w:tc>
        <w:tc>
          <w:tcPr>
            <w:tcW w:w="1330" w:type="dxa"/>
            <w:noWrap/>
            <w:vAlign w:val="bottom"/>
            <w:hideMark/>
          </w:tcPr>
          <w:p w:rsidR="00E67D03" w:rsidRPr="00DC13FA" w:rsidRDefault="00E67D03" w:rsidP="00017255">
            <w:pPr>
              <w:ind w:left="284"/>
              <w:rPr>
                <w:color w:val="000000"/>
              </w:rPr>
            </w:pPr>
            <w:r w:rsidRPr="00DC13FA">
              <w:rPr>
                <w:color w:val="000000"/>
              </w:rPr>
              <w:t>2,722</w:t>
            </w:r>
          </w:p>
        </w:tc>
        <w:tc>
          <w:tcPr>
            <w:tcW w:w="1259" w:type="dxa"/>
            <w:noWrap/>
            <w:vAlign w:val="bottom"/>
            <w:hideMark/>
          </w:tcPr>
          <w:p w:rsidR="00E67D03" w:rsidRPr="00DC13FA" w:rsidRDefault="00E67D03" w:rsidP="00017255">
            <w:pPr>
              <w:ind w:left="284"/>
              <w:rPr>
                <w:color w:val="000000"/>
              </w:rPr>
            </w:pPr>
            <w:r w:rsidRPr="00DC13FA">
              <w:rPr>
                <w:color w:val="000000"/>
              </w:rPr>
              <w:t>15.8</w:t>
            </w:r>
            <w:r w:rsidR="00C47B94">
              <w:rPr>
                <w:color w:val="000000"/>
              </w:rPr>
              <w:t>%</w:t>
            </w:r>
          </w:p>
        </w:tc>
      </w:tr>
      <w:tr w:rsidR="00E67D03" w:rsidRPr="00DC13FA" w:rsidTr="00E840FB">
        <w:trPr>
          <w:trHeight w:val="289"/>
        </w:trPr>
        <w:tc>
          <w:tcPr>
            <w:tcW w:w="4055" w:type="dxa"/>
            <w:noWrap/>
            <w:vAlign w:val="bottom"/>
            <w:hideMark/>
          </w:tcPr>
          <w:p w:rsidR="00E67D03" w:rsidRPr="00DC13FA" w:rsidRDefault="00E67D03" w:rsidP="00017255">
            <w:pPr>
              <w:ind w:left="284"/>
              <w:rPr>
                <w:color w:val="000000"/>
              </w:rPr>
            </w:pPr>
            <w:r w:rsidRPr="00DC13FA">
              <w:rPr>
                <w:color w:val="000000"/>
              </w:rPr>
              <w:t>Traineeship/Apprenticeship</w:t>
            </w:r>
          </w:p>
        </w:tc>
        <w:tc>
          <w:tcPr>
            <w:tcW w:w="1330" w:type="dxa"/>
            <w:noWrap/>
            <w:vAlign w:val="bottom"/>
            <w:hideMark/>
          </w:tcPr>
          <w:p w:rsidR="00E67D03" w:rsidRPr="00DC13FA" w:rsidRDefault="00E67D03" w:rsidP="00017255">
            <w:pPr>
              <w:ind w:left="284"/>
              <w:rPr>
                <w:color w:val="000000"/>
              </w:rPr>
            </w:pPr>
            <w:r w:rsidRPr="00DC13FA">
              <w:rPr>
                <w:color w:val="000000"/>
              </w:rPr>
              <w:t>553</w:t>
            </w:r>
          </w:p>
        </w:tc>
        <w:tc>
          <w:tcPr>
            <w:tcW w:w="1259" w:type="dxa"/>
            <w:noWrap/>
            <w:vAlign w:val="bottom"/>
            <w:hideMark/>
          </w:tcPr>
          <w:p w:rsidR="00E67D03" w:rsidRPr="00DC13FA" w:rsidRDefault="00E67D03" w:rsidP="00017255">
            <w:pPr>
              <w:ind w:left="284"/>
              <w:rPr>
                <w:color w:val="000000"/>
              </w:rPr>
            </w:pPr>
            <w:r w:rsidRPr="00DC13FA">
              <w:rPr>
                <w:color w:val="000000"/>
              </w:rPr>
              <w:t>3.2</w:t>
            </w:r>
            <w:r w:rsidR="00C47B94">
              <w:rPr>
                <w:color w:val="000000"/>
              </w:rPr>
              <w:t>%</w:t>
            </w:r>
          </w:p>
        </w:tc>
      </w:tr>
      <w:tr w:rsidR="00E67D03" w:rsidRPr="00DC13FA" w:rsidTr="00E840FB">
        <w:trPr>
          <w:trHeight w:val="289"/>
        </w:trPr>
        <w:tc>
          <w:tcPr>
            <w:tcW w:w="4055" w:type="dxa"/>
            <w:tcBorders>
              <w:bottom w:val="single" w:sz="4" w:space="0" w:color="000000"/>
            </w:tcBorders>
            <w:noWrap/>
            <w:vAlign w:val="bottom"/>
            <w:hideMark/>
          </w:tcPr>
          <w:p w:rsidR="00E67D03" w:rsidRPr="00DC13FA" w:rsidRDefault="00E67D03" w:rsidP="00017255">
            <w:pPr>
              <w:ind w:left="284"/>
              <w:rPr>
                <w:color w:val="000000"/>
              </w:rPr>
            </w:pPr>
            <w:r w:rsidRPr="00DC13FA">
              <w:rPr>
                <w:color w:val="000000"/>
              </w:rPr>
              <w:t>Other Study/Training</w:t>
            </w:r>
          </w:p>
        </w:tc>
        <w:tc>
          <w:tcPr>
            <w:tcW w:w="1330" w:type="dxa"/>
            <w:tcBorders>
              <w:bottom w:val="single" w:sz="4" w:space="0" w:color="000000"/>
            </w:tcBorders>
            <w:noWrap/>
            <w:vAlign w:val="bottom"/>
            <w:hideMark/>
          </w:tcPr>
          <w:p w:rsidR="00E67D03" w:rsidRPr="00DC13FA" w:rsidRDefault="00E67D03" w:rsidP="00017255">
            <w:pPr>
              <w:ind w:left="284"/>
              <w:rPr>
                <w:color w:val="000000"/>
              </w:rPr>
            </w:pPr>
            <w:r w:rsidRPr="00DC13FA">
              <w:rPr>
                <w:color w:val="000000"/>
              </w:rPr>
              <w:t>212</w:t>
            </w:r>
          </w:p>
        </w:tc>
        <w:tc>
          <w:tcPr>
            <w:tcW w:w="1259" w:type="dxa"/>
            <w:tcBorders>
              <w:bottom w:val="single" w:sz="4" w:space="0" w:color="000000"/>
            </w:tcBorders>
            <w:noWrap/>
            <w:vAlign w:val="bottom"/>
            <w:hideMark/>
          </w:tcPr>
          <w:p w:rsidR="00E67D03" w:rsidRPr="00DC13FA" w:rsidRDefault="00E67D03" w:rsidP="00017255">
            <w:pPr>
              <w:ind w:left="284"/>
              <w:rPr>
                <w:color w:val="000000"/>
              </w:rPr>
            </w:pPr>
            <w:r w:rsidRPr="00DC13FA">
              <w:rPr>
                <w:color w:val="000000"/>
              </w:rPr>
              <w:t>1.2</w:t>
            </w:r>
            <w:r w:rsidR="00C47B94">
              <w:rPr>
                <w:color w:val="000000"/>
              </w:rPr>
              <w:t>%</w:t>
            </w:r>
          </w:p>
        </w:tc>
      </w:tr>
      <w:tr w:rsidR="00E67D03" w:rsidRPr="00DC13FA" w:rsidTr="00E840FB">
        <w:trPr>
          <w:trHeight w:val="289"/>
        </w:trPr>
        <w:tc>
          <w:tcPr>
            <w:tcW w:w="4055" w:type="dxa"/>
            <w:shd w:val="clear" w:color="auto" w:fill="DDDDDD" w:themeFill="accent1"/>
            <w:noWrap/>
            <w:vAlign w:val="bottom"/>
          </w:tcPr>
          <w:p w:rsidR="00E67D03" w:rsidRPr="00E67D03" w:rsidRDefault="00E67D03" w:rsidP="00017255">
            <w:pPr>
              <w:ind w:left="284"/>
              <w:rPr>
                <w:i/>
                <w:color w:val="000000"/>
              </w:rPr>
            </w:pPr>
            <w:r w:rsidRPr="00E67D03">
              <w:rPr>
                <w:i/>
                <w:color w:val="000000"/>
              </w:rPr>
              <w:t>Total studying</w:t>
            </w:r>
          </w:p>
        </w:tc>
        <w:tc>
          <w:tcPr>
            <w:tcW w:w="1330" w:type="dxa"/>
            <w:shd w:val="clear" w:color="auto" w:fill="DDDDDD" w:themeFill="accent1"/>
            <w:noWrap/>
            <w:vAlign w:val="bottom"/>
          </w:tcPr>
          <w:p w:rsidR="00E67D03" w:rsidRPr="00E67D03" w:rsidRDefault="00E67D03" w:rsidP="00017255">
            <w:pPr>
              <w:ind w:left="284"/>
              <w:rPr>
                <w:i/>
                <w:color w:val="000000"/>
              </w:rPr>
            </w:pPr>
            <w:r>
              <w:rPr>
                <w:i/>
                <w:color w:val="000000"/>
              </w:rPr>
              <w:t>12,292</w:t>
            </w:r>
          </w:p>
        </w:tc>
        <w:tc>
          <w:tcPr>
            <w:tcW w:w="1259" w:type="dxa"/>
            <w:shd w:val="clear" w:color="auto" w:fill="DDDDDD" w:themeFill="accent1"/>
            <w:noWrap/>
            <w:vAlign w:val="bottom"/>
          </w:tcPr>
          <w:p w:rsidR="00E67D03" w:rsidRPr="00E67D03" w:rsidRDefault="00E67D03" w:rsidP="00017255">
            <w:pPr>
              <w:ind w:left="284"/>
              <w:rPr>
                <w:i/>
                <w:color w:val="000000"/>
              </w:rPr>
            </w:pPr>
            <w:r>
              <w:rPr>
                <w:i/>
                <w:color w:val="000000"/>
              </w:rPr>
              <w:t>71.3</w:t>
            </w:r>
            <w:r w:rsidR="00C47B94">
              <w:rPr>
                <w:i/>
                <w:color w:val="000000"/>
              </w:rPr>
              <w:t>%</w:t>
            </w:r>
          </w:p>
        </w:tc>
      </w:tr>
      <w:tr w:rsidR="00E67D03" w:rsidRPr="00DC13FA" w:rsidTr="00E840FB">
        <w:trPr>
          <w:trHeight w:val="289"/>
        </w:trPr>
        <w:tc>
          <w:tcPr>
            <w:tcW w:w="4055" w:type="dxa"/>
            <w:noWrap/>
            <w:vAlign w:val="bottom"/>
          </w:tcPr>
          <w:p w:rsidR="00E67D03" w:rsidRPr="00DC13FA" w:rsidRDefault="00E67D03" w:rsidP="00017255">
            <w:pPr>
              <w:ind w:left="284"/>
              <w:rPr>
                <w:color w:val="000000"/>
              </w:rPr>
            </w:pPr>
            <w:r w:rsidRPr="00DC13FA">
              <w:rPr>
                <w:color w:val="000000"/>
              </w:rPr>
              <w:t>Full-Time Employment</w:t>
            </w:r>
          </w:p>
        </w:tc>
        <w:tc>
          <w:tcPr>
            <w:tcW w:w="1330" w:type="dxa"/>
            <w:noWrap/>
            <w:vAlign w:val="bottom"/>
          </w:tcPr>
          <w:p w:rsidR="00E67D03" w:rsidRPr="00DC13FA" w:rsidRDefault="00E67D03" w:rsidP="00017255">
            <w:pPr>
              <w:ind w:left="284"/>
              <w:rPr>
                <w:color w:val="000000"/>
              </w:rPr>
            </w:pPr>
            <w:r w:rsidRPr="00DC13FA">
              <w:rPr>
                <w:color w:val="000000"/>
              </w:rPr>
              <w:t>1,066</w:t>
            </w:r>
          </w:p>
        </w:tc>
        <w:tc>
          <w:tcPr>
            <w:tcW w:w="1259" w:type="dxa"/>
            <w:noWrap/>
            <w:vAlign w:val="bottom"/>
          </w:tcPr>
          <w:p w:rsidR="00E67D03" w:rsidRPr="00DC13FA" w:rsidRDefault="00E67D03" w:rsidP="00017255">
            <w:pPr>
              <w:ind w:left="284"/>
              <w:rPr>
                <w:color w:val="000000"/>
              </w:rPr>
            </w:pPr>
            <w:r w:rsidRPr="00DC13FA">
              <w:rPr>
                <w:color w:val="000000"/>
              </w:rPr>
              <w:t>6.2</w:t>
            </w:r>
            <w:r w:rsidR="00C47B94">
              <w:rPr>
                <w:color w:val="000000"/>
              </w:rPr>
              <w:t>%</w:t>
            </w:r>
          </w:p>
        </w:tc>
      </w:tr>
      <w:tr w:rsidR="00E67D03" w:rsidRPr="00DC13FA" w:rsidTr="00E840FB">
        <w:trPr>
          <w:trHeight w:val="289"/>
        </w:trPr>
        <w:tc>
          <w:tcPr>
            <w:tcW w:w="4055" w:type="dxa"/>
            <w:noWrap/>
            <w:vAlign w:val="bottom"/>
            <w:hideMark/>
          </w:tcPr>
          <w:p w:rsidR="00E67D03" w:rsidRPr="00DC13FA" w:rsidRDefault="00E67D03" w:rsidP="00017255">
            <w:pPr>
              <w:ind w:left="284"/>
              <w:rPr>
                <w:color w:val="000000"/>
              </w:rPr>
            </w:pPr>
            <w:r w:rsidRPr="00DC13FA">
              <w:rPr>
                <w:color w:val="000000"/>
              </w:rPr>
              <w:t>Part-Time Employment</w:t>
            </w:r>
          </w:p>
        </w:tc>
        <w:tc>
          <w:tcPr>
            <w:tcW w:w="1330" w:type="dxa"/>
            <w:noWrap/>
            <w:vAlign w:val="bottom"/>
            <w:hideMark/>
          </w:tcPr>
          <w:p w:rsidR="00E67D03" w:rsidRPr="00DC13FA" w:rsidRDefault="00E67D03" w:rsidP="00017255">
            <w:pPr>
              <w:ind w:left="284"/>
              <w:rPr>
                <w:color w:val="000000"/>
              </w:rPr>
            </w:pPr>
            <w:r w:rsidRPr="00DC13FA">
              <w:rPr>
                <w:color w:val="000000"/>
              </w:rPr>
              <w:t>1,173</w:t>
            </w:r>
          </w:p>
        </w:tc>
        <w:tc>
          <w:tcPr>
            <w:tcW w:w="1259" w:type="dxa"/>
            <w:noWrap/>
            <w:vAlign w:val="bottom"/>
            <w:hideMark/>
          </w:tcPr>
          <w:p w:rsidR="00E67D03" w:rsidRPr="00DC13FA" w:rsidRDefault="00E67D03" w:rsidP="00017255">
            <w:pPr>
              <w:ind w:left="284"/>
              <w:rPr>
                <w:color w:val="000000"/>
              </w:rPr>
            </w:pPr>
            <w:r w:rsidRPr="00DC13FA">
              <w:rPr>
                <w:color w:val="000000"/>
              </w:rPr>
              <w:t>6.8</w:t>
            </w:r>
            <w:r w:rsidR="00C47B94">
              <w:rPr>
                <w:color w:val="000000"/>
              </w:rPr>
              <w:t>%</w:t>
            </w:r>
          </w:p>
        </w:tc>
      </w:tr>
      <w:tr w:rsidR="00E67D03" w:rsidRPr="00DC13FA" w:rsidTr="00E840FB">
        <w:trPr>
          <w:trHeight w:val="289"/>
        </w:trPr>
        <w:tc>
          <w:tcPr>
            <w:tcW w:w="4055" w:type="dxa"/>
            <w:tcBorders>
              <w:bottom w:val="single" w:sz="4" w:space="0" w:color="000000"/>
            </w:tcBorders>
            <w:noWrap/>
            <w:vAlign w:val="bottom"/>
          </w:tcPr>
          <w:p w:rsidR="00E67D03" w:rsidRPr="00DC13FA" w:rsidRDefault="00E67D03" w:rsidP="00017255">
            <w:pPr>
              <w:ind w:left="284"/>
              <w:rPr>
                <w:color w:val="000000"/>
              </w:rPr>
            </w:pPr>
            <w:r w:rsidRPr="00DC13FA">
              <w:rPr>
                <w:color w:val="000000"/>
              </w:rPr>
              <w:t>Employment Assistance</w:t>
            </w:r>
          </w:p>
        </w:tc>
        <w:tc>
          <w:tcPr>
            <w:tcW w:w="1330" w:type="dxa"/>
            <w:tcBorders>
              <w:bottom w:val="single" w:sz="4" w:space="0" w:color="000000"/>
            </w:tcBorders>
            <w:noWrap/>
            <w:vAlign w:val="bottom"/>
          </w:tcPr>
          <w:p w:rsidR="00E67D03" w:rsidRPr="00DC13FA" w:rsidRDefault="00E67D03" w:rsidP="00017255">
            <w:pPr>
              <w:ind w:left="284"/>
              <w:rPr>
                <w:color w:val="000000"/>
              </w:rPr>
            </w:pPr>
            <w:r w:rsidRPr="00DC13FA">
              <w:rPr>
                <w:color w:val="000000"/>
              </w:rPr>
              <w:t>703</w:t>
            </w:r>
          </w:p>
        </w:tc>
        <w:tc>
          <w:tcPr>
            <w:tcW w:w="1259" w:type="dxa"/>
            <w:tcBorders>
              <w:bottom w:val="single" w:sz="4" w:space="0" w:color="000000"/>
            </w:tcBorders>
            <w:noWrap/>
            <w:vAlign w:val="bottom"/>
          </w:tcPr>
          <w:p w:rsidR="00E67D03" w:rsidRPr="00DC13FA" w:rsidRDefault="00E67D03" w:rsidP="00017255">
            <w:pPr>
              <w:ind w:left="284"/>
              <w:rPr>
                <w:color w:val="000000"/>
              </w:rPr>
            </w:pPr>
            <w:r w:rsidRPr="00DC13FA">
              <w:rPr>
                <w:color w:val="000000"/>
              </w:rPr>
              <w:t>4.1</w:t>
            </w:r>
            <w:r w:rsidR="00C47B94">
              <w:rPr>
                <w:color w:val="000000"/>
              </w:rPr>
              <w:t>%</w:t>
            </w:r>
          </w:p>
        </w:tc>
      </w:tr>
      <w:tr w:rsidR="00E67D03" w:rsidRPr="00E67D03" w:rsidTr="00E840FB">
        <w:trPr>
          <w:trHeight w:val="289"/>
        </w:trPr>
        <w:tc>
          <w:tcPr>
            <w:tcW w:w="4055" w:type="dxa"/>
            <w:shd w:val="clear" w:color="auto" w:fill="DDDDDD" w:themeFill="accent1"/>
            <w:noWrap/>
            <w:vAlign w:val="bottom"/>
          </w:tcPr>
          <w:p w:rsidR="00E67D03" w:rsidRPr="00E67D03" w:rsidRDefault="00E67D03" w:rsidP="00017255">
            <w:pPr>
              <w:ind w:left="284"/>
              <w:rPr>
                <w:i/>
                <w:color w:val="000000"/>
              </w:rPr>
            </w:pPr>
            <w:r w:rsidRPr="00E67D03">
              <w:rPr>
                <w:i/>
                <w:color w:val="000000"/>
              </w:rPr>
              <w:t>Total employed or seeking employment</w:t>
            </w:r>
          </w:p>
        </w:tc>
        <w:tc>
          <w:tcPr>
            <w:tcW w:w="1330" w:type="dxa"/>
            <w:shd w:val="clear" w:color="auto" w:fill="DDDDDD" w:themeFill="accent1"/>
            <w:noWrap/>
            <w:vAlign w:val="bottom"/>
          </w:tcPr>
          <w:p w:rsidR="00E67D03" w:rsidRPr="00E67D03" w:rsidRDefault="00E67D03" w:rsidP="00017255">
            <w:pPr>
              <w:ind w:left="284"/>
              <w:rPr>
                <w:i/>
                <w:color w:val="000000"/>
              </w:rPr>
            </w:pPr>
            <w:r>
              <w:rPr>
                <w:i/>
                <w:color w:val="000000"/>
              </w:rPr>
              <w:t>2,942</w:t>
            </w:r>
          </w:p>
        </w:tc>
        <w:tc>
          <w:tcPr>
            <w:tcW w:w="1259" w:type="dxa"/>
            <w:shd w:val="clear" w:color="auto" w:fill="DDDDDD" w:themeFill="accent1"/>
            <w:noWrap/>
            <w:vAlign w:val="bottom"/>
          </w:tcPr>
          <w:p w:rsidR="00E67D03" w:rsidRPr="00E67D03" w:rsidRDefault="00E67D03" w:rsidP="00017255">
            <w:pPr>
              <w:ind w:left="284"/>
              <w:rPr>
                <w:i/>
                <w:color w:val="000000"/>
              </w:rPr>
            </w:pPr>
            <w:r>
              <w:rPr>
                <w:i/>
                <w:color w:val="000000"/>
              </w:rPr>
              <w:t>17.1</w:t>
            </w:r>
            <w:r w:rsidR="00C47B94">
              <w:rPr>
                <w:i/>
                <w:color w:val="000000"/>
              </w:rPr>
              <w:t>%</w:t>
            </w:r>
          </w:p>
        </w:tc>
      </w:tr>
      <w:tr w:rsidR="00E67D03" w:rsidRPr="00E67D03" w:rsidTr="00E840FB">
        <w:trPr>
          <w:trHeight w:val="289"/>
        </w:trPr>
        <w:tc>
          <w:tcPr>
            <w:tcW w:w="4055" w:type="dxa"/>
            <w:shd w:val="clear" w:color="auto" w:fill="DDDDDD" w:themeFill="accent1"/>
            <w:noWrap/>
            <w:vAlign w:val="bottom"/>
            <w:hideMark/>
          </w:tcPr>
          <w:p w:rsidR="00E67D03" w:rsidRPr="00E67D03" w:rsidRDefault="00E67D03" w:rsidP="00017255">
            <w:pPr>
              <w:ind w:left="284"/>
              <w:rPr>
                <w:i/>
                <w:color w:val="000000"/>
              </w:rPr>
            </w:pPr>
            <w:r w:rsidRPr="00E67D03">
              <w:rPr>
                <w:i/>
                <w:color w:val="000000"/>
              </w:rPr>
              <w:t>Deferred Study or Training</w:t>
            </w:r>
          </w:p>
        </w:tc>
        <w:tc>
          <w:tcPr>
            <w:tcW w:w="1330" w:type="dxa"/>
            <w:shd w:val="clear" w:color="auto" w:fill="DDDDDD" w:themeFill="accent1"/>
            <w:noWrap/>
            <w:vAlign w:val="bottom"/>
            <w:hideMark/>
          </w:tcPr>
          <w:p w:rsidR="00E67D03" w:rsidRPr="00E67D03" w:rsidRDefault="00E67D03" w:rsidP="00017255">
            <w:pPr>
              <w:ind w:left="284"/>
              <w:rPr>
                <w:i/>
                <w:color w:val="000000"/>
              </w:rPr>
            </w:pPr>
            <w:r w:rsidRPr="00E67D03">
              <w:rPr>
                <w:i/>
                <w:color w:val="000000"/>
              </w:rPr>
              <w:t>1,796</w:t>
            </w:r>
          </w:p>
        </w:tc>
        <w:tc>
          <w:tcPr>
            <w:tcW w:w="1259" w:type="dxa"/>
            <w:shd w:val="clear" w:color="auto" w:fill="DDDDDD" w:themeFill="accent1"/>
            <w:noWrap/>
            <w:vAlign w:val="bottom"/>
            <w:hideMark/>
          </w:tcPr>
          <w:p w:rsidR="00E67D03" w:rsidRPr="00E67D03" w:rsidRDefault="00E67D03" w:rsidP="00017255">
            <w:pPr>
              <w:ind w:left="284"/>
              <w:rPr>
                <w:i/>
                <w:color w:val="000000"/>
              </w:rPr>
            </w:pPr>
            <w:r w:rsidRPr="00E67D03">
              <w:rPr>
                <w:i/>
                <w:color w:val="000000"/>
              </w:rPr>
              <w:t>10.4</w:t>
            </w:r>
            <w:r w:rsidR="00C47B94">
              <w:rPr>
                <w:i/>
                <w:color w:val="000000"/>
              </w:rPr>
              <w:t>%</w:t>
            </w:r>
          </w:p>
        </w:tc>
      </w:tr>
      <w:tr w:rsidR="00E67D03" w:rsidRPr="00E67D03" w:rsidTr="00E840FB">
        <w:trPr>
          <w:trHeight w:val="289"/>
        </w:trPr>
        <w:tc>
          <w:tcPr>
            <w:tcW w:w="4055" w:type="dxa"/>
            <w:shd w:val="clear" w:color="auto" w:fill="DDDDDD" w:themeFill="accent1"/>
            <w:noWrap/>
            <w:vAlign w:val="bottom"/>
            <w:hideMark/>
          </w:tcPr>
          <w:p w:rsidR="00E67D03" w:rsidRPr="00E67D03" w:rsidRDefault="00E67D03" w:rsidP="00017255">
            <w:pPr>
              <w:ind w:left="284"/>
              <w:rPr>
                <w:i/>
                <w:color w:val="000000"/>
              </w:rPr>
            </w:pPr>
            <w:r w:rsidRPr="00E67D03">
              <w:rPr>
                <w:i/>
                <w:color w:val="000000"/>
              </w:rPr>
              <w:t>Other</w:t>
            </w:r>
          </w:p>
        </w:tc>
        <w:tc>
          <w:tcPr>
            <w:tcW w:w="1330" w:type="dxa"/>
            <w:shd w:val="clear" w:color="auto" w:fill="DDDDDD" w:themeFill="accent1"/>
            <w:noWrap/>
            <w:vAlign w:val="bottom"/>
            <w:hideMark/>
          </w:tcPr>
          <w:p w:rsidR="00E67D03" w:rsidRPr="00E67D03" w:rsidRDefault="00E67D03" w:rsidP="00017255">
            <w:pPr>
              <w:ind w:left="284"/>
              <w:rPr>
                <w:i/>
                <w:color w:val="000000"/>
              </w:rPr>
            </w:pPr>
            <w:r w:rsidRPr="00E67D03">
              <w:rPr>
                <w:i/>
                <w:color w:val="000000"/>
              </w:rPr>
              <w:t>218</w:t>
            </w:r>
          </w:p>
        </w:tc>
        <w:tc>
          <w:tcPr>
            <w:tcW w:w="1259" w:type="dxa"/>
            <w:shd w:val="clear" w:color="auto" w:fill="DDDDDD" w:themeFill="accent1"/>
            <w:noWrap/>
            <w:vAlign w:val="bottom"/>
            <w:hideMark/>
          </w:tcPr>
          <w:p w:rsidR="00E67D03" w:rsidRPr="00E67D03" w:rsidRDefault="00E67D03" w:rsidP="00017255">
            <w:pPr>
              <w:ind w:left="284"/>
              <w:rPr>
                <w:i/>
                <w:color w:val="000000"/>
              </w:rPr>
            </w:pPr>
            <w:r w:rsidRPr="00E67D03">
              <w:rPr>
                <w:i/>
                <w:color w:val="000000"/>
              </w:rPr>
              <w:t>1.3</w:t>
            </w:r>
            <w:r w:rsidR="00C47B94">
              <w:rPr>
                <w:i/>
                <w:color w:val="000000"/>
              </w:rPr>
              <w:t>%</w:t>
            </w:r>
          </w:p>
        </w:tc>
      </w:tr>
      <w:tr w:rsidR="00E67D03" w:rsidRPr="00DC13FA" w:rsidTr="00E840FB">
        <w:trPr>
          <w:trHeight w:val="289"/>
        </w:trPr>
        <w:tc>
          <w:tcPr>
            <w:tcW w:w="4055" w:type="dxa"/>
            <w:noWrap/>
            <w:hideMark/>
          </w:tcPr>
          <w:p w:rsidR="00E67D03" w:rsidRPr="00DC13FA" w:rsidRDefault="00E67D03" w:rsidP="00017255">
            <w:pPr>
              <w:spacing w:line="240" w:lineRule="auto"/>
              <w:ind w:left="284"/>
              <w:rPr>
                <w:rFonts w:eastAsia="Times New Roman"/>
                <w:b/>
                <w:color w:val="000000"/>
                <w:lang w:eastAsia="en-AU"/>
              </w:rPr>
            </w:pPr>
            <w:r w:rsidRPr="00DC13FA">
              <w:rPr>
                <w:rFonts w:eastAsia="Times New Roman"/>
                <w:b/>
                <w:color w:val="000000"/>
                <w:lang w:eastAsia="en-AU"/>
              </w:rPr>
              <w:t> Total</w:t>
            </w:r>
          </w:p>
        </w:tc>
        <w:tc>
          <w:tcPr>
            <w:tcW w:w="1330" w:type="dxa"/>
            <w:noWrap/>
            <w:hideMark/>
          </w:tcPr>
          <w:p w:rsidR="00E67D03" w:rsidRPr="00DC13FA" w:rsidRDefault="00E67D03" w:rsidP="00017255">
            <w:pPr>
              <w:spacing w:line="240" w:lineRule="auto"/>
              <w:ind w:left="284"/>
              <w:rPr>
                <w:rFonts w:eastAsia="Times New Roman"/>
                <w:b/>
                <w:color w:val="000000"/>
                <w:lang w:eastAsia="en-AU"/>
              </w:rPr>
            </w:pPr>
            <w:r w:rsidRPr="00DC13FA">
              <w:rPr>
                <w:rFonts w:eastAsia="Times New Roman"/>
                <w:b/>
                <w:color w:val="000000"/>
                <w:lang w:eastAsia="en-AU"/>
              </w:rPr>
              <w:t>17,248</w:t>
            </w:r>
          </w:p>
        </w:tc>
        <w:tc>
          <w:tcPr>
            <w:tcW w:w="1259" w:type="dxa"/>
            <w:noWrap/>
            <w:hideMark/>
          </w:tcPr>
          <w:p w:rsidR="00E67D03" w:rsidRPr="00DC13FA" w:rsidRDefault="00E67D03" w:rsidP="00017255">
            <w:pPr>
              <w:spacing w:line="240" w:lineRule="auto"/>
              <w:ind w:left="284"/>
              <w:rPr>
                <w:rFonts w:eastAsia="Times New Roman"/>
                <w:b/>
                <w:color w:val="000000"/>
                <w:lang w:eastAsia="en-AU"/>
              </w:rPr>
            </w:pPr>
            <w:r w:rsidRPr="00DC13FA">
              <w:rPr>
                <w:rFonts w:eastAsia="Times New Roman"/>
                <w:b/>
                <w:color w:val="000000"/>
                <w:lang w:eastAsia="en-AU"/>
              </w:rPr>
              <w:t>100.0</w:t>
            </w:r>
            <w:r w:rsidR="00C47B94">
              <w:rPr>
                <w:rFonts w:eastAsia="Times New Roman"/>
                <w:b/>
                <w:color w:val="000000"/>
                <w:lang w:eastAsia="en-AU"/>
              </w:rPr>
              <w:t>%</w:t>
            </w:r>
            <w:r>
              <w:rPr>
                <w:rFonts w:eastAsia="Times New Roman"/>
                <w:b/>
                <w:color w:val="000000"/>
                <w:lang w:eastAsia="en-AU"/>
              </w:rPr>
              <w:t>*</w:t>
            </w:r>
          </w:p>
        </w:tc>
      </w:tr>
    </w:tbl>
    <w:p w:rsidR="006F06FA" w:rsidRPr="00E67D03" w:rsidRDefault="00E67D03" w:rsidP="00017255">
      <w:pPr>
        <w:spacing w:line="240" w:lineRule="auto"/>
        <w:ind w:left="284"/>
        <w:rPr>
          <w:rFonts w:eastAsia="Times New Roman"/>
          <w:b/>
          <w:bCs/>
          <w:sz w:val="16"/>
          <w:szCs w:val="16"/>
        </w:rPr>
      </w:pPr>
      <w:r w:rsidRPr="00E67D03">
        <w:rPr>
          <w:rFonts w:eastAsia="Times New Roman"/>
          <w:b/>
          <w:bCs/>
          <w:sz w:val="16"/>
          <w:szCs w:val="16"/>
        </w:rPr>
        <w:t>* Allow for rounding error.</w:t>
      </w:r>
    </w:p>
    <w:p w:rsidR="00BC2B5D" w:rsidRDefault="00BC2B5D" w:rsidP="00017255">
      <w:pPr>
        <w:spacing w:line="240" w:lineRule="auto"/>
        <w:ind w:left="284"/>
        <w:rPr>
          <w:rFonts w:asciiTheme="majorHAnsi" w:eastAsia="Times New Roman" w:hAnsiTheme="majorHAnsi"/>
          <w:b/>
          <w:bCs/>
          <w:sz w:val="26"/>
        </w:rPr>
      </w:pPr>
    </w:p>
    <w:p w:rsidR="002D0E03" w:rsidRPr="006F48D6" w:rsidRDefault="00843F82" w:rsidP="006F48D6">
      <w:pPr>
        <w:pStyle w:val="Heading4"/>
        <w:spacing w:after="120"/>
      </w:pPr>
      <w:r>
        <w:t xml:space="preserve">Table </w:t>
      </w:r>
      <w:r w:rsidR="00AE2F97">
        <w:t>C</w:t>
      </w:r>
      <w:r>
        <w:t xml:space="preserve">:  </w:t>
      </w:r>
      <w:r w:rsidR="00BC2B5D">
        <w:t xml:space="preserve">2012 Year 12 Cohort – Area of study or work status </w:t>
      </w:r>
      <w:r w:rsidR="002428AB">
        <w:t>by gender</w:t>
      </w:r>
      <w:r w:rsidR="00AE2F97">
        <w:t xml:space="preserve"> (n=15,085)</w:t>
      </w:r>
    </w:p>
    <w:tbl>
      <w:tblPr>
        <w:tblW w:w="8386" w:type="dxa"/>
        <w:tblInd w:w="235" w:type="dxa"/>
        <w:tblLook w:val="04E0" w:firstRow="1" w:lastRow="1" w:firstColumn="1" w:lastColumn="0" w:noHBand="0" w:noVBand="1"/>
        <w:tblDescription w:val="Table showing 2012 year 12 cohort area of study or work status by gender"/>
      </w:tblPr>
      <w:tblGrid>
        <w:gridCol w:w="3998"/>
        <w:gridCol w:w="1104"/>
        <w:gridCol w:w="1140"/>
        <w:gridCol w:w="1004"/>
        <w:gridCol w:w="1140"/>
      </w:tblGrid>
      <w:tr w:rsidR="00106684" w:rsidRPr="002428AB" w:rsidTr="00E840FB">
        <w:trPr>
          <w:trHeight w:val="289"/>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684" w:rsidRPr="002428AB" w:rsidRDefault="002D0E03" w:rsidP="00017255">
            <w:pPr>
              <w:spacing w:line="240" w:lineRule="auto"/>
              <w:ind w:left="284"/>
              <w:rPr>
                <w:rFonts w:eastAsia="Times New Roman"/>
                <w:b/>
                <w:color w:val="000000"/>
                <w:sz w:val="20"/>
                <w:szCs w:val="20"/>
                <w:lang w:eastAsia="en-AU"/>
              </w:rPr>
            </w:pPr>
            <w:r>
              <w:rPr>
                <w:rFonts w:eastAsia="Times New Roman"/>
                <w:b/>
                <w:color w:val="000000"/>
                <w:sz w:val="20"/>
                <w:szCs w:val="20"/>
                <w:lang w:eastAsia="en-AU"/>
              </w:rPr>
              <w:t>Study or work status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684" w:rsidRPr="002428AB" w:rsidRDefault="002D0E03" w:rsidP="00017255">
            <w:pPr>
              <w:spacing w:line="240" w:lineRule="auto"/>
              <w:ind w:left="284"/>
              <w:jc w:val="center"/>
              <w:rPr>
                <w:rFonts w:eastAsia="Times New Roman"/>
                <w:b/>
                <w:color w:val="000000"/>
                <w:sz w:val="20"/>
                <w:szCs w:val="20"/>
                <w:lang w:eastAsia="en-AU"/>
              </w:rPr>
            </w:pPr>
            <w:r>
              <w:rPr>
                <w:rFonts w:eastAsia="Times New Roman"/>
                <w:b/>
                <w:color w:val="000000"/>
                <w:sz w:val="20"/>
                <w:szCs w:val="20"/>
                <w:lang w:eastAsia="en-AU"/>
              </w:rPr>
              <w:t xml:space="preserve">Female </w:t>
            </w:r>
            <w:r w:rsidR="00106684" w:rsidRPr="002428AB">
              <w:rPr>
                <w:rFonts w:eastAsia="Times New Roman"/>
                <w:b/>
                <w:color w:val="000000"/>
                <w:sz w:val="20"/>
                <w:szCs w:val="20"/>
                <w:lang w:eastAsia="en-AU"/>
              </w:rPr>
              <w:t>Count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684" w:rsidRPr="002428AB" w:rsidRDefault="002D0E03" w:rsidP="00017255">
            <w:pPr>
              <w:spacing w:line="240" w:lineRule="auto"/>
              <w:ind w:left="284"/>
              <w:jc w:val="center"/>
              <w:rPr>
                <w:rFonts w:eastAsia="Times New Roman"/>
                <w:b/>
                <w:color w:val="000000"/>
                <w:sz w:val="20"/>
                <w:szCs w:val="20"/>
                <w:lang w:eastAsia="en-AU"/>
              </w:rPr>
            </w:pPr>
            <w:r>
              <w:rPr>
                <w:rFonts w:eastAsia="Times New Roman"/>
                <w:b/>
                <w:color w:val="000000"/>
                <w:sz w:val="20"/>
                <w:szCs w:val="20"/>
                <w:lang w:eastAsia="en-AU"/>
              </w:rPr>
              <w:t xml:space="preserve">Female </w:t>
            </w:r>
            <w:r w:rsidR="00106684" w:rsidRPr="002428AB">
              <w:rPr>
                <w:rFonts w:eastAsia="Times New Roman"/>
                <w:b/>
                <w:color w:val="000000"/>
                <w:sz w:val="20"/>
                <w:szCs w:val="20"/>
                <w:lang w:eastAsia="en-AU"/>
              </w:rPr>
              <w:t>Percent</w:t>
            </w:r>
          </w:p>
        </w:tc>
        <w:tc>
          <w:tcPr>
            <w:tcW w:w="1004" w:type="dxa"/>
            <w:tcBorders>
              <w:top w:val="single" w:sz="4" w:space="0" w:color="auto"/>
              <w:left w:val="single" w:sz="4" w:space="0" w:color="auto"/>
              <w:bottom w:val="single" w:sz="4" w:space="0" w:color="auto"/>
              <w:right w:val="single" w:sz="4" w:space="0" w:color="auto"/>
            </w:tcBorders>
            <w:vAlign w:val="bottom"/>
          </w:tcPr>
          <w:p w:rsidR="00106684" w:rsidRPr="002428AB" w:rsidRDefault="002D0E03" w:rsidP="00017255">
            <w:pPr>
              <w:spacing w:line="240" w:lineRule="auto"/>
              <w:ind w:left="284"/>
              <w:jc w:val="center"/>
              <w:rPr>
                <w:rFonts w:eastAsia="Times New Roman"/>
                <w:b/>
                <w:color w:val="000000"/>
                <w:sz w:val="20"/>
                <w:szCs w:val="20"/>
                <w:lang w:eastAsia="en-AU"/>
              </w:rPr>
            </w:pPr>
            <w:r>
              <w:rPr>
                <w:rFonts w:eastAsia="Times New Roman"/>
                <w:b/>
                <w:color w:val="000000"/>
                <w:sz w:val="20"/>
                <w:szCs w:val="20"/>
                <w:lang w:eastAsia="en-AU"/>
              </w:rPr>
              <w:t xml:space="preserve">Males </w:t>
            </w:r>
            <w:r w:rsidR="00106684" w:rsidRPr="002428AB">
              <w:rPr>
                <w:rFonts w:eastAsia="Times New Roman"/>
                <w:b/>
                <w:color w:val="000000"/>
                <w:sz w:val="20"/>
                <w:szCs w:val="20"/>
                <w:lang w:eastAsia="en-AU"/>
              </w:rPr>
              <w:t>Count</w:t>
            </w:r>
          </w:p>
        </w:tc>
        <w:tc>
          <w:tcPr>
            <w:tcW w:w="1140" w:type="dxa"/>
            <w:tcBorders>
              <w:top w:val="single" w:sz="4" w:space="0" w:color="auto"/>
              <w:left w:val="single" w:sz="4" w:space="0" w:color="auto"/>
              <w:bottom w:val="single" w:sz="4" w:space="0" w:color="auto"/>
              <w:right w:val="single" w:sz="4" w:space="0" w:color="auto"/>
            </w:tcBorders>
            <w:vAlign w:val="bottom"/>
          </w:tcPr>
          <w:p w:rsidR="00106684" w:rsidRPr="002428AB" w:rsidRDefault="002D0E03" w:rsidP="00017255">
            <w:pPr>
              <w:spacing w:line="240" w:lineRule="auto"/>
              <w:ind w:left="284"/>
              <w:jc w:val="center"/>
              <w:rPr>
                <w:rFonts w:eastAsia="Times New Roman"/>
                <w:b/>
                <w:color w:val="000000"/>
                <w:sz w:val="20"/>
                <w:szCs w:val="20"/>
                <w:lang w:eastAsia="en-AU"/>
              </w:rPr>
            </w:pPr>
            <w:r>
              <w:rPr>
                <w:rFonts w:eastAsia="Times New Roman"/>
                <w:b/>
                <w:color w:val="000000"/>
                <w:sz w:val="20"/>
                <w:szCs w:val="20"/>
                <w:lang w:eastAsia="en-AU"/>
              </w:rPr>
              <w:t xml:space="preserve">Males </w:t>
            </w:r>
            <w:r w:rsidR="00106684" w:rsidRPr="002428AB">
              <w:rPr>
                <w:rFonts w:eastAsia="Times New Roman"/>
                <w:b/>
                <w:color w:val="000000"/>
                <w:sz w:val="20"/>
                <w:szCs w:val="20"/>
                <w:lang w:eastAsia="en-AU"/>
              </w:rPr>
              <w:t>Percent</w:t>
            </w:r>
          </w:p>
        </w:tc>
      </w:tr>
      <w:tr w:rsidR="00106684" w:rsidRPr="00106684" w:rsidTr="00E840FB">
        <w:trPr>
          <w:trHeight w:val="289"/>
        </w:trPr>
        <w:tc>
          <w:tcPr>
            <w:tcW w:w="3998"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106684" w:rsidRPr="00106684" w:rsidRDefault="00106684" w:rsidP="00017255">
            <w:pPr>
              <w:ind w:left="284"/>
              <w:rPr>
                <w:color w:val="000000"/>
                <w:sz w:val="20"/>
                <w:szCs w:val="20"/>
              </w:rPr>
            </w:pPr>
            <w:r w:rsidRPr="00106684">
              <w:rPr>
                <w:color w:val="000000"/>
                <w:sz w:val="20"/>
                <w:szCs w:val="20"/>
              </w:rPr>
              <w:t>Returned to school</w:t>
            </w:r>
          </w:p>
        </w:tc>
        <w:tc>
          <w:tcPr>
            <w:tcW w:w="1104" w:type="dxa"/>
            <w:tcBorders>
              <w:top w:val="single" w:sz="4" w:space="0" w:color="auto"/>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37</w:t>
            </w:r>
          </w:p>
        </w:tc>
        <w:tc>
          <w:tcPr>
            <w:tcW w:w="1140" w:type="dxa"/>
            <w:tcBorders>
              <w:top w:val="single" w:sz="4" w:space="0" w:color="auto"/>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0.5%</w:t>
            </w:r>
          </w:p>
        </w:tc>
        <w:tc>
          <w:tcPr>
            <w:tcW w:w="1004" w:type="dxa"/>
            <w:tcBorders>
              <w:top w:val="single" w:sz="4" w:space="0" w:color="auto"/>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25</w:t>
            </w:r>
          </w:p>
        </w:tc>
        <w:tc>
          <w:tcPr>
            <w:tcW w:w="1140" w:type="dxa"/>
            <w:tcBorders>
              <w:top w:val="single" w:sz="4" w:space="0" w:color="auto"/>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0.3%</w:t>
            </w:r>
          </w:p>
        </w:tc>
      </w:tr>
      <w:tr w:rsidR="00106684" w:rsidRPr="00106684" w:rsidTr="00E840FB">
        <w:trPr>
          <w:trHeight w:val="289"/>
        </w:trPr>
        <w:tc>
          <w:tcPr>
            <w:tcW w:w="3998"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106684" w:rsidRPr="00106684" w:rsidRDefault="00106684" w:rsidP="00017255">
            <w:pPr>
              <w:ind w:left="284"/>
              <w:rPr>
                <w:color w:val="000000"/>
                <w:sz w:val="20"/>
                <w:szCs w:val="20"/>
              </w:rPr>
            </w:pPr>
            <w:r w:rsidRPr="00106684">
              <w:rPr>
                <w:color w:val="000000"/>
                <w:sz w:val="20"/>
                <w:szCs w:val="20"/>
              </w:rPr>
              <w:t>Studying at University</w:t>
            </w:r>
          </w:p>
        </w:tc>
        <w:tc>
          <w:tcPr>
            <w:tcW w:w="1104" w:type="dxa"/>
            <w:tcBorders>
              <w:top w:val="single" w:sz="4" w:space="0" w:color="auto"/>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3,962</w:t>
            </w:r>
          </w:p>
        </w:tc>
        <w:tc>
          <w:tcPr>
            <w:tcW w:w="1140" w:type="dxa"/>
            <w:tcBorders>
              <w:top w:val="single" w:sz="4" w:space="0" w:color="auto"/>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50.2%</w:t>
            </w:r>
          </w:p>
        </w:tc>
        <w:tc>
          <w:tcPr>
            <w:tcW w:w="1004" w:type="dxa"/>
            <w:tcBorders>
              <w:top w:val="single" w:sz="4" w:space="0" w:color="auto"/>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3,198</w:t>
            </w:r>
          </w:p>
        </w:tc>
        <w:tc>
          <w:tcPr>
            <w:tcW w:w="1140" w:type="dxa"/>
            <w:tcBorders>
              <w:top w:val="single" w:sz="4" w:space="0" w:color="auto"/>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44.4%</w:t>
            </w:r>
          </w:p>
        </w:tc>
      </w:tr>
      <w:tr w:rsidR="00106684" w:rsidRPr="00106684" w:rsidTr="00E840FB">
        <w:trPr>
          <w:trHeight w:val="289"/>
        </w:trPr>
        <w:tc>
          <w:tcPr>
            <w:tcW w:w="3998"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106684" w:rsidRDefault="00106684" w:rsidP="00017255">
            <w:pPr>
              <w:ind w:left="284"/>
              <w:rPr>
                <w:color w:val="000000"/>
                <w:sz w:val="20"/>
                <w:szCs w:val="20"/>
              </w:rPr>
            </w:pPr>
            <w:r w:rsidRPr="00106684">
              <w:rPr>
                <w:color w:val="000000"/>
                <w:sz w:val="20"/>
                <w:szCs w:val="20"/>
              </w:rPr>
              <w:t>Studying a</w:t>
            </w:r>
            <w:r w:rsidR="00F72129">
              <w:rPr>
                <w:color w:val="000000"/>
                <w:sz w:val="20"/>
                <w:szCs w:val="20"/>
              </w:rPr>
              <w:t>t State Training Provider</w:t>
            </w:r>
          </w:p>
        </w:tc>
        <w:tc>
          <w:tcPr>
            <w:tcW w:w="1104" w:type="dxa"/>
            <w:tcBorders>
              <w:top w:val="nil"/>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1,272</w:t>
            </w:r>
          </w:p>
        </w:tc>
        <w:tc>
          <w:tcPr>
            <w:tcW w:w="1140" w:type="dxa"/>
            <w:tcBorders>
              <w:top w:val="nil"/>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16.1%</w:t>
            </w:r>
          </w:p>
        </w:tc>
        <w:tc>
          <w:tcPr>
            <w:tcW w:w="1004" w:type="dxa"/>
            <w:tcBorders>
              <w:top w:val="nil"/>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1,209</w:t>
            </w:r>
          </w:p>
        </w:tc>
        <w:tc>
          <w:tcPr>
            <w:tcW w:w="1140" w:type="dxa"/>
            <w:tcBorders>
              <w:top w:val="nil"/>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16.8%</w:t>
            </w:r>
          </w:p>
        </w:tc>
      </w:tr>
      <w:tr w:rsidR="00106684" w:rsidRPr="00106684" w:rsidTr="00E840FB">
        <w:trPr>
          <w:trHeight w:val="289"/>
        </w:trPr>
        <w:tc>
          <w:tcPr>
            <w:tcW w:w="3998"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106684" w:rsidRDefault="00106684" w:rsidP="00017255">
            <w:pPr>
              <w:ind w:left="284"/>
              <w:rPr>
                <w:color w:val="000000"/>
                <w:sz w:val="20"/>
                <w:szCs w:val="20"/>
              </w:rPr>
            </w:pPr>
            <w:r w:rsidRPr="00106684">
              <w:rPr>
                <w:color w:val="000000"/>
                <w:sz w:val="20"/>
                <w:szCs w:val="20"/>
              </w:rPr>
              <w:t>Traineeship/Apprenticeship</w:t>
            </w:r>
          </w:p>
        </w:tc>
        <w:tc>
          <w:tcPr>
            <w:tcW w:w="1104" w:type="dxa"/>
            <w:tcBorders>
              <w:top w:val="nil"/>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194</w:t>
            </w:r>
          </w:p>
        </w:tc>
        <w:tc>
          <w:tcPr>
            <w:tcW w:w="1140" w:type="dxa"/>
            <w:tcBorders>
              <w:top w:val="nil"/>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2.5%</w:t>
            </w:r>
          </w:p>
        </w:tc>
        <w:tc>
          <w:tcPr>
            <w:tcW w:w="1004" w:type="dxa"/>
            <w:tcBorders>
              <w:top w:val="nil"/>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359</w:t>
            </w:r>
          </w:p>
        </w:tc>
        <w:tc>
          <w:tcPr>
            <w:tcW w:w="1140" w:type="dxa"/>
            <w:tcBorders>
              <w:top w:val="nil"/>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5.0%</w:t>
            </w:r>
          </w:p>
        </w:tc>
      </w:tr>
      <w:tr w:rsidR="00106684" w:rsidRPr="00106684" w:rsidTr="00E840FB">
        <w:trPr>
          <w:trHeight w:val="289"/>
        </w:trPr>
        <w:tc>
          <w:tcPr>
            <w:tcW w:w="3998"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106684" w:rsidRDefault="00106684" w:rsidP="00017255">
            <w:pPr>
              <w:ind w:left="284"/>
              <w:rPr>
                <w:color w:val="000000"/>
                <w:sz w:val="20"/>
                <w:szCs w:val="20"/>
              </w:rPr>
            </w:pPr>
            <w:r w:rsidRPr="00106684">
              <w:rPr>
                <w:color w:val="000000"/>
                <w:sz w:val="20"/>
                <w:szCs w:val="20"/>
              </w:rPr>
              <w:t>Other Study/Training</w:t>
            </w:r>
          </w:p>
        </w:tc>
        <w:tc>
          <w:tcPr>
            <w:tcW w:w="1104" w:type="dxa"/>
            <w:tcBorders>
              <w:top w:val="nil"/>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120</w:t>
            </w:r>
          </w:p>
        </w:tc>
        <w:tc>
          <w:tcPr>
            <w:tcW w:w="1140" w:type="dxa"/>
            <w:tcBorders>
              <w:top w:val="nil"/>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1.5%</w:t>
            </w:r>
          </w:p>
        </w:tc>
        <w:tc>
          <w:tcPr>
            <w:tcW w:w="1004" w:type="dxa"/>
            <w:tcBorders>
              <w:top w:val="nil"/>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92</w:t>
            </w:r>
          </w:p>
        </w:tc>
        <w:tc>
          <w:tcPr>
            <w:tcW w:w="1140" w:type="dxa"/>
            <w:tcBorders>
              <w:top w:val="nil"/>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1.3%</w:t>
            </w:r>
          </w:p>
        </w:tc>
      </w:tr>
      <w:tr w:rsidR="00106684" w:rsidRPr="00106684" w:rsidTr="00E840FB">
        <w:trPr>
          <w:trHeight w:val="289"/>
        </w:trPr>
        <w:tc>
          <w:tcPr>
            <w:tcW w:w="3998"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tcPr>
          <w:p w:rsidR="00106684" w:rsidRPr="00106684" w:rsidRDefault="00106684" w:rsidP="00017255">
            <w:pPr>
              <w:ind w:left="284"/>
              <w:rPr>
                <w:i/>
                <w:color w:val="000000"/>
                <w:sz w:val="20"/>
                <w:szCs w:val="20"/>
              </w:rPr>
            </w:pPr>
            <w:r w:rsidRPr="00106684">
              <w:rPr>
                <w:i/>
                <w:color w:val="000000"/>
                <w:sz w:val="20"/>
                <w:szCs w:val="20"/>
              </w:rPr>
              <w:t>Total studying</w:t>
            </w:r>
          </w:p>
        </w:tc>
        <w:tc>
          <w:tcPr>
            <w:tcW w:w="1104"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106684" w:rsidRDefault="00106684" w:rsidP="00017255">
            <w:pPr>
              <w:ind w:left="284"/>
              <w:jc w:val="right"/>
              <w:rPr>
                <w:i/>
                <w:color w:val="000000"/>
                <w:sz w:val="20"/>
                <w:szCs w:val="20"/>
              </w:rPr>
            </w:pPr>
            <w:r w:rsidRPr="00106684">
              <w:rPr>
                <w:i/>
                <w:color w:val="000000"/>
                <w:sz w:val="20"/>
                <w:szCs w:val="20"/>
              </w:rPr>
              <w:t>5,585</w:t>
            </w:r>
          </w:p>
        </w:tc>
        <w:tc>
          <w:tcPr>
            <w:tcW w:w="1140"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106684" w:rsidRDefault="00106684" w:rsidP="00017255">
            <w:pPr>
              <w:ind w:left="284"/>
              <w:jc w:val="right"/>
              <w:rPr>
                <w:color w:val="000000"/>
                <w:sz w:val="20"/>
                <w:szCs w:val="20"/>
              </w:rPr>
            </w:pPr>
            <w:r w:rsidRPr="00106684">
              <w:rPr>
                <w:color w:val="000000"/>
                <w:sz w:val="20"/>
                <w:szCs w:val="20"/>
              </w:rPr>
              <w:t>70.8</w:t>
            </w:r>
            <w:r w:rsidR="00CF6B55">
              <w:rPr>
                <w:color w:val="000000"/>
                <w:sz w:val="20"/>
                <w:szCs w:val="20"/>
              </w:rPr>
              <w:t>%</w:t>
            </w:r>
          </w:p>
        </w:tc>
        <w:tc>
          <w:tcPr>
            <w:tcW w:w="1004"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106684" w:rsidRDefault="00106684" w:rsidP="00017255">
            <w:pPr>
              <w:ind w:left="284"/>
              <w:jc w:val="right"/>
              <w:rPr>
                <w:i/>
                <w:color w:val="000000"/>
                <w:sz w:val="20"/>
                <w:szCs w:val="20"/>
              </w:rPr>
            </w:pPr>
            <w:r w:rsidRPr="00106684">
              <w:rPr>
                <w:i/>
                <w:color w:val="000000"/>
                <w:sz w:val="20"/>
                <w:szCs w:val="20"/>
              </w:rPr>
              <w:t>4,883</w:t>
            </w:r>
          </w:p>
        </w:tc>
        <w:tc>
          <w:tcPr>
            <w:tcW w:w="1140" w:type="dxa"/>
            <w:tcBorders>
              <w:top w:val="single" w:sz="4" w:space="0" w:color="000000"/>
              <w:left w:val="nil"/>
              <w:bottom w:val="single" w:sz="4" w:space="0" w:color="000000"/>
              <w:right w:val="single" w:sz="4" w:space="0" w:color="000000"/>
            </w:tcBorders>
            <w:shd w:val="clear" w:color="auto" w:fill="DDDDDD" w:themeFill="accent1"/>
          </w:tcPr>
          <w:p w:rsidR="00106684" w:rsidRPr="00106684" w:rsidRDefault="00106684" w:rsidP="00017255">
            <w:pPr>
              <w:ind w:left="284"/>
              <w:jc w:val="right"/>
              <w:rPr>
                <w:i/>
                <w:color w:val="000000"/>
                <w:sz w:val="20"/>
                <w:szCs w:val="20"/>
              </w:rPr>
            </w:pPr>
            <w:r w:rsidRPr="00106684">
              <w:rPr>
                <w:i/>
                <w:color w:val="000000"/>
                <w:sz w:val="20"/>
                <w:szCs w:val="20"/>
              </w:rPr>
              <w:t>67.8%</w:t>
            </w:r>
          </w:p>
        </w:tc>
      </w:tr>
      <w:tr w:rsidR="00106684" w:rsidRPr="00106684" w:rsidTr="00E840FB">
        <w:trPr>
          <w:trHeight w:val="289"/>
        </w:trPr>
        <w:tc>
          <w:tcPr>
            <w:tcW w:w="3998"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106684" w:rsidRDefault="00106684" w:rsidP="00017255">
            <w:pPr>
              <w:ind w:left="284"/>
              <w:rPr>
                <w:color w:val="000000"/>
                <w:sz w:val="20"/>
                <w:szCs w:val="20"/>
              </w:rPr>
            </w:pPr>
            <w:r w:rsidRPr="00106684">
              <w:rPr>
                <w:color w:val="000000"/>
                <w:sz w:val="20"/>
                <w:szCs w:val="20"/>
              </w:rPr>
              <w:t>Full-Time Employment</w:t>
            </w:r>
          </w:p>
        </w:tc>
        <w:tc>
          <w:tcPr>
            <w:tcW w:w="1104" w:type="dxa"/>
            <w:tcBorders>
              <w:top w:val="nil"/>
              <w:left w:val="nil"/>
              <w:bottom w:val="single" w:sz="4" w:space="0" w:color="000000"/>
              <w:right w:val="single" w:sz="4" w:space="0" w:color="000000"/>
            </w:tcBorders>
            <w:shd w:val="clear" w:color="auto" w:fill="auto"/>
            <w:noWrap/>
            <w:vAlign w:val="bottom"/>
            <w:hideMark/>
          </w:tcPr>
          <w:p w:rsidR="00106684" w:rsidRPr="00106684" w:rsidRDefault="00106684" w:rsidP="00017255">
            <w:pPr>
              <w:ind w:left="284"/>
              <w:jc w:val="right"/>
              <w:rPr>
                <w:color w:val="000000"/>
                <w:sz w:val="20"/>
                <w:szCs w:val="20"/>
              </w:rPr>
            </w:pPr>
            <w:r w:rsidRPr="00106684">
              <w:rPr>
                <w:color w:val="000000"/>
                <w:sz w:val="20"/>
                <w:szCs w:val="20"/>
              </w:rPr>
              <w:t>444</w:t>
            </w:r>
          </w:p>
        </w:tc>
        <w:tc>
          <w:tcPr>
            <w:tcW w:w="1140" w:type="dxa"/>
            <w:tcBorders>
              <w:top w:val="nil"/>
              <w:left w:val="nil"/>
              <w:bottom w:val="single" w:sz="4" w:space="0" w:color="000000"/>
              <w:right w:val="single" w:sz="4" w:space="0" w:color="000000"/>
            </w:tcBorders>
            <w:shd w:val="clear" w:color="auto" w:fill="auto"/>
            <w:noWrap/>
            <w:vAlign w:val="bottom"/>
          </w:tcPr>
          <w:p w:rsidR="00106684" w:rsidRPr="00106684" w:rsidRDefault="00106684" w:rsidP="00017255">
            <w:pPr>
              <w:ind w:left="284"/>
              <w:jc w:val="right"/>
              <w:rPr>
                <w:color w:val="000000"/>
                <w:sz w:val="20"/>
                <w:szCs w:val="20"/>
              </w:rPr>
            </w:pPr>
            <w:r w:rsidRPr="00106684">
              <w:rPr>
                <w:color w:val="000000"/>
                <w:sz w:val="20"/>
                <w:szCs w:val="20"/>
              </w:rPr>
              <w:t>5.6%</w:t>
            </w:r>
          </w:p>
        </w:tc>
        <w:tc>
          <w:tcPr>
            <w:tcW w:w="1004" w:type="dxa"/>
            <w:tcBorders>
              <w:top w:val="nil"/>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622</w:t>
            </w:r>
          </w:p>
        </w:tc>
        <w:tc>
          <w:tcPr>
            <w:tcW w:w="1140" w:type="dxa"/>
            <w:tcBorders>
              <w:top w:val="nil"/>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8.6%</w:t>
            </w:r>
          </w:p>
        </w:tc>
      </w:tr>
      <w:tr w:rsidR="00106684" w:rsidRPr="00106684" w:rsidTr="00E840FB">
        <w:trPr>
          <w:trHeight w:val="289"/>
        </w:trPr>
        <w:tc>
          <w:tcPr>
            <w:tcW w:w="3998"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106684" w:rsidRPr="00106684" w:rsidRDefault="00106684" w:rsidP="00017255">
            <w:pPr>
              <w:ind w:left="284"/>
              <w:rPr>
                <w:color w:val="000000"/>
                <w:sz w:val="20"/>
                <w:szCs w:val="20"/>
              </w:rPr>
            </w:pPr>
            <w:r w:rsidRPr="00106684">
              <w:rPr>
                <w:color w:val="000000"/>
                <w:sz w:val="20"/>
                <w:szCs w:val="20"/>
              </w:rPr>
              <w:t>Part-Time Employment</w:t>
            </w:r>
          </w:p>
        </w:tc>
        <w:tc>
          <w:tcPr>
            <w:tcW w:w="1104" w:type="dxa"/>
            <w:tcBorders>
              <w:top w:val="single" w:sz="4" w:space="0" w:color="auto"/>
              <w:left w:val="nil"/>
              <w:bottom w:val="single" w:sz="4" w:space="0" w:color="000000"/>
              <w:right w:val="single" w:sz="4" w:space="0" w:color="000000"/>
            </w:tcBorders>
            <w:shd w:val="clear" w:color="auto" w:fill="auto"/>
            <w:noWrap/>
            <w:vAlign w:val="bottom"/>
          </w:tcPr>
          <w:p w:rsidR="00106684" w:rsidRPr="00106684" w:rsidRDefault="00106684" w:rsidP="00017255">
            <w:pPr>
              <w:ind w:left="284"/>
              <w:jc w:val="right"/>
              <w:rPr>
                <w:color w:val="000000"/>
                <w:sz w:val="20"/>
                <w:szCs w:val="20"/>
              </w:rPr>
            </w:pPr>
            <w:r w:rsidRPr="00106684">
              <w:rPr>
                <w:color w:val="000000"/>
                <w:sz w:val="20"/>
                <w:szCs w:val="20"/>
              </w:rPr>
              <w:t>591</w:t>
            </w:r>
          </w:p>
        </w:tc>
        <w:tc>
          <w:tcPr>
            <w:tcW w:w="1140" w:type="dxa"/>
            <w:tcBorders>
              <w:top w:val="single" w:sz="4" w:space="0" w:color="auto"/>
              <w:left w:val="nil"/>
              <w:bottom w:val="single" w:sz="4" w:space="0" w:color="000000"/>
              <w:right w:val="single" w:sz="4" w:space="0" w:color="000000"/>
            </w:tcBorders>
            <w:shd w:val="clear" w:color="auto" w:fill="auto"/>
            <w:noWrap/>
            <w:vAlign w:val="bottom"/>
          </w:tcPr>
          <w:p w:rsidR="00106684" w:rsidRPr="00106684" w:rsidRDefault="00106684" w:rsidP="00017255">
            <w:pPr>
              <w:ind w:left="284"/>
              <w:jc w:val="right"/>
              <w:rPr>
                <w:color w:val="000000"/>
                <w:sz w:val="20"/>
                <w:szCs w:val="20"/>
              </w:rPr>
            </w:pPr>
            <w:r w:rsidRPr="00106684">
              <w:rPr>
                <w:color w:val="000000"/>
                <w:sz w:val="20"/>
                <w:szCs w:val="20"/>
              </w:rPr>
              <w:t>7.5%</w:t>
            </w:r>
          </w:p>
        </w:tc>
        <w:tc>
          <w:tcPr>
            <w:tcW w:w="1004" w:type="dxa"/>
            <w:tcBorders>
              <w:top w:val="single" w:sz="4" w:space="0" w:color="auto"/>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582</w:t>
            </w:r>
          </w:p>
        </w:tc>
        <w:tc>
          <w:tcPr>
            <w:tcW w:w="1140" w:type="dxa"/>
            <w:tcBorders>
              <w:top w:val="single" w:sz="4" w:space="0" w:color="auto"/>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8.1%</w:t>
            </w:r>
          </w:p>
        </w:tc>
      </w:tr>
      <w:tr w:rsidR="00106684" w:rsidRPr="00106684" w:rsidTr="00E840FB">
        <w:trPr>
          <w:trHeight w:val="289"/>
        </w:trPr>
        <w:tc>
          <w:tcPr>
            <w:tcW w:w="3998"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106684" w:rsidRPr="00106684" w:rsidRDefault="00106684" w:rsidP="00017255">
            <w:pPr>
              <w:ind w:left="284"/>
              <w:rPr>
                <w:color w:val="000000"/>
                <w:sz w:val="20"/>
                <w:szCs w:val="20"/>
              </w:rPr>
            </w:pPr>
            <w:r w:rsidRPr="00106684">
              <w:rPr>
                <w:color w:val="000000"/>
                <w:sz w:val="20"/>
                <w:szCs w:val="20"/>
              </w:rPr>
              <w:t>Employment Assistance</w:t>
            </w:r>
          </w:p>
        </w:tc>
        <w:tc>
          <w:tcPr>
            <w:tcW w:w="1104" w:type="dxa"/>
            <w:tcBorders>
              <w:top w:val="single" w:sz="4" w:space="0" w:color="auto"/>
              <w:left w:val="nil"/>
              <w:bottom w:val="single" w:sz="4" w:space="0" w:color="000000"/>
              <w:right w:val="single" w:sz="4" w:space="0" w:color="000000"/>
            </w:tcBorders>
            <w:shd w:val="clear" w:color="auto" w:fill="auto"/>
            <w:noWrap/>
            <w:vAlign w:val="bottom"/>
          </w:tcPr>
          <w:p w:rsidR="00106684" w:rsidRPr="00106684" w:rsidRDefault="00106684" w:rsidP="00017255">
            <w:pPr>
              <w:ind w:left="284"/>
              <w:jc w:val="right"/>
              <w:rPr>
                <w:color w:val="000000"/>
                <w:sz w:val="20"/>
                <w:szCs w:val="20"/>
              </w:rPr>
            </w:pPr>
            <w:r w:rsidRPr="00106684">
              <w:rPr>
                <w:color w:val="000000"/>
                <w:sz w:val="20"/>
                <w:szCs w:val="20"/>
              </w:rPr>
              <w:t>294</w:t>
            </w:r>
          </w:p>
        </w:tc>
        <w:tc>
          <w:tcPr>
            <w:tcW w:w="1140" w:type="dxa"/>
            <w:tcBorders>
              <w:top w:val="single" w:sz="4" w:space="0" w:color="auto"/>
              <w:left w:val="nil"/>
              <w:bottom w:val="single" w:sz="4" w:space="0" w:color="000000"/>
              <w:right w:val="single" w:sz="4" w:space="0" w:color="000000"/>
            </w:tcBorders>
            <w:shd w:val="clear" w:color="auto" w:fill="auto"/>
            <w:noWrap/>
            <w:vAlign w:val="bottom"/>
          </w:tcPr>
          <w:p w:rsidR="00106684" w:rsidRPr="00106684" w:rsidRDefault="00106684" w:rsidP="00017255">
            <w:pPr>
              <w:ind w:left="284"/>
              <w:jc w:val="right"/>
              <w:rPr>
                <w:color w:val="000000"/>
                <w:sz w:val="20"/>
                <w:szCs w:val="20"/>
              </w:rPr>
            </w:pPr>
            <w:r w:rsidRPr="00106684">
              <w:rPr>
                <w:color w:val="000000"/>
                <w:sz w:val="20"/>
                <w:szCs w:val="20"/>
              </w:rPr>
              <w:t>3.7%</w:t>
            </w:r>
          </w:p>
        </w:tc>
        <w:tc>
          <w:tcPr>
            <w:tcW w:w="1004" w:type="dxa"/>
            <w:tcBorders>
              <w:top w:val="single" w:sz="4" w:space="0" w:color="auto"/>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409</w:t>
            </w:r>
          </w:p>
        </w:tc>
        <w:tc>
          <w:tcPr>
            <w:tcW w:w="1140" w:type="dxa"/>
            <w:tcBorders>
              <w:top w:val="single" w:sz="4" w:space="0" w:color="auto"/>
              <w:left w:val="nil"/>
              <w:bottom w:val="single" w:sz="4" w:space="0" w:color="000000"/>
              <w:right w:val="single" w:sz="4" w:space="0" w:color="000000"/>
            </w:tcBorders>
            <w:vAlign w:val="bottom"/>
          </w:tcPr>
          <w:p w:rsidR="00106684" w:rsidRPr="00106684" w:rsidRDefault="00106684" w:rsidP="00017255">
            <w:pPr>
              <w:ind w:left="284"/>
              <w:jc w:val="right"/>
              <w:rPr>
                <w:color w:val="000000"/>
                <w:sz w:val="20"/>
                <w:szCs w:val="20"/>
              </w:rPr>
            </w:pPr>
            <w:r w:rsidRPr="00106684">
              <w:rPr>
                <w:color w:val="000000"/>
                <w:sz w:val="20"/>
                <w:szCs w:val="20"/>
              </w:rPr>
              <w:t>5.7%</w:t>
            </w:r>
          </w:p>
        </w:tc>
      </w:tr>
      <w:tr w:rsidR="00106684" w:rsidRPr="00106684" w:rsidTr="00E840FB">
        <w:trPr>
          <w:trHeight w:val="289"/>
        </w:trPr>
        <w:tc>
          <w:tcPr>
            <w:tcW w:w="3998"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tcPr>
          <w:p w:rsidR="00106684" w:rsidRPr="00106684" w:rsidRDefault="00106684" w:rsidP="00017255">
            <w:pPr>
              <w:ind w:left="284"/>
              <w:rPr>
                <w:i/>
                <w:color w:val="000000"/>
                <w:sz w:val="20"/>
                <w:szCs w:val="20"/>
              </w:rPr>
            </w:pPr>
            <w:r w:rsidRPr="00106684">
              <w:rPr>
                <w:i/>
                <w:color w:val="000000"/>
                <w:sz w:val="20"/>
                <w:szCs w:val="20"/>
              </w:rPr>
              <w:t>Total employed or seeking employment</w:t>
            </w:r>
          </w:p>
        </w:tc>
        <w:tc>
          <w:tcPr>
            <w:tcW w:w="1104"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106684" w:rsidRDefault="00106684" w:rsidP="00017255">
            <w:pPr>
              <w:ind w:left="284"/>
              <w:jc w:val="right"/>
              <w:rPr>
                <w:i/>
                <w:color w:val="000000"/>
                <w:sz w:val="20"/>
                <w:szCs w:val="20"/>
              </w:rPr>
            </w:pPr>
            <w:r w:rsidRPr="00106684">
              <w:rPr>
                <w:i/>
                <w:color w:val="000000"/>
                <w:sz w:val="20"/>
                <w:szCs w:val="20"/>
              </w:rPr>
              <w:t>1,329</w:t>
            </w:r>
          </w:p>
        </w:tc>
        <w:tc>
          <w:tcPr>
            <w:tcW w:w="1140"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106684" w:rsidRDefault="00106684" w:rsidP="00017255">
            <w:pPr>
              <w:ind w:left="284"/>
              <w:jc w:val="right"/>
              <w:rPr>
                <w:i/>
                <w:color w:val="000000"/>
                <w:sz w:val="20"/>
                <w:szCs w:val="20"/>
              </w:rPr>
            </w:pPr>
            <w:r w:rsidRPr="00106684">
              <w:rPr>
                <w:i/>
                <w:color w:val="000000"/>
                <w:sz w:val="20"/>
                <w:szCs w:val="20"/>
              </w:rPr>
              <w:t>16.9%</w:t>
            </w:r>
          </w:p>
        </w:tc>
        <w:tc>
          <w:tcPr>
            <w:tcW w:w="1004"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106684" w:rsidRDefault="00106684" w:rsidP="00017255">
            <w:pPr>
              <w:ind w:left="284"/>
              <w:jc w:val="right"/>
              <w:rPr>
                <w:i/>
                <w:color w:val="000000"/>
                <w:sz w:val="20"/>
                <w:szCs w:val="20"/>
              </w:rPr>
            </w:pPr>
            <w:r w:rsidRPr="00106684">
              <w:rPr>
                <w:i/>
                <w:color w:val="000000"/>
                <w:sz w:val="20"/>
                <w:szCs w:val="20"/>
              </w:rPr>
              <w:t>1,613</w:t>
            </w:r>
          </w:p>
        </w:tc>
        <w:tc>
          <w:tcPr>
            <w:tcW w:w="1140" w:type="dxa"/>
            <w:tcBorders>
              <w:top w:val="single" w:sz="4" w:space="0" w:color="000000"/>
              <w:left w:val="nil"/>
              <w:bottom w:val="single" w:sz="4" w:space="0" w:color="000000"/>
              <w:right w:val="single" w:sz="4" w:space="0" w:color="000000"/>
            </w:tcBorders>
            <w:shd w:val="clear" w:color="auto" w:fill="DDDDDD" w:themeFill="accent1"/>
          </w:tcPr>
          <w:p w:rsidR="00106684" w:rsidRPr="00106684" w:rsidRDefault="00106684" w:rsidP="00017255">
            <w:pPr>
              <w:ind w:left="284"/>
              <w:jc w:val="right"/>
              <w:rPr>
                <w:i/>
                <w:color w:val="000000"/>
                <w:sz w:val="20"/>
                <w:szCs w:val="20"/>
              </w:rPr>
            </w:pPr>
            <w:r w:rsidRPr="00106684">
              <w:rPr>
                <w:i/>
                <w:color w:val="000000"/>
                <w:sz w:val="20"/>
                <w:szCs w:val="20"/>
              </w:rPr>
              <w:t>22.4%</w:t>
            </w:r>
          </w:p>
        </w:tc>
      </w:tr>
      <w:tr w:rsidR="00106684" w:rsidRPr="00106684" w:rsidTr="00E840FB">
        <w:trPr>
          <w:trHeight w:val="289"/>
        </w:trPr>
        <w:tc>
          <w:tcPr>
            <w:tcW w:w="3998"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hideMark/>
          </w:tcPr>
          <w:p w:rsidR="00106684" w:rsidRPr="00106684" w:rsidRDefault="00106684" w:rsidP="00017255">
            <w:pPr>
              <w:ind w:left="284"/>
              <w:rPr>
                <w:i/>
                <w:color w:val="000000"/>
                <w:sz w:val="20"/>
                <w:szCs w:val="20"/>
              </w:rPr>
            </w:pPr>
            <w:r w:rsidRPr="00106684">
              <w:rPr>
                <w:i/>
                <w:color w:val="000000"/>
                <w:sz w:val="20"/>
                <w:szCs w:val="20"/>
              </w:rPr>
              <w:t>Deferred Study or Training</w:t>
            </w:r>
          </w:p>
        </w:tc>
        <w:tc>
          <w:tcPr>
            <w:tcW w:w="1104" w:type="dxa"/>
            <w:tcBorders>
              <w:top w:val="single" w:sz="4" w:space="0" w:color="000000"/>
              <w:left w:val="nil"/>
              <w:bottom w:val="single" w:sz="4" w:space="0" w:color="000000"/>
              <w:right w:val="single" w:sz="4" w:space="0" w:color="000000"/>
            </w:tcBorders>
            <w:shd w:val="clear" w:color="auto" w:fill="DDDDDD" w:themeFill="accent1"/>
            <w:noWrap/>
            <w:vAlign w:val="bottom"/>
            <w:hideMark/>
          </w:tcPr>
          <w:p w:rsidR="00106684" w:rsidRPr="00106684" w:rsidRDefault="00106684" w:rsidP="00017255">
            <w:pPr>
              <w:ind w:left="284"/>
              <w:jc w:val="right"/>
              <w:rPr>
                <w:i/>
                <w:color w:val="000000"/>
                <w:sz w:val="20"/>
                <w:szCs w:val="20"/>
              </w:rPr>
            </w:pPr>
            <w:r w:rsidRPr="00106684">
              <w:rPr>
                <w:i/>
                <w:color w:val="000000"/>
                <w:sz w:val="20"/>
                <w:szCs w:val="20"/>
              </w:rPr>
              <w:t>866</w:t>
            </w:r>
          </w:p>
        </w:tc>
        <w:tc>
          <w:tcPr>
            <w:tcW w:w="1140"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106684" w:rsidRDefault="00106684" w:rsidP="00017255">
            <w:pPr>
              <w:ind w:left="284"/>
              <w:jc w:val="right"/>
              <w:rPr>
                <w:i/>
                <w:color w:val="000000"/>
                <w:sz w:val="20"/>
                <w:szCs w:val="20"/>
              </w:rPr>
            </w:pPr>
            <w:r w:rsidRPr="00106684">
              <w:rPr>
                <w:i/>
                <w:color w:val="000000"/>
                <w:sz w:val="20"/>
                <w:szCs w:val="20"/>
              </w:rPr>
              <w:t>11.0%</w:t>
            </w:r>
          </w:p>
        </w:tc>
        <w:tc>
          <w:tcPr>
            <w:tcW w:w="1004"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106684" w:rsidRDefault="00106684" w:rsidP="00017255">
            <w:pPr>
              <w:ind w:left="284"/>
              <w:jc w:val="right"/>
              <w:rPr>
                <w:i/>
                <w:color w:val="000000"/>
                <w:sz w:val="20"/>
                <w:szCs w:val="20"/>
              </w:rPr>
            </w:pPr>
            <w:r w:rsidRPr="00106684">
              <w:rPr>
                <w:i/>
                <w:color w:val="000000"/>
                <w:sz w:val="20"/>
                <w:szCs w:val="20"/>
              </w:rPr>
              <w:t>591</w:t>
            </w:r>
          </w:p>
        </w:tc>
        <w:tc>
          <w:tcPr>
            <w:tcW w:w="1140"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106684" w:rsidRDefault="00106684" w:rsidP="00017255">
            <w:pPr>
              <w:ind w:left="284"/>
              <w:jc w:val="right"/>
              <w:rPr>
                <w:i/>
                <w:color w:val="000000"/>
                <w:sz w:val="20"/>
                <w:szCs w:val="20"/>
              </w:rPr>
            </w:pPr>
            <w:r w:rsidRPr="00106684">
              <w:rPr>
                <w:i/>
                <w:color w:val="000000"/>
                <w:sz w:val="20"/>
                <w:szCs w:val="20"/>
              </w:rPr>
              <w:t>8.2%</w:t>
            </w:r>
          </w:p>
        </w:tc>
      </w:tr>
      <w:tr w:rsidR="00106684" w:rsidRPr="00106684" w:rsidTr="00E840FB">
        <w:trPr>
          <w:trHeight w:val="289"/>
        </w:trPr>
        <w:tc>
          <w:tcPr>
            <w:tcW w:w="3998"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hideMark/>
          </w:tcPr>
          <w:p w:rsidR="00106684" w:rsidRPr="00106684" w:rsidRDefault="00106684" w:rsidP="00017255">
            <w:pPr>
              <w:ind w:left="255"/>
              <w:rPr>
                <w:i/>
                <w:color w:val="000000"/>
                <w:sz w:val="20"/>
                <w:szCs w:val="20"/>
              </w:rPr>
            </w:pPr>
            <w:r w:rsidRPr="00106684">
              <w:rPr>
                <w:i/>
                <w:color w:val="000000"/>
                <w:sz w:val="20"/>
                <w:szCs w:val="20"/>
              </w:rPr>
              <w:t>Other</w:t>
            </w:r>
          </w:p>
        </w:tc>
        <w:tc>
          <w:tcPr>
            <w:tcW w:w="1104" w:type="dxa"/>
            <w:tcBorders>
              <w:top w:val="single" w:sz="4" w:space="0" w:color="000000"/>
              <w:left w:val="nil"/>
              <w:bottom w:val="single" w:sz="4" w:space="0" w:color="000000"/>
              <w:right w:val="single" w:sz="4" w:space="0" w:color="000000"/>
            </w:tcBorders>
            <w:shd w:val="clear" w:color="auto" w:fill="DDDDDD" w:themeFill="accent1"/>
            <w:noWrap/>
            <w:vAlign w:val="bottom"/>
            <w:hideMark/>
          </w:tcPr>
          <w:p w:rsidR="00106684" w:rsidRPr="00106684" w:rsidRDefault="00106684" w:rsidP="00106684">
            <w:pPr>
              <w:jc w:val="right"/>
              <w:rPr>
                <w:i/>
                <w:color w:val="000000"/>
                <w:sz w:val="20"/>
                <w:szCs w:val="20"/>
              </w:rPr>
            </w:pPr>
            <w:r w:rsidRPr="00106684">
              <w:rPr>
                <w:i/>
                <w:color w:val="000000"/>
                <w:sz w:val="20"/>
                <w:szCs w:val="20"/>
              </w:rPr>
              <w:t>105</w:t>
            </w:r>
          </w:p>
        </w:tc>
        <w:tc>
          <w:tcPr>
            <w:tcW w:w="1140"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106684" w:rsidRDefault="00106684" w:rsidP="00106684">
            <w:pPr>
              <w:jc w:val="right"/>
              <w:rPr>
                <w:i/>
                <w:color w:val="000000"/>
                <w:sz w:val="20"/>
                <w:szCs w:val="20"/>
              </w:rPr>
            </w:pPr>
            <w:r w:rsidRPr="00106684">
              <w:rPr>
                <w:i/>
                <w:color w:val="000000"/>
                <w:sz w:val="20"/>
                <w:szCs w:val="20"/>
              </w:rPr>
              <w:t>1.3%</w:t>
            </w:r>
          </w:p>
        </w:tc>
        <w:tc>
          <w:tcPr>
            <w:tcW w:w="1004"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106684" w:rsidRDefault="00106684" w:rsidP="00106684">
            <w:pPr>
              <w:jc w:val="right"/>
              <w:rPr>
                <w:i/>
                <w:color w:val="000000"/>
                <w:sz w:val="20"/>
                <w:szCs w:val="20"/>
              </w:rPr>
            </w:pPr>
            <w:r w:rsidRPr="00106684">
              <w:rPr>
                <w:i/>
                <w:color w:val="000000"/>
                <w:sz w:val="20"/>
                <w:szCs w:val="20"/>
              </w:rPr>
              <w:t>113</w:t>
            </w:r>
          </w:p>
        </w:tc>
        <w:tc>
          <w:tcPr>
            <w:tcW w:w="1140"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106684" w:rsidRDefault="00106684" w:rsidP="00106684">
            <w:pPr>
              <w:jc w:val="right"/>
              <w:rPr>
                <w:i/>
                <w:color w:val="000000"/>
                <w:sz w:val="20"/>
                <w:szCs w:val="20"/>
              </w:rPr>
            </w:pPr>
            <w:r w:rsidRPr="00106684">
              <w:rPr>
                <w:i/>
                <w:color w:val="000000"/>
                <w:sz w:val="20"/>
                <w:szCs w:val="20"/>
              </w:rPr>
              <w:t>1.6%</w:t>
            </w:r>
          </w:p>
        </w:tc>
      </w:tr>
      <w:tr w:rsidR="00106684" w:rsidRPr="00106684" w:rsidTr="00E840FB">
        <w:trPr>
          <w:trHeight w:val="289"/>
        </w:trPr>
        <w:tc>
          <w:tcPr>
            <w:tcW w:w="3998" w:type="dxa"/>
            <w:tcBorders>
              <w:top w:val="nil"/>
              <w:left w:val="single" w:sz="4" w:space="0" w:color="000000"/>
              <w:bottom w:val="single" w:sz="4" w:space="0" w:color="000000"/>
              <w:right w:val="single" w:sz="4" w:space="0" w:color="000000"/>
            </w:tcBorders>
            <w:shd w:val="clear" w:color="auto" w:fill="auto"/>
            <w:noWrap/>
            <w:hideMark/>
          </w:tcPr>
          <w:p w:rsidR="00106684" w:rsidRPr="00106684" w:rsidRDefault="00106684" w:rsidP="00017255">
            <w:pPr>
              <w:spacing w:line="240" w:lineRule="auto"/>
              <w:ind w:left="227"/>
              <w:rPr>
                <w:rFonts w:eastAsia="Times New Roman"/>
                <w:color w:val="000000"/>
                <w:sz w:val="20"/>
                <w:szCs w:val="20"/>
                <w:lang w:eastAsia="en-AU"/>
              </w:rPr>
            </w:pPr>
            <w:r w:rsidRPr="00106684">
              <w:rPr>
                <w:rFonts w:eastAsia="Times New Roman"/>
                <w:b/>
                <w:color w:val="000000"/>
                <w:sz w:val="20"/>
                <w:szCs w:val="20"/>
                <w:lang w:eastAsia="en-AU"/>
              </w:rPr>
              <w:t>Total</w:t>
            </w:r>
          </w:p>
        </w:tc>
        <w:tc>
          <w:tcPr>
            <w:tcW w:w="1104" w:type="dxa"/>
            <w:tcBorders>
              <w:top w:val="nil"/>
              <w:left w:val="nil"/>
              <w:bottom w:val="single" w:sz="4" w:space="0" w:color="000000"/>
              <w:right w:val="single" w:sz="4" w:space="0" w:color="000000"/>
            </w:tcBorders>
            <w:shd w:val="clear" w:color="auto" w:fill="auto"/>
            <w:noWrap/>
            <w:hideMark/>
          </w:tcPr>
          <w:p w:rsidR="00106684" w:rsidRPr="00106684" w:rsidRDefault="00106684" w:rsidP="00106684">
            <w:pPr>
              <w:spacing w:line="240" w:lineRule="auto"/>
              <w:jc w:val="right"/>
              <w:rPr>
                <w:rFonts w:eastAsia="Times New Roman"/>
                <w:b/>
                <w:color w:val="000000"/>
                <w:sz w:val="20"/>
                <w:szCs w:val="20"/>
                <w:lang w:eastAsia="en-AU"/>
              </w:rPr>
            </w:pPr>
            <w:r w:rsidRPr="00106684">
              <w:rPr>
                <w:rFonts w:eastAsia="Times New Roman"/>
                <w:b/>
                <w:color w:val="000000"/>
                <w:sz w:val="20"/>
                <w:szCs w:val="20"/>
                <w:lang w:eastAsia="en-AU"/>
              </w:rPr>
              <w:t>7,885</w:t>
            </w:r>
          </w:p>
        </w:tc>
        <w:tc>
          <w:tcPr>
            <w:tcW w:w="1140" w:type="dxa"/>
            <w:tcBorders>
              <w:top w:val="nil"/>
              <w:left w:val="nil"/>
              <w:bottom w:val="single" w:sz="4" w:space="0" w:color="000000"/>
              <w:right w:val="single" w:sz="4" w:space="0" w:color="000000"/>
            </w:tcBorders>
            <w:shd w:val="clear" w:color="auto" w:fill="auto"/>
            <w:noWrap/>
            <w:hideMark/>
          </w:tcPr>
          <w:p w:rsidR="00106684" w:rsidRPr="00106684" w:rsidRDefault="00106684" w:rsidP="00106684">
            <w:pPr>
              <w:jc w:val="right"/>
              <w:rPr>
                <w:b/>
                <w:color w:val="000000"/>
                <w:sz w:val="20"/>
                <w:szCs w:val="20"/>
              </w:rPr>
            </w:pPr>
            <w:r w:rsidRPr="00106684">
              <w:rPr>
                <w:b/>
                <w:color w:val="000000"/>
                <w:sz w:val="20"/>
                <w:szCs w:val="20"/>
              </w:rPr>
              <w:t>100.0%</w:t>
            </w:r>
          </w:p>
        </w:tc>
        <w:tc>
          <w:tcPr>
            <w:tcW w:w="1004" w:type="dxa"/>
            <w:tcBorders>
              <w:top w:val="nil"/>
              <w:left w:val="nil"/>
              <w:bottom w:val="single" w:sz="4" w:space="0" w:color="000000"/>
              <w:right w:val="single" w:sz="4" w:space="0" w:color="000000"/>
            </w:tcBorders>
          </w:tcPr>
          <w:p w:rsidR="00106684" w:rsidRPr="00106684" w:rsidRDefault="00106684" w:rsidP="00106684">
            <w:pPr>
              <w:spacing w:line="240" w:lineRule="auto"/>
              <w:jc w:val="right"/>
              <w:rPr>
                <w:rFonts w:eastAsia="Times New Roman"/>
                <w:b/>
                <w:color w:val="000000"/>
                <w:sz w:val="20"/>
                <w:szCs w:val="20"/>
                <w:lang w:eastAsia="en-AU"/>
              </w:rPr>
            </w:pPr>
            <w:r w:rsidRPr="00106684">
              <w:rPr>
                <w:rFonts w:eastAsia="Times New Roman"/>
                <w:b/>
                <w:color w:val="000000"/>
                <w:sz w:val="20"/>
                <w:szCs w:val="20"/>
                <w:lang w:eastAsia="en-AU"/>
              </w:rPr>
              <w:t>7,200</w:t>
            </w:r>
          </w:p>
        </w:tc>
        <w:tc>
          <w:tcPr>
            <w:tcW w:w="1140" w:type="dxa"/>
            <w:tcBorders>
              <w:top w:val="nil"/>
              <w:left w:val="nil"/>
              <w:bottom w:val="single" w:sz="4" w:space="0" w:color="000000"/>
              <w:right w:val="single" w:sz="4" w:space="0" w:color="000000"/>
            </w:tcBorders>
          </w:tcPr>
          <w:p w:rsidR="00106684" w:rsidRPr="00106684" w:rsidRDefault="00106684" w:rsidP="00106684">
            <w:pPr>
              <w:jc w:val="right"/>
              <w:rPr>
                <w:b/>
                <w:color w:val="000000"/>
                <w:sz w:val="20"/>
                <w:szCs w:val="20"/>
              </w:rPr>
            </w:pPr>
            <w:r w:rsidRPr="00106684">
              <w:rPr>
                <w:b/>
                <w:color w:val="000000"/>
                <w:sz w:val="20"/>
                <w:szCs w:val="20"/>
              </w:rPr>
              <w:t>100.0%</w:t>
            </w:r>
          </w:p>
        </w:tc>
      </w:tr>
    </w:tbl>
    <w:p w:rsidR="00E840FB" w:rsidRDefault="00E840FB">
      <w:pPr>
        <w:spacing w:line="240" w:lineRule="auto"/>
        <w:rPr>
          <w:rFonts w:asciiTheme="majorHAnsi" w:eastAsia="Times New Roman" w:hAnsiTheme="majorHAnsi"/>
          <w:b/>
          <w:bCs/>
          <w:sz w:val="26"/>
        </w:rPr>
      </w:pPr>
      <w:r>
        <w:rPr>
          <w:rFonts w:asciiTheme="majorHAnsi" w:eastAsia="Times New Roman" w:hAnsiTheme="majorHAnsi"/>
          <w:b/>
          <w:bCs/>
          <w:sz w:val="26"/>
        </w:rPr>
        <w:br w:type="page"/>
      </w:r>
    </w:p>
    <w:p w:rsidR="00BC2B5D" w:rsidRPr="00BC2B5D" w:rsidRDefault="00E67D03" w:rsidP="006F48D6">
      <w:pPr>
        <w:pStyle w:val="Heading4"/>
      </w:pPr>
      <w:r>
        <w:lastRenderedPageBreak/>
        <w:t xml:space="preserve">Table </w:t>
      </w:r>
      <w:r w:rsidR="00E048AA">
        <w:t>D</w:t>
      </w:r>
      <w:r>
        <w:t xml:space="preserve">:  </w:t>
      </w:r>
      <w:r w:rsidR="00BC2B5D">
        <w:t xml:space="preserve">2012 Year 12 Cohort – Area of study or work status by </w:t>
      </w:r>
      <w:r>
        <w:t>sector</w:t>
      </w:r>
      <w:r w:rsidR="00C750E5">
        <w:t xml:space="preserve"> (n</w:t>
      </w:r>
      <w:r w:rsidR="00106684">
        <w:t>=17,248)</w:t>
      </w:r>
    </w:p>
    <w:tbl>
      <w:tblPr>
        <w:tblW w:w="10059" w:type="dxa"/>
        <w:tblInd w:w="66" w:type="dxa"/>
        <w:tblLook w:val="04A0" w:firstRow="1" w:lastRow="0" w:firstColumn="1" w:lastColumn="0" w:noHBand="0" w:noVBand="1"/>
        <w:tblDescription w:val="Table showing year 12 cohort area of study or work status by school sector."/>
      </w:tblPr>
      <w:tblGrid>
        <w:gridCol w:w="4074"/>
        <w:gridCol w:w="825"/>
        <w:gridCol w:w="856"/>
        <w:gridCol w:w="887"/>
        <w:gridCol w:w="887"/>
        <w:gridCol w:w="1265"/>
        <w:gridCol w:w="1265"/>
      </w:tblGrid>
      <w:tr w:rsidR="00CF6B55" w:rsidRPr="00E67D03" w:rsidTr="00F21B9A">
        <w:trPr>
          <w:trHeight w:val="289"/>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684" w:rsidRPr="00E67D03" w:rsidRDefault="00F21B9A" w:rsidP="00E164FC">
            <w:pPr>
              <w:spacing w:line="240" w:lineRule="auto"/>
              <w:rPr>
                <w:rFonts w:eastAsia="Times New Roman"/>
                <w:b/>
                <w:color w:val="000000"/>
                <w:sz w:val="20"/>
                <w:szCs w:val="20"/>
                <w:lang w:eastAsia="en-AU"/>
              </w:rPr>
            </w:pPr>
            <w:r>
              <w:rPr>
                <w:rFonts w:eastAsia="Times New Roman"/>
                <w:b/>
                <w:color w:val="000000"/>
                <w:sz w:val="20"/>
                <w:szCs w:val="20"/>
                <w:lang w:eastAsia="en-AU"/>
              </w:rPr>
              <w:t>Area of study or work status</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684" w:rsidRPr="00E67D03" w:rsidRDefault="00CF6B55" w:rsidP="00E164FC">
            <w:pPr>
              <w:spacing w:line="240" w:lineRule="auto"/>
              <w:rPr>
                <w:rFonts w:eastAsia="Times New Roman"/>
                <w:b/>
                <w:color w:val="000000"/>
                <w:sz w:val="20"/>
                <w:szCs w:val="20"/>
                <w:lang w:eastAsia="en-AU"/>
              </w:rPr>
            </w:pPr>
            <w:proofErr w:type="spellStart"/>
            <w:r>
              <w:rPr>
                <w:rFonts w:eastAsia="Times New Roman"/>
                <w:b/>
                <w:color w:val="000000"/>
                <w:sz w:val="20"/>
                <w:szCs w:val="20"/>
                <w:lang w:eastAsia="en-AU"/>
              </w:rPr>
              <w:t>AISWA</w:t>
            </w:r>
            <w:proofErr w:type="spellEnd"/>
            <w:r>
              <w:rPr>
                <w:rFonts w:eastAsia="Times New Roman"/>
                <w:b/>
                <w:color w:val="000000"/>
                <w:sz w:val="20"/>
                <w:szCs w:val="20"/>
                <w:lang w:eastAsia="en-AU"/>
              </w:rPr>
              <w:t xml:space="preserve"> </w:t>
            </w:r>
            <w:r w:rsidR="00106684" w:rsidRPr="00E67D03">
              <w:rPr>
                <w:rFonts w:eastAsia="Times New Roman"/>
                <w:b/>
                <w:color w:val="000000"/>
                <w:sz w:val="20"/>
                <w:szCs w:val="20"/>
                <w:lang w:eastAsia="en-AU"/>
              </w:rPr>
              <w:t>Count</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B55" w:rsidRDefault="00CF6B55" w:rsidP="00E164FC">
            <w:pPr>
              <w:spacing w:line="240" w:lineRule="auto"/>
              <w:rPr>
                <w:rFonts w:eastAsia="Times New Roman"/>
                <w:b/>
                <w:color w:val="000000"/>
                <w:sz w:val="20"/>
                <w:szCs w:val="20"/>
                <w:lang w:eastAsia="en-AU"/>
              </w:rPr>
            </w:pPr>
            <w:proofErr w:type="spellStart"/>
            <w:r>
              <w:rPr>
                <w:rFonts w:eastAsia="Times New Roman"/>
                <w:b/>
                <w:color w:val="000000"/>
                <w:sz w:val="20"/>
                <w:szCs w:val="20"/>
                <w:lang w:eastAsia="en-AU"/>
              </w:rPr>
              <w:t>AISWA</w:t>
            </w:r>
            <w:proofErr w:type="spellEnd"/>
          </w:p>
          <w:p w:rsidR="00106684" w:rsidRPr="00E67D03" w:rsidRDefault="00106684" w:rsidP="00E164FC">
            <w:pPr>
              <w:spacing w:line="240" w:lineRule="auto"/>
              <w:rPr>
                <w:rFonts w:eastAsia="Times New Roman"/>
                <w:b/>
                <w:color w:val="000000"/>
                <w:sz w:val="20"/>
                <w:szCs w:val="20"/>
                <w:lang w:eastAsia="en-AU"/>
              </w:rPr>
            </w:pPr>
            <w:r w:rsidRPr="00E67D03">
              <w:rPr>
                <w:rFonts w:eastAsia="Times New Roman"/>
                <w:b/>
                <w:color w:val="000000"/>
                <w:sz w:val="20"/>
                <w:szCs w:val="20"/>
                <w:lang w:eastAsia="en-AU"/>
              </w:rPr>
              <w:t>Percent</w:t>
            </w:r>
          </w:p>
        </w:tc>
        <w:tc>
          <w:tcPr>
            <w:tcW w:w="887" w:type="dxa"/>
            <w:tcBorders>
              <w:top w:val="single" w:sz="4" w:space="0" w:color="auto"/>
              <w:left w:val="single" w:sz="4" w:space="0" w:color="auto"/>
              <w:bottom w:val="single" w:sz="4" w:space="0" w:color="auto"/>
              <w:right w:val="single" w:sz="4" w:space="0" w:color="auto"/>
            </w:tcBorders>
            <w:vAlign w:val="bottom"/>
          </w:tcPr>
          <w:p w:rsidR="00CF6B55" w:rsidRDefault="00CF6B55" w:rsidP="0092548B">
            <w:pPr>
              <w:spacing w:line="240" w:lineRule="auto"/>
              <w:rPr>
                <w:rFonts w:eastAsia="Times New Roman"/>
                <w:b/>
                <w:color w:val="000000"/>
                <w:sz w:val="20"/>
                <w:szCs w:val="20"/>
                <w:lang w:eastAsia="en-AU"/>
              </w:rPr>
            </w:pPr>
            <w:r>
              <w:rPr>
                <w:rFonts w:eastAsia="Times New Roman"/>
                <w:b/>
                <w:color w:val="000000"/>
                <w:sz w:val="20"/>
                <w:szCs w:val="20"/>
                <w:lang w:eastAsia="en-AU"/>
              </w:rPr>
              <w:t>Catholic</w:t>
            </w:r>
          </w:p>
          <w:p w:rsidR="00106684" w:rsidRPr="00E67D03" w:rsidRDefault="00106684" w:rsidP="0092548B">
            <w:pPr>
              <w:spacing w:line="240" w:lineRule="auto"/>
              <w:rPr>
                <w:rFonts w:eastAsia="Times New Roman"/>
                <w:b/>
                <w:color w:val="000000"/>
                <w:sz w:val="20"/>
                <w:szCs w:val="20"/>
                <w:lang w:eastAsia="en-AU"/>
              </w:rPr>
            </w:pPr>
            <w:r w:rsidRPr="00E67D03">
              <w:rPr>
                <w:rFonts w:eastAsia="Times New Roman"/>
                <w:b/>
                <w:color w:val="000000"/>
                <w:sz w:val="20"/>
                <w:szCs w:val="20"/>
                <w:lang w:eastAsia="en-AU"/>
              </w:rPr>
              <w:t>Count</w:t>
            </w:r>
          </w:p>
        </w:tc>
        <w:tc>
          <w:tcPr>
            <w:tcW w:w="887" w:type="dxa"/>
            <w:tcBorders>
              <w:top w:val="single" w:sz="4" w:space="0" w:color="auto"/>
              <w:left w:val="single" w:sz="4" w:space="0" w:color="auto"/>
              <w:bottom w:val="single" w:sz="4" w:space="0" w:color="auto"/>
              <w:right w:val="single" w:sz="4" w:space="0" w:color="auto"/>
            </w:tcBorders>
            <w:vAlign w:val="bottom"/>
          </w:tcPr>
          <w:p w:rsidR="00CF6B55" w:rsidRDefault="00CF6B55" w:rsidP="0092548B">
            <w:pPr>
              <w:spacing w:line="240" w:lineRule="auto"/>
              <w:rPr>
                <w:rFonts w:eastAsia="Times New Roman"/>
                <w:b/>
                <w:color w:val="000000"/>
                <w:sz w:val="20"/>
                <w:szCs w:val="20"/>
                <w:lang w:eastAsia="en-AU"/>
              </w:rPr>
            </w:pPr>
            <w:r>
              <w:rPr>
                <w:rFonts w:eastAsia="Times New Roman"/>
                <w:b/>
                <w:color w:val="000000"/>
                <w:sz w:val="20"/>
                <w:szCs w:val="20"/>
                <w:lang w:eastAsia="en-AU"/>
              </w:rPr>
              <w:t>Catholic</w:t>
            </w:r>
          </w:p>
          <w:p w:rsidR="00106684" w:rsidRPr="00E67D03" w:rsidRDefault="00106684" w:rsidP="0092548B">
            <w:pPr>
              <w:spacing w:line="240" w:lineRule="auto"/>
              <w:rPr>
                <w:rFonts w:eastAsia="Times New Roman"/>
                <w:b/>
                <w:color w:val="000000"/>
                <w:sz w:val="20"/>
                <w:szCs w:val="20"/>
                <w:lang w:eastAsia="en-AU"/>
              </w:rPr>
            </w:pPr>
            <w:r w:rsidRPr="00E67D03">
              <w:rPr>
                <w:rFonts w:eastAsia="Times New Roman"/>
                <w:b/>
                <w:color w:val="000000"/>
                <w:sz w:val="20"/>
                <w:szCs w:val="20"/>
                <w:lang w:eastAsia="en-AU"/>
              </w:rPr>
              <w:t>Percent</w:t>
            </w:r>
          </w:p>
        </w:tc>
        <w:tc>
          <w:tcPr>
            <w:tcW w:w="1265" w:type="dxa"/>
            <w:tcBorders>
              <w:top w:val="single" w:sz="4" w:space="0" w:color="auto"/>
              <w:left w:val="single" w:sz="4" w:space="0" w:color="auto"/>
              <w:bottom w:val="single" w:sz="4" w:space="0" w:color="auto"/>
              <w:right w:val="single" w:sz="4" w:space="0" w:color="auto"/>
            </w:tcBorders>
            <w:vAlign w:val="bottom"/>
          </w:tcPr>
          <w:p w:rsidR="00106684" w:rsidRPr="00E67D03" w:rsidRDefault="00CF6B55" w:rsidP="0092548B">
            <w:pPr>
              <w:spacing w:line="240" w:lineRule="auto"/>
              <w:rPr>
                <w:rFonts w:eastAsia="Times New Roman"/>
                <w:b/>
                <w:color w:val="000000"/>
                <w:sz w:val="20"/>
                <w:szCs w:val="20"/>
                <w:lang w:eastAsia="en-AU"/>
              </w:rPr>
            </w:pPr>
            <w:r>
              <w:rPr>
                <w:rFonts w:eastAsia="Times New Roman"/>
                <w:b/>
                <w:color w:val="000000"/>
                <w:sz w:val="20"/>
                <w:szCs w:val="20"/>
                <w:lang w:eastAsia="en-AU"/>
              </w:rPr>
              <w:t xml:space="preserve">Government </w:t>
            </w:r>
            <w:r w:rsidR="00106684" w:rsidRPr="00E67D03">
              <w:rPr>
                <w:rFonts w:eastAsia="Times New Roman"/>
                <w:b/>
                <w:color w:val="000000"/>
                <w:sz w:val="20"/>
                <w:szCs w:val="20"/>
                <w:lang w:eastAsia="en-AU"/>
              </w:rPr>
              <w:t>Count</w:t>
            </w:r>
          </w:p>
        </w:tc>
        <w:tc>
          <w:tcPr>
            <w:tcW w:w="1265" w:type="dxa"/>
            <w:tcBorders>
              <w:top w:val="single" w:sz="4" w:space="0" w:color="auto"/>
              <w:left w:val="single" w:sz="4" w:space="0" w:color="auto"/>
              <w:bottom w:val="single" w:sz="4" w:space="0" w:color="auto"/>
              <w:right w:val="single" w:sz="4" w:space="0" w:color="auto"/>
            </w:tcBorders>
            <w:vAlign w:val="bottom"/>
          </w:tcPr>
          <w:p w:rsidR="00CF6B55" w:rsidRDefault="00CF6B55" w:rsidP="0092548B">
            <w:pPr>
              <w:spacing w:line="240" w:lineRule="auto"/>
              <w:rPr>
                <w:rFonts w:eastAsia="Times New Roman"/>
                <w:b/>
                <w:color w:val="000000"/>
                <w:sz w:val="20"/>
                <w:szCs w:val="20"/>
                <w:lang w:eastAsia="en-AU"/>
              </w:rPr>
            </w:pPr>
            <w:r>
              <w:rPr>
                <w:rFonts w:eastAsia="Times New Roman"/>
                <w:b/>
                <w:color w:val="000000"/>
                <w:sz w:val="20"/>
                <w:szCs w:val="20"/>
                <w:lang w:eastAsia="en-AU"/>
              </w:rPr>
              <w:t>Government</w:t>
            </w:r>
          </w:p>
          <w:p w:rsidR="00106684" w:rsidRPr="00E67D03" w:rsidRDefault="00106684" w:rsidP="0092548B">
            <w:pPr>
              <w:spacing w:line="240" w:lineRule="auto"/>
              <w:rPr>
                <w:rFonts w:eastAsia="Times New Roman"/>
                <w:b/>
                <w:color w:val="000000"/>
                <w:sz w:val="20"/>
                <w:szCs w:val="20"/>
                <w:lang w:eastAsia="en-AU"/>
              </w:rPr>
            </w:pPr>
            <w:r w:rsidRPr="00E67D03">
              <w:rPr>
                <w:rFonts w:eastAsia="Times New Roman"/>
                <w:b/>
                <w:color w:val="000000"/>
                <w:sz w:val="20"/>
                <w:szCs w:val="20"/>
                <w:lang w:eastAsia="en-AU"/>
              </w:rPr>
              <w:t>Percent</w:t>
            </w:r>
          </w:p>
        </w:tc>
      </w:tr>
      <w:tr w:rsidR="00CF6B55" w:rsidRPr="00E67D03" w:rsidTr="00F21B9A">
        <w:trPr>
          <w:trHeight w:val="289"/>
        </w:trPr>
        <w:tc>
          <w:tcPr>
            <w:tcW w:w="4074"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rPr>
                <w:rFonts w:eastAsia="Times New Roman"/>
                <w:color w:val="000000"/>
                <w:sz w:val="20"/>
                <w:szCs w:val="20"/>
                <w:lang w:eastAsia="en-AU"/>
              </w:rPr>
            </w:pPr>
            <w:r w:rsidRPr="00E67D03">
              <w:rPr>
                <w:rFonts w:eastAsia="Times New Roman"/>
                <w:color w:val="000000"/>
                <w:sz w:val="20"/>
                <w:szCs w:val="20"/>
                <w:lang w:eastAsia="en-AU"/>
              </w:rPr>
              <w:t>Returned to school</w:t>
            </w:r>
          </w:p>
        </w:tc>
        <w:tc>
          <w:tcPr>
            <w:tcW w:w="825" w:type="dxa"/>
            <w:tcBorders>
              <w:top w:val="single" w:sz="4" w:space="0" w:color="auto"/>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2</w:t>
            </w:r>
          </w:p>
        </w:tc>
        <w:tc>
          <w:tcPr>
            <w:tcW w:w="856" w:type="dxa"/>
            <w:tcBorders>
              <w:top w:val="single" w:sz="4" w:space="0" w:color="auto"/>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0.1</w:t>
            </w:r>
            <w:r>
              <w:rPr>
                <w:rFonts w:eastAsia="Times New Roman"/>
                <w:color w:val="000000"/>
                <w:sz w:val="20"/>
                <w:szCs w:val="20"/>
                <w:lang w:eastAsia="en-AU"/>
              </w:rPr>
              <w:t>%</w:t>
            </w:r>
          </w:p>
        </w:tc>
        <w:tc>
          <w:tcPr>
            <w:tcW w:w="887" w:type="dxa"/>
            <w:tcBorders>
              <w:top w:val="single" w:sz="4" w:space="0" w:color="auto"/>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4</w:t>
            </w:r>
          </w:p>
        </w:tc>
        <w:tc>
          <w:tcPr>
            <w:tcW w:w="887" w:type="dxa"/>
            <w:tcBorders>
              <w:top w:val="single" w:sz="4" w:space="0" w:color="auto"/>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0.1</w:t>
            </w:r>
            <w:r>
              <w:rPr>
                <w:rFonts w:eastAsia="Times New Roman"/>
                <w:color w:val="000000"/>
                <w:sz w:val="20"/>
                <w:szCs w:val="20"/>
                <w:lang w:eastAsia="en-AU"/>
              </w:rPr>
              <w:t>%</w:t>
            </w:r>
          </w:p>
        </w:tc>
        <w:tc>
          <w:tcPr>
            <w:tcW w:w="1265" w:type="dxa"/>
            <w:tcBorders>
              <w:top w:val="single" w:sz="4" w:space="0" w:color="auto"/>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56</w:t>
            </w:r>
          </w:p>
        </w:tc>
        <w:tc>
          <w:tcPr>
            <w:tcW w:w="1265" w:type="dxa"/>
            <w:tcBorders>
              <w:top w:val="single" w:sz="4" w:space="0" w:color="auto"/>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0.6</w:t>
            </w:r>
            <w:r>
              <w:rPr>
                <w:rFonts w:eastAsia="Times New Roman"/>
                <w:color w:val="000000"/>
                <w:sz w:val="20"/>
                <w:szCs w:val="20"/>
                <w:lang w:eastAsia="en-AU"/>
              </w:rPr>
              <w:t>%</w:t>
            </w:r>
          </w:p>
        </w:tc>
      </w:tr>
      <w:tr w:rsidR="00CF6B55" w:rsidRPr="00E67D03" w:rsidTr="00F21B9A">
        <w:trPr>
          <w:trHeight w:val="289"/>
        </w:trPr>
        <w:tc>
          <w:tcPr>
            <w:tcW w:w="4074"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E67D03" w:rsidRDefault="00106684" w:rsidP="008F387A">
            <w:pPr>
              <w:spacing w:line="240" w:lineRule="auto"/>
              <w:rPr>
                <w:rFonts w:eastAsia="Times New Roman"/>
                <w:color w:val="000000"/>
                <w:sz w:val="20"/>
                <w:szCs w:val="20"/>
                <w:lang w:eastAsia="en-AU"/>
              </w:rPr>
            </w:pPr>
            <w:r w:rsidRPr="00E67D03">
              <w:rPr>
                <w:rFonts w:eastAsia="Times New Roman"/>
                <w:color w:val="000000"/>
                <w:sz w:val="20"/>
                <w:szCs w:val="20"/>
                <w:lang w:eastAsia="en-AU"/>
              </w:rPr>
              <w:t>Studying at University</w:t>
            </w:r>
          </w:p>
        </w:tc>
        <w:tc>
          <w:tcPr>
            <w:tcW w:w="825"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2</w:t>
            </w:r>
            <w:r>
              <w:rPr>
                <w:rFonts w:eastAsia="Times New Roman"/>
                <w:color w:val="000000"/>
                <w:sz w:val="20"/>
                <w:szCs w:val="20"/>
                <w:lang w:eastAsia="en-AU"/>
              </w:rPr>
              <w:t>,</w:t>
            </w:r>
            <w:r w:rsidRPr="00E67D03">
              <w:rPr>
                <w:rFonts w:eastAsia="Times New Roman"/>
                <w:color w:val="000000"/>
                <w:sz w:val="20"/>
                <w:szCs w:val="20"/>
                <w:lang w:eastAsia="en-AU"/>
              </w:rPr>
              <w:t>573</w:t>
            </w:r>
          </w:p>
        </w:tc>
        <w:tc>
          <w:tcPr>
            <w:tcW w:w="856"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70.9</w:t>
            </w:r>
            <w:r>
              <w:rPr>
                <w:rFonts w:eastAsia="Times New Roman"/>
                <w:color w:val="000000"/>
                <w:sz w:val="20"/>
                <w:szCs w:val="20"/>
                <w:lang w:eastAsia="en-AU"/>
              </w:rPr>
              <w:t>%</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2</w:t>
            </w:r>
            <w:r>
              <w:rPr>
                <w:rFonts w:eastAsia="Times New Roman"/>
                <w:color w:val="000000"/>
                <w:sz w:val="20"/>
                <w:szCs w:val="20"/>
                <w:lang w:eastAsia="en-AU"/>
              </w:rPr>
              <w:t>,</w:t>
            </w:r>
            <w:r w:rsidRPr="00E67D03">
              <w:rPr>
                <w:rFonts w:eastAsia="Times New Roman"/>
                <w:color w:val="000000"/>
                <w:sz w:val="20"/>
                <w:szCs w:val="20"/>
                <w:lang w:eastAsia="en-AU"/>
              </w:rPr>
              <w:t>531</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64.9</w:t>
            </w:r>
            <w:r>
              <w:rPr>
                <w:rFonts w:eastAsia="Times New Roman"/>
                <w:color w:val="000000"/>
                <w:sz w:val="20"/>
                <w:szCs w:val="20"/>
                <w:lang w:eastAsia="en-AU"/>
              </w:rPr>
              <w:t>%</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3</w:t>
            </w:r>
            <w:r>
              <w:rPr>
                <w:rFonts w:eastAsia="Times New Roman"/>
                <w:color w:val="000000"/>
                <w:sz w:val="20"/>
                <w:szCs w:val="20"/>
                <w:lang w:eastAsia="en-AU"/>
              </w:rPr>
              <w:t>,</w:t>
            </w:r>
            <w:r w:rsidRPr="00E67D03">
              <w:rPr>
                <w:rFonts w:eastAsia="Times New Roman"/>
                <w:color w:val="000000"/>
                <w:sz w:val="20"/>
                <w:szCs w:val="20"/>
                <w:lang w:eastAsia="en-AU"/>
              </w:rPr>
              <w:t>639</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37.4</w:t>
            </w:r>
            <w:r>
              <w:rPr>
                <w:rFonts w:eastAsia="Times New Roman"/>
                <w:color w:val="000000"/>
                <w:sz w:val="20"/>
                <w:szCs w:val="20"/>
                <w:lang w:eastAsia="en-AU"/>
              </w:rPr>
              <w:t>%</w:t>
            </w:r>
          </w:p>
        </w:tc>
      </w:tr>
      <w:tr w:rsidR="00CF6B55" w:rsidRPr="00E67D03" w:rsidTr="00F21B9A">
        <w:trPr>
          <w:trHeight w:val="289"/>
        </w:trPr>
        <w:tc>
          <w:tcPr>
            <w:tcW w:w="4074"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rPr>
                <w:rFonts w:eastAsia="Times New Roman"/>
                <w:color w:val="000000"/>
                <w:sz w:val="20"/>
                <w:szCs w:val="20"/>
                <w:lang w:eastAsia="en-AU"/>
              </w:rPr>
            </w:pPr>
            <w:r w:rsidRPr="00E67D03">
              <w:rPr>
                <w:rFonts w:eastAsia="Times New Roman"/>
                <w:color w:val="000000"/>
                <w:sz w:val="20"/>
                <w:szCs w:val="20"/>
                <w:lang w:eastAsia="en-AU"/>
              </w:rPr>
              <w:t>Studying a</w:t>
            </w:r>
            <w:r w:rsidR="00F72129">
              <w:rPr>
                <w:rFonts w:eastAsia="Times New Roman"/>
                <w:color w:val="000000"/>
                <w:sz w:val="20"/>
                <w:szCs w:val="20"/>
                <w:lang w:eastAsia="en-AU"/>
              </w:rPr>
              <w:t>t State Training Provider</w:t>
            </w:r>
          </w:p>
        </w:tc>
        <w:tc>
          <w:tcPr>
            <w:tcW w:w="825"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302</w:t>
            </w:r>
          </w:p>
        </w:tc>
        <w:tc>
          <w:tcPr>
            <w:tcW w:w="856"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8.3</w:t>
            </w:r>
            <w:r>
              <w:rPr>
                <w:rFonts w:eastAsia="Times New Roman"/>
                <w:color w:val="000000"/>
                <w:sz w:val="20"/>
                <w:szCs w:val="20"/>
                <w:lang w:eastAsia="en-AU"/>
              </w:rPr>
              <w:t>%</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498</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12.8</w:t>
            </w:r>
            <w:r>
              <w:rPr>
                <w:rFonts w:eastAsia="Times New Roman"/>
                <w:color w:val="000000"/>
                <w:sz w:val="20"/>
                <w:szCs w:val="20"/>
                <w:lang w:eastAsia="en-AU"/>
              </w:rPr>
              <w:t>%</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w:t>
            </w:r>
            <w:r>
              <w:rPr>
                <w:rFonts w:eastAsia="Times New Roman"/>
                <w:color w:val="000000"/>
                <w:sz w:val="20"/>
                <w:szCs w:val="20"/>
                <w:lang w:eastAsia="en-AU"/>
              </w:rPr>
              <w:t>,</w:t>
            </w:r>
            <w:r w:rsidRPr="00E67D03">
              <w:rPr>
                <w:rFonts w:eastAsia="Times New Roman"/>
                <w:color w:val="000000"/>
                <w:sz w:val="20"/>
                <w:szCs w:val="20"/>
                <w:lang w:eastAsia="en-AU"/>
              </w:rPr>
              <w:t>922</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19.8</w:t>
            </w:r>
            <w:r>
              <w:rPr>
                <w:rFonts w:eastAsia="Times New Roman"/>
                <w:color w:val="000000"/>
                <w:sz w:val="20"/>
                <w:szCs w:val="20"/>
                <w:lang w:eastAsia="en-AU"/>
              </w:rPr>
              <w:t>%</w:t>
            </w:r>
          </w:p>
        </w:tc>
      </w:tr>
      <w:tr w:rsidR="00CF6B55" w:rsidRPr="00E67D03" w:rsidTr="00F21B9A">
        <w:trPr>
          <w:trHeight w:val="289"/>
        </w:trPr>
        <w:tc>
          <w:tcPr>
            <w:tcW w:w="4074"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rPr>
                <w:rFonts w:eastAsia="Times New Roman"/>
                <w:color w:val="000000"/>
                <w:sz w:val="20"/>
                <w:szCs w:val="20"/>
                <w:lang w:eastAsia="en-AU"/>
              </w:rPr>
            </w:pPr>
            <w:r w:rsidRPr="00E67D03">
              <w:rPr>
                <w:rFonts w:eastAsia="Times New Roman"/>
                <w:color w:val="000000"/>
                <w:sz w:val="20"/>
                <w:szCs w:val="20"/>
                <w:lang w:eastAsia="en-AU"/>
              </w:rPr>
              <w:t>Traineeship/Apprenticeship</w:t>
            </w:r>
          </w:p>
        </w:tc>
        <w:tc>
          <w:tcPr>
            <w:tcW w:w="825"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40</w:t>
            </w:r>
          </w:p>
        </w:tc>
        <w:tc>
          <w:tcPr>
            <w:tcW w:w="856"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1.1</w:t>
            </w:r>
            <w:r>
              <w:rPr>
                <w:rFonts w:eastAsia="Times New Roman"/>
                <w:color w:val="000000"/>
                <w:sz w:val="20"/>
                <w:szCs w:val="20"/>
                <w:lang w:eastAsia="en-AU"/>
              </w:rPr>
              <w:t>%</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66</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1.7</w:t>
            </w:r>
            <w:r>
              <w:rPr>
                <w:rFonts w:eastAsia="Times New Roman"/>
                <w:color w:val="000000"/>
                <w:sz w:val="20"/>
                <w:szCs w:val="20"/>
                <w:lang w:eastAsia="en-AU"/>
              </w:rPr>
              <w:t>%</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447</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4.6</w:t>
            </w:r>
            <w:r>
              <w:rPr>
                <w:rFonts w:eastAsia="Times New Roman"/>
                <w:color w:val="000000"/>
                <w:sz w:val="20"/>
                <w:szCs w:val="20"/>
                <w:lang w:eastAsia="en-AU"/>
              </w:rPr>
              <w:t>%</w:t>
            </w:r>
          </w:p>
        </w:tc>
      </w:tr>
      <w:tr w:rsidR="00CF6B55" w:rsidRPr="00E67D03" w:rsidTr="00F21B9A">
        <w:trPr>
          <w:trHeight w:val="289"/>
        </w:trPr>
        <w:tc>
          <w:tcPr>
            <w:tcW w:w="4074"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rPr>
                <w:rFonts w:eastAsia="Times New Roman"/>
                <w:color w:val="000000"/>
                <w:sz w:val="20"/>
                <w:szCs w:val="20"/>
                <w:lang w:eastAsia="en-AU"/>
              </w:rPr>
            </w:pPr>
            <w:r w:rsidRPr="00E67D03">
              <w:rPr>
                <w:rFonts w:eastAsia="Times New Roman"/>
                <w:color w:val="000000"/>
                <w:sz w:val="20"/>
                <w:szCs w:val="20"/>
                <w:lang w:eastAsia="en-AU"/>
              </w:rPr>
              <w:t>Other Study/Training</w:t>
            </w:r>
          </w:p>
        </w:tc>
        <w:tc>
          <w:tcPr>
            <w:tcW w:w="825"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16</w:t>
            </w:r>
          </w:p>
        </w:tc>
        <w:tc>
          <w:tcPr>
            <w:tcW w:w="856"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0.4</w:t>
            </w:r>
            <w:r>
              <w:rPr>
                <w:rFonts w:eastAsia="Times New Roman"/>
                <w:color w:val="000000"/>
                <w:sz w:val="20"/>
                <w:szCs w:val="20"/>
                <w:lang w:eastAsia="en-AU"/>
              </w:rPr>
              <w:t>%</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19</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0.5</w:t>
            </w:r>
            <w:r>
              <w:rPr>
                <w:rFonts w:eastAsia="Times New Roman"/>
                <w:color w:val="000000"/>
                <w:sz w:val="20"/>
                <w:szCs w:val="20"/>
                <w:lang w:eastAsia="en-AU"/>
              </w:rPr>
              <w:t>%</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177</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1.8</w:t>
            </w:r>
            <w:r>
              <w:rPr>
                <w:rFonts w:eastAsia="Times New Roman"/>
                <w:color w:val="000000"/>
                <w:sz w:val="20"/>
                <w:szCs w:val="20"/>
                <w:lang w:eastAsia="en-AU"/>
              </w:rPr>
              <w:t>%</w:t>
            </w:r>
          </w:p>
        </w:tc>
      </w:tr>
      <w:tr w:rsidR="00CF6B55" w:rsidRPr="00E048AA" w:rsidTr="00F21B9A">
        <w:trPr>
          <w:trHeight w:val="289"/>
        </w:trPr>
        <w:tc>
          <w:tcPr>
            <w:tcW w:w="4074"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tcPr>
          <w:p w:rsidR="00106684" w:rsidRPr="00E048AA" w:rsidRDefault="00106684" w:rsidP="00E164FC">
            <w:pPr>
              <w:spacing w:line="240" w:lineRule="auto"/>
              <w:rPr>
                <w:rFonts w:eastAsia="Times New Roman"/>
                <w:i/>
                <w:color w:val="000000"/>
                <w:sz w:val="20"/>
                <w:szCs w:val="20"/>
                <w:lang w:eastAsia="en-AU"/>
              </w:rPr>
            </w:pPr>
            <w:r>
              <w:rPr>
                <w:rFonts w:eastAsia="Times New Roman"/>
                <w:i/>
                <w:color w:val="000000"/>
                <w:sz w:val="20"/>
                <w:szCs w:val="20"/>
                <w:lang w:eastAsia="en-AU"/>
              </w:rPr>
              <w:t>Total studying</w:t>
            </w:r>
          </w:p>
        </w:tc>
        <w:tc>
          <w:tcPr>
            <w:tcW w:w="825"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E048AA" w:rsidRDefault="00106684" w:rsidP="00030583">
            <w:pPr>
              <w:spacing w:line="240" w:lineRule="auto"/>
              <w:jc w:val="right"/>
              <w:rPr>
                <w:rFonts w:eastAsia="Times New Roman"/>
                <w:i/>
                <w:color w:val="000000"/>
                <w:sz w:val="20"/>
                <w:szCs w:val="20"/>
                <w:lang w:eastAsia="en-AU"/>
              </w:rPr>
            </w:pPr>
            <w:r>
              <w:rPr>
                <w:rFonts w:eastAsia="Times New Roman"/>
                <w:i/>
                <w:color w:val="000000"/>
                <w:sz w:val="20"/>
                <w:szCs w:val="20"/>
                <w:lang w:eastAsia="en-AU"/>
              </w:rPr>
              <w:t>2,933</w:t>
            </w:r>
          </w:p>
        </w:tc>
        <w:tc>
          <w:tcPr>
            <w:tcW w:w="856"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E048AA" w:rsidRDefault="00F340D2" w:rsidP="00E164FC">
            <w:pPr>
              <w:spacing w:line="240" w:lineRule="auto"/>
              <w:jc w:val="right"/>
              <w:rPr>
                <w:rFonts w:eastAsia="Times New Roman"/>
                <w:i/>
                <w:color w:val="000000"/>
                <w:sz w:val="20"/>
                <w:szCs w:val="20"/>
                <w:lang w:eastAsia="en-AU"/>
              </w:rPr>
            </w:pPr>
            <w:r>
              <w:rPr>
                <w:rFonts w:eastAsia="Times New Roman"/>
                <w:i/>
                <w:color w:val="000000"/>
                <w:sz w:val="20"/>
                <w:szCs w:val="20"/>
                <w:lang w:eastAsia="en-AU"/>
              </w:rPr>
              <w:t>80.8</w:t>
            </w:r>
            <w:r w:rsidR="00106684">
              <w:rPr>
                <w:rFonts w:eastAsia="Times New Roman"/>
                <w:i/>
                <w:color w:val="000000"/>
                <w:sz w:val="20"/>
                <w:szCs w:val="20"/>
                <w:lang w:eastAsia="en-AU"/>
              </w:rPr>
              <w:t>%</w:t>
            </w:r>
          </w:p>
        </w:tc>
        <w:tc>
          <w:tcPr>
            <w:tcW w:w="887"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F340D2" w:rsidP="0092548B">
            <w:pPr>
              <w:spacing w:line="240" w:lineRule="auto"/>
              <w:jc w:val="right"/>
              <w:rPr>
                <w:rFonts w:eastAsia="Times New Roman"/>
                <w:i/>
                <w:color w:val="000000"/>
                <w:sz w:val="20"/>
                <w:szCs w:val="20"/>
                <w:lang w:eastAsia="en-AU"/>
              </w:rPr>
            </w:pPr>
            <w:r>
              <w:rPr>
                <w:rFonts w:eastAsia="Times New Roman"/>
                <w:i/>
                <w:color w:val="000000"/>
                <w:sz w:val="20"/>
                <w:szCs w:val="20"/>
                <w:lang w:eastAsia="en-AU"/>
              </w:rPr>
              <w:t>3,118</w:t>
            </w:r>
          </w:p>
        </w:tc>
        <w:tc>
          <w:tcPr>
            <w:tcW w:w="887"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F340D2" w:rsidP="0092548B">
            <w:pPr>
              <w:spacing w:line="240" w:lineRule="auto"/>
              <w:jc w:val="right"/>
              <w:rPr>
                <w:rFonts w:eastAsia="Times New Roman"/>
                <w:i/>
                <w:color w:val="000000"/>
                <w:sz w:val="20"/>
                <w:szCs w:val="20"/>
                <w:lang w:eastAsia="en-AU"/>
              </w:rPr>
            </w:pPr>
            <w:r>
              <w:rPr>
                <w:rFonts w:eastAsia="Times New Roman"/>
                <w:i/>
                <w:color w:val="000000"/>
                <w:sz w:val="20"/>
                <w:szCs w:val="20"/>
                <w:lang w:eastAsia="en-AU"/>
              </w:rPr>
              <w:t>79.9</w:t>
            </w:r>
            <w:r w:rsidR="00106684">
              <w:rPr>
                <w:rFonts w:eastAsia="Times New Roman"/>
                <w:i/>
                <w:color w:val="000000"/>
                <w:sz w:val="20"/>
                <w:szCs w:val="20"/>
                <w:lang w:eastAsia="en-AU"/>
              </w:rPr>
              <w:t>%</w:t>
            </w:r>
          </w:p>
        </w:tc>
        <w:tc>
          <w:tcPr>
            <w:tcW w:w="1265"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F340D2" w:rsidP="0092548B">
            <w:pPr>
              <w:spacing w:line="240" w:lineRule="auto"/>
              <w:jc w:val="right"/>
              <w:rPr>
                <w:rFonts w:eastAsia="Times New Roman"/>
                <w:i/>
                <w:color w:val="000000"/>
                <w:sz w:val="20"/>
                <w:szCs w:val="20"/>
                <w:lang w:eastAsia="en-AU"/>
              </w:rPr>
            </w:pPr>
            <w:r>
              <w:rPr>
                <w:rFonts w:eastAsia="Times New Roman"/>
                <w:i/>
                <w:color w:val="000000"/>
                <w:sz w:val="20"/>
                <w:szCs w:val="20"/>
                <w:lang w:eastAsia="en-AU"/>
              </w:rPr>
              <w:t>6,241</w:t>
            </w:r>
          </w:p>
        </w:tc>
        <w:tc>
          <w:tcPr>
            <w:tcW w:w="1265"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F340D2" w:rsidP="0092548B">
            <w:pPr>
              <w:spacing w:line="240" w:lineRule="auto"/>
              <w:jc w:val="right"/>
              <w:rPr>
                <w:rFonts w:eastAsia="Times New Roman"/>
                <w:i/>
                <w:color w:val="000000"/>
                <w:sz w:val="20"/>
                <w:szCs w:val="20"/>
                <w:lang w:eastAsia="en-AU"/>
              </w:rPr>
            </w:pPr>
            <w:r>
              <w:rPr>
                <w:rFonts w:eastAsia="Times New Roman"/>
                <w:i/>
                <w:color w:val="000000"/>
                <w:sz w:val="20"/>
                <w:szCs w:val="20"/>
                <w:lang w:eastAsia="en-AU"/>
              </w:rPr>
              <w:t>64.2</w:t>
            </w:r>
            <w:r w:rsidR="00106684">
              <w:rPr>
                <w:rFonts w:eastAsia="Times New Roman"/>
                <w:i/>
                <w:color w:val="000000"/>
                <w:sz w:val="20"/>
                <w:szCs w:val="20"/>
                <w:lang w:eastAsia="en-AU"/>
              </w:rPr>
              <w:t>%</w:t>
            </w:r>
          </w:p>
        </w:tc>
      </w:tr>
      <w:tr w:rsidR="00CF6B55" w:rsidRPr="00E67D03" w:rsidTr="00F21B9A">
        <w:trPr>
          <w:trHeight w:val="289"/>
        </w:trPr>
        <w:tc>
          <w:tcPr>
            <w:tcW w:w="4074"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rPr>
                <w:rFonts w:eastAsia="Times New Roman"/>
                <w:color w:val="000000"/>
                <w:sz w:val="20"/>
                <w:szCs w:val="20"/>
                <w:lang w:eastAsia="en-AU"/>
              </w:rPr>
            </w:pPr>
            <w:r w:rsidRPr="00E67D03">
              <w:rPr>
                <w:rFonts w:eastAsia="Times New Roman"/>
                <w:color w:val="000000"/>
                <w:sz w:val="20"/>
                <w:szCs w:val="20"/>
                <w:lang w:eastAsia="en-AU"/>
              </w:rPr>
              <w:t>Full-Time Employment</w:t>
            </w:r>
          </w:p>
        </w:tc>
        <w:tc>
          <w:tcPr>
            <w:tcW w:w="825"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72</w:t>
            </w:r>
          </w:p>
        </w:tc>
        <w:tc>
          <w:tcPr>
            <w:tcW w:w="856"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2</w:t>
            </w:r>
            <w:r>
              <w:rPr>
                <w:rFonts w:eastAsia="Times New Roman"/>
                <w:color w:val="000000"/>
                <w:sz w:val="20"/>
                <w:szCs w:val="20"/>
                <w:lang w:eastAsia="en-AU"/>
              </w:rPr>
              <w:t>.0%</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149</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3.8</w:t>
            </w:r>
            <w:r>
              <w:rPr>
                <w:rFonts w:eastAsia="Times New Roman"/>
                <w:color w:val="000000"/>
                <w:sz w:val="20"/>
                <w:szCs w:val="20"/>
                <w:lang w:eastAsia="en-AU"/>
              </w:rPr>
              <w:t>%</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845</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8.7</w:t>
            </w:r>
            <w:r>
              <w:rPr>
                <w:rFonts w:eastAsia="Times New Roman"/>
                <w:color w:val="000000"/>
                <w:sz w:val="20"/>
                <w:szCs w:val="20"/>
                <w:lang w:eastAsia="en-AU"/>
              </w:rPr>
              <w:t>%</w:t>
            </w:r>
          </w:p>
        </w:tc>
      </w:tr>
      <w:tr w:rsidR="00CF6B55" w:rsidRPr="00E67D03" w:rsidTr="00F21B9A">
        <w:trPr>
          <w:trHeight w:val="289"/>
        </w:trPr>
        <w:tc>
          <w:tcPr>
            <w:tcW w:w="4074"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rPr>
                <w:rFonts w:eastAsia="Times New Roman"/>
                <w:color w:val="000000"/>
                <w:sz w:val="20"/>
                <w:szCs w:val="20"/>
                <w:lang w:eastAsia="en-AU"/>
              </w:rPr>
            </w:pPr>
            <w:r w:rsidRPr="00E67D03">
              <w:rPr>
                <w:rFonts w:eastAsia="Times New Roman"/>
                <w:color w:val="000000"/>
                <w:sz w:val="20"/>
                <w:szCs w:val="20"/>
                <w:lang w:eastAsia="en-AU"/>
              </w:rPr>
              <w:t>Part-Time Employment</w:t>
            </w:r>
          </w:p>
        </w:tc>
        <w:tc>
          <w:tcPr>
            <w:tcW w:w="825"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69</w:t>
            </w:r>
          </w:p>
        </w:tc>
        <w:tc>
          <w:tcPr>
            <w:tcW w:w="856"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1.9</w:t>
            </w:r>
            <w:r>
              <w:rPr>
                <w:rFonts w:eastAsia="Times New Roman"/>
                <w:color w:val="000000"/>
                <w:sz w:val="20"/>
                <w:szCs w:val="20"/>
                <w:lang w:eastAsia="en-AU"/>
              </w:rPr>
              <w:t>%</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128</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3.3</w:t>
            </w:r>
            <w:r>
              <w:rPr>
                <w:rFonts w:eastAsia="Times New Roman"/>
                <w:color w:val="000000"/>
                <w:sz w:val="20"/>
                <w:szCs w:val="20"/>
                <w:lang w:eastAsia="en-AU"/>
              </w:rPr>
              <w:t>%</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976</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10</w:t>
            </w:r>
            <w:r>
              <w:rPr>
                <w:rFonts w:eastAsia="Times New Roman"/>
                <w:color w:val="000000"/>
                <w:sz w:val="20"/>
                <w:szCs w:val="20"/>
                <w:lang w:eastAsia="en-AU"/>
              </w:rPr>
              <w:t>.0%</w:t>
            </w:r>
          </w:p>
        </w:tc>
      </w:tr>
      <w:tr w:rsidR="00CF6B55" w:rsidRPr="00E67D03" w:rsidTr="00F21B9A">
        <w:trPr>
          <w:trHeight w:val="289"/>
        </w:trPr>
        <w:tc>
          <w:tcPr>
            <w:tcW w:w="4074"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rPr>
                <w:rFonts w:eastAsia="Times New Roman"/>
                <w:color w:val="000000"/>
                <w:sz w:val="20"/>
                <w:szCs w:val="20"/>
                <w:lang w:eastAsia="en-AU"/>
              </w:rPr>
            </w:pPr>
            <w:r w:rsidRPr="00E67D03">
              <w:rPr>
                <w:rFonts w:eastAsia="Times New Roman"/>
                <w:color w:val="000000"/>
                <w:sz w:val="20"/>
                <w:szCs w:val="20"/>
                <w:lang w:eastAsia="en-AU"/>
              </w:rPr>
              <w:t>Employment Assistance</w:t>
            </w:r>
          </w:p>
        </w:tc>
        <w:tc>
          <w:tcPr>
            <w:tcW w:w="825"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37</w:t>
            </w:r>
          </w:p>
        </w:tc>
        <w:tc>
          <w:tcPr>
            <w:tcW w:w="856"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w:t>
            </w:r>
            <w:r>
              <w:rPr>
                <w:rFonts w:eastAsia="Times New Roman"/>
                <w:color w:val="000000"/>
                <w:sz w:val="20"/>
                <w:szCs w:val="20"/>
                <w:lang w:eastAsia="en-AU"/>
              </w:rPr>
              <w:t>.0%</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44</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1.1</w:t>
            </w:r>
            <w:r>
              <w:rPr>
                <w:rFonts w:eastAsia="Times New Roman"/>
                <w:color w:val="000000"/>
                <w:sz w:val="20"/>
                <w:szCs w:val="20"/>
                <w:lang w:eastAsia="en-AU"/>
              </w:rPr>
              <w:t>%</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622</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color w:val="000000"/>
                <w:sz w:val="20"/>
                <w:szCs w:val="20"/>
                <w:lang w:eastAsia="en-AU"/>
              </w:rPr>
            </w:pPr>
            <w:r w:rsidRPr="00E67D03">
              <w:rPr>
                <w:rFonts w:eastAsia="Times New Roman"/>
                <w:color w:val="000000"/>
                <w:sz w:val="20"/>
                <w:szCs w:val="20"/>
                <w:lang w:eastAsia="en-AU"/>
              </w:rPr>
              <w:t>6.4</w:t>
            </w:r>
            <w:r>
              <w:rPr>
                <w:rFonts w:eastAsia="Times New Roman"/>
                <w:color w:val="000000"/>
                <w:sz w:val="20"/>
                <w:szCs w:val="20"/>
                <w:lang w:eastAsia="en-AU"/>
              </w:rPr>
              <w:t>%</w:t>
            </w:r>
          </w:p>
        </w:tc>
      </w:tr>
      <w:tr w:rsidR="00CF6B55" w:rsidRPr="00E048AA" w:rsidTr="00F21B9A">
        <w:trPr>
          <w:trHeight w:val="289"/>
        </w:trPr>
        <w:tc>
          <w:tcPr>
            <w:tcW w:w="4074"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tcPr>
          <w:p w:rsidR="00106684" w:rsidRPr="00E048AA" w:rsidRDefault="00106684" w:rsidP="00E164FC">
            <w:pPr>
              <w:spacing w:line="240" w:lineRule="auto"/>
              <w:rPr>
                <w:rFonts w:eastAsia="Times New Roman"/>
                <w:i/>
                <w:color w:val="000000"/>
                <w:sz w:val="20"/>
                <w:szCs w:val="20"/>
                <w:lang w:eastAsia="en-AU"/>
              </w:rPr>
            </w:pPr>
            <w:r>
              <w:rPr>
                <w:rFonts w:eastAsia="Times New Roman"/>
                <w:i/>
                <w:color w:val="000000"/>
                <w:sz w:val="20"/>
                <w:szCs w:val="20"/>
                <w:lang w:eastAsia="en-AU"/>
              </w:rPr>
              <w:t>Total employed or seeking employment</w:t>
            </w:r>
          </w:p>
        </w:tc>
        <w:tc>
          <w:tcPr>
            <w:tcW w:w="825"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E048AA" w:rsidRDefault="00F340D2" w:rsidP="00E164FC">
            <w:pPr>
              <w:spacing w:line="240" w:lineRule="auto"/>
              <w:jc w:val="right"/>
              <w:rPr>
                <w:rFonts w:eastAsia="Times New Roman"/>
                <w:i/>
                <w:color w:val="000000"/>
                <w:sz w:val="20"/>
                <w:szCs w:val="20"/>
                <w:lang w:eastAsia="en-AU"/>
              </w:rPr>
            </w:pPr>
            <w:r>
              <w:rPr>
                <w:rFonts w:eastAsia="Times New Roman"/>
                <w:i/>
                <w:color w:val="000000"/>
                <w:sz w:val="20"/>
                <w:szCs w:val="20"/>
                <w:lang w:eastAsia="en-AU"/>
              </w:rPr>
              <w:t>178</w:t>
            </w:r>
          </w:p>
        </w:tc>
        <w:tc>
          <w:tcPr>
            <w:tcW w:w="856" w:type="dxa"/>
            <w:tcBorders>
              <w:top w:val="single" w:sz="4" w:space="0" w:color="000000"/>
              <w:left w:val="nil"/>
              <w:bottom w:val="single" w:sz="4" w:space="0" w:color="000000"/>
              <w:right w:val="single" w:sz="4" w:space="0" w:color="000000"/>
            </w:tcBorders>
            <w:shd w:val="clear" w:color="auto" w:fill="DDDDDD" w:themeFill="accent1"/>
            <w:noWrap/>
            <w:vAlign w:val="bottom"/>
          </w:tcPr>
          <w:p w:rsidR="00106684" w:rsidRPr="00E048AA" w:rsidRDefault="00F340D2" w:rsidP="00E164FC">
            <w:pPr>
              <w:spacing w:line="240" w:lineRule="auto"/>
              <w:jc w:val="right"/>
              <w:rPr>
                <w:rFonts w:eastAsia="Times New Roman"/>
                <w:i/>
                <w:color w:val="000000"/>
                <w:sz w:val="20"/>
                <w:szCs w:val="20"/>
                <w:lang w:eastAsia="en-AU"/>
              </w:rPr>
            </w:pPr>
            <w:r>
              <w:rPr>
                <w:rFonts w:eastAsia="Times New Roman"/>
                <w:i/>
                <w:color w:val="000000"/>
                <w:sz w:val="20"/>
                <w:szCs w:val="20"/>
                <w:lang w:eastAsia="en-AU"/>
              </w:rPr>
              <w:t>4.9</w:t>
            </w:r>
            <w:r w:rsidR="00106684">
              <w:rPr>
                <w:rFonts w:eastAsia="Times New Roman"/>
                <w:i/>
                <w:color w:val="000000"/>
                <w:sz w:val="20"/>
                <w:szCs w:val="20"/>
                <w:lang w:eastAsia="en-AU"/>
              </w:rPr>
              <w:t>%</w:t>
            </w:r>
          </w:p>
        </w:tc>
        <w:tc>
          <w:tcPr>
            <w:tcW w:w="887"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F340D2" w:rsidP="0092548B">
            <w:pPr>
              <w:spacing w:line="240" w:lineRule="auto"/>
              <w:jc w:val="right"/>
              <w:rPr>
                <w:rFonts w:eastAsia="Times New Roman"/>
                <w:i/>
                <w:color w:val="000000"/>
                <w:sz w:val="20"/>
                <w:szCs w:val="20"/>
                <w:lang w:eastAsia="en-AU"/>
              </w:rPr>
            </w:pPr>
            <w:r>
              <w:rPr>
                <w:rFonts w:eastAsia="Times New Roman"/>
                <w:i/>
                <w:color w:val="000000"/>
                <w:sz w:val="20"/>
                <w:szCs w:val="20"/>
                <w:lang w:eastAsia="en-AU"/>
              </w:rPr>
              <w:t>321</w:t>
            </w:r>
          </w:p>
        </w:tc>
        <w:tc>
          <w:tcPr>
            <w:tcW w:w="887"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F340D2" w:rsidP="0092548B">
            <w:pPr>
              <w:spacing w:line="240" w:lineRule="auto"/>
              <w:jc w:val="right"/>
              <w:rPr>
                <w:rFonts w:eastAsia="Times New Roman"/>
                <w:i/>
                <w:color w:val="000000"/>
                <w:sz w:val="20"/>
                <w:szCs w:val="20"/>
                <w:lang w:eastAsia="en-AU"/>
              </w:rPr>
            </w:pPr>
            <w:r>
              <w:rPr>
                <w:rFonts w:eastAsia="Times New Roman"/>
                <w:i/>
                <w:color w:val="000000"/>
                <w:sz w:val="20"/>
                <w:szCs w:val="20"/>
                <w:lang w:eastAsia="en-AU"/>
              </w:rPr>
              <w:t>8.2</w:t>
            </w:r>
            <w:r w:rsidR="00106684">
              <w:rPr>
                <w:rFonts w:eastAsia="Times New Roman"/>
                <w:i/>
                <w:color w:val="000000"/>
                <w:sz w:val="20"/>
                <w:szCs w:val="20"/>
                <w:lang w:eastAsia="en-AU"/>
              </w:rPr>
              <w:t>%</w:t>
            </w:r>
          </w:p>
        </w:tc>
        <w:tc>
          <w:tcPr>
            <w:tcW w:w="1265"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F340D2" w:rsidP="0092548B">
            <w:pPr>
              <w:spacing w:line="240" w:lineRule="auto"/>
              <w:jc w:val="right"/>
              <w:rPr>
                <w:rFonts w:eastAsia="Times New Roman"/>
                <w:i/>
                <w:color w:val="000000"/>
                <w:sz w:val="20"/>
                <w:szCs w:val="20"/>
                <w:lang w:eastAsia="en-AU"/>
              </w:rPr>
            </w:pPr>
            <w:r>
              <w:rPr>
                <w:rFonts w:eastAsia="Times New Roman"/>
                <w:i/>
                <w:color w:val="000000"/>
                <w:sz w:val="20"/>
                <w:szCs w:val="20"/>
                <w:lang w:eastAsia="en-AU"/>
              </w:rPr>
              <w:t>2,443</w:t>
            </w:r>
          </w:p>
        </w:tc>
        <w:tc>
          <w:tcPr>
            <w:tcW w:w="1265"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F340D2" w:rsidP="0092548B">
            <w:pPr>
              <w:spacing w:line="240" w:lineRule="auto"/>
              <w:jc w:val="right"/>
              <w:rPr>
                <w:rFonts w:eastAsia="Times New Roman"/>
                <w:i/>
                <w:color w:val="000000"/>
                <w:sz w:val="20"/>
                <w:szCs w:val="20"/>
                <w:lang w:eastAsia="en-AU"/>
              </w:rPr>
            </w:pPr>
            <w:r>
              <w:rPr>
                <w:rFonts w:eastAsia="Times New Roman"/>
                <w:i/>
                <w:color w:val="000000"/>
                <w:sz w:val="20"/>
                <w:szCs w:val="20"/>
                <w:lang w:eastAsia="en-AU"/>
              </w:rPr>
              <w:t>25.1</w:t>
            </w:r>
            <w:r w:rsidR="00106684">
              <w:rPr>
                <w:rFonts w:eastAsia="Times New Roman"/>
                <w:i/>
                <w:color w:val="000000"/>
                <w:sz w:val="20"/>
                <w:szCs w:val="20"/>
                <w:lang w:eastAsia="en-AU"/>
              </w:rPr>
              <w:t>%</w:t>
            </w:r>
          </w:p>
        </w:tc>
      </w:tr>
      <w:tr w:rsidR="00CF6B55" w:rsidRPr="00E048AA" w:rsidTr="00F21B9A">
        <w:trPr>
          <w:trHeight w:val="289"/>
        </w:trPr>
        <w:tc>
          <w:tcPr>
            <w:tcW w:w="4074"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hideMark/>
          </w:tcPr>
          <w:p w:rsidR="00106684" w:rsidRPr="00E048AA" w:rsidRDefault="00106684" w:rsidP="00E164FC">
            <w:pPr>
              <w:spacing w:line="240" w:lineRule="auto"/>
              <w:rPr>
                <w:rFonts w:eastAsia="Times New Roman"/>
                <w:i/>
                <w:color w:val="000000"/>
                <w:sz w:val="20"/>
                <w:szCs w:val="20"/>
                <w:lang w:eastAsia="en-AU"/>
              </w:rPr>
            </w:pPr>
            <w:r w:rsidRPr="00E048AA">
              <w:rPr>
                <w:rFonts w:eastAsia="Times New Roman"/>
                <w:i/>
                <w:color w:val="000000"/>
                <w:sz w:val="20"/>
                <w:szCs w:val="20"/>
                <w:lang w:eastAsia="en-AU"/>
              </w:rPr>
              <w:t>Deferred Study or Training</w:t>
            </w:r>
          </w:p>
        </w:tc>
        <w:tc>
          <w:tcPr>
            <w:tcW w:w="825" w:type="dxa"/>
            <w:tcBorders>
              <w:top w:val="single" w:sz="4" w:space="0" w:color="000000"/>
              <w:left w:val="nil"/>
              <w:bottom w:val="single" w:sz="4" w:space="0" w:color="000000"/>
              <w:right w:val="single" w:sz="4" w:space="0" w:color="000000"/>
            </w:tcBorders>
            <w:shd w:val="clear" w:color="auto" w:fill="DDDDDD" w:themeFill="accent1"/>
            <w:noWrap/>
            <w:vAlign w:val="bottom"/>
            <w:hideMark/>
          </w:tcPr>
          <w:p w:rsidR="00106684" w:rsidRPr="00E048AA" w:rsidRDefault="00106684" w:rsidP="00E164FC">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504</w:t>
            </w:r>
          </w:p>
        </w:tc>
        <w:tc>
          <w:tcPr>
            <w:tcW w:w="856" w:type="dxa"/>
            <w:tcBorders>
              <w:top w:val="single" w:sz="4" w:space="0" w:color="000000"/>
              <w:left w:val="nil"/>
              <w:bottom w:val="single" w:sz="4" w:space="0" w:color="000000"/>
              <w:right w:val="single" w:sz="4" w:space="0" w:color="000000"/>
            </w:tcBorders>
            <w:shd w:val="clear" w:color="auto" w:fill="DDDDDD" w:themeFill="accent1"/>
            <w:noWrap/>
            <w:vAlign w:val="bottom"/>
            <w:hideMark/>
          </w:tcPr>
          <w:p w:rsidR="00106684" w:rsidRPr="00E048AA" w:rsidRDefault="00106684" w:rsidP="00E164FC">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13.9</w:t>
            </w:r>
            <w:r>
              <w:rPr>
                <w:rFonts w:eastAsia="Times New Roman"/>
                <w:i/>
                <w:color w:val="000000"/>
                <w:sz w:val="20"/>
                <w:szCs w:val="20"/>
                <w:lang w:eastAsia="en-AU"/>
              </w:rPr>
              <w:t>%</w:t>
            </w:r>
          </w:p>
        </w:tc>
        <w:tc>
          <w:tcPr>
            <w:tcW w:w="887"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106684" w:rsidP="0092548B">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455</w:t>
            </w:r>
          </w:p>
        </w:tc>
        <w:tc>
          <w:tcPr>
            <w:tcW w:w="887"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106684" w:rsidP="0092548B">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11.7</w:t>
            </w:r>
            <w:r>
              <w:rPr>
                <w:rFonts w:eastAsia="Times New Roman"/>
                <w:i/>
                <w:color w:val="000000"/>
                <w:sz w:val="20"/>
                <w:szCs w:val="20"/>
                <w:lang w:eastAsia="en-AU"/>
              </w:rPr>
              <w:t>%</w:t>
            </w:r>
          </w:p>
        </w:tc>
        <w:tc>
          <w:tcPr>
            <w:tcW w:w="1265"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106684" w:rsidP="0092548B">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837</w:t>
            </w:r>
          </w:p>
        </w:tc>
        <w:tc>
          <w:tcPr>
            <w:tcW w:w="1265"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106684" w:rsidP="0092548B">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8.6</w:t>
            </w:r>
            <w:r>
              <w:rPr>
                <w:rFonts w:eastAsia="Times New Roman"/>
                <w:i/>
                <w:color w:val="000000"/>
                <w:sz w:val="20"/>
                <w:szCs w:val="20"/>
                <w:lang w:eastAsia="en-AU"/>
              </w:rPr>
              <w:t>%</w:t>
            </w:r>
          </w:p>
        </w:tc>
      </w:tr>
      <w:tr w:rsidR="00CF6B55" w:rsidRPr="00E048AA" w:rsidTr="00F21B9A">
        <w:trPr>
          <w:trHeight w:val="289"/>
        </w:trPr>
        <w:tc>
          <w:tcPr>
            <w:tcW w:w="4074"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hideMark/>
          </w:tcPr>
          <w:p w:rsidR="00106684" w:rsidRPr="00E048AA" w:rsidRDefault="00106684" w:rsidP="00E164FC">
            <w:pPr>
              <w:spacing w:line="240" w:lineRule="auto"/>
              <w:rPr>
                <w:rFonts w:eastAsia="Times New Roman"/>
                <w:i/>
                <w:color w:val="000000"/>
                <w:sz w:val="20"/>
                <w:szCs w:val="20"/>
                <w:lang w:eastAsia="en-AU"/>
              </w:rPr>
            </w:pPr>
            <w:r w:rsidRPr="00E048AA">
              <w:rPr>
                <w:rFonts w:eastAsia="Times New Roman"/>
                <w:i/>
                <w:color w:val="000000"/>
                <w:sz w:val="20"/>
                <w:szCs w:val="20"/>
                <w:lang w:eastAsia="en-AU"/>
              </w:rPr>
              <w:t>Other</w:t>
            </w:r>
          </w:p>
        </w:tc>
        <w:tc>
          <w:tcPr>
            <w:tcW w:w="825" w:type="dxa"/>
            <w:tcBorders>
              <w:top w:val="single" w:sz="4" w:space="0" w:color="000000"/>
              <w:left w:val="nil"/>
              <w:bottom w:val="single" w:sz="4" w:space="0" w:color="000000"/>
              <w:right w:val="single" w:sz="4" w:space="0" w:color="000000"/>
            </w:tcBorders>
            <w:shd w:val="clear" w:color="auto" w:fill="DDDDDD" w:themeFill="accent1"/>
            <w:noWrap/>
            <w:vAlign w:val="bottom"/>
            <w:hideMark/>
          </w:tcPr>
          <w:p w:rsidR="00106684" w:rsidRPr="00E048AA" w:rsidRDefault="00106684" w:rsidP="00E164FC">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14</w:t>
            </w:r>
          </w:p>
        </w:tc>
        <w:tc>
          <w:tcPr>
            <w:tcW w:w="856" w:type="dxa"/>
            <w:tcBorders>
              <w:top w:val="single" w:sz="4" w:space="0" w:color="000000"/>
              <w:left w:val="nil"/>
              <w:bottom w:val="single" w:sz="4" w:space="0" w:color="000000"/>
              <w:right w:val="single" w:sz="4" w:space="0" w:color="000000"/>
            </w:tcBorders>
            <w:shd w:val="clear" w:color="auto" w:fill="DDDDDD" w:themeFill="accent1"/>
            <w:noWrap/>
            <w:vAlign w:val="bottom"/>
            <w:hideMark/>
          </w:tcPr>
          <w:p w:rsidR="00106684" w:rsidRPr="00E048AA" w:rsidRDefault="00106684" w:rsidP="00E164FC">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0.4</w:t>
            </w:r>
            <w:r>
              <w:rPr>
                <w:rFonts w:eastAsia="Times New Roman"/>
                <w:i/>
                <w:color w:val="000000"/>
                <w:sz w:val="20"/>
                <w:szCs w:val="20"/>
                <w:lang w:eastAsia="en-AU"/>
              </w:rPr>
              <w:t>%</w:t>
            </w:r>
          </w:p>
        </w:tc>
        <w:tc>
          <w:tcPr>
            <w:tcW w:w="887"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106684" w:rsidP="0092548B">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8</w:t>
            </w:r>
          </w:p>
        </w:tc>
        <w:tc>
          <w:tcPr>
            <w:tcW w:w="887"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106684" w:rsidP="0092548B">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0.2</w:t>
            </w:r>
            <w:r>
              <w:rPr>
                <w:rFonts w:eastAsia="Times New Roman"/>
                <w:i/>
                <w:color w:val="000000"/>
                <w:sz w:val="20"/>
                <w:szCs w:val="20"/>
                <w:lang w:eastAsia="en-AU"/>
              </w:rPr>
              <w:t>%</w:t>
            </w:r>
          </w:p>
        </w:tc>
        <w:tc>
          <w:tcPr>
            <w:tcW w:w="1265"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106684" w:rsidP="0092548B">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196</w:t>
            </w:r>
          </w:p>
        </w:tc>
        <w:tc>
          <w:tcPr>
            <w:tcW w:w="1265" w:type="dxa"/>
            <w:tcBorders>
              <w:top w:val="single" w:sz="4" w:space="0" w:color="000000"/>
              <w:left w:val="nil"/>
              <w:bottom w:val="single" w:sz="4" w:space="0" w:color="000000"/>
              <w:right w:val="single" w:sz="4" w:space="0" w:color="000000"/>
            </w:tcBorders>
            <w:shd w:val="clear" w:color="auto" w:fill="DDDDDD" w:themeFill="accent1"/>
            <w:vAlign w:val="bottom"/>
          </w:tcPr>
          <w:p w:rsidR="00106684" w:rsidRPr="00E048AA" w:rsidRDefault="00106684" w:rsidP="0092548B">
            <w:pPr>
              <w:spacing w:line="240" w:lineRule="auto"/>
              <w:jc w:val="right"/>
              <w:rPr>
                <w:rFonts w:eastAsia="Times New Roman"/>
                <w:i/>
                <w:color w:val="000000"/>
                <w:sz w:val="20"/>
                <w:szCs w:val="20"/>
                <w:lang w:eastAsia="en-AU"/>
              </w:rPr>
            </w:pPr>
            <w:r w:rsidRPr="00E048AA">
              <w:rPr>
                <w:rFonts w:eastAsia="Times New Roman"/>
                <w:i/>
                <w:color w:val="000000"/>
                <w:sz w:val="20"/>
                <w:szCs w:val="20"/>
                <w:lang w:eastAsia="en-AU"/>
              </w:rPr>
              <w:t>2</w:t>
            </w:r>
            <w:r>
              <w:rPr>
                <w:rFonts w:eastAsia="Times New Roman"/>
                <w:i/>
                <w:color w:val="000000"/>
                <w:sz w:val="20"/>
                <w:szCs w:val="20"/>
                <w:lang w:eastAsia="en-AU"/>
              </w:rPr>
              <w:t>.0%</w:t>
            </w:r>
          </w:p>
        </w:tc>
      </w:tr>
      <w:tr w:rsidR="00CF6B55" w:rsidRPr="00E67D03" w:rsidTr="00F21B9A">
        <w:trPr>
          <w:trHeight w:val="289"/>
        </w:trPr>
        <w:tc>
          <w:tcPr>
            <w:tcW w:w="4074" w:type="dxa"/>
            <w:tcBorders>
              <w:top w:val="nil"/>
              <w:left w:val="single" w:sz="4" w:space="0" w:color="000000"/>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rPr>
                <w:rFonts w:eastAsia="Times New Roman"/>
                <w:b/>
                <w:color w:val="000000"/>
                <w:sz w:val="20"/>
                <w:szCs w:val="20"/>
                <w:lang w:eastAsia="en-AU"/>
              </w:rPr>
            </w:pPr>
            <w:r w:rsidRPr="00E67D03">
              <w:rPr>
                <w:rFonts w:eastAsia="Times New Roman"/>
                <w:b/>
                <w:color w:val="000000"/>
                <w:sz w:val="20"/>
                <w:szCs w:val="20"/>
                <w:lang w:eastAsia="en-AU"/>
              </w:rPr>
              <w:t>Total</w:t>
            </w:r>
          </w:p>
        </w:tc>
        <w:tc>
          <w:tcPr>
            <w:tcW w:w="825"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b/>
                <w:color w:val="000000"/>
                <w:sz w:val="20"/>
                <w:szCs w:val="20"/>
                <w:lang w:eastAsia="en-AU"/>
              </w:rPr>
            </w:pPr>
            <w:r w:rsidRPr="00E67D03">
              <w:rPr>
                <w:rFonts w:eastAsia="Times New Roman"/>
                <w:b/>
                <w:color w:val="000000"/>
                <w:sz w:val="20"/>
                <w:szCs w:val="20"/>
                <w:lang w:eastAsia="en-AU"/>
              </w:rPr>
              <w:t>3</w:t>
            </w:r>
            <w:r>
              <w:rPr>
                <w:rFonts w:eastAsia="Times New Roman"/>
                <w:b/>
                <w:color w:val="000000"/>
                <w:sz w:val="20"/>
                <w:szCs w:val="20"/>
                <w:lang w:eastAsia="en-AU"/>
              </w:rPr>
              <w:t>,</w:t>
            </w:r>
            <w:r w:rsidRPr="00E67D03">
              <w:rPr>
                <w:rFonts w:eastAsia="Times New Roman"/>
                <w:b/>
                <w:color w:val="000000"/>
                <w:sz w:val="20"/>
                <w:szCs w:val="20"/>
                <w:lang w:eastAsia="en-AU"/>
              </w:rPr>
              <w:t>629</w:t>
            </w:r>
          </w:p>
        </w:tc>
        <w:tc>
          <w:tcPr>
            <w:tcW w:w="856" w:type="dxa"/>
            <w:tcBorders>
              <w:top w:val="nil"/>
              <w:left w:val="nil"/>
              <w:bottom w:val="single" w:sz="4" w:space="0" w:color="000000"/>
              <w:right w:val="single" w:sz="4" w:space="0" w:color="000000"/>
            </w:tcBorders>
            <w:shd w:val="clear" w:color="auto" w:fill="auto"/>
            <w:noWrap/>
            <w:vAlign w:val="bottom"/>
            <w:hideMark/>
          </w:tcPr>
          <w:p w:rsidR="00106684" w:rsidRPr="00E67D03" w:rsidRDefault="00106684" w:rsidP="00E164FC">
            <w:pPr>
              <w:spacing w:line="240" w:lineRule="auto"/>
              <w:jc w:val="right"/>
              <w:rPr>
                <w:rFonts w:eastAsia="Times New Roman"/>
                <w:b/>
                <w:color w:val="000000"/>
                <w:sz w:val="20"/>
                <w:szCs w:val="20"/>
                <w:lang w:eastAsia="en-AU"/>
              </w:rPr>
            </w:pPr>
            <w:r w:rsidRPr="00E67D03">
              <w:rPr>
                <w:rFonts w:eastAsia="Times New Roman"/>
                <w:b/>
                <w:color w:val="000000"/>
                <w:sz w:val="20"/>
                <w:szCs w:val="20"/>
                <w:lang w:eastAsia="en-AU"/>
              </w:rPr>
              <w:t>100</w:t>
            </w:r>
            <w:r>
              <w:rPr>
                <w:rFonts w:eastAsia="Times New Roman"/>
                <w:b/>
                <w:color w:val="000000"/>
                <w:sz w:val="20"/>
                <w:szCs w:val="20"/>
                <w:lang w:eastAsia="en-AU"/>
              </w:rPr>
              <w:t>.0%</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b/>
                <w:color w:val="000000"/>
                <w:sz w:val="20"/>
                <w:szCs w:val="20"/>
                <w:lang w:eastAsia="en-AU"/>
              </w:rPr>
            </w:pPr>
            <w:r w:rsidRPr="00E67D03">
              <w:rPr>
                <w:rFonts w:eastAsia="Times New Roman"/>
                <w:b/>
                <w:color w:val="000000"/>
                <w:sz w:val="20"/>
                <w:szCs w:val="20"/>
                <w:lang w:eastAsia="en-AU"/>
              </w:rPr>
              <w:t>3</w:t>
            </w:r>
            <w:r>
              <w:rPr>
                <w:rFonts w:eastAsia="Times New Roman"/>
                <w:b/>
                <w:color w:val="000000"/>
                <w:sz w:val="20"/>
                <w:szCs w:val="20"/>
                <w:lang w:eastAsia="en-AU"/>
              </w:rPr>
              <w:t>,</w:t>
            </w:r>
            <w:r w:rsidRPr="00E67D03">
              <w:rPr>
                <w:rFonts w:eastAsia="Times New Roman"/>
                <w:b/>
                <w:color w:val="000000"/>
                <w:sz w:val="20"/>
                <w:szCs w:val="20"/>
                <w:lang w:eastAsia="en-AU"/>
              </w:rPr>
              <w:t>902</w:t>
            </w:r>
          </w:p>
        </w:tc>
        <w:tc>
          <w:tcPr>
            <w:tcW w:w="887"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b/>
                <w:color w:val="000000"/>
                <w:sz w:val="20"/>
                <w:szCs w:val="20"/>
                <w:lang w:eastAsia="en-AU"/>
              </w:rPr>
            </w:pPr>
            <w:r w:rsidRPr="00E67D03">
              <w:rPr>
                <w:rFonts w:eastAsia="Times New Roman"/>
                <w:b/>
                <w:color w:val="000000"/>
                <w:sz w:val="20"/>
                <w:szCs w:val="20"/>
                <w:lang w:eastAsia="en-AU"/>
              </w:rPr>
              <w:t>100</w:t>
            </w:r>
            <w:r>
              <w:rPr>
                <w:rFonts w:eastAsia="Times New Roman"/>
                <w:b/>
                <w:color w:val="000000"/>
                <w:sz w:val="20"/>
                <w:szCs w:val="20"/>
                <w:lang w:eastAsia="en-AU"/>
              </w:rPr>
              <w:t>.0%</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b/>
                <w:color w:val="000000"/>
                <w:sz w:val="20"/>
                <w:szCs w:val="20"/>
                <w:lang w:eastAsia="en-AU"/>
              </w:rPr>
            </w:pPr>
            <w:r w:rsidRPr="00E67D03">
              <w:rPr>
                <w:rFonts w:eastAsia="Times New Roman"/>
                <w:b/>
                <w:color w:val="000000"/>
                <w:sz w:val="20"/>
                <w:szCs w:val="20"/>
                <w:lang w:eastAsia="en-AU"/>
              </w:rPr>
              <w:t>9</w:t>
            </w:r>
            <w:r>
              <w:rPr>
                <w:rFonts w:eastAsia="Times New Roman"/>
                <w:b/>
                <w:color w:val="000000"/>
                <w:sz w:val="20"/>
                <w:szCs w:val="20"/>
                <w:lang w:eastAsia="en-AU"/>
              </w:rPr>
              <w:t>,</w:t>
            </w:r>
            <w:r w:rsidRPr="00E67D03">
              <w:rPr>
                <w:rFonts w:eastAsia="Times New Roman"/>
                <w:b/>
                <w:color w:val="000000"/>
                <w:sz w:val="20"/>
                <w:szCs w:val="20"/>
                <w:lang w:eastAsia="en-AU"/>
              </w:rPr>
              <w:t>717</w:t>
            </w:r>
          </w:p>
        </w:tc>
        <w:tc>
          <w:tcPr>
            <w:tcW w:w="1265" w:type="dxa"/>
            <w:tcBorders>
              <w:top w:val="nil"/>
              <w:left w:val="nil"/>
              <w:bottom w:val="single" w:sz="4" w:space="0" w:color="000000"/>
              <w:right w:val="single" w:sz="4" w:space="0" w:color="000000"/>
            </w:tcBorders>
            <w:vAlign w:val="bottom"/>
          </w:tcPr>
          <w:p w:rsidR="00106684" w:rsidRPr="00E67D03" w:rsidRDefault="00106684" w:rsidP="0092548B">
            <w:pPr>
              <w:spacing w:line="240" w:lineRule="auto"/>
              <w:jc w:val="right"/>
              <w:rPr>
                <w:rFonts w:eastAsia="Times New Roman"/>
                <w:b/>
                <w:color w:val="000000"/>
                <w:sz w:val="20"/>
                <w:szCs w:val="20"/>
                <w:lang w:eastAsia="en-AU"/>
              </w:rPr>
            </w:pPr>
            <w:r w:rsidRPr="00E67D03">
              <w:rPr>
                <w:rFonts w:eastAsia="Times New Roman"/>
                <w:b/>
                <w:color w:val="000000"/>
                <w:sz w:val="20"/>
                <w:szCs w:val="20"/>
                <w:lang w:eastAsia="en-AU"/>
              </w:rPr>
              <w:t>100</w:t>
            </w:r>
            <w:r>
              <w:rPr>
                <w:rFonts w:eastAsia="Times New Roman"/>
                <w:b/>
                <w:color w:val="000000"/>
                <w:sz w:val="20"/>
                <w:szCs w:val="20"/>
                <w:lang w:eastAsia="en-AU"/>
              </w:rPr>
              <w:t>.0%</w:t>
            </w:r>
          </w:p>
        </w:tc>
      </w:tr>
    </w:tbl>
    <w:p w:rsidR="00106684" w:rsidRDefault="00106684" w:rsidP="00BC2B5D">
      <w:pPr>
        <w:tabs>
          <w:tab w:val="left" w:pos="2520"/>
        </w:tabs>
        <w:rPr>
          <w:b/>
        </w:rPr>
      </w:pPr>
    </w:p>
    <w:p w:rsidR="00BC2B5D" w:rsidRDefault="00E048AA" w:rsidP="006F48D6">
      <w:pPr>
        <w:pStyle w:val="Heading4"/>
      </w:pPr>
      <w:r>
        <w:t xml:space="preserve">Table E: </w:t>
      </w:r>
      <w:r w:rsidR="00BC2B5D">
        <w:t xml:space="preserve">2012 Year 12 Cohort – Area of study or work status by </w:t>
      </w:r>
      <w:r w:rsidR="00E116CE">
        <w:t>sector and gender</w:t>
      </w:r>
      <w:r w:rsidR="005A53DA">
        <w:t xml:space="preserve"> (n=15,085)</w:t>
      </w:r>
    </w:p>
    <w:p w:rsidR="0090335C" w:rsidRDefault="0090335C" w:rsidP="008F387A">
      <w:pPr>
        <w:tabs>
          <w:tab w:val="left" w:pos="2520"/>
        </w:tabs>
      </w:pPr>
      <w:r>
        <w:t>Sector sample size:</w:t>
      </w:r>
    </w:p>
    <w:p w:rsidR="0090335C" w:rsidRDefault="0090335C" w:rsidP="008F387A">
      <w:pPr>
        <w:tabs>
          <w:tab w:val="left" w:pos="2520"/>
        </w:tabs>
      </w:pPr>
      <w:proofErr w:type="spellStart"/>
      <w:r>
        <w:t>AISWA</w:t>
      </w:r>
      <w:proofErr w:type="spellEnd"/>
      <w:r>
        <w:t xml:space="preserve"> n= 2,146</w:t>
      </w:r>
    </w:p>
    <w:p w:rsidR="0090335C" w:rsidRDefault="0090335C" w:rsidP="008F387A">
      <w:pPr>
        <w:tabs>
          <w:tab w:val="left" w:pos="2520"/>
        </w:tabs>
      </w:pPr>
      <w:r>
        <w:t>Catholic n= 3,234</w:t>
      </w:r>
    </w:p>
    <w:p w:rsidR="0090335C" w:rsidRDefault="0090335C" w:rsidP="008F387A">
      <w:pPr>
        <w:tabs>
          <w:tab w:val="left" w:pos="2520"/>
        </w:tabs>
      </w:pPr>
      <w:r>
        <w:t>Government n= 9,705</w:t>
      </w:r>
    </w:p>
    <w:p w:rsidR="0090335C" w:rsidRPr="0090335C" w:rsidRDefault="0090335C" w:rsidP="008F387A">
      <w:pPr>
        <w:tabs>
          <w:tab w:val="left" w:pos="2520"/>
        </w:tabs>
      </w:pPr>
    </w:p>
    <w:tbl>
      <w:tblPr>
        <w:tblW w:w="9699" w:type="dxa"/>
        <w:tblInd w:w="93" w:type="dxa"/>
        <w:tblLook w:val="04A0" w:firstRow="1" w:lastRow="0" w:firstColumn="1" w:lastColumn="0" w:noHBand="0" w:noVBand="1"/>
        <w:tblDescription w:val="Table showing 2012 year 12 cohort area of study or work status by sector and gender."/>
      </w:tblPr>
      <w:tblGrid>
        <w:gridCol w:w="3585"/>
        <w:gridCol w:w="1011"/>
        <w:gridCol w:w="1011"/>
        <w:gridCol w:w="1011"/>
        <w:gridCol w:w="1011"/>
        <w:gridCol w:w="1035"/>
        <w:gridCol w:w="1035"/>
      </w:tblGrid>
      <w:tr w:rsidR="0090335C" w:rsidRPr="00C47B94" w:rsidTr="0090335C">
        <w:trPr>
          <w:trHeight w:val="289"/>
        </w:trPr>
        <w:tc>
          <w:tcPr>
            <w:tcW w:w="3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20C" w:rsidRPr="00C47B94" w:rsidRDefault="0090335C" w:rsidP="00E164FC">
            <w:pPr>
              <w:spacing w:line="240" w:lineRule="auto"/>
              <w:rPr>
                <w:rFonts w:eastAsia="Times New Roman"/>
                <w:b/>
                <w:color w:val="000000"/>
                <w:sz w:val="20"/>
                <w:szCs w:val="20"/>
                <w:lang w:eastAsia="en-AU"/>
              </w:rPr>
            </w:pPr>
            <w:r>
              <w:rPr>
                <w:rFonts w:eastAsia="Times New Roman"/>
                <w:b/>
                <w:color w:val="000000"/>
                <w:sz w:val="20"/>
                <w:szCs w:val="20"/>
                <w:lang w:eastAsia="en-AU"/>
              </w:rPr>
              <w:t>Area of study or work status</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20C" w:rsidRPr="00C47B94" w:rsidRDefault="0090335C" w:rsidP="00E116CE">
            <w:pPr>
              <w:spacing w:line="240" w:lineRule="auto"/>
              <w:jc w:val="center"/>
              <w:rPr>
                <w:rFonts w:eastAsia="Times New Roman"/>
                <w:b/>
                <w:color w:val="000000"/>
                <w:sz w:val="20"/>
                <w:szCs w:val="20"/>
                <w:lang w:eastAsia="en-AU"/>
              </w:rPr>
            </w:pPr>
            <w:proofErr w:type="spellStart"/>
            <w:r>
              <w:rPr>
                <w:rFonts w:eastAsia="Times New Roman"/>
                <w:b/>
                <w:color w:val="000000"/>
                <w:sz w:val="20"/>
                <w:szCs w:val="20"/>
                <w:lang w:eastAsia="en-AU"/>
              </w:rPr>
              <w:t>AISWA</w:t>
            </w:r>
            <w:proofErr w:type="spellEnd"/>
            <w:r>
              <w:rPr>
                <w:rFonts w:eastAsia="Times New Roman"/>
                <w:b/>
                <w:color w:val="000000"/>
                <w:sz w:val="20"/>
                <w:szCs w:val="20"/>
                <w:lang w:eastAsia="en-AU"/>
              </w:rPr>
              <w:t xml:space="preserve"> </w:t>
            </w:r>
            <w:r w:rsidR="00D6020C" w:rsidRPr="00C47B94">
              <w:rPr>
                <w:rFonts w:eastAsia="Times New Roman"/>
                <w:b/>
                <w:color w:val="000000"/>
                <w:sz w:val="20"/>
                <w:szCs w:val="20"/>
                <w:lang w:eastAsia="en-AU"/>
              </w:rPr>
              <w:t>Females</w:t>
            </w:r>
          </w:p>
          <w:p w:rsidR="00D6020C" w:rsidRPr="00C47B94" w:rsidRDefault="00D6020C" w:rsidP="00E116CE">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(n=1,115)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35C" w:rsidRDefault="0090335C" w:rsidP="00E116CE">
            <w:pPr>
              <w:spacing w:line="240" w:lineRule="auto"/>
              <w:jc w:val="center"/>
              <w:rPr>
                <w:rFonts w:eastAsia="Times New Roman"/>
                <w:b/>
                <w:color w:val="000000"/>
                <w:sz w:val="20"/>
                <w:szCs w:val="20"/>
                <w:lang w:eastAsia="en-AU"/>
              </w:rPr>
            </w:pPr>
            <w:proofErr w:type="spellStart"/>
            <w:r>
              <w:rPr>
                <w:rFonts w:eastAsia="Times New Roman"/>
                <w:b/>
                <w:color w:val="000000"/>
                <w:sz w:val="20"/>
                <w:szCs w:val="20"/>
                <w:lang w:eastAsia="en-AU"/>
              </w:rPr>
              <w:t>AISWA</w:t>
            </w:r>
            <w:proofErr w:type="spellEnd"/>
          </w:p>
          <w:p w:rsidR="00D6020C" w:rsidRPr="00C47B94" w:rsidRDefault="00D6020C" w:rsidP="00E116CE">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Males</w:t>
            </w:r>
          </w:p>
          <w:p w:rsidR="00D6020C" w:rsidRPr="00C47B94" w:rsidRDefault="00D6020C" w:rsidP="00E116CE">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(n=1,031)</w:t>
            </w:r>
          </w:p>
        </w:tc>
        <w:tc>
          <w:tcPr>
            <w:tcW w:w="1011" w:type="dxa"/>
            <w:tcBorders>
              <w:top w:val="single" w:sz="4" w:space="0" w:color="auto"/>
              <w:left w:val="single" w:sz="4" w:space="0" w:color="auto"/>
              <w:bottom w:val="single" w:sz="4" w:space="0" w:color="auto"/>
              <w:right w:val="single" w:sz="4" w:space="0" w:color="auto"/>
            </w:tcBorders>
            <w:vAlign w:val="bottom"/>
          </w:tcPr>
          <w:p w:rsidR="0090335C" w:rsidRDefault="0090335C" w:rsidP="00E116CE">
            <w:pPr>
              <w:spacing w:line="240" w:lineRule="auto"/>
              <w:jc w:val="center"/>
              <w:rPr>
                <w:rFonts w:eastAsia="Times New Roman"/>
                <w:b/>
                <w:color w:val="000000"/>
                <w:sz w:val="20"/>
                <w:szCs w:val="20"/>
                <w:lang w:eastAsia="en-AU"/>
              </w:rPr>
            </w:pPr>
            <w:r>
              <w:rPr>
                <w:rFonts w:eastAsia="Times New Roman"/>
                <w:b/>
                <w:color w:val="000000"/>
                <w:sz w:val="20"/>
                <w:szCs w:val="20"/>
                <w:lang w:eastAsia="en-AU"/>
              </w:rPr>
              <w:t>Catholic</w:t>
            </w:r>
          </w:p>
          <w:p w:rsidR="00D6020C" w:rsidRPr="00C47B94" w:rsidRDefault="00D6020C" w:rsidP="00E116CE">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Females</w:t>
            </w:r>
          </w:p>
          <w:p w:rsidR="00D6020C" w:rsidRPr="00C47B94" w:rsidRDefault="00D6020C" w:rsidP="00E116CE">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(n=1,744)</w:t>
            </w:r>
          </w:p>
        </w:tc>
        <w:tc>
          <w:tcPr>
            <w:tcW w:w="1011" w:type="dxa"/>
            <w:tcBorders>
              <w:top w:val="single" w:sz="4" w:space="0" w:color="auto"/>
              <w:left w:val="single" w:sz="4" w:space="0" w:color="auto"/>
              <w:bottom w:val="single" w:sz="4" w:space="0" w:color="auto"/>
              <w:right w:val="single" w:sz="4" w:space="0" w:color="auto"/>
            </w:tcBorders>
            <w:vAlign w:val="bottom"/>
          </w:tcPr>
          <w:p w:rsidR="0090335C" w:rsidRDefault="0090335C" w:rsidP="00E116CE">
            <w:pPr>
              <w:spacing w:line="240" w:lineRule="auto"/>
              <w:jc w:val="center"/>
              <w:rPr>
                <w:rFonts w:eastAsia="Times New Roman"/>
                <w:b/>
                <w:color w:val="000000"/>
                <w:sz w:val="20"/>
                <w:szCs w:val="20"/>
                <w:lang w:eastAsia="en-AU"/>
              </w:rPr>
            </w:pPr>
            <w:r>
              <w:rPr>
                <w:rFonts w:eastAsia="Times New Roman"/>
                <w:b/>
                <w:color w:val="000000"/>
                <w:sz w:val="20"/>
                <w:szCs w:val="20"/>
                <w:lang w:eastAsia="en-AU"/>
              </w:rPr>
              <w:t>Catholic</w:t>
            </w:r>
          </w:p>
          <w:p w:rsidR="00D6020C" w:rsidRPr="00C47B94" w:rsidRDefault="00D6020C" w:rsidP="00E116CE">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Males</w:t>
            </w:r>
          </w:p>
          <w:p w:rsidR="00D6020C" w:rsidRPr="00C47B94" w:rsidRDefault="00D6020C" w:rsidP="00E116CE">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(n=1,490)</w:t>
            </w:r>
          </w:p>
        </w:tc>
        <w:tc>
          <w:tcPr>
            <w:tcW w:w="1035" w:type="dxa"/>
            <w:tcBorders>
              <w:top w:val="single" w:sz="4" w:space="0" w:color="auto"/>
              <w:left w:val="single" w:sz="4" w:space="0" w:color="auto"/>
              <w:bottom w:val="single" w:sz="4" w:space="0" w:color="auto"/>
              <w:right w:val="single" w:sz="4" w:space="0" w:color="auto"/>
            </w:tcBorders>
            <w:vAlign w:val="bottom"/>
          </w:tcPr>
          <w:p w:rsidR="0090335C" w:rsidRDefault="0090335C" w:rsidP="0092548B">
            <w:pPr>
              <w:spacing w:line="240" w:lineRule="auto"/>
              <w:jc w:val="center"/>
              <w:rPr>
                <w:rFonts w:eastAsia="Times New Roman"/>
                <w:b/>
                <w:color w:val="000000"/>
                <w:sz w:val="20"/>
                <w:szCs w:val="20"/>
                <w:lang w:eastAsia="en-AU"/>
              </w:rPr>
            </w:pPr>
            <w:proofErr w:type="spellStart"/>
            <w:r>
              <w:rPr>
                <w:rFonts w:eastAsia="Times New Roman"/>
                <w:b/>
                <w:color w:val="000000"/>
                <w:sz w:val="20"/>
                <w:szCs w:val="20"/>
                <w:lang w:eastAsia="en-AU"/>
              </w:rPr>
              <w:t>Govt</w:t>
            </w:r>
            <w:proofErr w:type="spellEnd"/>
          </w:p>
          <w:p w:rsidR="00D6020C" w:rsidRPr="00C47B94" w:rsidRDefault="00D6020C" w:rsidP="0092548B">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Females</w:t>
            </w:r>
          </w:p>
          <w:p w:rsidR="00D6020C" w:rsidRPr="00C47B94" w:rsidRDefault="00D6020C" w:rsidP="00E116CE">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(n=5,026)</w:t>
            </w:r>
          </w:p>
        </w:tc>
        <w:tc>
          <w:tcPr>
            <w:tcW w:w="1035" w:type="dxa"/>
            <w:tcBorders>
              <w:top w:val="single" w:sz="4" w:space="0" w:color="auto"/>
              <w:left w:val="single" w:sz="4" w:space="0" w:color="auto"/>
              <w:bottom w:val="single" w:sz="4" w:space="0" w:color="auto"/>
              <w:right w:val="single" w:sz="4" w:space="0" w:color="auto"/>
            </w:tcBorders>
            <w:vAlign w:val="bottom"/>
          </w:tcPr>
          <w:p w:rsidR="0090335C" w:rsidRDefault="0090335C" w:rsidP="0090335C">
            <w:pPr>
              <w:spacing w:line="240" w:lineRule="auto"/>
              <w:ind w:right="315"/>
              <w:jc w:val="center"/>
              <w:rPr>
                <w:rFonts w:eastAsia="Times New Roman"/>
                <w:b/>
                <w:color w:val="000000"/>
                <w:sz w:val="20"/>
                <w:szCs w:val="20"/>
                <w:lang w:eastAsia="en-AU"/>
              </w:rPr>
            </w:pPr>
            <w:proofErr w:type="spellStart"/>
            <w:r>
              <w:rPr>
                <w:rFonts w:eastAsia="Times New Roman"/>
                <w:b/>
                <w:color w:val="000000"/>
                <w:sz w:val="20"/>
                <w:szCs w:val="20"/>
                <w:lang w:eastAsia="en-AU"/>
              </w:rPr>
              <w:t>Govt</w:t>
            </w:r>
            <w:proofErr w:type="spellEnd"/>
          </w:p>
          <w:p w:rsidR="00D6020C" w:rsidRPr="00C47B94" w:rsidRDefault="00D6020C" w:rsidP="0090335C">
            <w:pPr>
              <w:spacing w:line="240" w:lineRule="auto"/>
              <w:ind w:right="315"/>
              <w:jc w:val="center"/>
              <w:rPr>
                <w:rFonts w:eastAsia="Times New Roman"/>
                <w:b/>
                <w:color w:val="000000"/>
                <w:sz w:val="20"/>
                <w:szCs w:val="20"/>
                <w:lang w:eastAsia="en-AU"/>
              </w:rPr>
            </w:pPr>
            <w:r w:rsidRPr="00C47B94">
              <w:rPr>
                <w:rFonts w:eastAsia="Times New Roman"/>
                <w:b/>
                <w:color w:val="000000"/>
                <w:sz w:val="20"/>
                <w:szCs w:val="20"/>
                <w:lang w:eastAsia="en-AU"/>
              </w:rPr>
              <w:t>Males</w:t>
            </w:r>
          </w:p>
          <w:p w:rsidR="00D6020C" w:rsidRPr="00C47B94" w:rsidRDefault="00D6020C" w:rsidP="00E116CE">
            <w:pPr>
              <w:spacing w:line="240" w:lineRule="auto"/>
              <w:jc w:val="center"/>
              <w:rPr>
                <w:rFonts w:eastAsia="Times New Roman"/>
                <w:b/>
                <w:color w:val="000000"/>
                <w:sz w:val="20"/>
                <w:szCs w:val="20"/>
                <w:lang w:eastAsia="en-AU"/>
              </w:rPr>
            </w:pPr>
            <w:r w:rsidRPr="00C47B94">
              <w:rPr>
                <w:rFonts w:eastAsia="Times New Roman"/>
                <w:b/>
                <w:color w:val="000000"/>
                <w:sz w:val="20"/>
                <w:szCs w:val="20"/>
                <w:lang w:eastAsia="en-AU"/>
              </w:rPr>
              <w:t>(n=4,679)</w:t>
            </w:r>
          </w:p>
        </w:tc>
      </w:tr>
      <w:tr w:rsidR="0090335C" w:rsidRPr="00C47B94" w:rsidTr="0090335C">
        <w:trPr>
          <w:trHeight w:val="289"/>
        </w:trPr>
        <w:tc>
          <w:tcPr>
            <w:tcW w:w="358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E116CE" w:rsidRPr="00C47B94" w:rsidRDefault="00E116CE" w:rsidP="00E164FC">
            <w:pPr>
              <w:spacing w:line="240" w:lineRule="auto"/>
              <w:rPr>
                <w:rFonts w:eastAsia="Times New Roman"/>
                <w:color w:val="000000"/>
                <w:sz w:val="20"/>
                <w:szCs w:val="20"/>
                <w:lang w:eastAsia="en-AU"/>
              </w:rPr>
            </w:pPr>
            <w:r w:rsidRPr="00C47B94">
              <w:rPr>
                <w:rFonts w:eastAsia="Times New Roman"/>
                <w:color w:val="000000"/>
                <w:sz w:val="20"/>
                <w:szCs w:val="20"/>
                <w:lang w:eastAsia="en-AU"/>
              </w:rPr>
              <w:t>Returned to school</w:t>
            </w:r>
          </w:p>
        </w:tc>
        <w:tc>
          <w:tcPr>
            <w:tcW w:w="1011" w:type="dxa"/>
            <w:tcBorders>
              <w:top w:val="single" w:sz="4" w:space="0" w:color="auto"/>
              <w:left w:val="nil"/>
              <w:bottom w:val="single" w:sz="4" w:space="0" w:color="000000"/>
              <w:right w:val="single" w:sz="4" w:space="0" w:color="000000"/>
            </w:tcBorders>
            <w:shd w:val="clear" w:color="auto" w:fill="auto"/>
            <w:noWrap/>
            <w:vAlign w:val="bottom"/>
            <w:hideMark/>
          </w:tcPr>
          <w:p w:rsidR="00E116CE" w:rsidRPr="00C47B94" w:rsidRDefault="00E116CE" w:rsidP="0092548B">
            <w:pPr>
              <w:jc w:val="right"/>
              <w:rPr>
                <w:color w:val="000000"/>
                <w:sz w:val="20"/>
                <w:szCs w:val="20"/>
              </w:rPr>
            </w:pPr>
            <w:r w:rsidRPr="00C47B94">
              <w:rPr>
                <w:color w:val="000000"/>
                <w:sz w:val="20"/>
                <w:szCs w:val="20"/>
              </w:rPr>
              <w:t>0.1%</w:t>
            </w:r>
          </w:p>
        </w:tc>
        <w:tc>
          <w:tcPr>
            <w:tcW w:w="1011" w:type="dxa"/>
            <w:tcBorders>
              <w:top w:val="single" w:sz="4" w:space="0" w:color="auto"/>
              <w:left w:val="nil"/>
              <w:bottom w:val="single" w:sz="4" w:space="0" w:color="000000"/>
              <w:right w:val="single" w:sz="4" w:space="0" w:color="000000"/>
            </w:tcBorders>
            <w:shd w:val="clear" w:color="auto" w:fill="auto"/>
            <w:noWrap/>
            <w:vAlign w:val="bottom"/>
          </w:tcPr>
          <w:p w:rsidR="00E116CE" w:rsidRPr="00C47B94" w:rsidRDefault="00E116CE" w:rsidP="0092548B">
            <w:pPr>
              <w:jc w:val="right"/>
              <w:rPr>
                <w:color w:val="000000"/>
                <w:sz w:val="20"/>
                <w:szCs w:val="20"/>
              </w:rPr>
            </w:pPr>
            <w:r w:rsidRPr="00C47B94">
              <w:rPr>
                <w:color w:val="000000"/>
                <w:sz w:val="20"/>
                <w:szCs w:val="20"/>
              </w:rPr>
              <w:t>0.1%</w:t>
            </w:r>
          </w:p>
        </w:tc>
        <w:tc>
          <w:tcPr>
            <w:tcW w:w="1011" w:type="dxa"/>
            <w:tcBorders>
              <w:top w:val="single" w:sz="4" w:space="0" w:color="auto"/>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0.2%</w:t>
            </w:r>
          </w:p>
        </w:tc>
        <w:tc>
          <w:tcPr>
            <w:tcW w:w="1011" w:type="dxa"/>
            <w:tcBorders>
              <w:top w:val="single" w:sz="4" w:space="0" w:color="auto"/>
              <w:left w:val="nil"/>
              <w:bottom w:val="single" w:sz="4" w:space="0" w:color="000000"/>
              <w:right w:val="single" w:sz="4" w:space="0" w:color="000000"/>
            </w:tcBorders>
            <w:vAlign w:val="bottom"/>
          </w:tcPr>
          <w:p w:rsidR="00E116CE" w:rsidRPr="00C47B94" w:rsidRDefault="00E116CE" w:rsidP="0092548B">
            <w:pPr>
              <w:spacing w:line="240" w:lineRule="auto"/>
              <w:jc w:val="right"/>
              <w:rPr>
                <w:rFonts w:eastAsia="Times New Roman"/>
                <w:color w:val="000000"/>
                <w:sz w:val="20"/>
                <w:szCs w:val="20"/>
                <w:lang w:eastAsia="en-AU"/>
              </w:rPr>
            </w:pPr>
          </w:p>
        </w:tc>
        <w:tc>
          <w:tcPr>
            <w:tcW w:w="1035" w:type="dxa"/>
            <w:tcBorders>
              <w:top w:val="single" w:sz="4" w:space="0" w:color="auto"/>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0.6%</w:t>
            </w:r>
          </w:p>
        </w:tc>
        <w:tc>
          <w:tcPr>
            <w:tcW w:w="1035" w:type="dxa"/>
            <w:tcBorders>
              <w:top w:val="single" w:sz="4" w:space="0" w:color="auto"/>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0.5%</w:t>
            </w:r>
          </w:p>
        </w:tc>
      </w:tr>
      <w:tr w:rsidR="0090335C" w:rsidRPr="00C47B94" w:rsidTr="0090335C">
        <w:trPr>
          <w:trHeight w:val="289"/>
        </w:trPr>
        <w:tc>
          <w:tcPr>
            <w:tcW w:w="3585" w:type="dxa"/>
            <w:tcBorders>
              <w:top w:val="nil"/>
              <w:left w:val="single" w:sz="4" w:space="0" w:color="000000"/>
              <w:bottom w:val="single" w:sz="4" w:space="0" w:color="000000"/>
              <w:right w:val="single" w:sz="4" w:space="0" w:color="000000"/>
            </w:tcBorders>
            <w:shd w:val="clear" w:color="auto" w:fill="auto"/>
            <w:noWrap/>
            <w:vAlign w:val="bottom"/>
            <w:hideMark/>
          </w:tcPr>
          <w:p w:rsidR="00E116CE" w:rsidRPr="00C47B94" w:rsidRDefault="00E116CE" w:rsidP="00E164FC">
            <w:pPr>
              <w:spacing w:line="240" w:lineRule="auto"/>
              <w:rPr>
                <w:rFonts w:eastAsia="Times New Roman"/>
                <w:color w:val="000000"/>
                <w:sz w:val="20"/>
                <w:szCs w:val="20"/>
                <w:lang w:eastAsia="en-AU"/>
              </w:rPr>
            </w:pPr>
            <w:r w:rsidRPr="00C47B94">
              <w:rPr>
                <w:rFonts w:eastAsia="Times New Roman"/>
                <w:color w:val="000000"/>
                <w:sz w:val="20"/>
                <w:szCs w:val="20"/>
                <w:lang w:eastAsia="en-AU"/>
              </w:rPr>
              <w:t>Studying at University</w:t>
            </w:r>
          </w:p>
        </w:tc>
        <w:tc>
          <w:tcPr>
            <w:tcW w:w="1011" w:type="dxa"/>
            <w:tcBorders>
              <w:top w:val="nil"/>
              <w:left w:val="nil"/>
              <w:bottom w:val="single" w:sz="4" w:space="0" w:color="000000"/>
              <w:right w:val="single" w:sz="4" w:space="0" w:color="000000"/>
            </w:tcBorders>
            <w:shd w:val="clear" w:color="auto" w:fill="auto"/>
            <w:noWrap/>
            <w:vAlign w:val="bottom"/>
            <w:hideMark/>
          </w:tcPr>
          <w:p w:rsidR="00E116CE" w:rsidRPr="00C47B94" w:rsidRDefault="00E116CE" w:rsidP="0092548B">
            <w:pPr>
              <w:jc w:val="right"/>
              <w:rPr>
                <w:color w:val="000000"/>
                <w:sz w:val="20"/>
                <w:szCs w:val="20"/>
              </w:rPr>
            </w:pPr>
            <w:r w:rsidRPr="00C47B94">
              <w:rPr>
                <w:color w:val="000000"/>
                <w:sz w:val="20"/>
                <w:szCs w:val="20"/>
              </w:rPr>
              <w:t>69.1%</w:t>
            </w:r>
          </w:p>
        </w:tc>
        <w:tc>
          <w:tcPr>
            <w:tcW w:w="1011" w:type="dxa"/>
            <w:tcBorders>
              <w:top w:val="nil"/>
              <w:left w:val="nil"/>
              <w:bottom w:val="single" w:sz="4" w:space="0" w:color="000000"/>
              <w:right w:val="single" w:sz="4" w:space="0" w:color="000000"/>
            </w:tcBorders>
            <w:shd w:val="clear" w:color="auto" w:fill="auto"/>
            <w:noWrap/>
            <w:vAlign w:val="bottom"/>
          </w:tcPr>
          <w:p w:rsidR="00E116CE" w:rsidRPr="00C47B94" w:rsidRDefault="00E116CE" w:rsidP="0092548B">
            <w:pPr>
              <w:jc w:val="right"/>
              <w:rPr>
                <w:color w:val="000000"/>
                <w:sz w:val="20"/>
                <w:szCs w:val="20"/>
              </w:rPr>
            </w:pPr>
            <w:r w:rsidRPr="00C47B94">
              <w:rPr>
                <w:color w:val="000000"/>
                <w:sz w:val="20"/>
                <w:szCs w:val="20"/>
              </w:rPr>
              <w:t>65.6%</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66.5%</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61.5%</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40.4%</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34.3%</w:t>
            </w:r>
          </w:p>
        </w:tc>
      </w:tr>
      <w:tr w:rsidR="0090335C" w:rsidRPr="00C47B94" w:rsidTr="0090335C">
        <w:trPr>
          <w:trHeight w:val="289"/>
        </w:trPr>
        <w:tc>
          <w:tcPr>
            <w:tcW w:w="3585" w:type="dxa"/>
            <w:tcBorders>
              <w:top w:val="nil"/>
              <w:left w:val="single" w:sz="4" w:space="0" w:color="000000"/>
              <w:bottom w:val="single" w:sz="4" w:space="0" w:color="000000"/>
              <w:right w:val="single" w:sz="4" w:space="0" w:color="000000"/>
            </w:tcBorders>
            <w:shd w:val="clear" w:color="auto" w:fill="auto"/>
            <w:noWrap/>
            <w:vAlign w:val="bottom"/>
            <w:hideMark/>
          </w:tcPr>
          <w:p w:rsidR="00E116CE" w:rsidRPr="00C47B94" w:rsidRDefault="00E116CE" w:rsidP="00E164FC">
            <w:pPr>
              <w:spacing w:line="240" w:lineRule="auto"/>
              <w:rPr>
                <w:rFonts w:eastAsia="Times New Roman"/>
                <w:color w:val="000000"/>
                <w:sz w:val="20"/>
                <w:szCs w:val="20"/>
                <w:lang w:eastAsia="en-AU"/>
              </w:rPr>
            </w:pPr>
            <w:r w:rsidRPr="00C47B94">
              <w:rPr>
                <w:rFonts w:eastAsia="Times New Roman"/>
                <w:color w:val="000000"/>
                <w:sz w:val="20"/>
                <w:szCs w:val="20"/>
                <w:lang w:eastAsia="en-AU"/>
              </w:rPr>
              <w:t>Studying a</w:t>
            </w:r>
            <w:r w:rsidR="00F72129">
              <w:rPr>
                <w:rFonts w:eastAsia="Times New Roman"/>
                <w:color w:val="000000"/>
                <w:sz w:val="20"/>
                <w:szCs w:val="20"/>
                <w:lang w:eastAsia="en-AU"/>
              </w:rPr>
              <w:t>t State Training Provider</w:t>
            </w:r>
          </w:p>
        </w:tc>
        <w:tc>
          <w:tcPr>
            <w:tcW w:w="1011" w:type="dxa"/>
            <w:tcBorders>
              <w:top w:val="nil"/>
              <w:left w:val="nil"/>
              <w:bottom w:val="single" w:sz="4" w:space="0" w:color="000000"/>
              <w:right w:val="single" w:sz="4" w:space="0" w:color="000000"/>
            </w:tcBorders>
            <w:shd w:val="clear" w:color="auto" w:fill="auto"/>
            <w:noWrap/>
            <w:vAlign w:val="bottom"/>
            <w:hideMark/>
          </w:tcPr>
          <w:p w:rsidR="00E116CE" w:rsidRPr="00C47B94" w:rsidRDefault="00E116CE" w:rsidP="0092548B">
            <w:pPr>
              <w:jc w:val="right"/>
              <w:rPr>
                <w:color w:val="000000"/>
                <w:sz w:val="20"/>
                <w:szCs w:val="20"/>
              </w:rPr>
            </w:pPr>
            <w:r w:rsidRPr="00C47B94">
              <w:rPr>
                <w:color w:val="000000"/>
                <w:sz w:val="20"/>
                <w:szCs w:val="20"/>
              </w:rPr>
              <w:t>7.5%</w:t>
            </w:r>
          </w:p>
        </w:tc>
        <w:tc>
          <w:tcPr>
            <w:tcW w:w="1011" w:type="dxa"/>
            <w:tcBorders>
              <w:top w:val="nil"/>
              <w:left w:val="nil"/>
              <w:bottom w:val="single" w:sz="4" w:space="0" w:color="000000"/>
              <w:right w:val="single" w:sz="4" w:space="0" w:color="000000"/>
            </w:tcBorders>
            <w:shd w:val="clear" w:color="auto" w:fill="auto"/>
            <w:noWrap/>
            <w:vAlign w:val="bottom"/>
          </w:tcPr>
          <w:p w:rsidR="00E116CE" w:rsidRPr="00C47B94" w:rsidRDefault="00E116CE" w:rsidP="0092548B">
            <w:pPr>
              <w:jc w:val="right"/>
              <w:rPr>
                <w:color w:val="000000"/>
                <w:sz w:val="20"/>
                <w:szCs w:val="20"/>
              </w:rPr>
            </w:pPr>
            <w:r w:rsidRPr="00C47B94">
              <w:rPr>
                <w:color w:val="000000"/>
                <w:sz w:val="20"/>
                <w:szCs w:val="20"/>
              </w:rPr>
              <w:t>9.1%</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11.4%</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13.0%</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19.7%</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19.7%</w:t>
            </w:r>
          </w:p>
        </w:tc>
      </w:tr>
      <w:tr w:rsidR="0090335C" w:rsidRPr="00C47B94" w:rsidTr="0090335C">
        <w:trPr>
          <w:trHeight w:val="289"/>
        </w:trPr>
        <w:tc>
          <w:tcPr>
            <w:tcW w:w="3585" w:type="dxa"/>
            <w:tcBorders>
              <w:top w:val="nil"/>
              <w:left w:val="single" w:sz="4" w:space="0" w:color="000000"/>
              <w:bottom w:val="single" w:sz="4" w:space="0" w:color="000000"/>
              <w:right w:val="single" w:sz="4" w:space="0" w:color="000000"/>
            </w:tcBorders>
            <w:shd w:val="clear" w:color="auto" w:fill="auto"/>
            <w:noWrap/>
            <w:vAlign w:val="bottom"/>
            <w:hideMark/>
          </w:tcPr>
          <w:p w:rsidR="00E116CE" w:rsidRPr="00C47B94" w:rsidRDefault="00E116CE" w:rsidP="00E164FC">
            <w:pPr>
              <w:spacing w:line="240" w:lineRule="auto"/>
              <w:rPr>
                <w:rFonts w:eastAsia="Times New Roman"/>
                <w:color w:val="000000"/>
                <w:sz w:val="20"/>
                <w:szCs w:val="20"/>
                <w:lang w:eastAsia="en-AU"/>
              </w:rPr>
            </w:pPr>
            <w:r w:rsidRPr="00C47B94">
              <w:rPr>
                <w:rFonts w:eastAsia="Times New Roman"/>
                <w:color w:val="000000"/>
                <w:sz w:val="20"/>
                <w:szCs w:val="20"/>
                <w:lang w:eastAsia="en-AU"/>
              </w:rPr>
              <w:t>Traineeship/Apprenticeship</w:t>
            </w:r>
          </w:p>
        </w:tc>
        <w:tc>
          <w:tcPr>
            <w:tcW w:w="1011" w:type="dxa"/>
            <w:tcBorders>
              <w:top w:val="nil"/>
              <w:left w:val="nil"/>
              <w:bottom w:val="single" w:sz="4" w:space="0" w:color="000000"/>
              <w:right w:val="single" w:sz="4" w:space="0" w:color="000000"/>
            </w:tcBorders>
            <w:shd w:val="clear" w:color="auto" w:fill="auto"/>
            <w:noWrap/>
            <w:vAlign w:val="bottom"/>
            <w:hideMark/>
          </w:tcPr>
          <w:p w:rsidR="00E116CE" w:rsidRPr="00C47B94" w:rsidRDefault="00E116CE" w:rsidP="0092548B">
            <w:pPr>
              <w:jc w:val="right"/>
              <w:rPr>
                <w:color w:val="000000"/>
                <w:sz w:val="20"/>
                <w:szCs w:val="20"/>
              </w:rPr>
            </w:pPr>
            <w:r w:rsidRPr="00C47B94">
              <w:rPr>
                <w:color w:val="000000"/>
                <w:sz w:val="20"/>
                <w:szCs w:val="20"/>
              </w:rPr>
              <w:t>0.8%</w:t>
            </w:r>
          </w:p>
        </w:tc>
        <w:tc>
          <w:tcPr>
            <w:tcW w:w="1011" w:type="dxa"/>
            <w:tcBorders>
              <w:top w:val="nil"/>
              <w:left w:val="nil"/>
              <w:bottom w:val="single" w:sz="4" w:space="0" w:color="000000"/>
              <w:right w:val="single" w:sz="4" w:space="0" w:color="000000"/>
            </w:tcBorders>
            <w:shd w:val="clear" w:color="auto" w:fill="auto"/>
            <w:noWrap/>
            <w:vAlign w:val="bottom"/>
          </w:tcPr>
          <w:p w:rsidR="00E116CE" w:rsidRPr="00C47B94" w:rsidRDefault="00E116CE" w:rsidP="0092548B">
            <w:pPr>
              <w:jc w:val="right"/>
              <w:rPr>
                <w:color w:val="000000"/>
                <w:sz w:val="20"/>
                <w:szCs w:val="20"/>
              </w:rPr>
            </w:pPr>
            <w:r w:rsidRPr="00C47B94">
              <w:rPr>
                <w:color w:val="000000"/>
                <w:sz w:val="20"/>
                <w:szCs w:val="20"/>
              </w:rPr>
              <w:t>3.0%</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1.3%</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2.9%</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3.2%</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6.1%</w:t>
            </w:r>
          </w:p>
        </w:tc>
      </w:tr>
      <w:tr w:rsidR="0090335C" w:rsidRPr="00C47B94" w:rsidTr="0090335C">
        <w:trPr>
          <w:trHeight w:val="289"/>
        </w:trPr>
        <w:tc>
          <w:tcPr>
            <w:tcW w:w="3585" w:type="dxa"/>
            <w:tcBorders>
              <w:top w:val="nil"/>
              <w:left w:val="single" w:sz="4" w:space="0" w:color="000000"/>
              <w:bottom w:val="single" w:sz="4" w:space="0" w:color="000000"/>
              <w:right w:val="single" w:sz="4" w:space="0" w:color="000000"/>
            </w:tcBorders>
            <w:shd w:val="clear" w:color="auto" w:fill="auto"/>
            <w:noWrap/>
            <w:vAlign w:val="bottom"/>
            <w:hideMark/>
          </w:tcPr>
          <w:p w:rsidR="00E116CE" w:rsidRPr="00C47B94" w:rsidRDefault="00E116CE" w:rsidP="00E164FC">
            <w:pPr>
              <w:spacing w:line="240" w:lineRule="auto"/>
              <w:rPr>
                <w:rFonts w:eastAsia="Times New Roman"/>
                <w:color w:val="000000"/>
                <w:sz w:val="20"/>
                <w:szCs w:val="20"/>
                <w:lang w:eastAsia="en-AU"/>
              </w:rPr>
            </w:pPr>
            <w:r w:rsidRPr="00C47B94">
              <w:rPr>
                <w:rFonts w:eastAsia="Times New Roman"/>
                <w:color w:val="000000"/>
                <w:sz w:val="20"/>
                <w:szCs w:val="20"/>
                <w:lang w:eastAsia="en-AU"/>
              </w:rPr>
              <w:t>Other Study/Training</w:t>
            </w:r>
          </w:p>
        </w:tc>
        <w:tc>
          <w:tcPr>
            <w:tcW w:w="1011" w:type="dxa"/>
            <w:tcBorders>
              <w:top w:val="nil"/>
              <w:left w:val="nil"/>
              <w:bottom w:val="single" w:sz="4" w:space="0" w:color="000000"/>
              <w:right w:val="single" w:sz="4" w:space="0" w:color="000000"/>
            </w:tcBorders>
            <w:shd w:val="clear" w:color="auto" w:fill="auto"/>
            <w:noWrap/>
            <w:vAlign w:val="bottom"/>
            <w:hideMark/>
          </w:tcPr>
          <w:p w:rsidR="00E116CE" w:rsidRPr="00C47B94" w:rsidRDefault="00E116CE" w:rsidP="0092548B">
            <w:pPr>
              <w:jc w:val="right"/>
              <w:rPr>
                <w:color w:val="000000"/>
                <w:sz w:val="20"/>
                <w:szCs w:val="20"/>
              </w:rPr>
            </w:pPr>
            <w:r w:rsidRPr="00C47B94">
              <w:rPr>
                <w:color w:val="000000"/>
                <w:sz w:val="20"/>
                <w:szCs w:val="20"/>
              </w:rPr>
              <w:t>1.0%</w:t>
            </w:r>
          </w:p>
        </w:tc>
        <w:tc>
          <w:tcPr>
            <w:tcW w:w="1011" w:type="dxa"/>
            <w:tcBorders>
              <w:top w:val="nil"/>
              <w:left w:val="nil"/>
              <w:bottom w:val="single" w:sz="4" w:space="0" w:color="000000"/>
              <w:right w:val="single" w:sz="4" w:space="0" w:color="000000"/>
            </w:tcBorders>
            <w:shd w:val="clear" w:color="auto" w:fill="auto"/>
            <w:noWrap/>
            <w:vAlign w:val="bottom"/>
          </w:tcPr>
          <w:p w:rsidR="00E116CE" w:rsidRPr="00C47B94" w:rsidRDefault="00E116CE" w:rsidP="0092548B">
            <w:pPr>
              <w:jc w:val="right"/>
              <w:rPr>
                <w:color w:val="000000"/>
                <w:sz w:val="20"/>
                <w:szCs w:val="20"/>
              </w:rPr>
            </w:pPr>
            <w:r w:rsidRPr="00C47B94">
              <w:rPr>
                <w:color w:val="000000"/>
                <w:sz w:val="20"/>
                <w:szCs w:val="20"/>
              </w:rPr>
              <w:t>0.5%</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0.6%</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0.6%</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2.0%</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1.7%</w:t>
            </w:r>
          </w:p>
        </w:tc>
      </w:tr>
      <w:tr w:rsidR="0090335C" w:rsidRPr="00C47B94" w:rsidTr="0090335C">
        <w:trPr>
          <w:trHeight w:val="289"/>
        </w:trPr>
        <w:tc>
          <w:tcPr>
            <w:tcW w:w="3585"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tcPr>
          <w:p w:rsidR="00CE6654" w:rsidRPr="00C47B94" w:rsidRDefault="00B94BAB" w:rsidP="00E164FC">
            <w:pPr>
              <w:spacing w:line="240" w:lineRule="auto"/>
              <w:rPr>
                <w:rFonts w:eastAsia="Times New Roman"/>
                <w:i/>
                <w:color w:val="000000"/>
                <w:sz w:val="20"/>
                <w:szCs w:val="20"/>
                <w:lang w:eastAsia="en-AU"/>
              </w:rPr>
            </w:pPr>
            <w:r w:rsidRPr="00C47B94">
              <w:rPr>
                <w:rFonts w:eastAsia="Times New Roman"/>
                <w:i/>
                <w:color w:val="000000"/>
                <w:sz w:val="20"/>
                <w:szCs w:val="20"/>
                <w:lang w:eastAsia="en-AU"/>
              </w:rPr>
              <w:t>Total studying</w:t>
            </w:r>
          </w:p>
        </w:tc>
        <w:tc>
          <w:tcPr>
            <w:tcW w:w="1011" w:type="dxa"/>
            <w:tcBorders>
              <w:top w:val="single" w:sz="4" w:space="0" w:color="000000"/>
              <w:left w:val="nil"/>
              <w:bottom w:val="single" w:sz="4" w:space="0" w:color="000000"/>
              <w:right w:val="single" w:sz="4" w:space="0" w:color="000000"/>
            </w:tcBorders>
            <w:shd w:val="clear" w:color="auto" w:fill="DDDDDD" w:themeFill="accent1"/>
            <w:noWrap/>
            <w:vAlign w:val="bottom"/>
          </w:tcPr>
          <w:p w:rsidR="00CE6654" w:rsidRPr="00C47B94" w:rsidRDefault="00E87833" w:rsidP="0092548B">
            <w:pPr>
              <w:jc w:val="right"/>
              <w:rPr>
                <w:i/>
                <w:color w:val="000000"/>
                <w:sz w:val="20"/>
                <w:szCs w:val="20"/>
              </w:rPr>
            </w:pPr>
            <w:r w:rsidRPr="00C47B94">
              <w:rPr>
                <w:i/>
                <w:color w:val="000000"/>
                <w:sz w:val="20"/>
                <w:szCs w:val="20"/>
              </w:rPr>
              <w:t>78.5</w:t>
            </w:r>
            <w:r w:rsidR="00A77F65" w:rsidRPr="00C47B94">
              <w:rPr>
                <w:i/>
                <w:color w:val="000000"/>
                <w:sz w:val="20"/>
                <w:szCs w:val="20"/>
              </w:rPr>
              <w:t>%</w:t>
            </w:r>
          </w:p>
        </w:tc>
        <w:tc>
          <w:tcPr>
            <w:tcW w:w="1011" w:type="dxa"/>
            <w:tcBorders>
              <w:top w:val="single" w:sz="4" w:space="0" w:color="000000"/>
              <w:left w:val="nil"/>
              <w:bottom w:val="single" w:sz="4" w:space="0" w:color="000000"/>
              <w:right w:val="single" w:sz="4" w:space="0" w:color="000000"/>
            </w:tcBorders>
            <w:shd w:val="clear" w:color="auto" w:fill="DDDDDD" w:themeFill="accent1"/>
            <w:noWrap/>
            <w:vAlign w:val="bottom"/>
          </w:tcPr>
          <w:p w:rsidR="00CE6654" w:rsidRPr="00C47B94" w:rsidRDefault="00E87833" w:rsidP="0092548B">
            <w:pPr>
              <w:jc w:val="right"/>
              <w:rPr>
                <w:i/>
                <w:color w:val="000000"/>
                <w:sz w:val="20"/>
                <w:szCs w:val="20"/>
              </w:rPr>
            </w:pPr>
            <w:r w:rsidRPr="00C47B94">
              <w:rPr>
                <w:i/>
                <w:color w:val="000000"/>
                <w:sz w:val="20"/>
                <w:szCs w:val="20"/>
              </w:rPr>
              <w:t>78.3%</w:t>
            </w:r>
          </w:p>
        </w:tc>
        <w:tc>
          <w:tcPr>
            <w:tcW w:w="1011" w:type="dxa"/>
            <w:tcBorders>
              <w:top w:val="single" w:sz="4" w:space="0" w:color="000000"/>
              <w:left w:val="nil"/>
              <w:bottom w:val="single" w:sz="4" w:space="0" w:color="000000"/>
              <w:right w:val="single" w:sz="4" w:space="0" w:color="000000"/>
            </w:tcBorders>
            <w:shd w:val="clear" w:color="auto" w:fill="DDDDDD" w:themeFill="accent1"/>
            <w:vAlign w:val="bottom"/>
          </w:tcPr>
          <w:p w:rsidR="00CE6654" w:rsidRPr="00C47B94" w:rsidRDefault="00E87833" w:rsidP="0092548B">
            <w:pPr>
              <w:jc w:val="right"/>
              <w:rPr>
                <w:i/>
                <w:color w:val="000000"/>
                <w:sz w:val="20"/>
                <w:szCs w:val="20"/>
              </w:rPr>
            </w:pPr>
            <w:r w:rsidRPr="00C47B94">
              <w:rPr>
                <w:i/>
                <w:color w:val="000000"/>
                <w:sz w:val="20"/>
                <w:szCs w:val="20"/>
              </w:rPr>
              <w:t>80.0%</w:t>
            </w:r>
          </w:p>
        </w:tc>
        <w:tc>
          <w:tcPr>
            <w:tcW w:w="1011" w:type="dxa"/>
            <w:tcBorders>
              <w:top w:val="single" w:sz="4" w:space="0" w:color="000000"/>
              <w:left w:val="nil"/>
              <w:bottom w:val="single" w:sz="4" w:space="0" w:color="000000"/>
              <w:right w:val="single" w:sz="4" w:space="0" w:color="000000"/>
            </w:tcBorders>
            <w:shd w:val="clear" w:color="auto" w:fill="DDDDDD" w:themeFill="accent1"/>
            <w:vAlign w:val="bottom"/>
          </w:tcPr>
          <w:p w:rsidR="00CE6654" w:rsidRPr="00C47B94" w:rsidRDefault="0017108C" w:rsidP="0092548B">
            <w:pPr>
              <w:jc w:val="right"/>
              <w:rPr>
                <w:i/>
                <w:color w:val="000000"/>
                <w:sz w:val="20"/>
                <w:szCs w:val="20"/>
              </w:rPr>
            </w:pPr>
            <w:r w:rsidRPr="00C47B94">
              <w:rPr>
                <w:i/>
                <w:color w:val="000000"/>
                <w:sz w:val="20"/>
                <w:szCs w:val="20"/>
              </w:rPr>
              <w:t>78.0%</w:t>
            </w:r>
          </w:p>
        </w:tc>
        <w:tc>
          <w:tcPr>
            <w:tcW w:w="1035" w:type="dxa"/>
            <w:tcBorders>
              <w:top w:val="single" w:sz="4" w:space="0" w:color="000000"/>
              <w:left w:val="nil"/>
              <w:bottom w:val="single" w:sz="4" w:space="0" w:color="000000"/>
              <w:right w:val="single" w:sz="4" w:space="0" w:color="000000"/>
            </w:tcBorders>
            <w:shd w:val="clear" w:color="auto" w:fill="DDDDDD" w:themeFill="accent1"/>
            <w:vAlign w:val="bottom"/>
          </w:tcPr>
          <w:p w:rsidR="00CE6654" w:rsidRPr="00C47B94" w:rsidRDefault="0017108C" w:rsidP="0092548B">
            <w:pPr>
              <w:jc w:val="right"/>
              <w:rPr>
                <w:i/>
                <w:color w:val="000000"/>
                <w:sz w:val="20"/>
                <w:szCs w:val="20"/>
              </w:rPr>
            </w:pPr>
            <w:r w:rsidRPr="00C47B94">
              <w:rPr>
                <w:i/>
                <w:color w:val="000000"/>
                <w:sz w:val="20"/>
                <w:szCs w:val="20"/>
              </w:rPr>
              <w:t>66.0%</w:t>
            </w:r>
            <w:r w:rsidR="005A53DA" w:rsidRPr="00C47B94">
              <w:rPr>
                <w:i/>
                <w:color w:val="000000"/>
                <w:sz w:val="20"/>
                <w:szCs w:val="20"/>
              </w:rPr>
              <w:t>*</w:t>
            </w:r>
          </w:p>
        </w:tc>
        <w:tc>
          <w:tcPr>
            <w:tcW w:w="1035" w:type="dxa"/>
            <w:tcBorders>
              <w:top w:val="single" w:sz="4" w:space="0" w:color="000000"/>
              <w:left w:val="nil"/>
              <w:bottom w:val="single" w:sz="4" w:space="0" w:color="000000"/>
              <w:right w:val="single" w:sz="4" w:space="0" w:color="000000"/>
            </w:tcBorders>
            <w:shd w:val="clear" w:color="auto" w:fill="DDDDDD" w:themeFill="accent1"/>
            <w:vAlign w:val="bottom"/>
          </w:tcPr>
          <w:p w:rsidR="00CE6654" w:rsidRPr="00C47B94" w:rsidRDefault="0017108C" w:rsidP="0092548B">
            <w:pPr>
              <w:jc w:val="right"/>
              <w:rPr>
                <w:i/>
                <w:color w:val="000000"/>
                <w:sz w:val="20"/>
                <w:szCs w:val="20"/>
              </w:rPr>
            </w:pPr>
            <w:r w:rsidRPr="00C47B94">
              <w:rPr>
                <w:i/>
                <w:color w:val="000000"/>
                <w:sz w:val="20"/>
                <w:szCs w:val="20"/>
              </w:rPr>
              <w:t>62.3%</w:t>
            </w:r>
          </w:p>
        </w:tc>
      </w:tr>
      <w:tr w:rsidR="0090335C" w:rsidRPr="00C47B94" w:rsidTr="0090335C">
        <w:trPr>
          <w:trHeight w:val="289"/>
        </w:trPr>
        <w:tc>
          <w:tcPr>
            <w:tcW w:w="3585" w:type="dxa"/>
            <w:tcBorders>
              <w:top w:val="nil"/>
              <w:left w:val="single" w:sz="4" w:space="0" w:color="000000"/>
              <w:bottom w:val="single" w:sz="4" w:space="0" w:color="000000"/>
              <w:right w:val="single" w:sz="4" w:space="0" w:color="000000"/>
            </w:tcBorders>
            <w:shd w:val="clear" w:color="auto" w:fill="auto"/>
            <w:noWrap/>
            <w:vAlign w:val="bottom"/>
            <w:hideMark/>
          </w:tcPr>
          <w:p w:rsidR="00E87833" w:rsidRPr="00C47B94" w:rsidRDefault="00E87833" w:rsidP="0092548B">
            <w:pPr>
              <w:spacing w:line="240" w:lineRule="auto"/>
              <w:rPr>
                <w:rFonts w:eastAsia="Times New Roman"/>
                <w:color w:val="000000"/>
                <w:sz w:val="20"/>
                <w:szCs w:val="20"/>
                <w:lang w:eastAsia="en-AU"/>
              </w:rPr>
            </w:pPr>
            <w:r w:rsidRPr="00C47B94">
              <w:rPr>
                <w:rFonts w:eastAsia="Times New Roman"/>
                <w:color w:val="000000"/>
                <w:sz w:val="20"/>
                <w:szCs w:val="20"/>
                <w:lang w:eastAsia="en-AU"/>
              </w:rPr>
              <w:t>Full-Time Employment</w:t>
            </w:r>
          </w:p>
        </w:tc>
        <w:tc>
          <w:tcPr>
            <w:tcW w:w="1011" w:type="dxa"/>
            <w:tcBorders>
              <w:top w:val="nil"/>
              <w:left w:val="nil"/>
              <w:bottom w:val="single" w:sz="4" w:space="0" w:color="000000"/>
              <w:right w:val="single" w:sz="4" w:space="0" w:color="000000"/>
            </w:tcBorders>
            <w:shd w:val="clear" w:color="auto" w:fill="auto"/>
            <w:noWrap/>
            <w:vAlign w:val="bottom"/>
            <w:hideMark/>
          </w:tcPr>
          <w:p w:rsidR="00E87833" w:rsidRPr="00C47B94" w:rsidRDefault="00E87833" w:rsidP="0092548B">
            <w:pPr>
              <w:jc w:val="right"/>
              <w:rPr>
                <w:color w:val="000000"/>
                <w:sz w:val="20"/>
                <w:szCs w:val="20"/>
              </w:rPr>
            </w:pPr>
            <w:r w:rsidRPr="00C47B94">
              <w:rPr>
                <w:color w:val="000000"/>
                <w:sz w:val="20"/>
                <w:szCs w:val="20"/>
              </w:rPr>
              <w:t>2.2%</w:t>
            </w:r>
          </w:p>
        </w:tc>
        <w:tc>
          <w:tcPr>
            <w:tcW w:w="1011" w:type="dxa"/>
            <w:tcBorders>
              <w:top w:val="nil"/>
              <w:left w:val="nil"/>
              <w:bottom w:val="single" w:sz="4" w:space="0" w:color="000000"/>
              <w:right w:val="single" w:sz="4" w:space="0" w:color="000000"/>
            </w:tcBorders>
            <w:shd w:val="clear" w:color="auto" w:fill="auto"/>
            <w:noWrap/>
            <w:vAlign w:val="bottom"/>
          </w:tcPr>
          <w:p w:rsidR="00E87833" w:rsidRPr="00C47B94" w:rsidRDefault="00E87833" w:rsidP="0092548B">
            <w:pPr>
              <w:jc w:val="right"/>
              <w:rPr>
                <w:color w:val="000000"/>
                <w:sz w:val="20"/>
                <w:szCs w:val="20"/>
              </w:rPr>
            </w:pPr>
            <w:r w:rsidRPr="00C47B94">
              <w:rPr>
                <w:color w:val="000000"/>
                <w:sz w:val="20"/>
                <w:szCs w:val="20"/>
              </w:rPr>
              <w:t>4.6%</w:t>
            </w:r>
          </w:p>
        </w:tc>
        <w:tc>
          <w:tcPr>
            <w:tcW w:w="1011" w:type="dxa"/>
            <w:tcBorders>
              <w:top w:val="nil"/>
              <w:left w:val="nil"/>
              <w:bottom w:val="single" w:sz="4" w:space="0" w:color="000000"/>
              <w:right w:val="single" w:sz="4" w:space="0" w:color="000000"/>
            </w:tcBorders>
            <w:vAlign w:val="bottom"/>
          </w:tcPr>
          <w:p w:rsidR="00E87833" w:rsidRPr="00C47B94" w:rsidRDefault="00E87833" w:rsidP="0092548B">
            <w:pPr>
              <w:jc w:val="right"/>
              <w:rPr>
                <w:color w:val="000000"/>
                <w:sz w:val="20"/>
                <w:szCs w:val="20"/>
              </w:rPr>
            </w:pPr>
            <w:r w:rsidRPr="00C47B94">
              <w:rPr>
                <w:color w:val="000000"/>
                <w:sz w:val="20"/>
                <w:szCs w:val="20"/>
              </w:rPr>
              <w:t>3.8%</w:t>
            </w:r>
          </w:p>
        </w:tc>
        <w:tc>
          <w:tcPr>
            <w:tcW w:w="1011" w:type="dxa"/>
            <w:tcBorders>
              <w:top w:val="nil"/>
              <w:left w:val="nil"/>
              <w:bottom w:val="single" w:sz="4" w:space="0" w:color="000000"/>
              <w:right w:val="single" w:sz="4" w:space="0" w:color="000000"/>
            </w:tcBorders>
            <w:vAlign w:val="bottom"/>
          </w:tcPr>
          <w:p w:rsidR="00E87833" w:rsidRPr="00C47B94" w:rsidRDefault="00E87833" w:rsidP="0092548B">
            <w:pPr>
              <w:jc w:val="right"/>
              <w:rPr>
                <w:color w:val="000000"/>
                <w:sz w:val="20"/>
                <w:szCs w:val="20"/>
              </w:rPr>
            </w:pPr>
            <w:r w:rsidRPr="00C47B94">
              <w:rPr>
                <w:color w:val="000000"/>
                <w:sz w:val="20"/>
                <w:szCs w:val="20"/>
              </w:rPr>
              <w:t>5.5%</w:t>
            </w:r>
          </w:p>
        </w:tc>
        <w:tc>
          <w:tcPr>
            <w:tcW w:w="1035" w:type="dxa"/>
            <w:tcBorders>
              <w:top w:val="nil"/>
              <w:left w:val="nil"/>
              <w:bottom w:val="single" w:sz="4" w:space="0" w:color="000000"/>
              <w:right w:val="single" w:sz="4" w:space="0" w:color="000000"/>
            </w:tcBorders>
            <w:vAlign w:val="bottom"/>
          </w:tcPr>
          <w:p w:rsidR="00E87833" w:rsidRPr="00C47B94" w:rsidRDefault="00E87833" w:rsidP="0092548B">
            <w:pPr>
              <w:jc w:val="right"/>
              <w:rPr>
                <w:color w:val="000000"/>
                <w:sz w:val="20"/>
                <w:szCs w:val="20"/>
              </w:rPr>
            </w:pPr>
            <w:r w:rsidRPr="00C47B94">
              <w:rPr>
                <w:color w:val="000000"/>
                <w:sz w:val="20"/>
                <w:szCs w:val="20"/>
              </w:rPr>
              <w:t>7.0%</w:t>
            </w:r>
          </w:p>
        </w:tc>
        <w:tc>
          <w:tcPr>
            <w:tcW w:w="1035" w:type="dxa"/>
            <w:tcBorders>
              <w:top w:val="nil"/>
              <w:left w:val="nil"/>
              <w:bottom w:val="single" w:sz="4" w:space="0" w:color="000000"/>
              <w:right w:val="single" w:sz="4" w:space="0" w:color="000000"/>
            </w:tcBorders>
            <w:vAlign w:val="bottom"/>
          </w:tcPr>
          <w:p w:rsidR="00E87833" w:rsidRPr="00C47B94" w:rsidRDefault="00E87833" w:rsidP="0092548B">
            <w:pPr>
              <w:jc w:val="right"/>
              <w:rPr>
                <w:color w:val="000000"/>
                <w:sz w:val="20"/>
                <w:szCs w:val="20"/>
              </w:rPr>
            </w:pPr>
            <w:r w:rsidRPr="00C47B94">
              <w:rPr>
                <w:color w:val="000000"/>
                <w:sz w:val="20"/>
                <w:szCs w:val="20"/>
              </w:rPr>
              <w:t>10.5%</w:t>
            </w:r>
          </w:p>
        </w:tc>
      </w:tr>
      <w:tr w:rsidR="0090335C" w:rsidRPr="00C47B94" w:rsidTr="0090335C">
        <w:trPr>
          <w:trHeight w:val="289"/>
        </w:trPr>
        <w:tc>
          <w:tcPr>
            <w:tcW w:w="3585" w:type="dxa"/>
            <w:tcBorders>
              <w:top w:val="nil"/>
              <w:left w:val="single" w:sz="4" w:space="0" w:color="000000"/>
              <w:bottom w:val="single" w:sz="4" w:space="0" w:color="000000"/>
              <w:right w:val="single" w:sz="4" w:space="0" w:color="000000"/>
            </w:tcBorders>
            <w:shd w:val="clear" w:color="auto" w:fill="auto"/>
            <w:noWrap/>
            <w:vAlign w:val="bottom"/>
            <w:hideMark/>
          </w:tcPr>
          <w:p w:rsidR="00E116CE" w:rsidRPr="00C47B94" w:rsidRDefault="00E116CE" w:rsidP="00E164FC">
            <w:pPr>
              <w:spacing w:line="240" w:lineRule="auto"/>
              <w:rPr>
                <w:rFonts w:eastAsia="Times New Roman"/>
                <w:color w:val="000000"/>
                <w:sz w:val="20"/>
                <w:szCs w:val="20"/>
                <w:lang w:eastAsia="en-AU"/>
              </w:rPr>
            </w:pPr>
            <w:r w:rsidRPr="00C47B94">
              <w:rPr>
                <w:rFonts w:eastAsia="Times New Roman"/>
                <w:color w:val="000000"/>
                <w:sz w:val="20"/>
                <w:szCs w:val="20"/>
                <w:lang w:eastAsia="en-AU"/>
              </w:rPr>
              <w:t>Part-Time Employment</w:t>
            </w:r>
          </w:p>
        </w:tc>
        <w:tc>
          <w:tcPr>
            <w:tcW w:w="1011" w:type="dxa"/>
            <w:tcBorders>
              <w:top w:val="nil"/>
              <w:left w:val="nil"/>
              <w:bottom w:val="single" w:sz="4" w:space="0" w:color="000000"/>
              <w:right w:val="single" w:sz="4" w:space="0" w:color="000000"/>
            </w:tcBorders>
            <w:shd w:val="clear" w:color="auto" w:fill="auto"/>
            <w:noWrap/>
            <w:vAlign w:val="bottom"/>
            <w:hideMark/>
          </w:tcPr>
          <w:p w:rsidR="00E116CE" w:rsidRPr="00C47B94" w:rsidRDefault="00E116CE" w:rsidP="0092548B">
            <w:pPr>
              <w:jc w:val="right"/>
              <w:rPr>
                <w:color w:val="000000"/>
                <w:sz w:val="20"/>
                <w:szCs w:val="20"/>
              </w:rPr>
            </w:pPr>
            <w:r w:rsidRPr="00C47B94">
              <w:rPr>
                <w:color w:val="000000"/>
                <w:sz w:val="20"/>
                <w:szCs w:val="20"/>
              </w:rPr>
              <w:t>2.9%</w:t>
            </w:r>
          </w:p>
        </w:tc>
        <w:tc>
          <w:tcPr>
            <w:tcW w:w="1011" w:type="dxa"/>
            <w:tcBorders>
              <w:top w:val="nil"/>
              <w:left w:val="nil"/>
              <w:bottom w:val="single" w:sz="4" w:space="0" w:color="000000"/>
              <w:right w:val="single" w:sz="4" w:space="0" w:color="000000"/>
            </w:tcBorders>
            <w:shd w:val="clear" w:color="auto" w:fill="auto"/>
            <w:noWrap/>
            <w:vAlign w:val="bottom"/>
          </w:tcPr>
          <w:p w:rsidR="00E116CE" w:rsidRPr="00C47B94" w:rsidRDefault="00E116CE" w:rsidP="0092548B">
            <w:pPr>
              <w:jc w:val="right"/>
              <w:rPr>
                <w:color w:val="000000"/>
                <w:sz w:val="20"/>
                <w:szCs w:val="20"/>
              </w:rPr>
            </w:pPr>
            <w:r w:rsidRPr="00C47B94">
              <w:rPr>
                <w:color w:val="000000"/>
                <w:sz w:val="20"/>
                <w:szCs w:val="20"/>
              </w:rPr>
              <w:t>3.6%</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3.8%</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4.2%</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9.8%</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10.3%</w:t>
            </w:r>
          </w:p>
        </w:tc>
      </w:tr>
      <w:tr w:rsidR="0090335C" w:rsidRPr="00C47B94" w:rsidTr="0090335C">
        <w:trPr>
          <w:trHeight w:val="289"/>
        </w:trPr>
        <w:tc>
          <w:tcPr>
            <w:tcW w:w="3585" w:type="dxa"/>
            <w:tcBorders>
              <w:top w:val="nil"/>
              <w:left w:val="single" w:sz="4" w:space="0" w:color="000000"/>
              <w:bottom w:val="single" w:sz="4" w:space="0" w:color="000000"/>
              <w:right w:val="single" w:sz="4" w:space="0" w:color="000000"/>
            </w:tcBorders>
            <w:shd w:val="clear" w:color="auto" w:fill="auto"/>
            <w:noWrap/>
            <w:vAlign w:val="bottom"/>
            <w:hideMark/>
          </w:tcPr>
          <w:p w:rsidR="00E116CE" w:rsidRPr="00C47B94" w:rsidRDefault="00E116CE" w:rsidP="00E164FC">
            <w:pPr>
              <w:spacing w:line="240" w:lineRule="auto"/>
              <w:rPr>
                <w:rFonts w:eastAsia="Times New Roman"/>
                <w:color w:val="000000"/>
                <w:sz w:val="20"/>
                <w:szCs w:val="20"/>
                <w:lang w:eastAsia="en-AU"/>
              </w:rPr>
            </w:pPr>
            <w:r w:rsidRPr="00C47B94">
              <w:rPr>
                <w:rFonts w:eastAsia="Times New Roman"/>
                <w:color w:val="000000"/>
                <w:sz w:val="20"/>
                <w:szCs w:val="20"/>
                <w:lang w:eastAsia="en-AU"/>
              </w:rPr>
              <w:t>Employment Assistance</w:t>
            </w:r>
          </w:p>
        </w:tc>
        <w:tc>
          <w:tcPr>
            <w:tcW w:w="1011" w:type="dxa"/>
            <w:tcBorders>
              <w:top w:val="nil"/>
              <w:left w:val="nil"/>
              <w:bottom w:val="single" w:sz="4" w:space="0" w:color="000000"/>
              <w:right w:val="single" w:sz="4" w:space="0" w:color="000000"/>
            </w:tcBorders>
            <w:shd w:val="clear" w:color="auto" w:fill="auto"/>
            <w:noWrap/>
            <w:vAlign w:val="bottom"/>
            <w:hideMark/>
          </w:tcPr>
          <w:p w:rsidR="00E116CE" w:rsidRPr="00C47B94" w:rsidRDefault="00E116CE" w:rsidP="0092548B">
            <w:pPr>
              <w:jc w:val="right"/>
              <w:rPr>
                <w:color w:val="000000"/>
                <w:sz w:val="20"/>
                <w:szCs w:val="20"/>
              </w:rPr>
            </w:pPr>
            <w:r w:rsidRPr="00C47B94">
              <w:rPr>
                <w:color w:val="000000"/>
                <w:sz w:val="20"/>
                <w:szCs w:val="20"/>
              </w:rPr>
              <w:t>1.7%</w:t>
            </w:r>
          </w:p>
        </w:tc>
        <w:tc>
          <w:tcPr>
            <w:tcW w:w="1011" w:type="dxa"/>
            <w:tcBorders>
              <w:top w:val="nil"/>
              <w:left w:val="nil"/>
              <w:bottom w:val="single" w:sz="4" w:space="0" w:color="000000"/>
              <w:right w:val="single" w:sz="4" w:space="0" w:color="000000"/>
            </w:tcBorders>
            <w:shd w:val="clear" w:color="auto" w:fill="auto"/>
            <w:noWrap/>
            <w:vAlign w:val="bottom"/>
          </w:tcPr>
          <w:p w:rsidR="00E116CE" w:rsidRPr="00C47B94" w:rsidRDefault="00E116CE" w:rsidP="0092548B">
            <w:pPr>
              <w:jc w:val="right"/>
              <w:rPr>
                <w:color w:val="000000"/>
                <w:sz w:val="20"/>
                <w:szCs w:val="20"/>
              </w:rPr>
            </w:pPr>
            <w:r w:rsidRPr="00C47B94">
              <w:rPr>
                <w:color w:val="000000"/>
                <w:sz w:val="20"/>
                <w:szCs w:val="20"/>
              </w:rPr>
              <w:t>1.7%</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0.8%</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2.0%</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5.2%</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color w:val="000000"/>
                <w:sz w:val="20"/>
                <w:szCs w:val="20"/>
              </w:rPr>
            </w:pPr>
            <w:r w:rsidRPr="00C47B94">
              <w:rPr>
                <w:color w:val="000000"/>
                <w:sz w:val="20"/>
                <w:szCs w:val="20"/>
              </w:rPr>
              <w:t>7.7%</w:t>
            </w:r>
          </w:p>
        </w:tc>
      </w:tr>
      <w:tr w:rsidR="0090335C" w:rsidRPr="00C47B94" w:rsidTr="0090335C">
        <w:trPr>
          <w:trHeight w:val="289"/>
        </w:trPr>
        <w:tc>
          <w:tcPr>
            <w:tcW w:w="3585"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tcPr>
          <w:p w:rsidR="00CE6654" w:rsidRPr="00C47B94" w:rsidRDefault="00B94BAB" w:rsidP="00E164FC">
            <w:pPr>
              <w:spacing w:line="240" w:lineRule="auto"/>
              <w:rPr>
                <w:rFonts w:eastAsia="Times New Roman"/>
                <w:i/>
                <w:color w:val="000000"/>
                <w:sz w:val="20"/>
                <w:szCs w:val="20"/>
                <w:lang w:eastAsia="en-AU"/>
              </w:rPr>
            </w:pPr>
            <w:r w:rsidRPr="00C47B94">
              <w:rPr>
                <w:rFonts w:eastAsia="Times New Roman"/>
                <w:i/>
                <w:color w:val="000000"/>
                <w:sz w:val="20"/>
                <w:szCs w:val="20"/>
                <w:lang w:eastAsia="en-AU"/>
              </w:rPr>
              <w:t>Total employed or seeking employment</w:t>
            </w:r>
          </w:p>
        </w:tc>
        <w:tc>
          <w:tcPr>
            <w:tcW w:w="1011" w:type="dxa"/>
            <w:tcBorders>
              <w:top w:val="single" w:sz="4" w:space="0" w:color="000000"/>
              <w:left w:val="nil"/>
              <w:bottom w:val="single" w:sz="4" w:space="0" w:color="000000"/>
              <w:right w:val="single" w:sz="4" w:space="0" w:color="000000"/>
            </w:tcBorders>
            <w:shd w:val="clear" w:color="auto" w:fill="DDDDDD" w:themeFill="accent1"/>
            <w:noWrap/>
            <w:vAlign w:val="bottom"/>
          </w:tcPr>
          <w:p w:rsidR="00CE6654" w:rsidRPr="00C47B94" w:rsidRDefault="00E87833" w:rsidP="0092548B">
            <w:pPr>
              <w:jc w:val="right"/>
              <w:rPr>
                <w:i/>
                <w:color w:val="000000"/>
                <w:sz w:val="20"/>
                <w:szCs w:val="20"/>
              </w:rPr>
            </w:pPr>
            <w:r w:rsidRPr="00C47B94">
              <w:rPr>
                <w:i/>
                <w:color w:val="000000"/>
                <w:sz w:val="20"/>
                <w:szCs w:val="20"/>
              </w:rPr>
              <w:t>6.8%</w:t>
            </w:r>
          </w:p>
        </w:tc>
        <w:tc>
          <w:tcPr>
            <w:tcW w:w="1011" w:type="dxa"/>
            <w:tcBorders>
              <w:top w:val="single" w:sz="4" w:space="0" w:color="000000"/>
              <w:left w:val="nil"/>
              <w:bottom w:val="single" w:sz="4" w:space="0" w:color="000000"/>
              <w:right w:val="single" w:sz="4" w:space="0" w:color="000000"/>
            </w:tcBorders>
            <w:shd w:val="clear" w:color="auto" w:fill="DDDDDD" w:themeFill="accent1"/>
            <w:noWrap/>
            <w:vAlign w:val="bottom"/>
          </w:tcPr>
          <w:p w:rsidR="00CE6654" w:rsidRPr="00C47B94" w:rsidRDefault="00E87833" w:rsidP="0092548B">
            <w:pPr>
              <w:jc w:val="right"/>
              <w:rPr>
                <w:i/>
                <w:color w:val="000000"/>
                <w:sz w:val="20"/>
                <w:szCs w:val="20"/>
              </w:rPr>
            </w:pPr>
            <w:r w:rsidRPr="00C47B94">
              <w:rPr>
                <w:i/>
                <w:color w:val="000000"/>
                <w:sz w:val="20"/>
                <w:szCs w:val="20"/>
              </w:rPr>
              <w:t>9.9%</w:t>
            </w:r>
          </w:p>
        </w:tc>
        <w:tc>
          <w:tcPr>
            <w:tcW w:w="1011" w:type="dxa"/>
            <w:tcBorders>
              <w:top w:val="single" w:sz="4" w:space="0" w:color="000000"/>
              <w:left w:val="nil"/>
              <w:bottom w:val="single" w:sz="4" w:space="0" w:color="000000"/>
              <w:right w:val="single" w:sz="4" w:space="0" w:color="000000"/>
            </w:tcBorders>
            <w:shd w:val="clear" w:color="auto" w:fill="DDDDDD" w:themeFill="accent1"/>
            <w:vAlign w:val="bottom"/>
          </w:tcPr>
          <w:p w:rsidR="00CE6654" w:rsidRPr="00C47B94" w:rsidRDefault="00E87833" w:rsidP="0092548B">
            <w:pPr>
              <w:jc w:val="right"/>
              <w:rPr>
                <w:i/>
                <w:color w:val="000000"/>
                <w:sz w:val="20"/>
                <w:szCs w:val="20"/>
              </w:rPr>
            </w:pPr>
            <w:r w:rsidRPr="00C47B94">
              <w:rPr>
                <w:i/>
                <w:color w:val="000000"/>
                <w:sz w:val="20"/>
                <w:szCs w:val="20"/>
              </w:rPr>
              <w:t>8.4%</w:t>
            </w:r>
          </w:p>
        </w:tc>
        <w:tc>
          <w:tcPr>
            <w:tcW w:w="1011" w:type="dxa"/>
            <w:tcBorders>
              <w:top w:val="single" w:sz="4" w:space="0" w:color="000000"/>
              <w:left w:val="nil"/>
              <w:bottom w:val="single" w:sz="4" w:space="0" w:color="000000"/>
              <w:right w:val="single" w:sz="4" w:space="0" w:color="000000"/>
            </w:tcBorders>
            <w:shd w:val="clear" w:color="auto" w:fill="DDDDDD" w:themeFill="accent1"/>
            <w:vAlign w:val="bottom"/>
          </w:tcPr>
          <w:p w:rsidR="00CE6654" w:rsidRPr="00C47B94" w:rsidRDefault="0017108C" w:rsidP="0092548B">
            <w:pPr>
              <w:jc w:val="right"/>
              <w:rPr>
                <w:i/>
                <w:color w:val="000000"/>
                <w:sz w:val="20"/>
                <w:szCs w:val="20"/>
              </w:rPr>
            </w:pPr>
            <w:r w:rsidRPr="00C47B94">
              <w:rPr>
                <w:i/>
                <w:color w:val="000000"/>
                <w:sz w:val="20"/>
                <w:szCs w:val="20"/>
              </w:rPr>
              <w:t>11.7%</w:t>
            </w:r>
          </w:p>
        </w:tc>
        <w:tc>
          <w:tcPr>
            <w:tcW w:w="1035" w:type="dxa"/>
            <w:tcBorders>
              <w:top w:val="single" w:sz="4" w:space="0" w:color="000000"/>
              <w:left w:val="nil"/>
              <w:bottom w:val="single" w:sz="4" w:space="0" w:color="000000"/>
              <w:right w:val="single" w:sz="4" w:space="0" w:color="000000"/>
            </w:tcBorders>
            <w:shd w:val="clear" w:color="auto" w:fill="DDDDDD" w:themeFill="accent1"/>
            <w:vAlign w:val="bottom"/>
          </w:tcPr>
          <w:p w:rsidR="00CE6654" w:rsidRPr="00C47B94" w:rsidRDefault="0017108C" w:rsidP="0092548B">
            <w:pPr>
              <w:jc w:val="right"/>
              <w:rPr>
                <w:i/>
                <w:color w:val="000000"/>
                <w:sz w:val="20"/>
                <w:szCs w:val="20"/>
              </w:rPr>
            </w:pPr>
            <w:r w:rsidRPr="00C47B94">
              <w:rPr>
                <w:i/>
                <w:color w:val="000000"/>
                <w:sz w:val="20"/>
                <w:szCs w:val="20"/>
              </w:rPr>
              <w:t>22.0%</w:t>
            </w:r>
          </w:p>
        </w:tc>
        <w:tc>
          <w:tcPr>
            <w:tcW w:w="1035" w:type="dxa"/>
            <w:tcBorders>
              <w:top w:val="single" w:sz="4" w:space="0" w:color="000000"/>
              <w:left w:val="nil"/>
              <w:bottom w:val="single" w:sz="4" w:space="0" w:color="000000"/>
              <w:right w:val="single" w:sz="4" w:space="0" w:color="000000"/>
            </w:tcBorders>
            <w:shd w:val="clear" w:color="auto" w:fill="DDDDDD" w:themeFill="accent1"/>
            <w:vAlign w:val="bottom"/>
          </w:tcPr>
          <w:p w:rsidR="0017108C" w:rsidRPr="00C47B94" w:rsidRDefault="0017108C" w:rsidP="0017108C">
            <w:pPr>
              <w:jc w:val="right"/>
              <w:rPr>
                <w:i/>
                <w:color w:val="000000"/>
                <w:sz w:val="20"/>
                <w:szCs w:val="20"/>
              </w:rPr>
            </w:pPr>
            <w:r w:rsidRPr="00C47B94">
              <w:rPr>
                <w:i/>
                <w:color w:val="000000"/>
                <w:sz w:val="20"/>
                <w:szCs w:val="20"/>
              </w:rPr>
              <w:t>28.6%</w:t>
            </w:r>
            <w:r w:rsidR="005A53DA" w:rsidRPr="00C47B94">
              <w:rPr>
                <w:i/>
                <w:color w:val="000000"/>
                <w:sz w:val="20"/>
                <w:szCs w:val="20"/>
              </w:rPr>
              <w:t>*</w:t>
            </w:r>
          </w:p>
        </w:tc>
      </w:tr>
      <w:tr w:rsidR="0090335C" w:rsidRPr="00C47B94" w:rsidTr="0090335C">
        <w:trPr>
          <w:trHeight w:val="289"/>
        </w:trPr>
        <w:tc>
          <w:tcPr>
            <w:tcW w:w="3585"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hideMark/>
          </w:tcPr>
          <w:p w:rsidR="00E116CE" w:rsidRPr="00C47B94" w:rsidRDefault="00E116CE" w:rsidP="00E164FC">
            <w:pPr>
              <w:spacing w:line="240" w:lineRule="auto"/>
              <w:rPr>
                <w:rFonts w:eastAsia="Times New Roman"/>
                <w:i/>
                <w:color w:val="000000"/>
                <w:sz w:val="20"/>
                <w:szCs w:val="20"/>
                <w:lang w:eastAsia="en-AU"/>
              </w:rPr>
            </w:pPr>
            <w:r w:rsidRPr="00C47B94">
              <w:rPr>
                <w:rFonts w:eastAsia="Times New Roman"/>
                <w:i/>
                <w:color w:val="000000"/>
                <w:sz w:val="20"/>
                <w:szCs w:val="20"/>
                <w:lang w:eastAsia="en-AU"/>
              </w:rPr>
              <w:t>Deferred Study or Training</w:t>
            </w:r>
          </w:p>
        </w:tc>
        <w:tc>
          <w:tcPr>
            <w:tcW w:w="1011" w:type="dxa"/>
            <w:tcBorders>
              <w:top w:val="single" w:sz="4" w:space="0" w:color="000000"/>
              <w:left w:val="nil"/>
              <w:bottom w:val="single" w:sz="4" w:space="0" w:color="000000"/>
              <w:right w:val="single" w:sz="4" w:space="0" w:color="000000"/>
            </w:tcBorders>
            <w:shd w:val="clear" w:color="auto" w:fill="DDDDDD" w:themeFill="accent1"/>
            <w:noWrap/>
            <w:vAlign w:val="bottom"/>
            <w:hideMark/>
          </w:tcPr>
          <w:p w:rsidR="00E116CE" w:rsidRPr="00C47B94" w:rsidRDefault="00E116CE" w:rsidP="0092548B">
            <w:pPr>
              <w:jc w:val="right"/>
              <w:rPr>
                <w:i/>
                <w:color w:val="000000"/>
                <w:sz w:val="20"/>
                <w:szCs w:val="20"/>
              </w:rPr>
            </w:pPr>
            <w:r w:rsidRPr="00C47B94">
              <w:rPr>
                <w:i/>
                <w:color w:val="000000"/>
                <w:sz w:val="20"/>
                <w:szCs w:val="20"/>
              </w:rPr>
              <w:t>14.2%</w:t>
            </w:r>
          </w:p>
        </w:tc>
        <w:tc>
          <w:tcPr>
            <w:tcW w:w="1011" w:type="dxa"/>
            <w:tcBorders>
              <w:top w:val="single" w:sz="4" w:space="0" w:color="000000"/>
              <w:left w:val="nil"/>
              <w:bottom w:val="single" w:sz="4" w:space="0" w:color="000000"/>
              <w:right w:val="single" w:sz="4" w:space="0" w:color="000000"/>
            </w:tcBorders>
            <w:shd w:val="clear" w:color="auto" w:fill="DDDDDD" w:themeFill="accent1"/>
            <w:noWrap/>
            <w:vAlign w:val="bottom"/>
          </w:tcPr>
          <w:p w:rsidR="00E116CE" w:rsidRPr="00C47B94" w:rsidRDefault="00E116CE" w:rsidP="0092548B">
            <w:pPr>
              <w:jc w:val="right"/>
              <w:rPr>
                <w:i/>
                <w:color w:val="000000"/>
                <w:sz w:val="20"/>
                <w:szCs w:val="20"/>
              </w:rPr>
            </w:pPr>
            <w:r w:rsidRPr="00C47B94">
              <w:rPr>
                <w:i/>
                <w:color w:val="000000"/>
                <w:sz w:val="20"/>
                <w:szCs w:val="20"/>
              </w:rPr>
              <w:t>11.1%</w:t>
            </w:r>
          </w:p>
        </w:tc>
        <w:tc>
          <w:tcPr>
            <w:tcW w:w="1011" w:type="dxa"/>
            <w:tcBorders>
              <w:top w:val="single" w:sz="4" w:space="0" w:color="000000"/>
              <w:left w:val="nil"/>
              <w:bottom w:val="single" w:sz="4" w:space="0" w:color="000000"/>
              <w:right w:val="single" w:sz="4" w:space="0" w:color="000000"/>
            </w:tcBorders>
            <w:shd w:val="clear" w:color="auto" w:fill="DDDDDD" w:themeFill="accent1"/>
            <w:vAlign w:val="bottom"/>
          </w:tcPr>
          <w:p w:rsidR="00E116CE" w:rsidRPr="00C47B94" w:rsidRDefault="00E116CE" w:rsidP="0092548B">
            <w:pPr>
              <w:jc w:val="right"/>
              <w:rPr>
                <w:i/>
                <w:color w:val="000000"/>
                <w:sz w:val="20"/>
                <w:szCs w:val="20"/>
              </w:rPr>
            </w:pPr>
            <w:r w:rsidRPr="00C47B94">
              <w:rPr>
                <w:i/>
                <w:color w:val="000000"/>
                <w:sz w:val="20"/>
                <w:szCs w:val="20"/>
              </w:rPr>
              <w:t>11.4%</w:t>
            </w:r>
          </w:p>
        </w:tc>
        <w:tc>
          <w:tcPr>
            <w:tcW w:w="1011" w:type="dxa"/>
            <w:tcBorders>
              <w:top w:val="single" w:sz="4" w:space="0" w:color="000000"/>
              <w:left w:val="nil"/>
              <w:bottom w:val="single" w:sz="4" w:space="0" w:color="000000"/>
              <w:right w:val="single" w:sz="4" w:space="0" w:color="000000"/>
            </w:tcBorders>
            <w:shd w:val="clear" w:color="auto" w:fill="DDDDDD" w:themeFill="accent1"/>
            <w:vAlign w:val="bottom"/>
          </w:tcPr>
          <w:p w:rsidR="00E116CE" w:rsidRPr="00C47B94" w:rsidRDefault="00E116CE" w:rsidP="0092548B">
            <w:pPr>
              <w:jc w:val="right"/>
              <w:rPr>
                <w:i/>
                <w:color w:val="000000"/>
                <w:sz w:val="20"/>
                <w:szCs w:val="20"/>
              </w:rPr>
            </w:pPr>
            <w:r w:rsidRPr="00C47B94">
              <w:rPr>
                <w:i/>
                <w:color w:val="000000"/>
                <w:sz w:val="20"/>
                <w:szCs w:val="20"/>
              </w:rPr>
              <w:t>10.1%</w:t>
            </w:r>
          </w:p>
        </w:tc>
        <w:tc>
          <w:tcPr>
            <w:tcW w:w="1035" w:type="dxa"/>
            <w:tcBorders>
              <w:top w:val="single" w:sz="4" w:space="0" w:color="000000"/>
              <w:left w:val="nil"/>
              <w:bottom w:val="single" w:sz="4" w:space="0" w:color="000000"/>
              <w:right w:val="single" w:sz="4" w:space="0" w:color="000000"/>
            </w:tcBorders>
            <w:shd w:val="clear" w:color="auto" w:fill="DDDDDD" w:themeFill="accent1"/>
            <w:vAlign w:val="bottom"/>
          </w:tcPr>
          <w:p w:rsidR="00E116CE" w:rsidRPr="00C47B94" w:rsidRDefault="00E116CE" w:rsidP="0092548B">
            <w:pPr>
              <w:jc w:val="right"/>
              <w:rPr>
                <w:i/>
                <w:color w:val="000000"/>
                <w:sz w:val="20"/>
                <w:szCs w:val="20"/>
              </w:rPr>
            </w:pPr>
            <w:r w:rsidRPr="00C47B94">
              <w:rPr>
                <w:i/>
                <w:color w:val="000000"/>
                <w:sz w:val="20"/>
                <w:szCs w:val="20"/>
              </w:rPr>
              <w:t>10.1%</w:t>
            </w:r>
          </w:p>
        </w:tc>
        <w:tc>
          <w:tcPr>
            <w:tcW w:w="1035" w:type="dxa"/>
            <w:tcBorders>
              <w:top w:val="single" w:sz="4" w:space="0" w:color="000000"/>
              <w:left w:val="nil"/>
              <w:bottom w:val="single" w:sz="4" w:space="0" w:color="000000"/>
              <w:right w:val="single" w:sz="4" w:space="0" w:color="000000"/>
            </w:tcBorders>
            <w:shd w:val="clear" w:color="auto" w:fill="DDDDDD" w:themeFill="accent1"/>
            <w:vAlign w:val="bottom"/>
          </w:tcPr>
          <w:p w:rsidR="00E116CE" w:rsidRPr="00C47B94" w:rsidRDefault="00E116CE" w:rsidP="0092548B">
            <w:pPr>
              <w:jc w:val="right"/>
              <w:rPr>
                <w:i/>
                <w:color w:val="000000"/>
                <w:sz w:val="20"/>
                <w:szCs w:val="20"/>
              </w:rPr>
            </w:pPr>
            <w:r w:rsidRPr="00C47B94">
              <w:rPr>
                <w:i/>
                <w:color w:val="000000"/>
                <w:sz w:val="20"/>
                <w:szCs w:val="20"/>
              </w:rPr>
              <w:t>7.0%</w:t>
            </w:r>
          </w:p>
        </w:tc>
      </w:tr>
      <w:tr w:rsidR="0090335C" w:rsidRPr="00C47B94" w:rsidTr="0090335C">
        <w:trPr>
          <w:trHeight w:val="289"/>
        </w:trPr>
        <w:tc>
          <w:tcPr>
            <w:tcW w:w="3585" w:type="dxa"/>
            <w:tcBorders>
              <w:top w:val="single" w:sz="4" w:space="0" w:color="000000"/>
              <w:left w:val="single" w:sz="4" w:space="0" w:color="000000"/>
              <w:bottom w:val="single" w:sz="4" w:space="0" w:color="000000"/>
              <w:right w:val="single" w:sz="4" w:space="0" w:color="000000"/>
            </w:tcBorders>
            <w:shd w:val="clear" w:color="auto" w:fill="DDDDDD" w:themeFill="accent1"/>
            <w:noWrap/>
            <w:vAlign w:val="bottom"/>
            <w:hideMark/>
          </w:tcPr>
          <w:p w:rsidR="00E116CE" w:rsidRPr="00C47B94" w:rsidRDefault="00E116CE" w:rsidP="00E164FC">
            <w:pPr>
              <w:spacing w:line="240" w:lineRule="auto"/>
              <w:rPr>
                <w:rFonts w:eastAsia="Times New Roman"/>
                <w:i/>
                <w:color w:val="000000"/>
                <w:sz w:val="20"/>
                <w:szCs w:val="20"/>
                <w:lang w:eastAsia="en-AU"/>
              </w:rPr>
            </w:pPr>
            <w:r w:rsidRPr="00C47B94">
              <w:rPr>
                <w:rFonts w:eastAsia="Times New Roman"/>
                <w:i/>
                <w:color w:val="000000"/>
                <w:sz w:val="20"/>
                <w:szCs w:val="20"/>
                <w:lang w:eastAsia="en-AU"/>
              </w:rPr>
              <w:t>Other</w:t>
            </w:r>
          </w:p>
        </w:tc>
        <w:tc>
          <w:tcPr>
            <w:tcW w:w="1011" w:type="dxa"/>
            <w:tcBorders>
              <w:top w:val="single" w:sz="4" w:space="0" w:color="000000"/>
              <w:left w:val="nil"/>
              <w:bottom w:val="single" w:sz="4" w:space="0" w:color="000000"/>
              <w:right w:val="single" w:sz="4" w:space="0" w:color="000000"/>
            </w:tcBorders>
            <w:shd w:val="clear" w:color="auto" w:fill="DDDDDD" w:themeFill="accent1"/>
            <w:noWrap/>
            <w:vAlign w:val="bottom"/>
            <w:hideMark/>
          </w:tcPr>
          <w:p w:rsidR="00E116CE" w:rsidRPr="00C47B94" w:rsidRDefault="00E116CE" w:rsidP="0092548B">
            <w:pPr>
              <w:jc w:val="right"/>
              <w:rPr>
                <w:i/>
                <w:color w:val="000000"/>
                <w:sz w:val="20"/>
                <w:szCs w:val="20"/>
              </w:rPr>
            </w:pPr>
            <w:r w:rsidRPr="00C47B94">
              <w:rPr>
                <w:i/>
                <w:color w:val="000000"/>
                <w:sz w:val="20"/>
                <w:szCs w:val="20"/>
              </w:rPr>
              <w:t>0.5%</w:t>
            </w:r>
          </w:p>
        </w:tc>
        <w:tc>
          <w:tcPr>
            <w:tcW w:w="1011" w:type="dxa"/>
            <w:tcBorders>
              <w:top w:val="single" w:sz="4" w:space="0" w:color="000000"/>
              <w:left w:val="nil"/>
              <w:bottom w:val="single" w:sz="4" w:space="0" w:color="000000"/>
              <w:right w:val="single" w:sz="4" w:space="0" w:color="000000"/>
            </w:tcBorders>
            <w:shd w:val="clear" w:color="auto" w:fill="DDDDDD" w:themeFill="accent1"/>
            <w:noWrap/>
            <w:vAlign w:val="bottom"/>
          </w:tcPr>
          <w:p w:rsidR="00E116CE" w:rsidRPr="00C47B94" w:rsidRDefault="00E116CE" w:rsidP="0092548B">
            <w:pPr>
              <w:jc w:val="right"/>
              <w:rPr>
                <w:i/>
                <w:color w:val="000000"/>
                <w:sz w:val="20"/>
                <w:szCs w:val="20"/>
              </w:rPr>
            </w:pPr>
            <w:r w:rsidRPr="00C47B94">
              <w:rPr>
                <w:i/>
                <w:color w:val="000000"/>
                <w:sz w:val="20"/>
                <w:szCs w:val="20"/>
              </w:rPr>
              <w:t>0.8%</w:t>
            </w:r>
          </w:p>
        </w:tc>
        <w:tc>
          <w:tcPr>
            <w:tcW w:w="1011" w:type="dxa"/>
            <w:tcBorders>
              <w:top w:val="single" w:sz="4" w:space="0" w:color="000000"/>
              <w:left w:val="nil"/>
              <w:bottom w:val="single" w:sz="4" w:space="0" w:color="000000"/>
              <w:right w:val="single" w:sz="4" w:space="0" w:color="000000"/>
            </w:tcBorders>
            <w:shd w:val="clear" w:color="auto" w:fill="DDDDDD" w:themeFill="accent1"/>
            <w:vAlign w:val="bottom"/>
          </w:tcPr>
          <w:p w:rsidR="00E116CE" w:rsidRPr="00C47B94" w:rsidRDefault="00E116CE" w:rsidP="0092548B">
            <w:pPr>
              <w:jc w:val="right"/>
              <w:rPr>
                <w:i/>
                <w:color w:val="000000"/>
                <w:sz w:val="20"/>
                <w:szCs w:val="20"/>
              </w:rPr>
            </w:pPr>
            <w:r w:rsidRPr="00C47B94">
              <w:rPr>
                <w:i/>
                <w:color w:val="000000"/>
                <w:sz w:val="20"/>
                <w:szCs w:val="20"/>
              </w:rPr>
              <w:t>0.2%</w:t>
            </w:r>
          </w:p>
        </w:tc>
        <w:tc>
          <w:tcPr>
            <w:tcW w:w="1011" w:type="dxa"/>
            <w:tcBorders>
              <w:top w:val="single" w:sz="4" w:space="0" w:color="000000"/>
              <w:left w:val="nil"/>
              <w:bottom w:val="single" w:sz="4" w:space="0" w:color="000000"/>
              <w:right w:val="single" w:sz="4" w:space="0" w:color="000000"/>
            </w:tcBorders>
            <w:shd w:val="clear" w:color="auto" w:fill="DDDDDD" w:themeFill="accent1"/>
            <w:vAlign w:val="bottom"/>
          </w:tcPr>
          <w:p w:rsidR="00E116CE" w:rsidRPr="00C47B94" w:rsidRDefault="00E116CE" w:rsidP="0092548B">
            <w:pPr>
              <w:jc w:val="right"/>
              <w:rPr>
                <w:i/>
                <w:color w:val="000000"/>
                <w:sz w:val="20"/>
                <w:szCs w:val="20"/>
              </w:rPr>
            </w:pPr>
            <w:r w:rsidRPr="00C47B94">
              <w:rPr>
                <w:i/>
                <w:color w:val="000000"/>
                <w:sz w:val="20"/>
                <w:szCs w:val="20"/>
              </w:rPr>
              <w:t>0.3%</w:t>
            </w:r>
          </w:p>
        </w:tc>
        <w:tc>
          <w:tcPr>
            <w:tcW w:w="1035" w:type="dxa"/>
            <w:tcBorders>
              <w:top w:val="single" w:sz="4" w:space="0" w:color="000000"/>
              <w:left w:val="nil"/>
              <w:bottom w:val="single" w:sz="4" w:space="0" w:color="000000"/>
              <w:right w:val="single" w:sz="4" w:space="0" w:color="000000"/>
            </w:tcBorders>
            <w:shd w:val="clear" w:color="auto" w:fill="DDDDDD" w:themeFill="accent1"/>
            <w:vAlign w:val="bottom"/>
          </w:tcPr>
          <w:p w:rsidR="00E116CE" w:rsidRPr="00C47B94" w:rsidRDefault="00E116CE" w:rsidP="0092548B">
            <w:pPr>
              <w:jc w:val="right"/>
              <w:rPr>
                <w:i/>
                <w:color w:val="000000"/>
                <w:sz w:val="20"/>
                <w:szCs w:val="20"/>
              </w:rPr>
            </w:pPr>
            <w:r w:rsidRPr="00C47B94">
              <w:rPr>
                <w:i/>
                <w:color w:val="000000"/>
                <w:sz w:val="20"/>
                <w:szCs w:val="20"/>
              </w:rPr>
              <w:t>1.9%</w:t>
            </w:r>
          </w:p>
        </w:tc>
        <w:tc>
          <w:tcPr>
            <w:tcW w:w="1035" w:type="dxa"/>
            <w:tcBorders>
              <w:top w:val="single" w:sz="4" w:space="0" w:color="000000"/>
              <w:left w:val="nil"/>
              <w:bottom w:val="single" w:sz="4" w:space="0" w:color="000000"/>
              <w:right w:val="single" w:sz="4" w:space="0" w:color="000000"/>
            </w:tcBorders>
            <w:shd w:val="clear" w:color="auto" w:fill="DDDDDD" w:themeFill="accent1"/>
            <w:vAlign w:val="bottom"/>
          </w:tcPr>
          <w:p w:rsidR="00E116CE" w:rsidRPr="00C47B94" w:rsidRDefault="00E116CE" w:rsidP="0092548B">
            <w:pPr>
              <w:jc w:val="right"/>
              <w:rPr>
                <w:i/>
                <w:color w:val="000000"/>
                <w:sz w:val="20"/>
                <w:szCs w:val="20"/>
              </w:rPr>
            </w:pPr>
            <w:r w:rsidRPr="00C47B94">
              <w:rPr>
                <w:i/>
                <w:color w:val="000000"/>
                <w:sz w:val="20"/>
                <w:szCs w:val="20"/>
              </w:rPr>
              <w:t>2.2%</w:t>
            </w:r>
          </w:p>
        </w:tc>
      </w:tr>
      <w:tr w:rsidR="0090335C" w:rsidRPr="00C47B94" w:rsidTr="0090335C">
        <w:trPr>
          <w:trHeight w:val="289"/>
        </w:trPr>
        <w:tc>
          <w:tcPr>
            <w:tcW w:w="3585" w:type="dxa"/>
            <w:tcBorders>
              <w:top w:val="nil"/>
              <w:left w:val="single" w:sz="4" w:space="0" w:color="000000"/>
              <w:bottom w:val="single" w:sz="4" w:space="0" w:color="000000"/>
              <w:right w:val="single" w:sz="4" w:space="0" w:color="000000"/>
            </w:tcBorders>
            <w:shd w:val="clear" w:color="auto" w:fill="auto"/>
            <w:noWrap/>
            <w:vAlign w:val="bottom"/>
            <w:hideMark/>
          </w:tcPr>
          <w:p w:rsidR="00E116CE" w:rsidRPr="00C47B94" w:rsidRDefault="00CE6654" w:rsidP="00CE6654">
            <w:pPr>
              <w:spacing w:line="240" w:lineRule="auto"/>
              <w:rPr>
                <w:rFonts w:eastAsia="Times New Roman"/>
                <w:b/>
                <w:color w:val="000000"/>
                <w:sz w:val="20"/>
                <w:szCs w:val="20"/>
                <w:lang w:eastAsia="en-AU"/>
              </w:rPr>
            </w:pPr>
            <w:r w:rsidRPr="00C47B94">
              <w:rPr>
                <w:rFonts w:eastAsia="Times New Roman"/>
                <w:b/>
                <w:color w:val="000000"/>
                <w:sz w:val="20"/>
                <w:szCs w:val="20"/>
                <w:lang w:eastAsia="en-AU"/>
              </w:rPr>
              <w:t>Total</w:t>
            </w:r>
          </w:p>
        </w:tc>
        <w:tc>
          <w:tcPr>
            <w:tcW w:w="1011" w:type="dxa"/>
            <w:tcBorders>
              <w:top w:val="nil"/>
              <w:left w:val="nil"/>
              <w:bottom w:val="single" w:sz="4" w:space="0" w:color="000000"/>
              <w:right w:val="single" w:sz="4" w:space="0" w:color="000000"/>
            </w:tcBorders>
            <w:shd w:val="clear" w:color="auto" w:fill="auto"/>
            <w:noWrap/>
            <w:vAlign w:val="bottom"/>
            <w:hideMark/>
          </w:tcPr>
          <w:p w:rsidR="00E116CE" w:rsidRPr="00C47B94" w:rsidRDefault="00E116CE" w:rsidP="0092548B">
            <w:pPr>
              <w:jc w:val="right"/>
              <w:rPr>
                <w:b/>
                <w:color w:val="000000"/>
                <w:sz w:val="20"/>
                <w:szCs w:val="20"/>
              </w:rPr>
            </w:pPr>
            <w:r w:rsidRPr="00C47B94">
              <w:rPr>
                <w:b/>
                <w:color w:val="000000"/>
                <w:sz w:val="20"/>
                <w:szCs w:val="20"/>
              </w:rPr>
              <w:t>100.0%</w:t>
            </w:r>
          </w:p>
        </w:tc>
        <w:tc>
          <w:tcPr>
            <w:tcW w:w="1011" w:type="dxa"/>
            <w:tcBorders>
              <w:top w:val="nil"/>
              <w:left w:val="nil"/>
              <w:bottom w:val="single" w:sz="4" w:space="0" w:color="000000"/>
              <w:right w:val="single" w:sz="4" w:space="0" w:color="000000"/>
            </w:tcBorders>
            <w:shd w:val="clear" w:color="auto" w:fill="auto"/>
            <w:noWrap/>
            <w:vAlign w:val="bottom"/>
          </w:tcPr>
          <w:p w:rsidR="00E116CE" w:rsidRPr="00C47B94" w:rsidRDefault="00E116CE" w:rsidP="0092548B">
            <w:pPr>
              <w:jc w:val="right"/>
              <w:rPr>
                <w:b/>
                <w:color w:val="000000"/>
                <w:sz w:val="20"/>
                <w:szCs w:val="20"/>
              </w:rPr>
            </w:pPr>
            <w:r w:rsidRPr="00C47B94">
              <w:rPr>
                <w:b/>
                <w:color w:val="000000"/>
                <w:sz w:val="20"/>
                <w:szCs w:val="20"/>
              </w:rPr>
              <w:t>100.0%</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b/>
                <w:color w:val="000000"/>
                <w:sz w:val="20"/>
                <w:szCs w:val="20"/>
              </w:rPr>
            </w:pPr>
            <w:r w:rsidRPr="00C47B94">
              <w:rPr>
                <w:b/>
                <w:color w:val="000000"/>
                <w:sz w:val="20"/>
                <w:szCs w:val="20"/>
              </w:rPr>
              <w:t>100.0%</w:t>
            </w:r>
          </w:p>
        </w:tc>
        <w:tc>
          <w:tcPr>
            <w:tcW w:w="1011" w:type="dxa"/>
            <w:tcBorders>
              <w:top w:val="nil"/>
              <w:left w:val="nil"/>
              <w:bottom w:val="single" w:sz="4" w:space="0" w:color="000000"/>
              <w:right w:val="single" w:sz="4" w:space="0" w:color="000000"/>
            </w:tcBorders>
            <w:vAlign w:val="bottom"/>
          </w:tcPr>
          <w:p w:rsidR="00E116CE" w:rsidRPr="00C47B94" w:rsidRDefault="00E116CE" w:rsidP="0092548B">
            <w:pPr>
              <w:jc w:val="right"/>
              <w:rPr>
                <w:b/>
                <w:color w:val="000000"/>
                <w:sz w:val="20"/>
                <w:szCs w:val="20"/>
              </w:rPr>
            </w:pPr>
            <w:r w:rsidRPr="00C47B94">
              <w:rPr>
                <w:b/>
                <w:color w:val="000000"/>
                <w:sz w:val="20"/>
                <w:szCs w:val="20"/>
              </w:rPr>
              <w:t>100.0%</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b/>
                <w:color w:val="000000"/>
                <w:sz w:val="20"/>
                <w:szCs w:val="20"/>
              </w:rPr>
            </w:pPr>
            <w:r w:rsidRPr="00C47B94">
              <w:rPr>
                <w:b/>
                <w:color w:val="000000"/>
                <w:sz w:val="20"/>
                <w:szCs w:val="20"/>
              </w:rPr>
              <w:t>100.0%</w:t>
            </w:r>
          </w:p>
        </w:tc>
        <w:tc>
          <w:tcPr>
            <w:tcW w:w="1035" w:type="dxa"/>
            <w:tcBorders>
              <w:top w:val="nil"/>
              <w:left w:val="nil"/>
              <w:bottom w:val="single" w:sz="4" w:space="0" w:color="000000"/>
              <w:right w:val="single" w:sz="4" w:space="0" w:color="000000"/>
            </w:tcBorders>
            <w:vAlign w:val="bottom"/>
          </w:tcPr>
          <w:p w:rsidR="00E116CE" w:rsidRPr="00C47B94" w:rsidRDefault="00E116CE" w:rsidP="0092548B">
            <w:pPr>
              <w:jc w:val="right"/>
              <w:rPr>
                <w:b/>
                <w:color w:val="000000"/>
                <w:sz w:val="20"/>
                <w:szCs w:val="20"/>
              </w:rPr>
            </w:pPr>
            <w:r w:rsidRPr="00C47B94">
              <w:rPr>
                <w:b/>
                <w:color w:val="000000"/>
                <w:sz w:val="20"/>
                <w:szCs w:val="20"/>
              </w:rPr>
              <w:t>100.0%</w:t>
            </w:r>
          </w:p>
        </w:tc>
      </w:tr>
    </w:tbl>
    <w:p w:rsidR="00E164FC" w:rsidRPr="005A53DA" w:rsidRDefault="005A53DA" w:rsidP="006F06FA">
      <w:pPr>
        <w:spacing w:line="240" w:lineRule="auto"/>
        <w:rPr>
          <w:rFonts w:eastAsia="Times New Roman"/>
          <w:b/>
          <w:bCs/>
          <w:sz w:val="16"/>
          <w:szCs w:val="16"/>
        </w:rPr>
      </w:pPr>
      <w:r w:rsidRPr="005A53DA">
        <w:rPr>
          <w:rFonts w:eastAsia="Times New Roman"/>
          <w:b/>
          <w:bCs/>
          <w:sz w:val="16"/>
          <w:szCs w:val="16"/>
        </w:rPr>
        <w:t>*Allow for rounding error.</w:t>
      </w:r>
    </w:p>
    <w:p w:rsidR="006F06FA" w:rsidRPr="006F06FA" w:rsidRDefault="006F06FA" w:rsidP="006F06FA">
      <w:pPr>
        <w:sectPr w:rsidR="006F06FA" w:rsidRPr="006F06FA" w:rsidSect="00017255">
          <w:footerReference w:type="even" r:id="rId23"/>
          <w:pgSz w:w="11906" w:h="16838" w:code="9"/>
          <w:pgMar w:top="851" w:right="537" w:bottom="851" w:left="1134" w:header="567" w:footer="709" w:gutter="170"/>
          <w:cols w:space="708"/>
          <w:docGrid w:linePitch="360"/>
        </w:sectPr>
      </w:pPr>
    </w:p>
    <w:p w:rsidR="000C7DAD" w:rsidRDefault="000C7DAD" w:rsidP="00C750E5">
      <w:pPr>
        <w:pStyle w:val="Heading3"/>
      </w:pPr>
      <w:r w:rsidRPr="00773D66">
        <w:lastRenderedPageBreak/>
        <w:t>5.2</w:t>
      </w:r>
      <w:r w:rsidRPr="00773D66">
        <w:tab/>
      </w:r>
      <w:r w:rsidRPr="00A666BA">
        <w:t>Expenditure</w:t>
      </w:r>
    </w:p>
    <w:p w:rsidR="008A6EA4" w:rsidRDefault="008A6EA4" w:rsidP="008A6EA4">
      <w:r>
        <w:t>Key:</w:t>
      </w:r>
    </w:p>
    <w:p w:rsidR="008A6EA4" w:rsidRPr="00930EF3" w:rsidRDefault="008A6EA4" w:rsidP="008A6EA4">
      <w:proofErr w:type="spellStart"/>
      <w:r w:rsidRPr="00930EF3">
        <w:t>DCS</w:t>
      </w:r>
      <w:proofErr w:type="spellEnd"/>
      <w:r w:rsidRPr="00930EF3">
        <w:t>: Department of Corrective Services</w:t>
      </w:r>
    </w:p>
    <w:p w:rsidR="008A6EA4" w:rsidRPr="00930EF3" w:rsidRDefault="008A6EA4" w:rsidP="008A6EA4">
      <w:proofErr w:type="spellStart"/>
      <w:r>
        <w:t>CEOWA</w:t>
      </w:r>
      <w:proofErr w:type="spellEnd"/>
      <w:r>
        <w:t xml:space="preserve">: </w:t>
      </w:r>
      <w:r w:rsidRPr="00930EF3">
        <w:t>Catholic Education Office of WA</w:t>
      </w:r>
    </w:p>
    <w:p w:rsidR="008A6EA4" w:rsidRPr="00930EF3" w:rsidRDefault="008A6EA4" w:rsidP="008A6EA4">
      <w:r>
        <w:t xml:space="preserve">DoE: </w:t>
      </w:r>
      <w:r w:rsidRPr="00930EF3">
        <w:t>Department of Education</w:t>
      </w:r>
    </w:p>
    <w:p w:rsidR="008A6EA4" w:rsidRDefault="008A6EA4" w:rsidP="008A6EA4">
      <w:r>
        <w:t xml:space="preserve">DTWD: Department of Training and Workforce Development </w:t>
      </w:r>
    </w:p>
    <w:p w:rsidR="008A6EA4" w:rsidRDefault="008A6EA4" w:rsidP="008A6EA4">
      <w:proofErr w:type="spellStart"/>
      <w:r>
        <w:t>A</w:t>
      </w:r>
      <w:r w:rsidRPr="00930EF3">
        <w:t>ISWA</w:t>
      </w:r>
      <w:proofErr w:type="spellEnd"/>
      <w:r w:rsidRPr="00930EF3">
        <w:t>: Association of Independent Schools WA</w:t>
      </w:r>
    </w:p>
    <w:p w:rsidR="008A6EA4" w:rsidRPr="008A6EA4" w:rsidRDefault="008A6EA4" w:rsidP="008A6EA4"/>
    <w:tbl>
      <w:tblPr>
        <w:tblW w:w="9639" w:type="dxa"/>
        <w:tblInd w:w="147" w:type="dxa"/>
        <w:tblLayout w:type="fixed"/>
        <w:tblCellMar>
          <w:left w:w="0" w:type="dxa"/>
        </w:tblCellMar>
        <w:tblLook w:val="04A0" w:firstRow="1" w:lastRow="0" w:firstColumn="1" w:lastColumn="0" w:noHBand="0" w:noVBand="1"/>
        <w:tblCaption w:val="Table of expenditure"/>
        <w:tblDescription w:val="This table demonstrates the funding allocations and 2012 expenditure by initiative and stakeholder."/>
      </w:tblPr>
      <w:tblGrid>
        <w:gridCol w:w="1985"/>
        <w:gridCol w:w="1417"/>
        <w:gridCol w:w="1134"/>
        <w:gridCol w:w="1418"/>
        <w:gridCol w:w="3685"/>
      </w:tblGrid>
      <w:tr w:rsidR="00A666BA" w:rsidRPr="00A666BA" w:rsidTr="004A1172">
        <w:trPr>
          <w:trHeight w:val="51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tcPr>
          <w:p w:rsidR="00D96D77" w:rsidRPr="00A666BA" w:rsidRDefault="00D96D77" w:rsidP="00BA00CD">
            <w:pPr>
              <w:pStyle w:val="boldheadings"/>
              <w:rPr>
                <w:lang w:eastAsia="en-AU"/>
              </w:rPr>
            </w:pPr>
            <w:bookmarkStart w:id="21" w:name="OLE_LINK3"/>
            <w:bookmarkStart w:id="22" w:name="OLE_LINK4"/>
            <w:r w:rsidRPr="00A666BA">
              <w:rPr>
                <w:lang w:eastAsia="en-AU"/>
              </w:rPr>
              <w:t>Initiative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tcPr>
          <w:p w:rsidR="00D96D77" w:rsidRPr="00A666BA" w:rsidRDefault="00D96D77" w:rsidP="00BA00CD">
            <w:pPr>
              <w:pStyle w:val="boldheadings"/>
              <w:rPr>
                <w:lang w:eastAsia="en-AU"/>
              </w:rPr>
            </w:pPr>
            <w:r w:rsidRPr="00A666BA">
              <w:rPr>
                <w:lang w:eastAsia="en-AU"/>
              </w:rPr>
              <w:t>4 Year Allocation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tcPr>
          <w:p w:rsidR="00D96D77" w:rsidRPr="00A666BA" w:rsidRDefault="00D96D77" w:rsidP="00BA00CD">
            <w:pPr>
              <w:pStyle w:val="boldheadings"/>
              <w:rPr>
                <w:lang w:eastAsia="en-AU"/>
              </w:rPr>
            </w:pPr>
            <w:r w:rsidRPr="00A666BA">
              <w:rPr>
                <w:lang w:eastAsia="en-AU"/>
              </w:rPr>
              <w:t>Allocation 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tcPr>
          <w:p w:rsidR="00D96D77" w:rsidRPr="00A666BA" w:rsidRDefault="00D96D77" w:rsidP="00BA00CD">
            <w:pPr>
              <w:pStyle w:val="boldheadings"/>
              <w:rPr>
                <w:lang w:eastAsia="en-AU"/>
              </w:rPr>
            </w:pPr>
            <w:r w:rsidRPr="00A666BA">
              <w:rPr>
                <w:lang w:eastAsia="en-AU"/>
              </w:rPr>
              <w:t>Actual Expenditure</w:t>
            </w:r>
          </w:p>
        </w:tc>
        <w:tc>
          <w:tcPr>
            <w:tcW w:w="3685" w:type="dxa"/>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tcPr>
          <w:p w:rsidR="00D96D77" w:rsidRPr="00A666BA" w:rsidRDefault="00D96D77" w:rsidP="00BA00CD">
            <w:pPr>
              <w:pStyle w:val="boldheadings"/>
              <w:rPr>
                <w:lang w:eastAsia="en-AU"/>
              </w:rPr>
            </w:pPr>
            <w:r w:rsidRPr="00A666BA">
              <w:rPr>
                <w:lang w:eastAsia="en-AU"/>
              </w:rPr>
              <w:t>Comments</w:t>
            </w:r>
          </w:p>
        </w:tc>
      </w:tr>
      <w:tr w:rsidR="00A666BA" w:rsidRPr="00A666BA" w:rsidTr="004A1172">
        <w:trPr>
          <w:trHeight w:val="22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1C7" w:rsidRPr="00A666BA" w:rsidRDefault="009F41C7" w:rsidP="00BA00CD">
            <w:pPr>
              <w:pStyle w:val="boldheadings"/>
              <w:rPr>
                <w:lang w:eastAsia="en-AU"/>
              </w:rPr>
            </w:pPr>
            <w:r w:rsidRPr="00A666BA">
              <w:rPr>
                <w:lang w:eastAsia="en-AU"/>
              </w:rPr>
              <w:t>Building Capacity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1C7" w:rsidRPr="004A1172" w:rsidRDefault="006524DE" w:rsidP="004A1172">
            <w:pPr>
              <w:jc w:val="right"/>
              <w:rPr>
                <w:b/>
                <w:lang w:eastAsia="en-AU"/>
              </w:rPr>
            </w:pPr>
            <w:r w:rsidRPr="004A1172">
              <w:rPr>
                <w:b/>
                <w:lang w:eastAsia="en-AU"/>
              </w:rPr>
              <w:t> $825,000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1C7" w:rsidRPr="00A666BA" w:rsidRDefault="009F41C7" w:rsidP="004A1172">
            <w:pPr>
              <w:jc w:val="right"/>
              <w:rPr>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1C7" w:rsidRPr="00A666BA" w:rsidRDefault="009F41C7" w:rsidP="004A1172">
            <w:pPr>
              <w:jc w:val="right"/>
              <w:rPr>
                <w:lang w:eastAsia="en-AU"/>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1C7" w:rsidRPr="00A666BA" w:rsidRDefault="009F41C7" w:rsidP="00BA00CD">
            <w:pPr>
              <w:rPr>
                <w:lang w:eastAsia="en-AU"/>
              </w:rPr>
            </w:pPr>
          </w:p>
        </w:tc>
      </w:tr>
      <w:tr w:rsidR="00A666BA" w:rsidRPr="00A666BA" w:rsidTr="004A1172">
        <w:trPr>
          <w:trHeight w:val="228"/>
        </w:trPr>
        <w:tc>
          <w:tcPr>
            <w:tcW w:w="1985" w:type="dxa"/>
            <w:tcBorders>
              <w:left w:val="single" w:sz="4" w:space="0" w:color="auto"/>
              <w:right w:val="single" w:sz="4" w:space="0" w:color="auto"/>
            </w:tcBorders>
            <w:shd w:val="clear" w:color="auto" w:fill="auto"/>
            <w:noWrap/>
            <w:vAlign w:val="bottom"/>
          </w:tcPr>
          <w:p w:rsidR="009F41C7" w:rsidRPr="00A666BA" w:rsidRDefault="009F41C7" w:rsidP="00BA00CD">
            <w:pPr>
              <w:rPr>
                <w:lang w:eastAsia="en-AU"/>
              </w:rPr>
            </w:pPr>
            <w:r w:rsidRPr="00A666BA">
              <w:rPr>
                <w:lang w:eastAsia="en-AU"/>
              </w:rPr>
              <w:t>DoE</w:t>
            </w:r>
            <w:r w:rsidR="008A6EA4">
              <w:rPr>
                <w:lang w:eastAsia="en-AU"/>
              </w:rPr>
              <w:t xml:space="preserve"> schools</w:t>
            </w:r>
          </w:p>
        </w:tc>
        <w:tc>
          <w:tcPr>
            <w:tcW w:w="1417" w:type="dxa"/>
            <w:tcBorders>
              <w:left w:val="single" w:sz="4" w:space="0" w:color="auto"/>
              <w:right w:val="single" w:sz="4" w:space="0" w:color="auto"/>
            </w:tcBorders>
            <w:shd w:val="clear" w:color="auto" w:fill="auto"/>
            <w:noWrap/>
            <w:vAlign w:val="bottom"/>
          </w:tcPr>
          <w:p w:rsidR="009F41C7" w:rsidRPr="00A666BA" w:rsidRDefault="006A337B" w:rsidP="004A1172">
            <w:pPr>
              <w:jc w:val="right"/>
              <w:rPr>
                <w:lang w:eastAsia="en-AU"/>
              </w:rPr>
            </w:pPr>
            <w:r w:rsidRPr="00A666BA">
              <w:rPr>
                <w:lang w:eastAsia="en-AU"/>
              </w:rPr>
              <w:t>$348,000</w:t>
            </w:r>
          </w:p>
        </w:tc>
        <w:tc>
          <w:tcPr>
            <w:tcW w:w="1134" w:type="dxa"/>
            <w:tcBorders>
              <w:left w:val="single" w:sz="4" w:space="0" w:color="auto"/>
              <w:right w:val="single" w:sz="4" w:space="0" w:color="auto"/>
            </w:tcBorders>
            <w:shd w:val="clear" w:color="auto" w:fill="auto"/>
            <w:noWrap/>
            <w:vAlign w:val="bottom"/>
          </w:tcPr>
          <w:p w:rsidR="009F41C7" w:rsidRPr="00A666BA" w:rsidRDefault="009F41C7" w:rsidP="004A1172">
            <w:pPr>
              <w:jc w:val="right"/>
              <w:rPr>
                <w:lang w:eastAsia="en-AU"/>
              </w:rPr>
            </w:pPr>
          </w:p>
        </w:tc>
        <w:tc>
          <w:tcPr>
            <w:tcW w:w="1418" w:type="dxa"/>
            <w:tcBorders>
              <w:left w:val="single" w:sz="4" w:space="0" w:color="auto"/>
              <w:right w:val="single" w:sz="4" w:space="0" w:color="auto"/>
            </w:tcBorders>
            <w:shd w:val="clear" w:color="auto" w:fill="auto"/>
            <w:noWrap/>
            <w:vAlign w:val="bottom"/>
          </w:tcPr>
          <w:p w:rsidR="009F41C7" w:rsidRPr="00A666BA" w:rsidRDefault="006A337B" w:rsidP="004A1172">
            <w:pPr>
              <w:jc w:val="right"/>
              <w:rPr>
                <w:lang w:eastAsia="en-AU"/>
              </w:rPr>
            </w:pPr>
            <w:r w:rsidRPr="00A666BA">
              <w:rPr>
                <w:lang w:eastAsia="en-AU"/>
              </w:rPr>
              <w:t>$0</w:t>
            </w:r>
          </w:p>
        </w:tc>
        <w:tc>
          <w:tcPr>
            <w:tcW w:w="3685" w:type="dxa"/>
            <w:tcBorders>
              <w:left w:val="single" w:sz="4" w:space="0" w:color="auto"/>
              <w:right w:val="single" w:sz="4" w:space="0" w:color="auto"/>
            </w:tcBorders>
            <w:shd w:val="clear" w:color="auto" w:fill="auto"/>
            <w:noWrap/>
            <w:vAlign w:val="bottom"/>
          </w:tcPr>
          <w:p w:rsidR="009F41C7" w:rsidRPr="00A666BA" w:rsidRDefault="005D76C9" w:rsidP="00BA00CD">
            <w:pPr>
              <w:rPr>
                <w:lang w:eastAsia="en-AU"/>
              </w:rPr>
            </w:pPr>
            <w:r w:rsidRPr="00A666BA">
              <w:rPr>
                <w:lang w:eastAsia="en-AU"/>
              </w:rPr>
              <w:t>Funds carried over to 2013</w:t>
            </w:r>
          </w:p>
        </w:tc>
      </w:tr>
      <w:tr w:rsidR="00A666BA" w:rsidRPr="00A666BA" w:rsidTr="004A1172">
        <w:trPr>
          <w:trHeight w:val="228"/>
        </w:trPr>
        <w:tc>
          <w:tcPr>
            <w:tcW w:w="1985" w:type="dxa"/>
            <w:tcBorders>
              <w:left w:val="single" w:sz="4" w:space="0" w:color="auto"/>
              <w:right w:val="single" w:sz="4" w:space="0" w:color="auto"/>
            </w:tcBorders>
            <w:shd w:val="clear" w:color="auto" w:fill="auto"/>
            <w:noWrap/>
            <w:vAlign w:val="bottom"/>
          </w:tcPr>
          <w:p w:rsidR="009F41C7" w:rsidRPr="00A666BA" w:rsidRDefault="009F41C7" w:rsidP="00BA00CD">
            <w:pPr>
              <w:rPr>
                <w:lang w:eastAsia="en-AU"/>
              </w:rPr>
            </w:pPr>
            <w:proofErr w:type="spellStart"/>
            <w:r w:rsidRPr="00A666BA">
              <w:rPr>
                <w:lang w:eastAsia="en-AU"/>
              </w:rPr>
              <w:t>CEOWA</w:t>
            </w:r>
            <w:proofErr w:type="spellEnd"/>
            <w:r w:rsidR="008A6EA4">
              <w:rPr>
                <w:lang w:eastAsia="en-AU"/>
              </w:rPr>
              <w:t xml:space="preserve"> schools</w:t>
            </w:r>
          </w:p>
        </w:tc>
        <w:tc>
          <w:tcPr>
            <w:tcW w:w="1417" w:type="dxa"/>
            <w:tcBorders>
              <w:left w:val="single" w:sz="4" w:space="0" w:color="auto"/>
              <w:right w:val="single" w:sz="4" w:space="0" w:color="auto"/>
            </w:tcBorders>
            <w:shd w:val="clear" w:color="auto" w:fill="auto"/>
            <w:noWrap/>
            <w:vAlign w:val="bottom"/>
          </w:tcPr>
          <w:p w:rsidR="009F41C7" w:rsidRPr="00A666BA" w:rsidRDefault="005D76C9" w:rsidP="004A1172">
            <w:pPr>
              <w:jc w:val="right"/>
              <w:rPr>
                <w:lang w:eastAsia="en-AU"/>
              </w:rPr>
            </w:pPr>
            <w:r w:rsidRPr="00A666BA">
              <w:rPr>
                <w:lang w:eastAsia="en-AU"/>
              </w:rPr>
              <w:t>$126,000</w:t>
            </w:r>
          </w:p>
        </w:tc>
        <w:tc>
          <w:tcPr>
            <w:tcW w:w="1134" w:type="dxa"/>
            <w:tcBorders>
              <w:left w:val="single" w:sz="4" w:space="0" w:color="auto"/>
              <w:right w:val="single" w:sz="4" w:space="0" w:color="auto"/>
            </w:tcBorders>
            <w:shd w:val="clear" w:color="auto" w:fill="auto"/>
            <w:noWrap/>
            <w:vAlign w:val="bottom"/>
          </w:tcPr>
          <w:p w:rsidR="009F41C7" w:rsidRPr="00A666BA" w:rsidRDefault="009F41C7" w:rsidP="004A1172">
            <w:pPr>
              <w:jc w:val="right"/>
              <w:rPr>
                <w:lang w:eastAsia="en-AU"/>
              </w:rPr>
            </w:pPr>
          </w:p>
        </w:tc>
        <w:tc>
          <w:tcPr>
            <w:tcW w:w="1418" w:type="dxa"/>
            <w:tcBorders>
              <w:left w:val="single" w:sz="4" w:space="0" w:color="auto"/>
              <w:right w:val="single" w:sz="4" w:space="0" w:color="auto"/>
            </w:tcBorders>
            <w:shd w:val="clear" w:color="auto" w:fill="auto"/>
            <w:noWrap/>
            <w:vAlign w:val="bottom"/>
          </w:tcPr>
          <w:p w:rsidR="009F41C7" w:rsidRPr="00A666BA" w:rsidRDefault="006524DE" w:rsidP="004A1172">
            <w:pPr>
              <w:jc w:val="right"/>
              <w:rPr>
                <w:lang w:eastAsia="en-AU"/>
              </w:rPr>
            </w:pPr>
            <w:r w:rsidRPr="00A666BA">
              <w:rPr>
                <w:lang w:eastAsia="en-AU"/>
              </w:rPr>
              <w:t>$3,900</w:t>
            </w:r>
          </w:p>
        </w:tc>
        <w:tc>
          <w:tcPr>
            <w:tcW w:w="3685" w:type="dxa"/>
            <w:tcBorders>
              <w:left w:val="single" w:sz="4" w:space="0" w:color="auto"/>
              <w:right w:val="single" w:sz="4" w:space="0" w:color="auto"/>
            </w:tcBorders>
            <w:shd w:val="clear" w:color="auto" w:fill="auto"/>
            <w:noWrap/>
            <w:vAlign w:val="bottom"/>
          </w:tcPr>
          <w:p w:rsidR="009F41C7" w:rsidRPr="00A666BA" w:rsidRDefault="00642336" w:rsidP="00BA00CD">
            <w:pPr>
              <w:rPr>
                <w:lang w:eastAsia="en-AU"/>
              </w:rPr>
            </w:pPr>
            <w:r w:rsidRPr="00A666BA">
              <w:rPr>
                <w:lang w:eastAsia="en-AU"/>
              </w:rPr>
              <w:t>Fund</w:t>
            </w:r>
            <w:r w:rsidR="00F628D7" w:rsidRPr="00A666BA">
              <w:rPr>
                <w:lang w:eastAsia="en-AU"/>
              </w:rPr>
              <w:t>s carried over</w:t>
            </w:r>
            <w:r w:rsidRPr="00A666BA">
              <w:rPr>
                <w:lang w:eastAsia="en-AU"/>
              </w:rPr>
              <w:t xml:space="preserve"> to 2013</w:t>
            </w:r>
          </w:p>
        </w:tc>
      </w:tr>
      <w:tr w:rsidR="00A666BA" w:rsidRPr="00A666BA" w:rsidTr="004A1172">
        <w:trPr>
          <w:trHeight w:val="228"/>
        </w:trPr>
        <w:tc>
          <w:tcPr>
            <w:tcW w:w="1985" w:type="dxa"/>
            <w:tcBorders>
              <w:left w:val="single" w:sz="4" w:space="0" w:color="auto"/>
              <w:bottom w:val="single" w:sz="4" w:space="0" w:color="auto"/>
              <w:right w:val="single" w:sz="4" w:space="0" w:color="auto"/>
            </w:tcBorders>
            <w:shd w:val="clear" w:color="auto" w:fill="auto"/>
            <w:noWrap/>
            <w:vAlign w:val="bottom"/>
          </w:tcPr>
          <w:p w:rsidR="009F41C7" w:rsidRPr="00A666BA" w:rsidRDefault="009F41C7" w:rsidP="00BA00CD">
            <w:pPr>
              <w:rPr>
                <w:lang w:eastAsia="en-AU"/>
              </w:rPr>
            </w:pPr>
            <w:proofErr w:type="spellStart"/>
            <w:r w:rsidRPr="00A666BA">
              <w:rPr>
                <w:lang w:eastAsia="en-AU"/>
              </w:rPr>
              <w:t>AISWA</w:t>
            </w:r>
            <w:proofErr w:type="spellEnd"/>
            <w:r w:rsidR="008A6EA4">
              <w:rPr>
                <w:lang w:eastAsia="en-AU"/>
              </w:rPr>
              <w:t xml:space="preserve"> schools</w:t>
            </w:r>
          </w:p>
        </w:tc>
        <w:tc>
          <w:tcPr>
            <w:tcW w:w="1417" w:type="dxa"/>
            <w:tcBorders>
              <w:left w:val="single" w:sz="4" w:space="0" w:color="auto"/>
              <w:bottom w:val="single" w:sz="4" w:space="0" w:color="auto"/>
              <w:right w:val="single" w:sz="4" w:space="0" w:color="auto"/>
            </w:tcBorders>
            <w:shd w:val="clear" w:color="auto" w:fill="auto"/>
            <w:noWrap/>
            <w:vAlign w:val="bottom"/>
          </w:tcPr>
          <w:p w:rsidR="009F41C7" w:rsidRPr="00A666BA" w:rsidRDefault="005D76C9" w:rsidP="004A1172">
            <w:pPr>
              <w:jc w:val="right"/>
              <w:rPr>
                <w:lang w:eastAsia="en-AU"/>
              </w:rPr>
            </w:pPr>
            <w:r w:rsidRPr="00A666BA">
              <w:rPr>
                <w:lang w:eastAsia="en-AU"/>
              </w:rPr>
              <w:t>$126,000</w:t>
            </w:r>
          </w:p>
        </w:tc>
        <w:tc>
          <w:tcPr>
            <w:tcW w:w="1134" w:type="dxa"/>
            <w:tcBorders>
              <w:left w:val="single" w:sz="4" w:space="0" w:color="auto"/>
              <w:bottom w:val="single" w:sz="4" w:space="0" w:color="auto"/>
              <w:right w:val="single" w:sz="4" w:space="0" w:color="auto"/>
            </w:tcBorders>
            <w:shd w:val="clear" w:color="auto" w:fill="auto"/>
            <w:noWrap/>
            <w:vAlign w:val="bottom"/>
          </w:tcPr>
          <w:p w:rsidR="009F41C7" w:rsidRPr="00A666BA" w:rsidRDefault="009F41C7" w:rsidP="004A1172">
            <w:pPr>
              <w:jc w:val="right"/>
              <w:rPr>
                <w:lang w:eastAsia="en-AU"/>
              </w:rPr>
            </w:pPr>
          </w:p>
        </w:tc>
        <w:tc>
          <w:tcPr>
            <w:tcW w:w="1418" w:type="dxa"/>
            <w:tcBorders>
              <w:left w:val="single" w:sz="4" w:space="0" w:color="auto"/>
              <w:bottom w:val="single" w:sz="4" w:space="0" w:color="auto"/>
              <w:right w:val="single" w:sz="4" w:space="0" w:color="auto"/>
            </w:tcBorders>
            <w:shd w:val="clear" w:color="auto" w:fill="auto"/>
            <w:noWrap/>
            <w:vAlign w:val="bottom"/>
          </w:tcPr>
          <w:p w:rsidR="009F41C7" w:rsidRPr="00A666BA" w:rsidRDefault="009F41C7" w:rsidP="004A1172">
            <w:pPr>
              <w:jc w:val="right"/>
              <w:rPr>
                <w:lang w:eastAsia="en-AU"/>
              </w:rPr>
            </w:pPr>
            <w:r w:rsidRPr="00A666BA">
              <w:rPr>
                <w:lang w:eastAsia="en-AU"/>
              </w:rPr>
              <w:t>$62,660</w:t>
            </w:r>
          </w:p>
        </w:tc>
        <w:tc>
          <w:tcPr>
            <w:tcW w:w="3685" w:type="dxa"/>
            <w:tcBorders>
              <w:left w:val="single" w:sz="4" w:space="0" w:color="auto"/>
              <w:bottom w:val="single" w:sz="4" w:space="0" w:color="auto"/>
              <w:right w:val="single" w:sz="4" w:space="0" w:color="auto"/>
            </w:tcBorders>
            <w:shd w:val="clear" w:color="auto" w:fill="auto"/>
            <w:noWrap/>
            <w:vAlign w:val="bottom"/>
          </w:tcPr>
          <w:p w:rsidR="006524DE" w:rsidRPr="00A666BA" w:rsidRDefault="00F628D7" w:rsidP="00BA00CD">
            <w:pPr>
              <w:rPr>
                <w:lang w:eastAsia="en-AU"/>
              </w:rPr>
            </w:pPr>
            <w:r w:rsidRPr="00A666BA">
              <w:rPr>
                <w:lang w:eastAsia="en-AU"/>
              </w:rPr>
              <w:t>Funds carried over t</w:t>
            </w:r>
            <w:r w:rsidR="005D76C9" w:rsidRPr="00A666BA">
              <w:rPr>
                <w:lang w:eastAsia="en-AU"/>
              </w:rPr>
              <w:t>o 2013</w:t>
            </w:r>
          </w:p>
        </w:tc>
      </w:tr>
      <w:tr w:rsidR="00A666BA" w:rsidRPr="00A666BA" w:rsidTr="004A1172">
        <w:trPr>
          <w:trHeight w:val="22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4DE" w:rsidRPr="00A666BA" w:rsidRDefault="006524DE" w:rsidP="00BA00CD">
            <w:pPr>
              <w:pStyle w:val="boldheadings"/>
              <w:rPr>
                <w:lang w:eastAsia="en-AU"/>
              </w:rPr>
            </w:pPr>
            <w:proofErr w:type="spellStart"/>
            <w:r w:rsidRPr="00A666BA">
              <w:rPr>
                <w:lang w:eastAsia="en-AU"/>
              </w:rPr>
              <w:t>DCS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4DE" w:rsidRPr="00A666BA" w:rsidRDefault="006524DE" w:rsidP="004A1172">
            <w:pPr>
              <w:jc w:val="right"/>
              <w:rPr>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4DE" w:rsidRPr="00A666BA" w:rsidRDefault="006524DE" w:rsidP="004A1172">
            <w:pPr>
              <w:jc w:val="right"/>
              <w:rPr>
                <w:lang w:eastAsia="en-AU"/>
              </w:rPr>
            </w:pPr>
            <w:r w:rsidRPr="00A666BA">
              <w:rPr>
                <w:lang w:eastAsia="en-AU"/>
              </w:rPr>
              <w:t>$183,000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4DE" w:rsidRPr="00A666BA" w:rsidRDefault="008A6EA4" w:rsidP="004A1172">
            <w:pPr>
              <w:jc w:val="right"/>
              <w:rPr>
                <w:lang w:eastAsia="en-AU"/>
              </w:rPr>
            </w:pPr>
            <w:r>
              <w:rPr>
                <w:lang w:eastAsia="en-AU"/>
              </w:rPr>
              <w:t>$</w:t>
            </w:r>
            <w:r w:rsidR="006524DE" w:rsidRPr="00A666BA">
              <w:rPr>
                <w:lang w:eastAsia="en-AU"/>
              </w:rPr>
              <w:t>32,460</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4DE" w:rsidRPr="00A666BA" w:rsidRDefault="000B1328" w:rsidP="00BA00CD">
            <w:pPr>
              <w:rPr>
                <w:lang w:eastAsia="en-AU"/>
              </w:rPr>
            </w:pPr>
            <w:r w:rsidRPr="00A666BA">
              <w:rPr>
                <w:lang w:eastAsia="en-AU"/>
              </w:rPr>
              <w:t xml:space="preserve">Funding to be utilised </w:t>
            </w:r>
            <w:r w:rsidR="00F628D7" w:rsidRPr="00A666BA">
              <w:rPr>
                <w:lang w:eastAsia="en-AU"/>
              </w:rPr>
              <w:t xml:space="preserve">during </w:t>
            </w:r>
            <w:r w:rsidR="00A87C45">
              <w:rPr>
                <w:lang w:eastAsia="en-AU"/>
              </w:rPr>
              <w:t>2012/</w:t>
            </w:r>
            <w:r w:rsidRPr="00A666BA">
              <w:rPr>
                <w:lang w:eastAsia="en-AU"/>
              </w:rPr>
              <w:t>13</w:t>
            </w:r>
          </w:p>
        </w:tc>
      </w:tr>
      <w:tr w:rsidR="00A666BA" w:rsidRPr="00A666BA" w:rsidTr="004A1172">
        <w:trPr>
          <w:trHeight w:val="228"/>
        </w:trPr>
        <w:tc>
          <w:tcPr>
            <w:tcW w:w="1985" w:type="dxa"/>
            <w:tcBorders>
              <w:top w:val="single" w:sz="4" w:space="0" w:color="auto"/>
              <w:left w:val="single" w:sz="4" w:space="0" w:color="auto"/>
              <w:right w:val="single" w:sz="4" w:space="0" w:color="auto"/>
            </w:tcBorders>
            <w:shd w:val="clear" w:color="auto" w:fill="auto"/>
            <w:noWrap/>
            <w:vAlign w:val="bottom"/>
          </w:tcPr>
          <w:p w:rsidR="00D96D77" w:rsidRPr="00A666BA" w:rsidRDefault="00D96D77" w:rsidP="00BA00CD">
            <w:pPr>
              <w:pStyle w:val="boldheadings"/>
              <w:rPr>
                <w:lang w:eastAsia="en-AU"/>
              </w:rPr>
            </w:pPr>
            <w:r w:rsidRPr="00A666BA">
              <w:rPr>
                <w:lang w:eastAsia="en-AU"/>
              </w:rPr>
              <w:t xml:space="preserve">VET &amp; </w:t>
            </w:r>
            <w:proofErr w:type="spellStart"/>
            <w:r w:rsidRPr="00A666BA">
              <w:rPr>
                <w:lang w:eastAsia="en-AU"/>
              </w:rPr>
              <w:t>VETIS</w:t>
            </w:r>
            <w:proofErr w:type="spellEnd"/>
          </w:p>
        </w:tc>
        <w:tc>
          <w:tcPr>
            <w:tcW w:w="1417" w:type="dxa"/>
            <w:tcBorders>
              <w:top w:val="single" w:sz="4" w:space="0" w:color="auto"/>
              <w:left w:val="single" w:sz="4" w:space="0" w:color="auto"/>
              <w:right w:val="single" w:sz="4" w:space="0" w:color="auto"/>
            </w:tcBorders>
            <w:shd w:val="clear" w:color="auto" w:fill="auto"/>
            <w:noWrap/>
            <w:vAlign w:val="bottom"/>
          </w:tcPr>
          <w:p w:rsidR="009F41C7" w:rsidRPr="004A1172" w:rsidRDefault="00D96D77" w:rsidP="004A1172">
            <w:pPr>
              <w:jc w:val="right"/>
              <w:rPr>
                <w:b/>
                <w:lang w:eastAsia="en-AU"/>
              </w:rPr>
            </w:pPr>
            <w:r w:rsidRPr="004A1172">
              <w:rPr>
                <w:b/>
                <w:lang w:eastAsia="en-AU"/>
              </w:rPr>
              <w:t>$4,787,00</w:t>
            </w:r>
            <w:r w:rsidR="004A1172">
              <w:rPr>
                <w:b/>
                <w:lang w:eastAsia="en-AU"/>
              </w:rPr>
              <w:t>0</w:t>
            </w:r>
          </w:p>
        </w:tc>
        <w:tc>
          <w:tcPr>
            <w:tcW w:w="1134" w:type="dxa"/>
            <w:tcBorders>
              <w:top w:val="single" w:sz="4" w:space="0" w:color="auto"/>
              <w:left w:val="single" w:sz="4" w:space="0" w:color="auto"/>
              <w:right w:val="single" w:sz="4" w:space="0" w:color="auto"/>
            </w:tcBorders>
            <w:shd w:val="clear" w:color="auto" w:fill="auto"/>
            <w:noWrap/>
            <w:vAlign w:val="bottom"/>
          </w:tcPr>
          <w:p w:rsidR="00D96D77" w:rsidRPr="00A666BA" w:rsidRDefault="00D96D77" w:rsidP="004A1172">
            <w:pPr>
              <w:jc w:val="right"/>
              <w:rPr>
                <w:lang w:eastAsia="en-AU"/>
              </w:rPr>
            </w:pPr>
          </w:p>
        </w:tc>
        <w:tc>
          <w:tcPr>
            <w:tcW w:w="1418" w:type="dxa"/>
            <w:tcBorders>
              <w:top w:val="single" w:sz="4" w:space="0" w:color="auto"/>
              <w:left w:val="single" w:sz="4" w:space="0" w:color="auto"/>
              <w:right w:val="single" w:sz="4" w:space="0" w:color="auto"/>
            </w:tcBorders>
            <w:shd w:val="clear" w:color="auto" w:fill="auto"/>
            <w:noWrap/>
            <w:vAlign w:val="bottom"/>
          </w:tcPr>
          <w:p w:rsidR="00D96D77" w:rsidRPr="00A666BA" w:rsidRDefault="00D96D77" w:rsidP="004A1172">
            <w:pPr>
              <w:jc w:val="right"/>
              <w:rPr>
                <w:lang w:eastAsia="en-AU"/>
              </w:rPr>
            </w:pPr>
          </w:p>
        </w:tc>
        <w:tc>
          <w:tcPr>
            <w:tcW w:w="3685" w:type="dxa"/>
            <w:tcBorders>
              <w:top w:val="single" w:sz="4" w:space="0" w:color="auto"/>
              <w:left w:val="single" w:sz="4" w:space="0" w:color="auto"/>
              <w:right w:val="single" w:sz="4" w:space="0" w:color="auto"/>
            </w:tcBorders>
            <w:shd w:val="clear" w:color="auto" w:fill="auto"/>
            <w:noWrap/>
            <w:vAlign w:val="bottom"/>
          </w:tcPr>
          <w:p w:rsidR="00D96D77" w:rsidRPr="00A666BA" w:rsidRDefault="00D96D77" w:rsidP="00BA00CD">
            <w:pPr>
              <w:rPr>
                <w:lang w:eastAsia="en-AU"/>
              </w:rPr>
            </w:pPr>
          </w:p>
        </w:tc>
      </w:tr>
      <w:tr w:rsidR="00A666BA" w:rsidRPr="00A666BA" w:rsidTr="004A1172">
        <w:trPr>
          <w:trHeight w:val="228"/>
        </w:trPr>
        <w:tc>
          <w:tcPr>
            <w:tcW w:w="1985" w:type="dxa"/>
            <w:tcBorders>
              <w:left w:val="single" w:sz="4" w:space="0" w:color="auto"/>
              <w:right w:val="single" w:sz="4" w:space="0" w:color="auto"/>
            </w:tcBorders>
            <w:shd w:val="clear" w:color="auto" w:fill="auto"/>
            <w:noWrap/>
            <w:vAlign w:val="bottom"/>
          </w:tcPr>
          <w:p w:rsidR="00ED0002" w:rsidRPr="00A666BA" w:rsidRDefault="00ED0002" w:rsidP="00BA00CD">
            <w:pPr>
              <w:rPr>
                <w:lang w:eastAsia="en-AU"/>
              </w:rPr>
            </w:pPr>
            <w:r w:rsidRPr="00A666BA">
              <w:rPr>
                <w:lang w:eastAsia="en-AU"/>
              </w:rPr>
              <w:t>DoE</w:t>
            </w:r>
            <w:r w:rsidR="008A6EA4">
              <w:rPr>
                <w:lang w:eastAsia="en-AU"/>
              </w:rPr>
              <w:t xml:space="preserve"> schools</w:t>
            </w:r>
          </w:p>
        </w:tc>
        <w:tc>
          <w:tcPr>
            <w:tcW w:w="1417" w:type="dxa"/>
            <w:tcBorders>
              <w:left w:val="single" w:sz="4" w:space="0" w:color="auto"/>
              <w:right w:val="single" w:sz="4" w:space="0" w:color="auto"/>
            </w:tcBorders>
            <w:shd w:val="clear" w:color="auto" w:fill="auto"/>
            <w:noWrap/>
            <w:vAlign w:val="bottom"/>
          </w:tcPr>
          <w:p w:rsidR="00ED0002" w:rsidRPr="00A666BA" w:rsidRDefault="001B0943" w:rsidP="004A1172">
            <w:pPr>
              <w:jc w:val="right"/>
              <w:rPr>
                <w:lang w:eastAsia="en-AU"/>
              </w:rPr>
            </w:pPr>
            <w:r w:rsidRPr="00A666BA">
              <w:rPr>
                <w:lang w:eastAsia="en-AU"/>
              </w:rPr>
              <w:t>$2,731,52</w:t>
            </w:r>
            <w:r w:rsidR="00623DCC" w:rsidRPr="00A666BA">
              <w:rPr>
                <w:lang w:eastAsia="en-AU"/>
              </w:rPr>
              <w:t>3</w:t>
            </w:r>
          </w:p>
        </w:tc>
        <w:tc>
          <w:tcPr>
            <w:tcW w:w="1134" w:type="dxa"/>
            <w:tcBorders>
              <w:left w:val="single" w:sz="4" w:space="0" w:color="auto"/>
              <w:right w:val="single" w:sz="4" w:space="0" w:color="auto"/>
            </w:tcBorders>
            <w:shd w:val="clear" w:color="auto" w:fill="auto"/>
            <w:noWrap/>
            <w:vAlign w:val="bottom"/>
          </w:tcPr>
          <w:p w:rsidR="00ED0002" w:rsidRPr="00A666BA" w:rsidRDefault="00ED0002" w:rsidP="004A1172">
            <w:pPr>
              <w:jc w:val="right"/>
              <w:rPr>
                <w:lang w:eastAsia="en-AU"/>
              </w:rPr>
            </w:pPr>
          </w:p>
        </w:tc>
        <w:tc>
          <w:tcPr>
            <w:tcW w:w="1418" w:type="dxa"/>
            <w:tcBorders>
              <w:left w:val="single" w:sz="4" w:space="0" w:color="auto"/>
              <w:right w:val="single" w:sz="4" w:space="0" w:color="auto"/>
            </w:tcBorders>
            <w:shd w:val="clear" w:color="auto" w:fill="auto"/>
            <w:noWrap/>
            <w:vAlign w:val="bottom"/>
          </w:tcPr>
          <w:p w:rsidR="00ED0002" w:rsidRPr="00A666BA" w:rsidRDefault="00283935" w:rsidP="004A1172">
            <w:pPr>
              <w:jc w:val="right"/>
              <w:rPr>
                <w:lang w:eastAsia="en-AU"/>
              </w:rPr>
            </w:pPr>
            <w:r w:rsidRPr="00A666BA">
              <w:rPr>
                <w:lang w:eastAsia="en-AU"/>
              </w:rPr>
              <w:t>$687,363</w:t>
            </w:r>
          </w:p>
        </w:tc>
        <w:tc>
          <w:tcPr>
            <w:tcW w:w="3685" w:type="dxa"/>
            <w:tcBorders>
              <w:left w:val="single" w:sz="4" w:space="0" w:color="auto"/>
              <w:right w:val="single" w:sz="4" w:space="0" w:color="auto"/>
            </w:tcBorders>
            <w:shd w:val="clear" w:color="auto" w:fill="auto"/>
            <w:noWrap/>
            <w:vAlign w:val="bottom"/>
          </w:tcPr>
          <w:p w:rsidR="00ED0002" w:rsidRPr="00A666BA" w:rsidRDefault="00A87C45" w:rsidP="00BA00CD">
            <w:pPr>
              <w:rPr>
                <w:lang w:eastAsia="en-AU"/>
              </w:rPr>
            </w:pPr>
            <w:r>
              <w:rPr>
                <w:lang w:eastAsia="en-AU"/>
              </w:rPr>
              <w:t>Commenced 2012, increase 2012/14</w:t>
            </w:r>
          </w:p>
        </w:tc>
      </w:tr>
      <w:bookmarkEnd w:id="21"/>
      <w:bookmarkEnd w:id="22"/>
      <w:tr w:rsidR="00A666BA" w:rsidRPr="00A666BA" w:rsidTr="004A1172">
        <w:trPr>
          <w:trHeight w:val="228"/>
        </w:trPr>
        <w:tc>
          <w:tcPr>
            <w:tcW w:w="1985" w:type="dxa"/>
            <w:tcBorders>
              <w:left w:val="single" w:sz="4" w:space="0" w:color="auto"/>
              <w:right w:val="single" w:sz="4" w:space="0" w:color="auto"/>
            </w:tcBorders>
            <w:shd w:val="clear" w:color="auto" w:fill="auto"/>
            <w:noWrap/>
            <w:vAlign w:val="bottom"/>
          </w:tcPr>
          <w:p w:rsidR="006A337B" w:rsidRPr="00A666BA" w:rsidRDefault="006A337B" w:rsidP="00BA00CD">
            <w:pPr>
              <w:rPr>
                <w:lang w:eastAsia="en-AU"/>
              </w:rPr>
            </w:pPr>
            <w:proofErr w:type="spellStart"/>
            <w:r w:rsidRPr="00A666BA">
              <w:rPr>
                <w:lang w:eastAsia="en-AU"/>
              </w:rPr>
              <w:t>CEOWA</w:t>
            </w:r>
            <w:proofErr w:type="spellEnd"/>
            <w:r w:rsidR="008A6EA4">
              <w:rPr>
                <w:lang w:eastAsia="en-AU"/>
              </w:rPr>
              <w:t xml:space="preserve"> schools </w:t>
            </w:r>
          </w:p>
        </w:tc>
        <w:tc>
          <w:tcPr>
            <w:tcW w:w="1417"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$989,000</w:t>
            </w:r>
          </w:p>
        </w:tc>
        <w:tc>
          <w:tcPr>
            <w:tcW w:w="1134"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p>
        </w:tc>
        <w:tc>
          <w:tcPr>
            <w:tcW w:w="1418"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$235,248</w:t>
            </w:r>
          </w:p>
        </w:tc>
        <w:tc>
          <w:tcPr>
            <w:tcW w:w="3685" w:type="dxa"/>
            <w:tcBorders>
              <w:left w:val="single" w:sz="4" w:space="0" w:color="auto"/>
              <w:right w:val="single" w:sz="4" w:space="0" w:color="auto"/>
            </w:tcBorders>
            <w:shd w:val="clear" w:color="auto" w:fill="auto"/>
            <w:noWrap/>
            <w:vAlign w:val="bottom"/>
          </w:tcPr>
          <w:p w:rsidR="006A337B" w:rsidRPr="00A666BA" w:rsidRDefault="006A337B" w:rsidP="00BA00CD">
            <w:pPr>
              <w:rPr>
                <w:lang w:eastAsia="en-AU"/>
              </w:rPr>
            </w:pPr>
          </w:p>
        </w:tc>
      </w:tr>
      <w:tr w:rsidR="00A666BA" w:rsidRPr="00A666BA" w:rsidTr="004A1172">
        <w:trPr>
          <w:trHeight w:val="228"/>
        </w:trPr>
        <w:tc>
          <w:tcPr>
            <w:tcW w:w="1985" w:type="dxa"/>
            <w:tcBorders>
              <w:left w:val="single" w:sz="4" w:space="0" w:color="auto"/>
              <w:bottom w:val="single" w:sz="4" w:space="0" w:color="auto"/>
              <w:right w:val="single" w:sz="4" w:space="0" w:color="auto"/>
            </w:tcBorders>
            <w:shd w:val="clear" w:color="auto" w:fill="auto"/>
            <w:noWrap/>
            <w:vAlign w:val="bottom"/>
          </w:tcPr>
          <w:p w:rsidR="006A337B" w:rsidRPr="00A666BA" w:rsidRDefault="006A337B" w:rsidP="00BA00CD">
            <w:pPr>
              <w:rPr>
                <w:lang w:eastAsia="en-AU"/>
              </w:rPr>
            </w:pPr>
            <w:proofErr w:type="spellStart"/>
            <w:r w:rsidRPr="00A666BA">
              <w:rPr>
                <w:lang w:eastAsia="en-AU"/>
              </w:rPr>
              <w:t>AISWA</w:t>
            </w:r>
            <w:proofErr w:type="spellEnd"/>
            <w:r w:rsidR="008A6EA4">
              <w:rPr>
                <w:lang w:eastAsia="en-AU"/>
              </w:rPr>
              <w:t xml:space="preserve"> schools</w:t>
            </w:r>
          </w:p>
        </w:tc>
        <w:tc>
          <w:tcPr>
            <w:tcW w:w="1417" w:type="dxa"/>
            <w:tcBorders>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$989,000</w:t>
            </w:r>
          </w:p>
        </w:tc>
        <w:tc>
          <w:tcPr>
            <w:tcW w:w="1134" w:type="dxa"/>
            <w:tcBorders>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p>
        </w:tc>
        <w:tc>
          <w:tcPr>
            <w:tcW w:w="1418" w:type="dxa"/>
            <w:tcBorders>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$109,900</w:t>
            </w:r>
          </w:p>
        </w:tc>
        <w:tc>
          <w:tcPr>
            <w:tcW w:w="3685" w:type="dxa"/>
            <w:tcBorders>
              <w:left w:val="single" w:sz="4" w:space="0" w:color="auto"/>
              <w:bottom w:val="single" w:sz="4" w:space="0" w:color="auto"/>
              <w:right w:val="single" w:sz="4" w:space="0" w:color="auto"/>
            </w:tcBorders>
            <w:shd w:val="clear" w:color="auto" w:fill="auto"/>
            <w:noWrap/>
            <w:vAlign w:val="bottom"/>
          </w:tcPr>
          <w:p w:rsidR="006A337B" w:rsidRPr="00A666BA" w:rsidRDefault="006A337B" w:rsidP="00BA00CD">
            <w:pPr>
              <w:rPr>
                <w:lang w:eastAsia="en-AU"/>
              </w:rPr>
            </w:pPr>
          </w:p>
        </w:tc>
      </w:tr>
      <w:tr w:rsidR="00A666BA" w:rsidRPr="00A666BA" w:rsidTr="004A1172">
        <w:trPr>
          <w:trHeight w:val="22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025713" w:rsidP="00BA00CD">
            <w:pPr>
              <w:rPr>
                <w:lang w:eastAsia="en-AU"/>
              </w:rPr>
            </w:pPr>
            <w:proofErr w:type="spellStart"/>
            <w:r>
              <w:rPr>
                <w:lang w:eastAsia="en-AU"/>
              </w:rPr>
              <w:t>DCS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$529,000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$127,827</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42336" w:rsidP="00BA00CD">
            <w:pPr>
              <w:rPr>
                <w:lang w:eastAsia="en-AU"/>
              </w:rPr>
            </w:pPr>
            <w:r w:rsidRPr="00A666BA">
              <w:rPr>
                <w:lang w:eastAsia="en-AU"/>
              </w:rPr>
              <w:t>Training commenced 2012 and will increase 2012/14</w:t>
            </w:r>
          </w:p>
        </w:tc>
      </w:tr>
      <w:tr w:rsidR="00A666BA" w:rsidRPr="00A666BA" w:rsidTr="004A1172">
        <w:trPr>
          <w:trHeight w:val="22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BA00CD">
            <w:pPr>
              <w:pStyle w:val="boldheadings"/>
              <w:rPr>
                <w:lang w:eastAsia="en-AU"/>
              </w:rPr>
            </w:pPr>
            <w:r w:rsidRPr="00A666BA">
              <w:rPr>
                <w:lang w:eastAsia="en-AU"/>
              </w:rPr>
              <w:t>Young Workers Initiative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4A1172" w:rsidRDefault="006A337B" w:rsidP="004A1172">
            <w:pPr>
              <w:jc w:val="right"/>
              <w:rPr>
                <w:b/>
                <w:lang w:eastAsia="en-AU"/>
              </w:rPr>
            </w:pPr>
            <w:r w:rsidRPr="004A1172">
              <w:rPr>
                <w:b/>
                <w:lang w:eastAsia="en-AU"/>
              </w:rPr>
              <w:t>$670,000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B82E46" w:rsidP="004A1172">
            <w:pPr>
              <w:jc w:val="right"/>
              <w:rPr>
                <w:lang w:eastAsia="en-AU"/>
              </w:rPr>
            </w:pPr>
            <w:r w:rsidRPr="00A666BA">
              <w:rPr>
                <w:lang w:eastAsia="en-AU"/>
              </w:rPr>
              <w:t>0</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2E4BFE" w:rsidP="00BA00CD">
            <w:pPr>
              <w:rPr>
                <w:lang w:eastAsia="en-AU"/>
              </w:rPr>
            </w:pPr>
            <w:r>
              <w:rPr>
                <w:lang w:eastAsia="en-AU"/>
              </w:rPr>
              <w:t>Funding to be redirected</w:t>
            </w:r>
          </w:p>
        </w:tc>
      </w:tr>
      <w:tr w:rsidR="00A666BA" w:rsidRPr="00A666BA" w:rsidTr="004A1172">
        <w:trPr>
          <w:trHeight w:val="228"/>
        </w:trPr>
        <w:tc>
          <w:tcPr>
            <w:tcW w:w="1985" w:type="dxa"/>
            <w:tcBorders>
              <w:top w:val="single" w:sz="4" w:space="0" w:color="auto"/>
              <w:left w:val="single" w:sz="4" w:space="0" w:color="auto"/>
              <w:right w:val="single" w:sz="4" w:space="0" w:color="auto"/>
            </w:tcBorders>
            <w:shd w:val="clear" w:color="auto" w:fill="auto"/>
            <w:noWrap/>
            <w:vAlign w:val="bottom"/>
          </w:tcPr>
          <w:p w:rsidR="006A337B" w:rsidRPr="00A666BA" w:rsidRDefault="006A337B" w:rsidP="00BA00CD">
            <w:pPr>
              <w:pStyle w:val="boldheadings"/>
              <w:rPr>
                <w:lang w:eastAsia="en-AU"/>
              </w:rPr>
            </w:pPr>
            <w:r w:rsidRPr="00A666BA">
              <w:rPr>
                <w:lang w:eastAsia="en-AU"/>
              </w:rPr>
              <w:t>Career Development</w:t>
            </w:r>
          </w:p>
        </w:tc>
        <w:tc>
          <w:tcPr>
            <w:tcW w:w="1417" w:type="dxa"/>
            <w:tcBorders>
              <w:top w:val="single" w:sz="4" w:space="0" w:color="auto"/>
              <w:left w:val="single" w:sz="4" w:space="0" w:color="auto"/>
              <w:right w:val="single" w:sz="4" w:space="0" w:color="auto"/>
            </w:tcBorders>
            <w:shd w:val="clear" w:color="auto" w:fill="auto"/>
            <w:noWrap/>
            <w:vAlign w:val="bottom"/>
          </w:tcPr>
          <w:p w:rsidR="006A337B" w:rsidRPr="004A1172" w:rsidRDefault="006A337B" w:rsidP="004A1172">
            <w:pPr>
              <w:jc w:val="right"/>
              <w:rPr>
                <w:b/>
                <w:lang w:eastAsia="en-AU"/>
              </w:rPr>
            </w:pPr>
            <w:r w:rsidRPr="004A1172">
              <w:rPr>
                <w:b/>
                <w:lang w:eastAsia="en-AU"/>
              </w:rPr>
              <w:t>$3,012,760</w:t>
            </w:r>
          </w:p>
        </w:tc>
        <w:tc>
          <w:tcPr>
            <w:tcW w:w="1134" w:type="dxa"/>
            <w:tcBorders>
              <w:top w:val="single" w:sz="4" w:space="0" w:color="auto"/>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p>
        </w:tc>
        <w:tc>
          <w:tcPr>
            <w:tcW w:w="1418" w:type="dxa"/>
            <w:tcBorders>
              <w:top w:val="single" w:sz="4" w:space="0" w:color="auto"/>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p>
        </w:tc>
        <w:tc>
          <w:tcPr>
            <w:tcW w:w="3685" w:type="dxa"/>
            <w:tcBorders>
              <w:top w:val="single" w:sz="4" w:space="0" w:color="auto"/>
              <w:left w:val="single" w:sz="4" w:space="0" w:color="auto"/>
              <w:right w:val="single" w:sz="4" w:space="0" w:color="auto"/>
            </w:tcBorders>
            <w:shd w:val="clear" w:color="auto" w:fill="auto"/>
            <w:noWrap/>
            <w:vAlign w:val="bottom"/>
          </w:tcPr>
          <w:p w:rsidR="006A337B" w:rsidRPr="00A666BA" w:rsidRDefault="006A337B" w:rsidP="00BA00CD">
            <w:pPr>
              <w:rPr>
                <w:lang w:eastAsia="en-AU"/>
              </w:rPr>
            </w:pPr>
          </w:p>
        </w:tc>
      </w:tr>
      <w:tr w:rsidR="00A666BA" w:rsidRPr="00A666BA" w:rsidTr="004A1172">
        <w:trPr>
          <w:trHeight w:val="228"/>
        </w:trPr>
        <w:tc>
          <w:tcPr>
            <w:tcW w:w="1985" w:type="dxa"/>
            <w:tcBorders>
              <w:left w:val="single" w:sz="4" w:space="0" w:color="auto"/>
              <w:right w:val="single" w:sz="4" w:space="0" w:color="auto"/>
            </w:tcBorders>
            <w:shd w:val="clear" w:color="auto" w:fill="auto"/>
            <w:noWrap/>
            <w:vAlign w:val="bottom"/>
          </w:tcPr>
          <w:p w:rsidR="006A337B" w:rsidRPr="00A666BA" w:rsidRDefault="006A337B" w:rsidP="00BA00CD">
            <w:pPr>
              <w:rPr>
                <w:lang w:eastAsia="en-AU"/>
              </w:rPr>
            </w:pPr>
            <w:r w:rsidRPr="00A666BA">
              <w:rPr>
                <w:lang w:eastAsia="en-AU"/>
              </w:rPr>
              <w:t>DoE</w:t>
            </w:r>
          </w:p>
        </w:tc>
        <w:tc>
          <w:tcPr>
            <w:tcW w:w="1417" w:type="dxa"/>
            <w:tcBorders>
              <w:left w:val="single" w:sz="4" w:space="0" w:color="auto"/>
              <w:right w:val="single" w:sz="4" w:space="0" w:color="auto"/>
            </w:tcBorders>
            <w:shd w:val="clear" w:color="auto" w:fill="auto"/>
            <w:noWrap/>
            <w:vAlign w:val="bottom"/>
          </w:tcPr>
          <w:p w:rsidR="006A337B" w:rsidRPr="00A666BA" w:rsidRDefault="00283935" w:rsidP="004A1172">
            <w:pPr>
              <w:jc w:val="right"/>
              <w:rPr>
                <w:lang w:eastAsia="en-AU"/>
              </w:rPr>
            </w:pPr>
            <w:r w:rsidRPr="00A666BA">
              <w:rPr>
                <w:lang w:eastAsia="en-AU"/>
              </w:rPr>
              <w:t>$870,000</w:t>
            </w:r>
          </w:p>
        </w:tc>
        <w:tc>
          <w:tcPr>
            <w:tcW w:w="1134"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p>
        </w:tc>
        <w:tc>
          <w:tcPr>
            <w:tcW w:w="1418" w:type="dxa"/>
            <w:tcBorders>
              <w:left w:val="single" w:sz="4" w:space="0" w:color="auto"/>
              <w:right w:val="single" w:sz="4" w:space="0" w:color="auto"/>
            </w:tcBorders>
            <w:shd w:val="clear" w:color="000000" w:fill="auto"/>
            <w:noWrap/>
            <w:vAlign w:val="bottom"/>
          </w:tcPr>
          <w:p w:rsidR="006A337B" w:rsidRPr="00A666BA" w:rsidRDefault="006A337B" w:rsidP="004A1172">
            <w:pPr>
              <w:jc w:val="right"/>
              <w:rPr>
                <w:lang w:eastAsia="en-AU"/>
              </w:rPr>
            </w:pPr>
            <w:r w:rsidRPr="00A666BA">
              <w:rPr>
                <w:lang w:eastAsia="en-AU"/>
              </w:rPr>
              <w:t>$276,000</w:t>
            </w:r>
          </w:p>
        </w:tc>
        <w:tc>
          <w:tcPr>
            <w:tcW w:w="3685" w:type="dxa"/>
            <w:tcBorders>
              <w:left w:val="single" w:sz="4" w:space="0" w:color="auto"/>
              <w:right w:val="single" w:sz="4" w:space="0" w:color="auto"/>
            </w:tcBorders>
            <w:shd w:val="clear" w:color="auto" w:fill="auto"/>
            <w:noWrap/>
            <w:vAlign w:val="bottom"/>
          </w:tcPr>
          <w:p w:rsidR="006A337B" w:rsidRPr="00A666BA" w:rsidRDefault="004A1172" w:rsidP="00BA00CD">
            <w:pPr>
              <w:rPr>
                <w:lang w:eastAsia="en-AU"/>
              </w:rPr>
            </w:pPr>
            <w:r>
              <w:rPr>
                <w:lang w:eastAsia="en-AU"/>
              </w:rPr>
              <w:t>$870,000 cash flowed over 4</w:t>
            </w:r>
            <w:r w:rsidR="003A7506" w:rsidRPr="00A666BA">
              <w:rPr>
                <w:lang w:eastAsia="en-AU"/>
              </w:rPr>
              <w:t xml:space="preserve"> years </w:t>
            </w:r>
          </w:p>
        </w:tc>
      </w:tr>
      <w:tr w:rsidR="00A666BA" w:rsidRPr="00A666BA" w:rsidTr="004A1172">
        <w:trPr>
          <w:trHeight w:val="228"/>
        </w:trPr>
        <w:tc>
          <w:tcPr>
            <w:tcW w:w="1985" w:type="dxa"/>
            <w:tcBorders>
              <w:left w:val="single" w:sz="4" w:space="0" w:color="auto"/>
              <w:right w:val="single" w:sz="4" w:space="0" w:color="auto"/>
            </w:tcBorders>
            <w:shd w:val="clear" w:color="auto" w:fill="auto"/>
            <w:noWrap/>
            <w:vAlign w:val="bottom"/>
          </w:tcPr>
          <w:p w:rsidR="006A337B" w:rsidRPr="00A666BA" w:rsidRDefault="006A337B" w:rsidP="00BA00CD">
            <w:pPr>
              <w:rPr>
                <w:lang w:eastAsia="en-AU"/>
              </w:rPr>
            </w:pPr>
            <w:proofErr w:type="spellStart"/>
            <w:r w:rsidRPr="00A666BA">
              <w:rPr>
                <w:lang w:eastAsia="en-AU"/>
              </w:rPr>
              <w:t>CEOWA</w:t>
            </w:r>
            <w:proofErr w:type="spellEnd"/>
          </w:p>
        </w:tc>
        <w:tc>
          <w:tcPr>
            <w:tcW w:w="1417"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 </w:t>
            </w:r>
          </w:p>
        </w:tc>
        <w:tc>
          <w:tcPr>
            <w:tcW w:w="1134"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$105,210</w:t>
            </w:r>
          </w:p>
        </w:tc>
        <w:tc>
          <w:tcPr>
            <w:tcW w:w="1418" w:type="dxa"/>
            <w:tcBorders>
              <w:left w:val="single" w:sz="4" w:space="0" w:color="auto"/>
              <w:right w:val="single" w:sz="4" w:space="0" w:color="auto"/>
            </w:tcBorders>
            <w:shd w:val="clear" w:color="000000" w:fill="auto"/>
            <w:noWrap/>
            <w:vAlign w:val="bottom"/>
          </w:tcPr>
          <w:p w:rsidR="006A337B" w:rsidRPr="00A666BA" w:rsidRDefault="006A337B" w:rsidP="004A1172">
            <w:pPr>
              <w:jc w:val="right"/>
              <w:rPr>
                <w:lang w:eastAsia="en-AU"/>
              </w:rPr>
            </w:pPr>
            <w:r w:rsidRPr="00A666BA">
              <w:rPr>
                <w:lang w:eastAsia="en-AU"/>
              </w:rPr>
              <w:t>$105,210</w:t>
            </w:r>
          </w:p>
        </w:tc>
        <w:tc>
          <w:tcPr>
            <w:tcW w:w="3685" w:type="dxa"/>
            <w:tcBorders>
              <w:left w:val="single" w:sz="4" w:space="0" w:color="auto"/>
              <w:right w:val="single" w:sz="4" w:space="0" w:color="auto"/>
            </w:tcBorders>
            <w:shd w:val="clear" w:color="auto" w:fill="auto"/>
            <w:noWrap/>
            <w:vAlign w:val="bottom"/>
          </w:tcPr>
          <w:p w:rsidR="006A337B" w:rsidRPr="00A666BA" w:rsidRDefault="006A337B" w:rsidP="00BA00CD">
            <w:pPr>
              <w:rPr>
                <w:lang w:eastAsia="en-AU"/>
              </w:rPr>
            </w:pPr>
          </w:p>
        </w:tc>
      </w:tr>
      <w:tr w:rsidR="00A666BA" w:rsidRPr="00A666BA" w:rsidTr="004A1172">
        <w:trPr>
          <w:trHeight w:val="228"/>
        </w:trPr>
        <w:tc>
          <w:tcPr>
            <w:tcW w:w="1985" w:type="dxa"/>
            <w:tcBorders>
              <w:left w:val="single" w:sz="4" w:space="0" w:color="auto"/>
              <w:right w:val="single" w:sz="4" w:space="0" w:color="auto"/>
            </w:tcBorders>
            <w:shd w:val="clear" w:color="auto" w:fill="auto"/>
            <w:noWrap/>
            <w:vAlign w:val="bottom"/>
          </w:tcPr>
          <w:p w:rsidR="006A337B" w:rsidRPr="00A666BA" w:rsidRDefault="006A337B" w:rsidP="00BA00CD">
            <w:pPr>
              <w:rPr>
                <w:lang w:eastAsia="en-AU"/>
              </w:rPr>
            </w:pPr>
            <w:proofErr w:type="spellStart"/>
            <w:r w:rsidRPr="00A666BA">
              <w:rPr>
                <w:lang w:eastAsia="en-AU"/>
              </w:rPr>
              <w:t>AISWA</w:t>
            </w:r>
            <w:proofErr w:type="spellEnd"/>
          </w:p>
        </w:tc>
        <w:tc>
          <w:tcPr>
            <w:tcW w:w="1417"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 </w:t>
            </w:r>
          </w:p>
        </w:tc>
        <w:tc>
          <w:tcPr>
            <w:tcW w:w="1134"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$276,160</w:t>
            </w:r>
          </w:p>
        </w:tc>
        <w:tc>
          <w:tcPr>
            <w:tcW w:w="1418" w:type="dxa"/>
            <w:tcBorders>
              <w:left w:val="single" w:sz="4" w:space="0" w:color="auto"/>
              <w:right w:val="single" w:sz="4" w:space="0" w:color="auto"/>
            </w:tcBorders>
            <w:shd w:val="clear" w:color="000000" w:fill="auto"/>
            <w:noWrap/>
            <w:vAlign w:val="bottom"/>
          </w:tcPr>
          <w:p w:rsidR="006A337B" w:rsidRPr="00A666BA" w:rsidRDefault="006A337B" w:rsidP="004A1172">
            <w:pPr>
              <w:jc w:val="right"/>
              <w:rPr>
                <w:lang w:eastAsia="en-AU"/>
              </w:rPr>
            </w:pPr>
            <w:r w:rsidRPr="00A666BA">
              <w:rPr>
                <w:lang w:eastAsia="en-AU"/>
              </w:rPr>
              <w:t>$134,346</w:t>
            </w:r>
          </w:p>
        </w:tc>
        <w:tc>
          <w:tcPr>
            <w:tcW w:w="3685" w:type="dxa"/>
            <w:tcBorders>
              <w:left w:val="single" w:sz="4" w:space="0" w:color="auto"/>
              <w:right w:val="single" w:sz="4" w:space="0" w:color="auto"/>
            </w:tcBorders>
            <w:shd w:val="clear" w:color="auto" w:fill="auto"/>
            <w:noWrap/>
            <w:vAlign w:val="bottom"/>
          </w:tcPr>
          <w:p w:rsidR="006A337B" w:rsidRPr="00A666BA" w:rsidRDefault="00F628D7" w:rsidP="00BA00CD">
            <w:pPr>
              <w:rPr>
                <w:lang w:eastAsia="en-AU"/>
              </w:rPr>
            </w:pPr>
            <w:r w:rsidRPr="00A666BA">
              <w:rPr>
                <w:lang w:eastAsia="en-AU"/>
              </w:rPr>
              <w:t xml:space="preserve">Funds carried over </w:t>
            </w:r>
            <w:r w:rsidR="003A7506" w:rsidRPr="00A666BA">
              <w:rPr>
                <w:lang w:eastAsia="en-AU"/>
              </w:rPr>
              <w:t>to 2013</w:t>
            </w:r>
          </w:p>
        </w:tc>
      </w:tr>
      <w:tr w:rsidR="00A666BA" w:rsidRPr="00A666BA" w:rsidTr="004A1172">
        <w:trPr>
          <w:trHeight w:val="228"/>
        </w:trPr>
        <w:tc>
          <w:tcPr>
            <w:tcW w:w="1985" w:type="dxa"/>
            <w:tcBorders>
              <w:left w:val="single" w:sz="4" w:space="0" w:color="auto"/>
              <w:right w:val="single" w:sz="4" w:space="0" w:color="auto"/>
            </w:tcBorders>
            <w:shd w:val="clear" w:color="auto" w:fill="auto"/>
            <w:noWrap/>
            <w:vAlign w:val="bottom"/>
          </w:tcPr>
          <w:p w:rsidR="006A337B" w:rsidRPr="00A666BA" w:rsidRDefault="006A337B" w:rsidP="00BA00CD">
            <w:pPr>
              <w:rPr>
                <w:lang w:eastAsia="en-AU"/>
              </w:rPr>
            </w:pPr>
            <w:proofErr w:type="spellStart"/>
            <w:r w:rsidRPr="00A666BA">
              <w:rPr>
                <w:lang w:eastAsia="en-AU"/>
              </w:rPr>
              <w:t>DCS</w:t>
            </w:r>
            <w:proofErr w:type="spellEnd"/>
          </w:p>
        </w:tc>
        <w:tc>
          <w:tcPr>
            <w:tcW w:w="1417"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 </w:t>
            </w:r>
          </w:p>
        </w:tc>
        <w:tc>
          <w:tcPr>
            <w:tcW w:w="1134" w:type="dxa"/>
            <w:tcBorders>
              <w:left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$67,760</w:t>
            </w:r>
          </w:p>
        </w:tc>
        <w:tc>
          <w:tcPr>
            <w:tcW w:w="1418" w:type="dxa"/>
            <w:tcBorders>
              <w:left w:val="single" w:sz="4" w:space="0" w:color="auto"/>
              <w:right w:val="single" w:sz="4" w:space="0" w:color="auto"/>
            </w:tcBorders>
            <w:shd w:val="clear" w:color="000000" w:fill="auto"/>
            <w:noWrap/>
            <w:vAlign w:val="bottom"/>
          </w:tcPr>
          <w:p w:rsidR="006A337B" w:rsidRPr="00A666BA" w:rsidRDefault="006A337B" w:rsidP="004A1172">
            <w:pPr>
              <w:jc w:val="right"/>
              <w:rPr>
                <w:lang w:eastAsia="en-AU"/>
              </w:rPr>
            </w:pPr>
            <w:r w:rsidRPr="00A666BA">
              <w:rPr>
                <w:lang w:eastAsia="en-AU"/>
              </w:rPr>
              <w:t>$22,292</w:t>
            </w:r>
          </w:p>
        </w:tc>
        <w:tc>
          <w:tcPr>
            <w:tcW w:w="3685" w:type="dxa"/>
            <w:tcBorders>
              <w:left w:val="single" w:sz="4" w:space="0" w:color="auto"/>
              <w:right w:val="single" w:sz="4" w:space="0" w:color="auto"/>
            </w:tcBorders>
            <w:shd w:val="clear" w:color="auto" w:fill="auto"/>
            <w:noWrap/>
            <w:vAlign w:val="bottom"/>
          </w:tcPr>
          <w:p w:rsidR="006A337B" w:rsidRPr="00A666BA" w:rsidRDefault="00F628D7" w:rsidP="00BA00CD">
            <w:pPr>
              <w:rPr>
                <w:lang w:eastAsia="en-AU"/>
              </w:rPr>
            </w:pPr>
            <w:r w:rsidRPr="00A666BA">
              <w:rPr>
                <w:lang w:eastAsia="en-AU"/>
              </w:rPr>
              <w:t>Expenditure o</w:t>
            </w:r>
            <w:r w:rsidR="006A337B" w:rsidRPr="00A666BA">
              <w:rPr>
                <w:lang w:eastAsia="en-AU"/>
              </w:rPr>
              <w:t xml:space="preserve">n </w:t>
            </w:r>
            <w:r w:rsidR="003A7506" w:rsidRPr="00A666BA">
              <w:rPr>
                <w:lang w:eastAsia="en-AU"/>
              </w:rPr>
              <w:t>schedule</w:t>
            </w:r>
          </w:p>
        </w:tc>
      </w:tr>
      <w:tr w:rsidR="00A666BA" w:rsidRPr="00A666BA" w:rsidTr="004A1172">
        <w:trPr>
          <w:trHeight w:val="228"/>
        </w:trPr>
        <w:tc>
          <w:tcPr>
            <w:tcW w:w="1985" w:type="dxa"/>
            <w:tcBorders>
              <w:left w:val="single" w:sz="4" w:space="0" w:color="auto"/>
              <w:bottom w:val="single" w:sz="4" w:space="0" w:color="auto"/>
              <w:right w:val="single" w:sz="4" w:space="0" w:color="auto"/>
            </w:tcBorders>
            <w:shd w:val="clear" w:color="auto" w:fill="auto"/>
            <w:noWrap/>
            <w:vAlign w:val="bottom"/>
          </w:tcPr>
          <w:p w:rsidR="006A337B" w:rsidRPr="00A666BA" w:rsidRDefault="006A337B" w:rsidP="00BA00CD">
            <w:pPr>
              <w:rPr>
                <w:lang w:eastAsia="en-AU"/>
              </w:rPr>
            </w:pPr>
            <w:r w:rsidRPr="00A666BA">
              <w:rPr>
                <w:lang w:eastAsia="en-AU"/>
              </w:rPr>
              <w:t>DTWD</w:t>
            </w:r>
          </w:p>
        </w:tc>
        <w:tc>
          <w:tcPr>
            <w:tcW w:w="1417" w:type="dxa"/>
            <w:tcBorders>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 </w:t>
            </w:r>
          </w:p>
        </w:tc>
        <w:tc>
          <w:tcPr>
            <w:tcW w:w="1134" w:type="dxa"/>
            <w:tcBorders>
              <w:left w:val="single" w:sz="4" w:space="0" w:color="auto"/>
              <w:bottom w:val="single" w:sz="4" w:space="0" w:color="auto"/>
              <w:right w:val="single" w:sz="4" w:space="0" w:color="auto"/>
            </w:tcBorders>
            <w:shd w:val="clear" w:color="auto" w:fill="auto"/>
            <w:noWrap/>
            <w:vAlign w:val="bottom"/>
          </w:tcPr>
          <w:p w:rsidR="006A337B" w:rsidRPr="00A666BA" w:rsidRDefault="00693813" w:rsidP="004A1172">
            <w:pPr>
              <w:jc w:val="right"/>
              <w:rPr>
                <w:lang w:eastAsia="en-AU"/>
              </w:rPr>
            </w:pPr>
            <w:r w:rsidRPr="00A666BA">
              <w:rPr>
                <w:lang w:eastAsia="en-AU"/>
              </w:rPr>
              <w:t>$144,961</w:t>
            </w:r>
          </w:p>
        </w:tc>
        <w:tc>
          <w:tcPr>
            <w:tcW w:w="1418" w:type="dxa"/>
            <w:tcBorders>
              <w:left w:val="single" w:sz="4" w:space="0" w:color="auto"/>
              <w:bottom w:val="single" w:sz="4" w:space="0" w:color="auto"/>
              <w:right w:val="single" w:sz="4" w:space="0" w:color="auto"/>
            </w:tcBorders>
            <w:shd w:val="clear" w:color="000000" w:fill="auto"/>
            <w:noWrap/>
            <w:vAlign w:val="bottom"/>
          </w:tcPr>
          <w:p w:rsidR="006A337B" w:rsidRPr="00A666BA" w:rsidRDefault="00075AEE" w:rsidP="004A1172">
            <w:pPr>
              <w:jc w:val="right"/>
              <w:rPr>
                <w:lang w:eastAsia="en-AU"/>
              </w:rPr>
            </w:pPr>
            <w:r w:rsidRPr="00A666BA">
              <w:rPr>
                <w:lang w:eastAsia="en-AU"/>
              </w:rPr>
              <w:t>$78,828</w:t>
            </w:r>
          </w:p>
        </w:tc>
        <w:tc>
          <w:tcPr>
            <w:tcW w:w="3685" w:type="dxa"/>
            <w:tcBorders>
              <w:left w:val="single" w:sz="4" w:space="0" w:color="auto"/>
              <w:bottom w:val="single" w:sz="4" w:space="0" w:color="auto"/>
              <w:right w:val="single" w:sz="4" w:space="0" w:color="auto"/>
            </w:tcBorders>
            <w:shd w:val="clear" w:color="auto" w:fill="auto"/>
            <w:noWrap/>
            <w:vAlign w:val="bottom"/>
          </w:tcPr>
          <w:p w:rsidR="006A337B" w:rsidRPr="00A666BA" w:rsidRDefault="00F628D7" w:rsidP="00BA00CD">
            <w:pPr>
              <w:rPr>
                <w:lang w:eastAsia="en-AU"/>
              </w:rPr>
            </w:pPr>
            <w:r w:rsidRPr="00A666BA">
              <w:rPr>
                <w:lang w:eastAsia="en-AU"/>
              </w:rPr>
              <w:t>Funds carried over to 2013</w:t>
            </w:r>
          </w:p>
        </w:tc>
      </w:tr>
      <w:tr w:rsidR="00A666BA" w:rsidRPr="00A666BA" w:rsidTr="004A1172">
        <w:trPr>
          <w:trHeight w:val="22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BA00CD">
            <w:pPr>
              <w:pStyle w:val="boldheadings"/>
              <w:rPr>
                <w:lang w:eastAsia="en-AU"/>
              </w:rPr>
            </w:pPr>
            <w:r w:rsidRPr="00A666BA">
              <w:rPr>
                <w:lang w:eastAsia="en-AU"/>
              </w:rPr>
              <w:t>Mentoring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4A1172" w:rsidRDefault="006A337B" w:rsidP="004A1172">
            <w:pPr>
              <w:jc w:val="right"/>
              <w:rPr>
                <w:b/>
                <w:lang w:eastAsia="en-AU"/>
              </w:rPr>
            </w:pPr>
            <w:r w:rsidRPr="004A1172">
              <w:rPr>
                <w:b/>
                <w:lang w:eastAsia="en-AU"/>
              </w:rPr>
              <w:t>$1,150,000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$300,000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r w:rsidRPr="00A666BA">
              <w:rPr>
                <w:lang w:eastAsia="en-AU"/>
              </w:rPr>
              <w:t>$414,524</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86401B" w:rsidP="00BA00CD">
            <w:pPr>
              <w:rPr>
                <w:lang w:eastAsia="en-AU"/>
              </w:rPr>
            </w:pPr>
            <w:r w:rsidRPr="00A666BA">
              <w:rPr>
                <w:lang w:eastAsia="en-AU"/>
              </w:rPr>
              <w:t>Financial/calendar year difference in expenditure</w:t>
            </w:r>
            <w:r w:rsidR="003A7506" w:rsidRPr="00A666BA">
              <w:rPr>
                <w:lang w:eastAsia="en-AU"/>
              </w:rPr>
              <w:t xml:space="preserve"> </w:t>
            </w:r>
          </w:p>
        </w:tc>
      </w:tr>
      <w:tr w:rsidR="00A666BA" w:rsidRPr="00A666BA" w:rsidTr="004A1172">
        <w:trPr>
          <w:trHeight w:val="22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BA00CD">
            <w:pPr>
              <w:pStyle w:val="boldheadings"/>
              <w:rPr>
                <w:lang w:eastAsia="en-AU"/>
              </w:rPr>
            </w:pPr>
            <w:r w:rsidRPr="00A666BA">
              <w:rPr>
                <w:lang w:eastAsia="en-AU"/>
              </w:rPr>
              <w:t>Aboriginal Specific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4A1172" w:rsidRDefault="006A337B" w:rsidP="004A1172">
            <w:pPr>
              <w:jc w:val="right"/>
              <w:rPr>
                <w:b/>
                <w:lang w:eastAsia="en-AU"/>
              </w:rPr>
            </w:pPr>
            <w:r w:rsidRPr="004A1172">
              <w:rPr>
                <w:b/>
                <w:lang w:eastAsia="en-AU"/>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0B1328" w:rsidP="004A1172">
            <w:pPr>
              <w:jc w:val="right"/>
              <w:rPr>
                <w:lang w:eastAsia="en-AU"/>
              </w:rPr>
            </w:pPr>
            <w:r w:rsidRPr="00A666BA">
              <w:rPr>
                <w:lang w:eastAsia="en-AU"/>
              </w:rPr>
              <w:t>$92,554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0B1328" w:rsidP="004A1172">
            <w:pPr>
              <w:jc w:val="right"/>
              <w:rPr>
                <w:lang w:eastAsia="en-AU"/>
              </w:rPr>
            </w:pPr>
            <w:r w:rsidRPr="00A666BA">
              <w:rPr>
                <w:lang w:eastAsia="en-AU"/>
              </w:rPr>
              <w:t>$61,115</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BA00CD">
            <w:pPr>
              <w:rPr>
                <w:lang w:eastAsia="en-AU"/>
              </w:rPr>
            </w:pPr>
          </w:p>
        </w:tc>
      </w:tr>
      <w:tr w:rsidR="00A666BA" w:rsidRPr="00A666BA" w:rsidTr="004A1172">
        <w:trPr>
          <w:trHeight w:val="22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BA00CD">
            <w:pPr>
              <w:pStyle w:val="boldheadings"/>
              <w:rPr>
                <w:lang w:eastAsia="en-AU"/>
              </w:rPr>
            </w:pPr>
            <w:r w:rsidRPr="00A666BA">
              <w:rPr>
                <w:lang w:eastAsia="en-AU"/>
              </w:rPr>
              <w:t>Salaries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4A1172" w:rsidRDefault="006A337B" w:rsidP="004A1172">
            <w:pPr>
              <w:jc w:val="right"/>
              <w:rPr>
                <w:b/>
                <w:lang w:eastAsia="en-AU"/>
              </w:rPr>
            </w:pPr>
            <w:r w:rsidRPr="004A1172">
              <w:rPr>
                <w:b/>
                <w:lang w:eastAsia="en-AU"/>
              </w:rPr>
              <w:t>$570,000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6A337B" w:rsidRPr="00A666BA" w:rsidRDefault="006A337B" w:rsidP="004A1172">
            <w:pPr>
              <w:jc w:val="right"/>
              <w:rPr>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0B1328" w:rsidP="004A1172">
            <w:pPr>
              <w:jc w:val="right"/>
              <w:rPr>
                <w:lang w:eastAsia="en-AU"/>
              </w:rPr>
            </w:pPr>
            <w:r w:rsidRPr="00A666BA">
              <w:rPr>
                <w:lang w:eastAsia="en-AU"/>
              </w:rPr>
              <w:t>$268,962</w:t>
            </w:r>
          </w:p>
        </w:tc>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A337B" w:rsidRPr="00A666BA" w:rsidRDefault="006A337B" w:rsidP="00BA00CD">
            <w:pPr>
              <w:rPr>
                <w:lang w:eastAsia="en-AU"/>
              </w:rPr>
            </w:pPr>
          </w:p>
        </w:tc>
      </w:tr>
      <w:tr w:rsidR="00A666BA" w:rsidRPr="00A666BA" w:rsidTr="004A1172">
        <w:trPr>
          <w:trHeight w:val="22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37B" w:rsidRPr="00A666BA" w:rsidRDefault="006A337B" w:rsidP="00BA00CD">
            <w:pPr>
              <w:pStyle w:val="boldheadings"/>
              <w:rPr>
                <w:lang w:eastAsia="en-AU"/>
              </w:rPr>
            </w:pPr>
            <w:r w:rsidRPr="00A666BA">
              <w:rPr>
                <w:lang w:eastAsia="en-AU"/>
              </w:rPr>
              <w:t>TOTAL</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A337B" w:rsidRPr="004A1172" w:rsidRDefault="006A337B" w:rsidP="004A1172">
            <w:pPr>
              <w:jc w:val="right"/>
              <w:rPr>
                <w:b/>
                <w:lang w:eastAsia="en-AU"/>
              </w:rPr>
            </w:pPr>
            <w:r w:rsidRPr="004A1172">
              <w:rPr>
                <w:b/>
                <w:lang w:eastAsia="en-AU"/>
              </w:rPr>
              <w:t>$11,244,760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A337B" w:rsidRPr="00A666BA" w:rsidRDefault="006A337B" w:rsidP="004A1172">
            <w:pPr>
              <w:jc w:val="right"/>
              <w:rPr>
                <w:lang w:eastAsia="en-AU"/>
              </w:rPr>
            </w:pP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6A337B" w:rsidRPr="00A666BA" w:rsidRDefault="006A337B" w:rsidP="00BA00CD">
            <w:pPr>
              <w:rPr>
                <w:lang w:eastAsia="en-AU"/>
              </w:rPr>
            </w:pPr>
          </w:p>
        </w:tc>
      </w:tr>
    </w:tbl>
    <w:p w:rsidR="00EC7A08" w:rsidRDefault="00EC7A08" w:rsidP="00EC7A08">
      <w:pPr>
        <w:spacing w:line="240" w:lineRule="auto"/>
      </w:pPr>
    </w:p>
    <w:p w:rsidR="00EC7A08" w:rsidRDefault="00EC7A08">
      <w:pPr>
        <w:spacing w:line="240" w:lineRule="auto"/>
      </w:pPr>
      <w:r>
        <w:br w:type="page"/>
      </w:r>
    </w:p>
    <w:p w:rsidR="000C7DAD" w:rsidRPr="002C3F70" w:rsidRDefault="000C7DAD" w:rsidP="002C3F70">
      <w:pPr>
        <w:pStyle w:val="Heading2"/>
      </w:pPr>
      <w:bookmarkStart w:id="23" w:name="_Toc384044191"/>
      <w:r w:rsidRPr="002C3F70">
        <w:lastRenderedPageBreak/>
        <w:t>6.</w:t>
      </w:r>
      <w:r w:rsidR="002C3F70" w:rsidRPr="002C3F70">
        <w:t xml:space="preserve"> </w:t>
      </w:r>
      <w:hyperlink w:anchor="_Toc320196893" w:history="1">
        <w:r w:rsidR="00365DC0" w:rsidRPr="002C3F70">
          <w:rPr>
            <w:rStyle w:val="Hyperlink"/>
            <w:color w:val="000000"/>
            <w:u w:val="none"/>
          </w:rPr>
          <w:t>Aboriginal Reporting</w:t>
        </w:r>
        <w:bookmarkEnd w:id="23"/>
      </w:hyperlink>
    </w:p>
    <w:p w:rsidR="000C7DAD" w:rsidRPr="00651B71" w:rsidRDefault="000C7DAD" w:rsidP="00A976BE">
      <w:pPr>
        <w:pStyle w:val="Heading3"/>
      </w:pPr>
      <w:r w:rsidRPr="00651B71">
        <w:t>6.1.1</w:t>
      </w:r>
      <w:r w:rsidRPr="00651B71">
        <w:tab/>
        <w:t>Department of Education</w:t>
      </w:r>
    </w:p>
    <w:p w:rsidR="00A666BA" w:rsidRPr="00A666BA" w:rsidRDefault="00A666BA" w:rsidP="004A1172">
      <w:pPr>
        <w:spacing w:line="240" w:lineRule="auto"/>
      </w:pPr>
      <w:r w:rsidRPr="00A666BA">
        <w:rPr>
          <w:u w:val="single"/>
        </w:rPr>
        <w:t>The Clontarf Football Academy</w:t>
      </w:r>
      <w:r w:rsidRPr="00A666BA">
        <w:t xml:space="preserve"> program expanded to 22 public schools in 2012 with new programs commencing in Fitzroy Valley District High School (Fitzroy Crossing) and </w:t>
      </w:r>
      <w:proofErr w:type="spellStart"/>
      <w:r w:rsidRPr="00A666BA">
        <w:t>Coodanup</w:t>
      </w:r>
      <w:proofErr w:type="spellEnd"/>
      <w:r w:rsidRPr="00A666BA">
        <w:t xml:space="preserve"> Community College (Mandurah). Schools are selected to have a Clontarf Academy based on the Department’s attendance, retention and behavioural data and the number of Aboriginal male students in that locality. The Academies use Australian Rules football as a vehicle to attract and retain Aboriginal male students to improve attendance, retention, attainment and successful transitions into further education, training or meaningful employment.</w:t>
      </w:r>
    </w:p>
    <w:p w:rsidR="00A666BA" w:rsidRPr="00A666BA" w:rsidRDefault="00A666BA" w:rsidP="004A1172">
      <w:pPr>
        <w:spacing w:line="240" w:lineRule="auto"/>
      </w:pPr>
      <w:r w:rsidRPr="00A666BA">
        <w:t xml:space="preserve">Academy students receive mentoring and support to develop their health and wellbeing, </w:t>
      </w:r>
      <w:proofErr w:type="spellStart"/>
      <w:r w:rsidRPr="00A666BA">
        <w:t>self esteem</w:t>
      </w:r>
      <w:proofErr w:type="spellEnd"/>
      <w:r w:rsidRPr="00A666BA">
        <w:t xml:space="preserve"> and life skills. Students must attend school regularly, apply themselves to study and embrace behaviour and </w:t>
      </w:r>
      <w:proofErr w:type="spellStart"/>
      <w:r w:rsidRPr="00A666BA">
        <w:t>self discipline</w:t>
      </w:r>
      <w:proofErr w:type="spellEnd"/>
      <w:r w:rsidRPr="00A666BA">
        <w:t xml:space="preserve"> requirements to remain in the program. </w:t>
      </w:r>
    </w:p>
    <w:p w:rsidR="00A666BA" w:rsidRDefault="00A666BA" w:rsidP="004A1172">
      <w:pPr>
        <w:spacing w:line="240" w:lineRule="auto"/>
      </w:pPr>
      <w:r w:rsidRPr="00A666BA">
        <w:t>The Academy works in on-site partnerships with public schools and is administered by the Clontarf Foundation. Approximately one third of funding is provided by each of the State, Australian Government and corporate sponsors</w:t>
      </w:r>
    </w:p>
    <w:p w:rsidR="00B36638" w:rsidRPr="00F36CB5" w:rsidRDefault="00A666BA" w:rsidP="004A1172">
      <w:pPr>
        <w:pStyle w:val="ListParagraph"/>
        <w:numPr>
          <w:ilvl w:val="0"/>
          <w:numId w:val="32"/>
        </w:numPr>
        <w:spacing w:line="240" w:lineRule="auto"/>
      </w:pPr>
      <w:r w:rsidRPr="00A666BA">
        <w:rPr>
          <w:rFonts w:cs="Arial"/>
          <w:bCs/>
          <w:u w:val="single"/>
        </w:rPr>
        <w:t>The Aboriginal Tutorial Assistance Scheme (</w:t>
      </w:r>
      <w:proofErr w:type="spellStart"/>
      <w:r w:rsidRPr="00A666BA">
        <w:rPr>
          <w:rFonts w:cs="Arial"/>
          <w:bCs/>
          <w:u w:val="single"/>
        </w:rPr>
        <w:t>ATAS</w:t>
      </w:r>
      <w:proofErr w:type="spellEnd"/>
      <w:r w:rsidRPr="00A666BA">
        <w:rPr>
          <w:rFonts w:cs="Arial"/>
          <w:bCs/>
        </w:rPr>
        <w:t>)</w:t>
      </w:r>
      <w:r w:rsidRPr="00A666BA">
        <w:t xml:space="preserve"> </w:t>
      </w:r>
      <w:r w:rsidRPr="00F36CB5">
        <w:t>provides supplementary tutorial assistance to Aboriginal students to improve their literacy and numeracy skills.</w:t>
      </w:r>
    </w:p>
    <w:p w:rsidR="00A666BA" w:rsidRPr="00F36CB5" w:rsidRDefault="00A666BA" w:rsidP="004A1172">
      <w:pPr>
        <w:pStyle w:val="ListParagraph"/>
        <w:numPr>
          <w:ilvl w:val="0"/>
          <w:numId w:val="32"/>
        </w:numPr>
        <w:spacing w:line="240" w:lineRule="auto"/>
      </w:pPr>
      <w:r w:rsidRPr="003E268B">
        <w:rPr>
          <w:rFonts w:cs="Arial"/>
          <w:bCs/>
          <w:u w:val="single"/>
        </w:rPr>
        <w:t xml:space="preserve">Follow the Dream: Partnerships for </w:t>
      </w:r>
      <w:r w:rsidRPr="00F36CB5">
        <w:t>Success is a tertiary aspirations program that provides individualised support and tuition to high achieving Aboriginal secondary school students to help them achieve a successfu</w:t>
      </w:r>
      <w:r w:rsidR="00BE00CF" w:rsidRPr="00F36CB5">
        <w:t>l transition into university,</w:t>
      </w:r>
      <w:r w:rsidRPr="00F36CB5">
        <w:t xml:space="preserve"> post-school training or employment. The program operates at 25 locations throughout the State and is supported by The Graham (Polly) Farmer Foundation. Students in the program accounted for 17 (59%) of the 29 Aboriginal students in Western Australian public schools who achieved an Australian Tertiary Admission Rank (</w:t>
      </w:r>
      <w:proofErr w:type="spellStart"/>
      <w:r w:rsidRPr="00F36CB5">
        <w:t>ATAR</w:t>
      </w:r>
      <w:proofErr w:type="spellEnd"/>
      <w:r w:rsidRPr="00F36CB5">
        <w:t>) above 55 in 2012.</w:t>
      </w:r>
    </w:p>
    <w:p w:rsidR="00A666BA" w:rsidRPr="00F36CB5" w:rsidRDefault="00A666BA" w:rsidP="004A1172">
      <w:pPr>
        <w:pStyle w:val="ListParagraph"/>
        <w:numPr>
          <w:ilvl w:val="0"/>
          <w:numId w:val="32"/>
        </w:numPr>
        <w:spacing w:line="240" w:lineRule="auto"/>
      </w:pPr>
      <w:r w:rsidRPr="003E268B">
        <w:rPr>
          <w:rFonts w:cs="Arial"/>
          <w:bCs/>
          <w:u w:val="single"/>
        </w:rPr>
        <w:t>Aboriginal Education Attendance Grants</w:t>
      </w:r>
      <w:r w:rsidRPr="003E268B">
        <w:rPr>
          <w:rFonts w:cs="Arial"/>
          <w:bCs/>
        </w:rPr>
        <w:t xml:space="preserve"> </w:t>
      </w:r>
      <w:r w:rsidRPr="00F36CB5">
        <w:t xml:space="preserve">are allocated to schools to implement local strategies to improve the attendance of Aboriginal students. </w:t>
      </w:r>
    </w:p>
    <w:p w:rsidR="00A666BA" w:rsidRPr="00F36CB5" w:rsidRDefault="00A666BA" w:rsidP="004A1172">
      <w:pPr>
        <w:pStyle w:val="ListParagraph"/>
        <w:numPr>
          <w:ilvl w:val="0"/>
          <w:numId w:val="32"/>
        </w:numPr>
        <w:spacing w:line="240" w:lineRule="auto"/>
      </w:pPr>
      <w:r w:rsidRPr="003E268B">
        <w:rPr>
          <w:rFonts w:cs="Arial"/>
          <w:bCs/>
          <w:u w:val="single"/>
        </w:rPr>
        <w:t xml:space="preserve">School and Community Partnership </w:t>
      </w:r>
      <w:r w:rsidRPr="00F36CB5">
        <w:t>Agreements are formal agreements between schools and their local Aboriginal communities. The agreements are designed to enhance the attendance and achievements of Aboriginal students by enabling their parents and community to have greater involvement in school decision making and the education of their children. Through support from central and regional office staff, School and Community Partnership Agreements have been finalised in 53 Western Australian public schools.</w:t>
      </w:r>
    </w:p>
    <w:p w:rsidR="00A666BA" w:rsidRPr="00F36CB5" w:rsidRDefault="00A666BA" w:rsidP="004A1172">
      <w:pPr>
        <w:pStyle w:val="ListParagraph"/>
        <w:numPr>
          <w:ilvl w:val="0"/>
          <w:numId w:val="32"/>
        </w:numPr>
        <w:spacing w:line="240" w:lineRule="auto"/>
      </w:pPr>
      <w:r w:rsidRPr="00A666BA">
        <w:rPr>
          <w:rFonts w:cs="Arial"/>
          <w:bCs/>
          <w:u w:val="single"/>
        </w:rPr>
        <w:t>Aboriginal Support Network</w:t>
      </w:r>
      <w:r w:rsidRPr="00A666BA">
        <w:rPr>
          <w:rFonts w:cs="Arial"/>
          <w:bCs/>
        </w:rPr>
        <w:t xml:space="preserve"> - </w:t>
      </w:r>
      <w:r w:rsidRPr="00F36CB5">
        <w:t>The Department employs Aboriginal education teams throughout the State to support schools to improve outcomes in Aboriginal education. These teams include Managers of Aboriginal Education, Coordinators of Aboriginal Education, Aboriginal Liaison Officers and A</w:t>
      </w:r>
      <w:r w:rsidR="00BE00CF" w:rsidRPr="00F36CB5">
        <w:t>boriginal and Islander Education Officers</w:t>
      </w:r>
      <w:r w:rsidRPr="00F36CB5">
        <w:t xml:space="preserve">. </w:t>
      </w:r>
    </w:p>
    <w:p w:rsidR="00A666BA" w:rsidRDefault="00A666BA" w:rsidP="004A1172">
      <w:pPr>
        <w:pStyle w:val="ListParagraph"/>
        <w:numPr>
          <w:ilvl w:val="0"/>
          <w:numId w:val="32"/>
        </w:numPr>
        <w:spacing w:line="240" w:lineRule="auto"/>
      </w:pPr>
      <w:r w:rsidRPr="003E268B">
        <w:rPr>
          <w:rFonts w:cs="Arial"/>
          <w:bCs/>
          <w:u w:val="single"/>
        </w:rPr>
        <w:t>Aboriginal and Islander Education Officers</w:t>
      </w:r>
      <w:r w:rsidRPr="003E268B">
        <w:rPr>
          <w:rFonts w:cs="Arial"/>
          <w:bCs/>
        </w:rPr>
        <w:t>(</w:t>
      </w:r>
      <w:proofErr w:type="spellStart"/>
      <w:r w:rsidRPr="003E268B">
        <w:rPr>
          <w:rFonts w:cs="Arial"/>
          <w:bCs/>
        </w:rPr>
        <w:t>AIEOs</w:t>
      </w:r>
      <w:proofErr w:type="spellEnd"/>
      <w:r w:rsidRPr="003E268B">
        <w:rPr>
          <w:rFonts w:cs="Arial"/>
          <w:bCs/>
        </w:rPr>
        <w:t xml:space="preserve">) </w:t>
      </w:r>
      <w:r w:rsidRPr="00F36CB5">
        <w:t>develop, promote and maintain communication networks between Aboriginal students, their parents and caregivers, the community and school staff so that learning programs are relevant to both educational and cultural needs. They support Aboriginal students in the areas of academic achievement, participation, attendance, discipline, retention and communication.</w:t>
      </w:r>
      <w:r w:rsidR="003E268B" w:rsidRPr="00F36CB5">
        <w:t xml:space="preserve">  </w:t>
      </w:r>
      <w:r w:rsidRPr="00F36CB5">
        <w:t xml:space="preserve">A review of the </w:t>
      </w:r>
      <w:proofErr w:type="spellStart"/>
      <w:r w:rsidRPr="00F36CB5">
        <w:t>AIEO</w:t>
      </w:r>
      <w:proofErr w:type="spellEnd"/>
      <w:r w:rsidRPr="00F36CB5">
        <w:t xml:space="preserve"> program was completed by Edith Cowan University in December 2010. The findings endorsed the importance of the program and led to a number of improvements including new program guideline, an updated </w:t>
      </w:r>
      <w:proofErr w:type="spellStart"/>
      <w:r w:rsidRPr="00F36CB5">
        <w:t>AIEO</w:t>
      </w:r>
      <w:proofErr w:type="spellEnd"/>
      <w:r w:rsidRPr="00F36CB5">
        <w:t xml:space="preserve"> Handbook,</w:t>
      </w:r>
      <w:r w:rsidR="00BE00CF" w:rsidRPr="00F36CB5">
        <w:t xml:space="preserve"> </w:t>
      </w:r>
      <w:r w:rsidRPr="00F36CB5">
        <w:t xml:space="preserve">online resources to assist schools to better use and support </w:t>
      </w:r>
      <w:proofErr w:type="spellStart"/>
      <w:r w:rsidRPr="00F36CB5">
        <w:t>AIEOs</w:t>
      </w:r>
      <w:proofErr w:type="spellEnd"/>
      <w:r w:rsidRPr="00F36CB5">
        <w:t xml:space="preserve">, a professional learning program that provides </w:t>
      </w:r>
      <w:proofErr w:type="spellStart"/>
      <w:r w:rsidRPr="00F36CB5">
        <w:t>AIEOs</w:t>
      </w:r>
      <w:proofErr w:type="spellEnd"/>
      <w:r w:rsidRPr="00F36CB5">
        <w:t xml:space="preserve"> with access to Certificate III, IV and Diploma training and provides entry to a teaching qualification in 2012; and a ‘train-the-trainer’ professional learning program to up-skill </w:t>
      </w:r>
      <w:proofErr w:type="spellStart"/>
      <w:r w:rsidRPr="00F36CB5">
        <w:t>AIEOs</w:t>
      </w:r>
      <w:proofErr w:type="spellEnd"/>
      <w:r w:rsidRPr="00F36CB5">
        <w:t xml:space="preserve"> to provide better cultural awareness training for teachers and school support staff.</w:t>
      </w:r>
    </w:p>
    <w:p w:rsidR="000C7DAD" w:rsidRPr="001878B1" w:rsidRDefault="001878B1" w:rsidP="00A976BE">
      <w:pPr>
        <w:pStyle w:val="Heading3"/>
      </w:pPr>
      <w:r>
        <w:lastRenderedPageBreak/>
        <w:t>6.1.2</w:t>
      </w:r>
      <w:r>
        <w:tab/>
      </w:r>
      <w:r w:rsidR="000C7DAD" w:rsidRPr="001878B1">
        <w:t>Catholic Education Office of Western Australia</w:t>
      </w:r>
    </w:p>
    <w:p w:rsidR="00977BCA" w:rsidRDefault="00977BCA" w:rsidP="004A1172">
      <w:pPr>
        <w:pStyle w:val="ListParagraph"/>
        <w:numPr>
          <w:ilvl w:val="0"/>
          <w:numId w:val="22"/>
        </w:numPr>
        <w:spacing w:line="240" w:lineRule="auto"/>
        <w:ind w:left="284" w:hanging="284"/>
        <w:rPr>
          <w:rFonts w:cs="Arial"/>
        </w:rPr>
      </w:pPr>
      <w:r w:rsidRPr="00322C8C">
        <w:rPr>
          <w:rFonts w:cs="Arial"/>
          <w:bCs/>
          <w:u w:val="single"/>
        </w:rPr>
        <w:t>St Mary's College, Broome</w:t>
      </w:r>
      <w:r w:rsidRPr="00322C8C">
        <w:rPr>
          <w:rFonts w:cs="Arial"/>
          <w:b/>
          <w:bCs/>
        </w:rPr>
        <w:t xml:space="preserve"> </w:t>
      </w:r>
      <w:r w:rsidRPr="00F36CB5">
        <w:t>has a 48% Aboriginal population. The College implemented the Link Up program for students in Years 10 to 12 from remote communities, who live at their Broome residential college. This is a transition program with the prime objective to build relationships with staff and peers, while developing familiarity with the school environment.</w:t>
      </w:r>
    </w:p>
    <w:p w:rsidR="00977BCA" w:rsidRPr="00F36CB5" w:rsidRDefault="00977BCA" w:rsidP="004A1172">
      <w:pPr>
        <w:pStyle w:val="ListParagraph"/>
        <w:numPr>
          <w:ilvl w:val="0"/>
          <w:numId w:val="22"/>
        </w:numPr>
        <w:spacing w:line="240" w:lineRule="auto"/>
        <w:ind w:left="284" w:hanging="284"/>
      </w:pPr>
      <w:proofErr w:type="spellStart"/>
      <w:r w:rsidRPr="00322C8C">
        <w:rPr>
          <w:rFonts w:cs="Arial"/>
          <w:bCs/>
          <w:u w:val="single"/>
        </w:rPr>
        <w:t>CEOWA</w:t>
      </w:r>
      <w:proofErr w:type="spellEnd"/>
      <w:r w:rsidRPr="00322C8C">
        <w:rPr>
          <w:rFonts w:cs="Arial"/>
          <w:bCs/>
          <w:u w:val="single"/>
        </w:rPr>
        <w:t xml:space="preserve"> (CARE) School, Geraldton</w:t>
      </w:r>
      <w:r w:rsidRPr="00322C8C">
        <w:rPr>
          <w:rFonts w:cs="Arial"/>
          <w:b/>
          <w:bCs/>
        </w:rPr>
        <w:t xml:space="preserve"> </w:t>
      </w:r>
      <w:r w:rsidRPr="00F36CB5">
        <w:t>or Geraldton Flexible Learning Centre offers full-time multiyear secondary education and social inclusion programs for young people who are disenfranchised. The Centre provides young people with a varied and holistic set of learning experiences supporting them to identify and pursue transition to adulthood, employment.</w:t>
      </w:r>
    </w:p>
    <w:p w:rsidR="00977BCA" w:rsidRPr="00F36CB5" w:rsidRDefault="00977BCA" w:rsidP="004A1172">
      <w:pPr>
        <w:pStyle w:val="ListParagraph"/>
        <w:numPr>
          <w:ilvl w:val="0"/>
          <w:numId w:val="22"/>
        </w:numPr>
        <w:spacing w:line="240" w:lineRule="auto"/>
        <w:ind w:left="284" w:hanging="284"/>
      </w:pPr>
      <w:proofErr w:type="spellStart"/>
      <w:r w:rsidRPr="00322C8C">
        <w:rPr>
          <w:rFonts w:cs="Arial"/>
          <w:bCs/>
          <w:u w:val="single"/>
        </w:rPr>
        <w:t>Luurnpa</w:t>
      </w:r>
      <w:proofErr w:type="spellEnd"/>
      <w:r w:rsidRPr="00322C8C">
        <w:rPr>
          <w:rFonts w:cs="Arial"/>
          <w:bCs/>
          <w:u w:val="single"/>
        </w:rPr>
        <w:t xml:space="preserve"> Catholic School, </w:t>
      </w:r>
      <w:proofErr w:type="spellStart"/>
      <w:r w:rsidRPr="00322C8C">
        <w:rPr>
          <w:rFonts w:cs="Arial"/>
          <w:bCs/>
          <w:u w:val="single"/>
        </w:rPr>
        <w:t>Balgo</w:t>
      </w:r>
      <w:proofErr w:type="spellEnd"/>
      <w:r w:rsidRPr="00322C8C">
        <w:rPr>
          <w:rFonts w:cs="Arial"/>
          <w:bCs/>
          <w:u w:val="single"/>
        </w:rPr>
        <w:t xml:space="preserve"> </w:t>
      </w:r>
      <w:r w:rsidRPr="00F36CB5">
        <w:rPr>
          <w:u w:val="single"/>
        </w:rPr>
        <w:t>Hills</w:t>
      </w:r>
      <w:r w:rsidRPr="00F36CB5">
        <w:t xml:space="preserve"> </w:t>
      </w:r>
      <w:r w:rsidRPr="00E4528E">
        <w:t xml:space="preserve">is a large remote community with a population of 400 to 500, with significant numbers of students aged 15 and above at risk of disengagement. The </w:t>
      </w:r>
      <w:proofErr w:type="spellStart"/>
      <w:r w:rsidRPr="00E4528E">
        <w:t>Kutjungka</w:t>
      </w:r>
      <w:proofErr w:type="spellEnd"/>
      <w:r w:rsidRPr="00E4528E">
        <w:t xml:space="preserve"> Trade Training Centre opened in 2011 and engages students by including a range of courses as well as accredited training. The </w:t>
      </w:r>
      <w:proofErr w:type="spellStart"/>
      <w:r w:rsidRPr="00E4528E">
        <w:t>Tjukurrpa</w:t>
      </w:r>
      <w:proofErr w:type="spellEnd"/>
      <w:r w:rsidRPr="00E4528E">
        <w:t xml:space="preserve"> (or dreaming) that forms the basis of the Aboriginal culture within the </w:t>
      </w:r>
      <w:proofErr w:type="spellStart"/>
      <w:r w:rsidRPr="00E4528E">
        <w:t>Kutjungka</w:t>
      </w:r>
      <w:proofErr w:type="spellEnd"/>
      <w:r w:rsidRPr="00E4528E">
        <w:t xml:space="preserve"> region takes the form of storytelling, hence the success of the song writing classes. The Trade Training Centre offers educational opportunities and training within the community to both students and adults.  </w:t>
      </w:r>
      <w:proofErr w:type="spellStart"/>
      <w:r w:rsidRPr="00E4528E">
        <w:t>Luurnpa</w:t>
      </w:r>
      <w:proofErr w:type="spellEnd"/>
      <w:r w:rsidRPr="00E4528E">
        <w:t xml:space="preserve"> Catholic School is the only remote school within the Catholic system to have a Trade Training Centre which is linked to the Kimberley Training Institute.</w:t>
      </w:r>
    </w:p>
    <w:p w:rsidR="00977BCA" w:rsidRPr="00E4528E" w:rsidRDefault="00977BCA" w:rsidP="004A1172">
      <w:pPr>
        <w:pStyle w:val="ListParagraph"/>
        <w:numPr>
          <w:ilvl w:val="0"/>
          <w:numId w:val="22"/>
        </w:numPr>
        <w:adjustRightInd w:val="0"/>
        <w:spacing w:line="240" w:lineRule="auto"/>
        <w:ind w:left="284" w:hanging="284"/>
      </w:pPr>
      <w:r w:rsidRPr="00322C8C">
        <w:rPr>
          <w:rFonts w:cs="Arial"/>
          <w:bCs/>
          <w:u w:val="single"/>
        </w:rPr>
        <w:t>St Clare's (CARE) School</w:t>
      </w:r>
      <w:r w:rsidRPr="00322C8C">
        <w:rPr>
          <w:rFonts w:cs="Arial"/>
          <w:b/>
          <w:bCs/>
        </w:rPr>
        <w:t xml:space="preserve"> </w:t>
      </w:r>
      <w:r w:rsidRPr="00E4528E">
        <w:t>have 25% of their student population being Aboriginal and Torres Strait Islanders. They have high support requirements and do not cope well in mainstream education. To meet student needs, the school offers virtual environments for the students to undertake their learning and complete their VET qualifications in preparation for workforce participation. St Clare’s is having success with students achieving their WACE and the classes will be timetabled for the lead up to the WACE examinations with short courses in deportment, grooming, health and hygiene, etiquette, interview skills and healthy eating.</w:t>
      </w:r>
    </w:p>
    <w:p w:rsidR="00977BCA" w:rsidRDefault="00977BCA" w:rsidP="004A1172">
      <w:pPr>
        <w:pStyle w:val="ListParagraph"/>
        <w:numPr>
          <w:ilvl w:val="0"/>
          <w:numId w:val="22"/>
        </w:numPr>
        <w:adjustRightInd w:val="0"/>
        <w:spacing w:line="240" w:lineRule="auto"/>
        <w:ind w:left="284" w:hanging="284"/>
        <w:rPr>
          <w:rFonts w:cs="Arial"/>
        </w:rPr>
      </w:pPr>
      <w:r w:rsidRPr="00322C8C">
        <w:rPr>
          <w:rFonts w:cs="Arial"/>
          <w:u w:val="single"/>
        </w:rPr>
        <w:t>Clontarf Aboriginal College</w:t>
      </w:r>
      <w:r w:rsidRPr="00322C8C">
        <w:rPr>
          <w:rFonts w:cs="Arial"/>
          <w:b/>
        </w:rPr>
        <w:t xml:space="preserve"> </w:t>
      </w:r>
      <w:r w:rsidRPr="00E4528E">
        <w:t xml:space="preserve">has established links to offer students work experience within the mining industry. The College also offers endorsed program opportunities for the students such as the Keys for Life program which provides students an understanding of driver safety. The Aboriginal students at the college are often musical and this is the second year the music program has offered structured theory and practical music lessons which are now provided to boarding students which assists to gain credits for WACE. </w:t>
      </w:r>
      <w:r w:rsidR="00DF6829" w:rsidRPr="00E4528E">
        <w:t xml:space="preserve">The </w:t>
      </w:r>
      <w:r w:rsidRPr="00E4528E">
        <w:t>Trade Training Centre is to be operational in 2013. Students enrolled in Clontarf Aboriginal College participate in the Clontarf Football Academy outside their school program.</w:t>
      </w:r>
    </w:p>
    <w:p w:rsidR="00E4528E" w:rsidRPr="002C3F70" w:rsidRDefault="00977BCA" w:rsidP="002C3F70">
      <w:pPr>
        <w:pStyle w:val="ListParagraph"/>
        <w:numPr>
          <w:ilvl w:val="0"/>
          <w:numId w:val="22"/>
        </w:numPr>
        <w:adjustRightInd w:val="0"/>
        <w:spacing w:line="240" w:lineRule="auto"/>
        <w:ind w:left="284" w:hanging="284"/>
        <w:rPr>
          <w:rFonts w:cs="Arial"/>
        </w:rPr>
      </w:pPr>
      <w:r w:rsidRPr="00977BCA">
        <w:rPr>
          <w:rFonts w:cs="Arial"/>
          <w:u w:val="single"/>
        </w:rPr>
        <w:t xml:space="preserve">Aboriginal Teacher </w:t>
      </w:r>
      <w:proofErr w:type="gramStart"/>
      <w:r>
        <w:rPr>
          <w:rFonts w:cs="Arial"/>
          <w:u w:val="single"/>
        </w:rPr>
        <w:t>A</w:t>
      </w:r>
      <w:r w:rsidRPr="00977BCA">
        <w:rPr>
          <w:rFonts w:cs="Arial"/>
          <w:u w:val="single"/>
        </w:rPr>
        <w:t>ssistant</w:t>
      </w:r>
      <w:proofErr w:type="gramEnd"/>
      <w:r w:rsidRPr="00E4528E">
        <w:t xml:space="preserve"> training and mentoring opportunities are offered to staff to work within the Kimberley regional schools.</w:t>
      </w:r>
    </w:p>
    <w:p w:rsidR="000C7DAD" w:rsidRPr="00651B71" w:rsidRDefault="000C7DAD" w:rsidP="00A976BE">
      <w:pPr>
        <w:pStyle w:val="Heading3"/>
      </w:pPr>
      <w:r w:rsidRPr="00651B71">
        <w:t>6.1.3</w:t>
      </w:r>
      <w:r w:rsidRPr="00651B71">
        <w:tab/>
        <w:t>Association of Independent Schools of WA</w:t>
      </w:r>
    </w:p>
    <w:p w:rsidR="000C7DAD" w:rsidRPr="00651B71" w:rsidRDefault="000C7DAD" w:rsidP="004A1172">
      <w:pPr>
        <w:spacing w:line="240" w:lineRule="auto"/>
        <w:rPr>
          <w:rFonts w:cs="Arial"/>
        </w:rPr>
      </w:pPr>
      <w:r w:rsidRPr="00651B71">
        <w:rPr>
          <w:rFonts w:cs="Arial"/>
        </w:rPr>
        <w:t>Please note, as an advisory body</w:t>
      </w:r>
      <w:r w:rsidR="006836FA">
        <w:rPr>
          <w:rFonts w:cs="Arial"/>
        </w:rPr>
        <w:t>,</w:t>
      </w:r>
      <w:r w:rsidRPr="00651B71">
        <w:rPr>
          <w:rFonts w:cs="Arial"/>
        </w:rPr>
        <w:t xml:space="preserve"> </w:t>
      </w:r>
      <w:proofErr w:type="spellStart"/>
      <w:r w:rsidRPr="00651B71">
        <w:rPr>
          <w:rFonts w:cs="Arial"/>
        </w:rPr>
        <w:t>AISWA</w:t>
      </w:r>
      <w:proofErr w:type="spellEnd"/>
      <w:r w:rsidRPr="00651B71">
        <w:rPr>
          <w:rFonts w:cs="Arial"/>
        </w:rPr>
        <w:t xml:space="preserve"> does not require schools to report on all programs/</w:t>
      </w:r>
      <w:r w:rsidR="00E4528E">
        <w:rPr>
          <w:rFonts w:cs="Arial"/>
        </w:rPr>
        <w:t xml:space="preserve"> </w:t>
      </w:r>
      <w:r w:rsidRPr="00651B71">
        <w:rPr>
          <w:rFonts w:cs="Arial"/>
        </w:rPr>
        <w:t>activities undertaken in schools.</w:t>
      </w:r>
      <w:r w:rsidR="006836FA">
        <w:rPr>
          <w:rFonts w:cs="Arial"/>
        </w:rPr>
        <w:t xml:space="preserve"> The following are known to </w:t>
      </w:r>
      <w:proofErr w:type="spellStart"/>
      <w:r w:rsidR="006836FA">
        <w:rPr>
          <w:rFonts w:cs="Arial"/>
        </w:rPr>
        <w:t>AISWA</w:t>
      </w:r>
      <w:proofErr w:type="spellEnd"/>
      <w:r w:rsidR="006836FA">
        <w:rPr>
          <w:rFonts w:cs="Arial"/>
        </w:rPr>
        <w:t>:</w:t>
      </w:r>
    </w:p>
    <w:p w:rsidR="000C7DAD" w:rsidRPr="00651B71" w:rsidRDefault="000C7DAD" w:rsidP="004A1172">
      <w:pPr>
        <w:numPr>
          <w:ilvl w:val="0"/>
          <w:numId w:val="15"/>
        </w:numPr>
        <w:spacing w:line="240" w:lineRule="auto"/>
        <w:rPr>
          <w:rFonts w:cs="Arial"/>
        </w:rPr>
      </w:pPr>
      <w:r w:rsidRPr="00651B71">
        <w:rPr>
          <w:rFonts w:cs="Arial"/>
        </w:rPr>
        <w:t>Aboriginal community schools (</w:t>
      </w:r>
      <w:proofErr w:type="spellStart"/>
      <w:r w:rsidRPr="00651B71">
        <w:rPr>
          <w:rFonts w:cs="Arial"/>
        </w:rPr>
        <w:t>AICS</w:t>
      </w:r>
      <w:proofErr w:type="spellEnd"/>
      <w:r w:rsidRPr="00651B71">
        <w:rPr>
          <w:rFonts w:cs="Arial"/>
        </w:rPr>
        <w:t>) are engaged in a range of activities/programs including accelerated literacy and numeracy, YAT career development projects, VET, mentoring, partner</w:t>
      </w:r>
      <w:r w:rsidR="006836FA">
        <w:rPr>
          <w:rFonts w:cs="Arial"/>
        </w:rPr>
        <w:t>ships with metropolitan schools</w:t>
      </w:r>
      <w:r w:rsidR="00DF6829">
        <w:rPr>
          <w:rFonts w:cs="Arial"/>
        </w:rPr>
        <w:t xml:space="preserve"> and</w:t>
      </w:r>
      <w:r w:rsidRPr="00651B71">
        <w:rPr>
          <w:rFonts w:cs="Arial"/>
        </w:rPr>
        <w:t xml:space="preserve"> other independent schools programs to support their Aboriginal </w:t>
      </w:r>
      <w:r w:rsidR="003A0BE4">
        <w:rPr>
          <w:rFonts w:cs="Arial"/>
        </w:rPr>
        <w:t>students.</w:t>
      </w:r>
      <w:r w:rsidRPr="00651B71">
        <w:rPr>
          <w:rFonts w:cs="Arial"/>
        </w:rPr>
        <w:t xml:space="preserve"> </w:t>
      </w:r>
    </w:p>
    <w:p w:rsidR="000C7DAD" w:rsidRPr="00651B71" w:rsidRDefault="000C7DAD" w:rsidP="004A1172">
      <w:pPr>
        <w:numPr>
          <w:ilvl w:val="0"/>
          <w:numId w:val="15"/>
        </w:numPr>
        <w:spacing w:line="240" w:lineRule="auto"/>
        <w:rPr>
          <w:rFonts w:cs="Arial"/>
        </w:rPr>
      </w:pPr>
      <w:r w:rsidRPr="00651B71">
        <w:rPr>
          <w:rFonts w:cs="Arial"/>
        </w:rPr>
        <w:t xml:space="preserve">The </w:t>
      </w:r>
      <w:r w:rsidRPr="00651B71">
        <w:rPr>
          <w:rFonts w:cs="Arial"/>
          <w:i/>
        </w:rPr>
        <w:t>Future Footprints</w:t>
      </w:r>
      <w:r w:rsidRPr="00651B71">
        <w:rPr>
          <w:rFonts w:cs="Arial"/>
        </w:rPr>
        <w:t xml:space="preserve"> program supports Aboriginal students from remote and rural regions in Western Australia attending boarding schools in Perth. The broad aim of the program is to improve educational outcomes for Aboriginal students and thus enhance their opportunities post school to further education, employment and/or training.</w:t>
      </w:r>
    </w:p>
    <w:p w:rsidR="00E4528E" w:rsidRPr="002C3F70" w:rsidRDefault="000C7DAD" w:rsidP="002C3F70">
      <w:pPr>
        <w:numPr>
          <w:ilvl w:val="0"/>
          <w:numId w:val="15"/>
        </w:numPr>
        <w:spacing w:line="240" w:lineRule="auto"/>
        <w:rPr>
          <w:rFonts w:cs="Arial"/>
        </w:rPr>
      </w:pPr>
      <w:r w:rsidRPr="00651B71">
        <w:rPr>
          <w:rFonts w:cs="Arial"/>
        </w:rPr>
        <w:lastRenderedPageBreak/>
        <w:t>In 2012, 288 Aboriginal students predominately from the Kimberley and Pilbara regions attended 15 participating schools.</w:t>
      </w:r>
    </w:p>
    <w:p w:rsidR="000C7DAD" w:rsidRPr="00651B71" w:rsidRDefault="000C7DAD" w:rsidP="00A976BE">
      <w:pPr>
        <w:pStyle w:val="Heading3"/>
      </w:pPr>
      <w:r w:rsidRPr="00651B71">
        <w:t>6.1.4</w:t>
      </w:r>
      <w:r w:rsidRPr="00651B71">
        <w:tab/>
        <w:t>Department of Corrective Services</w:t>
      </w:r>
    </w:p>
    <w:p w:rsidR="006836FA" w:rsidRDefault="000C7DAD" w:rsidP="00F845BD">
      <w:pPr>
        <w:spacing w:after="120" w:line="240" w:lineRule="auto"/>
        <w:ind w:left="-142"/>
        <w:rPr>
          <w:rFonts w:cs="Arial"/>
        </w:rPr>
      </w:pPr>
      <w:proofErr w:type="spellStart"/>
      <w:r w:rsidRPr="00651B71">
        <w:rPr>
          <w:rFonts w:cs="Arial"/>
        </w:rPr>
        <w:t>DCS</w:t>
      </w:r>
      <w:proofErr w:type="spellEnd"/>
      <w:r w:rsidRPr="00651B71">
        <w:rPr>
          <w:rFonts w:cs="Arial"/>
        </w:rPr>
        <w:t xml:space="preserve"> continued to provide WA’s largest adult basic education program for </w:t>
      </w:r>
      <w:r w:rsidR="006836FA">
        <w:rPr>
          <w:rFonts w:cs="Arial"/>
        </w:rPr>
        <w:t xml:space="preserve">Aboriginal </w:t>
      </w:r>
      <w:r w:rsidRPr="00651B71">
        <w:rPr>
          <w:rFonts w:cs="Arial"/>
        </w:rPr>
        <w:t>people. For the last three years, inclusive of increases</w:t>
      </w:r>
      <w:r w:rsidR="006836FA">
        <w:rPr>
          <w:rFonts w:cs="Arial"/>
        </w:rPr>
        <w:t xml:space="preserve"> in prisoner population, approximately</w:t>
      </w:r>
      <w:r w:rsidRPr="00651B71">
        <w:rPr>
          <w:rFonts w:cs="Arial"/>
        </w:rPr>
        <w:t xml:space="preserve"> 40% of </w:t>
      </w:r>
      <w:r w:rsidR="006836FA">
        <w:rPr>
          <w:rFonts w:cs="Arial"/>
        </w:rPr>
        <w:t xml:space="preserve">Aboriginal </w:t>
      </w:r>
      <w:r w:rsidRPr="00651B71">
        <w:rPr>
          <w:rFonts w:cs="Arial"/>
        </w:rPr>
        <w:t xml:space="preserve">prisoners engaged in education. </w:t>
      </w:r>
    </w:p>
    <w:p w:rsidR="000C7DAD" w:rsidRPr="00651B71" w:rsidRDefault="000C7DAD" w:rsidP="00F845BD">
      <w:pPr>
        <w:spacing w:line="240" w:lineRule="auto"/>
        <w:ind w:left="-142"/>
        <w:rPr>
          <w:rFonts w:cs="Arial"/>
        </w:rPr>
      </w:pPr>
      <w:r w:rsidRPr="00651B71">
        <w:rPr>
          <w:rFonts w:cs="Arial"/>
        </w:rPr>
        <w:t xml:space="preserve">The </w:t>
      </w:r>
      <w:proofErr w:type="spellStart"/>
      <w:r w:rsidRPr="00651B71">
        <w:rPr>
          <w:rFonts w:cs="Arial"/>
        </w:rPr>
        <w:t>Fairbridge</w:t>
      </w:r>
      <w:proofErr w:type="spellEnd"/>
      <w:r w:rsidRPr="00651B71">
        <w:rPr>
          <w:rFonts w:cs="Arial"/>
        </w:rPr>
        <w:t xml:space="preserve"> </w:t>
      </w:r>
      <w:proofErr w:type="spellStart"/>
      <w:r w:rsidRPr="00651B71">
        <w:rPr>
          <w:rFonts w:cs="Arial"/>
        </w:rPr>
        <w:t>Bindjareb</w:t>
      </w:r>
      <w:proofErr w:type="spellEnd"/>
      <w:r w:rsidRPr="00651B71">
        <w:rPr>
          <w:rFonts w:cs="Arial"/>
        </w:rPr>
        <w:t xml:space="preserve"> Project, which trains </w:t>
      </w:r>
      <w:r w:rsidR="003A0BE4">
        <w:rPr>
          <w:rFonts w:cs="Arial"/>
        </w:rPr>
        <w:t>and</w:t>
      </w:r>
      <w:r w:rsidRPr="00651B71">
        <w:rPr>
          <w:rFonts w:cs="Arial"/>
        </w:rPr>
        <w:t xml:space="preserve"> places Aboriginal men in the mining and associated industries won a national </w:t>
      </w:r>
      <w:proofErr w:type="spellStart"/>
      <w:r w:rsidRPr="00651B71">
        <w:rPr>
          <w:rFonts w:cs="Arial"/>
        </w:rPr>
        <w:t>Comcare</w:t>
      </w:r>
      <w:proofErr w:type="spellEnd"/>
      <w:r w:rsidRPr="00651B71">
        <w:rPr>
          <w:rFonts w:cs="Arial"/>
        </w:rPr>
        <w:t xml:space="preserve"> Work He</w:t>
      </w:r>
      <w:r w:rsidR="00FC1AE2">
        <w:rPr>
          <w:rFonts w:cs="Arial"/>
        </w:rPr>
        <w:t xml:space="preserve">alth and Safety </w:t>
      </w:r>
      <w:proofErr w:type="gramStart"/>
      <w:r w:rsidR="00FC1AE2">
        <w:rPr>
          <w:rFonts w:cs="Arial"/>
        </w:rPr>
        <w:t>a</w:t>
      </w:r>
      <w:r w:rsidRPr="00651B71">
        <w:rPr>
          <w:rFonts w:cs="Arial"/>
        </w:rPr>
        <w:t>ward.</w:t>
      </w:r>
      <w:proofErr w:type="gramEnd"/>
    </w:p>
    <w:p w:rsidR="000C7DAD" w:rsidRPr="001878B1" w:rsidRDefault="001878B1" w:rsidP="00A976BE">
      <w:pPr>
        <w:pStyle w:val="Heading3"/>
      </w:pPr>
      <w:r w:rsidRPr="001878B1">
        <w:t>6.2</w:t>
      </w:r>
      <w:r w:rsidRPr="001878B1">
        <w:tab/>
      </w:r>
      <w:r w:rsidR="000C7DAD" w:rsidRPr="001878B1">
        <w:t>Training sector initiatives</w:t>
      </w:r>
    </w:p>
    <w:p w:rsidR="00E4528E" w:rsidRPr="00651B71" w:rsidRDefault="000C7DAD" w:rsidP="002C3F70">
      <w:pPr>
        <w:spacing w:line="240" w:lineRule="auto"/>
        <w:ind w:left="-142" w:right="423"/>
        <w:rPr>
          <w:rFonts w:cs="Arial"/>
        </w:rPr>
      </w:pPr>
      <w:r w:rsidRPr="00651B71">
        <w:rPr>
          <w:rFonts w:cs="Arial"/>
        </w:rPr>
        <w:t xml:space="preserve">All participation and attainment strategies within Western Australia’s </w:t>
      </w:r>
      <w:proofErr w:type="spellStart"/>
      <w:r w:rsidRPr="0092548B">
        <w:rPr>
          <w:rFonts w:cs="Arial"/>
        </w:rPr>
        <w:t>MEAST</w:t>
      </w:r>
      <w:proofErr w:type="spellEnd"/>
      <w:r w:rsidRPr="00651B71">
        <w:rPr>
          <w:rFonts w:cs="Arial"/>
        </w:rPr>
        <w:t xml:space="preserve"> reforms are Aboriginal inclusive.</w:t>
      </w:r>
    </w:p>
    <w:p w:rsidR="000C7DAD" w:rsidRPr="00651B71" w:rsidRDefault="000C7DAD" w:rsidP="002C3F70">
      <w:pPr>
        <w:pStyle w:val="Heading3"/>
      </w:pPr>
      <w:r w:rsidRPr="00651B71">
        <w:t>6.2.1</w:t>
      </w:r>
      <w:r w:rsidRPr="00651B71">
        <w:tab/>
        <w:t>Aboriginal Literacy Project</w:t>
      </w:r>
    </w:p>
    <w:p w:rsidR="00E4528E" w:rsidRPr="00651B71" w:rsidRDefault="000C7DAD" w:rsidP="002C3F70">
      <w:pPr>
        <w:spacing w:line="240" w:lineRule="auto"/>
        <w:ind w:left="-142"/>
        <w:rPr>
          <w:rFonts w:cs="Arial"/>
          <w:lang w:eastAsia="en-AU"/>
        </w:rPr>
      </w:pPr>
      <w:r w:rsidRPr="00651B71">
        <w:rPr>
          <w:rFonts w:cs="Arial"/>
          <w:lang w:eastAsia="en-AU"/>
        </w:rPr>
        <w:t>This Aboriginal specific project is being developed to address the significant language use disparity that often occurs between speakers of Standard English and sp</w:t>
      </w:r>
      <w:r w:rsidR="002E4BFE">
        <w:rPr>
          <w:rFonts w:cs="Arial"/>
          <w:lang w:eastAsia="en-AU"/>
        </w:rPr>
        <w:t>eakers of Aboriginal English or Kriol</w:t>
      </w:r>
      <w:r w:rsidRPr="00651B71">
        <w:rPr>
          <w:rFonts w:cs="Arial"/>
          <w:lang w:eastAsia="en-AU"/>
        </w:rPr>
        <w:t>.</w:t>
      </w:r>
      <w:r w:rsidR="00E569DB">
        <w:rPr>
          <w:rFonts w:cs="Arial"/>
          <w:lang w:eastAsia="en-AU"/>
        </w:rPr>
        <w:t xml:space="preserve"> </w:t>
      </w:r>
      <w:r w:rsidRPr="00651B71">
        <w:rPr>
          <w:rFonts w:cs="Arial"/>
          <w:lang w:eastAsia="en-AU"/>
        </w:rPr>
        <w:t xml:space="preserve">Work has been undertaken on the design of a certificate III course that incorporates the principles of Two-Way teaching and learning described in the </w:t>
      </w:r>
      <w:r w:rsidRPr="00651B71">
        <w:rPr>
          <w:rFonts w:cs="Arial"/>
          <w:i/>
          <w:iCs/>
          <w:lang w:eastAsia="en-AU"/>
        </w:rPr>
        <w:t xml:space="preserve">Tracks to Two-Way Learning </w:t>
      </w:r>
      <w:r w:rsidRPr="00651B71">
        <w:rPr>
          <w:rFonts w:cs="Arial"/>
          <w:lang w:eastAsia="en-AU"/>
        </w:rPr>
        <w:t>professional development resource launched in October 2012.  A Reference Group was formed with membership comprising both Aboriginal and non-Aboriginal expertise. </w:t>
      </w:r>
      <w:r w:rsidR="00A666BA">
        <w:rPr>
          <w:rFonts w:cs="Arial"/>
          <w:lang w:eastAsia="en-AU"/>
        </w:rPr>
        <w:t xml:space="preserve"> The needs of both</w:t>
      </w:r>
      <w:r w:rsidR="002B76F4">
        <w:rPr>
          <w:rFonts w:cs="Arial"/>
          <w:lang w:eastAsia="en-AU"/>
        </w:rPr>
        <w:t xml:space="preserve"> dialect and c</w:t>
      </w:r>
      <w:r w:rsidRPr="00651B71">
        <w:rPr>
          <w:rFonts w:cs="Arial"/>
          <w:lang w:eastAsia="en-AU"/>
        </w:rPr>
        <w:t>reole speakers have been considered.  A Course Concept Proposal was developed for endorsement from the Training Accreditation Council (</w:t>
      </w:r>
      <w:proofErr w:type="spellStart"/>
      <w:r w:rsidRPr="00651B71">
        <w:rPr>
          <w:rFonts w:cs="Arial"/>
          <w:lang w:eastAsia="en-AU"/>
        </w:rPr>
        <w:t>TAC</w:t>
      </w:r>
      <w:proofErr w:type="spellEnd"/>
      <w:r w:rsidRPr="00651B71">
        <w:rPr>
          <w:rFonts w:cs="Arial"/>
          <w:lang w:eastAsia="en-AU"/>
        </w:rPr>
        <w:t xml:space="preserve">).  When the course concept was approved the course accreditation document, course structure and course modules were written. The course accreditation documents for a </w:t>
      </w:r>
      <w:r w:rsidRPr="00651B71">
        <w:rPr>
          <w:rFonts w:cs="Arial"/>
          <w:i/>
          <w:iCs/>
          <w:lang w:eastAsia="en-AU"/>
        </w:rPr>
        <w:t xml:space="preserve">Certificate III in Two-Way Aboriginal liaison </w:t>
      </w:r>
      <w:r w:rsidRPr="00651B71">
        <w:rPr>
          <w:rFonts w:cs="Arial"/>
          <w:lang w:eastAsia="en-AU"/>
        </w:rPr>
        <w:t>w</w:t>
      </w:r>
      <w:r w:rsidR="00DF6829">
        <w:rPr>
          <w:rFonts w:cs="Arial"/>
          <w:lang w:eastAsia="en-AU"/>
        </w:rPr>
        <w:t xml:space="preserve">as </w:t>
      </w:r>
      <w:r w:rsidRPr="00651B71">
        <w:rPr>
          <w:rFonts w:cs="Arial"/>
          <w:lang w:eastAsia="en-AU"/>
        </w:rPr>
        <w:t xml:space="preserve">submitted to </w:t>
      </w:r>
      <w:proofErr w:type="spellStart"/>
      <w:r w:rsidRPr="00651B71">
        <w:rPr>
          <w:rFonts w:cs="Arial"/>
          <w:lang w:eastAsia="en-AU"/>
        </w:rPr>
        <w:t>TAC</w:t>
      </w:r>
      <w:proofErr w:type="spellEnd"/>
      <w:r w:rsidRPr="00651B71">
        <w:rPr>
          <w:rFonts w:cs="Arial"/>
          <w:lang w:eastAsia="en-AU"/>
        </w:rPr>
        <w:t xml:space="preserve"> in </w:t>
      </w:r>
      <w:r w:rsidR="00DF6829">
        <w:rPr>
          <w:rFonts w:cs="Arial"/>
          <w:lang w:eastAsia="en-AU"/>
        </w:rPr>
        <w:t>June</w:t>
      </w:r>
      <w:r w:rsidRPr="00651B71">
        <w:rPr>
          <w:rFonts w:cs="Arial"/>
          <w:lang w:eastAsia="en-AU"/>
        </w:rPr>
        <w:t xml:space="preserve"> 2013. One registered training organisation has agreed to put the new qualification on its scope of delivery and this process will begin when the course documents are submitted for accreditation. It is proposed to establish two pilots commencing later in 2013 and into 2014.</w:t>
      </w:r>
    </w:p>
    <w:p w:rsidR="000C7DAD" w:rsidRPr="00A976BE" w:rsidRDefault="000C7DAD" w:rsidP="002C3F70">
      <w:pPr>
        <w:pStyle w:val="Heading3"/>
      </w:pPr>
      <w:r w:rsidRPr="00A976BE">
        <w:t>6.2.2</w:t>
      </w:r>
      <w:r w:rsidRPr="00A976BE">
        <w:tab/>
        <w:t>Aboriginal Workforce Development Centres</w:t>
      </w:r>
    </w:p>
    <w:p w:rsidR="00B36638" w:rsidRDefault="000C7DAD" w:rsidP="00F845BD">
      <w:pPr>
        <w:spacing w:line="240" w:lineRule="auto"/>
        <w:ind w:left="-142"/>
        <w:rPr>
          <w:rFonts w:cs="Arial"/>
        </w:rPr>
      </w:pPr>
      <w:r w:rsidRPr="00651B71">
        <w:rPr>
          <w:rFonts w:cs="Arial"/>
        </w:rPr>
        <w:t xml:space="preserve">The Western Australian Government </w:t>
      </w:r>
      <w:r w:rsidR="00322C8C">
        <w:rPr>
          <w:rFonts w:cs="Arial"/>
        </w:rPr>
        <w:t xml:space="preserve">established an </w:t>
      </w:r>
      <w:r w:rsidRPr="00651B71">
        <w:rPr>
          <w:rFonts w:cs="Arial"/>
        </w:rPr>
        <w:t>Aboriginal Workfo</w:t>
      </w:r>
      <w:r w:rsidR="00322C8C">
        <w:rPr>
          <w:rFonts w:cs="Arial"/>
        </w:rPr>
        <w:t>rce Development Centre (</w:t>
      </w:r>
      <w:proofErr w:type="spellStart"/>
      <w:r w:rsidR="00322C8C">
        <w:rPr>
          <w:rFonts w:cs="Arial"/>
        </w:rPr>
        <w:t>AWDC</w:t>
      </w:r>
      <w:proofErr w:type="spellEnd"/>
      <w:r w:rsidR="00322C8C">
        <w:rPr>
          <w:rFonts w:cs="Arial"/>
        </w:rPr>
        <w:t xml:space="preserve">) Network across the State - </w:t>
      </w:r>
      <w:r w:rsidRPr="00651B71">
        <w:rPr>
          <w:rFonts w:cs="Arial"/>
        </w:rPr>
        <w:t>Perth central business district</w:t>
      </w:r>
      <w:r w:rsidR="00322C8C">
        <w:rPr>
          <w:rFonts w:cs="Arial"/>
        </w:rPr>
        <w:t xml:space="preserve">, </w:t>
      </w:r>
      <w:r w:rsidRPr="00651B71">
        <w:rPr>
          <w:rFonts w:cs="Arial"/>
        </w:rPr>
        <w:t>South West (Bunbury), West Kimberley (Broome), Mid West (Geraldton) and Goldfields (Kalgoorlie)</w:t>
      </w:r>
      <w:r w:rsidR="00322C8C">
        <w:rPr>
          <w:rFonts w:cs="Arial"/>
        </w:rPr>
        <w:t>.</w:t>
      </w:r>
      <w:r w:rsidRPr="00651B71">
        <w:rPr>
          <w:rFonts w:cs="Arial"/>
        </w:rPr>
        <w:t xml:space="preserve"> The Centres work with Aboriginal people a</w:t>
      </w:r>
      <w:r w:rsidR="00322C8C">
        <w:rPr>
          <w:rFonts w:cs="Arial"/>
        </w:rPr>
        <w:t>nd employers to match people to real jobs</w:t>
      </w:r>
      <w:r w:rsidR="00144049">
        <w:rPr>
          <w:rFonts w:cs="Arial"/>
        </w:rPr>
        <w:t xml:space="preserve">, </w:t>
      </w:r>
      <w:r w:rsidR="00322C8C">
        <w:rPr>
          <w:rFonts w:cs="Arial"/>
        </w:rPr>
        <w:t xml:space="preserve">and </w:t>
      </w:r>
      <w:r w:rsidRPr="00651B71">
        <w:rPr>
          <w:rFonts w:cs="Arial"/>
        </w:rPr>
        <w:t>are designed to highlight job opportunities available for Aboriginal people and the advantages to employers of ensuring that Aboriginal people have a place in their workforce.</w:t>
      </w:r>
    </w:p>
    <w:p w:rsidR="00D04B1B" w:rsidRDefault="00D04B1B" w:rsidP="00F845BD">
      <w:pPr>
        <w:spacing w:line="240" w:lineRule="auto"/>
        <w:ind w:left="-142"/>
        <w:rPr>
          <w:rFonts w:cs="Arial"/>
        </w:rPr>
      </w:pPr>
    </w:p>
    <w:p w:rsidR="000C7DAD" w:rsidRPr="00651B71" w:rsidRDefault="000C7DAD" w:rsidP="00F845BD">
      <w:pPr>
        <w:spacing w:line="240" w:lineRule="auto"/>
        <w:ind w:left="-142"/>
        <w:rPr>
          <w:rFonts w:cs="Arial"/>
        </w:rPr>
      </w:pPr>
      <w:r w:rsidRPr="00651B71">
        <w:rPr>
          <w:rFonts w:cs="Arial"/>
        </w:rPr>
        <w:t>The Centres facilitate connections to optimise existing services and fill gaps where ne</w:t>
      </w:r>
      <w:r w:rsidR="00322C8C">
        <w:rPr>
          <w:rFonts w:cs="Arial"/>
        </w:rPr>
        <w:t xml:space="preserve">cessary, within a local context, and </w:t>
      </w:r>
      <w:r w:rsidR="00322C8C" w:rsidRPr="00651B71">
        <w:rPr>
          <w:rFonts w:cs="Arial"/>
        </w:rPr>
        <w:t xml:space="preserve">work closely with schools and other program providers such as the Youth Connections, Partnership Brokers to provide support and build greater aspiration among students in </w:t>
      </w:r>
      <w:r w:rsidR="00D92070">
        <w:rPr>
          <w:rFonts w:cs="Arial"/>
        </w:rPr>
        <w:t>Y</w:t>
      </w:r>
      <w:r w:rsidR="00322C8C" w:rsidRPr="00651B71">
        <w:rPr>
          <w:rFonts w:cs="Arial"/>
        </w:rPr>
        <w:t>ears 10, 11 and 12.</w:t>
      </w:r>
    </w:p>
    <w:p w:rsidR="000C7DAD" w:rsidRPr="00651B71" w:rsidRDefault="000C7DAD" w:rsidP="00F845BD">
      <w:pPr>
        <w:spacing w:line="240" w:lineRule="auto"/>
        <w:ind w:left="-142"/>
        <w:rPr>
          <w:rFonts w:cs="Arial"/>
        </w:rPr>
      </w:pPr>
    </w:p>
    <w:p w:rsidR="00E4528E" w:rsidRPr="00651B71" w:rsidRDefault="000C7DAD" w:rsidP="002C3F70">
      <w:pPr>
        <w:spacing w:line="240" w:lineRule="auto"/>
        <w:ind w:left="-142" w:right="-30"/>
        <w:rPr>
          <w:rFonts w:cs="Arial"/>
        </w:rPr>
      </w:pPr>
      <w:r w:rsidRPr="00651B71">
        <w:rPr>
          <w:rFonts w:cs="Arial"/>
        </w:rPr>
        <w:t>By working in collaborative partnerships with existing service providers, the</w:t>
      </w:r>
      <w:r w:rsidR="00322C8C">
        <w:rPr>
          <w:rFonts w:cs="Arial"/>
        </w:rPr>
        <w:t xml:space="preserve"> </w:t>
      </w:r>
      <w:proofErr w:type="spellStart"/>
      <w:r w:rsidR="00322C8C">
        <w:rPr>
          <w:rFonts w:cs="Arial"/>
        </w:rPr>
        <w:t>AWDC’</w:t>
      </w:r>
      <w:r w:rsidRPr="00651B71">
        <w:rPr>
          <w:rFonts w:cs="Arial"/>
        </w:rPr>
        <w:t>s</w:t>
      </w:r>
      <w:proofErr w:type="spellEnd"/>
      <w:r w:rsidRPr="00651B71">
        <w:rPr>
          <w:rFonts w:cs="Arial"/>
        </w:rPr>
        <w:t xml:space="preserve"> aim to play a key role in facilitating pathways for Aboriginal people aged 15</w:t>
      </w:r>
      <w:r w:rsidR="00937B46">
        <w:rPr>
          <w:rFonts w:cs="Arial"/>
        </w:rPr>
        <w:t xml:space="preserve"> to </w:t>
      </w:r>
      <w:r w:rsidRPr="00651B71">
        <w:rPr>
          <w:rFonts w:cs="Arial"/>
        </w:rPr>
        <w:t xml:space="preserve">24 to meaningful training and sustainable employment. </w:t>
      </w:r>
      <w:r w:rsidR="00322C8C">
        <w:rPr>
          <w:rFonts w:cs="Arial"/>
        </w:rPr>
        <w:t xml:space="preserve">During </w:t>
      </w:r>
      <w:r w:rsidRPr="00651B71">
        <w:rPr>
          <w:rFonts w:cs="Arial"/>
        </w:rPr>
        <w:t xml:space="preserve">2012, the </w:t>
      </w:r>
      <w:proofErr w:type="spellStart"/>
      <w:r w:rsidRPr="00651B71">
        <w:rPr>
          <w:rFonts w:cs="Arial"/>
        </w:rPr>
        <w:t>A</w:t>
      </w:r>
      <w:r w:rsidR="00322C8C">
        <w:rPr>
          <w:rFonts w:cs="Arial"/>
        </w:rPr>
        <w:t>WDC</w:t>
      </w:r>
      <w:proofErr w:type="spellEnd"/>
      <w:r w:rsidRPr="00651B71">
        <w:rPr>
          <w:rFonts w:cs="Arial"/>
        </w:rPr>
        <w:t xml:space="preserve"> assisted over 630 job seekers into jobs or further training. Of those who identif</w:t>
      </w:r>
      <w:r w:rsidR="00DF6829">
        <w:rPr>
          <w:rFonts w:cs="Arial"/>
        </w:rPr>
        <w:t>ied their age approximately 27% were</w:t>
      </w:r>
      <w:r w:rsidRPr="00651B71">
        <w:rPr>
          <w:rFonts w:cs="Arial"/>
        </w:rPr>
        <w:t xml:space="preserve"> aged between 15 and 24.</w:t>
      </w:r>
    </w:p>
    <w:p w:rsidR="000C7DAD" w:rsidRPr="005A7254" w:rsidRDefault="000C7DAD" w:rsidP="002C3F70">
      <w:pPr>
        <w:pStyle w:val="Heading3"/>
      </w:pPr>
      <w:r w:rsidRPr="005A7254">
        <w:lastRenderedPageBreak/>
        <w:t>6.2.3</w:t>
      </w:r>
      <w:r w:rsidRPr="005A7254">
        <w:tab/>
        <w:t>Aboriginal School Based Training Program</w:t>
      </w:r>
      <w:r w:rsidR="00E569DB">
        <w:t xml:space="preserve"> </w:t>
      </w:r>
    </w:p>
    <w:p w:rsidR="000C7DAD" w:rsidRPr="004A1172" w:rsidRDefault="000C7DAD" w:rsidP="00BD7DAB">
      <w:pPr>
        <w:pStyle w:val="NormalWeb"/>
        <w:spacing w:before="0" w:beforeAutospacing="0" w:after="0" w:afterAutospacing="0"/>
        <w:rPr>
          <w:rFonts w:asciiTheme="majorHAnsi" w:hAnsiTheme="majorHAnsi" w:cs="Arial"/>
        </w:rPr>
      </w:pPr>
      <w:r w:rsidRPr="004A1172">
        <w:rPr>
          <w:rFonts w:asciiTheme="majorHAnsi" w:hAnsiTheme="majorHAnsi" w:cs="Arial"/>
        </w:rPr>
        <w:t>The Aboriginal School Based Training (</w:t>
      </w:r>
      <w:proofErr w:type="spellStart"/>
      <w:r w:rsidRPr="004A1172">
        <w:rPr>
          <w:rFonts w:asciiTheme="majorHAnsi" w:hAnsiTheme="majorHAnsi" w:cs="Arial"/>
        </w:rPr>
        <w:t>ASBT</w:t>
      </w:r>
      <w:proofErr w:type="spellEnd"/>
      <w:r w:rsidRPr="004A1172">
        <w:rPr>
          <w:rFonts w:asciiTheme="majorHAnsi" w:hAnsiTheme="majorHAnsi" w:cs="Arial"/>
        </w:rPr>
        <w:t>) Program provides opportunities for Aborigin</w:t>
      </w:r>
      <w:r w:rsidR="00144049" w:rsidRPr="004A1172">
        <w:rPr>
          <w:rFonts w:asciiTheme="majorHAnsi" w:hAnsiTheme="majorHAnsi" w:cs="Arial"/>
        </w:rPr>
        <w:t>al students in Years 10</w:t>
      </w:r>
      <w:r w:rsidR="00D92070" w:rsidRPr="004A1172">
        <w:rPr>
          <w:rFonts w:asciiTheme="majorHAnsi" w:hAnsiTheme="majorHAnsi" w:cs="Arial"/>
        </w:rPr>
        <w:t xml:space="preserve"> to </w:t>
      </w:r>
      <w:r w:rsidRPr="004A1172">
        <w:rPr>
          <w:rFonts w:asciiTheme="majorHAnsi" w:hAnsiTheme="majorHAnsi" w:cs="Arial"/>
        </w:rPr>
        <w:t xml:space="preserve">12 to commence </w:t>
      </w:r>
      <w:r w:rsidR="00144049" w:rsidRPr="004A1172">
        <w:rPr>
          <w:rFonts w:asciiTheme="majorHAnsi" w:hAnsiTheme="majorHAnsi" w:cs="Arial"/>
        </w:rPr>
        <w:t>VET</w:t>
      </w:r>
      <w:r w:rsidRPr="004A1172">
        <w:rPr>
          <w:rFonts w:asciiTheme="majorHAnsi" w:hAnsiTheme="majorHAnsi" w:cs="Arial"/>
        </w:rPr>
        <w:t xml:space="preserve"> while at school. Students can gain a qualification, employment or go on to further education or training</w:t>
      </w:r>
      <w:r w:rsidR="006836FA" w:rsidRPr="004A1172">
        <w:rPr>
          <w:rFonts w:asciiTheme="majorHAnsi" w:hAnsiTheme="majorHAnsi" w:cs="Arial"/>
        </w:rPr>
        <w:t xml:space="preserve"> in a range of areas</w:t>
      </w:r>
      <w:r w:rsidR="00DF6829" w:rsidRPr="004A1172">
        <w:rPr>
          <w:rFonts w:asciiTheme="majorHAnsi" w:hAnsiTheme="majorHAnsi" w:cs="Arial"/>
        </w:rPr>
        <w:t>:</w:t>
      </w:r>
      <w:r w:rsidR="006836FA" w:rsidRPr="004A1172">
        <w:rPr>
          <w:rFonts w:asciiTheme="majorHAnsi" w:hAnsiTheme="majorHAnsi" w:cs="Arial"/>
        </w:rPr>
        <w:t xml:space="preserve"> business, automotive, building, construction, hospitality, metals and engineering</w:t>
      </w:r>
      <w:r w:rsidRPr="004A1172">
        <w:rPr>
          <w:rFonts w:asciiTheme="majorHAnsi" w:hAnsiTheme="majorHAnsi" w:cs="Arial"/>
        </w:rPr>
        <w:t>.</w:t>
      </w:r>
      <w:r w:rsidR="00E569DB" w:rsidRPr="004A1172">
        <w:rPr>
          <w:rFonts w:asciiTheme="majorHAnsi" w:hAnsiTheme="majorHAnsi" w:cs="Arial"/>
        </w:rPr>
        <w:t xml:space="preserve"> </w:t>
      </w:r>
      <w:r w:rsidRPr="004A1172">
        <w:rPr>
          <w:rFonts w:asciiTheme="majorHAnsi" w:hAnsiTheme="majorHAnsi" w:cs="Arial"/>
        </w:rPr>
        <w:t>There are two pathways:</w:t>
      </w:r>
    </w:p>
    <w:p w:rsidR="00E569DB" w:rsidRPr="004A1172" w:rsidRDefault="00E569DB" w:rsidP="000E5D05">
      <w:pPr>
        <w:pStyle w:val="ListParagraph"/>
        <w:numPr>
          <w:ilvl w:val="0"/>
          <w:numId w:val="22"/>
        </w:numPr>
        <w:spacing w:line="240" w:lineRule="auto"/>
        <w:ind w:left="360"/>
        <w:rPr>
          <w:rFonts w:asciiTheme="majorHAnsi" w:hAnsiTheme="majorHAnsi" w:cs="Arial"/>
          <w:bCs/>
        </w:rPr>
      </w:pPr>
      <w:r w:rsidRPr="004A1172">
        <w:rPr>
          <w:rFonts w:asciiTheme="majorHAnsi" w:hAnsiTheme="majorHAnsi" w:cs="Arial"/>
        </w:rPr>
        <w:t>I</w:t>
      </w:r>
      <w:r w:rsidR="000C7DAD" w:rsidRPr="004A1172">
        <w:rPr>
          <w:rFonts w:asciiTheme="majorHAnsi" w:hAnsiTheme="majorHAnsi" w:cs="Arial"/>
        </w:rPr>
        <w:t>nstit</w:t>
      </w:r>
      <w:r w:rsidRPr="004A1172">
        <w:rPr>
          <w:rFonts w:asciiTheme="majorHAnsi" w:hAnsiTheme="majorHAnsi" w:cs="Arial"/>
        </w:rPr>
        <w:t xml:space="preserve">utional </w:t>
      </w:r>
      <w:r w:rsidR="000C7DAD" w:rsidRPr="004A1172">
        <w:rPr>
          <w:rFonts w:asciiTheme="majorHAnsi" w:hAnsiTheme="majorHAnsi" w:cs="Arial"/>
        </w:rPr>
        <w:t>-</w:t>
      </w:r>
      <w:r w:rsidRPr="004A1172">
        <w:rPr>
          <w:rFonts w:asciiTheme="majorHAnsi" w:hAnsiTheme="majorHAnsi" w:cs="Arial"/>
        </w:rPr>
        <w:t xml:space="preserve"> is</w:t>
      </w:r>
      <w:r w:rsidR="000C7DAD" w:rsidRPr="004A1172">
        <w:rPr>
          <w:rFonts w:asciiTheme="majorHAnsi" w:hAnsiTheme="majorHAnsi" w:cs="Arial"/>
        </w:rPr>
        <w:t xml:space="preserve"> available for full time </w:t>
      </w:r>
      <w:r w:rsidR="00D92070" w:rsidRPr="004A1172">
        <w:rPr>
          <w:rFonts w:asciiTheme="majorHAnsi" w:hAnsiTheme="majorHAnsi" w:cs="Arial"/>
        </w:rPr>
        <w:t>Y</w:t>
      </w:r>
      <w:r w:rsidR="000C7DAD" w:rsidRPr="004A1172">
        <w:rPr>
          <w:rFonts w:asciiTheme="majorHAnsi" w:hAnsiTheme="majorHAnsi" w:cs="Arial"/>
        </w:rPr>
        <w:t>ear 10</w:t>
      </w:r>
      <w:r w:rsidR="00D92070" w:rsidRPr="004A1172">
        <w:rPr>
          <w:rFonts w:asciiTheme="majorHAnsi" w:hAnsiTheme="majorHAnsi" w:cs="Arial"/>
        </w:rPr>
        <w:t xml:space="preserve"> to </w:t>
      </w:r>
      <w:r w:rsidR="00144049" w:rsidRPr="004A1172">
        <w:rPr>
          <w:rFonts w:asciiTheme="majorHAnsi" w:hAnsiTheme="majorHAnsi" w:cs="Arial"/>
        </w:rPr>
        <w:t>12</w:t>
      </w:r>
      <w:r w:rsidR="000C7DAD" w:rsidRPr="004A1172">
        <w:rPr>
          <w:rFonts w:asciiTheme="majorHAnsi" w:hAnsiTheme="majorHAnsi" w:cs="Arial"/>
        </w:rPr>
        <w:t xml:space="preserve"> students and provides opportunit</w:t>
      </w:r>
      <w:r w:rsidR="00144049" w:rsidRPr="004A1172">
        <w:rPr>
          <w:rFonts w:asciiTheme="majorHAnsi" w:hAnsiTheme="majorHAnsi" w:cs="Arial"/>
        </w:rPr>
        <w:t>ies</w:t>
      </w:r>
      <w:r w:rsidR="000C7DAD" w:rsidRPr="004A1172">
        <w:rPr>
          <w:rFonts w:asciiTheme="majorHAnsi" w:hAnsiTheme="majorHAnsi" w:cs="Arial"/>
        </w:rPr>
        <w:t xml:space="preserve"> to develop work readiness. </w:t>
      </w:r>
      <w:r w:rsidR="000C7DAD" w:rsidRPr="004A1172">
        <w:rPr>
          <w:rFonts w:asciiTheme="majorHAnsi" w:hAnsiTheme="majorHAnsi" w:cs="Arial"/>
          <w:bCs/>
        </w:rPr>
        <w:t xml:space="preserve">In 2012-13 </w:t>
      </w:r>
      <w:r w:rsidR="00144049" w:rsidRPr="004A1172">
        <w:rPr>
          <w:rFonts w:asciiTheme="majorHAnsi" w:hAnsiTheme="majorHAnsi" w:cs="Arial"/>
          <w:bCs/>
        </w:rPr>
        <w:t>an</w:t>
      </w:r>
      <w:r w:rsidR="000C7DAD" w:rsidRPr="004A1172">
        <w:rPr>
          <w:rFonts w:asciiTheme="majorHAnsi" w:hAnsiTheme="majorHAnsi" w:cs="Arial"/>
          <w:bCs/>
        </w:rPr>
        <w:t xml:space="preserve"> additional three qualifications </w:t>
      </w:r>
      <w:r w:rsidR="00144049" w:rsidRPr="004A1172">
        <w:rPr>
          <w:rFonts w:asciiTheme="majorHAnsi" w:hAnsiTheme="majorHAnsi" w:cs="Arial"/>
          <w:bCs/>
        </w:rPr>
        <w:t xml:space="preserve">have been added </w:t>
      </w:r>
      <w:r w:rsidR="000C7DAD" w:rsidRPr="004A1172">
        <w:rPr>
          <w:rFonts w:asciiTheme="majorHAnsi" w:hAnsiTheme="majorHAnsi" w:cs="Arial"/>
          <w:bCs/>
        </w:rPr>
        <w:t xml:space="preserve">to the institutional pathway. </w:t>
      </w:r>
    </w:p>
    <w:p w:rsidR="000C7DAD" w:rsidRPr="004A1172" w:rsidRDefault="000C7DAD" w:rsidP="000E5D05">
      <w:pPr>
        <w:pStyle w:val="ListParagraph"/>
        <w:numPr>
          <w:ilvl w:val="0"/>
          <w:numId w:val="22"/>
        </w:numPr>
        <w:spacing w:line="240" w:lineRule="auto"/>
        <w:ind w:left="360"/>
        <w:rPr>
          <w:rFonts w:asciiTheme="majorHAnsi" w:hAnsiTheme="majorHAnsi" w:cs="Arial"/>
          <w:bCs/>
        </w:rPr>
      </w:pPr>
      <w:r w:rsidRPr="004A1172">
        <w:rPr>
          <w:rFonts w:asciiTheme="majorHAnsi" w:hAnsiTheme="majorHAnsi" w:cs="Arial"/>
        </w:rPr>
        <w:t>School Based Traineeship pathway – is available for full time</w:t>
      </w:r>
      <w:r w:rsidR="00D92070" w:rsidRPr="004A1172">
        <w:rPr>
          <w:rFonts w:asciiTheme="majorHAnsi" w:hAnsiTheme="majorHAnsi" w:cs="Arial"/>
        </w:rPr>
        <w:t xml:space="preserve"> Y</w:t>
      </w:r>
      <w:r w:rsidRPr="004A1172">
        <w:rPr>
          <w:rFonts w:asciiTheme="majorHAnsi" w:hAnsiTheme="majorHAnsi" w:cs="Arial"/>
        </w:rPr>
        <w:t>ear 11</w:t>
      </w:r>
      <w:r w:rsidR="00D92070" w:rsidRPr="004A1172">
        <w:rPr>
          <w:rFonts w:asciiTheme="majorHAnsi" w:hAnsiTheme="majorHAnsi" w:cs="Arial"/>
        </w:rPr>
        <w:t xml:space="preserve"> and </w:t>
      </w:r>
      <w:r w:rsidRPr="004A1172">
        <w:rPr>
          <w:rFonts w:asciiTheme="majorHAnsi" w:hAnsiTheme="majorHAnsi" w:cs="Arial"/>
        </w:rPr>
        <w:t>12 students who are work ready and provides work placement opportunities. In this pathway, students are employed by a group training organisation (</w:t>
      </w:r>
      <w:proofErr w:type="spellStart"/>
      <w:r w:rsidRPr="004A1172">
        <w:rPr>
          <w:rFonts w:asciiTheme="majorHAnsi" w:hAnsiTheme="majorHAnsi" w:cs="Arial"/>
        </w:rPr>
        <w:t>GTO</w:t>
      </w:r>
      <w:proofErr w:type="spellEnd"/>
      <w:r w:rsidRPr="004A1172">
        <w:rPr>
          <w:rFonts w:asciiTheme="majorHAnsi" w:hAnsiTheme="majorHAnsi" w:cs="Arial"/>
        </w:rPr>
        <w:t xml:space="preserve">) in a traineeship of their choice. The </w:t>
      </w:r>
      <w:proofErr w:type="spellStart"/>
      <w:r w:rsidRPr="004A1172">
        <w:rPr>
          <w:rFonts w:asciiTheme="majorHAnsi" w:hAnsiTheme="majorHAnsi" w:cs="Arial"/>
        </w:rPr>
        <w:t>GTO</w:t>
      </w:r>
      <w:proofErr w:type="spellEnd"/>
      <w:r w:rsidRPr="004A1172">
        <w:rPr>
          <w:rFonts w:asciiTheme="majorHAnsi" w:hAnsiTheme="majorHAnsi" w:cs="Arial"/>
        </w:rPr>
        <w:t xml:space="preserve"> is funded to provide additional support services and mentoring for </w:t>
      </w:r>
      <w:r w:rsidR="00144049" w:rsidRPr="004A1172">
        <w:rPr>
          <w:rFonts w:asciiTheme="majorHAnsi" w:hAnsiTheme="majorHAnsi" w:cs="Arial"/>
        </w:rPr>
        <w:t>these</w:t>
      </w:r>
      <w:r w:rsidRPr="004A1172">
        <w:rPr>
          <w:rFonts w:asciiTheme="majorHAnsi" w:hAnsiTheme="majorHAnsi" w:cs="Arial"/>
        </w:rPr>
        <w:t xml:space="preserve"> students. </w:t>
      </w:r>
    </w:p>
    <w:p w:rsidR="006836FA" w:rsidRPr="004A1172" w:rsidRDefault="006836FA" w:rsidP="00BD7DAB">
      <w:pPr>
        <w:spacing w:line="240" w:lineRule="auto"/>
        <w:rPr>
          <w:rFonts w:asciiTheme="majorHAnsi" w:hAnsiTheme="majorHAnsi" w:cs="Arial"/>
        </w:rPr>
      </w:pPr>
    </w:p>
    <w:p w:rsidR="000C7DAD" w:rsidRPr="004A1172" w:rsidRDefault="000C7DAD" w:rsidP="00BD7DAB">
      <w:pPr>
        <w:tabs>
          <w:tab w:val="left" w:pos="1134"/>
        </w:tabs>
        <w:spacing w:line="240" w:lineRule="auto"/>
        <w:rPr>
          <w:rFonts w:asciiTheme="majorHAnsi" w:eastAsia="Times New Roman" w:hAnsiTheme="majorHAnsi"/>
          <w:bCs/>
          <w:lang w:eastAsia="en-AU"/>
        </w:rPr>
      </w:pPr>
      <w:r w:rsidRPr="004A1172">
        <w:rPr>
          <w:rFonts w:asciiTheme="majorHAnsi" w:eastAsia="Times New Roman" w:hAnsiTheme="majorHAnsi"/>
          <w:bCs/>
          <w:lang w:eastAsia="en-AU"/>
        </w:rPr>
        <w:t xml:space="preserve">Students undertaking either the institutional or traineeship pathway are able </w:t>
      </w:r>
      <w:r w:rsidRPr="004A1172">
        <w:rPr>
          <w:rFonts w:asciiTheme="majorHAnsi" w:eastAsia="Times New Roman" w:hAnsiTheme="majorHAnsi" w:cs="Arial"/>
          <w:lang w:eastAsia="en-AU"/>
        </w:rPr>
        <w:t>to include successfully completed units of competency towards achievement of the Western Australian Certificate of Education (WACE).</w:t>
      </w:r>
    </w:p>
    <w:p w:rsidR="006836FA" w:rsidRPr="004A1172" w:rsidRDefault="006836FA" w:rsidP="00F845BD">
      <w:pPr>
        <w:spacing w:line="240" w:lineRule="auto"/>
        <w:rPr>
          <w:rFonts w:asciiTheme="majorHAnsi" w:eastAsia="Times New Roman" w:hAnsiTheme="majorHAnsi" w:cs="Arial"/>
          <w:lang w:eastAsia="en-AU"/>
        </w:rPr>
      </w:pPr>
    </w:p>
    <w:p w:rsidR="000C7DAD" w:rsidRPr="004A1172" w:rsidRDefault="006836FA" w:rsidP="00BD7DAB">
      <w:pPr>
        <w:spacing w:line="240" w:lineRule="auto"/>
        <w:rPr>
          <w:rFonts w:asciiTheme="majorHAnsi" w:hAnsiTheme="majorHAnsi" w:cs="Arial"/>
        </w:rPr>
      </w:pPr>
      <w:r w:rsidRPr="004A1172">
        <w:rPr>
          <w:rFonts w:asciiTheme="majorHAnsi" w:eastAsia="Times New Roman" w:hAnsiTheme="majorHAnsi" w:cs="Arial"/>
          <w:lang w:eastAsia="en-AU"/>
        </w:rPr>
        <w:t>During 2</w:t>
      </w:r>
      <w:r w:rsidR="000C7DAD" w:rsidRPr="004A1172">
        <w:rPr>
          <w:rFonts w:asciiTheme="majorHAnsi" w:eastAsia="Times New Roman" w:hAnsiTheme="majorHAnsi" w:cs="Arial"/>
          <w:lang w:eastAsia="en-AU"/>
        </w:rPr>
        <w:t>012</w:t>
      </w:r>
      <w:r w:rsidRPr="004A1172">
        <w:rPr>
          <w:rFonts w:asciiTheme="majorHAnsi" w:eastAsia="Times New Roman" w:hAnsiTheme="majorHAnsi" w:cs="Arial"/>
          <w:lang w:eastAsia="en-AU"/>
        </w:rPr>
        <w:t xml:space="preserve"> </w:t>
      </w:r>
      <w:r w:rsidR="000C7DAD" w:rsidRPr="004A1172">
        <w:rPr>
          <w:rFonts w:asciiTheme="majorHAnsi" w:eastAsia="Times New Roman" w:hAnsiTheme="majorHAnsi" w:cs="Arial"/>
          <w:lang w:eastAsia="en-AU"/>
        </w:rPr>
        <w:t xml:space="preserve">there were 133 </w:t>
      </w:r>
      <w:proofErr w:type="spellStart"/>
      <w:r w:rsidR="000C7DAD" w:rsidRPr="004A1172">
        <w:rPr>
          <w:rFonts w:asciiTheme="majorHAnsi" w:eastAsia="Times New Roman" w:hAnsiTheme="majorHAnsi" w:cs="Arial"/>
          <w:lang w:eastAsia="en-AU"/>
        </w:rPr>
        <w:t>ASBT</w:t>
      </w:r>
      <w:proofErr w:type="spellEnd"/>
      <w:r w:rsidR="000C7DAD" w:rsidRPr="004A1172">
        <w:rPr>
          <w:rFonts w:asciiTheme="majorHAnsi" w:eastAsia="Times New Roman" w:hAnsiTheme="majorHAnsi" w:cs="Arial"/>
          <w:lang w:eastAsia="en-AU"/>
        </w:rPr>
        <w:t xml:space="preserve"> course enrolments in Certificate I programs and 302 </w:t>
      </w:r>
      <w:proofErr w:type="spellStart"/>
      <w:r w:rsidR="000C7DAD" w:rsidRPr="004A1172">
        <w:rPr>
          <w:rFonts w:asciiTheme="majorHAnsi" w:eastAsia="Times New Roman" w:hAnsiTheme="majorHAnsi" w:cs="Arial"/>
          <w:lang w:eastAsia="en-AU"/>
        </w:rPr>
        <w:t>ASBT</w:t>
      </w:r>
      <w:proofErr w:type="spellEnd"/>
      <w:r w:rsidR="000C7DAD" w:rsidRPr="004A1172">
        <w:rPr>
          <w:rFonts w:asciiTheme="majorHAnsi" w:eastAsia="Times New Roman" w:hAnsiTheme="majorHAnsi" w:cs="Arial"/>
          <w:lang w:eastAsia="en-AU"/>
        </w:rPr>
        <w:t xml:space="preserve"> </w:t>
      </w:r>
      <w:r w:rsidR="00DE4D38" w:rsidRPr="004A1172">
        <w:rPr>
          <w:rFonts w:asciiTheme="majorHAnsi" w:eastAsia="Times New Roman" w:hAnsiTheme="majorHAnsi" w:cs="Arial"/>
          <w:lang w:eastAsia="en-AU"/>
        </w:rPr>
        <w:t>c</w:t>
      </w:r>
      <w:r w:rsidR="000C7DAD" w:rsidRPr="004A1172">
        <w:rPr>
          <w:rFonts w:asciiTheme="majorHAnsi" w:eastAsia="Times New Roman" w:hAnsiTheme="majorHAnsi" w:cs="Arial"/>
          <w:lang w:eastAsia="en-AU"/>
        </w:rPr>
        <w:t>ommencements in Certificate II and above school based traineeships and apprenticeships</w:t>
      </w:r>
      <w:r w:rsidR="000C7DAD" w:rsidRPr="004A1172">
        <w:rPr>
          <w:rFonts w:asciiTheme="majorHAnsi" w:hAnsiTheme="majorHAnsi" w:cs="Arial"/>
        </w:rPr>
        <w:t xml:space="preserve">. </w:t>
      </w:r>
    </w:p>
    <w:p w:rsidR="000C7DAD" w:rsidRPr="002C3F70" w:rsidRDefault="002C3F70" w:rsidP="002C3F70">
      <w:pPr>
        <w:pStyle w:val="Heading2"/>
      </w:pPr>
      <w:bookmarkStart w:id="24" w:name="_Toc384044192"/>
      <w:r w:rsidRPr="002C3F70">
        <w:t xml:space="preserve">7. </w:t>
      </w:r>
      <w:r w:rsidR="00365DC0" w:rsidRPr="002C3F70">
        <w:t>National Youth Participation Requirement</w:t>
      </w:r>
      <w:bookmarkEnd w:id="24"/>
    </w:p>
    <w:p w:rsidR="000C7DAD" w:rsidRPr="00651B71" w:rsidRDefault="000C7DAD" w:rsidP="00BD7DAB">
      <w:pPr>
        <w:pStyle w:val="Heading3"/>
        <w:spacing w:line="240" w:lineRule="auto"/>
        <w:rPr>
          <w:noProof/>
        </w:rPr>
      </w:pPr>
      <w:r w:rsidRPr="00651B71">
        <w:rPr>
          <w:noProof/>
        </w:rPr>
        <w:t>7.1</w:t>
      </w:r>
      <w:r w:rsidRPr="00651B71">
        <w:rPr>
          <w:noProof/>
        </w:rPr>
        <w:tab/>
        <w:t>Challenges experienced in 2012</w:t>
      </w:r>
    </w:p>
    <w:p w:rsidR="000C7DAD" w:rsidRPr="00651B71" w:rsidRDefault="000C7DAD" w:rsidP="00BD7DAB">
      <w:pPr>
        <w:spacing w:line="240" w:lineRule="auto"/>
        <w:rPr>
          <w:rFonts w:cs="Arial"/>
        </w:rPr>
      </w:pPr>
      <w:r w:rsidRPr="00651B71">
        <w:rPr>
          <w:rFonts w:cs="Arial"/>
        </w:rPr>
        <w:t xml:space="preserve">The </w:t>
      </w:r>
      <w:r w:rsidR="003A0BE4">
        <w:rPr>
          <w:rFonts w:cs="Arial"/>
        </w:rPr>
        <w:t>p</w:t>
      </w:r>
      <w:r w:rsidRPr="00651B71">
        <w:rPr>
          <w:rFonts w:cs="Arial"/>
        </w:rPr>
        <w:t>articipation rate for Western Australia increased to 96.0% in 2012.  An ongoing challenge is identifying and locating those young people who are not participating.  Often external</w:t>
      </w:r>
      <w:r w:rsidR="00284AF0">
        <w:rPr>
          <w:rFonts w:cs="Arial"/>
        </w:rPr>
        <w:t xml:space="preserve"> factors to education are the </w:t>
      </w:r>
      <w:r w:rsidRPr="00651B71">
        <w:rPr>
          <w:rFonts w:cs="Arial"/>
        </w:rPr>
        <w:t xml:space="preserve">cause of </w:t>
      </w:r>
      <w:r w:rsidR="007E3C2C">
        <w:rPr>
          <w:rFonts w:cs="Arial"/>
        </w:rPr>
        <w:t>reduced</w:t>
      </w:r>
      <w:r w:rsidR="00DF6829">
        <w:rPr>
          <w:rFonts w:cs="Arial"/>
        </w:rPr>
        <w:t xml:space="preserve"> </w:t>
      </w:r>
      <w:r w:rsidR="00AA79A4">
        <w:rPr>
          <w:rFonts w:cs="Arial"/>
        </w:rPr>
        <w:t>participation.</w:t>
      </w:r>
      <w:r w:rsidRPr="00651B71">
        <w:rPr>
          <w:rFonts w:cs="Arial"/>
        </w:rPr>
        <w:t xml:space="preserve"> </w:t>
      </w:r>
      <w:r w:rsidR="00AA79A4">
        <w:rPr>
          <w:rFonts w:cs="Arial"/>
        </w:rPr>
        <w:t xml:space="preserve">A </w:t>
      </w:r>
      <w:r w:rsidRPr="00651B71">
        <w:rPr>
          <w:rFonts w:cs="Arial"/>
        </w:rPr>
        <w:t>range of providers and agencies</w:t>
      </w:r>
      <w:r w:rsidR="00AA79A4">
        <w:rPr>
          <w:rFonts w:cs="Arial"/>
        </w:rPr>
        <w:t>,</w:t>
      </w:r>
      <w:r w:rsidRPr="00651B71">
        <w:rPr>
          <w:rFonts w:cs="Arial"/>
        </w:rPr>
        <w:t xml:space="preserve"> including the Participation teams in the education regions and the Youth Connections providers</w:t>
      </w:r>
      <w:r w:rsidR="00AA79A4">
        <w:rPr>
          <w:rFonts w:cs="Arial"/>
        </w:rPr>
        <w:t>,</w:t>
      </w:r>
      <w:r w:rsidRPr="00651B71">
        <w:rPr>
          <w:rFonts w:cs="Arial"/>
        </w:rPr>
        <w:t xml:space="preserve"> continue to locate and support these young people in their transitions.</w:t>
      </w:r>
    </w:p>
    <w:p w:rsidR="000C7DAD" w:rsidRPr="00651B71" w:rsidRDefault="000C7DAD" w:rsidP="00BD7DAB">
      <w:pPr>
        <w:pStyle w:val="Heading3"/>
        <w:spacing w:line="240" w:lineRule="auto"/>
        <w:rPr>
          <w:lang w:val="en-US"/>
        </w:rPr>
      </w:pPr>
      <w:r w:rsidRPr="00651B71">
        <w:rPr>
          <w:lang w:val="en-US"/>
        </w:rPr>
        <w:t>7.2</w:t>
      </w:r>
      <w:r w:rsidRPr="00651B71">
        <w:rPr>
          <w:lang w:val="en-US"/>
        </w:rPr>
        <w:tab/>
        <w:t>Exemptions to the participation requirement</w:t>
      </w:r>
    </w:p>
    <w:p w:rsidR="000C7DAD" w:rsidRPr="00651B71" w:rsidRDefault="000C7DAD" w:rsidP="000E5D05">
      <w:pPr>
        <w:numPr>
          <w:ilvl w:val="0"/>
          <w:numId w:val="14"/>
        </w:numPr>
        <w:tabs>
          <w:tab w:val="num" w:pos="567"/>
        </w:tabs>
        <w:spacing w:line="240" w:lineRule="auto"/>
        <w:rPr>
          <w:rFonts w:cs="Arial"/>
        </w:rPr>
      </w:pPr>
      <w:r w:rsidRPr="00651B71">
        <w:rPr>
          <w:rFonts w:cs="Arial"/>
        </w:rPr>
        <w:t xml:space="preserve">The </w:t>
      </w:r>
      <w:r w:rsidRPr="00651B71">
        <w:rPr>
          <w:rFonts w:cs="Arial"/>
          <w:i/>
        </w:rPr>
        <w:t>School Education Act 1999</w:t>
      </w:r>
      <w:r w:rsidRPr="00651B71">
        <w:rPr>
          <w:rFonts w:cs="Arial"/>
        </w:rPr>
        <w:t xml:space="preserve"> requires students to attend school on site or a school-approved educational program, as directed by the </w:t>
      </w:r>
      <w:r w:rsidR="00AA79A4">
        <w:rPr>
          <w:rFonts w:cs="Arial"/>
        </w:rPr>
        <w:t xml:space="preserve">principal. </w:t>
      </w:r>
      <w:r w:rsidRPr="00651B71">
        <w:rPr>
          <w:rFonts w:cs="Arial"/>
        </w:rPr>
        <w:t>Attendance must be full-time.</w:t>
      </w:r>
      <w:r w:rsidR="00662BFE">
        <w:rPr>
          <w:rFonts w:cs="Arial"/>
        </w:rPr>
        <w:t xml:space="preserve"> </w:t>
      </w:r>
    </w:p>
    <w:p w:rsidR="000C7DAD" w:rsidRPr="00651B71" w:rsidRDefault="000C7DAD" w:rsidP="000E5D05">
      <w:pPr>
        <w:numPr>
          <w:ilvl w:val="0"/>
          <w:numId w:val="14"/>
        </w:numPr>
        <w:tabs>
          <w:tab w:val="num" w:pos="567"/>
        </w:tabs>
        <w:spacing w:line="240" w:lineRule="auto"/>
        <w:rPr>
          <w:rFonts w:cs="Arial"/>
        </w:rPr>
      </w:pPr>
      <w:r w:rsidRPr="00651B71">
        <w:rPr>
          <w:rFonts w:cs="Arial"/>
        </w:rPr>
        <w:t xml:space="preserve">The compulsory education for a child until 31 December 2012 is until the end of the year in </w:t>
      </w:r>
      <w:r w:rsidR="003A0BE4">
        <w:rPr>
          <w:rFonts w:cs="Arial"/>
        </w:rPr>
        <w:t xml:space="preserve">which </w:t>
      </w:r>
      <w:r w:rsidRPr="00651B71">
        <w:rPr>
          <w:rFonts w:cs="Arial"/>
        </w:rPr>
        <w:t>the child reaches the age of 17.  This will change in subsequent years due to changes to the school starting age in previous years.</w:t>
      </w:r>
    </w:p>
    <w:p w:rsidR="000C7DAD" w:rsidRPr="00651B71" w:rsidRDefault="000C7DAD" w:rsidP="000E5D05">
      <w:pPr>
        <w:numPr>
          <w:ilvl w:val="0"/>
          <w:numId w:val="14"/>
        </w:numPr>
        <w:tabs>
          <w:tab w:val="num" w:pos="567"/>
        </w:tabs>
        <w:spacing w:line="240" w:lineRule="auto"/>
        <w:rPr>
          <w:rFonts w:cs="Arial"/>
        </w:rPr>
      </w:pPr>
      <w:r w:rsidRPr="00651B71">
        <w:rPr>
          <w:rFonts w:cs="Arial"/>
        </w:rPr>
        <w:t xml:space="preserve">Amendments to the </w:t>
      </w:r>
      <w:r w:rsidRPr="00651B71">
        <w:rPr>
          <w:rFonts w:cs="Arial"/>
          <w:i/>
        </w:rPr>
        <w:t>Act</w:t>
      </w:r>
      <w:r w:rsidRPr="00651B71">
        <w:rPr>
          <w:rFonts w:cs="Arial"/>
        </w:rPr>
        <w:t xml:space="preserve"> introduced in 2005 established a requirement for young people in Year 11 and 12 to participate in approved education, training or employment options.</w:t>
      </w:r>
    </w:p>
    <w:p w:rsidR="000C7DAD" w:rsidRPr="00651B71" w:rsidRDefault="000C7DAD" w:rsidP="000E5D05">
      <w:pPr>
        <w:numPr>
          <w:ilvl w:val="0"/>
          <w:numId w:val="14"/>
        </w:numPr>
        <w:tabs>
          <w:tab w:val="num" w:pos="567"/>
        </w:tabs>
        <w:spacing w:line="240" w:lineRule="auto"/>
        <w:rPr>
          <w:rFonts w:cs="Arial"/>
        </w:rPr>
      </w:pPr>
      <w:r w:rsidRPr="00651B71">
        <w:rPr>
          <w:rFonts w:cs="Arial"/>
        </w:rPr>
        <w:t>All young people in Year 11 and 12 must participate in an approved option; there are no exemptions to this.</w:t>
      </w:r>
    </w:p>
    <w:p w:rsidR="000C7DAD" w:rsidRPr="001878B1" w:rsidRDefault="001878B1" w:rsidP="00BD7DAB">
      <w:pPr>
        <w:pStyle w:val="Heading3"/>
        <w:spacing w:line="240" w:lineRule="auto"/>
      </w:pPr>
      <w:r w:rsidRPr="001878B1">
        <w:t>7.3</w:t>
      </w:r>
      <w:r w:rsidRPr="001878B1">
        <w:tab/>
      </w:r>
      <w:r w:rsidR="000C7DAD" w:rsidRPr="001878B1">
        <w:t>Compliance and enforcement/monitoring</w:t>
      </w:r>
    </w:p>
    <w:p w:rsidR="000C7DAD" w:rsidRPr="00651B71" w:rsidRDefault="000C7DAD" w:rsidP="00BA3E66">
      <w:pPr>
        <w:numPr>
          <w:ilvl w:val="0"/>
          <w:numId w:val="27"/>
        </w:numPr>
        <w:spacing w:line="240" w:lineRule="auto"/>
        <w:rPr>
          <w:rFonts w:cs="Arial"/>
        </w:rPr>
      </w:pPr>
      <w:r w:rsidRPr="00651B71">
        <w:rPr>
          <w:rFonts w:cs="Arial"/>
        </w:rPr>
        <w:t>In the education regions, there are Participation teams consisting of</w:t>
      </w:r>
      <w:r w:rsidRPr="00651B71">
        <w:rPr>
          <w:rFonts w:cs="Arial"/>
          <w:b/>
        </w:rPr>
        <w:t xml:space="preserve"> </w:t>
      </w:r>
      <w:r w:rsidRPr="00651B71">
        <w:rPr>
          <w:rFonts w:cs="Arial"/>
        </w:rPr>
        <w:t>Engagement and Transitions Managers (14 FTE) and Participation Coordinators (49.5 FTE)</w:t>
      </w:r>
    </w:p>
    <w:p w:rsidR="003A0BE4" w:rsidRPr="00D95A1A" w:rsidRDefault="000C7DAD" w:rsidP="00BA3E66">
      <w:pPr>
        <w:numPr>
          <w:ilvl w:val="0"/>
          <w:numId w:val="27"/>
        </w:numPr>
        <w:spacing w:line="240" w:lineRule="auto"/>
      </w:pPr>
      <w:r w:rsidRPr="00651B71">
        <w:rPr>
          <w:rFonts w:cs="Arial"/>
        </w:rPr>
        <w:t xml:space="preserve">The Participation teams assist the young people with the process of transitioning into approved options and/or remaining in school.  They continue to support the cross-system/sector nature of the work currently undertaken to ensure that all young people </w:t>
      </w:r>
      <w:r w:rsidR="00A666BA">
        <w:rPr>
          <w:rFonts w:cs="Arial"/>
        </w:rPr>
        <w:t xml:space="preserve">in Years 11 and 12 </w:t>
      </w:r>
      <w:r w:rsidRPr="00651B71">
        <w:rPr>
          <w:rFonts w:cs="Arial"/>
        </w:rPr>
        <w:t>are engaged in education, training, employment or other approved options.</w:t>
      </w:r>
    </w:p>
    <w:p w:rsidR="00D95A1A" w:rsidRDefault="00D95A1A" w:rsidP="00D95A1A">
      <w:pPr>
        <w:spacing w:line="240" w:lineRule="auto"/>
        <w:rPr>
          <w:rFonts w:cs="Arial"/>
        </w:rPr>
      </w:pPr>
    </w:p>
    <w:p w:rsidR="00D95A1A" w:rsidRDefault="00D95A1A" w:rsidP="00D95A1A">
      <w:pPr>
        <w:spacing w:line="240" w:lineRule="auto"/>
        <w:sectPr w:rsidR="00D95A1A" w:rsidSect="00F845BD">
          <w:pgSz w:w="11906" w:h="16838" w:code="9"/>
          <w:pgMar w:top="964" w:right="991" w:bottom="964" w:left="1134" w:header="567" w:footer="709" w:gutter="170"/>
          <w:cols w:space="708"/>
          <w:docGrid w:linePitch="360"/>
        </w:sectPr>
      </w:pPr>
    </w:p>
    <w:p w:rsidR="00D95A1A" w:rsidRPr="00D95A1A" w:rsidRDefault="002C3F70" w:rsidP="006F48D6">
      <w:pPr>
        <w:pStyle w:val="Heading1"/>
        <w:spacing w:before="0"/>
        <w:rPr>
          <w:lang w:eastAsia="en-AU"/>
        </w:rPr>
      </w:pPr>
      <w:bookmarkStart w:id="25" w:name="_Toc384044193"/>
      <w:r>
        <w:rPr>
          <w:lang w:eastAsia="en-AU"/>
        </w:rPr>
        <w:lastRenderedPageBreak/>
        <w:t xml:space="preserve">ANNEXURE 1 A – </w:t>
      </w:r>
      <w:r w:rsidR="00D95A1A" w:rsidRPr="00D95A1A">
        <w:rPr>
          <w:lang w:eastAsia="en-AU"/>
        </w:rPr>
        <w:t>Youth Connections – National Summary</w:t>
      </w:r>
      <w:bookmarkEnd w:id="25"/>
    </w:p>
    <w:p w:rsidR="00D95A1A" w:rsidRPr="00D95A1A" w:rsidRDefault="00D95A1A" w:rsidP="00D95A1A">
      <w:pPr>
        <w:spacing w:line="240" w:lineRule="auto"/>
        <w:rPr>
          <w:rFonts w:eastAsia="Times New Roman" w:cs="Calibri"/>
          <w:sz w:val="22"/>
          <w:szCs w:val="22"/>
          <w:lang w:eastAsia="en-AU"/>
        </w:rPr>
      </w:pP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Now in its fourth year of operation, Youth Connections is established and performing well. </w:t>
      </w: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Some key achievements over the past three years:</w:t>
      </w:r>
    </w:p>
    <w:p w:rsidR="00D95A1A" w:rsidRPr="00D95A1A" w:rsidRDefault="00D95A1A" w:rsidP="00D95A1A">
      <w:pPr>
        <w:numPr>
          <w:ilvl w:val="0"/>
          <w:numId w:val="81"/>
        </w:numPr>
        <w:spacing w:line="240" w:lineRule="auto"/>
        <w:contextualSpacing/>
        <w:rPr>
          <w:rFonts w:cs="Calibri"/>
          <w:sz w:val="22"/>
          <w:szCs w:val="22"/>
        </w:rPr>
      </w:pPr>
      <w:r w:rsidRPr="00D95A1A">
        <w:rPr>
          <w:rFonts w:cs="Calibri"/>
          <w:sz w:val="22"/>
          <w:szCs w:val="22"/>
        </w:rPr>
        <w:t xml:space="preserve">The evaluation findings of the Youth Attainment and Transitions National Partnership (undertaken by </w:t>
      </w:r>
      <w:proofErr w:type="spellStart"/>
      <w:r w:rsidRPr="00D95A1A">
        <w:rPr>
          <w:rFonts w:cs="Calibri"/>
          <w:sz w:val="22"/>
          <w:szCs w:val="22"/>
        </w:rPr>
        <w:t>dandolopartners</w:t>
      </w:r>
      <w:proofErr w:type="spellEnd"/>
      <w:r w:rsidRPr="00D95A1A">
        <w:rPr>
          <w:rFonts w:cs="Calibri"/>
          <w:sz w:val="22"/>
          <w:szCs w:val="22"/>
        </w:rPr>
        <w:t xml:space="preserve">) are positive. The evaluation has confirmed that Youth Connections is continuing to achieve positive outcomes for young people and is strongly supported by the education and training sector, and the community and youth sector. </w:t>
      </w:r>
    </w:p>
    <w:p w:rsidR="00D95A1A" w:rsidRPr="00D95A1A" w:rsidRDefault="00D95A1A" w:rsidP="00D95A1A">
      <w:pPr>
        <w:numPr>
          <w:ilvl w:val="0"/>
          <w:numId w:val="81"/>
        </w:numPr>
        <w:spacing w:line="240" w:lineRule="auto"/>
        <w:contextualSpacing/>
        <w:rPr>
          <w:rFonts w:cs="Calibri"/>
          <w:sz w:val="22"/>
          <w:szCs w:val="22"/>
        </w:rPr>
      </w:pPr>
      <w:r w:rsidRPr="00D95A1A">
        <w:rPr>
          <w:rFonts w:cs="Calibri"/>
          <w:sz w:val="22"/>
          <w:szCs w:val="22"/>
        </w:rPr>
        <w:t xml:space="preserve">Youth Connections providers are engaging young people from disadvantaged backgrounds. 39% of Individual Support Services participants are in the most disadvantaged Socio-Economic Indexes for Areas quintile compared to 13% of the total population (identified in the 2011 </w:t>
      </w:r>
      <w:proofErr w:type="spellStart"/>
      <w:r w:rsidRPr="00D95A1A">
        <w:rPr>
          <w:rFonts w:cs="Calibri"/>
          <w:sz w:val="22"/>
          <w:szCs w:val="22"/>
        </w:rPr>
        <w:t>dandolopartners</w:t>
      </w:r>
      <w:proofErr w:type="spellEnd"/>
      <w:r w:rsidRPr="00D95A1A">
        <w:rPr>
          <w:rFonts w:cs="Calibri"/>
          <w:sz w:val="22"/>
          <w:szCs w:val="22"/>
        </w:rPr>
        <w:t xml:space="preserve"> evaluation report).</w:t>
      </w:r>
    </w:p>
    <w:p w:rsidR="00D95A1A" w:rsidRPr="00D95A1A" w:rsidRDefault="00D95A1A" w:rsidP="00D95A1A">
      <w:pPr>
        <w:numPr>
          <w:ilvl w:val="0"/>
          <w:numId w:val="81"/>
        </w:numPr>
        <w:spacing w:line="240" w:lineRule="auto"/>
        <w:contextualSpacing/>
        <w:rPr>
          <w:rFonts w:cs="Calibri"/>
          <w:sz w:val="22"/>
          <w:szCs w:val="22"/>
        </w:rPr>
      </w:pPr>
      <w:r w:rsidRPr="00D95A1A">
        <w:rPr>
          <w:rFonts w:cs="Calibri"/>
          <w:sz w:val="22"/>
          <w:szCs w:val="22"/>
        </w:rPr>
        <w:t>The subjective wellbeing of young people receiving Individual Support Services improved during their time in the program.</w:t>
      </w:r>
    </w:p>
    <w:p w:rsidR="00D95A1A" w:rsidRPr="00D95A1A" w:rsidRDefault="00D95A1A" w:rsidP="00D95A1A">
      <w:pPr>
        <w:numPr>
          <w:ilvl w:val="0"/>
          <w:numId w:val="81"/>
        </w:numPr>
        <w:spacing w:line="240" w:lineRule="auto"/>
        <w:contextualSpacing/>
        <w:rPr>
          <w:rFonts w:cs="Calibri"/>
          <w:sz w:val="22"/>
          <w:szCs w:val="22"/>
        </w:rPr>
      </w:pPr>
      <w:r w:rsidRPr="00D95A1A">
        <w:rPr>
          <w:rFonts w:cs="Calibri"/>
          <w:sz w:val="22"/>
          <w:szCs w:val="22"/>
        </w:rPr>
        <w:t>The flexibility of the model and the focus on disadvantaged groups has attracted additional funding to assist identified target groups in the program:</w:t>
      </w:r>
    </w:p>
    <w:p w:rsidR="00D95A1A" w:rsidRPr="00D95A1A" w:rsidRDefault="00D95A1A" w:rsidP="00D95A1A">
      <w:pPr>
        <w:numPr>
          <w:ilvl w:val="0"/>
          <w:numId w:val="82"/>
        </w:numPr>
        <w:spacing w:line="240" w:lineRule="auto"/>
        <w:ind w:right="-142"/>
        <w:contextualSpacing/>
        <w:rPr>
          <w:rFonts w:cs="Calibri"/>
          <w:sz w:val="22"/>
          <w:szCs w:val="22"/>
        </w:rPr>
      </w:pPr>
      <w:r w:rsidRPr="00D95A1A">
        <w:rPr>
          <w:rFonts w:cs="Calibri"/>
          <w:sz w:val="22"/>
          <w:szCs w:val="22"/>
        </w:rPr>
        <w:t>an additional $1.4 million for Youth Connections in the 2011-12 Budget as part of the Building Australia’s Future Workforce measures to better support teenage parents in 10 locations for two years (2012-2013);</w:t>
      </w:r>
    </w:p>
    <w:p w:rsidR="00D95A1A" w:rsidRPr="00D95A1A" w:rsidRDefault="00D95A1A" w:rsidP="00D95A1A">
      <w:pPr>
        <w:numPr>
          <w:ilvl w:val="0"/>
          <w:numId w:val="82"/>
        </w:numPr>
        <w:spacing w:line="240" w:lineRule="auto"/>
        <w:ind w:right="-142"/>
        <w:contextualSpacing/>
        <w:rPr>
          <w:rFonts w:cs="Calibri"/>
          <w:sz w:val="22"/>
          <w:szCs w:val="22"/>
        </w:rPr>
      </w:pPr>
      <w:r w:rsidRPr="00D95A1A">
        <w:rPr>
          <w:rFonts w:cs="Calibri"/>
          <w:sz w:val="22"/>
          <w:szCs w:val="22"/>
        </w:rPr>
        <w:t>three Youth Connections providers were contracted to deliver the $3.5 million Youth Connections/Reducing Substance Abuse Pilot Projects for two years (2011-2012); and</w:t>
      </w:r>
    </w:p>
    <w:p w:rsidR="00D95A1A" w:rsidRPr="006F48D6" w:rsidRDefault="00D95A1A" w:rsidP="00D95A1A">
      <w:pPr>
        <w:numPr>
          <w:ilvl w:val="0"/>
          <w:numId w:val="82"/>
        </w:numPr>
        <w:spacing w:line="240" w:lineRule="auto"/>
        <w:ind w:right="-142"/>
        <w:contextualSpacing/>
        <w:rPr>
          <w:rFonts w:cs="Calibri"/>
          <w:sz w:val="22"/>
          <w:szCs w:val="22"/>
        </w:rPr>
      </w:pPr>
      <w:proofErr w:type="gramStart"/>
      <w:r w:rsidRPr="00D95A1A">
        <w:rPr>
          <w:rFonts w:cs="Calibri"/>
          <w:sz w:val="22"/>
          <w:szCs w:val="22"/>
        </w:rPr>
        <w:t>the</w:t>
      </w:r>
      <w:proofErr w:type="gramEnd"/>
      <w:r w:rsidRPr="00D95A1A">
        <w:rPr>
          <w:rFonts w:cs="Calibri"/>
          <w:sz w:val="22"/>
          <w:szCs w:val="22"/>
        </w:rPr>
        <w:t xml:space="preserve"> network of Youth Connections providers in Victoria is being used for Springboard, a Victorian Government program to support young people in residential out-of-home care ($16.9 million over four years).</w:t>
      </w:r>
    </w:p>
    <w:p w:rsidR="00D95A1A" w:rsidRPr="00D95A1A" w:rsidRDefault="00D95A1A" w:rsidP="004B3484">
      <w:pPr>
        <w:pStyle w:val="Heading3"/>
        <w:rPr>
          <w:lang w:eastAsia="en-AU"/>
        </w:rPr>
      </w:pPr>
      <w:r w:rsidRPr="00D95A1A">
        <w:rPr>
          <w:lang w:eastAsia="en-AU"/>
        </w:rPr>
        <w:t>Individual Support Services</w:t>
      </w:r>
    </w:p>
    <w:p w:rsidR="00D95A1A" w:rsidRPr="00D95A1A" w:rsidRDefault="00D95A1A" w:rsidP="00D95A1A">
      <w:pPr>
        <w:spacing w:after="120" w:line="240" w:lineRule="auto"/>
        <w:rPr>
          <w:rFonts w:eastAsia="Times New Roman" w:cs="Calibri"/>
          <w:sz w:val="22"/>
          <w:szCs w:val="22"/>
          <w:lang w:eastAsia="en-AU"/>
        </w:rPr>
      </w:pPr>
      <w:r w:rsidRPr="00D95A1A">
        <w:rPr>
          <w:rFonts w:eastAsia="Times New Roman" w:cs="Calibri"/>
          <w:sz w:val="22"/>
          <w:szCs w:val="22"/>
          <w:lang w:eastAsia="en-AU"/>
        </w:rPr>
        <w:t>Under ‘</w:t>
      </w:r>
      <w:r w:rsidRPr="00D95A1A">
        <w:rPr>
          <w:rFonts w:eastAsia="Times New Roman" w:cs="Calibri"/>
          <w:i/>
          <w:sz w:val="22"/>
          <w:szCs w:val="22"/>
          <w:lang w:eastAsia="en-AU"/>
        </w:rPr>
        <w:t>Individual Support Services’</w:t>
      </w:r>
      <w:r w:rsidRPr="00D95A1A">
        <w:rPr>
          <w:rFonts w:eastAsia="Times New Roman" w:cs="Calibri"/>
          <w:sz w:val="22"/>
          <w:szCs w:val="22"/>
          <w:lang w:eastAsia="en-AU"/>
        </w:rPr>
        <w:t xml:space="preserve">, Youth Connections providers delivered flexible and individualised services to young people at risk, including those who are at risk of disengaging from school, through to those who are severely disconnected from education, family and community. </w:t>
      </w: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Since the program commenced in 2010, Youth Connections provided Individual Support Services to 58,408 young people. </w:t>
      </w:r>
      <w:r w:rsidRPr="00D95A1A">
        <w:rPr>
          <w:rFonts w:eastAsia="Times New Roman" w:cs="Calibri"/>
          <w:color w:val="000000"/>
          <w:sz w:val="22"/>
          <w:szCs w:val="22"/>
          <w:lang w:eastAsia="en-AU"/>
        </w:rPr>
        <w:t>34,793</w:t>
      </w:r>
      <w:r w:rsidRPr="00D95A1A">
        <w:rPr>
          <w:rFonts w:eastAsia="Times New Roman" w:cs="Calibri"/>
          <w:sz w:val="22"/>
          <w:szCs w:val="22"/>
          <w:lang w:eastAsia="en-AU"/>
        </w:rPr>
        <w:t xml:space="preserve"> (60%) young people achieved a final outcome in the program, which represents re-engagement or a sustained improvement in a young person’s engagement with education, training or employment. A further 10,398 (18%) were assessed as making significant progress in addressing their barriers to full engagement in education. </w:t>
      </w:r>
    </w:p>
    <w:p w:rsidR="00D95A1A" w:rsidRPr="00D95A1A" w:rsidRDefault="00D95A1A" w:rsidP="00D95A1A">
      <w:pPr>
        <w:spacing w:line="240" w:lineRule="auto"/>
        <w:rPr>
          <w:rFonts w:eastAsia="Times New Roman" w:cs="Calibri"/>
          <w:sz w:val="22"/>
          <w:szCs w:val="22"/>
          <w:lang w:eastAsia="en-AU"/>
        </w:rPr>
      </w:pP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Youth Connections service providers apply the </w:t>
      </w:r>
      <w:r w:rsidRPr="00D95A1A">
        <w:rPr>
          <w:rFonts w:eastAsia="Times New Roman" w:cs="Calibri"/>
          <w:i/>
          <w:sz w:val="22"/>
          <w:szCs w:val="22"/>
          <w:lang w:eastAsia="en-AU"/>
        </w:rPr>
        <w:t>Personal Wellbeing Index (School Children)</w:t>
      </w:r>
      <w:r w:rsidRPr="00D95A1A">
        <w:rPr>
          <w:rFonts w:eastAsia="Times New Roman" w:cs="Calibri"/>
          <w:sz w:val="22"/>
          <w:szCs w:val="22"/>
          <w:lang w:eastAsia="en-AU"/>
        </w:rPr>
        <w:t xml:space="preserve"> to assess the Subjective Wellbeing of Individual Support Service</w:t>
      </w:r>
      <w:r w:rsidRPr="00D95A1A">
        <w:rPr>
          <w:rFonts w:eastAsia="Times New Roman" w:cs="Calibri"/>
          <w:i/>
          <w:sz w:val="22"/>
          <w:szCs w:val="22"/>
          <w:lang w:eastAsia="en-AU"/>
        </w:rPr>
        <w:t xml:space="preserve"> </w:t>
      </w:r>
      <w:r w:rsidRPr="00D95A1A">
        <w:rPr>
          <w:rFonts w:eastAsia="Times New Roman" w:cs="Calibri"/>
          <w:sz w:val="22"/>
          <w:szCs w:val="22"/>
          <w:lang w:eastAsia="en-AU"/>
        </w:rPr>
        <w:t>recipients. The survey is completed at entry and exit. 18,085 participants completed the survey. A significant 6.09 percentage point increase in Subjective Wellbeing was observed from when the participant entered the program compared to when they exited the program</w:t>
      </w:r>
      <w:r w:rsidRPr="00D95A1A">
        <w:rPr>
          <w:rFonts w:eastAsia="Times New Roman" w:cs="Calibri"/>
          <w:sz w:val="22"/>
          <w:szCs w:val="22"/>
          <w:vertAlign w:val="superscript"/>
          <w:lang w:eastAsia="en-AU"/>
        </w:rPr>
        <w:footnoteReference w:id="2"/>
      </w:r>
      <w:r w:rsidRPr="00D95A1A">
        <w:rPr>
          <w:rFonts w:eastAsia="Times New Roman" w:cs="Calibri"/>
          <w:sz w:val="22"/>
          <w:szCs w:val="22"/>
          <w:lang w:eastAsia="en-AU"/>
        </w:rPr>
        <w:t xml:space="preserve">. The evidence also suggests a causal link between the attainment of objectively quantifiable program outcomes and psychological wellbeing, further highlighting the positive and pervasive impact that the Youth Connections program is having on the lives of many young people who complete the program. In addition, these data suggest a considerable reduction in the proportion of young people who are likely to be depressed, or at high-risk of depression, after participating in Youth Connections. </w:t>
      </w:r>
    </w:p>
    <w:p w:rsidR="00D95A1A" w:rsidRPr="00D95A1A" w:rsidRDefault="00D95A1A" w:rsidP="00D95A1A">
      <w:pPr>
        <w:spacing w:line="240" w:lineRule="auto"/>
        <w:rPr>
          <w:rFonts w:eastAsia="Times New Roman" w:cs="Calibri"/>
          <w:i/>
          <w:sz w:val="22"/>
          <w:szCs w:val="22"/>
          <w:lang w:eastAsia="en-AU"/>
        </w:rPr>
      </w:pPr>
    </w:p>
    <w:p w:rsidR="00D95A1A" w:rsidRPr="004B3484"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While Youth Connections is performing well, supporting the needs of Youth Connections participants is a complex and resource-intensive challenge for providers. Demand for Individual Support Services outstrips program capacity, and some providers are unable to take on all referrals. </w:t>
      </w:r>
    </w:p>
    <w:p w:rsidR="00D95A1A" w:rsidRPr="00D95A1A" w:rsidRDefault="00D95A1A" w:rsidP="004B3484">
      <w:pPr>
        <w:pStyle w:val="Heading3"/>
        <w:rPr>
          <w:lang w:eastAsia="en-AU"/>
        </w:rPr>
      </w:pPr>
      <w:r w:rsidRPr="00D95A1A">
        <w:rPr>
          <w:lang w:eastAsia="en-AU"/>
        </w:rPr>
        <w:lastRenderedPageBreak/>
        <w:t>Outreach and Re-engagement activities</w:t>
      </w: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Under ‘</w:t>
      </w:r>
      <w:r w:rsidRPr="00D95A1A">
        <w:rPr>
          <w:rFonts w:eastAsia="Times New Roman" w:cs="Calibri"/>
          <w:i/>
          <w:sz w:val="22"/>
          <w:szCs w:val="22"/>
          <w:lang w:eastAsia="en-AU"/>
        </w:rPr>
        <w:t xml:space="preserve">Outreach and Re-engagement’ </w:t>
      </w:r>
      <w:r w:rsidRPr="00D95A1A">
        <w:rPr>
          <w:rFonts w:eastAsia="Times New Roman" w:cs="Calibri"/>
          <w:sz w:val="22"/>
          <w:szCs w:val="22"/>
          <w:lang w:eastAsia="en-AU"/>
        </w:rPr>
        <w:t>activities,</w:t>
      </w:r>
      <w:r w:rsidRPr="00D95A1A">
        <w:rPr>
          <w:rFonts w:eastAsia="Times New Roman" w:cs="Calibri"/>
          <w:i/>
          <w:sz w:val="22"/>
          <w:szCs w:val="22"/>
          <w:lang w:eastAsia="en-AU"/>
        </w:rPr>
        <w:t xml:space="preserve"> </w:t>
      </w:r>
      <w:r w:rsidRPr="00D95A1A">
        <w:rPr>
          <w:rFonts w:eastAsia="Times New Roman" w:cs="Calibri"/>
          <w:sz w:val="22"/>
          <w:szCs w:val="22"/>
          <w:lang w:eastAsia="en-AU"/>
        </w:rPr>
        <w:t xml:space="preserve">Youth Connections providers offer </w:t>
      </w:r>
      <w:proofErr w:type="gramStart"/>
      <w:r w:rsidRPr="00D95A1A">
        <w:rPr>
          <w:rFonts w:eastAsia="Times New Roman" w:cs="Calibri"/>
          <w:sz w:val="22"/>
          <w:szCs w:val="22"/>
          <w:lang w:eastAsia="en-AU"/>
        </w:rPr>
        <w:t>proactive,</w:t>
      </w:r>
      <w:proofErr w:type="gramEnd"/>
      <w:r w:rsidRPr="00D95A1A">
        <w:rPr>
          <w:rFonts w:eastAsia="Times New Roman" w:cs="Calibri"/>
          <w:sz w:val="22"/>
          <w:szCs w:val="22"/>
          <w:lang w:eastAsia="en-AU"/>
        </w:rPr>
        <w:t xml:space="preserve"> youth focused re-engagement activities and outreach services. Outreach and </w:t>
      </w: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Re-engagement activities aim to find severely disengaged young people, and to connect these young people with activities to support their re-engagement with learning, family and community. 19,318 activities were held to find and connect with at-risk young people, with providers linking with 405,017 young people through these activities. </w:t>
      </w:r>
    </w:p>
    <w:p w:rsidR="00D95A1A" w:rsidRPr="00D95A1A" w:rsidRDefault="00D95A1A" w:rsidP="00D95A1A">
      <w:pPr>
        <w:spacing w:line="240" w:lineRule="auto"/>
        <w:rPr>
          <w:rFonts w:eastAsia="Times New Roman" w:cs="Calibri"/>
          <w:sz w:val="22"/>
          <w:szCs w:val="22"/>
          <w:lang w:eastAsia="en-AU"/>
        </w:rPr>
      </w:pP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Findings from the Youth Attainment and Transitions National Partnership evaluation show that work on Outreach and Re-engagement activities services began slowly, but progress towards targeted outcomes has improved in recent times. Improving provider understanding and performance has been, and will continue to be, a focus for DEEWR. </w:t>
      </w:r>
    </w:p>
    <w:p w:rsidR="00D95A1A" w:rsidRPr="00D95A1A" w:rsidRDefault="00D95A1A" w:rsidP="004B3484">
      <w:pPr>
        <w:pStyle w:val="Heading3"/>
        <w:rPr>
          <w:lang w:eastAsia="en-AU"/>
        </w:rPr>
      </w:pPr>
      <w:r w:rsidRPr="00D95A1A">
        <w:rPr>
          <w:lang w:eastAsia="en-AU"/>
        </w:rPr>
        <w:t>Strengthening Services in the Region Activities</w:t>
      </w: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Under ‘</w:t>
      </w:r>
      <w:r w:rsidRPr="00D95A1A">
        <w:rPr>
          <w:rFonts w:eastAsia="Times New Roman" w:cs="Calibri"/>
          <w:i/>
          <w:sz w:val="22"/>
          <w:szCs w:val="22"/>
          <w:lang w:eastAsia="en-AU"/>
        </w:rPr>
        <w:t>Strengthening Services in the Region’</w:t>
      </w:r>
      <w:r w:rsidRPr="00D95A1A">
        <w:rPr>
          <w:rFonts w:eastAsia="Times New Roman" w:cs="Calibri"/>
          <w:sz w:val="22"/>
          <w:szCs w:val="22"/>
          <w:lang w:eastAsia="en-AU"/>
        </w:rPr>
        <w:t xml:space="preserve"> activities, Youth Connections providers work to build capacity and strengthen services for young people at risk and ensure that providers of other services within the region are connected. Providers undertook a range of initiatives to strengthen services in the region, with 7,162 activities held. </w:t>
      </w:r>
    </w:p>
    <w:p w:rsidR="00D95A1A" w:rsidRPr="00D95A1A" w:rsidRDefault="00D95A1A" w:rsidP="00D95A1A">
      <w:pPr>
        <w:spacing w:line="240" w:lineRule="auto"/>
        <w:rPr>
          <w:rFonts w:eastAsia="Times New Roman" w:cs="Calibri"/>
          <w:sz w:val="22"/>
          <w:szCs w:val="22"/>
          <w:lang w:eastAsia="en-AU"/>
        </w:rPr>
      </w:pPr>
    </w:p>
    <w:p w:rsidR="00D95A1A" w:rsidRPr="004B3484" w:rsidRDefault="00D95A1A" w:rsidP="004B3484">
      <w:pPr>
        <w:spacing w:line="240" w:lineRule="auto"/>
        <w:rPr>
          <w:rFonts w:eastAsia="Times New Roman" w:cs="Calibri"/>
          <w:sz w:val="22"/>
          <w:szCs w:val="22"/>
          <w:lang w:eastAsia="en-AU"/>
        </w:rPr>
      </w:pPr>
      <w:r w:rsidRPr="00D95A1A">
        <w:rPr>
          <w:rFonts w:eastAsia="Times New Roman" w:cs="Calibri"/>
          <w:sz w:val="22"/>
          <w:szCs w:val="22"/>
          <w:lang w:eastAsia="en-AU"/>
        </w:rPr>
        <w:t xml:space="preserve">As with Outreach and Re-Engagement activities, Strengthening Services in the Region activities was a less familiar service delivery component for some service providers than Individual Support Services. Findings from the </w:t>
      </w:r>
      <w:proofErr w:type="spellStart"/>
      <w:r w:rsidRPr="00D95A1A">
        <w:rPr>
          <w:rFonts w:eastAsia="Times New Roman" w:cs="Calibri"/>
          <w:sz w:val="22"/>
          <w:szCs w:val="22"/>
          <w:lang w:eastAsia="en-AU"/>
        </w:rPr>
        <w:t>dandolopartners</w:t>
      </w:r>
      <w:proofErr w:type="spellEnd"/>
      <w:r w:rsidRPr="00D95A1A">
        <w:rPr>
          <w:rFonts w:eastAsia="Times New Roman" w:cs="Calibri"/>
          <w:sz w:val="22"/>
          <w:szCs w:val="22"/>
          <w:lang w:eastAsia="en-AU"/>
        </w:rPr>
        <w:t xml:space="preserve"> evaluation confirm that objectives and roles for Strengthening Services in the Region activities do not appear to be consistently understood by providers.</w:t>
      </w:r>
      <w:r w:rsidRPr="00D95A1A">
        <w:rPr>
          <w:rFonts w:eastAsia="Times New Roman" w:cs="Calibri"/>
          <w:b/>
          <w:sz w:val="22"/>
          <w:szCs w:val="22"/>
          <w:lang w:eastAsia="en-AU"/>
        </w:rPr>
        <w:t xml:space="preserve"> </w:t>
      </w:r>
      <w:r w:rsidRPr="00D95A1A">
        <w:rPr>
          <w:rFonts w:eastAsia="Times New Roman" w:cs="Calibri"/>
          <w:sz w:val="22"/>
          <w:szCs w:val="22"/>
          <w:lang w:eastAsia="en-AU"/>
        </w:rPr>
        <w:t>DEEWR took steps early in the life of the program to address these issues, through revised guidelines, provider newsletters and proactive contract management. Improved provider understanding and performance against this element has been, and will continue to be, a focus for DEEWR in 2013.</w:t>
      </w:r>
    </w:p>
    <w:p w:rsidR="00D95A1A" w:rsidRPr="00D95A1A" w:rsidRDefault="00D95A1A" w:rsidP="004B3484">
      <w:pPr>
        <w:pStyle w:val="Heading3"/>
        <w:rPr>
          <w:lang w:eastAsia="en-AU"/>
        </w:rPr>
      </w:pPr>
      <w:r w:rsidRPr="00D95A1A">
        <w:rPr>
          <w:lang w:eastAsia="en-AU"/>
        </w:rPr>
        <w:t>Program extension and changes to Outreach and Re-engagement and Strengthening Services in the Region activities</w:t>
      </w: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As outlined in the Federal Budget 2013-14, the Australian Government will be extending the Youth Connections Program, the School Business Community Partnership Brokers Program and National Career Development initiatives for a period of 12 months to 31 December 2014. These initiatives were originally implemented under the National Partnership on Youth Attainment and Transitions (National Partnership) which will cease on 31 December 2013. The extension of these three elements ensures continued investment in programs to assist young people to achieve improved youth attainment and transition outcomes.</w:t>
      </w:r>
    </w:p>
    <w:p w:rsidR="00D95A1A" w:rsidRPr="00D95A1A" w:rsidRDefault="00D95A1A" w:rsidP="00D95A1A">
      <w:pPr>
        <w:spacing w:line="240" w:lineRule="auto"/>
        <w:rPr>
          <w:rFonts w:eastAsia="Times New Roman" w:cs="Calibri"/>
          <w:sz w:val="22"/>
          <w:szCs w:val="22"/>
          <w:lang w:eastAsia="en-AU"/>
        </w:rPr>
      </w:pP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While the Partnership Broker Service model remains unchanged, there are some changes to the Youth Connections service model that will come into effect from 1 July 2013 that aim to improve service delivery for two elements of the program:</w:t>
      </w:r>
    </w:p>
    <w:p w:rsidR="00D95A1A" w:rsidRPr="00D95A1A" w:rsidRDefault="00D95A1A" w:rsidP="00D95A1A">
      <w:pPr>
        <w:numPr>
          <w:ilvl w:val="0"/>
          <w:numId w:val="85"/>
        </w:numPr>
        <w:spacing w:line="240" w:lineRule="auto"/>
        <w:contextualSpacing/>
        <w:rPr>
          <w:rFonts w:cs="Calibri"/>
          <w:sz w:val="22"/>
          <w:szCs w:val="22"/>
        </w:rPr>
      </w:pPr>
      <w:r w:rsidRPr="00D95A1A">
        <w:rPr>
          <w:rFonts w:cs="Calibri"/>
          <w:sz w:val="22"/>
          <w:szCs w:val="22"/>
        </w:rPr>
        <w:t xml:space="preserve">Outreach and Re-engagement will be replaced with Targeted Engagement Services and will be </w:t>
      </w:r>
      <w:r w:rsidRPr="00D95A1A">
        <w:rPr>
          <w:sz w:val="22"/>
          <w:szCs w:val="22"/>
        </w:rPr>
        <w:t>aimed at finding severely disconnected young people who are not engaged with education, training, employment or other support services. Targeted Engagement Services will focus on identifying and connecting with young people who are not in education or training and are not in the labour force.</w:t>
      </w:r>
    </w:p>
    <w:p w:rsidR="00D95A1A" w:rsidRPr="004B3484" w:rsidRDefault="00D95A1A" w:rsidP="004B3484">
      <w:pPr>
        <w:numPr>
          <w:ilvl w:val="0"/>
          <w:numId w:val="85"/>
        </w:numPr>
        <w:spacing w:line="240" w:lineRule="auto"/>
        <w:contextualSpacing/>
        <w:rPr>
          <w:rFonts w:cs="Calibri"/>
          <w:sz w:val="22"/>
          <w:szCs w:val="22"/>
        </w:rPr>
      </w:pPr>
      <w:r w:rsidRPr="00D95A1A">
        <w:rPr>
          <w:rFonts w:cs="Calibri"/>
          <w:sz w:val="22"/>
          <w:szCs w:val="22"/>
        </w:rPr>
        <w:t>Strengthening Services in the Region will be replaced with Regional Coordination Services, and will focus on developing coordinated and integrated service delivery in the region for young people at risk. Regional Coordination Services will require a focus on joining up all the relevant, available services to provide a more effective and collaborative approach that is responsive to the needs of young people in the region, particularly young people at risk.</w:t>
      </w:r>
    </w:p>
    <w:p w:rsidR="00D95A1A" w:rsidRPr="00D95A1A" w:rsidRDefault="00D95A1A" w:rsidP="004B3484">
      <w:pPr>
        <w:pStyle w:val="Heading3"/>
        <w:rPr>
          <w:lang w:eastAsia="en-AU"/>
        </w:rPr>
      </w:pPr>
      <w:r w:rsidRPr="00D95A1A">
        <w:rPr>
          <w:lang w:eastAsia="en-AU"/>
        </w:rPr>
        <w:lastRenderedPageBreak/>
        <w:t>Indigenous youth and Humanitarian Refugees</w:t>
      </w: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The Youth Connections program includes a focus on Indigenous and Humanitarian Refugee young people. These two groups are more likely to be at risk and may require mainstream programs to be tailored to meet their specific needs. </w:t>
      </w:r>
    </w:p>
    <w:p w:rsidR="00D95A1A" w:rsidRPr="00D95A1A" w:rsidRDefault="00D95A1A" w:rsidP="00D95A1A">
      <w:pPr>
        <w:spacing w:line="240" w:lineRule="auto"/>
        <w:rPr>
          <w:rFonts w:eastAsia="Times New Roman" w:cs="Calibri"/>
          <w:sz w:val="22"/>
          <w:szCs w:val="22"/>
          <w:lang w:eastAsia="en-AU"/>
        </w:rPr>
      </w:pP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In the first two years of operation</w:t>
      </w:r>
      <w:r w:rsidRPr="00D95A1A" w:rsidDel="00633E12">
        <w:rPr>
          <w:rFonts w:eastAsia="Times New Roman" w:cs="Calibri"/>
          <w:sz w:val="22"/>
          <w:szCs w:val="22"/>
          <w:lang w:eastAsia="en-AU"/>
        </w:rPr>
        <w:t xml:space="preserve"> </w:t>
      </w:r>
      <w:r w:rsidRPr="00D95A1A">
        <w:rPr>
          <w:rFonts w:eastAsia="Times New Roman" w:cs="Calibri"/>
          <w:sz w:val="22"/>
          <w:szCs w:val="22"/>
          <w:lang w:eastAsia="en-AU"/>
        </w:rPr>
        <w:t xml:space="preserve">10,995 Indigenous young people received Individual Support Services, and 31% of outreach activities included an Indigenous focus. The program continued to effectively engage Indigenous young people, who represented 21% of the annual caseload in 2012 - a small increase from 2011 (19%). While the rate of Indigenous young people achieving final outcomes is lower than for non-Indigenous (approximately 10% lower), a substantial 50% (5,436) of Indigenous participants achieved a final outcome in the program, and a further 2,367 (22%) made progress in addressing their barriers to engagement. </w:t>
      </w:r>
    </w:p>
    <w:p w:rsidR="00D95A1A" w:rsidRPr="00D95A1A" w:rsidRDefault="00D95A1A" w:rsidP="00D95A1A">
      <w:pPr>
        <w:spacing w:line="240" w:lineRule="auto"/>
        <w:rPr>
          <w:rFonts w:eastAsia="Times New Roman" w:cs="Calibri"/>
          <w:sz w:val="22"/>
          <w:szCs w:val="22"/>
          <w:lang w:eastAsia="en-AU"/>
        </w:rPr>
      </w:pP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For Humanitarian Refugee participants, service delivery commenced slowly, with noticeable improvements in 2011 and 2012. Working closely with the Department of Immigration and Citizenship,</w:t>
      </w:r>
      <w:r w:rsidRPr="00D95A1A" w:rsidDel="008A7481">
        <w:rPr>
          <w:rFonts w:eastAsia="Times New Roman" w:cs="Calibri"/>
          <w:sz w:val="22"/>
          <w:szCs w:val="22"/>
          <w:lang w:eastAsia="en-AU"/>
        </w:rPr>
        <w:t xml:space="preserve"> </w:t>
      </w:r>
      <w:r w:rsidRPr="00D95A1A">
        <w:rPr>
          <w:rFonts w:eastAsia="Times New Roman" w:cs="Calibri"/>
          <w:sz w:val="22"/>
          <w:szCs w:val="22"/>
          <w:lang w:eastAsia="en-AU"/>
        </w:rPr>
        <w:t xml:space="preserve">DEEWR provided information, data and advice to providers on how to better engage this group. Nationally, 340 Humanitarian Refugees received Individual Support Services from Youth Connections providers in 2011; this number increased in 2012 to 488.  </w:t>
      </w:r>
    </w:p>
    <w:p w:rsidR="00D95A1A" w:rsidRPr="00D95A1A" w:rsidRDefault="00D95A1A" w:rsidP="004B3484">
      <w:pPr>
        <w:pStyle w:val="Heading3"/>
        <w:rPr>
          <w:lang w:eastAsia="en-AU"/>
        </w:rPr>
      </w:pPr>
      <w:r w:rsidRPr="00D95A1A">
        <w:rPr>
          <w:lang w:eastAsia="en-AU"/>
        </w:rPr>
        <w:t>Provider networks</w:t>
      </w: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DEEWR continues to work closely with the state and national Youth Connections provider networks, which are an important forum to engage key stakeholders and improve program delivery and outcomes. </w:t>
      </w:r>
    </w:p>
    <w:p w:rsidR="00D95A1A" w:rsidRPr="00D95A1A" w:rsidRDefault="00D95A1A" w:rsidP="00D95A1A">
      <w:pPr>
        <w:spacing w:line="240" w:lineRule="auto"/>
        <w:rPr>
          <w:rFonts w:eastAsia="Times New Roman" w:cs="Calibri"/>
          <w:sz w:val="22"/>
          <w:szCs w:val="22"/>
          <w:lang w:eastAsia="en-AU"/>
        </w:rPr>
      </w:pP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The national Youth Connections provider network priorities are:</w:t>
      </w:r>
    </w:p>
    <w:p w:rsidR="00D95A1A" w:rsidRPr="00D95A1A" w:rsidRDefault="00D95A1A" w:rsidP="00D95A1A">
      <w:pPr>
        <w:numPr>
          <w:ilvl w:val="0"/>
          <w:numId w:val="84"/>
        </w:numPr>
        <w:spacing w:line="240" w:lineRule="auto"/>
        <w:rPr>
          <w:rFonts w:cs="Calibri"/>
          <w:sz w:val="22"/>
          <w:szCs w:val="22"/>
        </w:rPr>
      </w:pPr>
      <w:r w:rsidRPr="00D95A1A">
        <w:rPr>
          <w:rFonts w:cs="Calibri"/>
          <w:sz w:val="22"/>
          <w:szCs w:val="22"/>
        </w:rPr>
        <w:t xml:space="preserve">Create a greater awareness of the Youth Connections program with key stakeholders. </w:t>
      </w:r>
    </w:p>
    <w:p w:rsidR="00D95A1A" w:rsidRPr="00D95A1A" w:rsidRDefault="00D95A1A" w:rsidP="00D95A1A">
      <w:pPr>
        <w:numPr>
          <w:ilvl w:val="0"/>
          <w:numId w:val="84"/>
        </w:numPr>
        <w:spacing w:line="240" w:lineRule="auto"/>
        <w:rPr>
          <w:rFonts w:cs="Calibri"/>
          <w:sz w:val="22"/>
          <w:szCs w:val="22"/>
        </w:rPr>
      </w:pPr>
      <w:r w:rsidRPr="00D95A1A">
        <w:rPr>
          <w:rFonts w:cs="Calibri"/>
          <w:sz w:val="22"/>
          <w:szCs w:val="22"/>
        </w:rPr>
        <w:t xml:space="preserve">Share program expertise and knowledge, and promote the professional development of all providers. </w:t>
      </w:r>
    </w:p>
    <w:p w:rsidR="00D95A1A" w:rsidRPr="00D95A1A" w:rsidRDefault="00D95A1A" w:rsidP="00D95A1A">
      <w:pPr>
        <w:numPr>
          <w:ilvl w:val="0"/>
          <w:numId w:val="84"/>
        </w:numPr>
        <w:spacing w:line="240" w:lineRule="auto"/>
        <w:rPr>
          <w:rFonts w:cs="Calibri"/>
          <w:sz w:val="22"/>
          <w:szCs w:val="22"/>
        </w:rPr>
      </w:pPr>
      <w:r w:rsidRPr="00D95A1A">
        <w:rPr>
          <w:rFonts w:cs="Calibri"/>
          <w:sz w:val="22"/>
          <w:szCs w:val="22"/>
        </w:rPr>
        <w:t>Undertake a research project to demonstrate best practice in strengthening services for young people in juvenile justice (report to be released by June 2013).</w:t>
      </w:r>
    </w:p>
    <w:p w:rsidR="00D95A1A" w:rsidRPr="00D95A1A" w:rsidRDefault="00D95A1A" w:rsidP="00D95A1A">
      <w:pPr>
        <w:numPr>
          <w:ilvl w:val="0"/>
          <w:numId w:val="84"/>
        </w:numPr>
        <w:spacing w:line="240" w:lineRule="auto"/>
        <w:rPr>
          <w:rFonts w:cs="Calibri"/>
          <w:sz w:val="22"/>
          <w:szCs w:val="22"/>
        </w:rPr>
      </w:pPr>
      <w:r w:rsidRPr="00D95A1A">
        <w:rPr>
          <w:rFonts w:cs="Calibri"/>
          <w:sz w:val="22"/>
          <w:szCs w:val="22"/>
        </w:rPr>
        <w:t>Provide input to the findings of the Youth Attainment and Transitions National Partnership Evaluation.</w:t>
      </w:r>
    </w:p>
    <w:p w:rsidR="00D95A1A" w:rsidRPr="00D95A1A" w:rsidRDefault="00D95A1A" w:rsidP="00D95A1A">
      <w:pPr>
        <w:numPr>
          <w:ilvl w:val="0"/>
          <w:numId w:val="84"/>
        </w:numPr>
        <w:spacing w:line="240" w:lineRule="auto"/>
        <w:rPr>
          <w:rFonts w:cs="Calibri"/>
          <w:sz w:val="22"/>
          <w:szCs w:val="22"/>
        </w:rPr>
      </w:pPr>
      <w:r w:rsidRPr="00D95A1A">
        <w:rPr>
          <w:rFonts w:cs="Calibri"/>
          <w:sz w:val="22"/>
          <w:szCs w:val="22"/>
        </w:rPr>
        <w:t>Continue to develop and promote partnerships with important stakeholders, such as the Multicultural Youth Affairs Network (</w:t>
      </w:r>
      <w:proofErr w:type="spellStart"/>
      <w:r w:rsidRPr="00D95A1A">
        <w:rPr>
          <w:rFonts w:cs="Calibri"/>
          <w:sz w:val="22"/>
          <w:szCs w:val="22"/>
        </w:rPr>
        <w:t>MYAN</w:t>
      </w:r>
      <w:proofErr w:type="spellEnd"/>
      <w:r w:rsidRPr="00D95A1A">
        <w:rPr>
          <w:rFonts w:cs="Calibri"/>
          <w:sz w:val="22"/>
          <w:szCs w:val="22"/>
        </w:rPr>
        <w:t>), youth peak bodies and local councils and community bodies.</w:t>
      </w:r>
    </w:p>
    <w:p w:rsidR="00D95A1A" w:rsidRPr="004B3484" w:rsidRDefault="00D95A1A" w:rsidP="00D95A1A">
      <w:pPr>
        <w:numPr>
          <w:ilvl w:val="0"/>
          <w:numId w:val="84"/>
        </w:numPr>
        <w:spacing w:line="240" w:lineRule="auto"/>
        <w:rPr>
          <w:rFonts w:cs="Calibri"/>
          <w:sz w:val="22"/>
          <w:szCs w:val="22"/>
        </w:rPr>
      </w:pPr>
      <w:r w:rsidRPr="00D95A1A">
        <w:rPr>
          <w:rFonts w:cs="Calibri"/>
          <w:sz w:val="22"/>
          <w:szCs w:val="22"/>
        </w:rPr>
        <w:t>Strategic thinking – consider the future for this cohort of young people beyond current program timeframes and parameters; develop a consolidated provider view of a future program model; consider how to engage and involve stakeholders in promoting a future model.</w:t>
      </w:r>
    </w:p>
    <w:p w:rsidR="00D95A1A" w:rsidRPr="00D95A1A" w:rsidRDefault="00D95A1A" w:rsidP="004B3484">
      <w:pPr>
        <w:pStyle w:val="Heading3"/>
        <w:rPr>
          <w:lang w:eastAsia="en-AU"/>
        </w:rPr>
      </w:pPr>
      <w:r w:rsidRPr="00D95A1A">
        <w:rPr>
          <w:lang w:eastAsia="en-AU"/>
        </w:rPr>
        <w:t>Shout Out Events</w:t>
      </w:r>
    </w:p>
    <w:p w:rsidR="00D95A1A" w:rsidRPr="00D95A1A"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The Youth Connections National Provider </w:t>
      </w:r>
      <w:proofErr w:type="gramStart"/>
      <w:r w:rsidRPr="00D95A1A">
        <w:rPr>
          <w:rFonts w:eastAsia="Times New Roman" w:cs="Calibri"/>
          <w:sz w:val="22"/>
          <w:szCs w:val="22"/>
          <w:lang w:eastAsia="en-AU"/>
        </w:rPr>
        <w:t>Network,</w:t>
      </w:r>
      <w:proofErr w:type="gramEnd"/>
      <w:r w:rsidRPr="00D95A1A">
        <w:rPr>
          <w:rFonts w:eastAsia="Times New Roman" w:cs="Calibri"/>
          <w:sz w:val="22"/>
          <w:szCs w:val="22"/>
          <w:lang w:eastAsia="en-AU"/>
        </w:rPr>
        <w:t xml:space="preserve"> funded by DEEWR, sponsored ‘Shout Out’ Youth Summits across the country between September-October 2012. The main focus of the events was a survey, with attendees providing their views about the current education system, the need for support programs like Youth Connections and ways the system could be improved to support attainment for young people who are at risk of disengaging from education. Young peoples’ responses were provided directly to government via a future directions paper, </w:t>
      </w:r>
      <w:r w:rsidRPr="00D95A1A">
        <w:rPr>
          <w:rFonts w:eastAsia="Times New Roman" w:cs="Calibri"/>
          <w:i/>
          <w:sz w:val="22"/>
          <w:szCs w:val="22"/>
          <w:lang w:eastAsia="en-AU"/>
        </w:rPr>
        <w:t>The Space In-between</w:t>
      </w:r>
      <w:r w:rsidRPr="00D95A1A">
        <w:rPr>
          <w:rFonts w:eastAsia="Times New Roman" w:cs="Calibri"/>
          <w:sz w:val="22"/>
          <w:szCs w:val="22"/>
          <w:lang w:eastAsia="en-AU"/>
        </w:rPr>
        <w:t>, prepared by the Youth Connections National Network.</w:t>
      </w:r>
    </w:p>
    <w:p w:rsidR="00D95A1A" w:rsidRPr="00D95A1A" w:rsidRDefault="00D95A1A" w:rsidP="004B3484">
      <w:pPr>
        <w:pStyle w:val="Heading3"/>
        <w:rPr>
          <w:lang w:eastAsia="en-AU"/>
        </w:rPr>
      </w:pPr>
      <w:r w:rsidRPr="00D95A1A">
        <w:rPr>
          <w:lang w:eastAsia="en-AU"/>
        </w:rPr>
        <w:t>Website with case studies</w:t>
      </w:r>
    </w:p>
    <w:p w:rsidR="00D95A1A" w:rsidRPr="004B3484" w:rsidRDefault="00D95A1A" w:rsidP="00D95A1A">
      <w:pPr>
        <w:spacing w:line="240" w:lineRule="auto"/>
        <w:rPr>
          <w:rFonts w:eastAsia="Times New Roman" w:cs="Calibri"/>
          <w:sz w:val="22"/>
          <w:szCs w:val="22"/>
          <w:lang w:eastAsia="en-AU"/>
        </w:rPr>
      </w:pPr>
      <w:r w:rsidRPr="00D95A1A">
        <w:rPr>
          <w:rFonts w:eastAsia="Times New Roman" w:cs="Calibri"/>
          <w:sz w:val="22"/>
          <w:szCs w:val="22"/>
          <w:lang w:eastAsia="en-AU"/>
        </w:rPr>
        <w:t xml:space="preserve">Youth Connections case studies were produced to strengthen provider understanding; to showcase the Youth Connections program; and to demonstrate effective practice. In addition to the case studies released in 2011, a number of new Outreach and Re-engagement and Strengthening Services in the Region case </w:t>
      </w:r>
      <w:r w:rsidRPr="00D95A1A">
        <w:rPr>
          <w:rFonts w:eastAsia="Times New Roman" w:cs="Calibri"/>
          <w:sz w:val="22"/>
          <w:szCs w:val="22"/>
          <w:lang w:eastAsia="en-AU"/>
        </w:rPr>
        <w:lastRenderedPageBreak/>
        <w:t xml:space="preserve">studies were developed, which are available on the Youth Attainment and Transitions website </w:t>
      </w:r>
      <w:hyperlink r:id="rId24" w:history="1">
        <w:r w:rsidRPr="00D95A1A">
          <w:rPr>
            <w:rFonts w:eastAsia="Times New Roman" w:cs="Calibri"/>
            <w:color w:val="0000FF"/>
            <w:sz w:val="22"/>
            <w:szCs w:val="22"/>
            <w:u w:val="single"/>
            <w:lang w:eastAsia="en-AU"/>
          </w:rPr>
          <w:t>www.transitions.youth.gov.au</w:t>
        </w:r>
      </w:hyperlink>
      <w:r w:rsidRPr="00D95A1A">
        <w:rPr>
          <w:rFonts w:eastAsia="Times New Roman" w:cs="Calibri"/>
          <w:sz w:val="22"/>
          <w:szCs w:val="22"/>
          <w:lang w:eastAsia="en-AU"/>
        </w:rPr>
        <w:t xml:space="preserve">. </w:t>
      </w:r>
    </w:p>
    <w:p w:rsidR="00D95A1A" w:rsidRPr="00D95A1A" w:rsidRDefault="00D95A1A" w:rsidP="004B3484">
      <w:pPr>
        <w:pStyle w:val="Heading3"/>
        <w:rPr>
          <w:lang w:eastAsia="en-AU"/>
        </w:rPr>
      </w:pPr>
      <w:r w:rsidRPr="00D95A1A">
        <w:rPr>
          <w:lang w:eastAsia="en-AU"/>
        </w:rPr>
        <w:t>2013 DEEWR focus areas</w:t>
      </w:r>
    </w:p>
    <w:p w:rsidR="00D95A1A" w:rsidRPr="00D95A1A" w:rsidRDefault="00D95A1A" w:rsidP="00D95A1A">
      <w:pPr>
        <w:numPr>
          <w:ilvl w:val="0"/>
          <w:numId w:val="80"/>
        </w:numPr>
        <w:spacing w:line="240" w:lineRule="auto"/>
        <w:contextualSpacing/>
        <w:rPr>
          <w:rFonts w:cs="Calibri"/>
          <w:sz w:val="22"/>
          <w:szCs w:val="22"/>
        </w:rPr>
      </w:pPr>
      <w:r w:rsidRPr="00D95A1A">
        <w:rPr>
          <w:rFonts w:cs="Calibri"/>
          <w:sz w:val="22"/>
          <w:szCs w:val="22"/>
        </w:rPr>
        <w:t xml:space="preserve">Consider the changing relationship with state and territory education departments with the National Partnership concluding at the end of 2013.  Maintain the current positive networks between the Commonwealth and state/territory departments so that Year 12 attainment rates continue to improve. </w:t>
      </w:r>
    </w:p>
    <w:p w:rsidR="00D95A1A" w:rsidRPr="00D95A1A" w:rsidRDefault="00D95A1A" w:rsidP="00D95A1A">
      <w:pPr>
        <w:numPr>
          <w:ilvl w:val="0"/>
          <w:numId w:val="80"/>
        </w:numPr>
        <w:spacing w:line="240" w:lineRule="auto"/>
        <w:contextualSpacing/>
        <w:rPr>
          <w:rFonts w:cs="Calibri"/>
          <w:sz w:val="22"/>
          <w:szCs w:val="22"/>
        </w:rPr>
      </w:pPr>
      <w:r w:rsidRPr="00D95A1A">
        <w:rPr>
          <w:rFonts w:cs="Calibri"/>
          <w:sz w:val="22"/>
          <w:szCs w:val="22"/>
        </w:rPr>
        <w:t xml:space="preserve">Explore and manage the implications of the National Plan for School Improvement on the Youth Connections program. </w:t>
      </w:r>
    </w:p>
    <w:p w:rsidR="00D95A1A" w:rsidRPr="00D95A1A" w:rsidRDefault="00D95A1A" w:rsidP="00D95A1A">
      <w:pPr>
        <w:numPr>
          <w:ilvl w:val="0"/>
          <w:numId w:val="80"/>
        </w:numPr>
        <w:spacing w:after="200" w:line="240" w:lineRule="auto"/>
        <w:contextualSpacing/>
        <w:rPr>
          <w:rFonts w:cs="Calibri"/>
          <w:sz w:val="22"/>
          <w:szCs w:val="22"/>
        </w:rPr>
      </w:pPr>
      <w:r w:rsidRPr="00D95A1A">
        <w:rPr>
          <w:rFonts w:cs="Calibri"/>
          <w:sz w:val="22"/>
          <w:szCs w:val="22"/>
        </w:rPr>
        <w:t xml:space="preserve">Consider youth transitions policy settings beyond the Youth Connections program. Work with other departments and existing programs to develop an integrated policy response to the delivery of services for young people needing help to make successful transitions. </w:t>
      </w:r>
    </w:p>
    <w:p w:rsidR="00D95A1A" w:rsidRPr="00D95A1A" w:rsidRDefault="00D95A1A" w:rsidP="00D95A1A">
      <w:pPr>
        <w:numPr>
          <w:ilvl w:val="0"/>
          <w:numId w:val="80"/>
        </w:numPr>
        <w:spacing w:after="200" w:line="240" w:lineRule="auto"/>
        <w:contextualSpacing/>
        <w:rPr>
          <w:rFonts w:cs="Calibri"/>
          <w:sz w:val="22"/>
          <w:szCs w:val="22"/>
        </w:rPr>
      </w:pPr>
      <w:r w:rsidRPr="00D95A1A">
        <w:rPr>
          <w:rFonts w:cs="Calibri"/>
          <w:sz w:val="22"/>
          <w:szCs w:val="22"/>
        </w:rPr>
        <w:t>Explore the opportunity for the Australian Government to implement more integrated service arrangements for young people presented by the expiration of the Job Services Australia contract in June 2015.</w:t>
      </w:r>
    </w:p>
    <w:p w:rsidR="00D95A1A" w:rsidRPr="00D95A1A" w:rsidRDefault="00D95A1A" w:rsidP="00D95A1A">
      <w:pPr>
        <w:numPr>
          <w:ilvl w:val="0"/>
          <w:numId w:val="80"/>
        </w:numPr>
        <w:spacing w:line="240" w:lineRule="auto"/>
        <w:contextualSpacing/>
        <w:rPr>
          <w:rFonts w:cs="Calibri"/>
          <w:sz w:val="22"/>
          <w:szCs w:val="22"/>
        </w:rPr>
      </w:pPr>
      <w:r w:rsidRPr="00D95A1A">
        <w:rPr>
          <w:rFonts w:cs="Calibri"/>
          <w:sz w:val="22"/>
          <w:szCs w:val="22"/>
        </w:rPr>
        <w:t>Continue to promote and strengthen knowledge of the program beyond existing service networks.</w:t>
      </w:r>
    </w:p>
    <w:p w:rsidR="00D95A1A" w:rsidRPr="00D95A1A" w:rsidRDefault="00D95A1A" w:rsidP="00D95A1A">
      <w:pPr>
        <w:numPr>
          <w:ilvl w:val="0"/>
          <w:numId w:val="83"/>
        </w:numPr>
        <w:spacing w:line="240" w:lineRule="auto"/>
        <w:contextualSpacing/>
        <w:rPr>
          <w:rFonts w:cs="Calibri"/>
          <w:sz w:val="22"/>
          <w:szCs w:val="22"/>
        </w:rPr>
      </w:pPr>
      <w:r w:rsidRPr="00D95A1A">
        <w:rPr>
          <w:rFonts w:cs="Calibri"/>
          <w:sz w:val="22"/>
          <w:szCs w:val="22"/>
        </w:rPr>
        <w:t>Embed the new Targeted Engagement and Regional Coordination Services.</w:t>
      </w:r>
    </w:p>
    <w:p w:rsidR="00D95A1A" w:rsidRPr="00D95A1A" w:rsidRDefault="00D95A1A" w:rsidP="00D95A1A">
      <w:pPr>
        <w:numPr>
          <w:ilvl w:val="0"/>
          <w:numId w:val="83"/>
        </w:numPr>
        <w:spacing w:line="240" w:lineRule="auto"/>
        <w:contextualSpacing/>
        <w:rPr>
          <w:rFonts w:cs="Calibri"/>
          <w:sz w:val="22"/>
          <w:szCs w:val="22"/>
        </w:rPr>
      </w:pPr>
      <w:r w:rsidRPr="00D95A1A">
        <w:rPr>
          <w:rFonts w:cs="Calibri"/>
          <w:sz w:val="22"/>
          <w:szCs w:val="22"/>
        </w:rPr>
        <w:t>Continue to focus on improving outcomes for Indigenous and Humanitarian Refugee participants.</w:t>
      </w:r>
    </w:p>
    <w:p w:rsidR="00D95A1A" w:rsidRPr="00D95A1A" w:rsidRDefault="00D95A1A" w:rsidP="006804D8">
      <w:pPr>
        <w:pStyle w:val="Heading2"/>
        <w:rPr>
          <w:lang w:eastAsia="en-AU"/>
        </w:rPr>
      </w:pPr>
      <w:bookmarkStart w:id="26" w:name="_Toc384044194"/>
      <w:r w:rsidRPr="00D95A1A">
        <w:rPr>
          <w:lang w:eastAsia="en-AU"/>
        </w:rPr>
        <w:t>Western Australia Summary</w:t>
      </w:r>
      <w:bookmarkEnd w:id="26"/>
    </w:p>
    <w:p w:rsidR="00D95A1A" w:rsidRPr="00D95A1A" w:rsidRDefault="00D95A1A" w:rsidP="006804D8">
      <w:pPr>
        <w:pStyle w:val="Heading3"/>
        <w:rPr>
          <w:lang w:eastAsia="en-AU"/>
        </w:rPr>
      </w:pPr>
      <w:r w:rsidRPr="00D95A1A">
        <w:rPr>
          <w:lang w:eastAsia="en-AU"/>
        </w:rPr>
        <w:t xml:space="preserve">Context </w:t>
      </w:r>
    </w:p>
    <w:p w:rsidR="00D95A1A" w:rsidRPr="00D95A1A" w:rsidRDefault="00D95A1A" w:rsidP="00D95A1A">
      <w:pPr>
        <w:spacing w:line="240" w:lineRule="auto"/>
        <w:rPr>
          <w:rFonts w:eastAsia="Times New Roman"/>
          <w:sz w:val="22"/>
          <w:szCs w:val="22"/>
          <w:lang w:eastAsia="en-AU"/>
        </w:rPr>
      </w:pPr>
      <w:r w:rsidRPr="00D95A1A">
        <w:rPr>
          <w:rFonts w:eastAsia="Times New Roman"/>
          <w:sz w:val="22"/>
          <w:szCs w:val="22"/>
          <w:lang w:eastAsia="en-AU"/>
        </w:rPr>
        <w:t xml:space="preserve">In Western Australia there are 14 Youth Attainment and Transitions Service Regions and 12 contracts in place to deliver services. These 12 contracts are held by 8 different organisations. Youth Connections is delivered to young people aged 13-19, although the focus for most providers is the 15 to 17 year old cohort. </w:t>
      </w:r>
    </w:p>
    <w:p w:rsidR="00D95A1A" w:rsidRPr="00D95A1A" w:rsidRDefault="00D95A1A" w:rsidP="00D95A1A">
      <w:pPr>
        <w:spacing w:line="240" w:lineRule="auto"/>
        <w:rPr>
          <w:rFonts w:eastAsia="Times New Roman"/>
          <w:sz w:val="22"/>
          <w:szCs w:val="22"/>
          <w:lang w:eastAsia="en-AU"/>
        </w:rPr>
      </w:pPr>
    </w:p>
    <w:p w:rsidR="00D95A1A" w:rsidRPr="00D95A1A" w:rsidRDefault="00D95A1A" w:rsidP="00D95A1A">
      <w:pPr>
        <w:spacing w:line="240" w:lineRule="auto"/>
        <w:rPr>
          <w:rFonts w:eastAsia="Times New Roman"/>
          <w:sz w:val="22"/>
          <w:szCs w:val="22"/>
          <w:lang w:eastAsia="en-AU"/>
        </w:rPr>
      </w:pPr>
      <w:r w:rsidRPr="00D95A1A">
        <w:rPr>
          <w:rFonts w:eastAsia="Times New Roman"/>
          <w:sz w:val="22"/>
          <w:szCs w:val="22"/>
          <w:lang w:eastAsia="en-AU"/>
        </w:rPr>
        <w:t>To align with a focus on local decision-making and empowerment of school communities, new ways of supporting schools have been developed by the WA Department of Education (DoE). In 2011 up to 75 networks of schools in eight education regions were created across Western Australia to replace the previous 14 education districts upon which the Youth Attainment and Transition (YAT) Program boundaries were based. As a result of these reforms many positions that were in District Offices have been redeployed to schools. These changes have affected the Enterprise and Vocational Education Coordinators and Participation Managers and Coordinators who have worked closely wi</w:t>
      </w:r>
      <w:r w:rsidR="006804D8">
        <w:rPr>
          <w:rFonts w:eastAsia="Times New Roman"/>
          <w:sz w:val="22"/>
          <w:szCs w:val="22"/>
          <w:lang w:eastAsia="en-AU"/>
        </w:rPr>
        <w:t>th Youth Connections providers.</w:t>
      </w:r>
    </w:p>
    <w:p w:rsidR="00D95A1A" w:rsidRPr="00D95A1A" w:rsidRDefault="00D95A1A" w:rsidP="006804D8">
      <w:pPr>
        <w:pStyle w:val="Heading3"/>
        <w:rPr>
          <w:lang w:eastAsia="en-AU"/>
        </w:rPr>
      </w:pPr>
      <w:r w:rsidRPr="00D95A1A">
        <w:rPr>
          <w:lang w:eastAsia="en-AU"/>
        </w:rPr>
        <w:t xml:space="preserve">Program status </w:t>
      </w:r>
    </w:p>
    <w:p w:rsidR="00D95A1A" w:rsidRPr="00D95A1A" w:rsidRDefault="00D95A1A" w:rsidP="00D95A1A">
      <w:pPr>
        <w:spacing w:line="240" w:lineRule="auto"/>
        <w:rPr>
          <w:rFonts w:eastAsia="Times New Roman"/>
          <w:sz w:val="22"/>
          <w:szCs w:val="22"/>
          <w:lang w:eastAsia="en-AU"/>
        </w:rPr>
      </w:pPr>
      <w:r w:rsidRPr="00D95A1A">
        <w:rPr>
          <w:rFonts w:eastAsia="Times New Roman"/>
          <w:sz w:val="22"/>
          <w:szCs w:val="22"/>
          <w:lang w:eastAsia="en-AU"/>
        </w:rPr>
        <w:t>In the first three years of operation in Western Australia, Youth Connections has provided Individual Support Services to 6,095 young people. 3,578 (59%) young people in the program achieved a final outcome, which represents re-engagement or a sustained improvement in a young person’s engagement with education, training or employment. A further 919 (15%) were assessed as making significant progress in addressing their barriers to full engagement in education. In addition, 699 Outreach and Re-engagement activities were held to find and connect with severely disconnected young people, with providers linking with 22,718 young people through these activities. In this period, providers undertook a range of initiatives to strengthen services in the region, with 394 activities being held.</w:t>
      </w:r>
    </w:p>
    <w:p w:rsidR="00D95A1A" w:rsidRPr="00D95A1A" w:rsidRDefault="00D95A1A" w:rsidP="00D95A1A">
      <w:pPr>
        <w:spacing w:line="240" w:lineRule="auto"/>
        <w:rPr>
          <w:rFonts w:eastAsia="Times New Roman"/>
          <w:sz w:val="22"/>
          <w:szCs w:val="22"/>
          <w:lang w:eastAsia="en-AU"/>
        </w:rPr>
      </w:pPr>
    </w:p>
    <w:p w:rsidR="00D95A1A" w:rsidRPr="006804D8" w:rsidRDefault="00D95A1A" w:rsidP="00D95A1A">
      <w:pPr>
        <w:spacing w:line="240" w:lineRule="auto"/>
        <w:rPr>
          <w:rFonts w:eastAsia="Times New Roman"/>
          <w:sz w:val="22"/>
          <w:szCs w:val="22"/>
          <w:lang w:eastAsia="en-AU"/>
        </w:rPr>
      </w:pPr>
      <w:r w:rsidRPr="00D95A1A">
        <w:rPr>
          <w:rFonts w:eastAsia="Times New Roman"/>
          <w:sz w:val="22"/>
          <w:szCs w:val="22"/>
          <w:lang w:eastAsia="en-AU"/>
        </w:rPr>
        <w:t>In Western Australia 1,443 (24%) of young people in the program were identified as Indigenous Australians. 617 (43%) Indigenous young people achieved a final outcome, and a further 325 (23%) were assessed as making significant progres</w:t>
      </w:r>
      <w:r w:rsidR="006804D8">
        <w:rPr>
          <w:rFonts w:eastAsia="Times New Roman"/>
          <w:sz w:val="22"/>
          <w:szCs w:val="22"/>
          <w:lang w:eastAsia="en-AU"/>
        </w:rPr>
        <w:t>s in addressing their barriers.</w:t>
      </w:r>
    </w:p>
    <w:p w:rsidR="00D95A1A" w:rsidRPr="00D95A1A" w:rsidRDefault="00D95A1A" w:rsidP="006804D8">
      <w:pPr>
        <w:pStyle w:val="Heading3"/>
        <w:rPr>
          <w:lang w:eastAsia="en-AU"/>
        </w:rPr>
      </w:pPr>
      <w:r w:rsidRPr="00D95A1A">
        <w:rPr>
          <w:lang w:eastAsia="en-AU"/>
        </w:rPr>
        <w:lastRenderedPageBreak/>
        <w:t xml:space="preserve">Challenges </w:t>
      </w:r>
    </w:p>
    <w:p w:rsidR="00D95A1A" w:rsidRPr="00D95A1A" w:rsidRDefault="00D95A1A" w:rsidP="00D95A1A">
      <w:pPr>
        <w:spacing w:line="240" w:lineRule="auto"/>
        <w:rPr>
          <w:rFonts w:eastAsia="Times New Roman"/>
          <w:sz w:val="22"/>
          <w:szCs w:val="22"/>
          <w:lang w:eastAsia="en-AU"/>
        </w:rPr>
      </w:pPr>
      <w:r w:rsidRPr="00D95A1A">
        <w:rPr>
          <w:rFonts w:eastAsia="Times New Roman"/>
          <w:sz w:val="22"/>
          <w:szCs w:val="22"/>
          <w:lang w:eastAsia="en-AU"/>
        </w:rPr>
        <w:t>In addition to deployment of key positions to the school system, there is a perception that structural changes to the Participation Directorate in Western Australia have shifted attention from the YAT agenda.</w:t>
      </w:r>
      <w:r w:rsidR="007D5CF1">
        <w:rPr>
          <w:rFonts w:eastAsia="Times New Roman"/>
          <w:sz w:val="22"/>
          <w:szCs w:val="22"/>
          <w:lang w:eastAsia="en-AU"/>
        </w:rPr>
        <w:t xml:space="preserve"> </w:t>
      </w:r>
    </w:p>
    <w:p w:rsidR="00D95A1A" w:rsidRPr="00D95A1A" w:rsidRDefault="00D95A1A" w:rsidP="00D95A1A">
      <w:pPr>
        <w:spacing w:line="240" w:lineRule="auto"/>
        <w:rPr>
          <w:rFonts w:eastAsia="Times New Roman"/>
          <w:sz w:val="22"/>
          <w:szCs w:val="22"/>
          <w:lang w:eastAsia="en-AU"/>
        </w:rPr>
      </w:pPr>
    </w:p>
    <w:p w:rsidR="00D95A1A" w:rsidRPr="00D95A1A" w:rsidRDefault="00D95A1A" w:rsidP="00D95A1A">
      <w:pPr>
        <w:spacing w:line="240" w:lineRule="auto"/>
        <w:rPr>
          <w:rFonts w:eastAsia="Times New Roman"/>
          <w:sz w:val="22"/>
          <w:szCs w:val="22"/>
          <w:lang w:eastAsia="en-AU"/>
        </w:rPr>
      </w:pPr>
      <w:r w:rsidRPr="00D95A1A">
        <w:rPr>
          <w:rFonts w:eastAsia="Times New Roman"/>
          <w:sz w:val="22"/>
          <w:szCs w:val="22"/>
          <w:lang w:eastAsia="en-AU"/>
        </w:rPr>
        <w:t xml:space="preserve">Inconsistent levels of cooperation and varying models of shared servicing of the 15-17 year old cohort have been identified between Participation team staff and Youth Connections providers depending on service region. </w:t>
      </w:r>
    </w:p>
    <w:p w:rsidR="00D95A1A" w:rsidRPr="00D95A1A" w:rsidRDefault="00D95A1A" w:rsidP="00D95A1A">
      <w:pPr>
        <w:spacing w:line="240" w:lineRule="auto"/>
        <w:rPr>
          <w:rFonts w:eastAsia="Times New Roman"/>
          <w:sz w:val="22"/>
          <w:szCs w:val="22"/>
          <w:lang w:eastAsia="en-AU"/>
        </w:rPr>
      </w:pPr>
    </w:p>
    <w:p w:rsidR="00D95A1A" w:rsidRPr="00D95A1A" w:rsidRDefault="00D95A1A" w:rsidP="00D95A1A">
      <w:pPr>
        <w:spacing w:line="240" w:lineRule="auto"/>
        <w:rPr>
          <w:rFonts w:eastAsia="Times New Roman"/>
          <w:sz w:val="22"/>
          <w:szCs w:val="22"/>
          <w:lang w:eastAsia="en-AU"/>
        </w:rPr>
      </w:pPr>
      <w:r w:rsidRPr="00D95A1A">
        <w:rPr>
          <w:rFonts w:eastAsia="Times New Roman"/>
          <w:sz w:val="22"/>
          <w:szCs w:val="22"/>
          <w:lang w:eastAsia="en-AU"/>
        </w:rPr>
        <w:t>In Western Australia, the low level of unemployment has implications for program providers and stakeholders’ ability to recruit and retain suitable staff. This is exacerbated in regional and remote areas of Western Australia where high housing costs and wages are combined with relatively poor physical and social infrastructure. This makes it difficult to recruit suitably experienced and qualified staff especially in regional areas. It has also seen high levels of staff turnover in some locations. These challenges have had an impact on program performance.</w:t>
      </w:r>
    </w:p>
    <w:p w:rsidR="00D95A1A" w:rsidRPr="00D95A1A" w:rsidRDefault="00D95A1A" w:rsidP="006804D8">
      <w:pPr>
        <w:pStyle w:val="Heading2"/>
        <w:rPr>
          <w:lang w:eastAsia="en-AU"/>
        </w:rPr>
      </w:pPr>
      <w:bookmarkStart w:id="27" w:name="_Toc384044195"/>
      <w:r w:rsidRPr="00D95A1A">
        <w:rPr>
          <w:lang w:eastAsia="en-AU"/>
        </w:rPr>
        <w:t>Youth Connections program data</w:t>
      </w:r>
      <w:bookmarkEnd w:id="27"/>
    </w:p>
    <w:p w:rsidR="00D95A1A" w:rsidRPr="00D95A1A" w:rsidRDefault="00D95A1A" w:rsidP="00D95A1A">
      <w:pPr>
        <w:spacing w:line="240" w:lineRule="auto"/>
        <w:rPr>
          <w:rFonts w:eastAsia="Times New Roman"/>
          <w:sz w:val="22"/>
          <w:szCs w:val="22"/>
          <w:u w:val="single"/>
          <w:lang w:eastAsia="en-AU"/>
        </w:rPr>
      </w:pPr>
      <w:r w:rsidRPr="00D95A1A">
        <w:rPr>
          <w:rFonts w:eastAsia="Times New Roman"/>
          <w:sz w:val="22"/>
          <w:szCs w:val="22"/>
          <w:u w:val="single"/>
          <w:lang w:eastAsia="en-AU"/>
        </w:rPr>
        <w:t>Connection Level definitions</w:t>
      </w:r>
    </w:p>
    <w:p w:rsidR="00D95A1A" w:rsidRPr="00D95A1A" w:rsidRDefault="00D95A1A" w:rsidP="00D95A1A">
      <w:pPr>
        <w:numPr>
          <w:ilvl w:val="0"/>
          <w:numId w:val="86"/>
        </w:numPr>
        <w:spacing w:after="200" w:line="240" w:lineRule="auto"/>
        <w:contextualSpacing/>
        <w:rPr>
          <w:sz w:val="22"/>
          <w:szCs w:val="22"/>
        </w:rPr>
      </w:pPr>
      <w:r w:rsidRPr="00D95A1A">
        <w:rPr>
          <w:sz w:val="22"/>
          <w:szCs w:val="22"/>
        </w:rPr>
        <w:t>Connection Level 1: young people who are attached to/attending school/education on a regular basis but who are the most at risk of disengaging from learning and/or disconnecting from school/education</w:t>
      </w:r>
    </w:p>
    <w:p w:rsidR="00D95A1A" w:rsidRPr="00D95A1A" w:rsidRDefault="00D95A1A" w:rsidP="00D95A1A">
      <w:pPr>
        <w:numPr>
          <w:ilvl w:val="0"/>
          <w:numId w:val="86"/>
        </w:numPr>
        <w:spacing w:after="200" w:line="240" w:lineRule="auto"/>
        <w:contextualSpacing/>
        <w:rPr>
          <w:sz w:val="22"/>
          <w:szCs w:val="22"/>
        </w:rPr>
      </w:pPr>
      <w:r w:rsidRPr="00D95A1A">
        <w:rPr>
          <w:sz w:val="22"/>
          <w:szCs w:val="22"/>
        </w:rPr>
        <w:t xml:space="preserve">Connection Level </w:t>
      </w:r>
      <w:proofErr w:type="spellStart"/>
      <w:r w:rsidRPr="00D95A1A">
        <w:rPr>
          <w:sz w:val="22"/>
          <w:szCs w:val="22"/>
        </w:rPr>
        <w:t>2a</w:t>
      </w:r>
      <w:proofErr w:type="spellEnd"/>
      <w:r w:rsidRPr="00D95A1A">
        <w:rPr>
          <w:sz w:val="22"/>
          <w:szCs w:val="22"/>
        </w:rPr>
        <w:t>: young people whose attendance record at school/education is poor</w:t>
      </w:r>
    </w:p>
    <w:p w:rsidR="00D95A1A" w:rsidRPr="00D95A1A" w:rsidRDefault="00D95A1A" w:rsidP="00D95A1A">
      <w:pPr>
        <w:numPr>
          <w:ilvl w:val="0"/>
          <w:numId w:val="86"/>
        </w:numPr>
        <w:spacing w:after="200" w:line="240" w:lineRule="auto"/>
        <w:contextualSpacing/>
        <w:rPr>
          <w:sz w:val="22"/>
          <w:szCs w:val="22"/>
        </w:rPr>
      </w:pPr>
      <w:r w:rsidRPr="00D95A1A">
        <w:rPr>
          <w:sz w:val="22"/>
          <w:szCs w:val="22"/>
        </w:rPr>
        <w:t xml:space="preserve">Connection Level </w:t>
      </w:r>
      <w:proofErr w:type="spellStart"/>
      <w:r w:rsidRPr="00D95A1A">
        <w:rPr>
          <w:sz w:val="22"/>
          <w:szCs w:val="22"/>
        </w:rPr>
        <w:t>2b</w:t>
      </w:r>
      <w:proofErr w:type="spellEnd"/>
      <w:r w:rsidRPr="00D95A1A">
        <w:rPr>
          <w:sz w:val="22"/>
          <w:szCs w:val="22"/>
        </w:rPr>
        <w:t>: young people who have been continuously disconnected from school/education for longer than three months</w:t>
      </w:r>
    </w:p>
    <w:p w:rsidR="00D95A1A" w:rsidRPr="00D95A1A" w:rsidRDefault="00D95A1A" w:rsidP="006F48D6">
      <w:pPr>
        <w:pStyle w:val="Heading4"/>
        <w:spacing w:after="120"/>
        <w:rPr>
          <w:rFonts w:eastAsia="Times New Roman"/>
        </w:rPr>
      </w:pPr>
      <w:r w:rsidRPr="00D95A1A">
        <w:rPr>
          <w:rFonts w:eastAsia="Times New Roman"/>
        </w:rPr>
        <w:t>Table 1: Participant Status</w:t>
      </w:r>
    </w:p>
    <w:tbl>
      <w:tblPr>
        <w:tblW w:w="7880" w:type="dxa"/>
        <w:tblInd w:w="89" w:type="dxa"/>
        <w:tblLook w:val="04A0" w:firstRow="1" w:lastRow="0" w:firstColumn="1" w:lastColumn="0" w:noHBand="0" w:noVBand="1"/>
      </w:tblPr>
      <w:tblGrid>
        <w:gridCol w:w="5264"/>
        <w:gridCol w:w="1276"/>
        <w:gridCol w:w="1340"/>
      </w:tblGrid>
      <w:tr w:rsidR="00D95A1A" w:rsidRPr="00D95A1A" w:rsidTr="004B3484">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rPr>
                <w:rFonts w:eastAsia="Times New Roman" w:cs="Calibri"/>
                <w:b/>
                <w:color w:val="000000"/>
                <w:sz w:val="22"/>
                <w:szCs w:val="22"/>
                <w:lang w:eastAsia="en-AU"/>
              </w:rPr>
            </w:pPr>
            <w:r w:rsidRPr="00D95A1A">
              <w:rPr>
                <w:rFonts w:eastAsia="Times New Roman" w:cs="Calibri"/>
                <w:b/>
                <w:color w:val="000000"/>
                <w:sz w:val="22"/>
                <w:szCs w:val="22"/>
                <w:lang w:eastAsia="en-AU"/>
              </w:rPr>
              <w:t> </w:t>
            </w:r>
          </w:p>
        </w:tc>
        <w:tc>
          <w:tcPr>
            <w:tcW w:w="1276"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WA</w:t>
            </w:r>
          </w:p>
        </w:tc>
        <w:tc>
          <w:tcPr>
            <w:tcW w:w="1340"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National</w:t>
            </w:r>
          </w:p>
        </w:tc>
      </w:tr>
      <w:tr w:rsidR="00D95A1A" w:rsidRPr="00D95A1A" w:rsidTr="004B3484">
        <w:trPr>
          <w:trHeight w:val="368"/>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 xml:space="preserve">Receiving Individual Support Services </w:t>
            </w:r>
          </w:p>
        </w:tc>
        <w:tc>
          <w:tcPr>
            <w:tcW w:w="1276"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802</w:t>
            </w:r>
          </w:p>
        </w:tc>
        <w:tc>
          <w:tcPr>
            <w:tcW w:w="1340"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6217</w:t>
            </w:r>
          </w:p>
        </w:tc>
      </w:tr>
      <w:tr w:rsidR="00D95A1A" w:rsidRPr="00D95A1A" w:rsidTr="004B3484">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Receiving Individual Support Services previously and exited</w:t>
            </w:r>
          </w:p>
        </w:tc>
        <w:tc>
          <w:tcPr>
            <w:tcW w:w="1276"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5293</w:t>
            </w:r>
          </w:p>
        </w:tc>
        <w:tc>
          <w:tcPr>
            <w:tcW w:w="1340"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52,191</w:t>
            </w:r>
          </w:p>
        </w:tc>
      </w:tr>
      <w:tr w:rsidR="00D95A1A" w:rsidRPr="00D95A1A" w:rsidTr="004B3484">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Registered but not yet enrolled for Individual Support Services</w:t>
            </w:r>
          </w:p>
        </w:tc>
        <w:tc>
          <w:tcPr>
            <w:tcW w:w="1276"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138</w:t>
            </w:r>
          </w:p>
        </w:tc>
        <w:tc>
          <w:tcPr>
            <w:tcW w:w="1340"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3563</w:t>
            </w:r>
          </w:p>
        </w:tc>
      </w:tr>
      <w:tr w:rsidR="00D95A1A" w:rsidRPr="00D95A1A" w:rsidTr="004B3484">
        <w:trPr>
          <w:trHeight w:val="315"/>
        </w:trPr>
        <w:tc>
          <w:tcPr>
            <w:tcW w:w="5264" w:type="dxa"/>
            <w:tcBorders>
              <w:top w:val="nil"/>
              <w:left w:val="nil"/>
              <w:bottom w:val="double" w:sz="6" w:space="0" w:color="auto"/>
              <w:right w:val="nil"/>
            </w:tcBorders>
            <w:shd w:val="clear" w:color="auto" w:fill="auto"/>
            <w:noWrap/>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Total</w:t>
            </w:r>
          </w:p>
        </w:tc>
        <w:tc>
          <w:tcPr>
            <w:tcW w:w="1276" w:type="dxa"/>
            <w:tcBorders>
              <w:top w:val="nil"/>
              <w:left w:val="nil"/>
              <w:bottom w:val="double" w:sz="6" w:space="0" w:color="auto"/>
              <w:right w:val="nil"/>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6233</w:t>
            </w:r>
          </w:p>
        </w:tc>
        <w:tc>
          <w:tcPr>
            <w:tcW w:w="1340" w:type="dxa"/>
            <w:tcBorders>
              <w:top w:val="nil"/>
              <w:left w:val="nil"/>
              <w:bottom w:val="double" w:sz="6" w:space="0" w:color="auto"/>
              <w:right w:val="nil"/>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61,971</w:t>
            </w:r>
          </w:p>
        </w:tc>
      </w:tr>
    </w:tbl>
    <w:p w:rsidR="00D95A1A" w:rsidRPr="00D95A1A" w:rsidRDefault="00D95A1A" w:rsidP="00D95A1A">
      <w:pPr>
        <w:spacing w:line="240" w:lineRule="auto"/>
        <w:ind w:right="-708"/>
        <w:rPr>
          <w:rFonts w:eastAsia="Times New Roman"/>
          <w:lang w:eastAsia="en-AU"/>
        </w:rPr>
      </w:pPr>
    </w:p>
    <w:p w:rsidR="00D95A1A" w:rsidRPr="00D95A1A" w:rsidRDefault="00D95A1A" w:rsidP="006F48D6">
      <w:pPr>
        <w:pStyle w:val="Heading4"/>
        <w:spacing w:after="120"/>
        <w:rPr>
          <w:rFonts w:eastAsia="Times New Roman"/>
        </w:rPr>
      </w:pPr>
      <w:r w:rsidRPr="00D95A1A">
        <w:rPr>
          <w:rFonts w:eastAsia="Times New Roman"/>
        </w:rPr>
        <w:t>Table 2: WA Contract Levels</w:t>
      </w:r>
    </w:p>
    <w:tbl>
      <w:tblPr>
        <w:tblStyle w:val="TableGrid11"/>
        <w:tblpPr w:leftFromText="180" w:rightFromText="180" w:vertAnchor="text" w:horzAnchor="margin" w:tblpY="61"/>
        <w:tblW w:w="0" w:type="auto"/>
        <w:tblLook w:val="04A0" w:firstRow="1" w:lastRow="0" w:firstColumn="1" w:lastColumn="0" w:noHBand="0" w:noVBand="1"/>
        <w:tblCaption w:val="Table 2: WA Contract Levels"/>
        <w:tblDescription w:val="Table 2: WA Contract Levels"/>
      </w:tblPr>
      <w:tblGrid>
        <w:gridCol w:w="1217"/>
        <w:gridCol w:w="1218"/>
        <w:gridCol w:w="1218"/>
        <w:gridCol w:w="1218"/>
      </w:tblGrid>
      <w:tr w:rsidR="00D95A1A" w:rsidRPr="00D95A1A" w:rsidTr="004B3484">
        <w:trPr>
          <w:tblHeader/>
        </w:trPr>
        <w:tc>
          <w:tcPr>
            <w:tcW w:w="1217" w:type="dxa"/>
            <w:tcBorders>
              <w:bottom w:val="double" w:sz="4" w:space="0" w:color="auto"/>
            </w:tcBorders>
            <w:shd w:val="clear" w:color="auto" w:fill="F8F8F8" w:themeFill="accent1" w:themeFillTint="33"/>
          </w:tcPr>
          <w:p w:rsidR="00D95A1A" w:rsidRPr="00D95A1A" w:rsidRDefault="00D95A1A" w:rsidP="00D95A1A">
            <w:pPr>
              <w:tabs>
                <w:tab w:val="left" w:pos="6153"/>
              </w:tabs>
              <w:spacing w:line="240" w:lineRule="auto"/>
              <w:outlineLvl w:val="2"/>
              <w:rPr>
                <w:b/>
                <w:sz w:val="22"/>
                <w:szCs w:val="24"/>
              </w:rPr>
            </w:pPr>
          </w:p>
        </w:tc>
        <w:tc>
          <w:tcPr>
            <w:tcW w:w="1218" w:type="dxa"/>
            <w:tcBorders>
              <w:bottom w:val="double" w:sz="4" w:space="0" w:color="auto"/>
            </w:tcBorders>
            <w:shd w:val="clear" w:color="auto" w:fill="F8F8F8" w:themeFill="accent1" w:themeFillTint="33"/>
          </w:tcPr>
          <w:p w:rsidR="00D95A1A" w:rsidRPr="00D95A1A" w:rsidRDefault="00D95A1A" w:rsidP="00D95A1A">
            <w:pPr>
              <w:tabs>
                <w:tab w:val="left" w:pos="6153"/>
              </w:tabs>
              <w:spacing w:line="240" w:lineRule="auto"/>
              <w:outlineLvl w:val="2"/>
              <w:rPr>
                <w:b/>
                <w:sz w:val="22"/>
                <w:szCs w:val="24"/>
              </w:rPr>
            </w:pPr>
            <w:r w:rsidRPr="00D95A1A">
              <w:rPr>
                <w:b/>
                <w:sz w:val="22"/>
                <w:szCs w:val="24"/>
              </w:rPr>
              <w:t>Outcomes Level 1</w:t>
            </w:r>
          </w:p>
        </w:tc>
        <w:tc>
          <w:tcPr>
            <w:tcW w:w="1218" w:type="dxa"/>
            <w:tcBorders>
              <w:bottom w:val="double" w:sz="4" w:space="0" w:color="auto"/>
            </w:tcBorders>
            <w:shd w:val="clear" w:color="auto" w:fill="F8F8F8" w:themeFill="accent1" w:themeFillTint="33"/>
          </w:tcPr>
          <w:p w:rsidR="00D95A1A" w:rsidRPr="00D95A1A" w:rsidRDefault="00D95A1A" w:rsidP="00D95A1A">
            <w:pPr>
              <w:tabs>
                <w:tab w:val="left" w:pos="6153"/>
              </w:tabs>
              <w:spacing w:line="240" w:lineRule="auto"/>
              <w:outlineLvl w:val="2"/>
              <w:rPr>
                <w:b/>
                <w:sz w:val="22"/>
                <w:szCs w:val="24"/>
              </w:rPr>
            </w:pPr>
            <w:r w:rsidRPr="00D95A1A">
              <w:rPr>
                <w:b/>
                <w:sz w:val="22"/>
                <w:szCs w:val="24"/>
              </w:rPr>
              <w:t xml:space="preserve">Outcomes Level </w:t>
            </w:r>
            <w:proofErr w:type="spellStart"/>
            <w:r w:rsidRPr="00D95A1A">
              <w:rPr>
                <w:b/>
                <w:sz w:val="22"/>
                <w:szCs w:val="24"/>
              </w:rPr>
              <w:t>2a</w:t>
            </w:r>
            <w:proofErr w:type="spellEnd"/>
          </w:p>
        </w:tc>
        <w:tc>
          <w:tcPr>
            <w:tcW w:w="1218" w:type="dxa"/>
            <w:tcBorders>
              <w:bottom w:val="double" w:sz="4" w:space="0" w:color="auto"/>
            </w:tcBorders>
            <w:shd w:val="clear" w:color="auto" w:fill="F8F8F8" w:themeFill="accent1" w:themeFillTint="33"/>
          </w:tcPr>
          <w:p w:rsidR="00D95A1A" w:rsidRPr="00D95A1A" w:rsidRDefault="00D95A1A" w:rsidP="00D95A1A">
            <w:pPr>
              <w:tabs>
                <w:tab w:val="left" w:pos="6153"/>
              </w:tabs>
              <w:spacing w:line="240" w:lineRule="auto"/>
              <w:outlineLvl w:val="2"/>
              <w:rPr>
                <w:b/>
                <w:sz w:val="22"/>
                <w:szCs w:val="24"/>
              </w:rPr>
            </w:pPr>
            <w:r w:rsidRPr="00D95A1A">
              <w:rPr>
                <w:b/>
                <w:sz w:val="22"/>
                <w:szCs w:val="24"/>
              </w:rPr>
              <w:t xml:space="preserve">Outcomes Level </w:t>
            </w:r>
            <w:proofErr w:type="spellStart"/>
            <w:r w:rsidRPr="00D95A1A">
              <w:rPr>
                <w:b/>
                <w:sz w:val="22"/>
                <w:szCs w:val="24"/>
              </w:rPr>
              <w:t>2b</w:t>
            </w:r>
            <w:proofErr w:type="spellEnd"/>
          </w:p>
        </w:tc>
      </w:tr>
      <w:tr w:rsidR="00D95A1A" w:rsidRPr="00D95A1A" w:rsidTr="004B3484">
        <w:tc>
          <w:tcPr>
            <w:tcW w:w="1217" w:type="dxa"/>
            <w:vAlign w:val="bottom"/>
          </w:tcPr>
          <w:p w:rsidR="00D95A1A" w:rsidRPr="00D95A1A" w:rsidRDefault="00D95A1A" w:rsidP="00D95A1A">
            <w:pPr>
              <w:tabs>
                <w:tab w:val="left" w:pos="6153"/>
              </w:tabs>
              <w:spacing w:line="240" w:lineRule="auto"/>
              <w:outlineLvl w:val="2"/>
              <w:rPr>
                <w:b/>
                <w:sz w:val="22"/>
                <w:szCs w:val="24"/>
              </w:rPr>
            </w:pPr>
            <w:r w:rsidRPr="00D95A1A">
              <w:rPr>
                <w:b/>
                <w:sz w:val="22"/>
                <w:szCs w:val="24"/>
              </w:rPr>
              <w:t>WA (%)</w:t>
            </w:r>
          </w:p>
        </w:tc>
        <w:tc>
          <w:tcPr>
            <w:tcW w:w="1218" w:type="dxa"/>
            <w:vAlign w:val="bottom"/>
          </w:tcPr>
          <w:p w:rsidR="00D95A1A" w:rsidRPr="00D95A1A" w:rsidRDefault="00D95A1A" w:rsidP="00D95A1A">
            <w:pPr>
              <w:jc w:val="right"/>
              <w:rPr>
                <w:rFonts w:cs="Calibri"/>
                <w:color w:val="000000"/>
                <w:sz w:val="22"/>
                <w:szCs w:val="22"/>
              </w:rPr>
            </w:pPr>
            <w:r w:rsidRPr="00D95A1A">
              <w:rPr>
                <w:rFonts w:cs="Calibri"/>
                <w:color w:val="000000"/>
                <w:sz w:val="22"/>
                <w:szCs w:val="22"/>
              </w:rPr>
              <w:t>40%</w:t>
            </w:r>
          </w:p>
        </w:tc>
        <w:tc>
          <w:tcPr>
            <w:tcW w:w="1218" w:type="dxa"/>
            <w:vAlign w:val="bottom"/>
          </w:tcPr>
          <w:p w:rsidR="00D95A1A" w:rsidRPr="00D95A1A" w:rsidRDefault="00D95A1A" w:rsidP="00D95A1A">
            <w:pPr>
              <w:jc w:val="right"/>
              <w:rPr>
                <w:rFonts w:cs="Calibri"/>
                <w:color w:val="000000"/>
                <w:sz w:val="22"/>
                <w:szCs w:val="22"/>
              </w:rPr>
            </w:pPr>
            <w:r w:rsidRPr="00D95A1A">
              <w:rPr>
                <w:rFonts w:cs="Calibri"/>
                <w:color w:val="000000"/>
                <w:sz w:val="22"/>
                <w:szCs w:val="22"/>
              </w:rPr>
              <w:t>30%</w:t>
            </w:r>
          </w:p>
        </w:tc>
        <w:tc>
          <w:tcPr>
            <w:tcW w:w="1218" w:type="dxa"/>
            <w:vAlign w:val="bottom"/>
          </w:tcPr>
          <w:p w:rsidR="00D95A1A" w:rsidRPr="00D95A1A" w:rsidRDefault="00D95A1A" w:rsidP="00D95A1A">
            <w:pPr>
              <w:jc w:val="right"/>
              <w:rPr>
                <w:rFonts w:cs="Calibri"/>
                <w:color w:val="000000"/>
                <w:sz w:val="22"/>
                <w:szCs w:val="22"/>
              </w:rPr>
            </w:pPr>
            <w:r w:rsidRPr="00D95A1A">
              <w:rPr>
                <w:rFonts w:cs="Calibri"/>
                <w:color w:val="000000"/>
                <w:sz w:val="22"/>
                <w:szCs w:val="22"/>
              </w:rPr>
              <w:t>30%</w:t>
            </w:r>
          </w:p>
        </w:tc>
      </w:tr>
    </w:tbl>
    <w:p w:rsidR="00D95A1A" w:rsidRDefault="00D95A1A" w:rsidP="00D95A1A">
      <w:pPr>
        <w:spacing w:line="240" w:lineRule="auto"/>
        <w:ind w:right="-708"/>
        <w:rPr>
          <w:rFonts w:eastAsia="Times New Roman"/>
          <w:sz w:val="22"/>
          <w:szCs w:val="22"/>
        </w:rPr>
      </w:pPr>
    </w:p>
    <w:p w:rsidR="007D5CF1" w:rsidRDefault="007D5CF1" w:rsidP="00D95A1A">
      <w:pPr>
        <w:spacing w:line="240" w:lineRule="auto"/>
        <w:ind w:right="-708"/>
        <w:rPr>
          <w:rFonts w:eastAsia="Times New Roman"/>
          <w:sz w:val="22"/>
          <w:szCs w:val="22"/>
        </w:rPr>
      </w:pPr>
    </w:p>
    <w:p w:rsidR="007D5CF1" w:rsidRPr="00D95A1A" w:rsidRDefault="007D5CF1" w:rsidP="00D95A1A">
      <w:pPr>
        <w:spacing w:line="240" w:lineRule="auto"/>
        <w:ind w:right="-708"/>
        <w:rPr>
          <w:rFonts w:eastAsia="Times New Roman"/>
          <w:lang w:eastAsia="en-AU"/>
        </w:rPr>
      </w:pPr>
    </w:p>
    <w:p w:rsidR="00D95A1A" w:rsidRPr="00D95A1A" w:rsidRDefault="00D95A1A" w:rsidP="006F48D6">
      <w:pPr>
        <w:pStyle w:val="Heading4"/>
        <w:spacing w:after="120"/>
        <w:rPr>
          <w:rFonts w:eastAsia="Times New Roman"/>
        </w:rPr>
      </w:pPr>
      <w:r w:rsidRPr="00D95A1A">
        <w:rPr>
          <w:rFonts w:eastAsia="Times New Roman"/>
        </w:rPr>
        <w:t>Table 3: Comparison between WA and National Participant Numbers</w:t>
      </w:r>
    </w:p>
    <w:tbl>
      <w:tblPr>
        <w:tblStyle w:val="TableGrid2"/>
        <w:tblpPr w:leftFromText="180" w:rightFromText="180" w:vertAnchor="text" w:horzAnchor="margin" w:tblpY="19"/>
        <w:tblW w:w="0" w:type="auto"/>
        <w:tblLook w:val="04A0" w:firstRow="1" w:lastRow="0" w:firstColumn="1" w:lastColumn="0" w:noHBand="0" w:noVBand="1"/>
        <w:tblCaption w:val="Table 3: Comparison between WA and National Participant Numbers"/>
        <w:tblDescription w:val="Table 3: Comparison between WA and National Participant Numbers"/>
      </w:tblPr>
      <w:tblGrid>
        <w:gridCol w:w="1526"/>
        <w:gridCol w:w="2268"/>
        <w:gridCol w:w="2410"/>
        <w:gridCol w:w="2409"/>
      </w:tblGrid>
      <w:tr w:rsidR="00D95A1A" w:rsidRPr="00D95A1A" w:rsidTr="004B3484">
        <w:trPr>
          <w:tblHeader/>
        </w:trPr>
        <w:tc>
          <w:tcPr>
            <w:tcW w:w="1526" w:type="dxa"/>
            <w:shd w:val="clear" w:color="auto" w:fill="F8F8F8" w:themeFill="accent1" w:themeFillTint="33"/>
          </w:tcPr>
          <w:p w:rsidR="00D95A1A" w:rsidRPr="00E86273" w:rsidRDefault="00D95A1A" w:rsidP="00D95A1A">
            <w:pPr>
              <w:spacing w:line="240" w:lineRule="auto"/>
              <w:rPr>
                <w:rFonts w:asciiTheme="majorHAnsi" w:hAnsiTheme="majorHAnsi" w:cstheme="majorHAnsi"/>
                <w:b/>
                <w:sz w:val="22"/>
                <w:szCs w:val="22"/>
              </w:rPr>
            </w:pPr>
          </w:p>
        </w:tc>
        <w:tc>
          <w:tcPr>
            <w:tcW w:w="2268" w:type="dxa"/>
            <w:shd w:val="clear" w:color="auto" w:fill="F8F8F8" w:themeFill="accent1" w:themeFillTint="33"/>
          </w:tcPr>
          <w:p w:rsidR="00D95A1A" w:rsidRPr="00E86273" w:rsidRDefault="00D95A1A" w:rsidP="00D95A1A">
            <w:pPr>
              <w:spacing w:line="240" w:lineRule="auto"/>
              <w:rPr>
                <w:rFonts w:asciiTheme="majorHAnsi" w:hAnsiTheme="majorHAnsi" w:cstheme="majorHAnsi"/>
                <w:b/>
                <w:sz w:val="22"/>
                <w:szCs w:val="22"/>
              </w:rPr>
            </w:pPr>
            <w:r w:rsidRPr="00E86273">
              <w:rPr>
                <w:rFonts w:asciiTheme="majorHAnsi" w:hAnsiTheme="majorHAnsi" w:cstheme="majorHAnsi"/>
                <w:b/>
                <w:sz w:val="22"/>
                <w:szCs w:val="22"/>
              </w:rPr>
              <w:t>Participants Level 1</w:t>
            </w:r>
          </w:p>
        </w:tc>
        <w:tc>
          <w:tcPr>
            <w:tcW w:w="2410" w:type="dxa"/>
            <w:shd w:val="clear" w:color="auto" w:fill="F8F8F8" w:themeFill="accent1" w:themeFillTint="33"/>
          </w:tcPr>
          <w:p w:rsidR="00D95A1A" w:rsidRPr="00E86273" w:rsidRDefault="00D95A1A" w:rsidP="00D95A1A">
            <w:pPr>
              <w:spacing w:line="240" w:lineRule="auto"/>
              <w:rPr>
                <w:rFonts w:asciiTheme="majorHAnsi" w:hAnsiTheme="majorHAnsi" w:cstheme="majorHAnsi"/>
                <w:b/>
                <w:sz w:val="22"/>
                <w:szCs w:val="22"/>
              </w:rPr>
            </w:pPr>
            <w:r w:rsidRPr="00E86273">
              <w:rPr>
                <w:rFonts w:asciiTheme="majorHAnsi" w:hAnsiTheme="majorHAnsi" w:cstheme="majorHAnsi"/>
                <w:b/>
                <w:sz w:val="22"/>
                <w:szCs w:val="22"/>
              </w:rPr>
              <w:t xml:space="preserve">Participants Level </w:t>
            </w:r>
            <w:proofErr w:type="spellStart"/>
            <w:r w:rsidRPr="00E86273">
              <w:rPr>
                <w:rFonts w:asciiTheme="majorHAnsi" w:hAnsiTheme="majorHAnsi" w:cstheme="majorHAnsi"/>
                <w:b/>
                <w:sz w:val="22"/>
                <w:szCs w:val="22"/>
              </w:rPr>
              <w:t>2a</w:t>
            </w:r>
            <w:proofErr w:type="spellEnd"/>
          </w:p>
        </w:tc>
        <w:tc>
          <w:tcPr>
            <w:tcW w:w="2409" w:type="dxa"/>
            <w:shd w:val="clear" w:color="auto" w:fill="F8F8F8" w:themeFill="accent1" w:themeFillTint="33"/>
          </w:tcPr>
          <w:p w:rsidR="00D95A1A" w:rsidRPr="00E86273" w:rsidRDefault="00D95A1A" w:rsidP="00D95A1A">
            <w:pPr>
              <w:spacing w:line="240" w:lineRule="auto"/>
              <w:rPr>
                <w:rFonts w:asciiTheme="majorHAnsi" w:hAnsiTheme="majorHAnsi" w:cstheme="majorHAnsi"/>
                <w:b/>
                <w:sz w:val="22"/>
                <w:szCs w:val="22"/>
              </w:rPr>
            </w:pPr>
            <w:r w:rsidRPr="00E86273">
              <w:rPr>
                <w:rFonts w:asciiTheme="majorHAnsi" w:hAnsiTheme="majorHAnsi" w:cstheme="majorHAnsi"/>
                <w:b/>
                <w:sz w:val="22"/>
                <w:szCs w:val="22"/>
              </w:rPr>
              <w:t xml:space="preserve">Participants Level </w:t>
            </w:r>
            <w:proofErr w:type="spellStart"/>
            <w:r w:rsidRPr="00E86273">
              <w:rPr>
                <w:rFonts w:asciiTheme="majorHAnsi" w:hAnsiTheme="majorHAnsi" w:cstheme="majorHAnsi"/>
                <w:b/>
                <w:sz w:val="22"/>
                <w:szCs w:val="22"/>
              </w:rPr>
              <w:t>2b</w:t>
            </w:r>
            <w:proofErr w:type="spellEnd"/>
          </w:p>
        </w:tc>
      </w:tr>
      <w:tr w:rsidR="00D95A1A" w:rsidRPr="00D95A1A" w:rsidTr="004B3484">
        <w:tc>
          <w:tcPr>
            <w:tcW w:w="1526" w:type="dxa"/>
            <w:vAlign w:val="bottom"/>
          </w:tcPr>
          <w:p w:rsidR="00D95A1A" w:rsidRPr="00E86273" w:rsidRDefault="00D95A1A" w:rsidP="00D95A1A">
            <w:pPr>
              <w:spacing w:line="240" w:lineRule="auto"/>
              <w:rPr>
                <w:rFonts w:asciiTheme="majorHAnsi" w:hAnsiTheme="majorHAnsi" w:cstheme="majorHAnsi"/>
                <w:b/>
                <w:bCs/>
                <w:color w:val="000000"/>
                <w:sz w:val="22"/>
                <w:szCs w:val="22"/>
              </w:rPr>
            </w:pPr>
            <w:r w:rsidRPr="00E86273">
              <w:rPr>
                <w:rFonts w:asciiTheme="majorHAnsi" w:hAnsiTheme="majorHAnsi" w:cstheme="majorHAnsi"/>
                <w:b/>
                <w:bCs/>
                <w:color w:val="000000"/>
                <w:sz w:val="22"/>
                <w:szCs w:val="22"/>
              </w:rPr>
              <w:t>WA (No.)</w:t>
            </w:r>
          </w:p>
        </w:tc>
        <w:tc>
          <w:tcPr>
            <w:tcW w:w="2268"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2441</w:t>
            </w:r>
          </w:p>
        </w:tc>
        <w:tc>
          <w:tcPr>
            <w:tcW w:w="2410"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1786</w:t>
            </w:r>
          </w:p>
        </w:tc>
        <w:tc>
          <w:tcPr>
            <w:tcW w:w="2409"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2071</w:t>
            </w:r>
          </w:p>
        </w:tc>
      </w:tr>
      <w:tr w:rsidR="00D95A1A" w:rsidRPr="00D95A1A" w:rsidTr="004B3484">
        <w:tc>
          <w:tcPr>
            <w:tcW w:w="1526" w:type="dxa"/>
            <w:vAlign w:val="bottom"/>
          </w:tcPr>
          <w:p w:rsidR="00D95A1A" w:rsidRPr="00E86273" w:rsidRDefault="00D95A1A" w:rsidP="00D95A1A">
            <w:pPr>
              <w:spacing w:line="240" w:lineRule="auto"/>
              <w:rPr>
                <w:rFonts w:asciiTheme="majorHAnsi" w:hAnsiTheme="majorHAnsi" w:cstheme="majorHAnsi"/>
                <w:b/>
                <w:bCs/>
                <w:color w:val="000000"/>
                <w:sz w:val="22"/>
                <w:szCs w:val="22"/>
              </w:rPr>
            </w:pPr>
            <w:r w:rsidRPr="00E86273">
              <w:rPr>
                <w:rFonts w:asciiTheme="majorHAnsi" w:hAnsiTheme="majorHAnsi" w:cstheme="majorHAnsi"/>
                <w:b/>
                <w:bCs/>
                <w:color w:val="000000"/>
                <w:sz w:val="22"/>
                <w:szCs w:val="22"/>
              </w:rPr>
              <w:t>WA (%)</w:t>
            </w:r>
          </w:p>
        </w:tc>
        <w:tc>
          <w:tcPr>
            <w:tcW w:w="2268"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39%</w:t>
            </w:r>
          </w:p>
        </w:tc>
        <w:tc>
          <w:tcPr>
            <w:tcW w:w="2410"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28%</w:t>
            </w:r>
          </w:p>
        </w:tc>
        <w:tc>
          <w:tcPr>
            <w:tcW w:w="2409"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33%</w:t>
            </w:r>
          </w:p>
        </w:tc>
      </w:tr>
      <w:tr w:rsidR="00D95A1A" w:rsidRPr="00D95A1A" w:rsidTr="004B3484">
        <w:tc>
          <w:tcPr>
            <w:tcW w:w="1526" w:type="dxa"/>
            <w:vAlign w:val="bottom"/>
          </w:tcPr>
          <w:p w:rsidR="00D95A1A" w:rsidRPr="00E86273" w:rsidRDefault="00D95A1A" w:rsidP="00D95A1A">
            <w:pPr>
              <w:spacing w:line="240" w:lineRule="auto"/>
              <w:rPr>
                <w:rFonts w:asciiTheme="majorHAnsi" w:hAnsiTheme="majorHAnsi" w:cstheme="majorHAnsi"/>
                <w:b/>
                <w:bCs/>
                <w:color w:val="000000"/>
                <w:sz w:val="22"/>
                <w:szCs w:val="22"/>
              </w:rPr>
            </w:pPr>
            <w:r w:rsidRPr="00E86273">
              <w:rPr>
                <w:rFonts w:asciiTheme="majorHAnsi" w:hAnsiTheme="majorHAnsi" w:cstheme="majorHAnsi"/>
                <w:b/>
                <w:bCs/>
                <w:color w:val="000000"/>
                <w:sz w:val="22"/>
                <w:szCs w:val="22"/>
              </w:rPr>
              <w:t> </w:t>
            </w:r>
          </w:p>
        </w:tc>
        <w:tc>
          <w:tcPr>
            <w:tcW w:w="2268" w:type="dxa"/>
            <w:vAlign w:val="bottom"/>
          </w:tcPr>
          <w:p w:rsidR="00D95A1A" w:rsidRPr="00E86273" w:rsidRDefault="00D95A1A" w:rsidP="00D95A1A">
            <w:pPr>
              <w:spacing w:line="240" w:lineRule="auto"/>
              <w:rPr>
                <w:rFonts w:asciiTheme="majorHAnsi" w:hAnsiTheme="majorHAnsi" w:cstheme="majorHAnsi"/>
                <w:color w:val="000000"/>
                <w:sz w:val="22"/>
                <w:szCs w:val="22"/>
              </w:rPr>
            </w:pPr>
            <w:r w:rsidRPr="00E86273">
              <w:rPr>
                <w:rFonts w:asciiTheme="majorHAnsi" w:hAnsiTheme="majorHAnsi" w:cstheme="majorHAnsi"/>
                <w:color w:val="000000"/>
                <w:sz w:val="22"/>
                <w:szCs w:val="22"/>
              </w:rPr>
              <w:t> </w:t>
            </w:r>
          </w:p>
        </w:tc>
        <w:tc>
          <w:tcPr>
            <w:tcW w:w="2410" w:type="dxa"/>
            <w:vAlign w:val="bottom"/>
          </w:tcPr>
          <w:p w:rsidR="00D95A1A" w:rsidRPr="00E86273" w:rsidRDefault="00D95A1A" w:rsidP="00D95A1A">
            <w:pPr>
              <w:spacing w:line="240" w:lineRule="auto"/>
              <w:rPr>
                <w:rFonts w:asciiTheme="majorHAnsi" w:hAnsiTheme="majorHAnsi" w:cstheme="majorHAnsi"/>
                <w:color w:val="000000"/>
                <w:sz w:val="22"/>
                <w:szCs w:val="22"/>
              </w:rPr>
            </w:pPr>
            <w:r w:rsidRPr="00E86273">
              <w:rPr>
                <w:rFonts w:asciiTheme="majorHAnsi" w:hAnsiTheme="majorHAnsi" w:cstheme="majorHAnsi"/>
                <w:color w:val="000000"/>
                <w:sz w:val="22"/>
                <w:szCs w:val="22"/>
              </w:rPr>
              <w:t> </w:t>
            </w:r>
          </w:p>
        </w:tc>
        <w:tc>
          <w:tcPr>
            <w:tcW w:w="2409" w:type="dxa"/>
            <w:vAlign w:val="bottom"/>
          </w:tcPr>
          <w:p w:rsidR="00D95A1A" w:rsidRPr="00E86273" w:rsidRDefault="00D95A1A" w:rsidP="00D95A1A">
            <w:pPr>
              <w:spacing w:line="240" w:lineRule="auto"/>
              <w:rPr>
                <w:rFonts w:asciiTheme="majorHAnsi" w:hAnsiTheme="majorHAnsi" w:cstheme="majorHAnsi"/>
                <w:color w:val="000000"/>
                <w:sz w:val="22"/>
                <w:szCs w:val="22"/>
              </w:rPr>
            </w:pPr>
            <w:r w:rsidRPr="00E86273">
              <w:rPr>
                <w:rFonts w:asciiTheme="majorHAnsi" w:hAnsiTheme="majorHAnsi" w:cstheme="majorHAnsi"/>
                <w:color w:val="000000"/>
                <w:sz w:val="22"/>
                <w:szCs w:val="22"/>
              </w:rPr>
              <w:t> </w:t>
            </w:r>
          </w:p>
        </w:tc>
      </w:tr>
      <w:tr w:rsidR="00D95A1A" w:rsidRPr="00D95A1A" w:rsidTr="004B3484">
        <w:tc>
          <w:tcPr>
            <w:tcW w:w="1526" w:type="dxa"/>
            <w:vAlign w:val="bottom"/>
          </w:tcPr>
          <w:p w:rsidR="00D95A1A" w:rsidRPr="00E86273" w:rsidRDefault="00D95A1A" w:rsidP="00D95A1A">
            <w:pPr>
              <w:spacing w:line="240" w:lineRule="auto"/>
              <w:rPr>
                <w:rFonts w:asciiTheme="majorHAnsi" w:hAnsiTheme="majorHAnsi" w:cstheme="majorHAnsi"/>
                <w:b/>
                <w:bCs/>
                <w:color w:val="000000"/>
                <w:sz w:val="22"/>
                <w:szCs w:val="22"/>
              </w:rPr>
            </w:pPr>
            <w:r w:rsidRPr="00E86273">
              <w:rPr>
                <w:rFonts w:asciiTheme="majorHAnsi" w:hAnsiTheme="majorHAnsi" w:cstheme="majorHAnsi"/>
                <w:b/>
                <w:bCs/>
                <w:color w:val="000000"/>
                <w:sz w:val="22"/>
                <w:szCs w:val="22"/>
              </w:rPr>
              <w:t>National (No.)</w:t>
            </w:r>
          </w:p>
        </w:tc>
        <w:tc>
          <w:tcPr>
            <w:tcW w:w="2268"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15,825</w:t>
            </w:r>
          </w:p>
        </w:tc>
        <w:tc>
          <w:tcPr>
            <w:tcW w:w="2410"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21,124</w:t>
            </w:r>
          </w:p>
        </w:tc>
        <w:tc>
          <w:tcPr>
            <w:tcW w:w="2409"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23,491</w:t>
            </w:r>
          </w:p>
        </w:tc>
      </w:tr>
      <w:tr w:rsidR="00D95A1A" w:rsidRPr="00D95A1A" w:rsidTr="004B3484">
        <w:tc>
          <w:tcPr>
            <w:tcW w:w="1526" w:type="dxa"/>
            <w:vAlign w:val="bottom"/>
          </w:tcPr>
          <w:p w:rsidR="00D95A1A" w:rsidRPr="00E86273" w:rsidRDefault="00D95A1A" w:rsidP="00D95A1A">
            <w:pPr>
              <w:spacing w:line="240" w:lineRule="auto"/>
              <w:rPr>
                <w:rFonts w:asciiTheme="majorHAnsi" w:hAnsiTheme="majorHAnsi" w:cstheme="majorHAnsi"/>
                <w:b/>
                <w:bCs/>
                <w:color w:val="000000"/>
                <w:sz w:val="22"/>
                <w:szCs w:val="22"/>
              </w:rPr>
            </w:pPr>
            <w:r w:rsidRPr="00E86273">
              <w:rPr>
                <w:rFonts w:asciiTheme="majorHAnsi" w:hAnsiTheme="majorHAnsi" w:cstheme="majorHAnsi"/>
                <w:b/>
                <w:bCs/>
                <w:color w:val="000000"/>
                <w:sz w:val="22"/>
                <w:szCs w:val="22"/>
              </w:rPr>
              <w:t>National (%)</w:t>
            </w:r>
          </w:p>
        </w:tc>
        <w:tc>
          <w:tcPr>
            <w:tcW w:w="2268"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26%</w:t>
            </w:r>
          </w:p>
        </w:tc>
        <w:tc>
          <w:tcPr>
            <w:tcW w:w="2410"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35%</w:t>
            </w:r>
          </w:p>
        </w:tc>
        <w:tc>
          <w:tcPr>
            <w:tcW w:w="2409" w:type="dxa"/>
            <w:vAlign w:val="bottom"/>
          </w:tcPr>
          <w:p w:rsidR="00D95A1A" w:rsidRPr="00E86273" w:rsidRDefault="00D95A1A" w:rsidP="00D95A1A">
            <w:pPr>
              <w:spacing w:line="240" w:lineRule="auto"/>
              <w:jc w:val="right"/>
              <w:rPr>
                <w:rFonts w:asciiTheme="majorHAnsi" w:hAnsiTheme="majorHAnsi" w:cstheme="majorHAnsi"/>
                <w:color w:val="000000"/>
                <w:sz w:val="22"/>
                <w:szCs w:val="22"/>
              </w:rPr>
            </w:pPr>
            <w:r w:rsidRPr="00E86273">
              <w:rPr>
                <w:rFonts w:asciiTheme="majorHAnsi" w:hAnsiTheme="majorHAnsi" w:cstheme="majorHAnsi"/>
                <w:color w:val="000000"/>
                <w:sz w:val="22"/>
                <w:szCs w:val="22"/>
              </w:rPr>
              <w:t>39%</w:t>
            </w:r>
          </w:p>
        </w:tc>
      </w:tr>
    </w:tbl>
    <w:p w:rsidR="00D95A1A" w:rsidRPr="00D95A1A" w:rsidRDefault="00D95A1A" w:rsidP="007D5CF1">
      <w:pPr>
        <w:pStyle w:val="Heading4"/>
        <w:spacing w:before="120"/>
        <w:rPr>
          <w:rFonts w:eastAsia="Times New Roman"/>
        </w:rPr>
      </w:pPr>
      <w:r w:rsidRPr="00D95A1A">
        <w:rPr>
          <w:rFonts w:eastAsia="Times New Roman"/>
        </w:rPr>
        <w:lastRenderedPageBreak/>
        <w:t>Table 4: Comparison between WA and National Participant Outcomes</w:t>
      </w:r>
    </w:p>
    <w:tbl>
      <w:tblPr>
        <w:tblStyle w:val="TableGrid2"/>
        <w:tblpPr w:leftFromText="181" w:rightFromText="181" w:vertAnchor="text" w:horzAnchor="margin" w:tblpY="162"/>
        <w:tblW w:w="0" w:type="auto"/>
        <w:tblLook w:val="04A0" w:firstRow="1" w:lastRow="0" w:firstColumn="1" w:lastColumn="0" w:noHBand="0" w:noVBand="1"/>
        <w:tblCaption w:val="Table 4: Comparison between WA and National Participant Outcomes"/>
        <w:tblDescription w:val="Table 4: Comparison between WA and National Participant Outcomes"/>
      </w:tblPr>
      <w:tblGrid>
        <w:gridCol w:w="1526"/>
        <w:gridCol w:w="2268"/>
        <w:gridCol w:w="2410"/>
        <w:gridCol w:w="2409"/>
      </w:tblGrid>
      <w:tr w:rsidR="00D95A1A" w:rsidRPr="00D95A1A" w:rsidTr="004B3484">
        <w:trPr>
          <w:tblHeader/>
        </w:trPr>
        <w:tc>
          <w:tcPr>
            <w:tcW w:w="1526" w:type="dxa"/>
            <w:shd w:val="clear" w:color="auto" w:fill="F8F8F8" w:themeFill="accent1" w:themeFillTint="33"/>
          </w:tcPr>
          <w:p w:rsidR="00D95A1A" w:rsidRPr="006F48D6" w:rsidRDefault="00D95A1A" w:rsidP="00D95A1A">
            <w:pPr>
              <w:spacing w:line="240" w:lineRule="auto"/>
              <w:rPr>
                <w:rFonts w:ascii="Calibri" w:hAnsi="Calibri" w:cs="Calibri"/>
                <w:b/>
                <w:sz w:val="22"/>
                <w:szCs w:val="22"/>
              </w:rPr>
            </w:pPr>
          </w:p>
        </w:tc>
        <w:tc>
          <w:tcPr>
            <w:tcW w:w="2268" w:type="dxa"/>
            <w:shd w:val="clear" w:color="auto" w:fill="F8F8F8" w:themeFill="accent1" w:themeFillTint="33"/>
          </w:tcPr>
          <w:p w:rsidR="00D95A1A" w:rsidRPr="006F48D6" w:rsidRDefault="00D95A1A" w:rsidP="00D95A1A">
            <w:pPr>
              <w:spacing w:line="240" w:lineRule="auto"/>
              <w:rPr>
                <w:rFonts w:ascii="Calibri" w:hAnsi="Calibri" w:cs="Calibri"/>
                <w:b/>
                <w:sz w:val="22"/>
                <w:szCs w:val="22"/>
              </w:rPr>
            </w:pPr>
            <w:r w:rsidRPr="006F48D6">
              <w:rPr>
                <w:rFonts w:ascii="Calibri" w:hAnsi="Calibri" w:cs="Calibri"/>
                <w:b/>
                <w:sz w:val="22"/>
                <w:szCs w:val="22"/>
              </w:rPr>
              <w:t>Outcomes Level 1</w:t>
            </w:r>
          </w:p>
        </w:tc>
        <w:tc>
          <w:tcPr>
            <w:tcW w:w="2410" w:type="dxa"/>
            <w:shd w:val="clear" w:color="auto" w:fill="F8F8F8" w:themeFill="accent1" w:themeFillTint="33"/>
          </w:tcPr>
          <w:p w:rsidR="00D95A1A" w:rsidRPr="006F48D6" w:rsidRDefault="00D95A1A" w:rsidP="00D95A1A">
            <w:pPr>
              <w:spacing w:line="240" w:lineRule="auto"/>
              <w:rPr>
                <w:rFonts w:ascii="Calibri" w:hAnsi="Calibri" w:cs="Calibri"/>
                <w:b/>
                <w:sz w:val="22"/>
                <w:szCs w:val="22"/>
              </w:rPr>
            </w:pPr>
            <w:r w:rsidRPr="006F48D6">
              <w:rPr>
                <w:rFonts w:ascii="Calibri" w:hAnsi="Calibri" w:cs="Calibri"/>
                <w:b/>
                <w:sz w:val="22"/>
                <w:szCs w:val="22"/>
              </w:rPr>
              <w:t xml:space="preserve">Outcomes Level </w:t>
            </w:r>
            <w:proofErr w:type="spellStart"/>
            <w:r w:rsidRPr="006F48D6">
              <w:rPr>
                <w:rFonts w:ascii="Calibri" w:hAnsi="Calibri" w:cs="Calibri"/>
                <w:b/>
                <w:sz w:val="22"/>
                <w:szCs w:val="22"/>
              </w:rPr>
              <w:t>2a</w:t>
            </w:r>
            <w:proofErr w:type="spellEnd"/>
          </w:p>
        </w:tc>
        <w:tc>
          <w:tcPr>
            <w:tcW w:w="2409" w:type="dxa"/>
            <w:shd w:val="clear" w:color="auto" w:fill="F8F8F8" w:themeFill="accent1" w:themeFillTint="33"/>
          </w:tcPr>
          <w:p w:rsidR="00D95A1A" w:rsidRPr="006F48D6" w:rsidRDefault="00D95A1A" w:rsidP="00D95A1A">
            <w:pPr>
              <w:spacing w:line="240" w:lineRule="auto"/>
              <w:rPr>
                <w:rFonts w:ascii="Calibri" w:hAnsi="Calibri" w:cs="Calibri"/>
                <w:b/>
                <w:sz w:val="22"/>
                <w:szCs w:val="22"/>
              </w:rPr>
            </w:pPr>
            <w:r w:rsidRPr="006F48D6">
              <w:rPr>
                <w:rFonts w:ascii="Calibri" w:hAnsi="Calibri" w:cs="Calibri"/>
                <w:b/>
                <w:sz w:val="22"/>
                <w:szCs w:val="22"/>
              </w:rPr>
              <w:t xml:space="preserve">Outcomes Level </w:t>
            </w:r>
            <w:proofErr w:type="spellStart"/>
            <w:r w:rsidRPr="006F48D6">
              <w:rPr>
                <w:rFonts w:ascii="Calibri" w:hAnsi="Calibri" w:cs="Calibri"/>
                <w:b/>
                <w:sz w:val="22"/>
                <w:szCs w:val="22"/>
              </w:rPr>
              <w:t>2b</w:t>
            </w:r>
            <w:proofErr w:type="spellEnd"/>
          </w:p>
        </w:tc>
      </w:tr>
      <w:tr w:rsidR="00D95A1A" w:rsidRPr="00D95A1A" w:rsidTr="004B3484">
        <w:tc>
          <w:tcPr>
            <w:tcW w:w="1526" w:type="dxa"/>
            <w:vAlign w:val="bottom"/>
          </w:tcPr>
          <w:p w:rsidR="00D95A1A" w:rsidRPr="006F48D6" w:rsidRDefault="00D95A1A" w:rsidP="00D95A1A">
            <w:pPr>
              <w:spacing w:line="240" w:lineRule="auto"/>
              <w:rPr>
                <w:rFonts w:ascii="Calibri" w:hAnsi="Calibri" w:cs="Calibri"/>
                <w:b/>
                <w:bCs/>
                <w:color w:val="000000"/>
                <w:sz w:val="22"/>
                <w:szCs w:val="22"/>
              </w:rPr>
            </w:pPr>
            <w:r w:rsidRPr="006F48D6">
              <w:rPr>
                <w:rFonts w:ascii="Calibri" w:hAnsi="Calibri" w:cs="Calibri"/>
                <w:b/>
                <w:bCs/>
                <w:color w:val="000000"/>
                <w:sz w:val="22"/>
                <w:szCs w:val="22"/>
              </w:rPr>
              <w:t>WA (No.)</w:t>
            </w:r>
          </w:p>
        </w:tc>
        <w:tc>
          <w:tcPr>
            <w:tcW w:w="2268"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1926</w:t>
            </w:r>
          </w:p>
        </w:tc>
        <w:tc>
          <w:tcPr>
            <w:tcW w:w="2410"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1331</w:t>
            </w:r>
          </w:p>
        </w:tc>
        <w:tc>
          <w:tcPr>
            <w:tcW w:w="240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1510</w:t>
            </w:r>
          </w:p>
        </w:tc>
      </w:tr>
      <w:tr w:rsidR="00D95A1A" w:rsidRPr="00D95A1A" w:rsidTr="004B3484">
        <w:tc>
          <w:tcPr>
            <w:tcW w:w="1526" w:type="dxa"/>
            <w:vAlign w:val="bottom"/>
          </w:tcPr>
          <w:p w:rsidR="00D95A1A" w:rsidRPr="006F48D6" w:rsidRDefault="00D95A1A" w:rsidP="00D95A1A">
            <w:pPr>
              <w:spacing w:line="240" w:lineRule="auto"/>
              <w:rPr>
                <w:rFonts w:ascii="Calibri" w:hAnsi="Calibri" w:cs="Calibri"/>
                <w:b/>
                <w:bCs/>
                <w:color w:val="000000"/>
                <w:sz w:val="22"/>
                <w:szCs w:val="22"/>
              </w:rPr>
            </w:pPr>
            <w:r w:rsidRPr="006F48D6">
              <w:rPr>
                <w:rFonts w:ascii="Calibri" w:hAnsi="Calibri" w:cs="Calibri"/>
                <w:b/>
                <w:bCs/>
                <w:color w:val="000000"/>
                <w:sz w:val="22"/>
                <w:szCs w:val="22"/>
              </w:rPr>
              <w:t>WA (%)</w:t>
            </w:r>
          </w:p>
        </w:tc>
        <w:tc>
          <w:tcPr>
            <w:tcW w:w="2268"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40%</w:t>
            </w:r>
          </w:p>
        </w:tc>
        <w:tc>
          <w:tcPr>
            <w:tcW w:w="2410"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28%</w:t>
            </w:r>
          </w:p>
        </w:tc>
        <w:tc>
          <w:tcPr>
            <w:tcW w:w="240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32%</w:t>
            </w:r>
          </w:p>
        </w:tc>
      </w:tr>
      <w:tr w:rsidR="00D95A1A" w:rsidRPr="00D95A1A" w:rsidTr="004B3484">
        <w:tc>
          <w:tcPr>
            <w:tcW w:w="1526" w:type="dxa"/>
            <w:vAlign w:val="bottom"/>
          </w:tcPr>
          <w:p w:rsidR="00D95A1A" w:rsidRPr="006F48D6" w:rsidRDefault="00D95A1A" w:rsidP="00D95A1A">
            <w:pPr>
              <w:spacing w:line="240" w:lineRule="auto"/>
              <w:rPr>
                <w:rFonts w:ascii="Calibri" w:hAnsi="Calibri" w:cs="Calibri"/>
                <w:b/>
                <w:bCs/>
                <w:color w:val="000000"/>
                <w:sz w:val="22"/>
                <w:szCs w:val="22"/>
              </w:rPr>
            </w:pPr>
            <w:r w:rsidRPr="006F48D6">
              <w:rPr>
                <w:rFonts w:ascii="Calibri" w:hAnsi="Calibri" w:cs="Calibri"/>
                <w:b/>
                <w:bCs/>
                <w:color w:val="000000"/>
                <w:sz w:val="22"/>
                <w:szCs w:val="22"/>
              </w:rPr>
              <w:t> </w:t>
            </w:r>
          </w:p>
        </w:tc>
        <w:tc>
          <w:tcPr>
            <w:tcW w:w="2268"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 </w:t>
            </w:r>
          </w:p>
        </w:tc>
        <w:tc>
          <w:tcPr>
            <w:tcW w:w="2410"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 </w:t>
            </w:r>
          </w:p>
        </w:tc>
        <w:tc>
          <w:tcPr>
            <w:tcW w:w="2409"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 </w:t>
            </w:r>
          </w:p>
        </w:tc>
      </w:tr>
      <w:tr w:rsidR="00D95A1A" w:rsidRPr="00D95A1A" w:rsidTr="004B3484">
        <w:tc>
          <w:tcPr>
            <w:tcW w:w="1526" w:type="dxa"/>
            <w:vAlign w:val="bottom"/>
          </w:tcPr>
          <w:p w:rsidR="00D95A1A" w:rsidRPr="006F48D6" w:rsidRDefault="00D95A1A" w:rsidP="00D95A1A">
            <w:pPr>
              <w:spacing w:line="240" w:lineRule="auto"/>
              <w:rPr>
                <w:rFonts w:ascii="Calibri" w:hAnsi="Calibri" w:cs="Calibri"/>
                <w:b/>
                <w:bCs/>
                <w:color w:val="000000"/>
                <w:sz w:val="22"/>
                <w:szCs w:val="22"/>
              </w:rPr>
            </w:pPr>
            <w:r w:rsidRPr="006F48D6">
              <w:rPr>
                <w:rFonts w:ascii="Calibri" w:hAnsi="Calibri" w:cs="Calibri"/>
                <w:b/>
                <w:bCs/>
                <w:color w:val="000000"/>
                <w:sz w:val="22"/>
                <w:szCs w:val="22"/>
              </w:rPr>
              <w:t>National (No.)</w:t>
            </w:r>
          </w:p>
        </w:tc>
        <w:tc>
          <w:tcPr>
            <w:tcW w:w="2268"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13,053</w:t>
            </w:r>
          </w:p>
        </w:tc>
        <w:tc>
          <w:tcPr>
            <w:tcW w:w="2410"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16,958</w:t>
            </w:r>
          </w:p>
        </w:tc>
        <w:tc>
          <w:tcPr>
            <w:tcW w:w="240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17,620</w:t>
            </w:r>
          </w:p>
        </w:tc>
      </w:tr>
      <w:tr w:rsidR="00D95A1A" w:rsidRPr="00D95A1A" w:rsidTr="004B3484">
        <w:tc>
          <w:tcPr>
            <w:tcW w:w="1526" w:type="dxa"/>
            <w:vAlign w:val="bottom"/>
          </w:tcPr>
          <w:p w:rsidR="00D95A1A" w:rsidRPr="006F48D6" w:rsidRDefault="00D95A1A" w:rsidP="00D95A1A">
            <w:pPr>
              <w:spacing w:line="240" w:lineRule="auto"/>
              <w:rPr>
                <w:rFonts w:ascii="Calibri" w:hAnsi="Calibri" w:cs="Calibri"/>
                <w:b/>
                <w:bCs/>
                <w:color w:val="000000"/>
                <w:sz w:val="22"/>
                <w:szCs w:val="22"/>
              </w:rPr>
            </w:pPr>
            <w:r w:rsidRPr="006F48D6">
              <w:rPr>
                <w:rFonts w:ascii="Calibri" w:hAnsi="Calibri" w:cs="Calibri"/>
                <w:b/>
                <w:bCs/>
                <w:color w:val="000000"/>
                <w:sz w:val="22"/>
                <w:szCs w:val="22"/>
              </w:rPr>
              <w:t>National (%)</w:t>
            </w:r>
          </w:p>
        </w:tc>
        <w:tc>
          <w:tcPr>
            <w:tcW w:w="2268"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27%</w:t>
            </w:r>
          </w:p>
        </w:tc>
        <w:tc>
          <w:tcPr>
            <w:tcW w:w="2410"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36%</w:t>
            </w:r>
          </w:p>
        </w:tc>
        <w:tc>
          <w:tcPr>
            <w:tcW w:w="240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37%</w:t>
            </w:r>
          </w:p>
        </w:tc>
      </w:tr>
    </w:tbl>
    <w:p w:rsidR="00D95A1A" w:rsidRPr="00D95A1A" w:rsidRDefault="00D95A1A" w:rsidP="00D95A1A">
      <w:pPr>
        <w:spacing w:line="240" w:lineRule="auto"/>
        <w:rPr>
          <w:rFonts w:eastAsia="Times New Roman"/>
        </w:rPr>
      </w:pPr>
    </w:p>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lang w:eastAsia="en-AU"/>
        </w:rPr>
      </w:pPr>
    </w:p>
    <w:p w:rsidR="00D95A1A" w:rsidRDefault="00D95A1A" w:rsidP="00D95A1A">
      <w:pPr>
        <w:spacing w:line="240" w:lineRule="auto"/>
        <w:rPr>
          <w:rFonts w:eastAsia="Times New Roman"/>
          <w:lang w:eastAsia="en-AU"/>
        </w:rPr>
      </w:pPr>
    </w:p>
    <w:p w:rsidR="007D5CF1" w:rsidRPr="00D95A1A" w:rsidRDefault="007D5CF1" w:rsidP="00D95A1A">
      <w:pPr>
        <w:spacing w:line="240" w:lineRule="auto"/>
        <w:rPr>
          <w:rFonts w:eastAsia="Times New Roman"/>
          <w:lang w:eastAsia="en-AU"/>
        </w:rPr>
      </w:pPr>
    </w:p>
    <w:p w:rsidR="00D95A1A" w:rsidRPr="00D95A1A" w:rsidRDefault="00D95A1A" w:rsidP="00D95A1A">
      <w:pPr>
        <w:keepNext/>
        <w:spacing w:after="200" w:line="240" w:lineRule="auto"/>
        <w:rPr>
          <w:rFonts w:eastAsia="Times New Roman"/>
          <w:b/>
          <w:bCs/>
          <w:color w:val="4F81BD"/>
          <w:sz w:val="18"/>
          <w:szCs w:val="18"/>
          <w:lang w:eastAsia="en-AU"/>
        </w:rPr>
      </w:pPr>
      <w:r w:rsidRPr="00D95A1A">
        <w:rPr>
          <w:rFonts w:eastAsia="Times New Roman"/>
          <w:b/>
          <w:bCs/>
          <w:color w:val="4F81BD"/>
          <w:sz w:val="18"/>
          <w:szCs w:val="18"/>
          <w:lang w:eastAsia="en-AU"/>
        </w:rPr>
        <w:lastRenderedPageBreak/>
        <w:t>Figure 1: WA – Age of Participants</w:t>
      </w:r>
      <w:r w:rsidRPr="00D95A1A">
        <w:rPr>
          <w:rFonts w:eastAsia="Times New Roman"/>
          <w:b/>
          <w:bCs/>
          <w:noProof/>
          <w:color w:val="4F81BD"/>
          <w:sz w:val="18"/>
          <w:szCs w:val="18"/>
          <w:lang w:eastAsia="en-AU"/>
        </w:rPr>
        <w:drawing>
          <wp:inline distT="0" distB="0" distL="0" distR="0" wp14:anchorId="69DC46DA" wp14:editId="42971A5F">
            <wp:extent cx="5972175" cy="4171950"/>
            <wp:effectExtent l="0" t="0" r="0" b="0"/>
            <wp:docPr id="12" name="Chart 12" descr="WA Age of participants, graphic representation of table 5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95A1A" w:rsidRPr="00D95A1A" w:rsidRDefault="00D95A1A" w:rsidP="00D95A1A">
      <w:pPr>
        <w:keepNext/>
        <w:spacing w:after="200" w:line="240" w:lineRule="auto"/>
        <w:rPr>
          <w:rFonts w:eastAsia="Times New Roman"/>
          <w:b/>
          <w:bCs/>
          <w:color w:val="4F81BD"/>
          <w:sz w:val="18"/>
          <w:szCs w:val="18"/>
          <w:lang w:eastAsia="en-AU"/>
        </w:rPr>
      </w:pPr>
      <w:r w:rsidRPr="00D95A1A">
        <w:rPr>
          <w:rFonts w:eastAsia="Times New Roman"/>
          <w:b/>
          <w:bCs/>
          <w:color w:val="4F81BD"/>
          <w:sz w:val="18"/>
          <w:szCs w:val="18"/>
          <w:lang w:eastAsia="en-AU"/>
        </w:rPr>
        <w:t xml:space="preserve">Figure 2: National – Age of Participants </w:t>
      </w:r>
      <w:r w:rsidRPr="00D95A1A">
        <w:rPr>
          <w:rFonts w:eastAsia="Times New Roman"/>
          <w:b/>
          <w:bCs/>
          <w:noProof/>
          <w:color w:val="4F81BD"/>
          <w:sz w:val="18"/>
          <w:szCs w:val="18"/>
          <w:lang w:eastAsia="en-AU"/>
        </w:rPr>
        <w:drawing>
          <wp:inline distT="0" distB="0" distL="0" distR="0" wp14:anchorId="39DB8E0C" wp14:editId="36E52C8A">
            <wp:extent cx="5934075" cy="4286250"/>
            <wp:effectExtent l="0" t="0" r="9525" b="19050"/>
            <wp:docPr id="13" name="Chart 13" descr="National Age of participants, graphic representation of table 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95A1A" w:rsidRPr="00D95A1A" w:rsidRDefault="00D95A1A" w:rsidP="006F48D6">
      <w:pPr>
        <w:pStyle w:val="Heading4"/>
        <w:spacing w:after="120"/>
        <w:rPr>
          <w:rFonts w:eastAsia="Times New Roman"/>
        </w:rPr>
      </w:pPr>
      <w:r w:rsidRPr="00D95A1A">
        <w:rPr>
          <w:rFonts w:eastAsia="Times New Roman"/>
        </w:rPr>
        <w:lastRenderedPageBreak/>
        <w:t>Table 5: WA - Age of Participants</w:t>
      </w:r>
    </w:p>
    <w:tbl>
      <w:tblPr>
        <w:tblW w:w="8647" w:type="dxa"/>
        <w:tblInd w:w="-34" w:type="dxa"/>
        <w:tblLook w:val="04A0" w:firstRow="1" w:lastRow="0" w:firstColumn="1" w:lastColumn="0" w:noHBand="0" w:noVBand="1"/>
      </w:tblPr>
      <w:tblGrid>
        <w:gridCol w:w="683"/>
        <w:gridCol w:w="1444"/>
        <w:gridCol w:w="1701"/>
        <w:gridCol w:w="1559"/>
        <w:gridCol w:w="1701"/>
        <w:gridCol w:w="1559"/>
      </w:tblGrid>
      <w:tr w:rsidR="00D95A1A" w:rsidRPr="00D95A1A" w:rsidTr="004B3484">
        <w:trPr>
          <w:trHeight w:val="390"/>
        </w:trPr>
        <w:tc>
          <w:tcPr>
            <w:tcW w:w="683" w:type="dxa"/>
            <w:tcBorders>
              <w:top w:val="single" w:sz="4" w:space="0" w:color="auto"/>
              <w:left w:val="single" w:sz="4" w:space="0" w:color="auto"/>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tabs>
                <w:tab w:val="left" w:pos="6153"/>
              </w:tabs>
              <w:spacing w:line="240" w:lineRule="auto"/>
              <w:jc w:val="center"/>
              <w:rPr>
                <w:rFonts w:eastAsia="Times New Roman"/>
                <w:b/>
                <w:lang w:eastAsia="en-AU"/>
              </w:rPr>
            </w:pPr>
            <w:r w:rsidRPr="00D95A1A">
              <w:rPr>
                <w:rFonts w:eastAsia="Times New Roman"/>
                <w:b/>
                <w:lang w:eastAsia="en-AU"/>
              </w:rPr>
              <w:t> Age</w:t>
            </w:r>
          </w:p>
        </w:tc>
        <w:tc>
          <w:tcPr>
            <w:tcW w:w="1444"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tabs>
                <w:tab w:val="left" w:pos="6153"/>
              </w:tabs>
              <w:spacing w:line="240" w:lineRule="auto"/>
              <w:jc w:val="center"/>
              <w:rPr>
                <w:rFonts w:eastAsia="Times New Roman"/>
                <w:b/>
                <w:lang w:eastAsia="en-AU"/>
              </w:rPr>
            </w:pPr>
            <w:r w:rsidRPr="00D95A1A">
              <w:rPr>
                <w:rFonts w:eastAsia="Times New Roman"/>
                <w:b/>
                <w:lang w:eastAsia="en-AU"/>
              </w:rPr>
              <w:t>Level 1</w:t>
            </w:r>
          </w:p>
        </w:tc>
        <w:tc>
          <w:tcPr>
            <w:tcW w:w="1701"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tabs>
                <w:tab w:val="left" w:pos="6153"/>
              </w:tabs>
              <w:spacing w:line="240" w:lineRule="auto"/>
              <w:jc w:val="center"/>
              <w:rPr>
                <w:rFonts w:eastAsia="Times New Roman"/>
                <w:b/>
                <w:lang w:eastAsia="en-AU"/>
              </w:rPr>
            </w:pPr>
            <w:r w:rsidRPr="00D95A1A">
              <w:rPr>
                <w:rFonts w:eastAsia="Times New Roman"/>
                <w:b/>
                <w:lang w:eastAsia="en-AU"/>
              </w:rPr>
              <w:t xml:space="preserve">Level </w:t>
            </w:r>
            <w:proofErr w:type="spellStart"/>
            <w:r w:rsidRPr="00D95A1A">
              <w:rPr>
                <w:rFonts w:eastAsia="Times New Roman"/>
                <w:b/>
                <w:lang w:eastAsia="en-AU"/>
              </w:rPr>
              <w:t>2a</w:t>
            </w:r>
            <w:proofErr w:type="spellEnd"/>
          </w:p>
        </w:tc>
        <w:tc>
          <w:tcPr>
            <w:tcW w:w="1559"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tabs>
                <w:tab w:val="left" w:pos="6153"/>
              </w:tabs>
              <w:spacing w:line="240" w:lineRule="auto"/>
              <w:jc w:val="center"/>
              <w:rPr>
                <w:rFonts w:eastAsia="Times New Roman"/>
                <w:b/>
                <w:lang w:eastAsia="en-AU"/>
              </w:rPr>
            </w:pPr>
            <w:r w:rsidRPr="00D95A1A">
              <w:rPr>
                <w:rFonts w:eastAsia="Times New Roman"/>
                <w:b/>
                <w:lang w:eastAsia="en-AU"/>
              </w:rPr>
              <w:t xml:space="preserve">Level </w:t>
            </w:r>
            <w:proofErr w:type="spellStart"/>
            <w:r w:rsidRPr="00D95A1A">
              <w:rPr>
                <w:rFonts w:eastAsia="Times New Roman"/>
                <w:b/>
                <w:lang w:eastAsia="en-AU"/>
              </w:rPr>
              <w:t>2b</w:t>
            </w:r>
            <w:proofErr w:type="spellEnd"/>
          </w:p>
        </w:tc>
        <w:tc>
          <w:tcPr>
            <w:tcW w:w="1701"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tabs>
                <w:tab w:val="left" w:pos="6153"/>
              </w:tabs>
              <w:spacing w:line="240" w:lineRule="auto"/>
              <w:jc w:val="center"/>
              <w:rPr>
                <w:rFonts w:eastAsia="Times New Roman"/>
                <w:b/>
                <w:lang w:eastAsia="en-AU"/>
              </w:rPr>
            </w:pPr>
            <w:r w:rsidRPr="00D95A1A">
              <w:rPr>
                <w:rFonts w:eastAsia="Times New Roman"/>
                <w:b/>
                <w:lang w:eastAsia="en-AU"/>
              </w:rPr>
              <w:t>Total</w:t>
            </w:r>
          </w:p>
        </w:tc>
        <w:tc>
          <w:tcPr>
            <w:tcW w:w="1559"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tabs>
                <w:tab w:val="left" w:pos="6153"/>
              </w:tabs>
              <w:spacing w:line="240" w:lineRule="auto"/>
              <w:jc w:val="center"/>
              <w:rPr>
                <w:rFonts w:eastAsia="Times New Roman"/>
                <w:b/>
                <w:lang w:eastAsia="en-AU"/>
              </w:rPr>
            </w:pPr>
            <w:r w:rsidRPr="00D95A1A">
              <w:rPr>
                <w:rFonts w:eastAsia="Times New Roman"/>
                <w:b/>
                <w:lang w:eastAsia="en-AU"/>
              </w:rPr>
              <w:t>% Total</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8</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9</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10</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11</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18</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21</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12</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99</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38</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15</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151</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13</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605</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212</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72</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835</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14%</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14</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759</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420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225</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1318</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22%</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15</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596</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521</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465</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1490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24%</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16</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245</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388</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543</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1158</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19%</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17</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96</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144</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437</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702</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18</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16</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36</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182</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246</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19</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17</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96</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131</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20</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27</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28</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21</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22</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23</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24</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25</w:t>
            </w:r>
          </w:p>
        </w:tc>
        <w:tc>
          <w:tcPr>
            <w:tcW w:w="1444"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559" w:type="dxa"/>
            <w:tcBorders>
              <w:top w:val="nil"/>
              <w:left w:val="nil"/>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bl>
    <w:p w:rsidR="00D95A1A" w:rsidRPr="00D95A1A" w:rsidRDefault="00D95A1A" w:rsidP="00D95A1A">
      <w:pPr>
        <w:tabs>
          <w:tab w:val="left" w:pos="6153"/>
        </w:tabs>
        <w:spacing w:line="240" w:lineRule="auto"/>
        <w:rPr>
          <w:rFonts w:eastAsia="Times New Roman"/>
          <w:b/>
          <w:lang w:eastAsia="en-AU"/>
        </w:rPr>
      </w:pPr>
    </w:p>
    <w:p w:rsidR="00D95A1A" w:rsidRPr="00D95A1A" w:rsidRDefault="00D95A1A" w:rsidP="006F48D6">
      <w:pPr>
        <w:pStyle w:val="Heading4"/>
        <w:spacing w:after="120"/>
        <w:rPr>
          <w:rFonts w:eastAsia="Times New Roman"/>
          <w:lang w:eastAsia="en-AU"/>
        </w:rPr>
      </w:pPr>
      <w:r w:rsidRPr="00D95A1A">
        <w:rPr>
          <w:rFonts w:eastAsia="Times New Roman"/>
          <w:lang w:eastAsia="en-AU"/>
        </w:rPr>
        <w:t>Table 6: National – Age of Participants</w:t>
      </w:r>
    </w:p>
    <w:tbl>
      <w:tblPr>
        <w:tblStyle w:val="TableGrid2"/>
        <w:tblW w:w="0" w:type="auto"/>
        <w:tblLook w:val="04A0" w:firstRow="1" w:lastRow="0" w:firstColumn="1" w:lastColumn="0" w:noHBand="0" w:noVBand="1"/>
        <w:tblCaption w:val="Table 6: National – Age of Participants"/>
        <w:tblDescription w:val="Table 6: National – Age of Participants"/>
      </w:tblPr>
      <w:tblGrid>
        <w:gridCol w:w="565"/>
        <w:gridCol w:w="1619"/>
        <w:gridCol w:w="1619"/>
        <w:gridCol w:w="1619"/>
        <w:gridCol w:w="1619"/>
        <w:gridCol w:w="1619"/>
      </w:tblGrid>
      <w:tr w:rsidR="00D95A1A" w:rsidRPr="00D95A1A" w:rsidTr="007D5CF1">
        <w:trPr>
          <w:tblHeader/>
        </w:trPr>
        <w:tc>
          <w:tcPr>
            <w:tcW w:w="518"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Age</w:t>
            </w:r>
          </w:p>
        </w:tc>
        <w:tc>
          <w:tcPr>
            <w:tcW w:w="1619"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Level 1</w:t>
            </w:r>
          </w:p>
        </w:tc>
        <w:tc>
          <w:tcPr>
            <w:tcW w:w="1619"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 xml:space="preserve">Level </w:t>
            </w:r>
            <w:proofErr w:type="spellStart"/>
            <w:r w:rsidRPr="006F48D6">
              <w:rPr>
                <w:rFonts w:ascii="Calibri" w:hAnsi="Calibri" w:cs="Calibri"/>
                <w:b/>
                <w:sz w:val="22"/>
                <w:szCs w:val="22"/>
              </w:rPr>
              <w:t>2a</w:t>
            </w:r>
            <w:proofErr w:type="spellEnd"/>
          </w:p>
        </w:tc>
        <w:tc>
          <w:tcPr>
            <w:tcW w:w="1619"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 xml:space="preserve">Level </w:t>
            </w:r>
            <w:proofErr w:type="spellStart"/>
            <w:r w:rsidRPr="006F48D6">
              <w:rPr>
                <w:rFonts w:ascii="Calibri" w:hAnsi="Calibri" w:cs="Calibri"/>
                <w:b/>
                <w:sz w:val="22"/>
                <w:szCs w:val="22"/>
              </w:rPr>
              <w:t>2b</w:t>
            </w:r>
            <w:proofErr w:type="spellEnd"/>
          </w:p>
        </w:tc>
        <w:tc>
          <w:tcPr>
            <w:tcW w:w="1619"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Total</w:t>
            </w:r>
          </w:p>
        </w:tc>
        <w:tc>
          <w:tcPr>
            <w:tcW w:w="1619"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53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65</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238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70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310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747</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238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976</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12</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1197</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648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163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1890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2466</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1991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719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4860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8%</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14</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3824</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4629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2137</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9900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17%</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15</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3849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6029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3872</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12,958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22%</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16</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2149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4408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6164</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12,478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21%</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17</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967</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2215</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5529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8744</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15%</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243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642</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3041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4028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7%</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19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61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183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1445</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1734</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20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15</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279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340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21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61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22</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6</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23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8</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9</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24</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r>
      <w:tr w:rsidR="00D95A1A" w:rsidRPr="00D95A1A" w:rsidTr="004B3484">
        <w:tc>
          <w:tcPr>
            <w:tcW w:w="518" w:type="dxa"/>
            <w:vAlign w:val="bottom"/>
          </w:tcPr>
          <w:p w:rsidR="00D95A1A" w:rsidRPr="006F48D6" w:rsidRDefault="00D95A1A" w:rsidP="00D95A1A">
            <w:pPr>
              <w:spacing w:line="240" w:lineRule="auto"/>
              <w:rPr>
                <w:rFonts w:ascii="Calibri" w:hAnsi="Calibri" w:cs="Calibri"/>
                <w:b/>
                <w:color w:val="000000"/>
                <w:sz w:val="22"/>
                <w:szCs w:val="22"/>
              </w:rPr>
            </w:pPr>
            <w:r w:rsidRPr="006F48D6">
              <w:rPr>
                <w:rFonts w:ascii="Calibri" w:hAnsi="Calibri" w:cs="Calibri"/>
                <w:b/>
                <w:color w:val="000000"/>
                <w:sz w:val="22"/>
                <w:szCs w:val="22"/>
              </w:rPr>
              <w:t>25</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5</w:t>
            </w:r>
          </w:p>
        </w:tc>
        <w:tc>
          <w:tcPr>
            <w:tcW w:w="1619"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r>
    </w:tbl>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b/>
          <w:bCs/>
          <w:color w:val="4F81BD"/>
          <w:sz w:val="18"/>
          <w:szCs w:val="18"/>
          <w:lang w:eastAsia="en-AU"/>
        </w:rPr>
      </w:pPr>
    </w:p>
    <w:p w:rsidR="00D95A1A" w:rsidRPr="00D95A1A" w:rsidRDefault="00D95A1A" w:rsidP="00D95A1A">
      <w:pPr>
        <w:spacing w:line="240" w:lineRule="auto"/>
        <w:rPr>
          <w:rFonts w:eastAsia="Times New Roman"/>
          <w:lang w:eastAsia="en-AU"/>
        </w:rPr>
      </w:pPr>
      <w:r w:rsidRPr="00D95A1A">
        <w:rPr>
          <w:rFonts w:eastAsia="Times New Roman"/>
          <w:b/>
          <w:bCs/>
          <w:color w:val="4F81BD"/>
          <w:sz w:val="18"/>
          <w:szCs w:val="18"/>
          <w:lang w:eastAsia="en-AU"/>
        </w:rPr>
        <w:lastRenderedPageBreak/>
        <w:t>Figure 3: WA Age profile by Connection Level</w:t>
      </w:r>
      <w:r w:rsidRPr="00D95A1A">
        <w:rPr>
          <w:rFonts w:eastAsia="Times New Roman"/>
          <w:lang w:eastAsia="en-AU"/>
        </w:rPr>
        <w:t xml:space="preserve"> </w:t>
      </w:r>
      <w:r w:rsidRPr="00D95A1A">
        <w:rPr>
          <w:rFonts w:eastAsia="Times New Roman"/>
          <w:noProof/>
          <w:lang w:eastAsia="en-AU"/>
        </w:rPr>
        <w:drawing>
          <wp:inline distT="0" distB="0" distL="0" distR="0" wp14:anchorId="6881F22D" wp14:editId="5C34913F">
            <wp:extent cx="6105525" cy="4210050"/>
            <wp:effectExtent l="0" t="0" r="0" b="0"/>
            <wp:docPr id="14" name="Chart 14" descr="WA Age profile by connection level, graphic representation of table 5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b/>
          <w:bCs/>
          <w:color w:val="4F81BD"/>
          <w:sz w:val="18"/>
          <w:szCs w:val="18"/>
          <w:lang w:eastAsia="en-AU"/>
        </w:rPr>
      </w:pPr>
      <w:r w:rsidRPr="00D95A1A">
        <w:rPr>
          <w:rFonts w:eastAsia="Times New Roman"/>
          <w:b/>
          <w:bCs/>
          <w:color w:val="4F81BD"/>
          <w:sz w:val="18"/>
          <w:szCs w:val="18"/>
          <w:lang w:eastAsia="en-AU"/>
        </w:rPr>
        <w:t>Figure 4: National Age profile by Connection Level</w:t>
      </w:r>
    </w:p>
    <w:p w:rsidR="00D95A1A" w:rsidRPr="00D95A1A" w:rsidRDefault="00D95A1A" w:rsidP="00D95A1A">
      <w:pPr>
        <w:spacing w:line="240" w:lineRule="auto"/>
        <w:rPr>
          <w:rFonts w:eastAsia="Times New Roman"/>
          <w:lang w:eastAsia="en-AU"/>
        </w:rPr>
      </w:pPr>
      <w:r w:rsidRPr="00D95A1A">
        <w:rPr>
          <w:rFonts w:eastAsia="Times New Roman"/>
          <w:noProof/>
          <w:lang w:eastAsia="en-AU"/>
        </w:rPr>
        <w:drawing>
          <wp:inline distT="0" distB="0" distL="0" distR="0" wp14:anchorId="67B5031D" wp14:editId="26455896">
            <wp:extent cx="6343650" cy="3705225"/>
            <wp:effectExtent l="0" t="0" r="0" b="0"/>
            <wp:docPr id="15" name="Chart 15" descr="National Age profile by connection level, graphic representation of table 6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D95A1A">
        <w:rPr>
          <w:rFonts w:eastAsia="Times New Roman"/>
          <w:lang w:eastAsia="en-AU"/>
        </w:rPr>
        <w:br w:type="page"/>
      </w:r>
    </w:p>
    <w:p w:rsidR="00D95A1A" w:rsidRPr="00D95A1A" w:rsidRDefault="00D95A1A" w:rsidP="00D95A1A">
      <w:pPr>
        <w:tabs>
          <w:tab w:val="left" w:pos="6153"/>
        </w:tabs>
        <w:spacing w:line="240" w:lineRule="auto"/>
        <w:ind w:right="-425"/>
        <w:rPr>
          <w:rFonts w:eastAsia="Times New Roman"/>
          <w:b/>
          <w:bCs/>
          <w:color w:val="4F81BD"/>
          <w:sz w:val="18"/>
          <w:szCs w:val="18"/>
          <w:lang w:eastAsia="en-AU"/>
        </w:rPr>
      </w:pPr>
      <w:r w:rsidRPr="00D95A1A">
        <w:rPr>
          <w:rFonts w:eastAsia="Times New Roman"/>
          <w:b/>
          <w:bCs/>
          <w:color w:val="4F81BD"/>
          <w:sz w:val="18"/>
          <w:szCs w:val="18"/>
          <w:lang w:eastAsia="en-AU"/>
        </w:rPr>
        <w:lastRenderedPageBreak/>
        <w:t>Figure 5: Percentage of Participants who have been identified as having a characteristic</w:t>
      </w:r>
    </w:p>
    <w:p w:rsidR="00D95A1A" w:rsidRPr="00D95A1A" w:rsidRDefault="00D95A1A" w:rsidP="00D95A1A">
      <w:pPr>
        <w:spacing w:line="240" w:lineRule="auto"/>
        <w:rPr>
          <w:rFonts w:eastAsia="Times New Roman"/>
          <w:lang w:eastAsia="en-AU"/>
        </w:rPr>
      </w:pPr>
      <w:r w:rsidRPr="00D95A1A">
        <w:rPr>
          <w:rFonts w:eastAsia="Times New Roman"/>
          <w:noProof/>
          <w:lang w:eastAsia="en-AU"/>
        </w:rPr>
        <w:drawing>
          <wp:inline distT="0" distB="0" distL="0" distR="0" wp14:anchorId="4D643F4B" wp14:editId="19DD010E">
            <wp:extent cx="6032665" cy="6115792"/>
            <wp:effectExtent l="0" t="0" r="6350" b="0"/>
            <wp:docPr id="16" name="Chart 16" descr="WA and National percentage of participants who have been identified as having a characteristic, graphic representation of table 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95A1A" w:rsidRPr="00D95A1A" w:rsidRDefault="00D95A1A" w:rsidP="00D95A1A">
      <w:pPr>
        <w:spacing w:line="240" w:lineRule="auto"/>
        <w:rPr>
          <w:rFonts w:eastAsia="Times New Roman"/>
          <w:lang w:eastAsia="en-AU"/>
        </w:rPr>
      </w:pPr>
    </w:p>
    <w:p w:rsidR="00D95A1A" w:rsidRPr="00D95A1A" w:rsidRDefault="00D95A1A" w:rsidP="006F48D6">
      <w:pPr>
        <w:pStyle w:val="Heading4"/>
        <w:spacing w:after="120"/>
        <w:rPr>
          <w:rFonts w:eastAsia="Times New Roman"/>
          <w:lang w:eastAsia="en-AU"/>
        </w:rPr>
      </w:pPr>
      <w:r w:rsidRPr="00D95A1A">
        <w:rPr>
          <w:rFonts w:eastAsia="Times New Roman"/>
          <w:lang w:eastAsia="en-AU"/>
        </w:rPr>
        <w:t>Table 7: Percentage of Participants who have been identified as having a characteristic</w:t>
      </w:r>
    </w:p>
    <w:tbl>
      <w:tblPr>
        <w:tblStyle w:val="TableGrid2"/>
        <w:tblW w:w="0" w:type="auto"/>
        <w:tblLook w:val="04A0" w:firstRow="1" w:lastRow="0" w:firstColumn="1" w:lastColumn="0" w:noHBand="0" w:noVBand="1"/>
        <w:tblCaption w:val="Table 7: Percentage of Participants who have been identified as having a characteristic"/>
        <w:tblDescription w:val="Table 7: Percentage of Participants who have been identified as having a characteristic"/>
      </w:tblPr>
      <w:tblGrid>
        <w:gridCol w:w="2517"/>
        <w:gridCol w:w="1702"/>
        <w:gridCol w:w="1701"/>
        <w:gridCol w:w="1843"/>
        <w:gridCol w:w="1843"/>
      </w:tblGrid>
      <w:tr w:rsidR="00D95A1A" w:rsidRPr="00D95A1A" w:rsidTr="007D5CF1">
        <w:trPr>
          <w:tblHeader/>
        </w:trPr>
        <w:tc>
          <w:tcPr>
            <w:tcW w:w="2517"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p>
        </w:tc>
        <w:tc>
          <w:tcPr>
            <w:tcW w:w="1702"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WA</w:t>
            </w:r>
          </w:p>
        </w:tc>
        <w:tc>
          <w:tcPr>
            <w:tcW w:w="1701"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 WA</w:t>
            </w:r>
          </w:p>
        </w:tc>
        <w:tc>
          <w:tcPr>
            <w:tcW w:w="1843"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National</w:t>
            </w:r>
          </w:p>
        </w:tc>
        <w:tc>
          <w:tcPr>
            <w:tcW w:w="1843" w:type="dxa"/>
            <w:shd w:val="clear" w:color="auto" w:fill="F8F8F8" w:themeFill="accent1" w:themeFillTint="33"/>
          </w:tcPr>
          <w:p w:rsidR="00D95A1A" w:rsidRPr="006F48D6" w:rsidRDefault="00D95A1A" w:rsidP="00D95A1A">
            <w:pPr>
              <w:tabs>
                <w:tab w:val="left" w:pos="6153"/>
              </w:tabs>
              <w:spacing w:line="240" w:lineRule="auto"/>
              <w:jc w:val="center"/>
              <w:rPr>
                <w:rFonts w:ascii="Calibri" w:hAnsi="Calibri" w:cs="Calibri"/>
                <w:b/>
                <w:sz w:val="22"/>
                <w:szCs w:val="22"/>
              </w:rPr>
            </w:pPr>
            <w:r w:rsidRPr="006F48D6">
              <w:rPr>
                <w:rFonts w:ascii="Calibri" w:hAnsi="Calibri" w:cs="Calibri"/>
                <w:b/>
                <w:sz w:val="22"/>
                <w:szCs w:val="22"/>
              </w:rPr>
              <w:t>% National</w:t>
            </w:r>
          </w:p>
        </w:tc>
      </w:tr>
      <w:tr w:rsidR="00D95A1A" w:rsidRPr="00D95A1A" w:rsidTr="004B3484">
        <w:tc>
          <w:tcPr>
            <w:tcW w:w="2517"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Culturally and linguistically diverse</w:t>
            </w:r>
          </w:p>
        </w:tc>
        <w:tc>
          <w:tcPr>
            <w:tcW w:w="1702"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320</w:t>
            </w:r>
          </w:p>
        </w:tc>
        <w:tc>
          <w:tcPr>
            <w:tcW w:w="1701"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5%</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3948</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7%</w:t>
            </w:r>
          </w:p>
        </w:tc>
      </w:tr>
      <w:tr w:rsidR="00D95A1A" w:rsidRPr="00D95A1A" w:rsidTr="004B3484">
        <w:tc>
          <w:tcPr>
            <w:tcW w:w="2517"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Disability</w:t>
            </w:r>
          </w:p>
        </w:tc>
        <w:tc>
          <w:tcPr>
            <w:tcW w:w="1702"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151</w:t>
            </w:r>
          </w:p>
        </w:tc>
        <w:tc>
          <w:tcPr>
            <w:tcW w:w="1701"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2563</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4%</w:t>
            </w:r>
          </w:p>
        </w:tc>
      </w:tr>
      <w:tr w:rsidR="00D95A1A" w:rsidRPr="00D95A1A" w:rsidTr="004B3484">
        <w:tc>
          <w:tcPr>
            <w:tcW w:w="2517"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Humanitarian Refugee</w:t>
            </w:r>
          </w:p>
        </w:tc>
        <w:tc>
          <w:tcPr>
            <w:tcW w:w="1702"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64</w:t>
            </w:r>
          </w:p>
        </w:tc>
        <w:tc>
          <w:tcPr>
            <w:tcW w:w="1701"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892</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r>
      <w:tr w:rsidR="00D95A1A" w:rsidRPr="00D95A1A" w:rsidTr="004B3484">
        <w:tc>
          <w:tcPr>
            <w:tcW w:w="2517"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Indigenous Australian</w:t>
            </w:r>
          </w:p>
        </w:tc>
        <w:tc>
          <w:tcPr>
            <w:tcW w:w="1702"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1443</w:t>
            </w:r>
          </w:p>
        </w:tc>
        <w:tc>
          <w:tcPr>
            <w:tcW w:w="1701"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24%</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10,955</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19%</w:t>
            </w:r>
          </w:p>
        </w:tc>
      </w:tr>
      <w:tr w:rsidR="00D95A1A" w:rsidRPr="00D95A1A" w:rsidTr="004B3484">
        <w:tc>
          <w:tcPr>
            <w:tcW w:w="2517"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Parent</w:t>
            </w:r>
          </w:p>
        </w:tc>
        <w:tc>
          <w:tcPr>
            <w:tcW w:w="1702"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111</w:t>
            </w:r>
          </w:p>
        </w:tc>
        <w:tc>
          <w:tcPr>
            <w:tcW w:w="1701"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1245</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r>
      <w:tr w:rsidR="00D95A1A" w:rsidRPr="00D95A1A" w:rsidTr="004B3484">
        <w:tc>
          <w:tcPr>
            <w:tcW w:w="2517"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Receiving Centrelink Income Support</w:t>
            </w:r>
          </w:p>
        </w:tc>
        <w:tc>
          <w:tcPr>
            <w:tcW w:w="1702"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1288</w:t>
            </w:r>
          </w:p>
        </w:tc>
        <w:tc>
          <w:tcPr>
            <w:tcW w:w="1701"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21%</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18,409</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32%</w:t>
            </w:r>
          </w:p>
        </w:tc>
      </w:tr>
      <w:tr w:rsidR="00D95A1A" w:rsidRPr="00D95A1A" w:rsidTr="004B3484">
        <w:tc>
          <w:tcPr>
            <w:tcW w:w="2517"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Refugee background</w:t>
            </w:r>
          </w:p>
        </w:tc>
        <w:tc>
          <w:tcPr>
            <w:tcW w:w="1702"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15</w:t>
            </w:r>
          </w:p>
        </w:tc>
        <w:tc>
          <w:tcPr>
            <w:tcW w:w="1701"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0%</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354</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w:t>
            </w:r>
          </w:p>
        </w:tc>
      </w:tr>
      <w:tr w:rsidR="00D95A1A" w:rsidRPr="00D95A1A" w:rsidTr="004B3484">
        <w:tc>
          <w:tcPr>
            <w:tcW w:w="2517"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Suspected or diagnosed mental health issue</w:t>
            </w:r>
          </w:p>
        </w:tc>
        <w:tc>
          <w:tcPr>
            <w:tcW w:w="1702"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1044</w:t>
            </w:r>
          </w:p>
        </w:tc>
        <w:tc>
          <w:tcPr>
            <w:tcW w:w="1701"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17%</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12,712</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22%</w:t>
            </w:r>
          </w:p>
        </w:tc>
      </w:tr>
      <w:tr w:rsidR="00D95A1A" w:rsidRPr="00D95A1A" w:rsidTr="004B3484">
        <w:tc>
          <w:tcPr>
            <w:tcW w:w="2517" w:type="dxa"/>
            <w:vAlign w:val="bottom"/>
          </w:tcPr>
          <w:p w:rsidR="00D95A1A" w:rsidRPr="006F48D6" w:rsidRDefault="00D95A1A" w:rsidP="00D95A1A">
            <w:pPr>
              <w:spacing w:line="240" w:lineRule="auto"/>
              <w:rPr>
                <w:rFonts w:ascii="Calibri" w:hAnsi="Calibri" w:cs="Calibri"/>
                <w:color w:val="000000"/>
                <w:sz w:val="22"/>
                <w:szCs w:val="22"/>
              </w:rPr>
            </w:pPr>
            <w:r w:rsidRPr="006F48D6">
              <w:rPr>
                <w:rFonts w:ascii="Calibri" w:hAnsi="Calibri" w:cs="Calibri"/>
                <w:color w:val="000000"/>
                <w:sz w:val="22"/>
                <w:szCs w:val="22"/>
              </w:rPr>
              <w:t>Young Carer</w:t>
            </w:r>
          </w:p>
        </w:tc>
        <w:tc>
          <w:tcPr>
            <w:tcW w:w="1702"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150</w:t>
            </w:r>
          </w:p>
        </w:tc>
        <w:tc>
          <w:tcPr>
            <w:tcW w:w="1701"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1232</w:t>
            </w:r>
          </w:p>
        </w:tc>
        <w:tc>
          <w:tcPr>
            <w:tcW w:w="1843" w:type="dxa"/>
            <w:vAlign w:val="bottom"/>
          </w:tcPr>
          <w:p w:rsidR="00D95A1A" w:rsidRPr="006F48D6" w:rsidRDefault="00D95A1A" w:rsidP="00D95A1A">
            <w:pPr>
              <w:spacing w:line="240" w:lineRule="auto"/>
              <w:jc w:val="right"/>
              <w:rPr>
                <w:rFonts w:ascii="Calibri" w:hAnsi="Calibri" w:cs="Calibri"/>
                <w:color w:val="000000"/>
                <w:sz w:val="22"/>
                <w:szCs w:val="22"/>
              </w:rPr>
            </w:pPr>
            <w:r w:rsidRPr="006F48D6">
              <w:rPr>
                <w:rFonts w:ascii="Calibri" w:hAnsi="Calibri" w:cs="Calibri"/>
                <w:color w:val="000000"/>
                <w:sz w:val="22"/>
                <w:szCs w:val="22"/>
              </w:rPr>
              <w:t>2%</w:t>
            </w:r>
          </w:p>
        </w:tc>
      </w:tr>
    </w:tbl>
    <w:p w:rsidR="00D95A1A" w:rsidRPr="00D95A1A" w:rsidRDefault="00D95A1A" w:rsidP="00D95A1A">
      <w:pPr>
        <w:spacing w:line="240" w:lineRule="auto"/>
        <w:rPr>
          <w:rFonts w:eastAsia="Times New Roman"/>
          <w:b/>
          <w:bCs/>
          <w:color w:val="4F81BD"/>
          <w:sz w:val="18"/>
          <w:szCs w:val="18"/>
          <w:lang w:eastAsia="en-AU"/>
        </w:rPr>
      </w:pPr>
    </w:p>
    <w:p w:rsidR="00D95A1A" w:rsidRPr="00D95A1A" w:rsidRDefault="00D95A1A" w:rsidP="00D95A1A">
      <w:pPr>
        <w:spacing w:line="240" w:lineRule="auto"/>
        <w:rPr>
          <w:rFonts w:eastAsia="Times New Roman"/>
          <w:lang w:eastAsia="en-AU"/>
        </w:rPr>
      </w:pPr>
      <w:r w:rsidRPr="00D95A1A">
        <w:rPr>
          <w:rFonts w:eastAsia="Times New Roman"/>
          <w:b/>
          <w:bCs/>
          <w:color w:val="4F81BD"/>
          <w:sz w:val="18"/>
          <w:szCs w:val="18"/>
          <w:lang w:eastAsia="en-AU"/>
        </w:rPr>
        <w:t>Figure 6: Percentage of Participants identified as having a barrier</w:t>
      </w:r>
      <w:r w:rsidRPr="00D95A1A">
        <w:rPr>
          <w:rFonts w:eastAsia="Times New Roman"/>
          <w:lang w:eastAsia="en-AU"/>
        </w:rPr>
        <w:t xml:space="preserve"> </w:t>
      </w:r>
      <w:r w:rsidRPr="00D95A1A">
        <w:rPr>
          <w:rFonts w:eastAsia="Times New Roman"/>
          <w:noProof/>
          <w:lang w:eastAsia="en-AU"/>
        </w:rPr>
        <w:drawing>
          <wp:inline distT="0" distB="0" distL="0" distR="0" wp14:anchorId="68B9886C" wp14:editId="30B381EF">
            <wp:extent cx="6448425" cy="8267700"/>
            <wp:effectExtent l="0" t="0" r="0" b="0"/>
            <wp:docPr id="17" name="Chart 17" descr="WA and National percentage of participants who have been identified as having a barrier, graphic representation of table 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D95A1A">
        <w:rPr>
          <w:rFonts w:eastAsia="Times New Roman"/>
          <w:lang w:eastAsia="en-AU"/>
        </w:rPr>
        <w:br w:type="page"/>
      </w:r>
    </w:p>
    <w:p w:rsidR="00D95A1A" w:rsidRPr="00D95A1A" w:rsidRDefault="00D95A1A" w:rsidP="006F48D6">
      <w:pPr>
        <w:pStyle w:val="Heading4"/>
        <w:spacing w:after="120"/>
        <w:rPr>
          <w:rFonts w:eastAsia="Times New Roman"/>
          <w:lang w:eastAsia="en-AU"/>
        </w:rPr>
      </w:pPr>
      <w:r w:rsidRPr="00D95A1A">
        <w:rPr>
          <w:rFonts w:eastAsia="Times New Roman"/>
          <w:lang w:eastAsia="en-AU"/>
        </w:rPr>
        <w:lastRenderedPageBreak/>
        <w:t>Table 8: Percentage of Participants identified as having a barrier</w:t>
      </w:r>
    </w:p>
    <w:tbl>
      <w:tblPr>
        <w:tblW w:w="0" w:type="auto"/>
        <w:tblLayout w:type="fixed"/>
        <w:tblCellMar>
          <w:left w:w="30" w:type="dxa"/>
          <w:right w:w="30" w:type="dxa"/>
        </w:tblCellMar>
        <w:tblLook w:val="0000" w:firstRow="0" w:lastRow="0" w:firstColumn="0" w:lastColumn="0" w:noHBand="0" w:noVBand="0"/>
      </w:tblPr>
      <w:tblGrid>
        <w:gridCol w:w="6081"/>
        <w:gridCol w:w="1328"/>
        <w:gridCol w:w="1360"/>
      </w:tblGrid>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shd w:val="solid" w:color="CCCCFF" w:fill="CCCCFF"/>
          </w:tcPr>
          <w:p w:rsidR="00D95A1A" w:rsidRPr="00D95A1A" w:rsidRDefault="00D95A1A" w:rsidP="00D95A1A">
            <w:pPr>
              <w:autoSpaceDE w:val="0"/>
              <w:autoSpaceDN w:val="0"/>
              <w:adjustRightInd w:val="0"/>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Barrier</w:t>
            </w:r>
          </w:p>
        </w:tc>
        <w:tc>
          <w:tcPr>
            <w:tcW w:w="1328" w:type="dxa"/>
            <w:tcBorders>
              <w:top w:val="single" w:sz="6" w:space="0" w:color="auto"/>
              <w:left w:val="single" w:sz="6" w:space="0" w:color="auto"/>
              <w:bottom w:val="single" w:sz="6" w:space="0" w:color="auto"/>
              <w:right w:val="single" w:sz="6" w:space="0" w:color="auto"/>
            </w:tcBorders>
            <w:shd w:val="solid" w:color="CCCCFF" w:fill="CCCCFF"/>
          </w:tcPr>
          <w:p w:rsidR="00D95A1A" w:rsidRPr="00D95A1A" w:rsidRDefault="00D95A1A" w:rsidP="00D95A1A">
            <w:pPr>
              <w:autoSpaceDE w:val="0"/>
              <w:autoSpaceDN w:val="0"/>
              <w:adjustRightInd w:val="0"/>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WA</w:t>
            </w:r>
          </w:p>
        </w:tc>
        <w:tc>
          <w:tcPr>
            <w:tcW w:w="1360" w:type="dxa"/>
            <w:tcBorders>
              <w:top w:val="single" w:sz="6" w:space="0" w:color="auto"/>
              <w:left w:val="single" w:sz="6" w:space="0" w:color="auto"/>
              <w:bottom w:val="single" w:sz="6" w:space="0" w:color="auto"/>
              <w:right w:val="single" w:sz="6" w:space="0" w:color="auto"/>
            </w:tcBorders>
            <w:shd w:val="solid" w:color="CCCCFF" w:fill="CCCCFF"/>
          </w:tcPr>
          <w:p w:rsidR="00D95A1A" w:rsidRPr="00D95A1A" w:rsidRDefault="00D95A1A" w:rsidP="00D95A1A">
            <w:pPr>
              <w:autoSpaceDE w:val="0"/>
              <w:autoSpaceDN w:val="0"/>
              <w:adjustRightInd w:val="0"/>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National</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Abuse/Domestic Violence issue</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10%</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Alcohol and/or drug misuse</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21%</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19%</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Anger management issues</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23%</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30%</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Behavioural problems</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48%</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50%</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Bullying</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23%</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25%</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Critical life event</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16%</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16%</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Current or previous Juvenile Justice Orders</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13%</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10%</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Disability</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Disconnection from cultural heritage</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Financial distress</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21%</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28%</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Gifted</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Homelessness</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In detention/previously in detention</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Inadequate family support</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26%</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28%</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Learning Difficulty</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Low literacy and/or numeracy</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42%</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49%</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Low Self Esteem</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54%</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56%</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Medical or other health issue</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10%</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Negative experience(s) with education and training</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14%</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Out of home care</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Parent/Pregnancy</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Petrol sniffing</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Socialisation issues</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35%</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42%</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Suspected or diagnosed mental health issue</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18%</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27%</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Unstable living arrangements</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17%</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18%</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Volatile substance misuse</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0%</w:t>
            </w:r>
          </w:p>
        </w:tc>
      </w:tr>
      <w:tr w:rsidR="00D95A1A" w:rsidRPr="00D95A1A" w:rsidTr="004B3484">
        <w:trPr>
          <w:trHeight w:val="389"/>
        </w:trPr>
        <w:tc>
          <w:tcPr>
            <w:tcW w:w="6081"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Young Carer responsibilities</w:t>
            </w:r>
          </w:p>
        </w:tc>
        <w:tc>
          <w:tcPr>
            <w:tcW w:w="1328"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w:t>
            </w:r>
          </w:p>
        </w:tc>
        <w:tc>
          <w:tcPr>
            <w:tcW w:w="1360" w:type="dxa"/>
            <w:tcBorders>
              <w:top w:val="single" w:sz="6" w:space="0" w:color="auto"/>
              <w:left w:val="single" w:sz="6" w:space="0" w:color="auto"/>
              <w:bottom w:val="single" w:sz="6" w:space="0" w:color="auto"/>
              <w:right w:val="single" w:sz="6" w:space="0" w:color="auto"/>
            </w:tcBorders>
          </w:tcPr>
          <w:p w:rsidR="00D95A1A" w:rsidRPr="00D95A1A" w:rsidRDefault="00D95A1A" w:rsidP="00D95A1A">
            <w:pPr>
              <w:autoSpaceDE w:val="0"/>
              <w:autoSpaceDN w:val="0"/>
              <w:adjustRightInd w:val="0"/>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w:t>
            </w:r>
          </w:p>
        </w:tc>
      </w:tr>
    </w:tbl>
    <w:p w:rsidR="007D5CF1" w:rsidRDefault="007D5CF1" w:rsidP="00D95A1A">
      <w:pPr>
        <w:spacing w:line="240" w:lineRule="auto"/>
        <w:rPr>
          <w:rFonts w:eastAsia="Times New Roman"/>
          <w:lang w:eastAsia="en-AU"/>
        </w:rPr>
      </w:pPr>
    </w:p>
    <w:p w:rsidR="007D5CF1" w:rsidRDefault="007D5CF1">
      <w:pPr>
        <w:spacing w:line="240" w:lineRule="auto"/>
        <w:rPr>
          <w:rFonts w:eastAsia="Times New Roman"/>
          <w:lang w:eastAsia="en-AU"/>
        </w:rPr>
      </w:pPr>
      <w:r>
        <w:rPr>
          <w:rFonts w:eastAsia="Times New Roman"/>
          <w:lang w:eastAsia="en-AU"/>
        </w:rPr>
        <w:br w:type="page"/>
      </w:r>
    </w:p>
    <w:p w:rsidR="00D95A1A" w:rsidRPr="00D95A1A" w:rsidRDefault="00D95A1A" w:rsidP="00D95A1A">
      <w:pPr>
        <w:spacing w:line="240" w:lineRule="auto"/>
        <w:rPr>
          <w:rFonts w:eastAsia="Times New Roman"/>
          <w:lang w:eastAsia="en-AU"/>
        </w:rPr>
      </w:pPr>
      <w:r w:rsidRPr="00D95A1A">
        <w:rPr>
          <w:rFonts w:eastAsia="Times New Roman"/>
          <w:b/>
          <w:bCs/>
          <w:color w:val="4F81BD"/>
          <w:sz w:val="18"/>
          <w:szCs w:val="18"/>
          <w:lang w:eastAsia="en-AU"/>
        </w:rPr>
        <w:lastRenderedPageBreak/>
        <w:t>Figure 7: WA Participant Barriers by</w:t>
      </w:r>
      <w:r w:rsidRPr="00D95A1A">
        <w:rPr>
          <w:rFonts w:eastAsia="Times New Roman"/>
          <w:lang w:eastAsia="en-AU"/>
        </w:rPr>
        <w:t xml:space="preserve"> </w:t>
      </w:r>
      <w:r w:rsidRPr="00D95A1A">
        <w:rPr>
          <w:rFonts w:eastAsia="Times New Roman"/>
          <w:b/>
          <w:bCs/>
          <w:color w:val="4F81BD"/>
          <w:sz w:val="18"/>
          <w:szCs w:val="18"/>
          <w:lang w:eastAsia="en-AU"/>
        </w:rPr>
        <w:t>Connection Level</w:t>
      </w:r>
    </w:p>
    <w:p w:rsidR="00D95A1A" w:rsidRPr="00D95A1A" w:rsidRDefault="00D95A1A" w:rsidP="00D95A1A">
      <w:pPr>
        <w:spacing w:line="240" w:lineRule="auto"/>
        <w:rPr>
          <w:rFonts w:eastAsia="Times New Roman"/>
          <w:lang w:eastAsia="en-AU"/>
        </w:rPr>
      </w:pPr>
      <w:r w:rsidRPr="00D95A1A">
        <w:rPr>
          <w:rFonts w:eastAsia="Times New Roman"/>
          <w:noProof/>
          <w:lang w:eastAsia="en-AU"/>
        </w:rPr>
        <w:drawing>
          <wp:inline distT="0" distB="0" distL="0" distR="0" wp14:anchorId="718C7A79" wp14:editId="35436D31">
            <wp:extent cx="5943600" cy="7814310"/>
            <wp:effectExtent l="0" t="0" r="19050" b="15240"/>
            <wp:docPr id="18" name="Chart 18" descr="NSW percentage of participants who have been identified as having a barrier, graphic representation of table 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D5CF1" w:rsidRDefault="007D5CF1">
      <w:pPr>
        <w:spacing w:line="240" w:lineRule="auto"/>
        <w:rPr>
          <w:rFonts w:asciiTheme="majorHAnsi" w:eastAsia="Times New Roman" w:hAnsiTheme="majorHAnsi" w:cstheme="majorBidi"/>
          <w:b/>
          <w:bCs/>
          <w:iCs/>
          <w:u w:val="single"/>
          <w:lang w:eastAsia="en-AU"/>
        </w:rPr>
      </w:pPr>
      <w:r>
        <w:rPr>
          <w:rFonts w:eastAsia="Times New Roman"/>
          <w:lang w:eastAsia="en-AU"/>
        </w:rPr>
        <w:br w:type="page"/>
      </w:r>
    </w:p>
    <w:p w:rsidR="00D95A1A" w:rsidRPr="00D95A1A" w:rsidRDefault="00D95A1A" w:rsidP="006F48D6">
      <w:pPr>
        <w:pStyle w:val="Heading4"/>
        <w:spacing w:after="120"/>
        <w:rPr>
          <w:rFonts w:eastAsia="Times New Roman"/>
          <w:color w:val="4F81BD"/>
          <w:sz w:val="18"/>
          <w:szCs w:val="18"/>
          <w:lang w:eastAsia="en-AU"/>
        </w:rPr>
      </w:pPr>
      <w:r w:rsidRPr="00D95A1A">
        <w:rPr>
          <w:rFonts w:eastAsia="Times New Roman"/>
          <w:lang w:eastAsia="en-AU"/>
        </w:rPr>
        <w:lastRenderedPageBreak/>
        <w:t>Table 9: WA - Percentage of participants identified as having barrier, by Connection Level</w:t>
      </w:r>
    </w:p>
    <w:tbl>
      <w:tblPr>
        <w:tblStyle w:val="TableGrid2"/>
        <w:tblW w:w="0" w:type="auto"/>
        <w:tblLook w:val="04A0" w:firstRow="1" w:lastRow="0" w:firstColumn="1" w:lastColumn="0" w:noHBand="0" w:noVBand="1"/>
        <w:tblCaption w:val="Table 9: WA - Percentage of participants identified as having barrier, by Connection Level"/>
        <w:tblDescription w:val="Table 9: WA - Percentage of participants identified as having barrier, by Connection Level"/>
      </w:tblPr>
      <w:tblGrid>
        <w:gridCol w:w="6345"/>
        <w:gridCol w:w="993"/>
        <w:gridCol w:w="1134"/>
        <w:gridCol w:w="1134"/>
      </w:tblGrid>
      <w:tr w:rsidR="00D95A1A" w:rsidRPr="00D95A1A" w:rsidTr="007D5CF1">
        <w:trPr>
          <w:tblHeader/>
        </w:trPr>
        <w:tc>
          <w:tcPr>
            <w:tcW w:w="6345" w:type="dxa"/>
            <w:shd w:val="clear" w:color="auto" w:fill="CCCCCC" w:themeFill="text2" w:themeFillTint="33"/>
          </w:tcPr>
          <w:p w:rsidR="00D95A1A" w:rsidRPr="00B508E7" w:rsidRDefault="00D95A1A" w:rsidP="00D95A1A">
            <w:pPr>
              <w:spacing w:line="240" w:lineRule="auto"/>
              <w:jc w:val="center"/>
              <w:rPr>
                <w:rFonts w:ascii="Calibri" w:hAnsi="Calibri" w:cs="Calibri"/>
                <w:b/>
                <w:sz w:val="22"/>
                <w:szCs w:val="22"/>
              </w:rPr>
            </w:pPr>
            <w:r w:rsidRPr="00B508E7">
              <w:rPr>
                <w:rFonts w:ascii="Calibri" w:hAnsi="Calibri" w:cs="Calibri"/>
                <w:b/>
                <w:sz w:val="22"/>
                <w:szCs w:val="22"/>
              </w:rPr>
              <w:t>Barrier</w:t>
            </w:r>
          </w:p>
        </w:tc>
        <w:tc>
          <w:tcPr>
            <w:tcW w:w="993" w:type="dxa"/>
            <w:shd w:val="clear" w:color="auto" w:fill="CCCCCC" w:themeFill="text2" w:themeFillTint="33"/>
          </w:tcPr>
          <w:p w:rsidR="00D95A1A" w:rsidRPr="00B508E7" w:rsidRDefault="00D95A1A" w:rsidP="00D95A1A">
            <w:pPr>
              <w:spacing w:line="240" w:lineRule="auto"/>
              <w:jc w:val="center"/>
              <w:rPr>
                <w:rFonts w:ascii="Calibri" w:hAnsi="Calibri" w:cs="Calibri"/>
                <w:b/>
                <w:sz w:val="22"/>
                <w:szCs w:val="22"/>
              </w:rPr>
            </w:pPr>
            <w:r w:rsidRPr="00B508E7">
              <w:rPr>
                <w:rFonts w:ascii="Calibri" w:hAnsi="Calibri" w:cs="Calibri"/>
                <w:b/>
                <w:sz w:val="22"/>
                <w:szCs w:val="22"/>
              </w:rPr>
              <w:t>WA Level 1</w:t>
            </w:r>
          </w:p>
        </w:tc>
        <w:tc>
          <w:tcPr>
            <w:tcW w:w="1134" w:type="dxa"/>
            <w:shd w:val="clear" w:color="auto" w:fill="CCCCCC" w:themeFill="text2" w:themeFillTint="33"/>
          </w:tcPr>
          <w:p w:rsidR="00D95A1A" w:rsidRPr="00B508E7" w:rsidRDefault="00D95A1A" w:rsidP="00D95A1A">
            <w:pPr>
              <w:spacing w:line="240" w:lineRule="auto"/>
              <w:jc w:val="center"/>
              <w:rPr>
                <w:rFonts w:ascii="Calibri" w:hAnsi="Calibri" w:cs="Calibri"/>
                <w:b/>
                <w:sz w:val="22"/>
                <w:szCs w:val="22"/>
              </w:rPr>
            </w:pPr>
            <w:r w:rsidRPr="00B508E7">
              <w:rPr>
                <w:rFonts w:ascii="Calibri" w:hAnsi="Calibri" w:cs="Calibri"/>
                <w:b/>
                <w:sz w:val="22"/>
                <w:szCs w:val="22"/>
              </w:rPr>
              <w:t xml:space="preserve">WA Level </w:t>
            </w:r>
            <w:proofErr w:type="spellStart"/>
            <w:r w:rsidRPr="00B508E7">
              <w:rPr>
                <w:rFonts w:ascii="Calibri" w:hAnsi="Calibri" w:cs="Calibri"/>
                <w:b/>
                <w:sz w:val="22"/>
                <w:szCs w:val="22"/>
              </w:rPr>
              <w:t>2a</w:t>
            </w:r>
            <w:proofErr w:type="spellEnd"/>
          </w:p>
        </w:tc>
        <w:tc>
          <w:tcPr>
            <w:tcW w:w="1134" w:type="dxa"/>
            <w:shd w:val="clear" w:color="auto" w:fill="CCCCCC" w:themeFill="text2" w:themeFillTint="33"/>
          </w:tcPr>
          <w:p w:rsidR="00D95A1A" w:rsidRPr="00B508E7" w:rsidRDefault="00D95A1A" w:rsidP="00D95A1A">
            <w:pPr>
              <w:spacing w:line="240" w:lineRule="auto"/>
              <w:jc w:val="center"/>
              <w:rPr>
                <w:rFonts w:ascii="Calibri" w:hAnsi="Calibri" w:cs="Calibri"/>
                <w:b/>
                <w:sz w:val="22"/>
                <w:szCs w:val="22"/>
              </w:rPr>
            </w:pPr>
            <w:r w:rsidRPr="00B508E7">
              <w:rPr>
                <w:rFonts w:ascii="Calibri" w:hAnsi="Calibri" w:cs="Calibri"/>
                <w:b/>
                <w:sz w:val="22"/>
                <w:szCs w:val="22"/>
              </w:rPr>
              <w:t xml:space="preserve">WA Level </w:t>
            </w:r>
            <w:proofErr w:type="spellStart"/>
            <w:r w:rsidRPr="00B508E7">
              <w:rPr>
                <w:rFonts w:ascii="Calibri" w:hAnsi="Calibri" w:cs="Calibri"/>
                <w:b/>
                <w:sz w:val="22"/>
                <w:szCs w:val="22"/>
              </w:rPr>
              <w:t>2b</w:t>
            </w:r>
            <w:proofErr w:type="spellEnd"/>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Abuse/Domestic Violence issue</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6%</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9%</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10%</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Alcohol and/or drug misuse</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11%</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24%</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31%</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Anger management issues</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22%</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27%</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21%</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Behavioural problems</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52%</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40%</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Bullying</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25%</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21%</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Critical life event</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12%</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16%</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19%</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Current or previous Juvenile Justice Orders</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14%</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22%</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Disability</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Disconnection from cultural heritage</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Financial distress</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6%</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21%</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39%</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Gifted</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Homelessness</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6%</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In detention/previously in detention</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6%</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Inadequate family support</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31%</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37%</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Learning Difficulty</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6%</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6%</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Low literacy and/or numeracy</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34%</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43%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50%</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Low Self Esteem</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55%</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56%</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Medical or other health issue</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6%</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8%</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11%</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Negative experience(s) with education and training</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10%</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10%</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Out of home care</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Parent/Pregnancy</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8%</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Petrol sniffing</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0%</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0%</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0%</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Socialisation issues</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35%</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35%</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35%</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Suspected or diagnosed mental health issue</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10%</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25%</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Unstable living arrangements</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7%</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18%</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28%</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Volatile substance misuse</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0%</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1%</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0%</w:t>
            </w:r>
          </w:p>
        </w:tc>
      </w:tr>
      <w:tr w:rsidR="00D95A1A" w:rsidRPr="00D95A1A" w:rsidTr="004B3484">
        <w:tc>
          <w:tcPr>
            <w:tcW w:w="6345"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Young Carer responsibilities</w:t>
            </w:r>
          </w:p>
        </w:tc>
        <w:tc>
          <w:tcPr>
            <w:tcW w:w="993"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3%</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w:t>
            </w:r>
          </w:p>
        </w:tc>
        <w:tc>
          <w:tcPr>
            <w:tcW w:w="1134" w:type="dxa"/>
            <w:vAlign w:val="bottom"/>
          </w:tcPr>
          <w:p w:rsidR="00D95A1A" w:rsidRPr="00B508E7" w:rsidRDefault="00D95A1A" w:rsidP="00D95A1A">
            <w:pPr>
              <w:spacing w:line="240" w:lineRule="auto"/>
              <w:jc w:val="right"/>
              <w:rPr>
                <w:rFonts w:ascii="Calibri" w:hAnsi="Calibri" w:cs="Calibri"/>
                <w:color w:val="000000"/>
                <w:sz w:val="22"/>
                <w:szCs w:val="22"/>
              </w:rPr>
            </w:pPr>
            <w:r w:rsidRPr="00B508E7">
              <w:rPr>
                <w:rFonts w:ascii="Calibri" w:hAnsi="Calibri" w:cs="Calibri"/>
                <w:color w:val="000000"/>
                <w:sz w:val="22"/>
                <w:szCs w:val="22"/>
              </w:rPr>
              <w:t>5%</w:t>
            </w:r>
          </w:p>
        </w:tc>
      </w:tr>
    </w:tbl>
    <w:p w:rsidR="007D5CF1" w:rsidRDefault="007D5CF1" w:rsidP="00D95A1A">
      <w:pPr>
        <w:spacing w:line="240" w:lineRule="auto"/>
        <w:rPr>
          <w:rFonts w:eastAsia="Times New Roman" w:cs="Calibri"/>
          <w:bCs/>
          <w:color w:val="000000"/>
          <w:sz w:val="22"/>
          <w:szCs w:val="22"/>
          <w:lang w:eastAsia="en-AU"/>
        </w:rPr>
      </w:pPr>
    </w:p>
    <w:p w:rsidR="007D5CF1" w:rsidRDefault="007D5CF1">
      <w:pPr>
        <w:spacing w:line="240" w:lineRule="auto"/>
        <w:rPr>
          <w:rFonts w:eastAsia="Times New Roman" w:cs="Calibri"/>
          <w:bCs/>
          <w:color w:val="000000"/>
          <w:sz w:val="22"/>
          <w:szCs w:val="22"/>
          <w:lang w:eastAsia="en-AU"/>
        </w:rPr>
      </w:pPr>
      <w:r>
        <w:rPr>
          <w:rFonts w:eastAsia="Times New Roman" w:cs="Calibri"/>
          <w:bCs/>
          <w:color w:val="000000"/>
          <w:sz w:val="22"/>
          <w:szCs w:val="22"/>
          <w:lang w:eastAsia="en-AU"/>
        </w:rPr>
        <w:br w:type="page"/>
      </w:r>
    </w:p>
    <w:p w:rsidR="00D95A1A" w:rsidRPr="00D95A1A" w:rsidRDefault="00D95A1A" w:rsidP="00D95A1A">
      <w:pPr>
        <w:spacing w:line="240" w:lineRule="auto"/>
        <w:rPr>
          <w:rFonts w:eastAsia="Times New Roman"/>
          <w:b/>
          <w:bCs/>
          <w:color w:val="4F81BD"/>
          <w:sz w:val="18"/>
          <w:szCs w:val="18"/>
          <w:lang w:eastAsia="en-AU"/>
        </w:rPr>
      </w:pPr>
      <w:r w:rsidRPr="00D95A1A">
        <w:rPr>
          <w:rFonts w:eastAsia="Times New Roman"/>
          <w:b/>
          <w:bCs/>
          <w:color w:val="4F81BD"/>
          <w:sz w:val="18"/>
          <w:szCs w:val="18"/>
          <w:lang w:eastAsia="en-AU"/>
        </w:rPr>
        <w:lastRenderedPageBreak/>
        <w:t>Figure 8: National Participant Barriers by Connection Level</w:t>
      </w:r>
    </w:p>
    <w:p w:rsidR="00D95A1A" w:rsidRPr="00D95A1A" w:rsidRDefault="00D95A1A" w:rsidP="00D95A1A">
      <w:pPr>
        <w:spacing w:line="240" w:lineRule="auto"/>
        <w:ind w:right="-567"/>
        <w:rPr>
          <w:rFonts w:eastAsia="Times New Roman"/>
          <w:lang w:eastAsia="en-AU"/>
        </w:rPr>
      </w:pPr>
      <w:r w:rsidRPr="00D95A1A">
        <w:rPr>
          <w:rFonts w:eastAsia="Times New Roman"/>
          <w:noProof/>
          <w:lang w:eastAsia="en-AU"/>
        </w:rPr>
        <w:drawing>
          <wp:inline distT="0" distB="0" distL="0" distR="0" wp14:anchorId="56C5A10E" wp14:editId="76C08401">
            <wp:extent cx="6524625" cy="8905875"/>
            <wp:effectExtent l="0" t="0" r="9525" b="9525"/>
            <wp:docPr id="19" name="Chart 19" descr="National percentage of participants who have been identified as having a barrier, graphic representation of table 1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95A1A" w:rsidRPr="00D95A1A" w:rsidRDefault="00D95A1A" w:rsidP="00B508E7">
      <w:pPr>
        <w:pStyle w:val="Heading4"/>
        <w:spacing w:after="120"/>
        <w:rPr>
          <w:rFonts w:eastAsia="Times New Roman"/>
          <w:lang w:eastAsia="en-AU"/>
        </w:rPr>
      </w:pPr>
      <w:r w:rsidRPr="00D95A1A">
        <w:rPr>
          <w:rFonts w:eastAsia="Times New Roman"/>
          <w:lang w:eastAsia="en-AU"/>
        </w:rPr>
        <w:lastRenderedPageBreak/>
        <w:t>Table 10: National - Percentage of participants identified as having barrier, by Connection Level</w:t>
      </w:r>
    </w:p>
    <w:tbl>
      <w:tblPr>
        <w:tblStyle w:val="TableGrid2"/>
        <w:tblW w:w="0" w:type="auto"/>
        <w:tblLayout w:type="fixed"/>
        <w:tblLook w:val="04A0" w:firstRow="1" w:lastRow="0" w:firstColumn="1" w:lastColumn="0" w:noHBand="0" w:noVBand="1"/>
        <w:tblCaption w:val="Table 10: National - Percentage of participants identified as having barrier, by Connection Level"/>
        <w:tblDescription w:val="Table 10: National - Percentage of participants identified as having barrier, by Connection Level"/>
      </w:tblPr>
      <w:tblGrid>
        <w:gridCol w:w="5353"/>
        <w:gridCol w:w="1418"/>
        <w:gridCol w:w="1417"/>
        <w:gridCol w:w="1559"/>
      </w:tblGrid>
      <w:tr w:rsidR="00D95A1A" w:rsidRPr="00D95A1A" w:rsidTr="007D5CF1">
        <w:trPr>
          <w:tblHeader/>
        </w:trPr>
        <w:tc>
          <w:tcPr>
            <w:tcW w:w="5353" w:type="dxa"/>
            <w:shd w:val="clear" w:color="auto" w:fill="CCCCCC" w:themeFill="text2" w:themeFillTint="33"/>
          </w:tcPr>
          <w:p w:rsidR="00D95A1A" w:rsidRPr="006804D8" w:rsidRDefault="00D95A1A" w:rsidP="00D95A1A">
            <w:pPr>
              <w:tabs>
                <w:tab w:val="left" w:pos="975"/>
                <w:tab w:val="center" w:pos="2568"/>
              </w:tabs>
              <w:spacing w:line="240" w:lineRule="auto"/>
              <w:rPr>
                <w:rFonts w:ascii="Calibri" w:hAnsi="Calibri" w:cs="Calibri"/>
                <w:b/>
                <w:sz w:val="22"/>
                <w:szCs w:val="22"/>
              </w:rPr>
            </w:pPr>
            <w:r w:rsidRPr="006804D8">
              <w:rPr>
                <w:rFonts w:ascii="Calibri" w:hAnsi="Calibri" w:cs="Calibri"/>
                <w:b/>
                <w:sz w:val="22"/>
                <w:szCs w:val="22"/>
              </w:rPr>
              <w:tab/>
            </w:r>
            <w:r w:rsidRPr="006804D8">
              <w:rPr>
                <w:rFonts w:ascii="Calibri" w:hAnsi="Calibri" w:cs="Calibri"/>
                <w:b/>
                <w:sz w:val="22"/>
                <w:szCs w:val="22"/>
              </w:rPr>
              <w:tab/>
              <w:t>Barrier</w:t>
            </w:r>
          </w:p>
        </w:tc>
        <w:tc>
          <w:tcPr>
            <w:tcW w:w="1418" w:type="dxa"/>
            <w:shd w:val="clear" w:color="auto" w:fill="CCCCCC" w:themeFill="text2" w:themeFillTint="33"/>
          </w:tcPr>
          <w:p w:rsidR="00D95A1A" w:rsidRPr="006804D8" w:rsidRDefault="00D95A1A" w:rsidP="00D95A1A">
            <w:pPr>
              <w:spacing w:line="240" w:lineRule="auto"/>
              <w:jc w:val="center"/>
              <w:rPr>
                <w:rFonts w:ascii="Calibri" w:hAnsi="Calibri" w:cs="Calibri"/>
                <w:b/>
                <w:sz w:val="22"/>
                <w:szCs w:val="22"/>
              </w:rPr>
            </w:pPr>
            <w:r w:rsidRPr="006804D8">
              <w:rPr>
                <w:rFonts w:ascii="Calibri" w:hAnsi="Calibri" w:cs="Calibri"/>
                <w:b/>
                <w:sz w:val="22"/>
                <w:szCs w:val="22"/>
              </w:rPr>
              <w:t>National Level 1</w:t>
            </w:r>
          </w:p>
        </w:tc>
        <w:tc>
          <w:tcPr>
            <w:tcW w:w="1417" w:type="dxa"/>
            <w:shd w:val="clear" w:color="auto" w:fill="CCCCCC" w:themeFill="text2" w:themeFillTint="33"/>
          </w:tcPr>
          <w:p w:rsidR="00D95A1A" w:rsidRPr="006804D8" w:rsidRDefault="00D95A1A" w:rsidP="00D95A1A">
            <w:pPr>
              <w:spacing w:line="240" w:lineRule="auto"/>
              <w:jc w:val="center"/>
              <w:rPr>
                <w:rFonts w:ascii="Calibri" w:hAnsi="Calibri" w:cs="Calibri"/>
                <w:b/>
                <w:sz w:val="22"/>
                <w:szCs w:val="22"/>
              </w:rPr>
            </w:pPr>
            <w:r w:rsidRPr="006804D8">
              <w:rPr>
                <w:rFonts w:ascii="Calibri" w:hAnsi="Calibri" w:cs="Calibri"/>
                <w:b/>
                <w:sz w:val="22"/>
                <w:szCs w:val="22"/>
              </w:rPr>
              <w:t xml:space="preserve">National Level </w:t>
            </w:r>
            <w:proofErr w:type="spellStart"/>
            <w:r w:rsidRPr="006804D8">
              <w:rPr>
                <w:rFonts w:ascii="Calibri" w:hAnsi="Calibri" w:cs="Calibri"/>
                <w:b/>
                <w:sz w:val="22"/>
                <w:szCs w:val="22"/>
              </w:rPr>
              <w:t>2a</w:t>
            </w:r>
            <w:proofErr w:type="spellEnd"/>
          </w:p>
        </w:tc>
        <w:tc>
          <w:tcPr>
            <w:tcW w:w="1559" w:type="dxa"/>
            <w:shd w:val="clear" w:color="auto" w:fill="CCCCCC" w:themeFill="text2" w:themeFillTint="33"/>
          </w:tcPr>
          <w:p w:rsidR="00D95A1A" w:rsidRPr="006804D8" w:rsidRDefault="00D95A1A" w:rsidP="00D95A1A">
            <w:pPr>
              <w:spacing w:line="240" w:lineRule="auto"/>
              <w:jc w:val="center"/>
              <w:rPr>
                <w:rFonts w:ascii="Calibri" w:hAnsi="Calibri" w:cs="Calibri"/>
                <w:b/>
                <w:sz w:val="22"/>
                <w:szCs w:val="22"/>
              </w:rPr>
            </w:pPr>
            <w:r w:rsidRPr="006804D8">
              <w:rPr>
                <w:rFonts w:ascii="Calibri" w:hAnsi="Calibri" w:cs="Calibri"/>
                <w:b/>
                <w:sz w:val="22"/>
                <w:szCs w:val="22"/>
              </w:rPr>
              <w:t xml:space="preserve">National Level </w:t>
            </w:r>
            <w:proofErr w:type="spellStart"/>
            <w:r w:rsidRPr="006804D8">
              <w:rPr>
                <w:rFonts w:ascii="Calibri" w:hAnsi="Calibri" w:cs="Calibri"/>
                <w:b/>
                <w:sz w:val="22"/>
                <w:szCs w:val="22"/>
              </w:rPr>
              <w:t>2b</w:t>
            </w:r>
            <w:proofErr w:type="spellEnd"/>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Abuse/Domestic Violence issue</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6%</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10%</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12%</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Alcohol and/or drug misuse</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9%</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18%</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26%</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Anger management issues</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27%</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35%</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28%</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Behavioural problems</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54%</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59%</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41%</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Bullying</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28%</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27%</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21%</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Critical life event</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12%</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17%</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18%</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Current or previous Juvenile Justice Orders</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3%</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7%</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17%</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Disability</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4%</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Disconnection from cultural heritage</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4%</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Financial distress</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14%</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23%</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42%</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Gifted</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Homelessness</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3%</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8%</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In detention/previously in detention</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Inadequate family support</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17%</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26%</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36%</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Learning Difficulty</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7%</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9%</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9%</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Low literacy and/or numeracy</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43%</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51%</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52%</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Low Self Esteem</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54%</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57%</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56%</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Medical or other health issue</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7%</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10%</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12%</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Negative experience(s) with education and training</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10%</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14%</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15%</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Out of home care</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3%</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5%</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Parent/Pregnancy</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7%</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Petrol sniffing</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0%</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0%</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0%</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Socialisation issues</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38%</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42%</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44%</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Suspected or diagnosed mental health issue</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16%</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29%</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32%</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Unstable living arrangements</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8%</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15%</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26%</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Volatile substance misuse</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0%</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0%</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1%</w:t>
            </w:r>
          </w:p>
        </w:tc>
      </w:tr>
      <w:tr w:rsidR="00D95A1A" w:rsidRPr="00D95A1A" w:rsidTr="004B3484">
        <w:tc>
          <w:tcPr>
            <w:tcW w:w="5353"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Young Carer responsibilities</w:t>
            </w:r>
          </w:p>
        </w:tc>
        <w:tc>
          <w:tcPr>
            <w:tcW w:w="1418"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3%</w:t>
            </w:r>
          </w:p>
        </w:tc>
        <w:tc>
          <w:tcPr>
            <w:tcW w:w="1417"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3%</w:t>
            </w:r>
          </w:p>
        </w:tc>
        <w:tc>
          <w:tcPr>
            <w:tcW w:w="1559" w:type="dxa"/>
            <w:vAlign w:val="bottom"/>
          </w:tcPr>
          <w:p w:rsidR="00D95A1A" w:rsidRPr="006804D8" w:rsidRDefault="00D95A1A" w:rsidP="00D95A1A">
            <w:pPr>
              <w:spacing w:line="240" w:lineRule="auto"/>
              <w:jc w:val="right"/>
              <w:rPr>
                <w:rFonts w:ascii="Calibri" w:hAnsi="Calibri" w:cs="Calibri"/>
                <w:color w:val="000000"/>
                <w:sz w:val="22"/>
                <w:szCs w:val="22"/>
              </w:rPr>
            </w:pPr>
            <w:r w:rsidRPr="006804D8">
              <w:rPr>
                <w:rFonts w:ascii="Calibri" w:hAnsi="Calibri" w:cs="Calibri"/>
                <w:color w:val="000000"/>
                <w:sz w:val="22"/>
                <w:szCs w:val="22"/>
              </w:rPr>
              <w:t>4%</w:t>
            </w:r>
          </w:p>
        </w:tc>
      </w:tr>
    </w:tbl>
    <w:p w:rsidR="00D95A1A" w:rsidRPr="00D95A1A" w:rsidRDefault="00D95A1A" w:rsidP="00D95A1A">
      <w:pPr>
        <w:spacing w:line="240" w:lineRule="auto"/>
        <w:ind w:right="-567"/>
        <w:rPr>
          <w:rFonts w:eastAsia="Times New Roman"/>
          <w:lang w:eastAsia="en-AU"/>
        </w:rPr>
      </w:pPr>
      <w:r w:rsidRPr="00D95A1A">
        <w:rPr>
          <w:rFonts w:eastAsia="Times New Roman"/>
          <w:lang w:eastAsia="en-AU"/>
        </w:rPr>
        <w:br w:type="page"/>
      </w:r>
    </w:p>
    <w:p w:rsidR="00D95A1A" w:rsidRPr="00D95A1A" w:rsidRDefault="00D95A1A" w:rsidP="00B508E7">
      <w:pPr>
        <w:pStyle w:val="Heading2"/>
        <w:rPr>
          <w:lang w:eastAsia="en-AU"/>
        </w:rPr>
      </w:pPr>
      <w:bookmarkStart w:id="28" w:name="_Toc384044196"/>
      <w:r w:rsidRPr="00D95A1A">
        <w:rPr>
          <w:lang w:eastAsia="en-AU"/>
        </w:rPr>
        <w:lastRenderedPageBreak/>
        <w:t>Outcomes</w:t>
      </w:r>
      <w:bookmarkEnd w:id="28"/>
    </w:p>
    <w:p w:rsidR="00D95A1A" w:rsidRPr="00D95A1A" w:rsidRDefault="00D95A1A" w:rsidP="00B508E7">
      <w:pPr>
        <w:pStyle w:val="Heading4"/>
        <w:spacing w:after="120"/>
        <w:rPr>
          <w:rFonts w:eastAsia="Times New Roman"/>
          <w:lang w:eastAsia="en-AU"/>
        </w:rPr>
      </w:pPr>
      <w:r w:rsidRPr="00D95A1A">
        <w:rPr>
          <w:rFonts w:eastAsia="Times New Roman"/>
          <w:lang w:eastAsia="en-AU"/>
        </w:rPr>
        <w:t>Table 11: Participant Outcomes – All participants (current and exited)</w:t>
      </w:r>
    </w:p>
    <w:tbl>
      <w:tblPr>
        <w:tblStyle w:val="TableGrid2"/>
        <w:tblW w:w="0" w:type="auto"/>
        <w:tblLook w:val="04A0" w:firstRow="1" w:lastRow="0" w:firstColumn="1" w:lastColumn="0" w:noHBand="0" w:noVBand="1"/>
        <w:tblCaption w:val="Table 11: Participant Outcomes – All participants (current and exited)"/>
        <w:tblDescription w:val="Table 11: Participant Outcomes – All participants (current and exited)"/>
      </w:tblPr>
      <w:tblGrid>
        <w:gridCol w:w="3794"/>
        <w:gridCol w:w="1480"/>
        <w:gridCol w:w="1480"/>
        <w:gridCol w:w="1480"/>
        <w:gridCol w:w="1480"/>
      </w:tblGrid>
      <w:tr w:rsidR="00D95A1A" w:rsidRPr="006804D8" w:rsidTr="004B3484">
        <w:trPr>
          <w:tblHeader/>
        </w:trPr>
        <w:tc>
          <w:tcPr>
            <w:tcW w:w="3794" w:type="dxa"/>
            <w:shd w:val="clear" w:color="auto" w:fill="CCCCCC" w:themeFill="text2" w:themeFillTint="33"/>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Participant outcomes</w:t>
            </w:r>
          </w:p>
        </w:tc>
        <w:tc>
          <w:tcPr>
            <w:tcW w:w="1480" w:type="dxa"/>
            <w:shd w:val="clear" w:color="auto" w:fill="CCCCCC" w:themeFill="text2" w:themeFillTint="33"/>
            <w:vAlign w:val="bottom"/>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WA</w:t>
            </w:r>
          </w:p>
        </w:tc>
        <w:tc>
          <w:tcPr>
            <w:tcW w:w="1480" w:type="dxa"/>
            <w:shd w:val="clear" w:color="auto" w:fill="CCCCCC" w:themeFill="text2" w:themeFillTint="33"/>
            <w:vAlign w:val="bottom"/>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WA %</w:t>
            </w:r>
          </w:p>
        </w:tc>
        <w:tc>
          <w:tcPr>
            <w:tcW w:w="1480" w:type="dxa"/>
            <w:shd w:val="clear" w:color="auto" w:fill="CCCCCC" w:themeFill="text2" w:themeFillTint="33"/>
            <w:vAlign w:val="bottom"/>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National</w:t>
            </w:r>
          </w:p>
        </w:tc>
        <w:tc>
          <w:tcPr>
            <w:tcW w:w="1480" w:type="dxa"/>
            <w:shd w:val="clear" w:color="auto" w:fill="CCCCCC" w:themeFill="text2" w:themeFillTint="33"/>
            <w:vAlign w:val="bottom"/>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National %</w:t>
            </w:r>
          </w:p>
        </w:tc>
      </w:tr>
      <w:tr w:rsidR="00D95A1A" w:rsidRPr="006804D8" w:rsidTr="004B3484">
        <w:tc>
          <w:tcPr>
            <w:tcW w:w="3794"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Young people enrolled in individual support services</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6095</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58,408</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w:t>
            </w:r>
          </w:p>
        </w:tc>
      </w:tr>
      <w:tr w:rsidR="00D95A1A" w:rsidRPr="006804D8" w:rsidTr="004B3484">
        <w:tc>
          <w:tcPr>
            <w:tcW w:w="3794"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Young people who have achieved a progressive outcome*</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4326</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71%</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42,873</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73%</w:t>
            </w:r>
          </w:p>
        </w:tc>
      </w:tr>
      <w:tr w:rsidR="00D95A1A" w:rsidRPr="006804D8" w:rsidTr="004B3484">
        <w:tc>
          <w:tcPr>
            <w:tcW w:w="3794"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Young people who have achieved a final outcome**</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3578</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59%</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34,793</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60%</w:t>
            </w:r>
          </w:p>
        </w:tc>
      </w:tr>
    </w:tbl>
    <w:p w:rsidR="00D95A1A" w:rsidRPr="006804D8" w:rsidRDefault="00D95A1A" w:rsidP="00D95A1A">
      <w:pPr>
        <w:spacing w:line="240" w:lineRule="auto"/>
        <w:rPr>
          <w:rFonts w:eastAsia="Times New Roman" w:cs="Calibri"/>
          <w:sz w:val="22"/>
          <w:szCs w:val="22"/>
          <w:lang w:eastAsia="en-AU"/>
        </w:rPr>
      </w:pPr>
    </w:p>
    <w:p w:rsidR="00D95A1A" w:rsidRPr="006804D8" w:rsidRDefault="00D95A1A" w:rsidP="00B508E7">
      <w:pPr>
        <w:pStyle w:val="Heading4"/>
        <w:spacing w:after="120"/>
        <w:rPr>
          <w:rFonts w:eastAsia="Times New Roman"/>
          <w:lang w:eastAsia="en-AU"/>
        </w:rPr>
      </w:pPr>
      <w:r w:rsidRPr="006804D8">
        <w:rPr>
          <w:rFonts w:eastAsia="Times New Roman"/>
          <w:lang w:eastAsia="en-AU"/>
        </w:rPr>
        <w:t>Table 12: Participant Outcomes – exited participants</w:t>
      </w:r>
    </w:p>
    <w:tbl>
      <w:tblPr>
        <w:tblStyle w:val="TableGrid2"/>
        <w:tblW w:w="0" w:type="auto"/>
        <w:tblLook w:val="04A0" w:firstRow="1" w:lastRow="0" w:firstColumn="1" w:lastColumn="0" w:noHBand="0" w:noVBand="1"/>
        <w:tblCaption w:val="Table 12: Participant Outcomes – exited participants"/>
        <w:tblDescription w:val="Table 12: Participant Outcomes – exited participants"/>
      </w:tblPr>
      <w:tblGrid>
        <w:gridCol w:w="3794"/>
        <w:gridCol w:w="1480"/>
        <w:gridCol w:w="1480"/>
        <w:gridCol w:w="1480"/>
        <w:gridCol w:w="1480"/>
      </w:tblGrid>
      <w:tr w:rsidR="00D95A1A" w:rsidRPr="006804D8" w:rsidTr="004B3484">
        <w:trPr>
          <w:tblHeader/>
        </w:trPr>
        <w:tc>
          <w:tcPr>
            <w:tcW w:w="3794" w:type="dxa"/>
            <w:shd w:val="clear" w:color="auto" w:fill="CCCCCC" w:themeFill="text2" w:themeFillTint="33"/>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Participant outcomes</w:t>
            </w:r>
          </w:p>
        </w:tc>
        <w:tc>
          <w:tcPr>
            <w:tcW w:w="1480" w:type="dxa"/>
            <w:shd w:val="clear" w:color="auto" w:fill="CCCCCC" w:themeFill="text2" w:themeFillTint="33"/>
            <w:vAlign w:val="bottom"/>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WA</w:t>
            </w:r>
          </w:p>
        </w:tc>
        <w:tc>
          <w:tcPr>
            <w:tcW w:w="1480" w:type="dxa"/>
            <w:shd w:val="clear" w:color="auto" w:fill="CCCCCC" w:themeFill="text2" w:themeFillTint="33"/>
            <w:vAlign w:val="bottom"/>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WA %</w:t>
            </w:r>
          </w:p>
        </w:tc>
        <w:tc>
          <w:tcPr>
            <w:tcW w:w="1480" w:type="dxa"/>
            <w:shd w:val="clear" w:color="auto" w:fill="CCCCCC" w:themeFill="text2" w:themeFillTint="33"/>
            <w:vAlign w:val="bottom"/>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National</w:t>
            </w:r>
          </w:p>
        </w:tc>
        <w:tc>
          <w:tcPr>
            <w:tcW w:w="1480" w:type="dxa"/>
            <w:shd w:val="clear" w:color="auto" w:fill="CCCCCC" w:themeFill="text2" w:themeFillTint="33"/>
            <w:vAlign w:val="bottom"/>
          </w:tcPr>
          <w:p w:rsidR="00D95A1A" w:rsidRPr="006804D8" w:rsidRDefault="00D95A1A" w:rsidP="00D95A1A">
            <w:pPr>
              <w:spacing w:line="240" w:lineRule="auto"/>
              <w:jc w:val="center"/>
              <w:rPr>
                <w:rFonts w:ascii="Calibri" w:hAnsi="Calibri" w:cs="Calibri"/>
                <w:b/>
                <w:bCs/>
                <w:color w:val="000000"/>
                <w:sz w:val="22"/>
                <w:szCs w:val="22"/>
              </w:rPr>
            </w:pPr>
            <w:r w:rsidRPr="006804D8">
              <w:rPr>
                <w:rFonts w:ascii="Calibri" w:hAnsi="Calibri" w:cs="Calibri"/>
                <w:b/>
                <w:bCs/>
                <w:color w:val="000000"/>
                <w:sz w:val="22"/>
                <w:szCs w:val="22"/>
              </w:rPr>
              <w:t>National %</w:t>
            </w:r>
          </w:p>
        </w:tc>
      </w:tr>
      <w:tr w:rsidR="00D95A1A" w:rsidRPr="006804D8" w:rsidTr="004B3484">
        <w:tc>
          <w:tcPr>
            <w:tcW w:w="3794"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Young people enrolled in individual support services</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5293</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52,191</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w:t>
            </w:r>
          </w:p>
        </w:tc>
      </w:tr>
      <w:tr w:rsidR="00D95A1A" w:rsidRPr="006804D8" w:rsidTr="004B3484">
        <w:tc>
          <w:tcPr>
            <w:tcW w:w="3794"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Young people who have achieved a progressive outcome</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3845</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73%</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38,928</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75%</w:t>
            </w:r>
          </w:p>
        </w:tc>
      </w:tr>
      <w:tr w:rsidR="00D95A1A" w:rsidRPr="006804D8" w:rsidTr="004B3484">
        <w:tc>
          <w:tcPr>
            <w:tcW w:w="3794"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Young people who have achieved a final outcome</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3211</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61%</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32,136</w:t>
            </w:r>
          </w:p>
        </w:tc>
        <w:tc>
          <w:tcPr>
            <w:tcW w:w="1480"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62%</w:t>
            </w:r>
          </w:p>
        </w:tc>
      </w:tr>
    </w:tbl>
    <w:p w:rsidR="00D95A1A" w:rsidRPr="00D95A1A" w:rsidRDefault="00D95A1A" w:rsidP="00D95A1A">
      <w:pPr>
        <w:spacing w:line="240" w:lineRule="auto"/>
        <w:ind w:right="-188"/>
        <w:rPr>
          <w:rFonts w:eastAsia="Times New Roman"/>
          <w:lang w:eastAsia="en-AU"/>
        </w:rPr>
      </w:pPr>
    </w:p>
    <w:p w:rsidR="00D95A1A" w:rsidRPr="00D95A1A" w:rsidRDefault="00D95A1A" w:rsidP="00D95A1A">
      <w:pPr>
        <w:spacing w:line="240" w:lineRule="auto"/>
        <w:ind w:right="-188"/>
        <w:rPr>
          <w:rFonts w:eastAsia="Times New Roman"/>
          <w:lang w:eastAsia="en-AU"/>
        </w:rPr>
      </w:pPr>
      <w:r w:rsidRPr="00D95A1A">
        <w:rPr>
          <w:rFonts w:eastAsia="Times New Roman"/>
          <w:lang w:eastAsia="en-AU"/>
        </w:rPr>
        <w:t>*A progressive outcome represents a young person making significant progress in addressing their barriers to full engagement in education.</w:t>
      </w:r>
    </w:p>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ind w:right="-188"/>
        <w:rPr>
          <w:rFonts w:eastAsia="Times New Roman"/>
          <w:lang w:eastAsia="en-AU"/>
        </w:rPr>
      </w:pPr>
      <w:r w:rsidRPr="00D95A1A">
        <w:rPr>
          <w:rFonts w:eastAsia="Times New Roman"/>
          <w:lang w:eastAsia="en-AU"/>
        </w:rPr>
        <w:t xml:space="preserve">**A final outcome represents re-engagement or a sustained improvement in a young person’s engagement with education, training or employment. </w:t>
      </w:r>
    </w:p>
    <w:p w:rsidR="00D95A1A" w:rsidRPr="00D95A1A" w:rsidRDefault="00D95A1A" w:rsidP="00D95A1A">
      <w:pPr>
        <w:spacing w:line="240" w:lineRule="auto"/>
        <w:rPr>
          <w:rFonts w:eastAsia="Times New Roman"/>
          <w:lang w:eastAsia="en-AU"/>
        </w:rPr>
      </w:pPr>
      <w:r w:rsidRPr="00D95A1A">
        <w:rPr>
          <w:rFonts w:eastAsia="Times New Roman"/>
          <w:lang w:eastAsia="en-AU"/>
        </w:rPr>
        <w:br w:type="page"/>
      </w:r>
    </w:p>
    <w:p w:rsidR="00D95A1A" w:rsidRPr="00D95A1A" w:rsidRDefault="00D95A1A" w:rsidP="00D95A1A">
      <w:pPr>
        <w:spacing w:line="240" w:lineRule="auto"/>
        <w:rPr>
          <w:rFonts w:eastAsia="Times New Roman"/>
          <w:b/>
          <w:bCs/>
          <w:color w:val="4F81BD"/>
          <w:sz w:val="18"/>
          <w:szCs w:val="18"/>
          <w:lang w:eastAsia="en-AU"/>
        </w:rPr>
      </w:pPr>
      <w:r w:rsidRPr="00D95A1A">
        <w:rPr>
          <w:rFonts w:eastAsia="Times New Roman"/>
          <w:b/>
          <w:bCs/>
          <w:color w:val="4F81BD"/>
          <w:sz w:val="18"/>
          <w:szCs w:val="18"/>
          <w:lang w:eastAsia="en-AU"/>
        </w:rPr>
        <w:lastRenderedPageBreak/>
        <w:t>Figure 9: WA - Number of young people achieving outcomes</w:t>
      </w:r>
    </w:p>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ind w:right="-188"/>
        <w:rPr>
          <w:rFonts w:eastAsia="Times New Roman"/>
          <w:u w:val="single"/>
          <w:lang w:eastAsia="en-AU"/>
        </w:rPr>
      </w:pPr>
      <w:r w:rsidRPr="00D95A1A">
        <w:rPr>
          <w:rFonts w:eastAsia="Times New Roman"/>
          <w:noProof/>
          <w:lang w:eastAsia="en-AU"/>
        </w:rPr>
        <w:drawing>
          <wp:inline distT="0" distB="0" distL="0" distR="0" wp14:anchorId="6D70497E" wp14:editId="07C0591E">
            <wp:extent cx="6381750" cy="2333625"/>
            <wp:effectExtent l="0" t="0" r="19050" b="9525"/>
            <wp:docPr id="20" name="Chart 20" descr="WA number of young people achieving outcomes, graphic representation of table1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95A1A" w:rsidRPr="00D95A1A" w:rsidRDefault="00D95A1A" w:rsidP="00D95A1A">
      <w:pPr>
        <w:spacing w:line="240" w:lineRule="auto"/>
        <w:rPr>
          <w:rFonts w:eastAsia="Times New Roman" w:cs="Calibri"/>
          <w:b/>
          <w:bCs/>
          <w:color w:val="000000"/>
          <w:sz w:val="22"/>
          <w:szCs w:val="22"/>
          <w:lang w:eastAsia="en-AU"/>
        </w:rPr>
      </w:pPr>
    </w:p>
    <w:p w:rsidR="00D95A1A" w:rsidRPr="00D95A1A" w:rsidRDefault="00D95A1A" w:rsidP="00B508E7">
      <w:pPr>
        <w:pStyle w:val="Heading4"/>
        <w:spacing w:after="120"/>
        <w:rPr>
          <w:rFonts w:eastAsia="Times New Roman"/>
          <w:lang w:eastAsia="en-AU"/>
        </w:rPr>
      </w:pPr>
      <w:r w:rsidRPr="00D95A1A">
        <w:rPr>
          <w:rFonts w:eastAsia="Times New Roman"/>
          <w:lang w:eastAsia="en-AU"/>
        </w:rPr>
        <w:t>Table 13: WA - Number of young people achieving outcomes</w:t>
      </w:r>
    </w:p>
    <w:tbl>
      <w:tblPr>
        <w:tblW w:w="10207" w:type="dxa"/>
        <w:tblInd w:w="108" w:type="dxa"/>
        <w:tblLook w:val="04A0" w:firstRow="1" w:lastRow="0" w:firstColumn="1" w:lastColumn="0" w:noHBand="0" w:noVBand="1"/>
      </w:tblPr>
      <w:tblGrid>
        <w:gridCol w:w="4388"/>
        <w:gridCol w:w="969"/>
        <w:gridCol w:w="970"/>
        <w:gridCol w:w="970"/>
        <w:gridCol w:w="970"/>
        <w:gridCol w:w="970"/>
        <w:gridCol w:w="970"/>
      </w:tblGrid>
      <w:tr w:rsidR="00D95A1A" w:rsidRPr="00D95A1A" w:rsidTr="004B3484">
        <w:trPr>
          <w:trHeight w:val="300"/>
          <w:tblHeader/>
        </w:trPr>
        <w:tc>
          <w:tcPr>
            <w:tcW w:w="4388"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WA Participant outcome achievement</w:t>
            </w:r>
          </w:p>
        </w:tc>
        <w:tc>
          <w:tcPr>
            <w:tcW w:w="969"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Level 1</w:t>
            </w:r>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No.</w:t>
            </w:r>
          </w:p>
        </w:tc>
        <w:tc>
          <w:tcPr>
            <w:tcW w:w="970"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Level 1</w:t>
            </w:r>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w:t>
            </w:r>
          </w:p>
        </w:tc>
        <w:tc>
          <w:tcPr>
            <w:tcW w:w="970"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2a</w:t>
            </w:r>
            <w:proofErr w:type="spellEnd"/>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No.</w:t>
            </w:r>
          </w:p>
        </w:tc>
        <w:tc>
          <w:tcPr>
            <w:tcW w:w="970"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2a</w:t>
            </w:r>
            <w:proofErr w:type="spellEnd"/>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w:t>
            </w:r>
          </w:p>
        </w:tc>
        <w:tc>
          <w:tcPr>
            <w:tcW w:w="970"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2b</w:t>
            </w:r>
            <w:proofErr w:type="spellEnd"/>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No.</w:t>
            </w:r>
          </w:p>
        </w:tc>
        <w:tc>
          <w:tcPr>
            <w:tcW w:w="970"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2b</w:t>
            </w:r>
            <w:proofErr w:type="spellEnd"/>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w:t>
            </w:r>
          </w:p>
        </w:tc>
      </w:tr>
      <w:tr w:rsidR="00D95A1A" w:rsidRPr="00D95A1A" w:rsidTr="004B3484">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before="40" w:after="40"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Achieved a final outcome</w:t>
            </w:r>
          </w:p>
        </w:tc>
        <w:tc>
          <w:tcPr>
            <w:tcW w:w="9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1646</w:t>
            </w:r>
          </w:p>
        </w:tc>
        <w:tc>
          <w:tcPr>
            <w:tcW w:w="970"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67%</w:t>
            </w:r>
          </w:p>
        </w:tc>
        <w:tc>
          <w:tcPr>
            <w:tcW w:w="970"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1021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57%</w:t>
            </w:r>
          </w:p>
        </w:tc>
        <w:tc>
          <w:tcPr>
            <w:tcW w:w="970"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ind w:right="-85"/>
              <w:jc w:val="right"/>
              <w:rPr>
                <w:rFonts w:eastAsia="Times New Roman" w:cs="Calibri"/>
                <w:color w:val="000000"/>
                <w:sz w:val="22"/>
                <w:szCs w:val="22"/>
                <w:lang w:eastAsia="en-AU"/>
              </w:rPr>
            </w:pPr>
            <w:r w:rsidRPr="00D95A1A">
              <w:rPr>
                <w:rFonts w:eastAsia="Times New Roman" w:cs="Calibri"/>
                <w:color w:val="000000"/>
                <w:sz w:val="22"/>
                <w:szCs w:val="22"/>
                <w:lang w:eastAsia="en-AU"/>
              </w:rPr>
              <w:t>1114</w:t>
            </w:r>
          </w:p>
        </w:tc>
        <w:tc>
          <w:tcPr>
            <w:tcW w:w="970"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54%</w:t>
            </w:r>
          </w:p>
        </w:tc>
      </w:tr>
      <w:tr w:rsidR="00D95A1A" w:rsidRPr="00D95A1A" w:rsidTr="004B3484">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before="40" w:after="40"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Achieved a progressive outcome</w:t>
            </w:r>
          </w:p>
        </w:tc>
        <w:tc>
          <w:tcPr>
            <w:tcW w:w="9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1886</w:t>
            </w:r>
          </w:p>
        </w:tc>
        <w:tc>
          <w:tcPr>
            <w:tcW w:w="970"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77%</w:t>
            </w:r>
          </w:p>
        </w:tc>
        <w:tc>
          <w:tcPr>
            <w:tcW w:w="970"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1263</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71%</w:t>
            </w:r>
          </w:p>
        </w:tc>
        <w:tc>
          <w:tcPr>
            <w:tcW w:w="970"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before="40" w:after="40" w:line="240" w:lineRule="auto"/>
              <w:ind w:right="-85"/>
              <w:jc w:val="right"/>
              <w:rPr>
                <w:rFonts w:eastAsia="Times New Roman" w:cs="Calibri"/>
                <w:color w:val="000000"/>
                <w:sz w:val="22"/>
                <w:szCs w:val="22"/>
                <w:lang w:eastAsia="en-AU"/>
              </w:rPr>
            </w:pPr>
            <w:r w:rsidRPr="00D95A1A">
              <w:rPr>
                <w:rFonts w:eastAsia="Times New Roman" w:cs="Calibri"/>
                <w:color w:val="000000"/>
                <w:sz w:val="22"/>
                <w:szCs w:val="22"/>
                <w:lang w:eastAsia="en-AU"/>
              </w:rPr>
              <w:t>1401</w:t>
            </w:r>
          </w:p>
        </w:tc>
        <w:tc>
          <w:tcPr>
            <w:tcW w:w="970"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68%</w:t>
            </w:r>
          </w:p>
        </w:tc>
      </w:tr>
    </w:tbl>
    <w:p w:rsidR="00D95A1A" w:rsidRPr="00D95A1A" w:rsidRDefault="00D95A1A" w:rsidP="00D95A1A">
      <w:pPr>
        <w:keepNext/>
        <w:spacing w:after="200" w:line="240" w:lineRule="auto"/>
        <w:rPr>
          <w:rFonts w:eastAsia="Times New Roman"/>
          <w:b/>
          <w:bCs/>
          <w:color w:val="4F81BD"/>
          <w:sz w:val="18"/>
          <w:szCs w:val="18"/>
          <w:lang w:eastAsia="en-AU"/>
        </w:rPr>
      </w:pPr>
    </w:p>
    <w:p w:rsidR="00D95A1A" w:rsidRPr="00D95A1A" w:rsidRDefault="00D95A1A" w:rsidP="00D95A1A">
      <w:pPr>
        <w:keepNext/>
        <w:spacing w:after="200" w:line="240" w:lineRule="auto"/>
        <w:rPr>
          <w:rFonts w:eastAsia="Times New Roman"/>
          <w:b/>
          <w:bCs/>
          <w:color w:val="4F81BD"/>
          <w:sz w:val="18"/>
          <w:szCs w:val="18"/>
          <w:lang w:eastAsia="en-AU"/>
        </w:rPr>
      </w:pPr>
      <w:r w:rsidRPr="00D95A1A">
        <w:rPr>
          <w:rFonts w:eastAsia="Times New Roman"/>
          <w:b/>
          <w:bCs/>
          <w:color w:val="4F81BD"/>
          <w:sz w:val="18"/>
          <w:szCs w:val="18"/>
          <w:lang w:eastAsia="en-AU"/>
        </w:rPr>
        <w:t>Figure 10: National - Number of young people achieving outcomes</w:t>
      </w:r>
    </w:p>
    <w:p w:rsidR="00D95A1A" w:rsidRPr="00D95A1A" w:rsidRDefault="00D95A1A" w:rsidP="00D95A1A">
      <w:pPr>
        <w:spacing w:line="240" w:lineRule="auto"/>
        <w:rPr>
          <w:rFonts w:eastAsia="Times New Roman"/>
          <w:lang w:eastAsia="en-AU"/>
        </w:rPr>
      </w:pPr>
      <w:r w:rsidRPr="00D95A1A">
        <w:rPr>
          <w:rFonts w:eastAsia="Times New Roman"/>
          <w:noProof/>
          <w:lang w:eastAsia="en-AU"/>
        </w:rPr>
        <w:drawing>
          <wp:inline distT="0" distB="0" distL="0" distR="0" wp14:anchorId="79278E6A" wp14:editId="7D8F7363">
            <wp:extent cx="6381750" cy="2571750"/>
            <wp:effectExtent l="0" t="0" r="19050" b="19050"/>
            <wp:docPr id="26" name="Chart 26" descr="National number of young people achieving outcomes, graphic representation of table 1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95A1A" w:rsidRPr="00D95A1A" w:rsidRDefault="00D95A1A" w:rsidP="00D95A1A">
      <w:pPr>
        <w:spacing w:line="240" w:lineRule="auto"/>
        <w:rPr>
          <w:rFonts w:eastAsia="Times New Roman" w:cs="Calibri"/>
          <w:b/>
          <w:bCs/>
          <w:color w:val="000000"/>
          <w:sz w:val="22"/>
          <w:szCs w:val="22"/>
          <w:lang w:eastAsia="en-AU"/>
        </w:rPr>
      </w:pPr>
    </w:p>
    <w:p w:rsidR="00D95A1A" w:rsidRPr="00D95A1A" w:rsidRDefault="00D95A1A" w:rsidP="00B508E7">
      <w:pPr>
        <w:pStyle w:val="Heading4"/>
        <w:spacing w:after="120"/>
        <w:rPr>
          <w:rFonts w:eastAsia="Times New Roman"/>
          <w:lang w:eastAsia="en-AU"/>
        </w:rPr>
      </w:pPr>
      <w:r w:rsidRPr="00D95A1A">
        <w:rPr>
          <w:rFonts w:eastAsia="Times New Roman"/>
          <w:lang w:eastAsia="en-AU"/>
        </w:rPr>
        <w:t>Table 14: National - Number of young people achieving outcomes</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999"/>
        <w:gridCol w:w="940"/>
        <w:gridCol w:w="970"/>
        <w:gridCol w:w="970"/>
        <w:gridCol w:w="970"/>
        <w:gridCol w:w="970"/>
      </w:tblGrid>
      <w:tr w:rsidR="00D95A1A" w:rsidRPr="00D95A1A" w:rsidTr="004B3484">
        <w:trPr>
          <w:trHeight w:val="300"/>
        </w:trPr>
        <w:tc>
          <w:tcPr>
            <w:tcW w:w="4388" w:type="dxa"/>
            <w:shd w:val="clear" w:color="auto" w:fill="CCCCCC" w:themeFill="text2" w:themeFillTint="33"/>
            <w:vAlign w:val="bottom"/>
          </w:tcPr>
          <w:p w:rsidR="00D95A1A" w:rsidRPr="00D95A1A" w:rsidRDefault="00D95A1A" w:rsidP="00D95A1A">
            <w:pPr>
              <w:spacing w:line="240" w:lineRule="auto"/>
              <w:rPr>
                <w:rFonts w:eastAsia="Times New Roman" w:cs="Calibri"/>
                <w:b/>
                <w:bCs/>
                <w:color w:val="000000"/>
                <w:sz w:val="22"/>
                <w:szCs w:val="22"/>
                <w:lang w:eastAsia="en-AU"/>
              </w:rPr>
            </w:pPr>
            <w:r w:rsidRPr="00D95A1A">
              <w:rPr>
                <w:rFonts w:eastAsia="Times New Roman" w:cs="Calibri"/>
                <w:b/>
                <w:bCs/>
                <w:color w:val="000000"/>
                <w:sz w:val="22"/>
                <w:szCs w:val="22"/>
                <w:lang w:eastAsia="en-AU"/>
              </w:rPr>
              <w:t>National Participant outcome achievement</w:t>
            </w:r>
          </w:p>
        </w:tc>
        <w:tc>
          <w:tcPr>
            <w:tcW w:w="999" w:type="dxa"/>
            <w:shd w:val="clear" w:color="auto" w:fill="CCCCCC" w:themeFill="text2"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Level 1</w:t>
            </w:r>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No.</w:t>
            </w:r>
          </w:p>
        </w:tc>
        <w:tc>
          <w:tcPr>
            <w:tcW w:w="940" w:type="dxa"/>
            <w:shd w:val="clear" w:color="auto" w:fill="CCCCCC" w:themeFill="text2"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Level 1</w:t>
            </w:r>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w:t>
            </w:r>
          </w:p>
        </w:tc>
        <w:tc>
          <w:tcPr>
            <w:tcW w:w="970" w:type="dxa"/>
            <w:shd w:val="clear" w:color="auto" w:fill="CCCCCC" w:themeFill="text2"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2a</w:t>
            </w:r>
            <w:proofErr w:type="spellEnd"/>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No.</w:t>
            </w:r>
          </w:p>
        </w:tc>
        <w:tc>
          <w:tcPr>
            <w:tcW w:w="970" w:type="dxa"/>
            <w:shd w:val="clear" w:color="auto" w:fill="CCCCCC" w:themeFill="text2" w:themeFillTint="33"/>
            <w:noWrap/>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2a</w:t>
            </w:r>
            <w:proofErr w:type="spellEnd"/>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w:t>
            </w:r>
          </w:p>
        </w:tc>
        <w:tc>
          <w:tcPr>
            <w:tcW w:w="970" w:type="dxa"/>
            <w:shd w:val="clear" w:color="auto" w:fill="CCCCCC" w:themeFill="text2"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2b</w:t>
            </w:r>
            <w:proofErr w:type="spellEnd"/>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No.</w:t>
            </w:r>
          </w:p>
        </w:tc>
        <w:tc>
          <w:tcPr>
            <w:tcW w:w="970" w:type="dxa"/>
            <w:shd w:val="clear" w:color="auto" w:fill="CCCCCC" w:themeFill="text2" w:themeFillTint="33"/>
            <w:vAlign w:val="bottom"/>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2b</w:t>
            </w:r>
            <w:proofErr w:type="spellEnd"/>
          </w:p>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w:t>
            </w:r>
          </w:p>
        </w:tc>
      </w:tr>
      <w:tr w:rsidR="00D95A1A" w:rsidRPr="00D95A1A" w:rsidTr="004B3484">
        <w:trPr>
          <w:trHeight w:val="300"/>
        </w:trPr>
        <w:tc>
          <w:tcPr>
            <w:tcW w:w="4388" w:type="dxa"/>
            <w:vAlign w:val="bottom"/>
          </w:tcPr>
          <w:p w:rsidR="00D95A1A" w:rsidRPr="00D95A1A" w:rsidRDefault="00D95A1A" w:rsidP="00D95A1A">
            <w:pPr>
              <w:spacing w:before="40" w:after="40"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Achieved a final outcome</w:t>
            </w:r>
          </w:p>
        </w:tc>
        <w:tc>
          <w:tcPr>
            <w:tcW w:w="999"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10,833</w:t>
            </w:r>
          </w:p>
        </w:tc>
        <w:tc>
          <w:tcPr>
            <w:tcW w:w="940"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68%</w:t>
            </w:r>
          </w:p>
        </w:tc>
        <w:tc>
          <w:tcPr>
            <w:tcW w:w="970"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13,337</w:t>
            </w:r>
          </w:p>
        </w:tc>
        <w:tc>
          <w:tcPr>
            <w:tcW w:w="970" w:type="dxa"/>
            <w:shd w:val="clear" w:color="auto" w:fill="auto"/>
            <w:noWrap/>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63%</w:t>
            </w:r>
          </w:p>
        </w:tc>
        <w:tc>
          <w:tcPr>
            <w:tcW w:w="970"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12,753</w:t>
            </w:r>
          </w:p>
        </w:tc>
        <w:tc>
          <w:tcPr>
            <w:tcW w:w="970"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54%</w:t>
            </w:r>
          </w:p>
        </w:tc>
      </w:tr>
      <w:tr w:rsidR="00D95A1A" w:rsidRPr="00D95A1A" w:rsidTr="004B3484">
        <w:trPr>
          <w:trHeight w:val="111"/>
        </w:trPr>
        <w:tc>
          <w:tcPr>
            <w:tcW w:w="4388" w:type="dxa"/>
            <w:vAlign w:val="bottom"/>
          </w:tcPr>
          <w:p w:rsidR="00D95A1A" w:rsidRPr="00D95A1A" w:rsidRDefault="00D95A1A" w:rsidP="00D95A1A">
            <w:pPr>
              <w:spacing w:before="40" w:after="40"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Achieved a progressive outcome</w:t>
            </w:r>
          </w:p>
        </w:tc>
        <w:tc>
          <w:tcPr>
            <w:tcW w:w="999"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12,587</w:t>
            </w:r>
          </w:p>
        </w:tc>
        <w:tc>
          <w:tcPr>
            <w:tcW w:w="940"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80%</w:t>
            </w:r>
          </w:p>
        </w:tc>
        <w:tc>
          <w:tcPr>
            <w:tcW w:w="970"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16,242</w:t>
            </w:r>
          </w:p>
        </w:tc>
        <w:tc>
          <w:tcPr>
            <w:tcW w:w="970" w:type="dxa"/>
            <w:shd w:val="clear" w:color="auto" w:fill="auto"/>
            <w:noWrap/>
            <w:vAlign w:val="center"/>
            <w:hideMark/>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77%</w:t>
            </w:r>
          </w:p>
        </w:tc>
        <w:tc>
          <w:tcPr>
            <w:tcW w:w="970"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16,449</w:t>
            </w:r>
          </w:p>
        </w:tc>
        <w:tc>
          <w:tcPr>
            <w:tcW w:w="970" w:type="dxa"/>
            <w:vAlign w:val="center"/>
          </w:tcPr>
          <w:p w:rsidR="00D95A1A" w:rsidRPr="00D95A1A" w:rsidRDefault="00D95A1A" w:rsidP="00D95A1A">
            <w:pPr>
              <w:spacing w:before="40" w:after="40"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70%</w:t>
            </w:r>
          </w:p>
        </w:tc>
      </w:tr>
    </w:tbl>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lang w:eastAsia="en-AU"/>
        </w:rPr>
      </w:pPr>
      <w:r w:rsidRPr="00D95A1A">
        <w:rPr>
          <w:rFonts w:eastAsia="Times New Roman"/>
          <w:lang w:eastAsia="en-AU"/>
        </w:rPr>
        <w:br w:type="page"/>
      </w:r>
    </w:p>
    <w:p w:rsidR="00D95A1A" w:rsidRPr="00D95A1A" w:rsidRDefault="00D95A1A" w:rsidP="00D95A1A">
      <w:pPr>
        <w:keepNext/>
        <w:spacing w:after="200" w:line="240" w:lineRule="auto"/>
        <w:rPr>
          <w:rFonts w:eastAsia="Times New Roman"/>
          <w:b/>
          <w:bCs/>
          <w:color w:val="4F81BD"/>
          <w:sz w:val="18"/>
          <w:szCs w:val="18"/>
          <w:lang w:eastAsia="en-AU"/>
        </w:rPr>
      </w:pPr>
      <w:r w:rsidRPr="00D95A1A">
        <w:rPr>
          <w:rFonts w:eastAsia="Times New Roman"/>
          <w:b/>
          <w:bCs/>
          <w:color w:val="4F81BD"/>
          <w:sz w:val="18"/>
          <w:szCs w:val="18"/>
          <w:lang w:eastAsia="en-AU"/>
        </w:rPr>
        <w:lastRenderedPageBreak/>
        <w:t>Figure 11: % Achieving an outcomes (progressive or final) by characteristic</w:t>
      </w:r>
    </w:p>
    <w:p w:rsidR="00D95A1A" w:rsidRPr="00D95A1A" w:rsidRDefault="00D95A1A" w:rsidP="00D95A1A">
      <w:pPr>
        <w:spacing w:line="240" w:lineRule="auto"/>
        <w:jc w:val="center"/>
        <w:rPr>
          <w:rFonts w:eastAsia="Times New Roman"/>
          <w:lang w:eastAsia="en-AU"/>
        </w:rPr>
      </w:pPr>
      <w:r w:rsidRPr="00D95A1A">
        <w:rPr>
          <w:rFonts w:eastAsia="Times New Roman"/>
          <w:noProof/>
          <w:lang w:eastAsia="en-AU"/>
        </w:rPr>
        <w:drawing>
          <wp:inline distT="0" distB="0" distL="0" distR="0" wp14:anchorId="034A98FA" wp14:editId="5FDB539C">
            <wp:extent cx="5943600" cy="3091815"/>
            <wp:effectExtent l="0" t="0" r="19050" b="13335"/>
            <wp:docPr id="27" name="Chart 27" descr="WA and National percentage achieving an outcome (progressive or final)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95A1A" w:rsidRPr="00D95A1A" w:rsidRDefault="00D95A1A" w:rsidP="00D95A1A">
      <w:pPr>
        <w:keepNext/>
        <w:spacing w:after="200" w:line="240" w:lineRule="auto"/>
        <w:rPr>
          <w:rFonts w:eastAsia="Times New Roman"/>
          <w:b/>
          <w:bCs/>
          <w:color w:val="4F81BD"/>
          <w:sz w:val="18"/>
          <w:szCs w:val="18"/>
          <w:lang w:eastAsia="en-AU"/>
        </w:rPr>
      </w:pPr>
    </w:p>
    <w:p w:rsidR="00D95A1A" w:rsidRPr="00D95A1A" w:rsidRDefault="00D95A1A" w:rsidP="00D95A1A">
      <w:pPr>
        <w:keepNext/>
        <w:spacing w:after="200" w:line="240" w:lineRule="auto"/>
        <w:rPr>
          <w:rFonts w:eastAsia="Times New Roman"/>
          <w:b/>
          <w:bCs/>
          <w:color w:val="4F81BD"/>
          <w:sz w:val="18"/>
          <w:szCs w:val="18"/>
          <w:lang w:eastAsia="en-AU"/>
        </w:rPr>
      </w:pPr>
      <w:r w:rsidRPr="00D95A1A">
        <w:rPr>
          <w:rFonts w:eastAsia="Times New Roman"/>
          <w:b/>
          <w:bCs/>
          <w:color w:val="4F81BD"/>
          <w:sz w:val="18"/>
          <w:szCs w:val="18"/>
          <w:lang w:eastAsia="en-AU"/>
        </w:rPr>
        <w:t xml:space="preserve">Figure 12: % </w:t>
      </w:r>
      <w:proofErr w:type="gramStart"/>
      <w:r w:rsidRPr="00D95A1A">
        <w:rPr>
          <w:rFonts w:eastAsia="Times New Roman"/>
          <w:b/>
          <w:bCs/>
          <w:color w:val="4F81BD"/>
          <w:sz w:val="18"/>
          <w:szCs w:val="18"/>
          <w:lang w:eastAsia="en-AU"/>
        </w:rPr>
        <w:t>Achieving</w:t>
      </w:r>
      <w:proofErr w:type="gramEnd"/>
      <w:r w:rsidRPr="00D95A1A">
        <w:rPr>
          <w:rFonts w:eastAsia="Times New Roman"/>
          <w:b/>
          <w:bCs/>
          <w:color w:val="4F81BD"/>
          <w:sz w:val="18"/>
          <w:szCs w:val="18"/>
          <w:lang w:eastAsia="en-AU"/>
        </w:rPr>
        <w:t xml:space="preserve"> a final outcome by characteristic</w:t>
      </w:r>
    </w:p>
    <w:p w:rsidR="00D95A1A" w:rsidRPr="00D95A1A" w:rsidRDefault="00D95A1A" w:rsidP="00D95A1A">
      <w:pPr>
        <w:spacing w:line="240" w:lineRule="auto"/>
        <w:ind w:right="-567"/>
        <w:rPr>
          <w:rFonts w:eastAsia="Times New Roman"/>
          <w:lang w:eastAsia="en-AU"/>
        </w:rPr>
      </w:pPr>
      <w:r w:rsidRPr="00D95A1A">
        <w:rPr>
          <w:rFonts w:eastAsia="Times New Roman"/>
          <w:noProof/>
          <w:lang w:eastAsia="en-AU"/>
        </w:rPr>
        <w:drawing>
          <wp:inline distT="0" distB="0" distL="0" distR="0" wp14:anchorId="7C2368A1" wp14:editId="7571DAFA">
            <wp:extent cx="5949538" cy="3491345"/>
            <wp:effectExtent l="0" t="0" r="13335" b="13970"/>
            <wp:docPr id="28" name="Chart 28" descr="WA and National percentage achieving a final outcome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95A1A" w:rsidRPr="00D95A1A" w:rsidRDefault="00D95A1A" w:rsidP="00D95A1A">
      <w:pPr>
        <w:spacing w:line="240" w:lineRule="auto"/>
        <w:rPr>
          <w:rFonts w:eastAsia="Times New Roman"/>
          <w:lang w:eastAsia="en-AU"/>
        </w:rPr>
      </w:pPr>
      <w:r w:rsidRPr="00D95A1A">
        <w:rPr>
          <w:rFonts w:eastAsia="Times New Roman"/>
          <w:lang w:eastAsia="en-AU"/>
        </w:rPr>
        <w:br w:type="page"/>
      </w:r>
    </w:p>
    <w:p w:rsidR="00D95A1A" w:rsidRPr="00D95A1A" w:rsidRDefault="00D95A1A" w:rsidP="00B508E7">
      <w:pPr>
        <w:pStyle w:val="Heading4"/>
        <w:spacing w:after="120"/>
        <w:rPr>
          <w:rFonts w:eastAsia="Times New Roman"/>
          <w:lang w:eastAsia="en-AU"/>
        </w:rPr>
      </w:pPr>
      <w:r w:rsidRPr="00D95A1A">
        <w:rPr>
          <w:rFonts w:eastAsia="Times New Roman"/>
          <w:lang w:eastAsia="en-AU"/>
        </w:rPr>
        <w:lastRenderedPageBreak/>
        <w:t>Table 15: WA- Participant outcome achievement by characteristic</w:t>
      </w:r>
    </w:p>
    <w:tbl>
      <w:tblPr>
        <w:tblW w:w="10207" w:type="dxa"/>
        <w:tblInd w:w="108" w:type="dxa"/>
        <w:tblLook w:val="04A0" w:firstRow="1" w:lastRow="0" w:firstColumn="1" w:lastColumn="0" w:noHBand="0" w:noVBand="1"/>
      </w:tblPr>
      <w:tblGrid>
        <w:gridCol w:w="2835"/>
        <w:gridCol w:w="1228"/>
        <w:gridCol w:w="1229"/>
        <w:gridCol w:w="1229"/>
        <w:gridCol w:w="1228"/>
        <w:gridCol w:w="1229"/>
        <w:gridCol w:w="1229"/>
      </w:tblGrid>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WA</w:t>
            </w:r>
          </w:p>
        </w:tc>
        <w:tc>
          <w:tcPr>
            <w:tcW w:w="1228"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Achieved an Outcome</w:t>
            </w:r>
          </w:p>
        </w:tc>
        <w:tc>
          <w:tcPr>
            <w:tcW w:w="1229"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Achieved a Final Outcome</w:t>
            </w:r>
          </w:p>
        </w:tc>
        <w:tc>
          <w:tcPr>
            <w:tcW w:w="1229"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CCCCC" w:themeFill="text2" w:themeFillTint="33"/>
            <w:noWrap/>
            <w:vAlign w:val="center"/>
            <w:hideMark/>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Grand Total</w:t>
            </w:r>
          </w:p>
        </w:tc>
        <w:tc>
          <w:tcPr>
            <w:tcW w:w="1229"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of total achieving an outcome</w:t>
            </w:r>
          </w:p>
        </w:tc>
        <w:tc>
          <w:tcPr>
            <w:tcW w:w="1229"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of total achieving a final outcome</w:t>
            </w:r>
          </w:p>
        </w:tc>
      </w:tr>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Culturally and linguistically diverse</w:t>
            </w:r>
          </w:p>
        </w:tc>
        <w:tc>
          <w:tcPr>
            <w:tcW w:w="122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231</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158</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89</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320</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72%</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49%</w:t>
            </w:r>
          </w:p>
        </w:tc>
      </w:tr>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Disability</w:t>
            </w:r>
          </w:p>
        </w:tc>
        <w:tc>
          <w:tcPr>
            <w:tcW w:w="122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121</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94</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151</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80%</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62%</w:t>
            </w:r>
          </w:p>
        </w:tc>
      </w:tr>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Humanitarian Refugee</w:t>
            </w:r>
          </w:p>
        </w:tc>
        <w:tc>
          <w:tcPr>
            <w:tcW w:w="122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50</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41</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64</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78%</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64%</w:t>
            </w:r>
          </w:p>
        </w:tc>
      </w:tr>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Indigenous Australian</w:t>
            </w:r>
          </w:p>
        </w:tc>
        <w:tc>
          <w:tcPr>
            <w:tcW w:w="122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942</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617</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501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1443</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65%</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43%</w:t>
            </w:r>
          </w:p>
        </w:tc>
      </w:tr>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Parent</w:t>
            </w:r>
          </w:p>
        </w:tc>
        <w:tc>
          <w:tcPr>
            <w:tcW w:w="122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69</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46</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111</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62%</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41%</w:t>
            </w:r>
          </w:p>
        </w:tc>
      </w:tr>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Receiving Centrelink Income Support</w:t>
            </w:r>
          </w:p>
        </w:tc>
        <w:tc>
          <w:tcPr>
            <w:tcW w:w="122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857</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592</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431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1288</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67%</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46%</w:t>
            </w:r>
          </w:p>
        </w:tc>
      </w:tr>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Refugee background</w:t>
            </w:r>
          </w:p>
        </w:tc>
        <w:tc>
          <w:tcPr>
            <w:tcW w:w="122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13</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15</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87%</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60%</w:t>
            </w:r>
          </w:p>
        </w:tc>
      </w:tr>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Suspected or diagnosed mental health issue</w:t>
            </w:r>
          </w:p>
        </w:tc>
        <w:tc>
          <w:tcPr>
            <w:tcW w:w="122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820</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655</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224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1044</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79%</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63%</w:t>
            </w:r>
          </w:p>
        </w:tc>
      </w:tr>
      <w:tr w:rsidR="00D95A1A" w:rsidRPr="00D95A1A" w:rsidTr="004B3484">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Young Carer</w:t>
            </w:r>
          </w:p>
        </w:tc>
        <w:tc>
          <w:tcPr>
            <w:tcW w:w="1228"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119</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88</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150</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79%</w:t>
            </w:r>
          </w:p>
        </w:tc>
        <w:tc>
          <w:tcPr>
            <w:tcW w:w="122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59%</w:t>
            </w:r>
          </w:p>
        </w:tc>
      </w:tr>
    </w:tbl>
    <w:p w:rsidR="00D95A1A" w:rsidRPr="00D95A1A" w:rsidRDefault="00D95A1A" w:rsidP="00D95A1A">
      <w:pPr>
        <w:spacing w:line="240" w:lineRule="auto"/>
        <w:ind w:right="-567"/>
        <w:rPr>
          <w:rFonts w:eastAsia="Times New Roman"/>
          <w:lang w:eastAsia="en-AU"/>
        </w:rPr>
      </w:pPr>
    </w:p>
    <w:p w:rsidR="00D95A1A" w:rsidRPr="006804D8" w:rsidRDefault="00D95A1A" w:rsidP="00B508E7">
      <w:pPr>
        <w:pStyle w:val="Heading4"/>
        <w:spacing w:after="120"/>
        <w:rPr>
          <w:rFonts w:eastAsia="Times New Roman"/>
          <w:lang w:eastAsia="en-AU"/>
        </w:rPr>
      </w:pPr>
      <w:r w:rsidRPr="00D95A1A">
        <w:rPr>
          <w:rFonts w:eastAsia="Times New Roman"/>
          <w:lang w:eastAsia="en-AU"/>
        </w:rPr>
        <w:t>Table 16: National- Participant outcom</w:t>
      </w:r>
      <w:r w:rsidR="006804D8">
        <w:rPr>
          <w:rFonts w:eastAsia="Times New Roman"/>
          <w:lang w:eastAsia="en-AU"/>
        </w:rPr>
        <w:t>e achievement by characteristic</w:t>
      </w:r>
    </w:p>
    <w:tbl>
      <w:tblPr>
        <w:tblW w:w="10207" w:type="dxa"/>
        <w:tblInd w:w="108" w:type="dxa"/>
        <w:tblLook w:val="04A0" w:firstRow="1" w:lastRow="0" w:firstColumn="1" w:lastColumn="0" w:noHBand="0" w:noVBand="1"/>
      </w:tblPr>
      <w:tblGrid>
        <w:gridCol w:w="2807"/>
        <w:gridCol w:w="1269"/>
        <w:gridCol w:w="1226"/>
        <w:gridCol w:w="1225"/>
        <w:gridCol w:w="1228"/>
        <w:gridCol w:w="1226"/>
        <w:gridCol w:w="1226"/>
      </w:tblGrid>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National</w:t>
            </w:r>
          </w:p>
        </w:tc>
        <w:tc>
          <w:tcPr>
            <w:tcW w:w="1269"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Achieved an Outcome</w:t>
            </w:r>
          </w:p>
        </w:tc>
        <w:tc>
          <w:tcPr>
            <w:tcW w:w="1226"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Achieved a Final Outcome</w:t>
            </w:r>
          </w:p>
        </w:tc>
        <w:tc>
          <w:tcPr>
            <w:tcW w:w="1225"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CCCCC" w:themeFill="text2" w:themeFillTint="33"/>
            <w:noWrap/>
            <w:vAlign w:val="center"/>
            <w:hideMark/>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Grand Total</w:t>
            </w:r>
          </w:p>
        </w:tc>
        <w:tc>
          <w:tcPr>
            <w:tcW w:w="1226"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of total achieving an outcome</w:t>
            </w:r>
          </w:p>
        </w:tc>
        <w:tc>
          <w:tcPr>
            <w:tcW w:w="1226" w:type="dxa"/>
            <w:tcBorders>
              <w:top w:val="single" w:sz="4" w:space="0" w:color="auto"/>
              <w:left w:val="single" w:sz="4" w:space="0" w:color="auto"/>
              <w:bottom w:val="single" w:sz="4" w:space="0" w:color="auto"/>
              <w:right w:val="single" w:sz="4" w:space="0" w:color="auto"/>
            </w:tcBorders>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of total achieving a final outcome</w:t>
            </w:r>
          </w:p>
        </w:tc>
      </w:tr>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Culturally and linguistically diverse</w:t>
            </w:r>
          </w:p>
        </w:tc>
        <w:tc>
          <w:tcPr>
            <w:tcW w:w="12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3223</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2634</w:t>
            </w:r>
          </w:p>
        </w:tc>
        <w:tc>
          <w:tcPr>
            <w:tcW w:w="122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725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3948</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82%</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67%</w:t>
            </w:r>
          </w:p>
        </w:tc>
      </w:tr>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Disability</w:t>
            </w:r>
          </w:p>
        </w:tc>
        <w:tc>
          <w:tcPr>
            <w:tcW w:w="12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2061</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1586</w:t>
            </w:r>
          </w:p>
        </w:tc>
        <w:tc>
          <w:tcPr>
            <w:tcW w:w="122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502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2563</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80%</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62%</w:t>
            </w:r>
          </w:p>
        </w:tc>
      </w:tr>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Humanitarian Refugee</w:t>
            </w:r>
          </w:p>
        </w:tc>
        <w:tc>
          <w:tcPr>
            <w:tcW w:w="12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764</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622</w:t>
            </w:r>
          </w:p>
        </w:tc>
        <w:tc>
          <w:tcPr>
            <w:tcW w:w="122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892</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86%</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70%</w:t>
            </w:r>
          </w:p>
        </w:tc>
      </w:tr>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Indigenous Australian</w:t>
            </w:r>
          </w:p>
        </w:tc>
        <w:tc>
          <w:tcPr>
            <w:tcW w:w="12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7803</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5436</w:t>
            </w:r>
          </w:p>
        </w:tc>
        <w:tc>
          <w:tcPr>
            <w:tcW w:w="122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3152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10,955</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71%</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50%</w:t>
            </w:r>
          </w:p>
        </w:tc>
      </w:tr>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Parent</w:t>
            </w:r>
          </w:p>
        </w:tc>
        <w:tc>
          <w:tcPr>
            <w:tcW w:w="12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898</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583</w:t>
            </w:r>
          </w:p>
        </w:tc>
        <w:tc>
          <w:tcPr>
            <w:tcW w:w="122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347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1245</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72%</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47%</w:t>
            </w:r>
          </w:p>
        </w:tc>
      </w:tr>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Receiving Centrelink Income Support</w:t>
            </w:r>
          </w:p>
        </w:tc>
        <w:tc>
          <w:tcPr>
            <w:tcW w:w="12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12,884</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9197</w:t>
            </w:r>
          </w:p>
        </w:tc>
        <w:tc>
          <w:tcPr>
            <w:tcW w:w="122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5525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18,409</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70%</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50%</w:t>
            </w:r>
          </w:p>
        </w:tc>
      </w:tr>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Refugee background</w:t>
            </w:r>
          </w:p>
        </w:tc>
        <w:tc>
          <w:tcPr>
            <w:tcW w:w="12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296</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212</w:t>
            </w:r>
          </w:p>
        </w:tc>
        <w:tc>
          <w:tcPr>
            <w:tcW w:w="122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354</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84%</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60%</w:t>
            </w:r>
          </w:p>
        </w:tc>
      </w:tr>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Suspected or diagnosed mental health issue</w:t>
            </w:r>
          </w:p>
        </w:tc>
        <w:tc>
          <w:tcPr>
            <w:tcW w:w="12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9949</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7521</w:t>
            </w:r>
          </w:p>
        </w:tc>
        <w:tc>
          <w:tcPr>
            <w:tcW w:w="122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2763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12,712</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78%</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59%</w:t>
            </w:r>
          </w:p>
        </w:tc>
      </w:tr>
      <w:tr w:rsidR="00D95A1A" w:rsidRPr="00D95A1A" w:rsidTr="004B3484">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Young Carer</w:t>
            </w:r>
          </w:p>
        </w:tc>
        <w:tc>
          <w:tcPr>
            <w:tcW w:w="1269"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957</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733</w:t>
            </w:r>
          </w:p>
        </w:tc>
        <w:tc>
          <w:tcPr>
            <w:tcW w:w="1225"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275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1232</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78%</w:t>
            </w:r>
          </w:p>
        </w:tc>
        <w:tc>
          <w:tcPr>
            <w:tcW w:w="1226" w:type="dxa"/>
            <w:tcBorders>
              <w:top w:val="single" w:sz="4" w:space="0" w:color="auto"/>
              <w:left w:val="single" w:sz="4" w:space="0" w:color="auto"/>
              <w:bottom w:val="single" w:sz="4" w:space="0" w:color="auto"/>
              <w:right w:val="single" w:sz="4" w:space="0" w:color="auto"/>
            </w:tcBorders>
            <w:vAlign w:val="bottom"/>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59%</w:t>
            </w:r>
          </w:p>
        </w:tc>
      </w:tr>
    </w:tbl>
    <w:p w:rsidR="00D95A1A" w:rsidRPr="00D95A1A" w:rsidRDefault="00D95A1A" w:rsidP="00D95A1A">
      <w:pPr>
        <w:spacing w:line="240" w:lineRule="auto"/>
        <w:ind w:right="-567"/>
        <w:rPr>
          <w:rFonts w:eastAsia="Times New Roman"/>
          <w:lang w:eastAsia="en-AU"/>
        </w:rPr>
        <w:sectPr w:rsidR="00D95A1A" w:rsidRPr="00D95A1A" w:rsidSect="004B3484">
          <w:pgSz w:w="11906" w:h="16838"/>
          <w:pgMar w:top="1276" w:right="1077" w:bottom="1276" w:left="1077" w:header="709" w:footer="709" w:gutter="0"/>
          <w:cols w:space="708"/>
          <w:docGrid w:linePitch="360"/>
        </w:sectPr>
      </w:pPr>
    </w:p>
    <w:p w:rsidR="00D95A1A" w:rsidRPr="00D95A1A" w:rsidRDefault="00D95A1A" w:rsidP="00D95A1A">
      <w:pPr>
        <w:spacing w:line="240" w:lineRule="auto"/>
        <w:ind w:right="-567"/>
        <w:rPr>
          <w:rFonts w:eastAsia="Times New Roman"/>
          <w:b/>
          <w:bCs/>
          <w:color w:val="4F81BD"/>
          <w:sz w:val="18"/>
          <w:szCs w:val="18"/>
          <w:lang w:eastAsia="en-AU"/>
        </w:rPr>
      </w:pPr>
      <w:r w:rsidRPr="00D95A1A">
        <w:rPr>
          <w:rFonts w:eastAsia="Times New Roman"/>
          <w:b/>
          <w:bCs/>
          <w:color w:val="4F81BD"/>
          <w:sz w:val="18"/>
          <w:szCs w:val="18"/>
          <w:lang w:eastAsia="en-AU"/>
        </w:rPr>
        <w:lastRenderedPageBreak/>
        <w:t>Figure 13: WA – Final outcomes achieved</w:t>
      </w:r>
    </w:p>
    <w:p w:rsidR="00D95A1A" w:rsidRPr="00D95A1A" w:rsidRDefault="00D95A1A" w:rsidP="00D95A1A">
      <w:pPr>
        <w:spacing w:line="240" w:lineRule="auto"/>
        <w:ind w:right="-567"/>
        <w:rPr>
          <w:rFonts w:eastAsia="Times New Roman"/>
          <w:lang w:eastAsia="en-AU"/>
        </w:rPr>
      </w:pPr>
    </w:p>
    <w:p w:rsidR="00D95A1A" w:rsidRPr="00D95A1A" w:rsidRDefault="00D95A1A" w:rsidP="00D95A1A">
      <w:pPr>
        <w:spacing w:line="240" w:lineRule="auto"/>
        <w:ind w:right="-567"/>
        <w:rPr>
          <w:rFonts w:eastAsia="Times New Roman"/>
          <w:lang w:eastAsia="en-AU"/>
        </w:rPr>
      </w:pPr>
      <w:r w:rsidRPr="00D95A1A">
        <w:rPr>
          <w:rFonts w:eastAsia="Times New Roman"/>
          <w:noProof/>
          <w:lang w:eastAsia="en-AU"/>
        </w:rPr>
        <w:drawing>
          <wp:inline distT="0" distB="0" distL="0" distR="0" wp14:anchorId="2BEA97A4" wp14:editId="61C83AEE">
            <wp:extent cx="9363075" cy="2409825"/>
            <wp:effectExtent l="0" t="0" r="9525" b="9525"/>
            <wp:docPr id="30" name="Chart 30" descr="WA final outcomes achieved,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508E7" w:rsidRDefault="00B508E7" w:rsidP="00B508E7">
      <w:pPr>
        <w:keepNext/>
        <w:spacing w:line="240" w:lineRule="auto"/>
        <w:rPr>
          <w:rFonts w:eastAsia="Times New Roman"/>
          <w:b/>
          <w:bCs/>
          <w:color w:val="4F81BD"/>
          <w:sz w:val="18"/>
          <w:szCs w:val="18"/>
          <w:lang w:eastAsia="en-AU"/>
        </w:rPr>
      </w:pPr>
    </w:p>
    <w:p w:rsidR="00B508E7" w:rsidRDefault="00B508E7" w:rsidP="00B508E7">
      <w:pPr>
        <w:keepNext/>
        <w:spacing w:line="240" w:lineRule="auto"/>
        <w:rPr>
          <w:rFonts w:eastAsia="Times New Roman"/>
          <w:b/>
          <w:bCs/>
          <w:color w:val="4F81BD"/>
          <w:sz w:val="18"/>
          <w:szCs w:val="18"/>
          <w:lang w:eastAsia="en-AU"/>
        </w:rPr>
      </w:pPr>
      <w:r w:rsidRPr="00D95A1A">
        <w:rPr>
          <w:rFonts w:eastAsia="Times New Roman"/>
          <w:b/>
          <w:bCs/>
          <w:color w:val="4F81BD"/>
          <w:sz w:val="18"/>
          <w:szCs w:val="18"/>
          <w:lang w:eastAsia="en-AU"/>
        </w:rPr>
        <w:t>Figure 14: National – Final outcomes achieved</w:t>
      </w:r>
    </w:p>
    <w:p w:rsidR="00B508E7" w:rsidRDefault="00B508E7" w:rsidP="00B508E7">
      <w:pPr>
        <w:keepNext/>
        <w:spacing w:line="240" w:lineRule="auto"/>
        <w:rPr>
          <w:rFonts w:eastAsia="Times New Roman"/>
          <w:b/>
          <w:bCs/>
          <w:color w:val="4F81BD"/>
          <w:sz w:val="18"/>
          <w:szCs w:val="18"/>
          <w:lang w:eastAsia="en-AU"/>
        </w:rPr>
      </w:pPr>
    </w:p>
    <w:p w:rsidR="00D95A1A" w:rsidRPr="00D95A1A" w:rsidRDefault="00D95A1A" w:rsidP="00B508E7">
      <w:pPr>
        <w:keepNext/>
        <w:spacing w:line="240" w:lineRule="auto"/>
        <w:rPr>
          <w:rFonts w:eastAsia="Times New Roman"/>
          <w:b/>
          <w:bCs/>
          <w:color w:val="4F81BD"/>
          <w:sz w:val="18"/>
          <w:szCs w:val="18"/>
          <w:lang w:eastAsia="en-AU"/>
        </w:rPr>
      </w:pPr>
      <w:r w:rsidRPr="00D95A1A">
        <w:rPr>
          <w:rFonts w:eastAsia="Times New Roman"/>
          <w:b/>
          <w:bCs/>
          <w:noProof/>
          <w:color w:val="4F81BD"/>
          <w:sz w:val="18"/>
          <w:szCs w:val="18"/>
          <w:lang w:eastAsia="en-AU"/>
        </w:rPr>
        <w:drawing>
          <wp:inline distT="0" distB="0" distL="0" distR="0" wp14:anchorId="598999D2" wp14:editId="0EDEF392">
            <wp:extent cx="9096499" cy="2766951"/>
            <wp:effectExtent l="0" t="0" r="9525" b="14605"/>
            <wp:docPr id="31" name="Chart 31" descr="National Final outcomes achieved, graphic representation of table 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C7A08" w:rsidRDefault="00EC7A08">
      <w:pPr>
        <w:spacing w:line="240" w:lineRule="auto"/>
        <w:rPr>
          <w:rFonts w:eastAsia="Times New Roman"/>
          <w:lang w:eastAsia="en-AU"/>
        </w:rPr>
      </w:pPr>
      <w:r>
        <w:rPr>
          <w:rFonts w:eastAsia="Times New Roman"/>
          <w:lang w:eastAsia="en-AU"/>
        </w:rPr>
        <w:br w:type="page"/>
      </w:r>
    </w:p>
    <w:p w:rsidR="00B508E7" w:rsidRPr="00B508E7" w:rsidRDefault="00D95A1A" w:rsidP="00B508E7">
      <w:pPr>
        <w:spacing w:after="120" w:line="240" w:lineRule="auto"/>
        <w:ind w:right="-567"/>
        <w:rPr>
          <w:rFonts w:eastAsia="Times New Roman"/>
          <w:b/>
          <w:bCs/>
          <w:color w:val="4F81BD"/>
          <w:sz w:val="18"/>
          <w:szCs w:val="18"/>
          <w:lang w:eastAsia="en-AU"/>
        </w:rPr>
      </w:pPr>
      <w:r w:rsidRPr="00D95A1A">
        <w:rPr>
          <w:rFonts w:eastAsia="Times New Roman"/>
          <w:b/>
          <w:bCs/>
          <w:color w:val="4F81BD"/>
          <w:sz w:val="18"/>
          <w:szCs w:val="18"/>
          <w:lang w:eastAsia="en-AU"/>
        </w:rPr>
        <w:lastRenderedPageBreak/>
        <w:t>Figure 15: WA – Final Outcomes Achieved by Connection Level</w:t>
      </w:r>
    </w:p>
    <w:p w:rsidR="00D95A1A" w:rsidRPr="00D95A1A" w:rsidRDefault="00D95A1A" w:rsidP="00D95A1A">
      <w:pPr>
        <w:tabs>
          <w:tab w:val="left" w:pos="-567"/>
        </w:tabs>
        <w:spacing w:line="240" w:lineRule="auto"/>
        <w:ind w:right="-567"/>
        <w:rPr>
          <w:rFonts w:eastAsia="Times New Roman"/>
          <w:lang w:eastAsia="en-AU"/>
        </w:rPr>
      </w:pPr>
      <w:r w:rsidRPr="00D95A1A">
        <w:rPr>
          <w:rFonts w:eastAsia="Times New Roman"/>
          <w:noProof/>
          <w:lang w:eastAsia="en-AU"/>
        </w:rPr>
        <w:drawing>
          <wp:inline distT="0" distB="0" distL="0" distR="0" wp14:anchorId="1A32D932" wp14:editId="2BC30CA3">
            <wp:extent cx="9229725" cy="2905125"/>
            <wp:effectExtent l="0" t="0" r="9525" b="9525"/>
            <wp:docPr id="33" name="Chart 33" descr="WA final outcomes achieved by connection level,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508E7" w:rsidRDefault="00B508E7" w:rsidP="00D95A1A">
      <w:pPr>
        <w:tabs>
          <w:tab w:val="left" w:pos="-567"/>
        </w:tabs>
        <w:spacing w:line="240" w:lineRule="auto"/>
        <w:ind w:right="-567"/>
        <w:rPr>
          <w:rFonts w:eastAsia="Times New Roman"/>
          <w:b/>
          <w:bCs/>
          <w:color w:val="4F81BD"/>
          <w:sz w:val="18"/>
          <w:szCs w:val="18"/>
          <w:lang w:eastAsia="en-AU"/>
        </w:rPr>
      </w:pPr>
    </w:p>
    <w:p w:rsidR="00B508E7" w:rsidRDefault="00D95A1A" w:rsidP="00B508E7">
      <w:pPr>
        <w:tabs>
          <w:tab w:val="left" w:pos="-567"/>
        </w:tabs>
        <w:spacing w:after="120" w:line="240" w:lineRule="auto"/>
        <w:ind w:right="-567"/>
        <w:rPr>
          <w:rFonts w:eastAsia="Times New Roman"/>
          <w:b/>
          <w:bCs/>
          <w:color w:val="4F81BD"/>
          <w:sz w:val="18"/>
          <w:szCs w:val="18"/>
          <w:lang w:eastAsia="en-AU"/>
        </w:rPr>
      </w:pPr>
      <w:r w:rsidRPr="00D95A1A">
        <w:rPr>
          <w:rFonts w:eastAsia="Times New Roman"/>
          <w:b/>
          <w:bCs/>
          <w:color w:val="4F81BD"/>
          <w:sz w:val="18"/>
          <w:szCs w:val="18"/>
          <w:lang w:eastAsia="en-AU"/>
        </w:rPr>
        <w:t xml:space="preserve">Figure 16: National – Final Outcomes Achieved by Connection Level </w:t>
      </w:r>
    </w:p>
    <w:p w:rsidR="00D95A1A" w:rsidRPr="00D95A1A" w:rsidRDefault="00D95A1A" w:rsidP="00D95A1A">
      <w:pPr>
        <w:tabs>
          <w:tab w:val="left" w:pos="-567"/>
        </w:tabs>
        <w:spacing w:line="240" w:lineRule="auto"/>
        <w:ind w:right="-567"/>
        <w:rPr>
          <w:rFonts w:eastAsia="Times New Roman"/>
          <w:lang w:eastAsia="en-AU"/>
        </w:rPr>
        <w:sectPr w:rsidR="00D95A1A" w:rsidRPr="00D95A1A" w:rsidSect="004B3484">
          <w:pgSz w:w="16838" w:h="11906" w:orient="landscape"/>
          <w:pgMar w:top="851" w:right="1134" w:bottom="851" w:left="1440" w:header="708" w:footer="708" w:gutter="0"/>
          <w:cols w:space="708"/>
          <w:docGrid w:linePitch="360"/>
        </w:sectPr>
      </w:pPr>
      <w:r w:rsidRPr="00D95A1A">
        <w:rPr>
          <w:rFonts w:eastAsia="Times New Roman"/>
          <w:noProof/>
          <w:lang w:eastAsia="en-AU"/>
        </w:rPr>
        <w:drawing>
          <wp:inline distT="0" distB="0" distL="0" distR="0" wp14:anchorId="74C888E7" wp14:editId="4C38EEE4">
            <wp:extent cx="9229725" cy="2752725"/>
            <wp:effectExtent l="0" t="0" r="9525" b="9525"/>
            <wp:docPr id="34" name="Chart 34" descr="National Final outcomes achieved by connection level, graphic representation of table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bl>
      <w:tblPr>
        <w:tblpPr w:leftFromText="180" w:rightFromText="180" w:vertAnchor="page" w:horzAnchor="margin" w:tblpY="1606"/>
        <w:tblW w:w="10206"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D95A1A" w:rsidRPr="00D95A1A" w:rsidTr="004B3484">
        <w:trPr>
          <w:trHeight w:val="674"/>
        </w:trPr>
        <w:tc>
          <w:tcPr>
            <w:tcW w:w="5954" w:type="dxa"/>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lastRenderedPageBreak/>
              <w:t>Final Outcomes Achieved</w:t>
            </w:r>
          </w:p>
        </w:tc>
        <w:tc>
          <w:tcPr>
            <w:tcW w:w="1063" w:type="dxa"/>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Level 1</w:t>
            </w:r>
          </w:p>
        </w:tc>
        <w:tc>
          <w:tcPr>
            <w:tcW w:w="1063" w:type="dxa"/>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2a</w:t>
            </w:r>
            <w:proofErr w:type="spellEnd"/>
          </w:p>
        </w:tc>
        <w:tc>
          <w:tcPr>
            <w:tcW w:w="1063" w:type="dxa"/>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2b</w:t>
            </w:r>
            <w:proofErr w:type="spellEnd"/>
          </w:p>
        </w:tc>
        <w:tc>
          <w:tcPr>
            <w:tcW w:w="1063" w:type="dxa"/>
            <w:shd w:val="clear" w:color="auto" w:fill="CCCCCC" w:themeFill="text2" w:themeFillTint="33"/>
            <w:noWrap/>
            <w:vAlign w:val="center"/>
            <w:hideMark/>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Total</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Attendance: The participant’s attendance at school or education setting improved consistently over the whole school term, or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638</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436</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126</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1162</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Behaviour: The participant’s behaviour at school or educational setting improved consistently over the whole school term, or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1031</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337</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70</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1409</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Educational performance: The participant’s educational performance improved consistently over the whole school term, or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640</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290</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83</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978</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Strengthened engagement: The participant’s engagement was strengthened and they remained engaged in education over the whole school term, or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500</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432</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123</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1024</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Engaged in employment: The participant started employment and has remained in that employment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11</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150</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235</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383</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Re-engaged in education: The participant re-engaged in education and sustained that engagement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87</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363</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487</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907</w:t>
            </w:r>
          </w:p>
        </w:tc>
      </w:tr>
      <w:tr w:rsidR="00D95A1A" w:rsidRPr="00D95A1A" w:rsidTr="004B3484">
        <w:trPr>
          <w:trHeight w:val="300"/>
        </w:trPr>
        <w:tc>
          <w:tcPr>
            <w:tcW w:w="5954" w:type="dxa"/>
            <w:tcBorders>
              <w:bottom w:val="single" w:sz="18"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Commenced in education: The participant commenced in education.</w:t>
            </w:r>
          </w:p>
        </w:tc>
        <w:tc>
          <w:tcPr>
            <w:tcW w:w="1063" w:type="dxa"/>
            <w:tcBorders>
              <w:bottom w:val="single" w:sz="18" w:space="0" w:color="auto"/>
            </w:tcBorders>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13</w:t>
            </w:r>
          </w:p>
        </w:tc>
        <w:tc>
          <w:tcPr>
            <w:tcW w:w="1063" w:type="dxa"/>
            <w:tcBorders>
              <w:bottom w:val="single" w:sz="18" w:space="0" w:color="auto"/>
            </w:tcBorders>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245</w:t>
            </w:r>
          </w:p>
        </w:tc>
        <w:tc>
          <w:tcPr>
            <w:tcW w:w="1063" w:type="dxa"/>
            <w:tcBorders>
              <w:bottom w:val="single" w:sz="18" w:space="0" w:color="auto"/>
            </w:tcBorders>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851</w:t>
            </w:r>
          </w:p>
        </w:tc>
        <w:tc>
          <w:tcPr>
            <w:tcW w:w="1063" w:type="dxa"/>
            <w:tcBorders>
              <w:bottom w:val="single" w:sz="18"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1073</w:t>
            </w:r>
          </w:p>
        </w:tc>
      </w:tr>
    </w:tbl>
    <w:p w:rsidR="00D95A1A" w:rsidRPr="00D95A1A" w:rsidRDefault="00D95A1A" w:rsidP="00B508E7">
      <w:pPr>
        <w:pStyle w:val="Heading4"/>
        <w:spacing w:after="120"/>
        <w:rPr>
          <w:rFonts w:eastAsia="Times New Roman"/>
          <w:lang w:eastAsia="en-AU"/>
        </w:rPr>
      </w:pPr>
      <w:r w:rsidRPr="00D95A1A">
        <w:rPr>
          <w:rFonts w:eastAsia="Times New Roman"/>
          <w:lang w:eastAsia="en-AU"/>
        </w:rPr>
        <w:t>Table 17: WA- Final Outcomes achieved by Connection Level</w:t>
      </w:r>
    </w:p>
    <w:p w:rsidR="00D95A1A" w:rsidRPr="00D95A1A" w:rsidRDefault="00D95A1A" w:rsidP="00D95A1A">
      <w:pPr>
        <w:spacing w:line="240" w:lineRule="auto"/>
        <w:rPr>
          <w:rFonts w:eastAsia="Times New Roman" w:cs="Calibri"/>
          <w:b/>
          <w:bCs/>
          <w:color w:val="000000"/>
          <w:sz w:val="22"/>
          <w:szCs w:val="22"/>
          <w:lang w:eastAsia="en-AU"/>
        </w:rPr>
      </w:pPr>
    </w:p>
    <w:p w:rsidR="00D95A1A" w:rsidRPr="006804D8" w:rsidRDefault="00D95A1A" w:rsidP="00B508E7">
      <w:pPr>
        <w:pStyle w:val="Heading4"/>
        <w:spacing w:after="120"/>
        <w:rPr>
          <w:rFonts w:eastAsia="Times New Roman"/>
          <w:lang w:eastAsia="en-AU"/>
        </w:rPr>
      </w:pPr>
      <w:r w:rsidRPr="00D95A1A">
        <w:rPr>
          <w:rFonts w:eastAsia="Times New Roman"/>
          <w:lang w:eastAsia="en-AU"/>
        </w:rPr>
        <w:t>Table 18: National- Final Outcom</w:t>
      </w:r>
      <w:r w:rsidR="006804D8">
        <w:rPr>
          <w:rFonts w:eastAsia="Times New Roman"/>
          <w:lang w:eastAsia="en-AU"/>
        </w:rPr>
        <w:t>es achieved by Connection Level</w:t>
      </w:r>
    </w:p>
    <w:tbl>
      <w:tblPr>
        <w:tblW w:w="10206" w:type="dxa"/>
        <w:tblInd w:w="108"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D95A1A" w:rsidRPr="00D95A1A" w:rsidTr="004B3484">
        <w:trPr>
          <w:trHeight w:val="674"/>
        </w:trPr>
        <w:tc>
          <w:tcPr>
            <w:tcW w:w="5954" w:type="dxa"/>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Final Outcomes Achieved</w:t>
            </w:r>
          </w:p>
        </w:tc>
        <w:tc>
          <w:tcPr>
            <w:tcW w:w="1063" w:type="dxa"/>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Level 1</w:t>
            </w:r>
          </w:p>
        </w:tc>
        <w:tc>
          <w:tcPr>
            <w:tcW w:w="1063" w:type="dxa"/>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2a</w:t>
            </w:r>
            <w:proofErr w:type="spellEnd"/>
          </w:p>
        </w:tc>
        <w:tc>
          <w:tcPr>
            <w:tcW w:w="1063" w:type="dxa"/>
            <w:shd w:val="clear" w:color="auto" w:fill="CCCCCC" w:themeFill="text2" w:themeFillTint="33"/>
            <w:vAlign w:val="center"/>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 xml:space="preserve">Level </w:t>
            </w:r>
            <w:proofErr w:type="spellStart"/>
            <w:r w:rsidRPr="00D95A1A">
              <w:rPr>
                <w:rFonts w:eastAsia="Times New Roman" w:cs="Calibri"/>
                <w:b/>
                <w:bCs/>
                <w:color w:val="000000"/>
                <w:sz w:val="22"/>
                <w:szCs w:val="22"/>
                <w:lang w:eastAsia="en-AU"/>
              </w:rPr>
              <w:t>2b</w:t>
            </w:r>
            <w:proofErr w:type="spellEnd"/>
          </w:p>
        </w:tc>
        <w:tc>
          <w:tcPr>
            <w:tcW w:w="1063" w:type="dxa"/>
            <w:shd w:val="clear" w:color="auto" w:fill="CCCCCC" w:themeFill="text2" w:themeFillTint="33"/>
            <w:noWrap/>
            <w:vAlign w:val="center"/>
            <w:hideMark/>
          </w:tcPr>
          <w:p w:rsidR="00D95A1A" w:rsidRPr="00D95A1A" w:rsidRDefault="00D95A1A" w:rsidP="00D95A1A">
            <w:pPr>
              <w:spacing w:line="240" w:lineRule="auto"/>
              <w:jc w:val="center"/>
              <w:rPr>
                <w:rFonts w:eastAsia="Times New Roman" w:cs="Calibri"/>
                <w:b/>
                <w:bCs/>
                <w:color w:val="000000"/>
                <w:sz w:val="22"/>
                <w:szCs w:val="22"/>
                <w:lang w:eastAsia="en-AU"/>
              </w:rPr>
            </w:pPr>
            <w:r w:rsidRPr="00D95A1A">
              <w:rPr>
                <w:rFonts w:eastAsia="Times New Roman" w:cs="Calibri"/>
                <w:b/>
                <w:bCs/>
                <w:color w:val="000000"/>
                <w:sz w:val="22"/>
                <w:szCs w:val="22"/>
                <w:lang w:eastAsia="en-AU"/>
              </w:rPr>
              <w:t>Total</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Attendance: The participant’s attendance at school or education setting improved consistently over the whole school term, or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3730</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4412</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611</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8484</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Behaviour: The participant’s behaviour at school or educational setting improved consistently over the whole school term, or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5352</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4123</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392</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9604</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Educational performance: The participant’s educational performance improved consistently over the whole school term, or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4335</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3153</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405</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7648</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Strengthened engagement: The participant’s engagement was strengthened and they remained engaged in education over the whole school term, or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3180</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5817</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687</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9380</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Engaged in employment: The participant started employment and has remained in that employment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54</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1031</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1903</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2888</w:t>
            </w:r>
          </w:p>
        </w:tc>
      </w:tr>
      <w:tr w:rsidR="00D95A1A" w:rsidRPr="00D95A1A" w:rsidTr="004B3484">
        <w:trPr>
          <w:trHeight w:val="300"/>
        </w:trPr>
        <w:tc>
          <w:tcPr>
            <w:tcW w:w="5954" w:type="dxa"/>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Re-engaged in education: The participant re-engaged in education and sustained that engagement for 13 weeks.</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576</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3566</w:t>
            </w:r>
          </w:p>
        </w:tc>
        <w:tc>
          <w:tcPr>
            <w:tcW w:w="1063" w:type="dxa"/>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4298</w:t>
            </w:r>
          </w:p>
        </w:tc>
        <w:tc>
          <w:tcPr>
            <w:tcW w:w="1063" w:type="dxa"/>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8143</w:t>
            </w:r>
          </w:p>
        </w:tc>
      </w:tr>
      <w:tr w:rsidR="00D95A1A" w:rsidRPr="00D95A1A" w:rsidTr="004B3484">
        <w:trPr>
          <w:trHeight w:val="300"/>
        </w:trPr>
        <w:tc>
          <w:tcPr>
            <w:tcW w:w="5954" w:type="dxa"/>
            <w:tcBorders>
              <w:bottom w:val="single" w:sz="18" w:space="0" w:color="auto"/>
            </w:tcBorders>
            <w:vAlign w:val="bottom"/>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Commenced in education: The participant commenced in education.</w:t>
            </w:r>
          </w:p>
        </w:tc>
        <w:tc>
          <w:tcPr>
            <w:tcW w:w="1063" w:type="dxa"/>
            <w:tcBorders>
              <w:bottom w:val="single" w:sz="18" w:space="0" w:color="auto"/>
            </w:tcBorders>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69</w:t>
            </w:r>
          </w:p>
        </w:tc>
        <w:tc>
          <w:tcPr>
            <w:tcW w:w="1063" w:type="dxa"/>
            <w:tcBorders>
              <w:bottom w:val="single" w:sz="18" w:space="0" w:color="auto"/>
            </w:tcBorders>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2201</w:t>
            </w:r>
          </w:p>
        </w:tc>
        <w:tc>
          <w:tcPr>
            <w:tcW w:w="1063" w:type="dxa"/>
            <w:tcBorders>
              <w:bottom w:val="single" w:sz="18" w:space="0" w:color="auto"/>
            </w:tcBorders>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9554</w:t>
            </w:r>
          </w:p>
        </w:tc>
        <w:tc>
          <w:tcPr>
            <w:tcW w:w="1063" w:type="dxa"/>
            <w:tcBorders>
              <w:bottom w:val="single" w:sz="18"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11,460</w:t>
            </w:r>
          </w:p>
        </w:tc>
      </w:tr>
    </w:tbl>
    <w:p w:rsidR="00D95A1A" w:rsidRPr="00D95A1A" w:rsidRDefault="00D95A1A" w:rsidP="00D95A1A">
      <w:pPr>
        <w:spacing w:line="240" w:lineRule="auto"/>
        <w:ind w:right="-567"/>
        <w:rPr>
          <w:rFonts w:eastAsia="Times New Roman"/>
          <w:lang w:eastAsia="en-AU"/>
        </w:rPr>
      </w:pPr>
    </w:p>
    <w:p w:rsidR="00D95A1A" w:rsidRPr="00D95A1A" w:rsidRDefault="00D95A1A" w:rsidP="00D95A1A">
      <w:pPr>
        <w:spacing w:line="240" w:lineRule="auto"/>
        <w:rPr>
          <w:rFonts w:eastAsia="Times New Roman"/>
          <w:lang w:eastAsia="en-AU"/>
        </w:rPr>
      </w:pPr>
      <w:r w:rsidRPr="00D95A1A">
        <w:rPr>
          <w:rFonts w:eastAsia="Times New Roman"/>
          <w:lang w:eastAsia="en-AU"/>
        </w:rPr>
        <w:br w:type="page"/>
      </w:r>
    </w:p>
    <w:p w:rsidR="00D95A1A" w:rsidRPr="00D95A1A" w:rsidRDefault="00D95A1A" w:rsidP="006804D8">
      <w:pPr>
        <w:pStyle w:val="Heading2"/>
        <w:rPr>
          <w:lang w:eastAsia="en-AU"/>
        </w:rPr>
      </w:pPr>
      <w:bookmarkStart w:id="29" w:name="_Toc384044197"/>
      <w:r w:rsidRPr="00D95A1A">
        <w:rPr>
          <w:lang w:eastAsia="en-AU"/>
        </w:rPr>
        <w:lastRenderedPageBreak/>
        <w:t>Indigenous</w:t>
      </w:r>
      <w:bookmarkEnd w:id="29"/>
    </w:p>
    <w:p w:rsidR="00D95A1A" w:rsidRPr="006804D8" w:rsidRDefault="00D95A1A" w:rsidP="006804D8">
      <w:pPr>
        <w:keepNext/>
        <w:spacing w:after="240" w:line="240" w:lineRule="auto"/>
        <w:rPr>
          <w:rFonts w:eastAsia="Times New Roman"/>
          <w:b/>
          <w:bCs/>
          <w:color w:val="4F81BD"/>
          <w:sz w:val="22"/>
          <w:szCs w:val="22"/>
          <w:lang w:eastAsia="en-AU"/>
        </w:rPr>
      </w:pPr>
      <w:r w:rsidRPr="006804D8">
        <w:rPr>
          <w:rFonts w:eastAsia="Times New Roman"/>
          <w:b/>
          <w:bCs/>
          <w:color w:val="4F81BD"/>
          <w:sz w:val="22"/>
          <w:szCs w:val="22"/>
          <w:lang w:eastAsia="en-AU"/>
        </w:rPr>
        <w:t xml:space="preserve">Figure 17: % of total indigenous participants by state </w:t>
      </w:r>
    </w:p>
    <w:p w:rsidR="00D95A1A" w:rsidRPr="00D95A1A" w:rsidRDefault="00D95A1A" w:rsidP="00D95A1A">
      <w:pPr>
        <w:spacing w:line="240" w:lineRule="auto"/>
        <w:rPr>
          <w:rFonts w:eastAsia="Times New Roman"/>
          <w:lang w:eastAsia="en-AU"/>
        </w:rPr>
      </w:pPr>
      <w:r w:rsidRPr="00D95A1A">
        <w:rPr>
          <w:rFonts w:eastAsia="Times New Roman"/>
          <w:noProof/>
          <w:lang w:eastAsia="en-AU"/>
        </w:rPr>
        <w:drawing>
          <wp:inline distT="0" distB="0" distL="0" distR="0" wp14:anchorId="3F318D1A" wp14:editId="6AFEE3FA">
            <wp:extent cx="5943600" cy="2708275"/>
            <wp:effectExtent l="0" t="0" r="19050" b="15875"/>
            <wp:docPr id="35" name="Chart 35" descr="Percentage of total Indigenous Participants by state, as displayed in Table 1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804D8" w:rsidRDefault="006804D8" w:rsidP="00D95A1A">
      <w:pPr>
        <w:spacing w:line="240" w:lineRule="auto"/>
        <w:rPr>
          <w:rFonts w:eastAsia="Times New Roman" w:cs="Calibri"/>
          <w:b/>
          <w:bCs/>
          <w:color w:val="000000"/>
          <w:sz w:val="22"/>
          <w:szCs w:val="22"/>
          <w:lang w:eastAsia="en-AU"/>
        </w:rPr>
      </w:pPr>
    </w:p>
    <w:p w:rsidR="00D95A1A" w:rsidRPr="00D95A1A" w:rsidRDefault="00D95A1A" w:rsidP="00B508E7">
      <w:pPr>
        <w:pStyle w:val="Heading4"/>
        <w:spacing w:after="120"/>
        <w:rPr>
          <w:rFonts w:eastAsia="Times New Roman"/>
          <w:lang w:eastAsia="en-AU"/>
        </w:rPr>
      </w:pPr>
      <w:r w:rsidRPr="00D95A1A">
        <w:rPr>
          <w:rFonts w:eastAsia="Times New Roman"/>
          <w:lang w:eastAsia="en-AU"/>
        </w:rPr>
        <w:t>Table 19: % of Total Indigenous participants by State</w:t>
      </w:r>
    </w:p>
    <w:tbl>
      <w:tblPr>
        <w:tblStyle w:val="TableGrid2"/>
        <w:tblW w:w="0" w:type="auto"/>
        <w:tblLook w:val="04A0" w:firstRow="1" w:lastRow="0" w:firstColumn="1" w:lastColumn="0" w:noHBand="0" w:noVBand="1"/>
        <w:tblCaption w:val="Table 19: % of Total Indigenous participants by State"/>
        <w:tblDescription w:val="Table 19: % of Total Indigenous participants by State"/>
      </w:tblPr>
      <w:tblGrid>
        <w:gridCol w:w="1285"/>
        <w:gridCol w:w="1125"/>
        <w:gridCol w:w="1127"/>
        <w:gridCol w:w="1122"/>
        <w:gridCol w:w="1125"/>
        <w:gridCol w:w="1122"/>
        <w:gridCol w:w="1124"/>
        <w:gridCol w:w="1123"/>
        <w:gridCol w:w="1125"/>
      </w:tblGrid>
      <w:tr w:rsidR="00D95A1A" w:rsidRPr="00D95A1A" w:rsidTr="007D5CF1">
        <w:trPr>
          <w:tblHeader/>
        </w:trPr>
        <w:tc>
          <w:tcPr>
            <w:tcW w:w="1285" w:type="dxa"/>
            <w:shd w:val="clear" w:color="auto" w:fill="F8F8F8" w:themeFill="accent1" w:themeFillTint="33"/>
          </w:tcPr>
          <w:p w:rsidR="00D95A1A" w:rsidRPr="006804D8" w:rsidRDefault="00D95A1A" w:rsidP="00D95A1A">
            <w:pPr>
              <w:spacing w:line="240" w:lineRule="auto"/>
              <w:rPr>
                <w:rFonts w:ascii="Calibri" w:hAnsi="Calibri" w:cs="Calibri"/>
                <w:b/>
                <w:color w:val="000000"/>
                <w:sz w:val="22"/>
                <w:szCs w:val="22"/>
              </w:rPr>
            </w:pPr>
          </w:p>
        </w:tc>
        <w:tc>
          <w:tcPr>
            <w:tcW w:w="1125"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ACT</w:t>
            </w:r>
          </w:p>
        </w:tc>
        <w:tc>
          <w:tcPr>
            <w:tcW w:w="1127"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NSW</w:t>
            </w:r>
          </w:p>
        </w:tc>
        <w:tc>
          <w:tcPr>
            <w:tcW w:w="1122"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NT</w:t>
            </w:r>
          </w:p>
        </w:tc>
        <w:tc>
          <w:tcPr>
            <w:tcW w:w="1125"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QLD</w:t>
            </w:r>
          </w:p>
        </w:tc>
        <w:tc>
          <w:tcPr>
            <w:tcW w:w="1122"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SA</w:t>
            </w:r>
          </w:p>
        </w:tc>
        <w:tc>
          <w:tcPr>
            <w:tcW w:w="1124"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TAS</w:t>
            </w:r>
          </w:p>
        </w:tc>
        <w:tc>
          <w:tcPr>
            <w:tcW w:w="1123"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VIC</w:t>
            </w:r>
          </w:p>
        </w:tc>
        <w:tc>
          <w:tcPr>
            <w:tcW w:w="1125"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WA</w:t>
            </w:r>
          </w:p>
        </w:tc>
      </w:tr>
      <w:tr w:rsidR="00D95A1A" w:rsidRPr="00D95A1A" w:rsidTr="004B3484">
        <w:tc>
          <w:tcPr>
            <w:tcW w:w="1285"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 xml:space="preserve">% of total indigenous </w:t>
            </w:r>
            <w:r w:rsidRPr="006804D8">
              <w:rPr>
                <w:rFonts w:ascii="Calibri" w:hAnsi="Calibri" w:cs="Calibri"/>
                <w:color w:val="000000"/>
                <w:sz w:val="22"/>
                <w:szCs w:val="22"/>
              </w:rPr>
              <w:t>participants</w:t>
            </w:r>
          </w:p>
        </w:tc>
        <w:tc>
          <w:tcPr>
            <w:tcW w:w="1125"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1%</w:t>
            </w:r>
          </w:p>
        </w:tc>
        <w:tc>
          <w:tcPr>
            <w:tcW w:w="1127"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44%</w:t>
            </w:r>
          </w:p>
        </w:tc>
        <w:tc>
          <w:tcPr>
            <w:tcW w:w="1122"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8%</w:t>
            </w:r>
          </w:p>
        </w:tc>
        <w:tc>
          <w:tcPr>
            <w:tcW w:w="1125"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21%</w:t>
            </w:r>
          </w:p>
        </w:tc>
        <w:tc>
          <w:tcPr>
            <w:tcW w:w="1122"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4%</w:t>
            </w:r>
          </w:p>
        </w:tc>
        <w:tc>
          <w:tcPr>
            <w:tcW w:w="1124"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2%</w:t>
            </w:r>
          </w:p>
        </w:tc>
        <w:tc>
          <w:tcPr>
            <w:tcW w:w="1123"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7%</w:t>
            </w:r>
          </w:p>
        </w:tc>
        <w:tc>
          <w:tcPr>
            <w:tcW w:w="1125"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13%</w:t>
            </w:r>
          </w:p>
        </w:tc>
      </w:tr>
    </w:tbl>
    <w:p w:rsidR="00D95A1A" w:rsidRPr="00D95A1A" w:rsidRDefault="00D95A1A" w:rsidP="00D95A1A">
      <w:pPr>
        <w:keepNext/>
        <w:spacing w:after="200" w:line="240" w:lineRule="auto"/>
        <w:rPr>
          <w:rFonts w:eastAsia="Times New Roman"/>
          <w:b/>
          <w:bCs/>
          <w:color w:val="4F81BD"/>
          <w:sz w:val="18"/>
          <w:szCs w:val="18"/>
          <w:lang w:eastAsia="en-AU"/>
        </w:rPr>
      </w:pPr>
    </w:p>
    <w:p w:rsidR="00D95A1A" w:rsidRPr="006804D8" w:rsidRDefault="00D95A1A" w:rsidP="006804D8">
      <w:pPr>
        <w:keepNext/>
        <w:spacing w:after="240" w:line="240" w:lineRule="auto"/>
        <w:rPr>
          <w:rFonts w:eastAsia="Times New Roman"/>
          <w:b/>
          <w:bCs/>
          <w:color w:val="4F81BD"/>
          <w:sz w:val="22"/>
          <w:szCs w:val="22"/>
          <w:lang w:eastAsia="en-AU"/>
        </w:rPr>
      </w:pPr>
      <w:r w:rsidRPr="006804D8">
        <w:rPr>
          <w:rFonts w:eastAsia="Times New Roman"/>
          <w:b/>
          <w:bCs/>
          <w:color w:val="4F81BD"/>
          <w:sz w:val="22"/>
          <w:szCs w:val="22"/>
          <w:lang w:eastAsia="en-AU"/>
        </w:rPr>
        <w:t>Figure 18: % of caseload that is Indigenous in each state</w:t>
      </w:r>
    </w:p>
    <w:p w:rsidR="00D95A1A" w:rsidRPr="00D95A1A" w:rsidRDefault="00D95A1A" w:rsidP="00D95A1A">
      <w:pPr>
        <w:spacing w:line="240" w:lineRule="auto"/>
        <w:rPr>
          <w:rFonts w:eastAsia="Times New Roman"/>
          <w:lang w:eastAsia="en-AU"/>
        </w:rPr>
      </w:pPr>
      <w:r w:rsidRPr="00D95A1A">
        <w:rPr>
          <w:rFonts w:eastAsia="Times New Roman"/>
          <w:noProof/>
          <w:lang w:eastAsia="en-AU"/>
        </w:rPr>
        <w:drawing>
          <wp:inline distT="0" distB="0" distL="0" distR="0" wp14:anchorId="0A588084" wp14:editId="0046FBCF">
            <wp:extent cx="5937662" cy="2351314"/>
            <wp:effectExtent l="0" t="0" r="25400" b="11430"/>
            <wp:docPr id="36" name="Chart 36" descr="Percentage of caseload that is Indigenous in each State&#10; graphic representation of table2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95A1A" w:rsidRPr="00D95A1A" w:rsidRDefault="00D95A1A" w:rsidP="00B508E7">
      <w:pPr>
        <w:pStyle w:val="Heading4"/>
        <w:rPr>
          <w:rFonts w:eastAsia="Times New Roman"/>
          <w:lang w:eastAsia="en-AU"/>
        </w:rPr>
      </w:pPr>
    </w:p>
    <w:p w:rsidR="00D95A1A" w:rsidRPr="00B508E7" w:rsidRDefault="00D95A1A" w:rsidP="00B508E7">
      <w:pPr>
        <w:pStyle w:val="Heading4"/>
        <w:spacing w:after="120"/>
        <w:rPr>
          <w:rFonts w:eastAsia="Times New Roman" w:cs="Calibri"/>
          <w:color w:val="000000"/>
          <w:sz w:val="22"/>
          <w:szCs w:val="22"/>
          <w:lang w:eastAsia="en-AU"/>
        </w:rPr>
      </w:pPr>
      <w:r w:rsidRPr="00D95A1A">
        <w:rPr>
          <w:rFonts w:eastAsia="Times New Roman" w:cs="Calibri"/>
          <w:color w:val="000000"/>
          <w:sz w:val="22"/>
          <w:szCs w:val="22"/>
          <w:lang w:eastAsia="en-AU"/>
        </w:rPr>
        <w:t>Table 20: % of caseload t</w:t>
      </w:r>
      <w:r w:rsidR="00B508E7">
        <w:rPr>
          <w:rFonts w:eastAsia="Times New Roman" w:cs="Calibri"/>
          <w:color w:val="000000"/>
          <w:sz w:val="22"/>
          <w:szCs w:val="22"/>
          <w:lang w:eastAsia="en-AU"/>
        </w:rPr>
        <w:t>hat is Indigenous in each State</w:t>
      </w:r>
    </w:p>
    <w:tbl>
      <w:tblPr>
        <w:tblStyle w:val="TableGrid2"/>
        <w:tblW w:w="0" w:type="auto"/>
        <w:tblLook w:val="04A0" w:firstRow="1" w:lastRow="0" w:firstColumn="1" w:lastColumn="0" w:noHBand="0" w:noVBand="1"/>
        <w:tblCaption w:val="Table 20: % of caseload that is Indigenous in each State"/>
        <w:tblDescription w:val="Table 20: % of caseload that is Indigenous in each State"/>
      </w:tblPr>
      <w:tblGrid>
        <w:gridCol w:w="1285"/>
        <w:gridCol w:w="1003"/>
        <w:gridCol w:w="1024"/>
        <w:gridCol w:w="982"/>
        <w:gridCol w:w="1008"/>
        <w:gridCol w:w="982"/>
        <w:gridCol w:w="999"/>
        <w:gridCol w:w="989"/>
        <w:gridCol w:w="1007"/>
        <w:gridCol w:w="999"/>
      </w:tblGrid>
      <w:tr w:rsidR="00D95A1A" w:rsidRPr="00D95A1A" w:rsidTr="004B3484">
        <w:trPr>
          <w:tblHeader/>
        </w:trPr>
        <w:tc>
          <w:tcPr>
            <w:tcW w:w="1285" w:type="dxa"/>
            <w:shd w:val="clear" w:color="auto" w:fill="F8F8F8" w:themeFill="accent1" w:themeFillTint="33"/>
          </w:tcPr>
          <w:p w:rsidR="00D95A1A" w:rsidRPr="006804D8" w:rsidRDefault="00D95A1A" w:rsidP="00D95A1A">
            <w:pPr>
              <w:spacing w:line="240" w:lineRule="auto"/>
              <w:rPr>
                <w:rFonts w:ascii="Calibri" w:hAnsi="Calibri" w:cs="Calibri"/>
                <w:b/>
                <w:color w:val="000000"/>
                <w:sz w:val="22"/>
                <w:szCs w:val="22"/>
              </w:rPr>
            </w:pPr>
          </w:p>
        </w:tc>
        <w:tc>
          <w:tcPr>
            <w:tcW w:w="1003"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ACT</w:t>
            </w:r>
          </w:p>
        </w:tc>
        <w:tc>
          <w:tcPr>
            <w:tcW w:w="1024"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NSW</w:t>
            </w:r>
          </w:p>
        </w:tc>
        <w:tc>
          <w:tcPr>
            <w:tcW w:w="982"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NT</w:t>
            </w:r>
          </w:p>
        </w:tc>
        <w:tc>
          <w:tcPr>
            <w:tcW w:w="1008"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QLD</w:t>
            </w:r>
          </w:p>
        </w:tc>
        <w:tc>
          <w:tcPr>
            <w:tcW w:w="982"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SA</w:t>
            </w:r>
          </w:p>
        </w:tc>
        <w:tc>
          <w:tcPr>
            <w:tcW w:w="999"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TAS</w:t>
            </w:r>
          </w:p>
        </w:tc>
        <w:tc>
          <w:tcPr>
            <w:tcW w:w="989"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VIC</w:t>
            </w:r>
          </w:p>
        </w:tc>
        <w:tc>
          <w:tcPr>
            <w:tcW w:w="1007"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WA</w:t>
            </w:r>
          </w:p>
        </w:tc>
        <w:tc>
          <w:tcPr>
            <w:tcW w:w="999" w:type="dxa"/>
            <w:shd w:val="clear" w:color="auto" w:fill="F8F8F8" w:themeFill="accent1" w:themeFillTint="33"/>
          </w:tcPr>
          <w:p w:rsidR="00D95A1A" w:rsidRPr="006804D8" w:rsidRDefault="00D95A1A" w:rsidP="00D95A1A">
            <w:pPr>
              <w:spacing w:line="240" w:lineRule="auto"/>
              <w:jc w:val="center"/>
              <w:rPr>
                <w:rFonts w:ascii="Calibri" w:hAnsi="Calibri" w:cs="Calibri"/>
                <w:b/>
                <w:color w:val="000000"/>
                <w:sz w:val="22"/>
                <w:szCs w:val="22"/>
              </w:rPr>
            </w:pPr>
            <w:r w:rsidRPr="006804D8">
              <w:rPr>
                <w:rFonts w:ascii="Calibri" w:hAnsi="Calibri" w:cs="Calibri"/>
                <w:b/>
                <w:color w:val="000000"/>
                <w:sz w:val="22"/>
                <w:szCs w:val="22"/>
              </w:rPr>
              <w:t>National</w:t>
            </w:r>
          </w:p>
        </w:tc>
      </w:tr>
      <w:tr w:rsidR="00D95A1A" w:rsidRPr="00D95A1A" w:rsidTr="004B3484">
        <w:tc>
          <w:tcPr>
            <w:tcW w:w="1285" w:type="dxa"/>
          </w:tcPr>
          <w:p w:rsidR="00D95A1A" w:rsidRPr="006804D8" w:rsidRDefault="00D95A1A" w:rsidP="00D95A1A">
            <w:pPr>
              <w:spacing w:line="240" w:lineRule="auto"/>
              <w:rPr>
                <w:rFonts w:ascii="Calibri" w:hAnsi="Calibri" w:cs="Calibri"/>
                <w:sz w:val="22"/>
                <w:szCs w:val="22"/>
              </w:rPr>
            </w:pPr>
            <w:r w:rsidRPr="006804D8">
              <w:rPr>
                <w:rFonts w:ascii="Calibri" w:hAnsi="Calibri" w:cs="Calibri"/>
                <w:sz w:val="22"/>
                <w:szCs w:val="22"/>
              </w:rPr>
              <w:t>% of caseload that is indigenous</w:t>
            </w:r>
          </w:p>
        </w:tc>
        <w:tc>
          <w:tcPr>
            <w:tcW w:w="1003"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11%</w:t>
            </w:r>
          </w:p>
        </w:tc>
        <w:tc>
          <w:tcPr>
            <w:tcW w:w="1024"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23%</w:t>
            </w:r>
          </w:p>
        </w:tc>
        <w:tc>
          <w:tcPr>
            <w:tcW w:w="982"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77%</w:t>
            </w:r>
          </w:p>
        </w:tc>
        <w:tc>
          <w:tcPr>
            <w:tcW w:w="1008"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21%</w:t>
            </w:r>
          </w:p>
        </w:tc>
        <w:tc>
          <w:tcPr>
            <w:tcW w:w="982"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14%</w:t>
            </w:r>
          </w:p>
        </w:tc>
        <w:tc>
          <w:tcPr>
            <w:tcW w:w="999"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12%</w:t>
            </w:r>
          </w:p>
        </w:tc>
        <w:tc>
          <w:tcPr>
            <w:tcW w:w="989"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6%</w:t>
            </w:r>
          </w:p>
        </w:tc>
        <w:tc>
          <w:tcPr>
            <w:tcW w:w="1007"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24%</w:t>
            </w:r>
          </w:p>
        </w:tc>
        <w:tc>
          <w:tcPr>
            <w:tcW w:w="999" w:type="dxa"/>
            <w:vAlign w:val="center"/>
          </w:tcPr>
          <w:p w:rsidR="00D95A1A" w:rsidRPr="006804D8" w:rsidRDefault="00D95A1A" w:rsidP="00D95A1A">
            <w:pPr>
              <w:spacing w:line="240" w:lineRule="auto"/>
              <w:jc w:val="center"/>
              <w:rPr>
                <w:rFonts w:ascii="Calibri" w:hAnsi="Calibri" w:cs="Calibri"/>
                <w:color w:val="000000"/>
                <w:sz w:val="22"/>
                <w:szCs w:val="22"/>
              </w:rPr>
            </w:pPr>
            <w:r w:rsidRPr="006804D8">
              <w:rPr>
                <w:rFonts w:ascii="Calibri" w:hAnsi="Calibri" w:cs="Calibri"/>
                <w:color w:val="000000"/>
                <w:sz w:val="22"/>
                <w:szCs w:val="22"/>
              </w:rPr>
              <w:t>19%</w:t>
            </w:r>
          </w:p>
        </w:tc>
      </w:tr>
    </w:tbl>
    <w:p w:rsidR="00D95A1A" w:rsidRPr="00D95A1A" w:rsidRDefault="00D95A1A" w:rsidP="00B508E7">
      <w:pPr>
        <w:pStyle w:val="Heading4"/>
        <w:spacing w:after="120"/>
        <w:rPr>
          <w:rFonts w:eastAsia="Times New Roman"/>
          <w:lang w:eastAsia="en-AU"/>
        </w:rPr>
      </w:pPr>
      <w:r w:rsidRPr="00D95A1A">
        <w:rPr>
          <w:rFonts w:eastAsia="Times New Roman"/>
          <w:lang w:eastAsia="en-AU"/>
        </w:rPr>
        <w:lastRenderedPageBreak/>
        <w:t>Table 21: Indigenous participants – WA and National</w:t>
      </w:r>
    </w:p>
    <w:tbl>
      <w:tblPr>
        <w:tblW w:w="7880" w:type="dxa"/>
        <w:tblInd w:w="89" w:type="dxa"/>
        <w:tblLook w:val="04A0" w:firstRow="1" w:lastRow="0" w:firstColumn="1" w:lastColumn="0" w:noHBand="0" w:noVBand="1"/>
      </w:tblPr>
      <w:tblGrid>
        <w:gridCol w:w="5264"/>
        <w:gridCol w:w="1276"/>
        <w:gridCol w:w="1340"/>
      </w:tblGrid>
      <w:tr w:rsidR="00D95A1A" w:rsidRPr="00D95A1A" w:rsidTr="004B3484">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rPr>
                <w:rFonts w:eastAsia="Times New Roman" w:cs="Calibri"/>
                <w:b/>
                <w:color w:val="000000"/>
                <w:sz w:val="22"/>
                <w:szCs w:val="22"/>
                <w:lang w:eastAsia="en-AU"/>
              </w:rPr>
            </w:pPr>
            <w:r w:rsidRPr="00D95A1A">
              <w:rPr>
                <w:rFonts w:eastAsia="Times New Roman" w:cs="Calibri"/>
                <w:b/>
                <w:color w:val="000000"/>
                <w:sz w:val="22"/>
                <w:szCs w:val="22"/>
                <w:lang w:eastAsia="en-AU"/>
              </w:rPr>
              <w:t> </w:t>
            </w:r>
          </w:p>
        </w:tc>
        <w:tc>
          <w:tcPr>
            <w:tcW w:w="1276"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WA</w:t>
            </w:r>
          </w:p>
        </w:tc>
        <w:tc>
          <w:tcPr>
            <w:tcW w:w="1340"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National</w:t>
            </w:r>
          </w:p>
        </w:tc>
      </w:tr>
      <w:tr w:rsidR="00D95A1A" w:rsidRPr="00D95A1A" w:rsidTr="004B3484">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Indigenous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1443</w:t>
            </w:r>
          </w:p>
        </w:tc>
        <w:tc>
          <w:tcPr>
            <w:tcW w:w="1340"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10,955</w:t>
            </w:r>
          </w:p>
        </w:tc>
      </w:tr>
      <w:tr w:rsidR="00D95A1A" w:rsidRPr="00D95A1A" w:rsidTr="004B3484">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6095</w:t>
            </w:r>
          </w:p>
        </w:tc>
        <w:tc>
          <w:tcPr>
            <w:tcW w:w="1340"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bCs/>
                <w:color w:val="000000"/>
                <w:sz w:val="22"/>
                <w:szCs w:val="22"/>
                <w:lang w:eastAsia="en-AU"/>
              </w:rPr>
            </w:pPr>
            <w:r w:rsidRPr="00D95A1A">
              <w:rPr>
                <w:rFonts w:eastAsia="Times New Roman" w:cs="Calibri"/>
                <w:bCs/>
                <w:color w:val="000000"/>
                <w:sz w:val="22"/>
                <w:szCs w:val="22"/>
                <w:lang w:eastAsia="en-AU"/>
              </w:rPr>
              <w:t>58,408</w:t>
            </w:r>
          </w:p>
        </w:tc>
      </w:tr>
      <w:tr w:rsidR="00D95A1A" w:rsidRPr="00D95A1A" w:rsidTr="004B3484">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 Indigenous</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24%</w:t>
            </w:r>
          </w:p>
        </w:tc>
        <w:tc>
          <w:tcPr>
            <w:tcW w:w="1340"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19%</w:t>
            </w:r>
          </w:p>
        </w:tc>
      </w:tr>
    </w:tbl>
    <w:p w:rsidR="00D95A1A" w:rsidRPr="00D95A1A" w:rsidRDefault="00D95A1A" w:rsidP="00D95A1A">
      <w:pPr>
        <w:spacing w:line="240" w:lineRule="auto"/>
        <w:rPr>
          <w:rFonts w:eastAsia="Times New Roman"/>
          <w:lang w:eastAsia="en-AU"/>
        </w:rPr>
      </w:pPr>
    </w:p>
    <w:p w:rsidR="00D95A1A" w:rsidRPr="00D95A1A" w:rsidRDefault="00D95A1A" w:rsidP="00B508E7">
      <w:pPr>
        <w:pStyle w:val="Heading4"/>
        <w:spacing w:after="120"/>
        <w:rPr>
          <w:rFonts w:eastAsia="Times New Roman"/>
          <w:lang w:eastAsia="en-AU"/>
        </w:rPr>
      </w:pPr>
      <w:r w:rsidRPr="00D95A1A">
        <w:rPr>
          <w:rFonts w:eastAsia="Times New Roman"/>
          <w:lang w:eastAsia="en-AU"/>
        </w:rPr>
        <w:t>Table 22: WA and National- Indigenous participant outcomes achievement</w:t>
      </w:r>
    </w:p>
    <w:tbl>
      <w:tblPr>
        <w:tblW w:w="10084" w:type="dxa"/>
        <w:tblInd w:w="89" w:type="dxa"/>
        <w:tblLayout w:type="fixed"/>
        <w:tblLook w:val="04A0" w:firstRow="1" w:lastRow="0" w:firstColumn="1" w:lastColumn="0" w:noHBand="0" w:noVBand="1"/>
      </w:tblPr>
      <w:tblGrid>
        <w:gridCol w:w="4981"/>
        <w:gridCol w:w="1417"/>
        <w:gridCol w:w="1134"/>
        <w:gridCol w:w="1276"/>
        <w:gridCol w:w="1276"/>
      </w:tblGrid>
      <w:tr w:rsidR="00D95A1A" w:rsidRPr="00D95A1A" w:rsidTr="004B3484">
        <w:trPr>
          <w:trHeight w:val="300"/>
          <w:tblHeader/>
        </w:trPr>
        <w:tc>
          <w:tcPr>
            <w:tcW w:w="4981" w:type="dxa"/>
            <w:tcBorders>
              <w:top w:val="single" w:sz="4" w:space="0" w:color="auto"/>
              <w:left w:val="single" w:sz="4" w:space="0" w:color="auto"/>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rPr>
                <w:rFonts w:eastAsia="Times New Roman" w:cs="Calibri"/>
                <w:b/>
                <w:color w:val="000000"/>
                <w:sz w:val="22"/>
                <w:szCs w:val="22"/>
                <w:lang w:eastAsia="en-AU"/>
              </w:rPr>
            </w:pPr>
            <w:r w:rsidRPr="00D95A1A">
              <w:rPr>
                <w:rFonts w:eastAsia="Times New Roman" w:cs="Calibri"/>
                <w:b/>
                <w:color w:val="000000"/>
                <w:sz w:val="22"/>
                <w:szCs w:val="22"/>
                <w:lang w:eastAsia="en-AU"/>
              </w:rPr>
              <w:t> </w:t>
            </w:r>
          </w:p>
        </w:tc>
        <w:tc>
          <w:tcPr>
            <w:tcW w:w="1417"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WA</w:t>
            </w:r>
          </w:p>
        </w:tc>
        <w:tc>
          <w:tcPr>
            <w:tcW w:w="1134" w:type="dxa"/>
            <w:tcBorders>
              <w:top w:val="single" w:sz="4" w:space="0" w:color="auto"/>
              <w:left w:val="nil"/>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WA %</w:t>
            </w:r>
          </w:p>
        </w:tc>
        <w:tc>
          <w:tcPr>
            <w:tcW w:w="1276"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National</w:t>
            </w:r>
          </w:p>
        </w:tc>
        <w:tc>
          <w:tcPr>
            <w:tcW w:w="1276" w:type="dxa"/>
            <w:tcBorders>
              <w:top w:val="single" w:sz="4" w:space="0" w:color="auto"/>
              <w:left w:val="nil"/>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National %</w:t>
            </w:r>
          </w:p>
        </w:tc>
      </w:tr>
      <w:tr w:rsidR="00D95A1A" w:rsidRPr="00D95A1A" w:rsidTr="004B3484">
        <w:trPr>
          <w:trHeight w:val="368"/>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 xml:space="preserve">Indigenous young people enrolled in individual support services </w:t>
            </w:r>
          </w:p>
        </w:tc>
        <w:tc>
          <w:tcPr>
            <w:tcW w:w="1417"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1443</w:t>
            </w:r>
          </w:p>
        </w:tc>
        <w:tc>
          <w:tcPr>
            <w:tcW w:w="1134"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10,955</w:t>
            </w:r>
          </w:p>
        </w:tc>
        <w:tc>
          <w:tcPr>
            <w:tcW w:w="1276"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w:t>
            </w:r>
          </w:p>
        </w:tc>
      </w:tr>
      <w:tr w:rsidR="00D95A1A" w:rsidRPr="00D95A1A" w:rsidTr="004B3484">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Indigenous young people who have achieved a progressive outcome</w:t>
            </w:r>
          </w:p>
        </w:tc>
        <w:tc>
          <w:tcPr>
            <w:tcW w:w="1417"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884</w:t>
            </w:r>
          </w:p>
        </w:tc>
        <w:tc>
          <w:tcPr>
            <w:tcW w:w="1134"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61%</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bCs/>
                <w:color w:val="000000"/>
                <w:sz w:val="22"/>
                <w:szCs w:val="22"/>
                <w:lang w:eastAsia="en-AU"/>
              </w:rPr>
              <w:t>7434</w:t>
            </w:r>
          </w:p>
        </w:tc>
        <w:tc>
          <w:tcPr>
            <w:tcW w:w="1276"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68%</w:t>
            </w:r>
          </w:p>
        </w:tc>
      </w:tr>
      <w:tr w:rsidR="00D95A1A" w:rsidRPr="00D95A1A" w:rsidTr="004B3484">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Indigenous young people who have achieved a final outcome</w:t>
            </w:r>
          </w:p>
        </w:tc>
        <w:tc>
          <w:tcPr>
            <w:tcW w:w="1417"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617</w:t>
            </w:r>
          </w:p>
        </w:tc>
        <w:tc>
          <w:tcPr>
            <w:tcW w:w="1134"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43%</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bCs/>
                <w:color w:val="000000"/>
                <w:sz w:val="22"/>
                <w:szCs w:val="22"/>
                <w:lang w:eastAsia="en-AU"/>
              </w:rPr>
              <w:t>5436</w:t>
            </w:r>
          </w:p>
        </w:tc>
        <w:tc>
          <w:tcPr>
            <w:tcW w:w="1276"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50%</w:t>
            </w:r>
          </w:p>
        </w:tc>
      </w:tr>
    </w:tbl>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lang w:eastAsia="en-AU"/>
        </w:rPr>
      </w:pPr>
      <w:r w:rsidRPr="00D95A1A">
        <w:rPr>
          <w:rFonts w:eastAsia="Times New Roman"/>
          <w:lang w:eastAsia="en-AU"/>
        </w:rPr>
        <w:br w:type="page"/>
      </w:r>
    </w:p>
    <w:p w:rsidR="00D95A1A" w:rsidRPr="00D95A1A" w:rsidRDefault="00D95A1A" w:rsidP="00B508E7">
      <w:pPr>
        <w:pStyle w:val="Heading2"/>
        <w:rPr>
          <w:lang w:eastAsia="en-AU"/>
        </w:rPr>
      </w:pPr>
      <w:bookmarkStart w:id="30" w:name="_Toc384044198"/>
      <w:r w:rsidRPr="00D95A1A">
        <w:rPr>
          <w:lang w:eastAsia="en-AU"/>
        </w:rPr>
        <w:lastRenderedPageBreak/>
        <w:t>Humanitarian Refugee</w:t>
      </w:r>
      <w:bookmarkEnd w:id="30"/>
    </w:p>
    <w:p w:rsidR="00D95A1A" w:rsidRPr="00D95A1A" w:rsidRDefault="00D95A1A" w:rsidP="00D95A1A">
      <w:pPr>
        <w:spacing w:line="240" w:lineRule="auto"/>
        <w:rPr>
          <w:rFonts w:eastAsia="Times New Roman"/>
          <w:b/>
          <w:bCs/>
          <w:color w:val="4F81BD"/>
          <w:sz w:val="18"/>
          <w:szCs w:val="18"/>
          <w:lang w:eastAsia="en-AU"/>
        </w:rPr>
      </w:pPr>
      <w:r w:rsidRPr="00D95A1A">
        <w:rPr>
          <w:rFonts w:eastAsia="Times New Roman"/>
          <w:b/>
          <w:bCs/>
          <w:color w:val="4F81BD"/>
          <w:sz w:val="18"/>
          <w:szCs w:val="18"/>
          <w:lang w:eastAsia="en-AU"/>
        </w:rPr>
        <w:t>Figure 19: % of Total Humanitarian refugee participants by state</w:t>
      </w:r>
    </w:p>
    <w:p w:rsidR="00D95A1A" w:rsidRPr="00D95A1A" w:rsidRDefault="00D95A1A" w:rsidP="00D95A1A">
      <w:pPr>
        <w:spacing w:line="240" w:lineRule="auto"/>
        <w:rPr>
          <w:rFonts w:eastAsia="Times New Roman"/>
          <w:lang w:eastAsia="en-AU"/>
        </w:rPr>
      </w:pPr>
      <w:r w:rsidRPr="00D95A1A">
        <w:rPr>
          <w:rFonts w:eastAsia="Times New Roman"/>
          <w:noProof/>
          <w:lang w:eastAsia="en-AU"/>
        </w:rPr>
        <w:drawing>
          <wp:inline distT="0" distB="0" distL="0" distR="0" wp14:anchorId="54C84B1B" wp14:editId="22F62AF2">
            <wp:extent cx="5961413" cy="2600696"/>
            <wp:effectExtent l="0" t="0" r="20320" b="9525"/>
            <wp:docPr id="37" name="Chart 37" descr="Percentage of total Humanitarian Refugee Participants by state, as shown in Tabl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95A1A" w:rsidRPr="00D95A1A" w:rsidRDefault="00D95A1A" w:rsidP="00D95A1A">
      <w:pPr>
        <w:spacing w:line="240" w:lineRule="auto"/>
        <w:rPr>
          <w:rFonts w:eastAsia="Times New Roman"/>
          <w:lang w:eastAsia="en-AU"/>
        </w:rPr>
      </w:pPr>
    </w:p>
    <w:p w:rsidR="00D95A1A" w:rsidRPr="00D95A1A" w:rsidRDefault="00D95A1A" w:rsidP="00B508E7">
      <w:pPr>
        <w:pStyle w:val="Heading4"/>
        <w:spacing w:after="120"/>
        <w:rPr>
          <w:rFonts w:eastAsia="Times New Roman"/>
          <w:lang w:eastAsia="en-AU"/>
        </w:rPr>
      </w:pPr>
      <w:r w:rsidRPr="00D95A1A">
        <w:rPr>
          <w:rFonts w:eastAsia="Times New Roman"/>
          <w:lang w:eastAsia="en-AU"/>
        </w:rPr>
        <w:t>Table 23: % of Total humanitarian refugee participants by State</w:t>
      </w:r>
    </w:p>
    <w:tbl>
      <w:tblPr>
        <w:tblStyle w:val="TableGrid2"/>
        <w:tblW w:w="0" w:type="auto"/>
        <w:tblLook w:val="04A0" w:firstRow="1" w:lastRow="0" w:firstColumn="1" w:lastColumn="0" w:noHBand="0" w:noVBand="1"/>
        <w:tblCaption w:val="Table 23: % of Total humanitarian refugee participants by State"/>
        <w:tblDescription w:val="Table 23: % of Total humanitarian refugee participants by State"/>
      </w:tblPr>
      <w:tblGrid>
        <w:gridCol w:w="1532"/>
        <w:gridCol w:w="1093"/>
        <w:gridCol w:w="1102"/>
        <w:gridCol w:w="1087"/>
        <w:gridCol w:w="1096"/>
        <w:gridCol w:w="1087"/>
        <w:gridCol w:w="1093"/>
        <w:gridCol w:w="1096"/>
        <w:gridCol w:w="1092"/>
      </w:tblGrid>
      <w:tr w:rsidR="00D95A1A" w:rsidRPr="00D95A1A" w:rsidTr="004B3484">
        <w:trPr>
          <w:tblHeader/>
        </w:trPr>
        <w:tc>
          <w:tcPr>
            <w:tcW w:w="1532" w:type="dxa"/>
            <w:shd w:val="clear" w:color="auto" w:fill="F8F8F8" w:themeFill="accent1" w:themeFillTint="33"/>
          </w:tcPr>
          <w:p w:rsidR="00D95A1A" w:rsidRPr="00B508E7" w:rsidRDefault="00D95A1A" w:rsidP="00D95A1A">
            <w:pPr>
              <w:spacing w:line="240" w:lineRule="auto"/>
              <w:rPr>
                <w:rFonts w:ascii="Calibri" w:hAnsi="Calibri" w:cs="Calibri"/>
                <w:b/>
                <w:color w:val="000000"/>
                <w:sz w:val="22"/>
                <w:szCs w:val="22"/>
              </w:rPr>
            </w:pPr>
          </w:p>
        </w:tc>
        <w:tc>
          <w:tcPr>
            <w:tcW w:w="1093" w:type="dxa"/>
            <w:shd w:val="clear" w:color="auto" w:fill="F8F8F8" w:themeFill="accent1" w:themeFillTint="33"/>
          </w:tcPr>
          <w:p w:rsidR="00D95A1A" w:rsidRPr="00B508E7" w:rsidRDefault="00D95A1A" w:rsidP="00D95A1A">
            <w:pPr>
              <w:spacing w:line="240" w:lineRule="auto"/>
              <w:jc w:val="center"/>
              <w:rPr>
                <w:rFonts w:ascii="Calibri" w:hAnsi="Calibri" w:cs="Calibri"/>
                <w:b/>
                <w:color w:val="000000"/>
                <w:sz w:val="22"/>
                <w:szCs w:val="22"/>
              </w:rPr>
            </w:pPr>
            <w:r w:rsidRPr="00B508E7">
              <w:rPr>
                <w:rFonts w:ascii="Calibri" w:hAnsi="Calibri" w:cs="Calibri"/>
                <w:b/>
                <w:color w:val="000000"/>
                <w:sz w:val="22"/>
                <w:szCs w:val="22"/>
              </w:rPr>
              <w:t>ACT</w:t>
            </w:r>
          </w:p>
        </w:tc>
        <w:tc>
          <w:tcPr>
            <w:tcW w:w="1102" w:type="dxa"/>
            <w:shd w:val="clear" w:color="auto" w:fill="F8F8F8" w:themeFill="accent1" w:themeFillTint="33"/>
          </w:tcPr>
          <w:p w:rsidR="00D95A1A" w:rsidRPr="00B508E7" w:rsidRDefault="00D95A1A" w:rsidP="00D95A1A">
            <w:pPr>
              <w:spacing w:line="240" w:lineRule="auto"/>
              <w:jc w:val="center"/>
              <w:rPr>
                <w:rFonts w:ascii="Calibri" w:hAnsi="Calibri" w:cs="Calibri"/>
                <w:b/>
                <w:color w:val="000000"/>
                <w:sz w:val="22"/>
                <w:szCs w:val="22"/>
              </w:rPr>
            </w:pPr>
            <w:r w:rsidRPr="00B508E7">
              <w:rPr>
                <w:rFonts w:ascii="Calibri" w:hAnsi="Calibri" w:cs="Calibri"/>
                <w:b/>
                <w:color w:val="000000"/>
                <w:sz w:val="22"/>
                <w:szCs w:val="22"/>
              </w:rPr>
              <w:t>NSW</w:t>
            </w:r>
          </w:p>
        </w:tc>
        <w:tc>
          <w:tcPr>
            <w:tcW w:w="1087" w:type="dxa"/>
            <w:shd w:val="clear" w:color="auto" w:fill="F8F8F8" w:themeFill="accent1" w:themeFillTint="33"/>
          </w:tcPr>
          <w:p w:rsidR="00D95A1A" w:rsidRPr="00B508E7" w:rsidRDefault="00D95A1A" w:rsidP="00D95A1A">
            <w:pPr>
              <w:spacing w:line="240" w:lineRule="auto"/>
              <w:jc w:val="center"/>
              <w:rPr>
                <w:rFonts w:ascii="Calibri" w:hAnsi="Calibri" w:cs="Calibri"/>
                <w:b/>
                <w:color w:val="000000"/>
                <w:sz w:val="22"/>
                <w:szCs w:val="22"/>
              </w:rPr>
            </w:pPr>
            <w:r w:rsidRPr="00B508E7">
              <w:rPr>
                <w:rFonts w:ascii="Calibri" w:hAnsi="Calibri" w:cs="Calibri"/>
                <w:b/>
                <w:color w:val="000000"/>
                <w:sz w:val="22"/>
                <w:szCs w:val="22"/>
              </w:rPr>
              <w:t>NT</w:t>
            </w:r>
          </w:p>
        </w:tc>
        <w:tc>
          <w:tcPr>
            <w:tcW w:w="1096" w:type="dxa"/>
            <w:shd w:val="clear" w:color="auto" w:fill="F8F8F8" w:themeFill="accent1" w:themeFillTint="33"/>
          </w:tcPr>
          <w:p w:rsidR="00D95A1A" w:rsidRPr="00B508E7" w:rsidRDefault="00D95A1A" w:rsidP="00D95A1A">
            <w:pPr>
              <w:spacing w:line="240" w:lineRule="auto"/>
              <w:jc w:val="center"/>
              <w:rPr>
                <w:rFonts w:ascii="Calibri" w:hAnsi="Calibri" w:cs="Calibri"/>
                <w:b/>
                <w:color w:val="000000"/>
                <w:sz w:val="22"/>
                <w:szCs w:val="22"/>
              </w:rPr>
            </w:pPr>
            <w:r w:rsidRPr="00B508E7">
              <w:rPr>
                <w:rFonts w:ascii="Calibri" w:hAnsi="Calibri" w:cs="Calibri"/>
                <w:b/>
                <w:color w:val="000000"/>
                <w:sz w:val="22"/>
                <w:szCs w:val="22"/>
              </w:rPr>
              <w:t>QLD</w:t>
            </w:r>
          </w:p>
        </w:tc>
        <w:tc>
          <w:tcPr>
            <w:tcW w:w="1087" w:type="dxa"/>
            <w:shd w:val="clear" w:color="auto" w:fill="F8F8F8" w:themeFill="accent1" w:themeFillTint="33"/>
          </w:tcPr>
          <w:p w:rsidR="00D95A1A" w:rsidRPr="00B508E7" w:rsidRDefault="00D95A1A" w:rsidP="00D95A1A">
            <w:pPr>
              <w:spacing w:line="240" w:lineRule="auto"/>
              <w:jc w:val="center"/>
              <w:rPr>
                <w:rFonts w:ascii="Calibri" w:hAnsi="Calibri" w:cs="Calibri"/>
                <w:b/>
                <w:color w:val="000000"/>
                <w:sz w:val="22"/>
                <w:szCs w:val="22"/>
              </w:rPr>
            </w:pPr>
            <w:r w:rsidRPr="00B508E7">
              <w:rPr>
                <w:rFonts w:ascii="Calibri" w:hAnsi="Calibri" w:cs="Calibri"/>
                <w:b/>
                <w:color w:val="000000"/>
                <w:sz w:val="22"/>
                <w:szCs w:val="22"/>
              </w:rPr>
              <w:t>SA</w:t>
            </w:r>
          </w:p>
        </w:tc>
        <w:tc>
          <w:tcPr>
            <w:tcW w:w="1093" w:type="dxa"/>
            <w:shd w:val="clear" w:color="auto" w:fill="F8F8F8" w:themeFill="accent1" w:themeFillTint="33"/>
          </w:tcPr>
          <w:p w:rsidR="00D95A1A" w:rsidRPr="00B508E7" w:rsidRDefault="00D95A1A" w:rsidP="00D95A1A">
            <w:pPr>
              <w:spacing w:line="240" w:lineRule="auto"/>
              <w:jc w:val="center"/>
              <w:rPr>
                <w:rFonts w:ascii="Calibri" w:hAnsi="Calibri" w:cs="Calibri"/>
                <w:b/>
                <w:color w:val="000000"/>
                <w:sz w:val="22"/>
                <w:szCs w:val="22"/>
              </w:rPr>
            </w:pPr>
            <w:r w:rsidRPr="00B508E7">
              <w:rPr>
                <w:rFonts w:ascii="Calibri" w:hAnsi="Calibri" w:cs="Calibri"/>
                <w:b/>
                <w:color w:val="000000"/>
                <w:sz w:val="22"/>
                <w:szCs w:val="22"/>
              </w:rPr>
              <w:t>TAS</w:t>
            </w:r>
          </w:p>
        </w:tc>
        <w:tc>
          <w:tcPr>
            <w:tcW w:w="1096" w:type="dxa"/>
            <w:shd w:val="clear" w:color="auto" w:fill="F8F8F8" w:themeFill="accent1" w:themeFillTint="33"/>
          </w:tcPr>
          <w:p w:rsidR="00D95A1A" w:rsidRPr="00B508E7" w:rsidRDefault="00D95A1A" w:rsidP="00D95A1A">
            <w:pPr>
              <w:spacing w:line="240" w:lineRule="auto"/>
              <w:jc w:val="center"/>
              <w:rPr>
                <w:rFonts w:ascii="Calibri" w:hAnsi="Calibri" w:cs="Calibri"/>
                <w:b/>
                <w:color w:val="000000"/>
                <w:sz w:val="22"/>
                <w:szCs w:val="22"/>
              </w:rPr>
            </w:pPr>
            <w:r w:rsidRPr="00B508E7">
              <w:rPr>
                <w:rFonts w:ascii="Calibri" w:hAnsi="Calibri" w:cs="Calibri"/>
                <w:b/>
                <w:color w:val="000000"/>
                <w:sz w:val="22"/>
                <w:szCs w:val="22"/>
              </w:rPr>
              <w:t>VIC</w:t>
            </w:r>
          </w:p>
        </w:tc>
        <w:tc>
          <w:tcPr>
            <w:tcW w:w="1092" w:type="dxa"/>
            <w:shd w:val="clear" w:color="auto" w:fill="F8F8F8" w:themeFill="accent1" w:themeFillTint="33"/>
          </w:tcPr>
          <w:p w:rsidR="00D95A1A" w:rsidRPr="00B508E7" w:rsidRDefault="00D95A1A" w:rsidP="00D95A1A">
            <w:pPr>
              <w:spacing w:line="240" w:lineRule="auto"/>
              <w:jc w:val="center"/>
              <w:rPr>
                <w:rFonts w:ascii="Calibri" w:hAnsi="Calibri" w:cs="Calibri"/>
                <w:b/>
                <w:color w:val="000000"/>
                <w:sz w:val="22"/>
                <w:szCs w:val="22"/>
              </w:rPr>
            </w:pPr>
            <w:r w:rsidRPr="00B508E7">
              <w:rPr>
                <w:rFonts w:ascii="Calibri" w:hAnsi="Calibri" w:cs="Calibri"/>
                <w:b/>
                <w:color w:val="000000"/>
                <w:sz w:val="22"/>
                <w:szCs w:val="22"/>
              </w:rPr>
              <w:t>WA</w:t>
            </w:r>
          </w:p>
        </w:tc>
      </w:tr>
      <w:tr w:rsidR="00D95A1A" w:rsidRPr="00D95A1A" w:rsidTr="004B3484">
        <w:tc>
          <w:tcPr>
            <w:tcW w:w="1532" w:type="dxa"/>
          </w:tcPr>
          <w:p w:rsidR="00D95A1A" w:rsidRPr="00B508E7" w:rsidRDefault="00D95A1A" w:rsidP="00D95A1A">
            <w:pPr>
              <w:spacing w:line="240" w:lineRule="auto"/>
              <w:rPr>
                <w:rFonts w:ascii="Calibri" w:hAnsi="Calibri" w:cs="Calibri"/>
                <w:sz w:val="22"/>
                <w:szCs w:val="22"/>
              </w:rPr>
            </w:pPr>
            <w:r w:rsidRPr="00B508E7">
              <w:rPr>
                <w:rFonts w:ascii="Calibri" w:hAnsi="Calibri" w:cs="Calibri"/>
                <w:sz w:val="22"/>
                <w:szCs w:val="22"/>
              </w:rPr>
              <w:t xml:space="preserve">% of total humanitarian refugee </w:t>
            </w:r>
            <w:r w:rsidRPr="00B508E7">
              <w:rPr>
                <w:rFonts w:ascii="Calibri" w:hAnsi="Calibri" w:cs="Calibri"/>
                <w:color w:val="000000"/>
                <w:sz w:val="22"/>
                <w:szCs w:val="22"/>
              </w:rPr>
              <w:t>participants</w:t>
            </w:r>
          </w:p>
        </w:tc>
        <w:tc>
          <w:tcPr>
            <w:tcW w:w="1093" w:type="dxa"/>
            <w:vAlign w:val="center"/>
          </w:tcPr>
          <w:p w:rsidR="00D95A1A" w:rsidRPr="00B508E7" w:rsidRDefault="00D95A1A" w:rsidP="00D95A1A">
            <w:pPr>
              <w:spacing w:line="240" w:lineRule="auto"/>
              <w:jc w:val="center"/>
              <w:rPr>
                <w:rFonts w:ascii="Calibri" w:hAnsi="Calibri" w:cs="Calibri"/>
                <w:color w:val="000000"/>
                <w:sz w:val="22"/>
                <w:szCs w:val="22"/>
              </w:rPr>
            </w:pPr>
            <w:r w:rsidRPr="00B508E7">
              <w:rPr>
                <w:rFonts w:ascii="Calibri" w:hAnsi="Calibri" w:cs="Calibri"/>
                <w:color w:val="000000"/>
                <w:sz w:val="22"/>
                <w:szCs w:val="22"/>
              </w:rPr>
              <w:t>4%</w:t>
            </w:r>
          </w:p>
        </w:tc>
        <w:tc>
          <w:tcPr>
            <w:tcW w:w="1102" w:type="dxa"/>
            <w:vAlign w:val="center"/>
          </w:tcPr>
          <w:p w:rsidR="00D95A1A" w:rsidRPr="00B508E7" w:rsidRDefault="00D95A1A" w:rsidP="00D95A1A">
            <w:pPr>
              <w:spacing w:line="240" w:lineRule="auto"/>
              <w:jc w:val="center"/>
              <w:rPr>
                <w:rFonts w:ascii="Calibri" w:hAnsi="Calibri" w:cs="Calibri"/>
                <w:color w:val="000000"/>
                <w:sz w:val="22"/>
                <w:szCs w:val="22"/>
              </w:rPr>
            </w:pPr>
            <w:r w:rsidRPr="00B508E7">
              <w:rPr>
                <w:rFonts w:ascii="Calibri" w:hAnsi="Calibri" w:cs="Calibri"/>
                <w:color w:val="000000"/>
                <w:sz w:val="22"/>
                <w:szCs w:val="22"/>
              </w:rPr>
              <w:t>28%</w:t>
            </w:r>
          </w:p>
        </w:tc>
        <w:tc>
          <w:tcPr>
            <w:tcW w:w="1087" w:type="dxa"/>
            <w:vAlign w:val="center"/>
          </w:tcPr>
          <w:p w:rsidR="00D95A1A" w:rsidRPr="00B508E7" w:rsidRDefault="00D95A1A" w:rsidP="00D95A1A">
            <w:pPr>
              <w:spacing w:line="240" w:lineRule="auto"/>
              <w:jc w:val="center"/>
              <w:rPr>
                <w:rFonts w:ascii="Calibri" w:hAnsi="Calibri" w:cs="Calibri"/>
                <w:color w:val="000000"/>
                <w:sz w:val="22"/>
                <w:szCs w:val="22"/>
              </w:rPr>
            </w:pPr>
            <w:r w:rsidRPr="00B508E7">
              <w:rPr>
                <w:rFonts w:ascii="Calibri" w:hAnsi="Calibri" w:cs="Calibri"/>
                <w:color w:val="000000"/>
                <w:sz w:val="22"/>
                <w:szCs w:val="22"/>
              </w:rPr>
              <w:t>0%</w:t>
            </w:r>
          </w:p>
        </w:tc>
        <w:tc>
          <w:tcPr>
            <w:tcW w:w="1096" w:type="dxa"/>
            <w:vAlign w:val="center"/>
          </w:tcPr>
          <w:p w:rsidR="00D95A1A" w:rsidRPr="00B508E7" w:rsidRDefault="00D95A1A" w:rsidP="00D95A1A">
            <w:pPr>
              <w:spacing w:line="240" w:lineRule="auto"/>
              <w:jc w:val="center"/>
              <w:rPr>
                <w:rFonts w:ascii="Calibri" w:hAnsi="Calibri" w:cs="Calibri"/>
                <w:color w:val="000000"/>
                <w:sz w:val="22"/>
                <w:szCs w:val="22"/>
              </w:rPr>
            </w:pPr>
            <w:r w:rsidRPr="00B508E7">
              <w:rPr>
                <w:rFonts w:ascii="Calibri" w:hAnsi="Calibri" w:cs="Calibri"/>
                <w:color w:val="000000"/>
                <w:sz w:val="22"/>
                <w:szCs w:val="22"/>
              </w:rPr>
              <w:t>9%</w:t>
            </w:r>
          </w:p>
        </w:tc>
        <w:tc>
          <w:tcPr>
            <w:tcW w:w="1087" w:type="dxa"/>
            <w:vAlign w:val="center"/>
          </w:tcPr>
          <w:p w:rsidR="00D95A1A" w:rsidRPr="00B508E7" w:rsidRDefault="00D95A1A" w:rsidP="00D95A1A">
            <w:pPr>
              <w:spacing w:line="240" w:lineRule="auto"/>
              <w:jc w:val="center"/>
              <w:rPr>
                <w:rFonts w:ascii="Calibri" w:hAnsi="Calibri" w:cs="Calibri"/>
                <w:color w:val="000000"/>
                <w:sz w:val="22"/>
                <w:szCs w:val="22"/>
              </w:rPr>
            </w:pPr>
            <w:r w:rsidRPr="00B508E7">
              <w:rPr>
                <w:rFonts w:ascii="Calibri" w:hAnsi="Calibri" w:cs="Calibri"/>
                <w:color w:val="000000"/>
                <w:sz w:val="22"/>
                <w:szCs w:val="22"/>
              </w:rPr>
              <w:t>6%</w:t>
            </w:r>
          </w:p>
        </w:tc>
        <w:tc>
          <w:tcPr>
            <w:tcW w:w="1093" w:type="dxa"/>
            <w:vAlign w:val="center"/>
          </w:tcPr>
          <w:p w:rsidR="00D95A1A" w:rsidRPr="00B508E7" w:rsidRDefault="00D95A1A" w:rsidP="00D95A1A">
            <w:pPr>
              <w:spacing w:line="240" w:lineRule="auto"/>
              <w:jc w:val="center"/>
              <w:rPr>
                <w:rFonts w:ascii="Calibri" w:hAnsi="Calibri" w:cs="Calibri"/>
                <w:color w:val="000000"/>
                <w:sz w:val="22"/>
                <w:szCs w:val="22"/>
              </w:rPr>
            </w:pPr>
            <w:r w:rsidRPr="00B508E7">
              <w:rPr>
                <w:rFonts w:ascii="Calibri" w:hAnsi="Calibri" w:cs="Calibri"/>
                <w:color w:val="000000"/>
                <w:sz w:val="22"/>
                <w:szCs w:val="22"/>
              </w:rPr>
              <w:t>3%</w:t>
            </w:r>
          </w:p>
        </w:tc>
        <w:tc>
          <w:tcPr>
            <w:tcW w:w="1096" w:type="dxa"/>
            <w:vAlign w:val="center"/>
          </w:tcPr>
          <w:p w:rsidR="00D95A1A" w:rsidRPr="00B508E7" w:rsidRDefault="00D95A1A" w:rsidP="00D95A1A">
            <w:pPr>
              <w:spacing w:line="240" w:lineRule="auto"/>
              <w:jc w:val="center"/>
              <w:rPr>
                <w:rFonts w:ascii="Calibri" w:hAnsi="Calibri" w:cs="Calibri"/>
                <w:color w:val="000000"/>
                <w:sz w:val="22"/>
                <w:szCs w:val="22"/>
              </w:rPr>
            </w:pPr>
            <w:r w:rsidRPr="00B508E7">
              <w:rPr>
                <w:rFonts w:ascii="Calibri" w:hAnsi="Calibri" w:cs="Calibri"/>
                <w:color w:val="000000"/>
                <w:sz w:val="22"/>
                <w:szCs w:val="22"/>
              </w:rPr>
              <w:t>43%</w:t>
            </w:r>
          </w:p>
        </w:tc>
        <w:tc>
          <w:tcPr>
            <w:tcW w:w="1092" w:type="dxa"/>
            <w:vAlign w:val="center"/>
          </w:tcPr>
          <w:p w:rsidR="00D95A1A" w:rsidRPr="00B508E7" w:rsidRDefault="00D95A1A" w:rsidP="00D95A1A">
            <w:pPr>
              <w:spacing w:line="240" w:lineRule="auto"/>
              <w:jc w:val="center"/>
              <w:rPr>
                <w:rFonts w:ascii="Calibri" w:hAnsi="Calibri" w:cs="Calibri"/>
                <w:color w:val="000000"/>
                <w:sz w:val="22"/>
                <w:szCs w:val="22"/>
              </w:rPr>
            </w:pPr>
            <w:r w:rsidRPr="00B508E7">
              <w:rPr>
                <w:rFonts w:ascii="Calibri" w:hAnsi="Calibri" w:cs="Calibri"/>
                <w:color w:val="000000"/>
                <w:sz w:val="22"/>
                <w:szCs w:val="22"/>
              </w:rPr>
              <w:t>7%</w:t>
            </w:r>
          </w:p>
        </w:tc>
      </w:tr>
    </w:tbl>
    <w:p w:rsidR="00D95A1A" w:rsidRPr="00D95A1A" w:rsidRDefault="00D95A1A" w:rsidP="00D95A1A">
      <w:pPr>
        <w:spacing w:line="240" w:lineRule="auto"/>
        <w:rPr>
          <w:rFonts w:eastAsia="Times New Roman"/>
          <w:lang w:eastAsia="en-AU"/>
        </w:rPr>
      </w:pPr>
    </w:p>
    <w:p w:rsidR="00D95A1A" w:rsidRPr="00D95A1A" w:rsidRDefault="00D95A1A" w:rsidP="00D95A1A">
      <w:pPr>
        <w:keepNext/>
        <w:spacing w:after="200" w:line="240" w:lineRule="auto"/>
        <w:rPr>
          <w:rFonts w:eastAsia="Times New Roman"/>
          <w:b/>
          <w:bCs/>
          <w:color w:val="4F81BD"/>
          <w:sz w:val="18"/>
          <w:szCs w:val="18"/>
          <w:lang w:eastAsia="en-AU"/>
        </w:rPr>
      </w:pPr>
      <w:r w:rsidRPr="00D95A1A">
        <w:rPr>
          <w:rFonts w:eastAsia="Times New Roman"/>
          <w:b/>
          <w:bCs/>
          <w:color w:val="4F81BD"/>
          <w:sz w:val="18"/>
          <w:szCs w:val="18"/>
          <w:lang w:eastAsia="en-AU"/>
        </w:rPr>
        <w:t>Figure 20: % of caseload that is Humanitarian refugee in each state</w:t>
      </w:r>
    </w:p>
    <w:p w:rsidR="00D95A1A" w:rsidRPr="00D95A1A" w:rsidRDefault="00D95A1A" w:rsidP="00D95A1A">
      <w:pPr>
        <w:spacing w:line="240" w:lineRule="auto"/>
        <w:rPr>
          <w:rFonts w:eastAsia="Times New Roman"/>
          <w:lang w:eastAsia="en-AU"/>
        </w:rPr>
      </w:pPr>
      <w:r w:rsidRPr="00D95A1A">
        <w:rPr>
          <w:rFonts w:eastAsia="Times New Roman"/>
          <w:noProof/>
          <w:lang w:eastAsia="en-AU"/>
        </w:rPr>
        <w:drawing>
          <wp:inline distT="0" distB="0" distL="0" distR="0" wp14:anchorId="53BF2617" wp14:editId="67251DF0">
            <wp:extent cx="5961413" cy="2790701"/>
            <wp:effectExtent l="0" t="0" r="20320" b="10160"/>
            <wp:docPr id="38" name="Chart 38" descr="Percentage of caseload that is Humanitarian Refugee in each State graphic representation of table2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95A1A" w:rsidRPr="00D95A1A" w:rsidRDefault="00D95A1A" w:rsidP="00D95A1A">
      <w:pPr>
        <w:spacing w:line="240" w:lineRule="auto"/>
        <w:rPr>
          <w:rFonts w:eastAsia="Times New Roman"/>
          <w:lang w:eastAsia="en-AU"/>
        </w:rPr>
      </w:pPr>
    </w:p>
    <w:p w:rsidR="00D95A1A" w:rsidRPr="00B508E7" w:rsidRDefault="00D95A1A" w:rsidP="00B508E7">
      <w:pPr>
        <w:pStyle w:val="Heading4"/>
        <w:spacing w:after="120"/>
        <w:rPr>
          <w:rFonts w:eastAsia="Times New Roman"/>
          <w:lang w:eastAsia="en-AU"/>
        </w:rPr>
      </w:pPr>
      <w:r w:rsidRPr="00D95A1A">
        <w:rPr>
          <w:rFonts w:eastAsia="Times New Roman"/>
          <w:lang w:eastAsia="en-AU"/>
        </w:rPr>
        <w:t>Table 24: % of caseload that is humanitarian refugee in each State</w:t>
      </w:r>
    </w:p>
    <w:tbl>
      <w:tblPr>
        <w:tblStyle w:val="TableGrid2"/>
        <w:tblW w:w="0" w:type="auto"/>
        <w:tblLook w:val="04A0" w:firstRow="1" w:lastRow="0" w:firstColumn="1" w:lastColumn="0" w:noHBand="0" w:noVBand="1"/>
        <w:tblCaption w:val="Table 24: % of caseload that is humanitarian refugee in each State"/>
        <w:tblDescription w:val="Table 24: % of caseload that is humanitarian refugee in each State"/>
      </w:tblPr>
      <w:tblGrid>
        <w:gridCol w:w="3369"/>
        <w:gridCol w:w="850"/>
        <w:gridCol w:w="851"/>
        <w:gridCol w:w="708"/>
        <w:gridCol w:w="709"/>
        <w:gridCol w:w="709"/>
        <w:gridCol w:w="709"/>
        <w:gridCol w:w="708"/>
        <w:gridCol w:w="666"/>
        <w:gridCol w:w="999"/>
      </w:tblGrid>
      <w:tr w:rsidR="00D95A1A" w:rsidRPr="00D95A1A" w:rsidTr="004B3484">
        <w:trPr>
          <w:tblHeader/>
        </w:trPr>
        <w:tc>
          <w:tcPr>
            <w:tcW w:w="3369" w:type="dxa"/>
            <w:shd w:val="clear" w:color="auto" w:fill="F8F8F8" w:themeFill="accent1" w:themeFillTint="33"/>
          </w:tcPr>
          <w:p w:rsidR="00D95A1A" w:rsidRPr="00B508E7" w:rsidRDefault="00D95A1A" w:rsidP="00D95A1A">
            <w:pPr>
              <w:spacing w:line="240" w:lineRule="auto"/>
              <w:rPr>
                <w:rFonts w:asciiTheme="majorHAnsi" w:hAnsiTheme="majorHAnsi" w:cstheme="majorHAnsi"/>
                <w:b/>
                <w:color w:val="000000"/>
                <w:sz w:val="22"/>
                <w:szCs w:val="22"/>
              </w:rPr>
            </w:pPr>
          </w:p>
        </w:tc>
        <w:tc>
          <w:tcPr>
            <w:tcW w:w="850" w:type="dxa"/>
            <w:shd w:val="clear" w:color="auto" w:fill="F8F8F8" w:themeFill="accent1" w:themeFillTint="33"/>
          </w:tcPr>
          <w:p w:rsidR="00D95A1A" w:rsidRPr="00B508E7" w:rsidRDefault="00D95A1A" w:rsidP="00D95A1A">
            <w:pPr>
              <w:spacing w:line="240" w:lineRule="auto"/>
              <w:jc w:val="center"/>
              <w:rPr>
                <w:rFonts w:asciiTheme="majorHAnsi" w:hAnsiTheme="majorHAnsi" w:cstheme="majorHAnsi"/>
                <w:b/>
                <w:color w:val="000000"/>
                <w:sz w:val="22"/>
                <w:szCs w:val="22"/>
              </w:rPr>
            </w:pPr>
            <w:r w:rsidRPr="00B508E7">
              <w:rPr>
                <w:rFonts w:asciiTheme="majorHAnsi" w:hAnsiTheme="majorHAnsi" w:cstheme="majorHAnsi"/>
                <w:b/>
                <w:color w:val="000000"/>
                <w:sz w:val="22"/>
                <w:szCs w:val="22"/>
              </w:rPr>
              <w:t>ACT</w:t>
            </w:r>
          </w:p>
        </w:tc>
        <w:tc>
          <w:tcPr>
            <w:tcW w:w="851" w:type="dxa"/>
            <w:shd w:val="clear" w:color="auto" w:fill="F8F8F8" w:themeFill="accent1" w:themeFillTint="33"/>
          </w:tcPr>
          <w:p w:rsidR="00D95A1A" w:rsidRPr="00B508E7" w:rsidRDefault="00D95A1A" w:rsidP="00D95A1A">
            <w:pPr>
              <w:spacing w:line="240" w:lineRule="auto"/>
              <w:jc w:val="center"/>
              <w:rPr>
                <w:rFonts w:asciiTheme="majorHAnsi" w:hAnsiTheme="majorHAnsi" w:cstheme="majorHAnsi"/>
                <w:b/>
                <w:color w:val="000000"/>
                <w:sz w:val="22"/>
                <w:szCs w:val="22"/>
              </w:rPr>
            </w:pPr>
            <w:r w:rsidRPr="00B508E7">
              <w:rPr>
                <w:rFonts w:asciiTheme="majorHAnsi" w:hAnsiTheme="majorHAnsi" w:cstheme="majorHAnsi"/>
                <w:b/>
                <w:color w:val="000000"/>
                <w:sz w:val="22"/>
                <w:szCs w:val="22"/>
              </w:rPr>
              <w:t>NSW</w:t>
            </w:r>
          </w:p>
        </w:tc>
        <w:tc>
          <w:tcPr>
            <w:tcW w:w="708" w:type="dxa"/>
            <w:shd w:val="clear" w:color="auto" w:fill="F8F8F8" w:themeFill="accent1" w:themeFillTint="33"/>
          </w:tcPr>
          <w:p w:rsidR="00D95A1A" w:rsidRPr="00B508E7" w:rsidRDefault="00D95A1A" w:rsidP="00D95A1A">
            <w:pPr>
              <w:spacing w:line="240" w:lineRule="auto"/>
              <w:jc w:val="center"/>
              <w:rPr>
                <w:rFonts w:asciiTheme="majorHAnsi" w:hAnsiTheme="majorHAnsi" w:cstheme="majorHAnsi"/>
                <w:b/>
                <w:color w:val="000000"/>
                <w:sz w:val="22"/>
                <w:szCs w:val="22"/>
              </w:rPr>
            </w:pPr>
            <w:r w:rsidRPr="00B508E7">
              <w:rPr>
                <w:rFonts w:asciiTheme="majorHAnsi" w:hAnsiTheme="majorHAnsi" w:cstheme="majorHAnsi"/>
                <w:b/>
                <w:color w:val="000000"/>
                <w:sz w:val="22"/>
                <w:szCs w:val="22"/>
              </w:rPr>
              <w:t>NT</w:t>
            </w:r>
          </w:p>
        </w:tc>
        <w:tc>
          <w:tcPr>
            <w:tcW w:w="709" w:type="dxa"/>
            <w:shd w:val="clear" w:color="auto" w:fill="F8F8F8" w:themeFill="accent1" w:themeFillTint="33"/>
          </w:tcPr>
          <w:p w:rsidR="00D95A1A" w:rsidRPr="00B508E7" w:rsidRDefault="00D95A1A" w:rsidP="00D95A1A">
            <w:pPr>
              <w:spacing w:line="240" w:lineRule="auto"/>
              <w:jc w:val="center"/>
              <w:rPr>
                <w:rFonts w:asciiTheme="majorHAnsi" w:hAnsiTheme="majorHAnsi" w:cstheme="majorHAnsi"/>
                <w:b/>
                <w:color w:val="000000"/>
                <w:sz w:val="22"/>
                <w:szCs w:val="22"/>
              </w:rPr>
            </w:pPr>
            <w:r w:rsidRPr="00B508E7">
              <w:rPr>
                <w:rFonts w:asciiTheme="majorHAnsi" w:hAnsiTheme="majorHAnsi" w:cstheme="majorHAnsi"/>
                <w:b/>
                <w:color w:val="000000"/>
                <w:sz w:val="22"/>
                <w:szCs w:val="22"/>
              </w:rPr>
              <w:t>QLD</w:t>
            </w:r>
          </w:p>
        </w:tc>
        <w:tc>
          <w:tcPr>
            <w:tcW w:w="709" w:type="dxa"/>
            <w:shd w:val="clear" w:color="auto" w:fill="F8F8F8" w:themeFill="accent1" w:themeFillTint="33"/>
          </w:tcPr>
          <w:p w:rsidR="00D95A1A" w:rsidRPr="00B508E7" w:rsidRDefault="00D95A1A" w:rsidP="00D95A1A">
            <w:pPr>
              <w:spacing w:line="240" w:lineRule="auto"/>
              <w:jc w:val="center"/>
              <w:rPr>
                <w:rFonts w:asciiTheme="majorHAnsi" w:hAnsiTheme="majorHAnsi" w:cstheme="majorHAnsi"/>
                <w:b/>
                <w:color w:val="000000"/>
                <w:sz w:val="22"/>
                <w:szCs w:val="22"/>
              </w:rPr>
            </w:pPr>
            <w:r w:rsidRPr="00B508E7">
              <w:rPr>
                <w:rFonts w:asciiTheme="majorHAnsi" w:hAnsiTheme="majorHAnsi" w:cstheme="majorHAnsi"/>
                <w:b/>
                <w:color w:val="000000"/>
                <w:sz w:val="22"/>
                <w:szCs w:val="22"/>
              </w:rPr>
              <w:t>SA</w:t>
            </w:r>
          </w:p>
        </w:tc>
        <w:tc>
          <w:tcPr>
            <w:tcW w:w="709" w:type="dxa"/>
            <w:shd w:val="clear" w:color="auto" w:fill="F8F8F8" w:themeFill="accent1" w:themeFillTint="33"/>
          </w:tcPr>
          <w:p w:rsidR="00D95A1A" w:rsidRPr="00B508E7" w:rsidRDefault="00D95A1A" w:rsidP="00D95A1A">
            <w:pPr>
              <w:spacing w:line="240" w:lineRule="auto"/>
              <w:jc w:val="center"/>
              <w:rPr>
                <w:rFonts w:asciiTheme="majorHAnsi" w:hAnsiTheme="majorHAnsi" w:cstheme="majorHAnsi"/>
                <w:b/>
                <w:color w:val="000000"/>
                <w:sz w:val="22"/>
                <w:szCs w:val="22"/>
              </w:rPr>
            </w:pPr>
            <w:r w:rsidRPr="00B508E7">
              <w:rPr>
                <w:rFonts w:asciiTheme="majorHAnsi" w:hAnsiTheme="majorHAnsi" w:cstheme="majorHAnsi"/>
                <w:b/>
                <w:color w:val="000000"/>
                <w:sz w:val="22"/>
                <w:szCs w:val="22"/>
              </w:rPr>
              <w:t>TAS</w:t>
            </w:r>
          </w:p>
        </w:tc>
        <w:tc>
          <w:tcPr>
            <w:tcW w:w="708" w:type="dxa"/>
            <w:shd w:val="clear" w:color="auto" w:fill="F8F8F8" w:themeFill="accent1" w:themeFillTint="33"/>
          </w:tcPr>
          <w:p w:rsidR="00D95A1A" w:rsidRPr="00B508E7" w:rsidRDefault="00D95A1A" w:rsidP="00D95A1A">
            <w:pPr>
              <w:spacing w:line="240" w:lineRule="auto"/>
              <w:jc w:val="center"/>
              <w:rPr>
                <w:rFonts w:asciiTheme="majorHAnsi" w:hAnsiTheme="majorHAnsi" w:cstheme="majorHAnsi"/>
                <w:b/>
                <w:color w:val="000000"/>
                <w:sz w:val="22"/>
                <w:szCs w:val="22"/>
              </w:rPr>
            </w:pPr>
            <w:r w:rsidRPr="00B508E7">
              <w:rPr>
                <w:rFonts w:asciiTheme="majorHAnsi" w:hAnsiTheme="majorHAnsi" w:cstheme="majorHAnsi"/>
                <w:b/>
                <w:color w:val="000000"/>
                <w:sz w:val="22"/>
                <w:szCs w:val="22"/>
              </w:rPr>
              <w:t>VIC</w:t>
            </w:r>
          </w:p>
        </w:tc>
        <w:tc>
          <w:tcPr>
            <w:tcW w:w="666" w:type="dxa"/>
            <w:shd w:val="clear" w:color="auto" w:fill="F8F8F8" w:themeFill="accent1" w:themeFillTint="33"/>
          </w:tcPr>
          <w:p w:rsidR="00D95A1A" w:rsidRPr="00B508E7" w:rsidRDefault="00D95A1A" w:rsidP="00D95A1A">
            <w:pPr>
              <w:spacing w:line="240" w:lineRule="auto"/>
              <w:jc w:val="center"/>
              <w:rPr>
                <w:rFonts w:asciiTheme="majorHAnsi" w:hAnsiTheme="majorHAnsi" w:cstheme="majorHAnsi"/>
                <w:b/>
                <w:color w:val="000000"/>
                <w:sz w:val="22"/>
                <w:szCs w:val="22"/>
              </w:rPr>
            </w:pPr>
            <w:r w:rsidRPr="00B508E7">
              <w:rPr>
                <w:rFonts w:asciiTheme="majorHAnsi" w:hAnsiTheme="majorHAnsi" w:cstheme="majorHAnsi"/>
                <w:b/>
                <w:color w:val="000000"/>
                <w:sz w:val="22"/>
                <w:szCs w:val="22"/>
              </w:rPr>
              <w:t>WA</w:t>
            </w:r>
          </w:p>
        </w:tc>
        <w:tc>
          <w:tcPr>
            <w:tcW w:w="999" w:type="dxa"/>
            <w:shd w:val="clear" w:color="auto" w:fill="F8F8F8" w:themeFill="accent1" w:themeFillTint="33"/>
          </w:tcPr>
          <w:p w:rsidR="00D95A1A" w:rsidRPr="00B508E7" w:rsidRDefault="00D95A1A" w:rsidP="00D95A1A">
            <w:pPr>
              <w:spacing w:line="240" w:lineRule="auto"/>
              <w:jc w:val="center"/>
              <w:rPr>
                <w:rFonts w:asciiTheme="majorHAnsi" w:hAnsiTheme="majorHAnsi" w:cstheme="majorHAnsi"/>
                <w:b/>
                <w:color w:val="000000"/>
                <w:sz w:val="22"/>
                <w:szCs w:val="22"/>
              </w:rPr>
            </w:pPr>
            <w:r w:rsidRPr="00B508E7">
              <w:rPr>
                <w:rFonts w:asciiTheme="majorHAnsi" w:hAnsiTheme="majorHAnsi" w:cstheme="majorHAnsi"/>
                <w:b/>
                <w:color w:val="000000"/>
                <w:sz w:val="22"/>
                <w:szCs w:val="22"/>
              </w:rPr>
              <w:t>National</w:t>
            </w:r>
          </w:p>
        </w:tc>
      </w:tr>
      <w:tr w:rsidR="00D95A1A" w:rsidRPr="00D95A1A" w:rsidTr="004B3484">
        <w:tc>
          <w:tcPr>
            <w:tcW w:w="3369" w:type="dxa"/>
          </w:tcPr>
          <w:p w:rsidR="00D95A1A" w:rsidRPr="00B508E7" w:rsidRDefault="00D95A1A" w:rsidP="00D95A1A">
            <w:pPr>
              <w:spacing w:line="240" w:lineRule="auto"/>
              <w:rPr>
                <w:rFonts w:asciiTheme="majorHAnsi" w:hAnsiTheme="majorHAnsi" w:cstheme="majorHAnsi"/>
                <w:sz w:val="22"/>
                <w:szCs w:val="22"/>
              </w:rPr>
            </w:pPr>
            <w:r w:rsidRPr="00B508E7">
              <w:rPr>
                <w:rFonts w:asciiTheme="majorHAnsi" w:hAnsiTheme="majorHAnsi" w:cstheme="majorHAnsi"/>
                <w:sz w:val="22"/>
                <w:szCs w:val="22"/>
              </w:rPr>
              <w:t>% of caseload that is humanitarian refugee</w:t>
            </w:r>
          </w:p>
        </w:tc>
        <w:tc>
          <w:tcPr>
            <w:tcW w:w="850" w:type="dxa"/>
            <w:vAlign w:val="center"/>
          </w:tcPr>
          <w:p w:rsidR="00D95A1A" w:rsidRPr="00B508E7" w:rsidRDefault="00D95A1A" w:rsidP="00D95A1A">
            <w:pPr>
              <w:spacing w:line="240" w:lineRule="auto"/>
              <w:jc w:val="center"/>
              <w:rPr>
                <w:rFonts w:asciiTheme="majorHAnsi" w:hAnsiTheme="majorHAnsi" w:cstheme="majorHAnsi"/>
                <w:color w:val="000000"/>
                <w:sz w:val="22"/>
                <w:szCs w:val="22"/>
              </w:rPr>
            </w:pPr>
            <w:r w:rsidRPr="00B508E7">
              <w:rPr>
                <w:rFonts w:asciiTheme="majorHAnsi" w:hAnsiTheme="majorHAnsi" w:cstheme="majorHAnsi"/>
                <w:color w:val="000000"/>
                <w:sz w:val="22"/>
                <w:szCs w:val="22"/>
              </w:rPr>
              <w:t>4%</w:t>
            </w:r>
          </w:p>
        </w:tc>
        <w:tc>
          <w:tcPr>
            <w:tcW w:w="851" w:type="dxa"/>
            <w:vAlign w:val="center"/>
          </w:tcPr>
          <w:p w:rsidR="00D95A1A" w:rsidRPr="00B508E7" w:rsidRDefault="00D95A1A" w:rsidP="00D95A1A">
            <w:pPr>
              <w:spacing w:line="240" w:lineRule="auto"/>
              <w:jc w:val="center"/>
              <w:rPr>
                <w:rFonts w:asciiTheme="majorHAnsi" w:hAnsiTheme="majorHAnsi" w:cstheme="majorHAnsi"/>
                <w:color w:val="000000"/>
                <w:sz w:val="22"/>
                <w:szCs w:val="22"/>
              </w:rPr>
            </w:pPr>
            <w:r w:rsidRPr="00B508E7">
              <w:rPr>
                <w:rFonts w:asciiTheme="majorHAnsi" w:hAnsiTheme="majorHAnsi" w:cstheme="majorHAnsi"/>
                <w:color w:val="000000"/>
                <w:sz w:val="22"/>
                <w:szCs w:val="22"/>
              </w:rPr>
              <w:t>1%</w:t>
            </w:r>
          </w:p>
        </w:tc>
        <w:tc>
          <w:tcPr>
            <w:tcW w:w="708" w:type="dxa"/>
            <w:vAlign w:val="center"/>
          </w:tcPr>
          <w:p w:rsidR="00D95A1A" w:rsidRPr="00B508E7" w:rsidRDefault="00D95A1A" w:rsidP="00D95A1A">
            <w:pPr>
              <w:spacing w:line="240" w:lineRule="auto"/>
              <w:jc w:val="center"/>
              <w:rPr>
                <w:rFonts w:asciiTheme="majorHAnsi" w:hAnsiTheme="majorHAnsi" w:cstheme="majorHAnsi"/>
                <w:color w:val="000000"/>
                <w:sz w:val="22"/>
                <w:szCs w:val="22"/>
              </w:rPr>
            </w:pPr>
            <w:r w:rsidRPr="00B508E7">
              <w:rPr>
                <w:rFonts w:asciiTheme="majorHAnsi" w:hAnsiTheme="majorHAnsi" w:cstheme="majorHAnsi"/>
                <w:color w:val="000000"/>
                <w:sz w:val="22"/>
                <w:szCs w:val="22"/>
              </w:rPr>
              <w:t>0%</w:t>
            </w:r>
          </w:p>
        </w:tc>
        <w:tc>
          <w:tcPr>
            <w:tcW w:w="709" w:type="dxa"/>
            <w:vAlign w:val="center"/>
          </w:tcPr>
          <w:p w:rsidR="00D95A1A" w:rsidRPr="00B508E7" w:rsidRDefault="00D95A1A" w:rsidP="00D95A1A">
            <w:pPr>
              <w:spacing w:line="240" w:lineRule="auto"/>
              <w:jc w:val="center"/>
              <w:rPr>
                <w:rFonts w:asciiTheme="majorHAnsi" w:hAnsiTheme="majorHAnsi" w:cstheme="majorHAnsi"/>
                <w:color w:val="000000"/>
                <w:sz w:val="22"/>
                <w:szCs w:val="22"/>
              </w:rPr>
            </w:pPr>
            <w:r w:rsidRPr="00B508E7">
              <w:rPr>
                <w:rFonts w:asciiTheme="majorHAnsi" w:hAnsiTheme="majorHAnsi" w:cstheme="majorHAnsi"/>
                <w:color w:val="000000"/>
                <w:sz w:val="22"/>
                <w:szCs w:val="22"/>
              </w:rPr>
              <w:t>1%</w:t>
            </w:r>
          </w:p>
        </w:tc>
        <w:tc>
          <w:tcPr>
            <w:tcW w:w="709" w:type="dxa"/>
            <w:vAlign w:val="center"/>
          </w:tcPr>
          <w:p w:rsidR="00D95A1A" w:rsidRPr="00B508E7" w:rsidRDefault="00D95A1A" w:rsidP="00D95A1A">
            <w:pPr>
              <w:spacing w:line="240" w:lineRule="auto"/>
              <w:jc w:val="center"/>
              <w:rPr>
                <w:rFonts w:asciiTheme="majorHAnsi" w:hAnsiTheme="majorHAnsi" w:cstheme="majorHAnsi"/>
                <w:color w:val="000000"/>
                <w:sz w:val="22"/>
                <w:szCs w:val="22"/>
              </w:rPr>
            </w:pPr>
            <w:r w:rsidRPr="00B508E7">
              <w:rPr>
                <w:rFonts w:asciiTheme="majorHAnsi" w:hAnsiTheme="majorHAnsi" w:cstheme="majorHAnsi"/>
                <w:color w:val="000000"/>
                <w:sz w:val="22"/>
                <w:szCs w:val="22"/>
              </w:rPr>
              <w:t>1%</w:t>
            </w:r>
          </w:p>
        </w:tc>
        <w:tc>
          <w:tcPr>
            <w:tcW w:w="709" w:type="dxa"/>
            <w:vAlign w:val="center"/>
          </w:tcPr>
          <w:p w:rsidR="00D95A1A" w:rsidRPr="00B508E7" w:rsidRDefault="00D95A1A" w:rsidP="00D95A1A">
            <w:pPr>
              <w:spacing w:line="240" w:lineRule="auto"/>
              <w:jc w:val="center"/>
              <w:rPr>
                <w:rFonts w:asciiTheme="majorHAnsi" w:hAnsiTheme="majorHAnsi" w:cstheme="majorHAnsi"/>
                <w:color w:val="000000"/>
                <w:sz w:val="22"/>
                <w:szCs w:val="22"/>
              </w:rPr>
            </w:pPr>
            <w:r w:rsidRPr="00B508E7">
              <w:rPr>
                <w:rFonts w:asciiTheme="majorHAnsi" w:hAnsiTheme="majorHAnsi" w:cstheme="majorHAnsi"/>
                <w:color w:val="000000"/>
                <w:sz w:val="22"/>
                <w:szCs w:val="22"/>
              </w:rPr>
              <w:t>2%</w:t>
            </w:r>
          </w:p>
        </w:tc>
        <w:tc>
          <w:tcPr>
            <w:tcW w:w="708" w:type="dxa"/>
            <w:vAlign w:val="center"/>
          </w:tcPr>
          <w:p w:rsidR="00D95A1A" w:rsidRPr="00B508E7" w:rsidRDefault="00D95A1A" w:rsidP="00D95A1A">
            <w:pPr>
              <w:spacing w:line="240" w:lineRule="auto"/>
              <w:jc w:val="center"/>
              <w:rPr>
                <w:rFonts w:asciiTheme="majorHAnsi" w:hAnsiTheme="majorHAnsi" w:cstheme="majorHAnsi"/>
                <w:color w:val="000000"/>
                <w:sz w:val="22"/>
                <w:szCs w:val="22"/>
              </w:rPr>
            </w:pPr>
            <w:r w:rsidRPr="00B508E7">
              <w:rPr>
                <w:rFonts w:asciiTheme="majorHAnsi" w:hAnsiTheme="majorHAnsi" w:cstheme="majorHAnsi"/>
                <w:color w:val="000000"/>
                <w:sz w:val="22"/>
                <w:szCs w:val="22"/>
              </w:rPr>
              <w:t>3%</w:t>
            </w:r>
          </w:p>
        </w:tc>
        <w:tc>
          <w:tcPr>
            <w:tcW w:w="666" w:type="dxa"/>
            <w:vAlign w:val="center"/>
          </w:tcPr>
          <w:p w:rsidR="00D95A1A" w:rsidRPr="00B508E7" w:rsidRDefault="00D95A1A" w:rsidP="00D95A1A">
            <w:pPr>
              <w:spacing w:line="240" w:lineRule="auto"/>
              <w:jc w:val="center"/>
              <w:rPr>
                <w:rFonts w:asciiTheme="majorHAnsi" w:hAnsiTheme="majorHAnsi" w:cstheme="majorHAnsi"/>
                <w:color w:val="000000"/>
                <w:sz w:val="22"/>
                <w:szCs w:val="22"/>
              </w:rPr>
            </w:pPr>
            <w:r w:rsidRPr="00B508E7">
              <w:rPr>
                <w:rFonts w:asciiTheme="majorHAnsi" w:hAnsiTheme="majorHAnsi" w:cstheme="majorHAnsi"/>
                <w:color w:val="000000"/>
                <w:sz w:val="22"/>
                <w:szCs w:val="22"/>
              </w:rPr>
              <w:t>1%</w:t>
            </w:r>
          </w:p>
        </w:tc>
        <w:tc>
          <w:tcPr>
            <w:tcW w:w="999" w:type="dxa"/>
            <w:vAlign w:val="center"/>
          </w:tcPr>
          <w:p w:rsidR="00D95A1A" w:rsidRPr="00B508E7" w:rsidRDefault="00D95A1A" w:rsidP="00D95A1A">
            <w:pPr>
              <w:spacing w:line="240" w:lineRule="auto"/>
              <w:jc w:val="center"/>
              <w:rPr>
                <w:rFonts w:asciiTheme="majorHAnsi" w:hAnsiTheme="majorHAnsi" w:cstheme="majorHAnsi"/>
                <w:color w:val="000000"/>
                <w:sz w:val="22"/>
                <w:szCs w:val="22"/>
              </w:rPr>
            </w:pPr>
            <w:r w:rsidRPr="00B508E7">
              <w:rPr>
                <w:rFonts w:asciiTheme="majorHAnsi" w:hAnsiTheme="majorHAnsi" w:cstheme="majorHAnsi"/>
                <w:color w:val="000000"/>
                <w:sz w:val="22"/>
                <w:szCs w:val="22"/>
              </w:rPr>
              <w:t>2%</w:t>
            </w:r>
          </w:p>
        </w:tc>
      </w:tr>
    </w:tbl>
    <w:p w:rsidR="00D95A1A" w:rsidRPr="00D95A1A" w:rsidRDefault="00D95A1A" w:rsidP="00D95A1A">
      <w:pPr>
        <w:spacing w:line="240" w:lineRule="auto"/>
        <w:rPr>
          <w:rFonts w:eastAsia="Times New Roman"/>
          <w:lang w:eastAsia="en-AU"/>
        </w:rPr>
      </w:pPr>
    </w:p>
    <w:p w:rsidR="00D95A1A" w:rsidRPr="00D95A1A" w:rsidRDefault="00D95A1A" w:rsidP="00B508E7">
      <w:pPr>
        <w:pStyle w:val="Heading4"/>
        <w:spacing w:after="120"/>
        <w:rPr>
          <w:rFonts w:eastAsia="Times New Roman"/>
          <w:lang w:eastAsia="en-AU"/>
        </w:rPr>
      </w:pPr>
      <w:r w:rsidRPr="00D95A1A">
        <w:rPr>
          <w:rFonts w:eastAsia="Times New Roman"/>
          <w:lang w:eastAsia="en-AU"/>
        </w:rPr>
        <w:lastRenderedPageBreak/>
        <w:t>Table 25: Humanitarian refugee participants – WA and National</w:t>
      </w:r>
    </w:p>
    <w:tbl>
      <w:tblPr>
        <w:tblW w:w="7880" w:type="dxa"/>
        <w:tblInd w:w="89" w:type="dxa"/>
        <w:tblLook w:val="04A0" w:firstRow="1" w:lastRow="0" w:firstColumn="1" w:lastColumn="0" w:noHBand="0" w:noVBand="1"/>
      </w:tblPr>
      <w:tblGrid>
        <w:gridCol w:w="5264"/>
        <w:gridCol w:w="1276"/>
        <w:gridCol w:w="1340"/>
      </w:tblGrid>
      <w:tr w:rsidR="00D95A1A" w:rsidRPr="00D95A1A" w:rsidTr="004B3484">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rPr>
                <w:rFonts w:eastAsia="Times New Roman" w:cs="Calibri"/>
                <w:b/>
                <w:color w:val="000000"/>
                <w:sz w:val="22"/>
                <w:szCs w:val="22"/>
                <w:lang w:eastAsia="en-AU"/>
              </w:rPr>
            </w:pPr>
            <w:r w:rsidRPr="00D95A1A">
              <w:rPr>
                <w:rFonts w:eastAsia="Times New Roman" w:cs="Calibri"/>
                <w:b/>
                <w:color w:val="000000"/>
                <w:sz w:val="22"/>
                <w:szCs w:val="22"/>
                <w:lang w:eastAsia="en-AU"/>
              </w:rPr>
              <w:t> </w:t>
            </w:r>
          </w:p>
        </w:tc>
        <w:tc>
          <w:tcPr>
            <w:tcW w:w="1276"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WA</w:t>
            </w:r>
          </w:p>
        </w:tc>
        <w:tc>
          <w:tcPr>
            <w:tcW w:w="1340"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National</w:t>
            </w:r>
          </w:p>
        </w:tc>
      </w:tr>
      <w:tr w:rsidR="00D95A1A" w:rsidRPr="00D95A1A" w:rsidTr="004B3484">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Humanitarian Refugee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64</w:t>
            </w:r>
          </w:p>
        </w:tc>
        <w:tc>
          <w:tcPr>
            <w:tcW w:w="1340"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892</w:t>
            </w:r>
          </w:p>
        </w:tc>
      </w:tr>
      <w:tr w:rsidR="00D95A1A" w:rsidRPr="00D95A1A" w:rsidTr="004B3484">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6095</w:t>
            </w:r>
          </w:p>
        </w:tc>
        <w:tc>
          <w:tcPr>
            <w:tcW w:w="1340"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58,408</w:t>
            </w:r>
          </w:p>
        </w:tc>
      </w:tr>
      <w:tr w:rsidR="00D95A1A" w:rsidRPr="00D95A1A" w:rsidTr="004B3484">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 xml:space="preserve">% Humanitarian Refugee </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1%</w:t>
            </w:r>
          </w:p>
        </w:tc>
        <w:tc>
          <w:tcPr>
            <w:tcW w:w="1340"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2%</w:t>
            </w:r>
          </w:p>
        </w:tc>
      </w:tr>
    </w:tbl>
    <w:p w:rsidR="00D95A1A" w:rsidRPr="00D95A1A" w:rsidRDefault="00D95A1A" w:rsidP="00D95A1A">
      <w:pPr>
        <w:spacing w:line="240" w:lineRule="auto"/>
        <w:rPr>
          <w:rFonts w:eastAsia="Times New Roman"/>
          <w:lang w:eastAsia="en-AU"/>
        </w:rPr>
      </w:pPr>
    </w:p>
    <w:p w:rsidR="00D95A1A" w:rsidRPr="00D95A1A" w:rsidRDefault="00D95A1A" w:rsidP="00B508E7">
      <w:pPr>
        <w:pStyle w:val="Heading4"/>
        <w:spacing w:after="120"/>
        <w:rPr>
          <w:rFonts w:eastAsia="Times New Roman"/>
          <w:lang w:eastAsia="en-AU"/>
        </w:rPr>
      </w:pPr>
      <w:r w:rsidRPr="00D95A1A">
        <w:rPr>
          <w:rFonts w:eastAsia="Times New Roman"/>
          <w:lang w:eastAsia="en-AU"/>
        </w:rPr>
        <w:t>Table 26: WA and National- Humanitarian refugee participant outcomes achievement</w:t>
      </w:r>
    </w:p>
    <w:tbl>
      <w:tblPr>
        <w:tblW w:w="10084" w:type="dxa"/>
        <w:tblInd w:w="89" w:type="dxa"/>
        <w:tblLayout w:type="fixed"/>
        <w:tblLook w:val="04A0" w:firstRow="1" w:lastRow="0" w:firstColumn="1" w:lastColumn="0" w:noHBand="0" w:noVBand="1"/>
      </w:tblPr>
      <w:tblGrid>
        <w:gridCol w:w="4981"/>
        <w:gridCol w:w="1275"/>
        <w:gridCol w:w="1276"/>
        <w:gridCol w:w="1276"/>
        <w:gridCol w:w="1276"/>
      </w:tblGrid>
      <w:tr w:rsidR="00D95A1A" w:rsidRPr="00D95A1A" w:rsidTr="004B3484">
        <w:trPr>
          <w:trHeight w:val="300"/>
          <w:tblHeader/>
        </w:trPr>
        <w:tc>
          <w:tcPr>
            <w:tcW w:w="4981" w:type="dxa"/>
            <w:tcBorders>
              <w:top w:val="single" w:sz="4" w:space="0" w:color="auto"/>
              <w:left w:val="single" w:sz="4" w:space="0" w:color="auto"/>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rPr>
                <w:rFonts w:eastAsia="Times New Roman" w:cs="Calibri"/>
                <w:b/>
                <w:color w:val="000000"/>
                <w:sz w:val="22"/>
                <w:szCs w:val="22"/>
                <w:lang w:eastAsia="en-AU"/>
              </w:rPr>
            </w:pPr>
            <w:r w:rsidRPr="00D95A1A">
              <w:rPr>
                <w:rFonts w:eastAsia="Times New Roman" w:cs="Calibri"/>
                <w:b/>
                <w:color w:val="000000"/>
                <w:sz w:val="22"/>
                <w:szCs w:val="22"/>
                <w:lang w:eastAsia="en-AU"/>
              </w:rPr>
              <w:t> </w:t>
            </w:r>
          </w:p>
        </w:tc>
        <w:tc>
          <w:tcPr>
            <w:tcW w:w="1275"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WA</w:t>
            </w:r>
          </w:p>
        </w:tc>
        <w:tc>
          <w:tcPr>
            <w:tcW w:w="1276" w:type="dxa"/>
            <w:tcBorders>
              <w:top w:val="single" w:sz="4" w:space="0" w:color="auto"/>
              <w:left w:val="nil"/>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WA %</w:t>
            </w:r>
          </w:p>
        </w:tc>
        <w:tc>
          <w:tcPr>
            <w:tcW w:w="1276" w:type="dxa"/>
            <w:tcBorders>
              <w:top w:val="single" w:sz="4" w:space="0" w:color="auto"/>
              <w:left w:val="nil"/>
              <w:bottom w:val="single" w:sz="4" w:space="0" w:color="auto"/>
              <w:right w:val="single" w:sz="4" w:space="0" w:color="auto"/>
            </w:tcBorders>
            <w:shd w:val="clear" w:color="auto" w:fill="F8F8F8" w:themeFill="accent1" w:themeFillTint="33"/>
            <w:noWrap/>
            <w:vAlign w:val="bottom"/>
            <w:hideMark/>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National</w:t>
            </w:r>
          </w:p>
        </w:tc>
        <w:tc>
          <w:tcPr>
            <w:tcW w:w="1276" w:type="dxa"/>
            <w:tcBorders>
              <w:top w:val="single" w:sz="4" w:space="0" w:color="auto"/>
              <w:left w:val="nil"/>
              <w:bottom w:val="single" w:sz="4" w:space="0" w:color="auto"/>
              <w:right w:val="single" w:sz="4" w:space="0" w:color="auto"/>
            </w:tcBorders>
            <w:shd w:val="clear" w:color="auto" w:fill="F8F8F8" w:themeFill="accent1" w:themeFillTint="33"/>
            <w:vAlign w:val="bottom"/>
          </w:tcPr>
          <w:p w:rsidR="00D95A1A" w:rsidRPr="00D95A1A" w:rsidRDefault="00D95A1A" w:rsidP="00D95A1A">
            <w:pPr>
              <w:spacing w:line="240" w:lineRule="auto"/>
              <w:jc w:val="center"/>
              <w:rPr>
                <w:rFonts w:eastAsia="Times New Roman" w:cs="Calibri"/>
                <w:b/>
                <w:color w:val="000000"/>
                <w:sz w:val="22"/>
                <w:szCs w:val="22"/>
                <w:lang w:eastAsia="en-AU"/>
              </w:rPr>
            </w:pPr>
            <w:r w:rsidRPr="00D95A1A">
              <w:rPr>
                <w:rFonts w:eastAsia="Times New Roman" w:cs="Calibri"/>
                <w:b/>
                <w:color w:val="000000"/>
                <w:sz w:val="22"/>
                <w:szCs w:val="22"/>
                <w:lang w:eastAsia="en-AU"/>
              </w:rPr>
              <w:t>National %</w:t>
            </w:r>
          </w:p>
        </w:tc>
      </w:tr>
      <w:tr w:rsidR="00D95A1A" w:rsidRPr="00D95A1A" w:rsidTr="004B3484">
        <w:trPr>
          <w:trHeight w:val="368"/>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 xml:space="preserve">Humanitarian Refugee young people enrolled in individual support services </w:t>
            </w:r>
          </w:p>
        </w:tc>
        <w:tc>
          <w:tcPr>
            <w:tcW w:w="1275"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64</w:t>
            </w:r>
          </w:p>
        </w:tc>
        <w:tc>
          <w:tcPr>
            <w:tcW w:w="1276"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892</w:t>
            </w:r>
          </w:p>
        </w:tc>
        <w:tc>
          <w:tcPr>
            <w:tcW w:w="1276"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w:t>
            </w:r>
          </w:p>
        </w:tc>
      </w:tr>
      <w:tr w:rsidR="00D95A1A" w:rsidRPr="00D95A1A" w:rsidTr="004B3484">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Humanitarian Refugee young people who have achieved a progressive outcome</w:t>
            </w:r>
          </w:p>
        </w:tc>
        <w:tc>
          <w:tcPr>
            <w:tcW w:w="1275"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50</w:t>
            </w:r>
          </w:p>
        </w:tc>
        <w:tc>
          <w:tcPr>
            <w:tcW w:w="1276"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78%</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730</w:t>
            </w:r>
          </w:p>
        </w:tc>
        <w:tc>
          <w:tcPr>
            <w:tcW w:w="1276"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82%</w:t>
            </w:r>
          </w:p>
        </w:tc>
      </w:tr>
      <w:tr w:rsidR="00D95A1A" w:rsidRPr="00D95A1A" w:rsidTr="004B3484">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D95A1A" w:rsidRPr="00D95A1A" w:rsidRDefault="00D95A1A" w:rsidP="00D95A1A">
            <w:pPr>
              <w:spacing w:line="240" w:lineRule="auto"/>
              <w:rPr>
                <w:rFonts w:eastAsia="Times New Roman" w:cs="Calibri"/>
                <w:color w:val="000000"/>
                <w:sz w:val="22"/>
                <w:szCs w:val="22"/>
                <w:lang w:eastAsia="en-AU"/>
              </w:rPr>
            </w:pPr>
            <w:r w:rsidRPr="00D95A1A">
              <w:rPr>
                <w:rFonts w:eastAsia="Times New Roman" w:cs="Calibri"/>
                <w:color w:val="000000"/>
                <w:sz w:val="22"/>
                <w:szCs w:val="22"/>
                <w:lang w:eastAsia="en-AU"/>
              </w:rPr>
              <w:t>Humanitarian Refugee young people who have achieved a final outcome</w:t>
            </w:r>
          </w:p>
        </w:tc>
        <w:tc>
          <w:tcPr>
            <w:tcW w:w="1275"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41</w:t>
            </w:r>
          </w:p>
        </w:tc>
        <w:tc>
          <w:tcPr>
            <w:tcW w:w="1276"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64%</w:t>
            </w:r>
          </w:p>
        </w:tc>
        <w:tc>
          <w:tcPr>
            <w:tcW w:w="1276" w:type="dxa"/>
            <w:tcBorders>
              <w:top w:val="nil"/>
              <w:left w:val="nil"/>
              <w:bottom w:val="single" w:sz="4" w:space="0" w:color="auto"/>
              <w:right w:val="single" w:sz="4" w:space="0" w:color="auto"/>
            </w:tcBorders>
            <w:shd w:val="clear" w:color="auto" w:fill="auto"/>
            <w:noWrap/>
            <w:vAlign w:val="center"/>
            <w:hideMark/>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622</w:t>
            </w:r>
          </w:p>
        </w:tc>
        <w:tc>
          <w:tcPr>
            <w:tcW w:w="1276" w:type="dxa"/>
            <w:tcBorders>
              <w:top w:val="nil"/>
              <w:left w:val="nil"/>
              <w:bottom w:val="single" w:sz="4" w:space="0" w:color="auto"/>
              <w:right w:val="single" w:sz="4" w:space="0" w:color="auto"/>
            </w:tcBorders>
            <w:shd w:val="clear" w:color="auto" w:fill="auto"/>
            <w:vAlign w:val="center"/>
          </w:tcPr>
          <w:p w:rsidR="00D95A1A" w:rsidRPr="00D95A1A" w:rsidRDefault="00D95A1A" w:rsidP="00D95A1A">
            <w:pPr>
              <w:spacing w:line="240" w:lineRule="auto"/>
              <w:jc w:val="center"/>
              <w:rPr>
                <w:rFonts w:eastAsia="Times New Roman" w:cs="Calibri"/>
                <w:color w:val="000000"/>
                <w:sz w:val="22"/>
                <w:szCs w:val="22"/>
                <w:lang w:eastAsia="en-AU"/>
              </w:rPr>
            </w:pPr>
            <w:r w:rsidRPr="00D95A1A">
              <w:rPr>
                <w:rFonts w:eastAsia="Times New Roman" w:cs="Calibri"/>
                <w:color w:val="000000"/>
                <w:sz w:val="22"/>
                <w:szCs w:val="22"/>
                <w:lang w:eastAsia="en-AU"/>
              </w:rPr>
              <w:t>70%</w:t>
            </w:r>
          </w:p>
        </w:tc>
      </w:tr>
    </w:tbl>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rPr>
          <w:rFonts w:eastAsia="Times New Roman"/>
          <w:lang w:eastAsia="en-AU"/>
        </w:rPr>
      </w:pPr>
    </w:p>
    <w:p w:rsidR="00D95A1A" w:rsidRPr="00D95A1A" w:rsidRDefault="00D95A1A" w:rsidP="00B508E7">
      <w:pPr>
        <w:pStyle w:val="Heading2"/>
        <w:rPr>
          <w:lang w:eastAsia="en-AU"/>
        </w:rPr>
      </w:pPr>
      <w:bookmarkStart w:id="31" w:name="_Toc384044199"/>
      <w:r w:rsidRPr="00D95A1A">
        <w:rPr>
          <w:lang w:eastAsia="en-AU"/>
        </w:rPr>
        <w:t>Outreach and Re-engagement Services</w:t>
      </w:r>
      <w:bookmarkEnd w:id="31"/>
    </w:p>
    <w:p w:rsidR="00D95A1A" w:rsidRPr="00D95A1A" w:rsidRDefault="00D95A1A" w:rsidP="00D95A1A">
      <w:pPr>
        <w:spacing w:line="240" w:lineRule="auto"/>
        <w:ind w:right="-188"/>
        <w:rPr>
          <w:rFonts w:eastAsia="Times New Roman"/>
          <w:lang w:eastAsia="en-AU"/>
        </w:rPr>
      </w:pPr>
      <w:r w:rsidRPr="00D95A1A">
        <w:rPr>
          <w:rFonts w:eastAsia="Times New Roman"/>
          <w:lang w:eastAsia="en-AU"/>
        </w:rPr>
        <w:t>Providers in Western Australia have conducted 699 Outreach and Re-engagement activities (some were held multiple times, resulting in 1266 events). These activities were attended by more than 22,718 people.</w:t>
      </w:r>
    </w:p>
    <w:p w:rsidR="00D95A1A" w:rsidRPr="00D95A1A" w:rsidRDefault="00D95A1A" w:rsidP="00D95A1A">
      <w:pPr>
        <w:spacing w:line="240" w:lineRule="auto"/>
        <w:ind w:right="-188"/>
        <w:rPr>
          <w:rFonts w:eastAsia="Times New Roman"/>
          <w:lang w:eastAsia="en-AU"/>
        </w:rPr>
      </w:pPr>
    </w:p>
    <w:p w:rsidR="00D95A1A" w:rsidRPr="00D95A1A" w:rsidRDefault="00D95A1A" w:rsidP="00B508E7">
      <w:pPr>
        <w:pStyle w:val="Heading4"/>
        <w:rPr>
          <w:rFonts w:eastAsia="Times New Roman"/>
          <w:lang w:eastAsia="en-AU"/>
        </w:rPr>
      </w:pPr>
      <w:r w:rsidRPr="00D95A1A">
        <w:rPr>
          <w:rFonts w:eastAsia="Times New Roman"/>
          <w:lang w:eastAsia="en-AU"/>
        </w:rPr>
        <w:t>Table 27: WA Outreach and Re-engagement activities</w:t>
      </w:r>
    </w:p>
    <w:p w:rsidR="00D95A1A" w:rsidRPr="00D95A1A" w:rsidRDefault="00D95A1A" w:rsidP="00D95A1A">
      <w:pPr>
        <w:spacing w:line="240" w:lineRule="auto"/>
        <w:ind w:right="-188"/>
        <w:rPr>
          <w:rFonts w:eastAsia="Times New Roman"/>
          <w:lang w:eastAsia="en-AU"/>
        </w:rPr>
      </w:pPr>
    </w:p>
    <w:tbl>
      <w:tblPr>
        <w:tblW w:w="3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59"/>
      </w:tblGrid>
      <w:tr w:rsidR="00D95A1A" w:rsidRPr="00D95A1A" w:rsidTr="004B3484">
        <w:trPr>
          <w:trHeight w:val="909"/>
        </w:trPr>
        <w:tc>
          <w:tcPr>
            <w:tcW w:w="2000" w:type="dxa"/>
            <w:shd w:val="clear" w:color="auto" w:fill="CCCCCC" w:themeFill="text2" w:themeFillTint="33"/>
            <w:noWrap/>
            <w:vAlign w:val="bottom"/>
            <w:hideMark/>
          </w:tcPr>
          <w:p w:rsidR="00D95A1A" w:rsidRPr="00D95A1A" w:rsidRDefault="00D95A1A" w:rsidP="00D95A1A">
            <w:pPr>
              <w:spacing w:line="240" w:lineRule="auto"/>
              <w:jc w:val="center"/>
              <w:rPr>
                <w:rFonts w:eastAsia="Times New Roman" w:cs="Calibri"/>
                <w:b/>
                <w:color w:val="000000"/>
                <w:lang w:eastAsia="en-AU"/>
              </w:rPr>
            </w:pPr>
            <w:r w:rsidRPr="00D95A1A">
              <w:rPr>
                <w:rFonts w:eastAsia="Times New Roman" w:cs="Calibri"/>
                <w:b/>
                <w:color w:val="000000"/>
                <w:lang w:eastAsia="en-AU"/>
              </w:rPr>
              <w:t>Number of people attending each event</w:t>
            </w:r>
          </w:p>
        </w:tc>
        <w:tc>
          <w:tcPr>
            <w:tcW w:w="1559" w:type="dxa"/>
            <w:shd w:val="clear" w:color="auto" w:fill="CCCCCC" w:themeFill="text2" w:themeFillTint="33"/>
            <w:noWrap/>
            <w:vAlign w:val="bottom"/>
            <w:hideMark/>
          </w:tcPr>
          <w:p w:rsidR="00D95A1A" w:rsidRPr="00D95A1A" w:rsidRDefault="00D95A1A" w:rsidP="00D95A1A">
            <w:pPr>
              <w:spacing w:line="240" w:lineRule="auto"/>
              <w:jc w:val="center"/>
              <w:rPr>
                <w:rFonts w:eastAsia="Times New Roman" w:cs="Calibri"/>
                <w:b/>
                <w:color w:val="000000"/>
                <w:lang w:eastAsia="en-AU"/>
              </w:rPr>
            </w:pPr>
            <w:r w:rsidRPr="00D95A1A">
              <w:rPr>
                <w:rFonts w:eastAsia="Times New Roman" w:cs="Calibri"/>
                <w:b/>
                <w:color w:val="000000"/>
                <w:lang w:eastAsia="en-AU"/>
              </w:rPr>
              <w:t>Number of events</w:t>
            </w:r>
          </w:p>
        </w:tc>
      </w:tr>
      <w:tr w:rsidR="00D95A1A" w:rsidRPr="00D95A1A" w:rsidTr="004B3484">
        <w:trPr>
          <w:trHeight w:val="300"/>
        </w:trPr>
        <w:tc>
          <w:tcPr>
            <w:tcW w:w="2000" w:type="dxa"/>
            <w:shd w:val="clear" w:color="auto" w:fill="auto"/>
            <w:noWrap/>
            <w:vAlign w:val="bottom"/>
            <w:hideMark/>
          </w:tcPr>
          <w:p w:rsidR="00D95A1A" w:rsidRPr="00D95A1A" w:rsidRDefault="00D95A1A" w:rsidP="00D95A1A">
            <w:pPr>
              <w:spacing w:line="240" w:lineRule="auto"/>
              <w:rPr>
                <w:rFonts w:eastAsia="Times New Roman" w:cs="Calibri"/>
                <w:color w:val="000000"/>
                <w:lang w:eastAsia="en-AU"/>
              </w:rPr>
            </w:pPr>
            <w:r w:rsidRPr="00D95A1A">
              <w:rPr>
                <w:rFonts w:eastAsia="Times New Roman" w:cs="Calibri"/>
                <w:color w:val="000000"/>
                <w:lang w:eastAsia="en-AU"/>
              </w:rPr>
              <w:t>&lt;10</w:t>
            </w:r>
          </w:p>
        </w:tc>
        <w:tc>
          <w:tcPr>
            <w:tcW w:w="1559" w:type="dxa"/>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739</w:t>
            </w:r>
          </w:p>
        </w:tc>
      </w:tr>
      <w:tr w:rsidR="00D95A1A" w:rsidRPr="00D95A1A" w:rsidTr="004B3484">
        <w:trPr>
          <w:trHeight w:val="300"/>
        </w:trPr>
        <w:tc>
          <w:tcPr>
            <w:tcW w:w="2000" w:type="dxa"/>
            <w:shd w:val="clear" w:color="auto" w:fill="auto"/>
            <w:noWrap/>
            <w:vAlign w:val="bottom"/>
            <w:hideMark/>
          </w:tcPr>
          <w:p w:rsidR="00D95A1A" w:rsidRPr="00D95A1A" w:rsidRDefault="00D95A1A" w:rsidP="00D95A1A">
            <w:pPr>
              <w:spacing w:line="240" w:lineRule="auto"/>
              <w:rPr>
                <w:rFonts w:eastAsia="Times New Roman" w:cs="Calibri"/>
                <w:color w:val="000000"/>
                <w:lang w:eastAsia="en-AU"/>
              </w:rPr>
            </w:pPr>
            <w:r w:rsidRPr="00D95A1A">
              <w:rPr>
                <w:rFonts w:eastAsia="Times New Roman" w:cs="Calibri"/>
                <w:color w:val="000000"/>
                <w:lang w:eastAsia="en-AU"/>
              </w:rPr>
              <w:t>&lt;20</w:t>
            </w:r>
          </w:p>
        </w:tc>
        <w:tc>
          <w:tcPr>
            <w:tcW w:w="1559" w:type="dxa"/>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261</w:t>
            </w:r>
          </w:p>
        </w:tc>
      </w:tr>
      <w:tr w:rsidR="00D95A1A" w:rsidRPr="00D95A1A" w:rsidTr="004B3484">
        <w:trPr>
          <w:trHeight w:val="300"/>
        </w:trPr>
        <w:tc>
          <w:tcPr>
            <w:tcW w:w="2000" w:type="dxa"/>
            <w:shd w:val="clear" w:color="auto" w:fill="auto"/>
            <w:noWrap/>
            <w:vAlign w:val="bottom"/>
            <w:hideMark/>
          </w:tcPr>
          <w:p w:rsidR="00D95A1A" w:rsidRPr="00D95A1A" w:rsidRDefault="00D95A1A" w:rsidP="00D95A1A">
            <w:pPr>
              <w:spacing w:line="240" w:lineRule="auto"/>
              <w:rPr>
                <w:rFonts w:eastAsia="Times New Roman" w:cs="Calibri"/>
                <w:color w:val="000000"/>
                <w:lang w:eastAsia="en-AU"/>
              </w:rPr>
            </w:pPr>
            <w:r w:rsidRPr="00D95A1A">
              <w:rPr>
                <w:rFonts w:eastAsia="Times New Roman" w:cs="Calibri"/>
                <w:color w:val="000000"/>
                <w:lang w:eastAsia="en-AU"/>
              </w:rPr>
              <w:t>&lt;50</w:t>
            </w:r>
          </w:p>
        </w:tc>
        <w:tc>
          <w:tcPr>
            <w:tcW w:w="1559" w:type="dxa"/>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214</w:t>
            </w:r>
          </w:p>
        </w:tc>
      </w:tr>
      <w:tr w:rsidR="00D95A1A" w:rsidRPr="00D95A1A" w:rsidTr="004B3484">
        <w:trPr>
          <w:trHeight w:val="300"/>
        </w:trPr>
        <w:tc>
          <w:tcPr>
            <w:tcW w:w="2000" w:type="dxa"/>
            <w:shd w:val="clear" w:color="auto" w:fill="auto"/>
            <w:noWrap/>
            <w:vAlign w:val="bottom"/>
            <w:hideMark/>
          </w:tcPr>
          <w:p w:rsidR="00D95A1A" w:rsidRPr="00D95A1A" w:rsidRDefault="00D95A1A" w:rsidP="00D95A1A">
            <w:pPr>
              <w:spacing w:line="240" w:lineRule="auto"/>
              <w:rPr>
                <w:rFonts w:eastAsia="Times New Roman" w:cs="Calibri"/>
                <w:color w:val="000000"/>
                <w:lang w:eastAsia="en-AU"/>
              </w:rPr>
            </w:pPr>
            <w:r w:rsidRPr="00D95A1A">
              <w:rPr>
                <w:rFonts w:eastAsia="Times New Roman" w:cs="Calibri"/>
                <w:color w:val="000000"/>
                <w:lang w:eastAsia="en-AU"/>
              </w:rPr>
              <w:t>&lt;500</w:t>
            </w:r>
          </w:p>
        </w:tc>
        <w:tc>
          <w:tcPr>
            <w:tcW w:w="1559" w:type="dxa"/>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47</w:t>
            </w:r>
          </w:p>
        </w:tc>
      </w:tr>
      <w:tr w:rsidR="00D95A1A" w:rsidRPr="00D95A1A" w:rsidTr="004B3484">
        <w:trPr>
          <w:trHeight w:val="300"/>
        </w:trPr>
        <w:tc>
          <w:tcPr>
            <w:tcW w:w="2000" w:type="dxa"/>
            <w:shd w:val="clear" w:color="auto" w:fill="auto"/>
            <w:noWrap/>
            <w:vAlign w:val="bottom"/>
            <w:hideMark/>
          </w:tcPr>
          <w:p w:rsidR="00D95A1A" w:rsidRPr="00D95A1A" w:rsidRDefault="00D95A1A" w:rsidP="00D95A1A">
            <w:pPr>
              <w:spacing w:line="240" w:lineRule="auto"/>
              <w:rPr>
                <w:rFonts w:eastAsia="Times New Roman" w:cs="Calibri"/>
                <w:color w:val="000000"/>
                <w:lang w:eastAsia="en-AU"/>
              </w:rPr>
            </w:pPr>
            <w:r w:rsidRPr="00D95A1A">
              <w:rPr>
                <w:rFonts w:eastAsia="Times New Roman" w:cs="Calibri"/>
                <w:color w:val="000000"/>
                <w:lang w:eastAsia="en-AU"/>
              </w:rPr>
              <w:t>&gt;500</w:t>
            </w:r>
          </w:p>
        </w:tc>
        <w:tc>
          <w:tcPr>
            <w:tcW w:w="1559" w:type="dxa"/>
            <w:shd w:val="clear" w:color="auto" w:fill="auto"/>
            <w:noWrap/>
            <w:vAlign w:val="bottom"/>
            <w:hideMark/>
          </w:tcPr>
          <w:p w:rsidR="00D95A1A" w:rsidRPr="00D95A1A" w:rsidRDefault="00D95A1A" w:rsidP="00D95A1A">
            <w:pPr>
              <w:spacing w:line="240" w:lineRule="auto"/>
              <w:jc w:val="right"/>
              <w:rPr>
                <w:rFonts w:eastAsia="Times New Roman" w:cs="Calibri"/>
                <w:color w:val="000000"/>
                <w:sz w:val="22"/>
                <w:szCs w:val="22"/>
                <w:lang w:eastAsia="en-AU"/>
              </w:rPr>
            </w:pPr>
            <w:r w:rsidRPr="00D95A1A">
              <w:rPr>
                <w:rFonts w:eastAsia="Times New Roman" w:cs="Calibri"/>
                <w:color w:val="000000"/>
                <w:sz w:val="22"/>
                <w:szCs w:val="22"/>
                <w:lang w:eastAsia="en-AU"/>
              </w:rPr>
              <w:t>5</w:t>
            </w:r>
          </w:p>
        </w:tc>
      </w:tr>
    </w:tbl>
    <w:p w:rsidR="00D95A1A" w:rsidRPr="00D95A1A" w:rsidRDefault="00D95A1A" w:rsidP="00D95A1A">
      <w:pPr>
        <w:spacing w:line="240" w:lineRule="auto"/>
        <w:ind w:right="-188"/>
        <w:rPr>
          <w:rFonts w:eastAsia="Times New Roman"/>
          <w:lang w:eastAsia="en-AU"/>
        </w:rPr>
      </w:pPr>
    </w:p>
    <w:p w:rsidR="00D95A1A" w:rsidRPr="00D95A1A" w:rsidRDefault="00D95A1A" w:rsidP="00D95A1A">
      <w:pPr>
        <w:spacing w:line="240" w:lineRule="auto"/>
        <w:ind w:right="-188"/>
        <w:rPr>
          <w:rFonts w:eastAsia="Times New Roman"/>
          <w:lang w:eastAsia="en-AU"/>
        </w:rPr>
      </w:pPr>
      <w:r w:rsidRPr="00D95A1A">
        <w:rPr>
          <w:rFonts w:eastAsia="Times New Roman"/>
          <w:lang w:eastAsia="en-AU"/>
        </w:rPr>
        <w:t>860 of these activities were identified as having an Indigenous focus; 160 were identified as having a humanitarian refugee focus.</w:t>
      </w:r>
    </w:p>
    <w:p w:rsidR="00D95A1A" w:rsidRPr="00D95A1A" w:rsidRDefault="00D95A1A" w:rsidP="00D95A1A">
      <w:pPr>
        <w:spacing w:line="240" w:lineRule="auto"/>
        <w:rPr>
          <w:rFonts w:eastAsia="Times New Roman"/>
          <w:lang w:eastAsia="en-AU"/>
        </w:rPr>
      </w:pPr>
    </w:p>
    <w:p w:rsidR="00D95A1A" w:rsidRPr="00D95A1A" w:rsidRDefault="00D95A1A" w:rsidP="00D95A1A">
      <w:pPr>
        <w:spacing w:line="240" w:lineRule="auto"/>
        <w:ind w:right="-188"/>
        <w:rPr>
          <w:rFonts w:eastAsia="Times New Roman"/>
          <w:lang w:eastAsia="en-AU"/>
        </w:rPr>
      </w:pPr>
    </w:p>
    <w:p w:rsidR="00D95A1A" w:rsidRPr="00D95A1A" w:rsidRDefault="00D95A1A" w:rsidP="00D95A1A">
      <w:pPr>
        <w:spacing w:line="240" w:lineRule="auto"/>
        <w:rPr>
          <w:rFonts w:eastAsia="Times New Roman" w:cs="Calibri"/>
          <w:b/>
          <w:bCs/>
          <w:color w:val="365F91"/>
          <w:sz w:val="28"/>
          <w:szCs w:val="28"/>
          <w:lang w:eastAsia="en-AU"/>
        </w:rPr>
      </w:pPr>
      <w:r w:rsidRPr="00D95A1A">
        <w:rPr>
          <w:rFonts w:eastAsia="Times New Roman" w:cs="Calibri"/>
          <w:lang w:eastAsia="en-AU"/>
        </w:rPr>
        <w:br w:type="page"/>
      </w:r>
    </w:p>
    <w:p w:rsidR="00D95A1A" w:rsidRPr="00D95A1A" w:rsidRDefault="00D95A1A" w:rsidP="00B508E7">
      <w:pPr>
        <w:pStyle w:val="Heading2"/>
        <w:rPr>
          <w:lang w:eastAsia="en-AU"/>
        </w:rPr>
      </w:pPr>
      <w:bookmarkStart w:id="32" w:name="_Toc384044200"/>
      <w:r w:rsidRPr="00D95A1A">
        <w:rPr>
          <w:lang w:eastAsia="en-AU"/>
        </w:rPr>
        <w:lastRenderedPageBreak/>
        <w:t>Strengthening Services in the Region</w:t>
      </w:r>
      <w:bookmarkEnd w:id="32"/>
    </w:p>
    <w:p w:rsidR="00D95A1A" w:rsidRPr="00D95A1A" w:rsidRDefault="00D95A1A" w:rsidP="00D95A1A">
      <w:pPr>
        <w:spacing w:line="240" w:lineRule="auto"/>
        <w:ind w:right="-188"/>
        <w:rPr>
          <w:rFonts w:eastAsia="Times New Roman"/>
          <w:lang w:eastAsia="en-AU"/>
        </w:rPr>
      </w:pPr>
      <w:r w:rsidRPr="00D95A1A">
        <w:rPr>
          <w:rFonts w:eastAsia="Times New Roman"/>
          <w:lang w:eastAsia="en-AU"/>
        </w:rPr>
        <w:t>Providers in Western Australia have conducted 394 activities to strengthen services in their region. 140 of these activities were identified as having an Indigenous focus, 36 were identified as having a humanitarian refugee focus.</w:t>
      </w:r>
    </w:p>
    <w:p w:rsidR="00D95A1A" w:rsidRPr="00D95A1A" w:rsidRDefault="00D95A1A" w:rsidP="00D95A1A">
      <w:pPr>
        <w:spacing w:line="240" w:lineRule="auto"/>
        <w:rPr>
          <w:rFonts w:eastAsia="Times New Roman" w:cs="Calibri"/>
          <w:b/>
          <w:bCs/>
          <w:color w:val="000000"/>
          <w:sz w:val="22"/>
          <w:szCs w:val="22"/>
          <w:lang w:eastAsia="en-AU"/>
        </w:rPr>
      </w:pPr>
    </w:p>
    <w:p w:rsidR="00D95A1A" w:rsidRPr="00D95A1A" w:rsidRDefault="00D95A1A" w:rsidP="00B508E7">
      <w:pPr>
        <w:pStyle w:val="Heading4"/>
        <w:spacing w:after="120"/>
        <w:rPr>
          <w:rFonts w:eastAsia="Times New Roman"/>
          <w:lang w:eastAsia="en-AU"/>
        </w:rPr>
      </w:pPr>
      <w:r w:rsidRPr="00D95A1A">
        <w:rPr>
          <w:rFonts w:eastAsia="Times New Roman"/>
          <w:lang w:eastAsia="en-AU"/>
        </w:rPr>
        <w:t>Table 28: WA Strengthening Services in the Region activities</w:t>
      </w:r>
    </w:p>
    <w:tbl>
      <w:tblPr>
        <w:tblStyle w:val="TableGrid2"/>
        <w:tblW w:w="0" w:type="auto"/>
        <w:tblLook w:val="04A0" w:firstRow="1" w:lastRow="0" w:firstColumn="1" w:lastColumn="0" w:noHBand="0" w:noVBand="1"/>
        <w:tblCaption w:val="Table 28: WA Strengthening Services in the Region activities"/>
        <w:tblDescription w:val="Table 28: WA Strengthening Services in the Region activities"/>
      </w:tblPr>
      <w:tblGrid>
        <w:gridCol w:w="6912"/>
        <w:gridCol w:w="1683"/>
        <w:gridCol w:w="1683"/>
      </w:tblGrid>
      <w:tr w:rsidR="00D95A1A" w:rsidRPr="00D95A1A" w:rsidTr="007D5CF1">
        <w:trPr>
          <w:tblHeader/>
        </w:trPr>
        <w:tc>
          <w:tcPr>
            <w:tcW w:w="6912" w:type="dxa"/>
            <w:shd w:val="clear" w:color="auto" w:fill="CCCCCC" w:themeFill="text2" w:themeFillTint="33"/>
            <w:vAlign w:val="center"/>
          </w:tcPr>
          <w:p w:rsidR="00D95A1A" w:rsidRPr="00B508E7" w:rsidRDefault="00D95A1A" w:rsidP="00D95A1A">
            <w:pPr>
              <w:spacing w:line="240" w:lineRule="auto"/>
              <w:jc w:val="center"/>
              <w:rPr>
                <w:rFonts w:asciiTheme="majorHAnsi" w:hAnsiTheme="majorHAnsi" w:cstheme="majorHAnsi"/>
                <w:b/>
                <w:sz w:val="22"/>
                <w:szCs w:val="22"/>
              </w:rPr>
            </w:pPr>
            <w:r w:rsidRPr="00B508E7">
              <w:rPr>
                <w:rFonts w:asciiTheme="majorHAnsi" w:hAnsiTheme="majorHAnsi" w:cstheme="majorHAnsi"/>
                <w:b/>
                <w:sz w:val="22"/>
                <w:szCs w:val="22"/>
              </w:rPr>
              <w:t>Outcome</w:t>
            </w:r>
          </w:p>
        </w:tc>
        <w:tc>
          <w:tcPr>
            <w:tcW w:w="1683" w:type="dxa"/>
            <w:shd w:val="clear" w:color="auto" w:fill="CCCCCC" w:themeFill="text2" w:themeFillTint="33"/>
            <w:vAlign w:val="center"/>
          </w:tcPr>
          <w:p w:rsidR="00D95A1A" w:rsidRPr="00B508E7" w:rsidRDefault="00D95A1A" w:rsidP="00D95A1A">
            <w:pPr>
              <w:spacing w:line="240" w:lineRule="auto"/>
              <w:jc w:val="center"/>
              <w:rPr>
                <w:rFonts w:asciiTheme="majorHAnsi" w:hAnsiTheme="majorHAnsi" w:cstheme="majorHAnsi"/>
                <w:b/>
                <w:sz w:val="22"/>
                <w:szCs w:val="22"/>
              </w:rPr>
            </w:pPr>
            <w:r w:rsidRPr="00B508E7">
              <w:rPr>
                <w:rFonts w:asciiTheme="majorHAnsi" w:hAnsiTheme="majorHAnsi" w:cstheme="majorHAnsi"/>
                <w:b/>
                <w:sz w:val="22"/>
                <w:szCs w:val="22"/>
              </w:rPr>
              <w:t>Number of times outcome selected</w:t>
            </w:r>
          </w:p>
        </w:tc>
        <w:tc>
          <w:tcPr>
            <w:tcW w:w="1683" w:type="dxa"/>
            <w:shd w:val="clear" w:color="auto" w:fill="CCCCCC" w:themeFill="text2" w:themeFillTint="33"/>
            <w:vAlign w:val="center"/>
          </w:tcPr>
          <w:p w:rsidR="00D95A1A" w:rsidRPr="00B508E7" w:rsidRDefault="00D95A1A" w:rsidP="00D95A1A">
            <w:pPr>
              <w:spacing w:line="240" w:lineRule="auto"/>
              <w:jc w:val="center"/>
              <w:rPr>
                <w:rFonts w:asciiTheme="majorHAnsi" w:hAnsiTheme="majorHAnsi" w:cstheme="majorHAnsi"/>
                <w:b/>
                <w:sz w:val="22"/>
                <w:szCs w:val="22"/>
              </w:rPr>
            </w:pPr>
            <w:r w:rsidRPr="00B508E7">
              <w:rPr>
                <w:rFonts w:asciiTheme="majorHAnsi" w:hAnsiTheme="majorHAnsi" w:cstheme="majorHAnsi"/>
                <w:b/>
                <w:sz w:val="22"/>
                <w:szCs w:val="22"/>
              </w:rPr>
              <w:t>Average rating</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Communication channels between agencies which support at risk young people were created or strengthened.</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294</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3.8</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Families and communities are more positively involved in the lives of at risk young people.</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91</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2.8</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Families of at risk young people are more involved in their community.</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52</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2.8</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Regional solutions were implemented to improve careers and transitions services in the region with a focus on supporting at risk young people.</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109</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3.4</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Schools and education providers established procedures with other agencies to identify at risk young people earlier.</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63</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3.3</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Schools and education providers increased their referrals to support at risk young people.</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72</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3.1</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Schools and education providers make referrals earlier to support at risk young people.</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52</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3.0</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Schools and other education providers were assisted to establish or share their best practice models for working with at risk young people.</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71</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3.5</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The use of infrastructure in the region to support at risk young people is better coordinated.</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178</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3.5</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There are improved referral channels for community resources which support at risk young people.</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181</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3.4</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There was a reduction in the duplication of community resources which support at risk young people.</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88</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3.5</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There was an increase in the number of schools that strengthened their procedures to support young people at risk of disengaging.</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120</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3.1</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There was an increase or improvement in the available services for families of at risk young people.</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83</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2.0</w:t>
            </w:r>
          </w:p>
        </w:tc>
      </w:tr>
      <w:tr w:rsidR="00D95A1A" w:rsidRPr="00D95A1A" w:rsidTr="004B3484">
        <w:tc>
          <w:tcPr>
            <w:tcW w:w="6912" w:type="dxa"/>
            <w:vAlign w:val="bottom"/>
          </w:tcPr>
          <w:p w:rsidR="00D95A1A" w:rsidRPr="00B508E7" w:rsidRDefault="00D95A1A" w:rsidP="00D95A1A">
            <w:pPr>
              <w:spacing w:line="240" w:lineRule="auto"/>
              <w:rPr>
                <w:rFonts w:asciiTheme="majorHAnsi" w:hAnsiTheme="majorHAnsi" w:cstheme="majorHAnsi"/>
                <w:color w:val="000000"/>
                <w:sz w:val="22"/>
                <w:szCs w:val="22"/>
              </w:rPr>
            </w:pPr>
            <w:r w:rsidRPr="00B508E7">
              <w:rPr>
                <w:rFonts w:asciiTheme="majorHAnsi" w:hAnsiTheme="majorHAnsi" w:cstheme="majorHAnsi"/>
                <w:color w:val="000000"/>
                <w:sz w:val="22"/>
                <w:szCs w:val="22"/>
              </w:rPr>
              <w:t>Young people disengage less frequently from school or education providers.</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70</w:t>
            </w:r>
          </w:p>
        </w:tc>
        <w:tc>
          <w:tcPr>
            <w:tcW w:w="1683" w:type="dxa"/>
            <w:vAlign w:val="bottom"/>
          </w:tcPr>
          <w:p w:rsidR="00D95A1A" w:rsidRPr="00B508E7" w:rsidRDefault="00D95A1A" w:rsidP="00D95A1A">
            <w:pPr>
              <w:spacing w:line="240" w:lineRule="auto"/>
              <w:jc w:val="right"/>
              <w:rPr>
                <w:rFonts w:asciiTheme="majorHAnsi" w:hAnsiTheme="majorHAnsi" w:cstheme="majorHAnsi"/>
                <w:color w:val="000000"/>
                <w:sz w:val="22"/>
                <w:szCs w:val="22"/>
              </w:rPr>
            </w:pPr>
            <w:r w:rsidRPr="00B508E7">
              <w:rPr>
                <w:rFonts w:asciiTheme="majorHAnsi" w:hAnsiTheme="majorHAnsi" w:cstheme="majorHAnsi"/>
                <w:color w:val="000000"/>
                <w:sz w:val="22"/>
                <w:szCs w:val="22"/>
              </w:rPr>
              <w:t>3.0</w:t>
            </w:r>
          </w:p>
        </w:tc>
      </w:tr>
    </w:tbl>
    <w:p w:rsidR="00D95A1A" w:rsidRPr="00D95A1A" w:rsidRDefault="00D95A1A" w:rsidP="00D95A1A">
      <w:pPr>
        <w:spacing w:line="240" w:lineRule="auto"/>
        <w:rPr>
          <w:rFonts w:eastAsia="Times New Roman"/>
          <w:lang w:eastAsia="en-AU"/>
        </w:rPr>
      </w:pPr>
    </w:p>
    <w:p w:rsidR="00065ACE" w:rsidRDefault="00065ACE" w:rsidP="00D95A1A">
      <w:pPr>
        <w:spacing w:line="240" w:lineRule="auto"/>
        <w:sectPr w:rsidR="00065ACE" w:rsidSect="004B3484">
          <w:pgSz w:w="11906" w:h="16838"/>
          <w:pgMar w:top="1134" w:right="993" w:bottom="1440" w:left="851" w:header="708" w:footer="708" w:gutter="0"/>
          <w:cols w:space="708"/>
          <w:docGrid w:linePitch="360"/>
        </w:sectPr>
      </w:pPr>
    </w:p>
    <w:p w:rsidR="00065ACE" w:rsidRPr="00065ACE" w:rsidRDefault="00065ACE" w:rsidP="00B508E7">
      <w:pPr>
        <w:pStyle w:val="Heading1"/>
      </w:pPr>
      <w:bookmarkStart w:id="33" w:name="_Toc332716699"/>
      <w:bookmarkStart w:id="34" w:name="_Toc355773741"/>
      <w:bookmarkStart w:id="35" w:name="_Toc292696789"/>
      <w:bookmarkStart w:id="36" w:name="_Toc384044201"/>
      <w:r w:rsidRPr="00065ACE">
        <w:lastRenderedPageBreak/>
        <w:t>ANNEXURE 1 B – School Business Community Partnership Brokers - WA</w:t>
      </w:r>
      <w:bookmarkEnd w:id="36"/>
    </w:p>
    <w:p w:rsidR="00065ACE" w:rsidRPr="00065ACE" w:rsidRDefault="00EC7A08" w:rsidP="00B508E7">
      <w:pPr>
        <w:pStyle w:val="Heading2"/>
        <w:rPr>
          <w:lang w:eastAsia="en-AU"/>
        </w:rPr>
      </w:pPr>
      <w:bookmarkStart w:id="37" w:name="_Toc384044202"/>
      <w:r w:rsidRPr="00065ACE">
        <w:rPr>
          <w:lang w:eastAsia="en-AU"/>
        </w:rPr>
        <w:t>National Summary</w:t>
      </w:r>
      <w:bookmarkEnd w:id="33"/>
      <w:bookmarkEnd w:id="34"/>
      <w:bookmarkEnd w:id="37"/>
    </w:p>
    <w:p w:rsidR="00065ACE" w:rsidRPr="00065ACE" w:rsidRDefault="00065ACE" w:rsidP="00B508E7">
      <w:pPr>
        <w:pStyle w:val="Heading3"/>
      </w:pPr>
      <w:bookmarkStart w:id="38" w:name="_Toc332716700"/>
      <w:bookmarkStart w:id="39" w:name="_Toc355773742"/>
      <w:r w:rsidRPr="00065ACE">
        <w:t>Introduction</w:t>
      </w:r>
      <w:bookmarkEnd w:id="38"/>
      <w:bookmarkEnd w:id="39"/>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The </w:t>
      </w:r>
      <w:r w:rsidRPr="00065ACE">
        <w:rPr>
          <w:rFonts w:eastAsia="Times New Roman" w:cs="Calibri"/>
          <w:i/>
          <w:sz w:val="22"/>
          <w:szCs w:val="22"/>
          <w:lang w:val="en-US"/>
        </w:rPr>
        <w:t>2008</w:t>
      </w:r>
      <w:r w:rsidRPr="00065ACE">
        <w:rPr>
          <w:rFonts w:eastAsia="Times New Roman" w:cs="Calibri"/>
          <w:sz w:val="22"/>
          <w:szCs w:val="22"/>
          <w:lang w:val="en-US"/>
        </w:rPr>
        <w:t xml:space="preserve"> </w:t>
      </w:r>
      <w:r w:rsidRPr="00065ACE">
        <w:rPr>
          <w:rFonts w:eastAsia="Times New Roman" w:cs="Calibri"/>
          <w:i/>
          <w:sz w:val="22"/>
          <w:szCs w:val="22"/>
          <w:lang w:val="en-US"/>
        </w:rPr>
        <w:t xml:space="preserve">Melbourne Declaration on Educational Goals for Young Australians, </w:t>
      </w:r>
      <w:r w:rsidRPr="00065ACE">
        <w:rPr>
          <w:rFonts w:eastAsia="Times New Roman" w:cs="Calibri"/>
          <w:sz w:val="22"/>
          <w:szCs w:val="22"/>
          <w:lang w:val="en-US"/>
        </w:rPr>
        <w:t xml:space="preserve">agreed to by all Australian governments, </w:t>
      </w:r>
      <w:proofErr w:type="spellStart"/>
      <w:r w:rsidRPr="00065ACE">
        <w:rPr>
          <w:rFonts w:eastAsia="Times New Roman" w:cs="Calibri"/>
          <w:sz w:val="22"/>
          <w:szCs w:val="22"/>
          <w:lang w:val="en-US"/>
        </w:rPr>
        <w:t>recognises</w:t>
      </w:r>
      <w:proofErr w:type="spellEnd"/>
      <w:r w:rsidRPr="00065ACE">
        <w:rPr>
          <w:rFonts w:eastAsia="Times New Roman" w:cs="Calibri"/>
          <w:sz w:val="22"/>
          <w:szCs w:val="22"/>
          <w:lang w:val="en-US"/>
        </w:rPr>
        <w:t xml:space="preserve"> that educating our young people is the responsibility of the entire community, not just schools. In many cases, </w:t>
      </w:r>
      <w:proofErr w:type="spellStart"/>
      <w:r w:rsidRPr="00065ACE">
        <w:rPr>
          <w:rFonts w:eastAsia="Times New Roman" w:cs="Calibri"/>
          <w:sz w:val="22"/>
          <w:szCs w:val="22"/>
          <w:lang w:val="en-US"/>
        </w:rPr>
        <w:t>realising</w:t>
      </w:r>
      <w:proofErr w:type="spellEnd"/>
      <w:r w:rsidRPr="00065ACE">
        <w:rPr>
          <w:rFonts w:eastAsia="Times New Roman" w:cs="Calibri"/>
          <w:sz w:val="22"/>
          <w:szCs w:val="22"/>
          <w:lang w:val="en-US"/>
        </w:rPr>
        <w:t xml:space="preserve"> this collective responsibility requires a cultural shift and innovative approaches in order to bring about the systemic change that is needed. Change at this level often requires the sort of cross-sector collaboration that is best achieved through a partnership approach. This has led to an increasing focus on schools developing partnerships with business and the broader community. Therefore, it is not surprising that the Declaration lists ‘</w:t>
      </w:r>
      <w:r w:rsidRPr="00065ACE">
        <w:rPr>
          <w:rFonts w:eastAsia="Times New Roman" w:cs="Calibri"/>
          <w:i/>
          <w:sz w:val="22"/>
          <w:szCs w:val="22"/>
          <w:lang w:val="en-US"/>
        </w:rPr>
        <w:t>developing</w:t>
      </w:r>
      <w:r w:rsidRPr="00065ACE">
        <w:rPr>
          <w:rFonts w:eastAsia="Times New Roman" w:cs="Calibri"/>
          <w:sz w:val="22"/>
          <w:szCs w:val="22"/>
          <w:lang w:val="en-US"/>
        </w:rPr>
        <w:t xml:space="preserve"> </w:t>
      </w:r>
      <w:r w:rsidRPr="00065ACE">
        <w:rPr>
          <w:rFonts w:eastAsia="Times New Roman" w:cs="Calibri"/>
          <w:i/>
          <w:sz w:val="22"/>
          <w:szCs w:val="22"/>
          <w:lang w:val="en-US"/>
        </w:rPr>
        <w:t>stronger partnerships’</w:t>
      </w:r>
      <w:r w:rsidRPr="00065ACE">
        <w:rPr>
          <w:rFonts w:eastAsia="Times New Roman" w:cs="Calibri"/>
          <w:sz w:val="22"/>
          <w:szCs w:val="22"/>
          <w:lang w:val="en-US"/>
        </w:rPr>
        <w:t xml:space="preserve"> among its eight areas of commitment to action.</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It is within this context that the School Business Community Partnership Brokers (Partnership Brokers) program was put in place to build partnerships that support young people to reach their full educational and social potential. While some schools are already engaging in partnerships, we know that many schools, businesses and communities need support to make connections, build networks and develop partnering skills. Partnership Brokers offer this support and assist people and organisations to enter into partnership arrangements, provide tailored support as partners move through the various stages of partnership development and support partnerships to achieve their goals.</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The support provided by Partnership Brokers is particularly important for disadvantaged communities, including Indigenous and low SES communities, which lack the networks, connections and/or infrastructure needed to support their young people. Program data shows that approximately 39 per cent of the schools involved in partnerships, supported by Partnership Brokers, are from the most disadvantaged quartile based on their Index of Community Socio-Educational Advantage (</w:t>
      </w:r>
      <w:proofErr w:type="spellStart"/>
      <w:r w:rsidRPr="00065ACE">
        <w:rPr>
          <w:rFonts w:eastAsia="Times New Roman" w:cs="Calibri"/>
          <w:sz w:val="22"/>
          <w:szCs w:val="22"/>
          <w:lang w:val="en-US"/>
        </w:rPr>
        <w:t>ICSEA</w:t>
      </w:r>
      <w:proofErr w:type="spellEnd"/>
      <w:r w:rsidRPr="00065ACE">
        <w:rPr>
          <w:rFonts w:eastAsia="Times New Roman" w:cs="Calibri"/>
          <w:sz w:val="22"/>
          <w:szCs w:val="22"/>
          <w:vertAlign w:val="superscript"/>
          <w:lang w:val="en-US"/>
        </w:rPr>
        <w:footnoteReference w:id="3"/>
      </w:r>
      <w:r w:rsidRPr="00065ACE">
        <w:rPr>
          <w:rFonts w:eastAsia="Times New Roman" w:cs="Calibri"/>
          <w:sz w:val="22"/>
          <w:szCs w:val="22"/>
          <w:lang w:val="en-US"/>
        </w:rPr>
        <w:t xml:space="preserve">) value.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The Partnership Brokers program is underpinned by the simple premise that by working together we can achieve outcomes that would not have been possible if each of us acted alone. Previous Commonwealth programs in the youth and transitions area focused on direct service delivery and ‘doing things’ for schools, business and community, rather than supporting the cultural shift and lasting reforms that are required to bring about a whole-of-community approach to supporting young people. Partnership Brokers build the capacity of communities to work together to drive change and take responsibility for the learning and development of their young people.</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One of the great strengths of the Partnership Brokers program is the flexibility to tailor partnerships to meet the needs of communities and their young people. The partnerships being supported by the program are as diverse as the communities they </w:t>
      </w:r>
      <w:proofErr w:type="gramStart"/>
      <w:r w:rsidRPr="00065ACE">
        <w:rPr>
          <w:rFonts w:eastAsia="Times New Roman" w:cs="Calibri"/>
          <w:sz w:val="22"/>
          <w:szCs w:val="22"/>
          <w:lang w:val="en-US"/>
        </w:rPr>
        <w:t>serve,</w:t>
      </w:r>
      <w:proofErr w:type="gramEnd"/>
      <w:r w:rsidRPr="00065ACE">
        <w:rPr>
          <w:rFonts w:eastAsia="Times New Roman" w:cs="Calibri"/>
          <w:sz w:val="22"/>
          <w:szCs w:val="22"/>
          <w:lang w:val="en-US"/>
        </w:rPr>
        <w:t xml:space="preserve"> however, they are bound by the common thread of improving outcomes for young people. There are examples of partnerships adding value to local, state and Commonwealth programs and initiatives, as well as examples of innovative new partnership models being established to meet a community’s needs.</w:t>
      </w:r>
    </w:p>
    <w:p w:rsidR="00065ACE" w:rsidRPr="00065ACE" w:rsidRDefault="00065ACE" w:rsidP="00B508E7">
      <w:pPr>
        <w:pStyle w:val="Heading3"/>
      </w:pPr>
      <w:bookmarkStart w:id="40" w:name="_Toc332716701"/>
      <w:bookmarkStart w:id="41" w:name="_Toc355773743"/>
      <w:r w:rsidRPr="00065ACE">
        <w:t>Program Status</w:t>
      </w:r>
      <w:bookmarkEnd w:id="40"/>
      <w:bookmarkEnd w:id="41"/>
      <w:r w:rsidRPr="00065ACE">
        <w:t xml:space="preserve">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As at April 2013, there were approximately 1600 active and self-sustaining partnerships associated with Partnership Brokers nationally (excludes Victorian data</w:t>
      </w:r>
      <w:r w:rsidRPr="00065ACE">
        <w:rPr>
          <w:rFonts w:eastAsia="Times New Roman" w:cs="Calibri"/>
          <w:sz w:val="22"/>
          <w:szCs w:val="22"/>
          <w:vertAlign w:val="superscript"/>
          <w:lang w:val="en-US"/>
        </w:rPr>
        <w:footnoteReference w:id="4"/>
      </w:r>
      <w:r w:rsidRPr="00065ACE">
        <w:rPr>
          <w:rFonts w:eastAsia="Times New Roman" w:cs="Calibri"/>
          <w:sz w:val="22"/>
          <w:szCs w:val="22"/>
          <w:lang w:val="en-US"/>
        </w:rPr>
        <w:t xml:space="preserve">) involving almost 5300 partner organisations. These partnerships are undertaking a range of activity to support the learning and development of young people in </w:t>
      </w:r>
      <w:r w:rsidRPr="00065ACE">
        <w:rPr>
          <w:rFonts w:eastAsia="Times New Roman" w:cs="Calibri"/>
          <w:sz w:val="22"/>
          <w:szCs w:val="22"/>
          <w:lang w:val="en-US"/>
        </w:rPr>
        <w:lastRenderedPageBreak/>
        <w:t>their community. Approximately 20 per cent of these partnerships have an Indigenous focus. There have been approximately 13 700 Outcomes Framework Key Performance Measure (</w:t>
      </w:r>
      <w:proofErr w:type="spellStart"/>
      <w:r w:rsidRPr="00065ACE">
        <w:rPr>
          <w:rFonts w:eastAsia="Times New Roman" w:cs="Calibri"/>
          <w:sz w:val="22"/>
          <w:szCs w:val="22"/>
          <w:lang w:val="en-US"/>
        </w:rPr>
        <w:t>KPM</w:t>
      </w:r>
      <w:proofErr w:type="spellEnd"/>
      <w:r w:rsidRPr="00065ACE">
        <w:rPr>
          <w:rFonts w:eastAsia="Times New Roman" w:cs="Calibri"/>
          <w:sz w:val="22"/>
          <w:szCs w:val="22"/>
          <w:lang w:val="en-US"/>
        </w:rPr>
        <w:t>) evaluations with approximately 5400 (39%) of those evaluations rating the partnership’s progress as ‘Considerable’ or ‘Achieved’</w:t>
      </w:r>
      <w:r w:rsidRPr="00065ACE">
        <w:rPr>
          <w:rFonts w:eastAsia="Times New Roman" w:cs="Calibri"/>
          <w:sz w:val="22"/>
          <w:szCs w:val="22"/>
          <w:vertAlign w:val="superscript"/>
          <w:lang w:val="en-US"/>
        </w:rPr>
        <w:footnoteReference w:id="5"/>
      </w:r>
      <w:r w:rsidRPr="00065ACE">
        <w:rPr>
          <w:rFonts w:eastAsia="Times New Roman" w:cs="Calibri"/>
          <w:sz w:val="22"/>
          <w:szCs w:val="22"/>
          <w:lang w:val="en-US"/>
        </w:rPr>
        <w:t>. Approximately 86 per cent of the partnerships being supported by Partnership Brokers are newly created. The remaining 14 per cent are pre-existing partnerships that are being enhanced with support from the Partnership Brokers.</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A number of one page partnership ‘snapshots’ have been developed in order to share good practice across the network, promote the benefits of partnering and highlight the support available through the Partnership Brokers program. Snapshots have provided some excellent examples of partnership initiatives across a broad range of focus areas involving a variety of stakeholders. They include examples of providers leveraging off and adding value to local, state and Commonwealth programs/initiatives, as well as examples of innovative partnership models being established to meet the needs of young people. Snapshots and case studies have also highlighted the complex, multifaceted nature of the Partnership Broker role. A selection of snapshots is attached at the end of this report and can also be located under the ‘Success Stories’ section of the Youth Attainment and Transitions website: </w:t>
      </w:r>
      <w:hyperlink r:id="rId45" w:history="1">
        <w:r w:rsidRPr="00065ACE">
          <w:rPr>
            <w:rFonts w:eastAsia="Times New Roman" w:cs="Calibri"/>
            <w:color w:val="0000FF"/>
            <w:sz w:val="22"/>
            <w:szCs w:val="22"/>
            <w:u w:val="single"/>
            <w:lang w:val="en-US"/>
          </w:rPr>
          <w:t>www.transitions.youth.gov.au</w:t>
        </w:r>
      </w:hyperlink>
      <w:r w:rsidR="007D5CF1">
        <w:rPr>
          <w:rFonts w:eastAsia="Times New Roman" w:cs="Calibri"/>
          <w:color w:val="0000FF"/>
          <w:sz w:val="22"/>
          <w:szCs w:val="22"/>
          <w:u w:val="single"/>
          <w:lang w:val="en-US"/>
        </w:rPr>
        <w:t>.</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In March 2012, Partnership Brokers across the country (excluding Victoria</w:t>
      </w:r>
      <w:r w:rsidRPr="00065ACE">
        <w:rPr>
          <w:rFonts w:eastAsia="Times New Roman" w:cs="Calibri"/>
          <w:sz w:val="22"/>
          <w:szCs w:val="22"/>
          <w:vertAlign w:val="superscript"/>
          <w:lang w:val="en-US"/>
        </w:rPr>
        <w:footnoteReference w:id="6"/>
      </w:r>
      <w:r w:rsidRPr="00065ACE">
        <w:rPr>
          <w:rFonts w:eastAsia="Times New Roman" w:cs="Calibri"/>
          <w:sz w:val="22"/>
          <w:szCs w:val="22"/>
          <w:lang w:val="en-US"/>
        </w:rPr>
        <w:t xml:space="preserve">) administered a Partner Survey to capture partner </w:t>
      </w:r>
      <w:proofErr w:type="spellStart"/>
      <w:r w:rsidRPr="00065ACE">
        <w:rPr>
          <w:rFonts w:eastAsia="Times New Roman" w:cs="Calibri"/>
          <w:sz w:val="22"/>
          <w:szCs w:val="22"/>
          <w:lang w:val="en-US"/>
        </w:rPr>
        <w:t>organisations’</w:t>
      </w:r>
      <w:proofErr w:type="spellEnd"/>
      <w:r w:rsidRPr="00065ACE">
        <w:rPr>
          <w:rFonts w:eastAsia="Times New Roman" w:cs="Calibri"/>
          <w:sz w:val="22"/>
          <w:szCs w:val="22"/>
          <w:lang w:val="en-US"/>
        </w:rPr>
        <w:t xml:space="preserve"> views on the quality of the partnership they are involved in and the effectiveness of the Partnership Broker role. The survey was administered to a random sample of over 4000 schools, businesses, community groups and parent and family stakeholders involved in partnerships. The survey was designed to complement other program evaluation activities and to validate aspects of provider reporting. The survey results were overwhelmingly positive and showed that the vast majority of partner organisations feel that their partnership possesses the key characteristics for effective partnering and is achieving outcomes that support their community and its young people. The results also indicated that partner organisations are strong believers in the benefits of a partnership approach and highly value the support provided by Partnership Brokers. Approximately 80 per cent of the schools surveyed agreed or strongly agreed that their Partnership Broker had helped them become more engaged with their community. Further information and analysis of survey results are available in the 2012 Partner Survey Report which is available on the Youth Attainment and Transitions website: </w:t>
      </w:r>
      <w:hyperlink r:id="rId46" w:history="1">
        <w:r w:rsidRPr="00065ACE">
          <w:rPr>
            <w:rFonts w:eastAsia="Times New Roman" w:cs="Calibri"/>
            <w:color w:val="0000FF"/>
            <w:sz w:val="22"/>
            <w:szCs w:val="22"/>
            <w:u w:val="single"/>
            <w:lang w:val="en-US"/>
          </w:rPr>
          <w:t>www.transitions.youth.gov.au</w:t>
        </w:r>
      </w:hyperlink>
      <w:r w:rsidR="007D5CF1">
        <w:rPr>
          <w:rFonts w:eastAsia="Times New Roman" w:cs="Calibri"/>
          <w:color w:val="0000FF"/>
          <w:sz w:val="22"/>
          <w:szCs w:val="22"/>
          <w:u w:val="single"/>
          <w:lang w:val="en-US"/>
        </w:rPr>
        <w:t>.</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In January 2013, </w:t>
      </w:r>
      <w:proofErr w:type="spellStart"/>
      <w:r w:rsidRPr="00065ACE">
        <w:rPr>
          <w:rFonts w:eastAsia="Times New Roman" w:cs="Calibri"/>
          <w:sz w:val="22"/>
          <w:szCs w:val="22"/>
          <w:lang w:val="en-US"/>
        </w:rPr>
        <w:t>dandolopartners</w:t>
      </w:r>
      <w:proofErr w:type="spellEnd"/>
      <w:r w:rsidRPr="00065ACE">
        <w:rPr>
          <w:rFonts w:eastAsia="Times New Roman" w:cs="Calibri"/>
          <w:sz w:val="22"/>
          <w:szCs w:val="22"/>
          <w:lang w:val="en-US"/>
        </w:rPr>
        <w:t xml:space="preserve"> released their second Interim Evaluation Report (</w:t>
      </w:r>
      <w:proofErr w:type="spellStart"/>
      <w:r w:rsidRPr="00065ACE">
        <w:rPr>
          <w:rFonts w:eastAsia="Times New Roman" w:cs="Calibri"/>
          <w:sz w:val="22"/>
          <w:szCs w:val="22"/>
          <w:lang w:val="en-US"/>
        </w:rPr>
        <w:t>Dandolo’s</w:t>
      </w:r>
      <w:proofErr w:type="spellEnd"/>
      <w:r w:rsidRPr="00065ACE">
        <w:rPr>
          <w:rFonts w:eastAsia="Times New Roman" w:cs="Calibri"/>
          <w:sz w:val="22"/>
          <w:szCs w:val="22"/>
          <w:lang w:val="en-US"/>
        </w:rPr>
        <w:t xml:space="preserve"> Report) as part of a three-year independent evaluation of the National Partnership (NP) on Youth Attainment and Transitions (YAT). While </w:t>
      </w:r>
      <w:proofErr w:type="spellStart"/>
      <w:r w:rsidRPr="00065ACE">
        <w:rPr>
          <w:rFonts w:eastAsia="Times New Roman" w:cs="Calibri"/>
          <w:sz w:val="22"/>
          <w:szCs w:val="22"/>
          <w:lang w:val="en-US"/>
        </w:rPr>
        <w:t>Dandolo’s</w:t>
      </w:r>
      <w:proofErr w:type="spellEnd"/>
      <w:r w:rsidRPr="00065ACE">
        <w:rPr>
          <w:rFonts w:eastAsia="Times New Roman" w:cs="Calibri"/>
          <w:sz w:val="22"/>
          <w:szCs w:val="22"/>
          <w:lang w:val="en-US"/>
        </w:rPr>
        <w:t xml:space="preserve"> Report does not reflect a detailed evaluation of the Partnership Brokers program, it does provide a high level assessment of the status and progress of each element of the NP, including the Partnership Brokers program.</w:t>
      </w:r>
    </w:p>
    <w:p w:rsidR="00065ACE" w:rsidRPr="00065ACE" w:rsidRDefault="00065ACE" w:rsidP="00065ACE">
      <w:pPr>
        <w:spacing w:before="120" w:after="120" w:line="240" w:lineRule="auto"/>
        <w:ind w:right="34"/>
        <w:rPr>
          <w:rFonts w:eastAsia="Times New Roman" w:cs="Calibri"/>
          <w:sz w:val="22"/>
          <w:szCs w:val="22"/>
          <w:lang w:val="en-US"/>
        </w:rPr>
      </w:pPr>
      <w:proofErr w:type="spellStart"/>
      <w:r w:rsidRPr="00065ACE">
        <w:rPr>
          <w:rFonts w:eastAsia="Times New Roman" w:cs="Calibri"/>
          <w:sz w:val="22"/>
          <w:szCs w:val="22"/>
          <w:lang w:val="en-US"/>
        </w:rPr>
        <w:t>Dandolo’s</w:t>
      </w:r>
      <w:proofErr w:type="spellEnd"/>
      <w:r w:rsidRPr="00065ACE">
        <w:rPr>
          <w:rFonts w:eastAsia="Times New Roman" w:cs="Calibri"/>
          <w:sz w:val="22"/>
          <w:szCs w:val="22"/>
          <w:lang w:val="en-US"/>
        </w:rPr>
        <w:t xml:space="preserve"> Report found that the Partnership Brokers program has continued to make steady progress, with improvements in the number and quality of partnerships it supports. </w:t>
      </w:r>
      <w:proofErr w:type="spellStart"/>
      <w:r w:rsidRPr="00065ACE">
        <w:rPr>
          <w:rFonts w:eastAsia="Times New Roman" w:cs="Calibri"/>
          <w:sz w:val="22"/>
          <w:szCs w:val="22"/>
          <w:lang w:val="en-US"/>
        </w:rPr>
        <w:t>Dandolo’s</w:t>
      </w:r>
      <w:proofErr w:type="spellEnd"/>
      <w:r w:rsidRPr="00065ACE">
        <w:rPr>
          <w:rFonts w:eastAsia="Times New Roman" w:cs="Calibri"/>
          <w:sz w:val="22"/>
          <w:szCs w:val="22"/>
          <w:lang w:val="en-US"/>
        </w:rPr>
        <w:t xml:space="preserve"> Report also acknowledged the high level of support for the program from partner organisations and found that Partnership Brokers are having increased success engaging with schools.</w:t>
      </w:r>
    </w:p>
    <w:p w:rsidR="00065ACE" w:rsidRPr="00065ACE" w:rsidRDefault="00065ACE" w:rsidP="00B508E7">
      <w:pPr>
        <w:pStyle w:val="Heading3"/>
      </w:pPr>
      <w:bookmarkStart w:id="42" w:name="_Toc355773744"/>
      <w:bookmarkStart w:id="43" w:name="_Toc332716702"/>
      <w:r w:rsidRPr="00065ACE">
        <w:t>Social Return on Investment Evaluation</w:t>
      </w:r>
      <w:bookmarkEnd w:id="42"/>
    </w:p>
    <w:p w:rsidR="00065ACE" w:rsidRPr="00065ACE" w:rsidRDefault="00065ACE" w:rsidP="00065ACE">
      <w:pPr>
        <w:spacing w:after="120" w:line="240" w:lineRule="auto"/>
        <w:rPr>
          <w:rFonts w:eastAsia="Times New Roman" w:cs="Calibri"/>
          <w:sz w:val="22"/>
          <w:szCs w:val="22"/>
          <w:lang w:eastAsia="en-AU"/>
        </w:rPr>
      </w:pPr>
      <w:r w:rsidRPr="00065ACE">
        <w:rPr>
          <w:rFonts w:eastAsia="Times New Roman" w:cs="Calibri"/>
          <w:sz w:val="22"/>
          <w:szCs w:val="22"/>
          <w:lang w:val="en-US"/>
        </w:rPr>
        <w:t xml:space="preserve">Within the context of </w:t>
      </w:r>
      <w:proofErr w:type="spellStart"/>
      <w:r w:rsidRPr="00065ACE">
        <w:rPr>
          <w:rFonts w:eastAsia="Times New Roman" w:cs="Calibri"/>
          <w:sz w:val="22"/>
          <w:szCs w:val="22"/>
          <w:lang w:val="en-US"/>
        </w:rPr>
        <w:t>Dandolo’s</w:t>
      </w:r>
      <w:proofErr w:type="spellEnd"/>
      <w:r w:rsidRPr="00065ACE">
        <w:rPr>
          <w:rFonts w:eastAsia="Times New Roman" w:cs="Calibri"/>
          <w:sz w:val="22"/>
          <w:szCs w:val="22"/>
          <w:lang w:val="en-US"/>
        </w:rPr>
        <w:t xml:space="preserve"> recommendation that</w:t>
      </w:r>
      <w:r w:rsidRPr="00065ACE">
        <w:rPr>
          <w:rFonts w:eastAsia="Times New Roman" w:cs="Calibri"/>
          <w:sz w:val="22"/>
          <w:szCs w:val="22"/>
        </w:rPr>
        <w:t xml:space="preserve"> a detailed evaluation of the Partnership Brokers program should occur, the Partnership Brokers National Network commissioned Social Ventures Australia (</w:t>
      </w:r>
      <w:proofErr w:type="spellStart"/>
      <w:r w:rsidRPr="00065ACE">
        <w:rPr>
          <w:rFonts w:eastAsia="Times New Roman" w:cs="Calibri"/>
          <w:sz w:val="22"/>
          <w:szCs w:val="22"/>
        </w:rPr>
        <w:t>SVA</w:t>
      </w:r>
      <w:proofErr w:type="spellEnd"/>
      <w:r w:rsidRPr="00065ACE">
        <w:rPr>
          <w:rFonts w:eastAsia="Times New Roman" w:cs="Calibri"/>
          <w:sz w:val="22"/>
          <w:szCs w:val="22"/>
        </w:rPr>
        <w:t>) to undertake a Social Return on Investment (</w:t>
      </w:r>
      <w:proofErr w:type="spellStart"/>
      <w:r w:rsidRPr="00065ACE">
        <w:rPr>
          <w:rFonts w:eastAsia="Times New Roman" w:cs="Calibri"/>
          <w:sz w:val="22"/>
          <w:szCs w:val="22"/>
        </w:rPr>
        <w:t>SROI</w:t>
      </w:r>
      <w:proofErr w:type="spellEnd"/>
      <w:r w:rsidRPr="00065ACE">
        <w:rPr>
          <w:rFonts w:eastAsia="Times New Roman" w:cs="Calibri"/>
          <w:sz w:val="22"/>
          <w:szCs w:val="22"/>
        </w:rPr>
        <w:t xml:space="preserve">) evaluation of a number of Partnership Broker regions. The evaluation project commenced in August 2012 and concluded in April 2013 with the release of a series of evaluation reports.  </w:t>
      </w:r>
    </w:p>
    <w:p w:rsidR="00065ACE" w:rsidRPr="00065ACE" w:rsidRDefault="00065ACE" w:rsidP="00065ACE">
      <w:pPr>
        <w:spacing w:after="120" w:line="240" w:lineRule="auto"/>
        <w:rPr>
          <w:rFonts w:eastAsia="Times New Roman" w:cs="Calibri"/>
          <w:sz w:val="22"/>
          <w:szCs w:val="22"/>
          <w:lang w:val="en-US"/>
        </w:rPr>
      </w:pPr>
      <w:proofErr w:type="spellStart"/>
      <w:r w:rsidRPr="00065ACE">
        <w:rPr>
          <w:rFonts w:eastAsia="Times New Roman" w:cs="Calibri"/>
          <w:sz w:val="22"/>
          <w:szCs w:val="22"/>
          <w:lang w:val="en-US"/>
        </w:rPr>
        <w:t>SROI</w:t>
      </w:r>
      <w:proofErr w:type="spellEnd"/>
      <w:r w:rsidRPr="00065ACE">
        <w:rPr>
          <w:rFonts w:eastAsia="Times New Roman" w:cs="Calibri"/>
          <w:sz w:val="22"/>
          <w:szCs w:val="22"/>
          <w:lang w:val="en-US"/>
        </w:rPr>
        <w:t xml:space="preserve"> is a framework that provides a </w:t>
      </w:r>
      <w:proofErr w:type="spellStart"/>
      <w:r w:rsidRPr="00065ACE">
        <w:rPr>
          <w:rFonts w:eastAsia="Times New Roman" w:cs="Calibri"/>
          <w:sz w:val="22"/>
          <w:szCs w:val="22"/>
          <w:lang w:val="en-US"/>
        </w:rPr>
        <w:t>recognised</w:t>
      </w:r>
      <w:proofErr w:type="spellEnd"/>
      <w:r w:rsidRPr="00065ACE">
        <w:rPr>
          <w:rFonts w:eastAsia="Times New Roman" w:cs="Calibri"/>
          <w:sz w:val="22"/>
          <w:szCs w:val="22"/>
          <w:lang w:val="en-US"/>
        </w:rPr>
        <w:t xml:space="preserve"> methodology to measure the social, economic and environmental impact of an </w:t>
      </w:r>
      <w:proofErr w:type="spellStart"/>
      <w:r w:rsidRPr="00065ACE">
        <w:rPr>
          <w:rFonts w:eastAsia="Times New Roman" w:cs="Calibri"/>
          <w:sz w:val="22"/>
          <w:szCs w:val="22"/>
          <w:lang w:val="en-US"/>
        </w:rPr>
        <w:t>organisation</w:t>
      </w:r>
      <w:proofErr w:type="spellEnd"/>
      <w:r w:rsidRPr="00065ACE">
        <w:rPr>
          <w:rFonts w:eastAsia="Times New Roman" w:cs="Calibri"/>
          <w:sz w:val="22"/>
          <w:szCs w:val="22"/>
          <w:lang w:val="en-US"/>
        </w:rPr>
        <w:t xml:space="preserve"> or program. The evaluation found that partnerships supported through the program help partners to share resources and expertise to build each other’s capacity and capability. This delivers changes in the way partner organisations operate and support young people. These changes lead to benefits for young people, helping them to complete their schooling, and make a successful transition to further education, training or work.</w:t>
      </w:r>
    </w:p>
    <w:p w:rsidR="00065ACE" w:rsidRPr="00065ACE" w:rsidRDefault="00065ACE" w:rsidP="00065ACE">
      <w:pPr>
        <w:spacing w:before="120" w:after="120" w:line="240" w:lineRule="auto"/>
        <w:ind w:right="34"/>
        <w:rPr>
          <w:rFonts w:eastAsia="Times New Roman" w:cs="Calibri"/>
          <w:color w:val="000000"/>
          <w:sz w:val="22"/>
          <w:szCs w:val="22"/>
          <w:lang w:val="en-US"/>
        </w:rPr>
      </w:pPr>
      <w:r w:rsidRPr="00065ACE">
        <w:rPr>
          <w:rFonts w:eastAsia="Times New Roman" w:cs="Calibri"/>
          <w:color w:val="000000"/>
          <w:sz w:val="22"/>
          <w:szCs w:val="22"/>
          <w:lang w:val="en-US"/>
        </w:rPr>
        <w:lastRenderedPageBreak/>
        <w:t xml:space="preserve">The </w:t>
      </w:r>
      <w:proofErr w:type="spellStart"/>
      <w:r w:rsidRPr="00065ACE">
        <w:rPr>
          <w:rFonts w:eastAsia="Times New Roman" w:cs="Calibri"/>
          <w:color w:val="000000"/>
          <w:sz w:val="22"/>
          <w:szCs w:val="22"/>
          <w:lang w:val="en-US"/>
        </w:rPr>
        <w:t>SROI</w:t>
      </w:r>
      <w:proofErr w:type="spellEnd"/>
      <w:r w:rsidRPr="00065ACE">
        <w:rPr>
          <w:rFonts w:eastAsia="Times New Roman" w:cs="Calibri"/>
          <w:color w:val="000000"/>
          <w:sz w:val="22"/>
          <w:szCs w:val="22"/>
          <w:lang w:val="en-US"/>
        </w:rPr>
        <w:t xml:space="preserve"> evaluation provides valuable insights into the process of partnering, the benefits experienced by partner organisations and the importance of an independent broker in supporting the development of school, business and community partnerships.</w:t>
      </w:r>
    </w:p>
    <w:p w:rsidR="00065ACE" w:rsidRPr="00065ACE" w:rsidRDefault="00065ACE" w:rsidP="00065ACE">
      <w:pPr>
        <w:spacing w:after="120" w:line="240" w:lineRule="auto"/>
        <w:rPr>
          <w:rFonts w:eastAsia="Times New Roman" w:cs="Calibri"/>
          <w:sz w:val="22"/>
          <w:szCs w:val="22"/>
          <w:lang w:val="en-US"/>
        </w:rPr>
      </w:pPr>
      <w:r w:rsidRPr="00065ACE">
        <w:rPr>
          <w:rFonts w:eastAsia="Times New Roman" w:cs="Calibri"/>
          <w:sz w:val="22"/>
          <w:szCs w:val="22"/>
          <w:lang w:val="en-US"/>
        </w:rPr>
        <w:t xml:space="preserve">Across the five Partnership Broker regions </w:t>
      </w:r>
      <w:proofErr w:type="spellStart"/>
      <w:r w:rsidRPr="00065ACE">
        <w:rPr>
          <w:rFonts w:eastAsia="Times New Roman" w:cs="Calibri"/>
          <w:sz w:val="22"/>
          <w:szCs w:val="22"/>
          <w:lang w:val="en-US"/>
        </w:rPr>
        <w:t>analysed</w:t>
      </w:r>
      <w:proofErr w:type="spellEnd"/>
      <w:r w:rsidRPr="00065ACE">
        <w:rPr>
          <w:rFonts w:eastAsia="Times New Roman" w:cs="Calibri"/>
          <w:sz w:val="22"/>
          <w:szCs w:val="22"/>
          <w:lang w:val="en-US"/>
        </w:rPr>
        <w:t xml:space="preserve">, the evaluation showed that for every $1 invested by the Australian Government, Partnership Brokers have been the catalyst for up to $5.50 of created social value. </w:t>
      </w:r>
      <w:r w:rsidRPr="00065ACE">
        <w:rPr>
          <w:rFonts w:eastAsia="Times New Roman" w:cs="Calibri"/>
          <w:color w:val="000000"/>
          <w:sz w:val="22"/>
          <w:szCs w:val="22"/>
        </w:rPr>
        <w:t>Examples of created social value include the changes experienced by schools as a result of partner organisations supporting each other to achieve shared objectives through quality partnerships. The evaluation found that changes for schools tend to align with the purpose or theme of the partnership, which can include:</w:t>
      </w:r>
    </w:p>
    <w:p w:rsidR="00065ACE" w:rsidRPr="00065ACE" w:rsidRDefault="00065ACE" w:rsidP="00065ACE">
      <w:pPr>
        <w:numPr>
          <w:ilvl w:val="0"/>
          <w:numId w:val="93"/>
        </w:numPr>
        <w:spacing w:line="240" w:lineRule="auto"/>
        <w:rPr>
          <w:rFonts w:eastAsia="Times New Roman" w:cs="Calibri"/>
          <w:sz w:val="22"/>
          <w:szCs w:val="22"/>
        </w:rPr>
      </w:pPr>
      <w:r w:rsidRPr="00065ACE">
        <w:rPr>
          <w:rFonts w:eastAsia="Times New Roman" w:cs="Calibri"/>
          <w:sz w:val="22"/>
          <w:szCs w:val="22"/>
        </w:rPr>
        <w:t>Taking advantage of external resources to free up existing school resources</w:t>
      </w:r>
    </w:p>
    <w:p w:rsidR="00065ACE" w:rsidRPr="00065ACE" w:rsidRDefault="00065ACE" w:rsidP="00065ACE">
      <w:pPr>
        <w:numPr>
          <w:ilvl w:val="0"/>
          <w:numId w:val="93"/>
        </w:numPr>
        <w:spacing w:line="240" w:lineRule="auto"/>
        <w:rPr>
          <w:rFonts w:eastAsia="Times New Roman" w:cs="Calibri"/>
          <w:sz w:val="22"/>
          <w:szCs w:val="22"/>
        </w:rPr>
      </w:pPr>
      <w:r w:rsidRPr="00065ACE">
        <w:rPr>
          <w:rFonts w:eastAsia="Times New Roman" w:cs="Calibri"/>
          <w:sz w:val="22"/>
          <w:szCs w:val="22"/>
        </w:rPr>
        <w:t>Accessing external expertise or services to improve the provision of student wellbeing support</w:t>
      </w:r>
    </w:p>
    <w:p w:rsidR="00065ACE" w:rsidRPr="00065ACE" w:rsidRDefault="00065ACE" w:rsidP="00065ACE">
      <w:pPr>
        <w:numPr>
          <w:ilvl w:val="0"/>
          <w:numId w:val="93"/>
        </w:numPr>
        <w:spacing w:line="240" w:lineRule="auto"/>
        <w:rPr>
          <w:rFonts w:eastAsia="Times New Roman" w:cs="Calibri"/>
          <w:sz w:val="22"/>
          <w:szCs w:val="22"/>
        </w:rPr>
      </w:pPr>
      <w:r w:rsidRPr="00065ACE">
        <w:rPr>
          <w:rFonts w:eastAsia="Times New Roman" w:cs="Calibri"/>
          <w:sz w:val="22"/>
          <w:szCs w:val="22"/>
        </w:rPr>
        <w:t>Broadening professional networks to access increased career pathway opportunities for students</w:t>
      </w:r>
    </w:p>
    <w:p w:rsidR="00065ACE" w:rsidRPr="00065ACE" w:rsidRDefault="00065ACE" w:rsidP="00065ACE">
      <w:pPr>
        <w:numPr>
          <w:ilvl w:val="0"/>
          <w:numId w:val="93"/>
        </w:numPr>
        <w:spacing w:line="240" w:lineRule="auto"/>
        <w:rPr>
          <w:rFonts w:eastAsia="Times New Roman" w:cs="Calibri"/>
          <w:sz w:val="22"/>
          <w:szCs w:val="22"/>
        </w:rPr>
      </w:pPr>
      <w:r w:rsidRPr="00065ACE">
        <w:rPr>
          <w:rFonts w:eastAsia="Times New Roman" w:cs="Calibri"/>
          <w:sz w:val="22"/>
          <w:szCs w:val="22"/>
        </w:rPr>
        <w:t>Aligning school activities with industry trends and using partnerships to demonstrate the real-world application of school curriculum</w:t>
      </w:r>
    </w:p>
    <w:p w:rsidR="00065ACE" w:rsidRPr="00065ACE" w:rsidRDefault="00065ACE" w:rsidP="00065ACE">
      <w:pPr>
        <w:numPr>
          <w:ilvl w:val="0"/>
          <w:numId w:val="93"/>
        </w:numPr>
        <w:spacing w:after="240" w:line="240" w:lineRule="auto"/>
        <w:ind w:left="714" w:hanging="357"/>
        <w:rPr>
          <w:rFonts w:eastAsia="Times New Roman" w:cs="Calibri"/>
          <w:sz w:val="22"/>
          <w:szCs w:val="22"/>
        </w:rPr>
      </w:pPr>
      <w:r w:rsidRPr="00065ACE">
        <w:rPr>
          <w:rFonts w:eastAsia="Times New Roman" w:cs="Calibri"/>
          <w:sz w:val="22"/>
          <w:szCs w:val="22"/>
        </w:rPr>
        <w:t xml:space="preserve">Engaging with the broader community (including parents) to create an alignment between expectations of and aspirations for young people both within and outside the school. </w:t>
      </w:r>
    </w:p>
    <w:p w:rsidR="00065ACE" w:rsidRPr="00065ACE" w:rsidRDefault="00065ACE" w:rsidP="00065ACE">
      <w:pPr>
        <w:spacing w:after="120" w:line="240" w:lineRule="auto"/>
        <w:rPr>
          <w:rFonts w:eastAsia="Times New Roman" w:cs="Calibri"/>
          <w:sz w:val="22"/>
          <w:szCs w:val="22"/>
        </w:rPr>
      </w:pPr>
      <w:r w:rsidRPr="00065ACE">
        <w:rPr>
          <w:rFonts w:eastAsia="Times New Roman" w:cs="Calibri"/>
          <w:sz w:val="22"/>
          <w:szCs w:val="22"/>
        </w:rPr>
        <w:t>The reports arising from the evaluation are outlined below:</w:t>
      </w:r>
    </w:p>
    <w:p w:rsidR="00065ACE" w:rsidRPr="00065ACE" w:rsidRDefault="00065ACE" w:rsidP="00065ACE">
      <w:pPr>
        <w:numPr>
          <w:ilvl w:val="0"/>
          <w:numId w:val="93"/>
        </w:numPr>
        <w:spacing w:line="240" w:lineRule="auto"/>
        <w:rPr>
          <w:rFonts w:eastAsia="Times New Roman" w:cs="Calibri"/>
          <w:sz w:val="22"/>
          <w:szCs w:val="22"/>
        </w:rPr>
      </w:pPr>
      <w:r w:rsidRPr="00065ACE">
        <w:rPr>
          <w:rFonts w:eastAsia="Times New Roman" w:cs="Calibri"/>
          <w:sz w:val="22"/>
          <w:szCs w:val="22"/>
        </w:rPr>
        <w:t xml:space="preserve">‘Summary Report’: This provides an overview of the evaluation process and key findings. </w:t>
      </w:r>
    </w:p>
    <w:p w:rsidR="00065ACE" w:rsidRPr="00065ACE" w:rsidRDefault="00065ACE" w:rsidP="00065ACE">
      <w:pPr>
        <w:numPr>
          <w:ilvl w:val="0"/>
          <w:numId w:val="93"/>
        </w:numPr>
        <w:spacing w:line="240" w:lineRule="auto"/>
        <w:rPr>
          <w:rFonts w:eastAsia="Times New Roman" w:cs="Calibri"/>
          <w:sz w:val="22"/>
          <w:szCs w:val="22"/>
        </w:rPr>
      </w:pPr>
      <w:r w:rsidRPr="00065ACE">
        <w:rPr>
          <w:rFonts w:eastAsia="Times New Roman" w:cs="Calibri"/>
          <w:sz w:val="22"/>
          <w:szCs w:val="22"/>
        </w:rPr>
        <w:t xml:space="preserve">‘Part A’: This report presents the approach adopted to complete the five standalone </w:t>
      </w:r>
      <w:proofErr w:type="spellStart"/>
      <w:r w:rsidRPr="00065ACE">
        <w:rPr>
          <w:rFonts w:eastAsia="Times New Roman" w:cs="Calibri"/>
          <w:sz w:val="22"/>
          <w:szCs w:val="22"/>
        </w:rPr>
        <w:t>SROI</w:t>
      </w:r>
      <w:proofErr w:type="spellEnd"/>
      <w:r w:rsidRPr="00065ACE">
        <w:rPr>
          <w:rFonts w:eastAsia="Times New Roman" w:cs="Calibri"/>
          <w:sz w:val="22"/>
          <w:szCs w:val="22"/>
        </w:rPr>
        <w:t xml:space="preserve"> analyses. </w:t>
      </w:r>
    </w:p>
    <w:p w:rsidR="00065ACE" w:rsidRPr="00065ACE" w:rsidRDefault="00065ACE" w:rsidP="00065ACE">
      <w:pPr>
        <w:numPr>
          <w:ilvl w:val="0"/>
          <w:numId w:val="93"/>
        </w:numPr>
        <w:spacing w:after="240" w:line="240" w:lineRule="auto"/>
        <w:rPr>
          <w:rFonts w:eastAsia="Times New Roman" w:cs="Calibri"/>
          <w:sz w:val="22"/>
          <w:szCs w:val="22"/>
          <w:lang w:val="en-US" w:eastAsia="en-AU"/>
        </w:rPr>
      </w:pPr>
      <w:r w:rsidRPr="00065ACE">
        <w:rPr>
          <w:rFonts w:eastAsia="Times New Roman" w:cs="Calibri"/>
          <w:sz w:val="22"/>
          <w:szCs w:val="22"/>
          <w:lang w:val="en-US"/>
        </w:rPr>
        <w:t xml:space="preserve">‘Part B’:  This comprises five individual reports that present the outcomes and findings from each region subject to evaluation (Central Tablelands, Northern Sydney, South West Sydney, Gold Coast and Sunshine Coast). </w:t>
      </w:r>
    </w:p>
    <w:p w:rsidR="006D5710" w:rsidRPr="006D5710" w:rsidRDefault="006D5710" w:rsidP="006D5710">
      <w:pPr>
        <w:spacing w:after="120" w:line="240" w:lineRule="auto"/>
        <w:ind w:left="360"/>
        <w:rPr>
          <w:rFonts w:eastAsia="Times New Roman" w:cstheme="minorHAnsi"/>
        </w:rPr>
      </w:pPr>
      <w:bookmarkStart w:id="44" w:name="_Toc355773745"/>
      <w:r w:rsidRPr="006D5710">
        <w:rPr>
          <w:rFonts w:eastAsia="Times New Roman" w:cstheme="minorHAnsi"/>
        </w:rPr>
        <w:t xml:space="preserve">These reports are available on the Department of Education website </w:t>
      </w:r>
    </w:p>
    <w:p w:rsidR="006D5710" w:rsidRPr="006D5710" w:rsidRDefault="00365DC0" w:rsidP="006D5710">
      <w:pPr>
        <w:spacing w:after="120" w:line="240" w:lineRule="auto"/>
        <w:ind w:left="360"/>
        <w:rPr>
          <w:rFonts w:eastAsia="Times New Roman" w:cstheme="minorHAnsi"/>
        </w:rPr>
      </w:pPr>
      <w:hyperlink r:id="rId47" w:history="1">
        <w:r w:rsidR="006D5710">
          <w:rPr>
            <w:rStyle w:val="Hyperlink"/>
          </w:rPr>
          <w:t>http://education.gov.au/school-business-community-partnership-brokers-programme-reports-and-research</w:t>
        </w:r>
      </w:hyperlink>
    </w:p>
    <w:p w:rsidR="00065ACE" w:rsidRPr="00065ACE" w:rsidRDefault="00065ACE" w:rsidP="00B508E7">
      <w:pPr>
        <w:pStyle w:val="Heading3"/>
      </w:pPr>
      <w:r w:rsidRPr="00065ACE">
        <w:t>Challenges</w:t>
      </w:r>
      <w:bookmarkEnd w:id="43"/>
      <w:bookmarkEnd w:id="44"/>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While national program data, evaluation findings, case studies and survey results indicate significant progress, individual providers and the program still face challenges that impact on the achievement of program outcomes. Many of these challenges have been identified in </w:t>
      </w:r>
      <w:proofErr w:type="spellStart"/>
      <w:r w:rsidRPr="00065ACE">
        <w:rPr>
          <w:rFonts w:eastAsia="Times New Roman" w:cs="Calibri"/>
          <w:sz w:val="22"/>
          <w:szCs w:val="22"/>
          <w:lang w:val="en-US"/>
        </w:rPr>
        <w:t>Dandolo’s</w:t>
      </w:r>
      <w:proofErr w:type="spellEnd"/>
      <w:r w:rsidRPr="00065ACE">
        <w:rPr>
          <w:rFonts w:eastAsia="Times New Roman" w:cs="Calibri"/>
          <w:sz w:val="22"/>
          <w:szCs w:val="22"/>
          <w:lang w:val="en-US"/>
        </w:rPr>
        <w:t xml:space="preserve"> Report.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One of these challenges has been connecting with education authorities in a way that enables Partnership Brokers to align their priorities for partnership development with the priorities for schooling at a systemic level. A key factor in the success of the Partnership Brokers program is schools and school systems understanding the benefits of a partnership approach and actively exploring partnership opportunities that can help them achieve their goals. Achieving this understanding universally relies on clear communication from system leaders, to all levels of their organisations, about their expectations that schools should be connecting with business and the broader community. It should be made clear that the Partnership Brokers program is in place to help schools and communities that need assistance to enter into partnership arrangements, and to build their capacity to work together to support their young people. </w:t>
      </w:r>
    </w:p>
    <w:p w:rsidR="00065ACE" w:rsidRPr="00065ACE" w:rsidRDefault="00065ACE" w:rsidP="00065ACE">
      <w:pPr>
        <w:spacing w:before="120" w:after="120" w:line="240" w:lineRule="auto"/>
        <w:ind w:right="34"/>
        <w:rPr>
          <w:rFonts w:eastAsia="Times New Roman" w:cs="Calibri"/>
          <w:sz w:val="22"/>
          <w:szCs w:val="22"/>
          <w:lang w:val="en-US"/>
        </w:rPr>
      </w:pPr>
      <w:proofErr w:type="spellStart"/>
      <w:r w:rsidRPr="00065ACE">
        <w:rPr>
          <w:rFonts w:eastAsia="Times New Roman" w:cs="Calibri"/>
          <w:sz w:val="22"/>
          <w:szCs w:val="22"/>
          <w:lang w:val="en-US"/>
        </w:rPr>
        <w:t>Dandolo’s</w:t>
      </w:r>
      <w:proofErr w:type="spellEnd"/>
      <w:r w:rsidRPr="00065ACE">
        <w:rPr>
          <w:rFonts w:eastAsia="Times New Roman" w:cs="Calibri"/>
          <w:sz w:val="22"/>
          <w:szCs w:val="22"/>
          <w:lang w:val="en-US"/>
        </w:rPr>
        <w:t xml:space="preserve"> Report suggests that there is further scope for jurisdictions to provide encouragement and information to support schools to access the benefits that partnerships, and Partnership Brokers, offer.  However, the Report also cites examples of senior managers within the education sector embracing cross-sector collaboration as the way to succeed, and enlisting the support of Partnership Brokers to make it happen. These examples show how the Partnership Brokers network can work alongside education authorities to support a strategic, systemic and coordinated approach to building partnerships that meet identified school needs, with young people at the </w:t>
      </w:r>
      <w:proofErr w:type="spellStart"/>
      <w:r w:rsidRPr="00065ACE">
        <w:rPr>
          <w:rFonts w:eastAsia="Times New Roman" w:cs="Calibri"/>
          <w:sz w:val="22"/>
          <w:szCs w:val="22"/>
          <w:lang w:val="en-US"/>
        </w:rPr>
        <w:t>centre</w:t>
      </w:r>
      <w:proofErr w:type="spellEnd"/>
      <w:r w:rsidRPr="00065ACE">
        <w:rPr>
          <w:rFonts w:eastAsia="Times New Roman" w:cs="Calibri"/>
          <w:sz w:val="22"/>
          <w:szCs w:val="22"/>
          <w:lang w:val="en-US"/>
        </w:rPr>
        <w:t xml:space="preserve">.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Managing expectations and educating stakeholders about the intent of the Partnership Brokers program remains an ongoing challenge for providers. Providers have reported that some school leaders don’t understand the role of the Partnership Broker as a facilitator, rather than service delivery provider. This is consistent with </w:t>
      </w:r>
      <w:proofErr w:type="spellStart"/>
      <w:r w:rsidRPr="00065ACE">
        <w:rPr>
          <w:rFonts w:eastAsia="Times New Roman" w:cs="Calibri"/>
          <w:sz w:val="22"/>
          <w:szCs w:val="22"/>
          <w:lang w:val="en-US"/>
        </w:rPr>
        <w:t>Dandolo’s</w:t>
      </w:r>
      <w:proofErr w:type="spellEnd"/>
      <w:r w:rsidRPr="00065ACE">
        <w:rPr>
          <w:rFonts w:eastAsia="Times New Roman" w:cs="Calibri"/>
          <w:sz w:val="22"/>
          <w:szCs w:val="22"/>
          <w:lang w:val="en-US"/>
        </w:rPr>
        <w:t xml:space="preserve"> finding that ‘</w:t>
      </w:r>
      <w:r w:rsidRPr="00065ACE">
        <w:rPr>
          <w:rFonts w:eastAsia="Times New Roman" w:cs="Calibri"/>
          <w:i/>
          <w:sz w:val="22"/>
          <w:szCs w:val="22"/>
          <w:lang w:val="en-US"/>
        </w:rPr>
        <w:t xml:space="preserve">The role and value of Partnership Brokers is not well understood or </w:t>
      </w:r>
      <w:r w:rsidRPr="00065ACE">
        <w:rPr>
          <w:rFonts w:eastAsia="Times New Roman" w:cs="Calibri"/>
          <w:i/>
          <w:sz w:val="22"/>
          <w:szCs w:val="22"/>
          <w:lang w:val="en-US"/>
        </w:rPr>
        <w:lastRenderedPageBreak/>
        <w:t>appreciated</w:t>
      </w:r>
      <w:r w:rsidRPr="00065ACE">
        <w:rPr>
          <w:rFonts w:eastAsia="Times New Roman" w:cs="Calibri"/>
          <w:sz w:val="22"/>
          <w:szCs w:val="22"/>
          <w:lang w:val="en-US"/>
        </w:rPr>
        <w:t xml:space="preserve">’ and the recommendation for continued effort in promoting the Partnership Brokers program to regional education authorities and schools, local government and business. This continues to be an area of focus for DEEWR and the Partnership Broker network for 2013, and will require effective collaboration with education authorities in the different jurisdictions.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It is hoped that improved understanding about the program will encourage more schools to consider how a partnership approach, supported by a Partnership Broker, can assist them to achieve the outcomes required under the Government’s broad education reform agenda. Results from the 2011 and 2012 Provider Survey suggest that there is increasing recognition among education stakeholders of the benefits of a partnership approach and growing interest in accessing the support offered by a Partnership Broker.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Provider reporting has shown that the Parents and Families stakeholder group represents just three per cent of the total number of organisations involved in partnerships. This data is reinforced by results from the 2012 provider survey which found that 84 per cent of Partnership Brokers felt that parents and families were the most challenging stakeholder to engage with. Despite the relatively low representation of parents and families as partners, program data indicates that approximately one third of all partnerships are seeking to address parent and family outcomes in some way.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There are a number of partnerships that involve parent bodies such as parent and citizen associations and state parent councils. DEEWR and the Partnership Brokers National Network are actively engaging with Australian Parent Council (</w:t>
      </w:r>
      <w:proofErr w:type="spellStart"/>
      <w:r w:rsidRPr="00065ACE">
        <w:rPr>
          <w:rFonts w:eastAsia="Times New Roman" w:cs="Calibri"/>
          <w:sz w:val="22"/>
          <w:szCs w:val="22"/>
          <w:lang w:val="en-US"/>
        </w:rPr>
        <w:t>APC</w:t>
      </w:r>
      <w:proofErr w:type="spellEnd"/>
      <w:r w:rsidRPr="00065ACE">
        <w:rPr>
          <w:rFonts w:eastAsia="Times New Roman" w:cs="Calibri"/>
          <w:sz w:val="22"/>
          <w:szCs w:val="22"/>
          <w:lang w:val="en-US"/>
        </w:rPr>
        <w:t xml:space="preserve">) and Australian Council of State School </w:t>
      </w:r>
      <w:proofErr w:type="spellStart"/>
      <w:r w:rsidRPr="00065ACE">
        <w:rPr>
          <w:rFonts w:eastAsia="Times New Roman" w:cs="Calibri"/>
          <w:sz w:val="22"/>
          <w:szCs w:val="22"/>
          <w:lang w:val="en-US"/>
        </w:rPr>
        <w:t>Organisations</w:t>
      </w:r>
      <w:proofErr w:type="spellEnd"/>
      <w:r w:rsidRPr="00065ACE">
        <w:rPr>
          <w:rFonts w:eastAsia="Times New Roman" w:cs="Calibri"/>
          <w:sz w:val="22"/>
          <w:szCs w:val="22"/>
          <w:lang w:val="en-US"/>
        </w:rPr>
        <w:t xml:space="preserve"> (</w:t>
      </w:r>
      <w:proofErr w:type="spellStart"/>
      <w:r w:rsidRPr="00065ACE">
        <w:rPr>
          <w:rFonts w:eastAsia="Times New Roman" w:cs="Calibri"/>
          <w:sz w:val="22"/>
          <w:szCs w:val="22"/>
          <w:lang w:val="en-US"/>
        </w:rPr>
        <w:t>ACSSO</w:t>
      </w:r>
      <w:proofErr w:type="spellEnd"/>
      <w:r w:rsidRPr="00065ACE">
        <w:rPr>
          <w:rFonts w:eastAsia="Times New Roman" w:cs="Calibri"/>
          <w:sz w:val="22"/>
          <w:szCs w:val="22"/>
          <w:lang w:val="en-US"/>
        </w:rPr>
        <w:t xml:space="preserve">) to explore ways that DEEWR, </w:t>
      </w:r>
      <w:proofErr w:type="spellStart"/>
      <w:r w:rsidRPr="00065ACE">
        <w:rPr>
          <w:rFonts w:eastAsia="Times New Roman" w:cs="Calibri"/>
          <w:sz w:val="22"/>
          <w:szCs w:val="22"/>
          <w:lang w:val="en-US"/>
        </w:rPr>
        <w:t>APC</w:t>
      </w:r>
      <w:proofErr w:type="spellEnd"/>
      <w:r w:rsidRPr="00065ACE">
        <w:rPr>
          <w:rFonts w:eastAsia="Times New Roman" w:cs="Calibri"/>
          <w:sz w:val="22"/>
          <w:szCs w:val="22"/>
          <w:lang w:val="en-US"/>
        </w:rPr>
        <w:t xml:space="preserve">, </w:t>
      </w:r>
      <w:proofErr w:type="spellStart"/>
      <w:r w:rsidRPr="00065ACE">
        <w:rPr>
          <w:rFonts w:eastAsia="Times New Roman" w:cs="Calibri"/>
          <w:sz w:val="22"/>
          <w:szCs w:val="22"/>
          <w:lang w:val="en-US"/>
        </w:rPr>
        <w:t>ACSSO</w:t>
      </w:r>
      <w:proofErr w:type="spellEnd"/>
      <w:r w:rsidRPr="00065ACE">
        <w:rPr>
          <w:rFonts w:eastAsia="Times New Roman" w:cs="Calibri"/>
          <w:sz w:val="22"/>
          <w:szCs w:val="22"/>
          <w:lang w:val="en-US"/>
        </w:rPr>
        <w:t xml:space="preserve"> and the Partnership Brokers network can work together to support </w:t>
      </w:r>
      <w:proofErr w:type="gramStart"/>
      <w:r w:rsidRPr="00065ACE">
        <w:rPr>
          <w:rFonts w:eastAsia="Times New Roman" w:cs="Calibri"/>
          <w:sz w:val="22"/>
          <w:szCs w:val="22"/>
          <w:lang w:val="en-US"/>
        </w:rPr>
        <w:t>more,</w:t>
      </w:r>
      <w:proofErr w:type="gramEnd"/>
      <w:r w:rsidRPr="00065ACE">
        <w:rPr>
          <w:rFonts w:eastAsia="Times New Roman" w:cs="Calibri"/>
          <w:sz w:val="22"/>
          <w:szCs w:val="22"/>
          <w:lang w:val="en-US"/>
        </w:rPr>
        <w:t xml:space="preserve"> and deeper levels, of parental engagement through a partnership approach.</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Another challenge for providers is building cross-</w:t>
      </w:r>
      <w:proofErr w:type="spellStart"/>
      <w:r w:rsidRPr="00065ACE">
        <w:rPr>
          <w:rFonts w:eastAsia="Times New Roman" w:cs="Calibri"/>
          <w:sz w:val="22"/>
          <w:szCs w:val="22"/>
          <w:lang w:val="en-US"/>
        </w:rPr>
        <w:t>sectoral</w:t>
      </w:r>
      <w:proofErr w:type="spellEnd"/>
      <w:r w:rsidRPr="00065ACE">
        <w:rPr>
          <w:rFonts w:eastAsia="Times New Roman" w:cs="Calibri"/>
          <w:sz w:val="22"/>
          <w:szCs w:val="22"/>
          <w:lang w:val="en-US"/>
        </w:rPr>
        <w:t xml:space="preserve"> partnerships involving stakeholders that may not have worked together before. Within this context, an important part of the Partnership Brokers’ work is building partners’ understanding of each other’s needs, developing trust between partners and securing commitment to a shared goal. To do this effectively, Partnership Brokers need to engage with organisations at a decision-making level where there is authority to enter into partnership arrangements and commit resources. Providers report that this is particularly challenging when working with schools and school systems. </w:t>
      </w:r>
    </w:p>
    <w:p w:rsidR="00065ACE" w:rsidRPr="00065ACE" w:rsidRDefault="00065ACE" w:rsidP="00B508E7">
      <w:pPr>
        <w:pStyle w:val="Heading3"/>
      </w:pPr>
      <w:bookmarkStart w:id="45" w:name="_Toc332716703"/>
      <w:bookmarkStart w:id="46" w:name="_Toc355773746"/>
      <w:r w:rsidRPr="00065ACE">
        <w:t>Variation in performance</w:t>
      </w:r>
      <w:bookmarkEnd w:id="45"/>
      <w:bookmarkEnd w:id="46"/>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It is clear that there are varying degrees of success amongst providers and some providers appear to be struggling to deliver the program in line with program expectations. There are a number of reasons for this, including: </w:t>
      </w:r>
    </w:p>
    <w:p w:rsidR="00065ACE" w:rsidRPr="00065ACE" w:rsidRDefault="00065ACE" w:rsidP="00065ACE">
      <w:pPr>
        <w:numPr>
          <w:ilvl w:val="0"/>
          <w:numId w:val="89"/>
        </w:numPr>
        <w:tabs>
          <w:tab w:val="right" w:leader="dot" w:pos="9639"/>
        </w:tabs>
        <w:spacing w:after="60" w:line="240" w:lineRule="auto"/>
        <w:rPr>
          <w:rFonts w:eastAsia="Times New Roman" w:cs="Calibri"/>
          <w:sz w:val="22"/>
          <w:szCs w:val="22"/>
        </w:rPr>
      </w:pPr>
      <w:r w:rsidRPr="00065ACE">
        <w:rPr>
          <w:rFonts w:eastAsia="Times New Roman" w:cs="Calibri"/>
          <w:sz w:val="22"/>
          <w:szCs w:val="22"/>
        </w:rPr>
        <w:t xml:space="preserve">Some Partnership Broker organisations were contracted under previous programs in a ‘hands-on’ service delivery role. Some of these organisations have struggled to make the transition to a strategic, facilitation role. </w:t>
      </w:r>
    </w:p>
    <w:p w:rsidR="00065ACE" w:rsidRPr="00065ACE" w:rsidRDefault="00065ACE" w:rsidP="00065ACE">
      <w:pPr>
        <w:numPr>
          <w:ilvl w:val="0"/>
          <w:numId w:val="89"/>
        </w:numPr>
        <w:tabs>
          <w:tab w:val="right" w:leader="dot" w:pos="9639"/>
        </w:tabs>
        <w:spacing w:after="60" w:line="240" w:lineRule="auto"/>
        <w:rPr>
          <w:rFonts w:eastAsia="Times New Roman" w:cs="Calibri"/>
          <w:sz w:val="22"/>
          <w:szCs w:val="22"/>
        </w:rPr>
      </w:pPr>
      <w:r w:rsidRPr="00065ACE">
        <w:rPr>
          <w:rFonts w:eastAsia="Times New Roman" w:cs="Calibri"/>
          <w:sz w:val="22"/>
          <w:szCs w:val="22"/>
        </w:rPr>
        <w:t xml:space="preserve">The varying nature of infrastructure, culture and capacity across Service Regions. There are different challenges for providers operating in metropolitan, rural and remote areas. Some Service Regions, and some communities within Service Regions, are more conducive to partnership development than others. </w:t>
      </w:r>
    </w:p>
    <w:p w:rsidR="00065ACE" w:rsidRPr="00065ACE" w:rsidRDefault="00065ACE" w:rsidP="00065ACE">
      <w:pPr>
        <w:numPr>
          <w:ilvl w:val="0"/>
          <w:numId w:val="89"/>
        </w:numPr>
        <w:tabs>
          <w:tab w:val="right" w:leader="dot" w:pos="9639"/>
        </w:tabs>
        <w:spacing w:after="60" w:line="240" w:lineRule="auto"/>
        <w:rPr>
          <w:rFonts w:eastAsia="Times New Roman" w:cs="Calibri"/>
          <w:sz w:val="22"/>
          <w:szCs w:val="22"/>
        </w:rPr>
      </w:pPr>
      <w:r w:rsidRPr="00065ACE">
        <w:rPr>
          <w:rFonts w:eastAsia="Times New Roman" w:cs="Calibri"/>
          <w:sz w:val="22"/>
          <w:szCs w:val="22"/>
        </w:rPr>
        <w:t xml:space="preserve">The capacity of personnel undertaking the Partnership Broker role also varies across, and within regions. Some providers, particularly those in remote regions, have had difficulty finding and retaining people with the necessary skill set to deliver program outcomes.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Partnership brokering is an emerging discipline requiring a sophisticated skill set. The ability and expertise of individual Partnership Brokers is a key factor in the success of the program. </w:t>
      </w:r>
      <w:proofErr w:type="spellStart"/>
      <w:r w:rsidRPr="00065ACE">
        <w:rPr>
          <w:rFonts w:eastAsia="Times New Roman" w:cs="Calibri"/>
          <w:sz w:val="22"/>
          <w:szCs w:val="22"/>
          <w:lang w:val="en-US"/>
        </w:rPr>
        <w:t>Dandolo’s</w:t>
      </w:r>
      <w:proofErr w:type="spellEnd"/>
      <w:r w:rsidRPr="00065ACE">
        <w:rPr>
          <w:rFonts w:eastAsia="Times New Roman" w:cs="Calibri"/>
          <w:sz w:val="22"/>
          <w:szCs w:val="22"/>
          <w:lang w:val="en-US"/>
        </w:rPr>
        <w:t xml:space="preserve"> Report has also identified provider capacity as a key issue for the program. Therefore, building the capacity of organisations and their personnel continues to be a focus for DEEWR and the provider networks at state and national level. </w:t>
      </w:r>
    </w:p>
    <w:p w:rsidR="00065ACE" w:rsidRPr="00065ACE" w:rsidRDefault="00065ACE" w:rsidP="00B508E7">
      <w:pPr>
        <w:pStyle w:val="Heading3"/>
      </w:pPr>
      <w:bookmarkStart w:id="47" w:name="_Toc332716704"/>
      <w:bookmarkStart w:id="48" w:name="_Toc355773747"/>
      <w:r w:rsidRPr="00065ACE">
        <w:t>Support from DEEWR</w:t>
      </w:r>
      <w:bookmarkEnd w:id="47"/>
      <w:bookmarkEnd w:id="48"/>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DEEWR has supported the achievement of program outcomes through the provision of induction forums, regional forums, training on the information management system, professional development, support tools, a Youth Attainment and Transitions website, sharing of program evaluation data and the funding of state </w:t>
      </w:r>
      <w:r w:rsidRPr="00065ACE">
        <w:rPr>
          <w:rFonts w:eastAsia="Times New Roman" w:cs="Calibri"/>
          <w:sz w:val="22"/>
          <w:szCs w:val="22"/>
          <w:lang w:val="en-US"/>
        </w:rPr>
        <w:lastRenderedPageBreak/>
        <w:t xml:space="preserve">and national provider networks. The contract management approach is focused on developing provider capacity and assisting providers to leverage off and add value to existing national and/or state programs and initiatives. </w:t>
      </w:r>
    </w:p>
    <w:p w:rsidR="00065ACE" w:rsidRPr="00065ACE" w:rsidRDefault="00065ACE" w:rsidP="00B508E7">
      <w:pPr>
        <w:pStyle w:val="Heading3"/>
      </w:pPr>
      <w:bookmarkStart w:id="49" w:name="_Toc323899458"/>
      <w:bookmarkStart w:id="50" w:name="_Toc332716705"/>
      <w:bookmarkStart w:id="51" w:name="_Toc355773748"/>
      <w:bookmarkStart w:id="52" w:name="_Toc292695921"/>
      <w:bookmarkStart w:id="53" w:name="_Toc322615453"/>
      <w:r w:rsidRPr="00065ACE">
        <w:t>State and National Provider Networks</w:t>
      </w:r>
      <w:bookmarkEnd w:id="49"/>
      <w:bookmarkEnd w:id="50"/>
      <w:bookmarkEnd w:id="51"/>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Provider networks at both a jurisdiction and national level are implementing a range of strategies to support improved outcomes for the program. However, coordination of effort remains a challenge. The establishment of an Executive Officer position to act exclusively on behalf of the Partnership Broker networks has assisted in moving them to a more strategic orientation. There are emerging signs that the networks are engaging with organisations and peak bodies at a state and national level in ways that drive educational reform. </w:t>
      </w:r>
    </w:p>
    <w:p w:rsidR="00065ACE" w:rsidRPr="00065ACE" w:rsidRDefault="00065ACE" w:rsidP="00065ACE">
      <w:pPr>
        <w:spacing w:after="120" w:line="240" w:lineRule="auto"/>
        <w:rPr>
          <w:rFonts w:eastAsia="Times New Roman" w:cs="Calibri"/>
          <w:noProof/>
          <w:sz w:val="22"/>
          <w:szCs w:val="22"/>
        </w:rPr>
      </w:pPr>
      <w:r w:rsidRPr="00065ACE">
        <w:rPr>
          <w:rFonts w:eastAsia="Times New Roman" w:cs="Calibri"/>
          <w:noProof/>
          <w:sz w:val="22"/>
          <w:szCs w:val="22"/>
        </w:rPr>
        <w:t>For example, the Partnership Brokers National Network has brought together a partnership between The Smith Family, National Australia Bank and the Foundation for Young Australians to drive a Work Inspiration ‘campaign’ in Australia.</w:t>
      </w:r>
    </w:p>
    <w:p w:rsidR="00065ACE" w:rsidRPr="00065ACE" w:rsidRDefault="00065ACE" w:rsidP="00065ACE">
      <w:pPr>
        <w:spacing w:after="120" w:line="240" w:lineRule="auto"/>
        <w:rPr>
          <w:rFonts w:eastAsia="Times New Roman" w:cs="Calibri"/>
          <w:noProof/>
          <w:sz w:val="22"/>
          <w:szCs w:val="22"/>
        </w:rPr>
      </w:pPr>
      <w:r w:rsidRPr="00065ACE">
        <w:rPr>
          <w:rFonts w:eastAsia="Times New Roman" w:cs="Calibri"/>
          <w:noProof/>
          <w:sz w:val="22"/>
          <w:szCs w:val="22"/>
        </w:rPr>
        <w:t xml:space="preserve">Work Inspiration is an employer-led initiative which was developed by Business in the Community in the UK to turn work experience into an inspirational experience for young people and employers. The UK experience suggests that Work Inspiration is highly successful in engaging employers to have rich career conversations and experiences with young people in order to assist them to make informed decisions about their future and make a successful transition to further education, training or work. </w:t>
      </w:r>
    </w:p>
    <w:p w:rsidR="00065ACE" w:rsidRPr="00065ACE" w:rsidRDefault="00065ACE" w:rsidP="00065ACE">
      <w:pPr>
        <w:spacing w:after="120" w:line="240" w:lineRule="auto"/>
        <w:rPr>
          <w:rFonts w:eastAsia="Times New Roman" w:cs="Calibri"/>
          <w:noProof/>
          <w:sz w:val="22"/>
          <w:szCs w:val="22"/>
        </w:rPr>
      </w:pPr>
      <w:r w:rsidRPr="00065ACE">
        <w:rPr>
          <w:rFonts w:eastAsia="Times New Roman" w:cs="Calibri"/>
          <w:noProof/>
          <w:sz w:val="22"/>
          <w:szCs w:val="22"/>
        </w:rPr>
        <w:t xml:space="preserve">While the partnership to implement Work Inspiration in Australia is still developing and evolving, the partners are undertaking a series of state-based employer forums (supported by Partnership Brokers) to raise awareness and build momentum for the Work Inspiration campaign. These forums are planned to culminate in a national event and formal launch of Work Inspiration in Australia in August 2013. </w:t>
      </w:r>
    </w:p>
    <w:p w:rsidR="00065ACE" w:rsidRPr="00065ACE" w:rsidRDefault="00065ACE" w:rsidP="00B508E7">
      <w:pPr>
        <w:pStyle w:val="Heading3"/>
      </w:pPr>
      <w:bookmarkStart w:id="54" w:name="_Toc323899459"/>
      <w:bookmarkStart w:id="55" w:name="_Toc332716706"/>
      <w:bookmarkStart w:id="56" w:name="_Toc355773749"/>
      <w:r w:rsidRPr="00065ACE">
        <w:t>Priorities</w:t>
      </w:r>
      <w:bookmarkEnd w:id="52"/>
      <w:bookmarkEnd w:id="53"/>
      <w:r w:rsidRPr="00065ACE">
        <w:t xml:space="preserve"> for Partnership Development</w:t>
      </w:r>
      <w:bookmarkEnd w:id="54"/>
      <w:bookmarkEnd w:id="55"/>
      <w:bookmarkEnd w:id="56"/>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In February 2013, 66 per cent of Partnership Brokers reported they were ‘very effective’ or ‘extremely effective’ in addressing their regional priorities for 2012; an increase from 55 per cent in 2011</w:t>
      </w:r>
      <w:r w:rsidRPr="00065ACE">
        <w:rPr>
          <w:rFonts w:eastAsia="Times New Roman" w:cs="Calibri"/>
          <w:sz w:val="22"/>
          <w:szCs w:val="22"/>
          <w:vertAlign w:val="superscript"/>
          <w:lang w:val="en-US"/>
        </w:rPr>
        <w:footnoteReference w:id="7"/>
      </w:r>
      <w:r w:rsidRPr="00065ACE">
        <w:rPr>
          <w:rFonts w:eastAsia="Times New Roman" w:cs="Calibri"/>
          <w:sz w:val="22"/>
          <w:szCs w:val="22"/>
          <w:lang w:val="en-US"/>
        </w:rPr>
        <w:t>. Among the most commonly reported priorities for partnership development were:</w:t>
      </w:r>
    </w:p>
    <w:p w:rsidR="00065ACE" w:rsidRPr="00065ACE" w:rsidRDefault="00065ACE" w:rsidP="00065ACE">
      <w:pPr>
        <w:tabs>
          <w:tab w:val="num" w:pos="1070"/>
          <w:tab w:val="right" w:leader="dot" w:pos="9639"/>
        </w:tabs>
        <w:spacing w:after="200" w:line="252" w:lineRule="auto"/>
        <w:ind w:left="1070" w:hanging="360"/>
        <w:contextualSpacing/>
        <w:rPr>
          <w:rFonts w:eastAsia="Times New Roman" w:cs="Calibri"/>
          <w:noProof/>
          <w:sz w:val="22"/>
          <w:szCs w:val="22"/>
        </w:rPr>
      </w:pPr>
      <w:r w:rsidRPr="00065ACE">
        <w:rPr>
          <w:rFonts w:eastAsia="Times New Roman" w:cs="Calibri"/>
          <w:noProof/>
          <w:sz w:val="22"/>
          <w:szCs w:val="22"/>
        </w:rPr>
        <w:t>Addressing the needs of at-risk young people (Mental Health, Low SES and Disability were the primary risk factors targeted)</w:t>
      </w:r>
    </w:p>
    <w:p w:rsidR="00065ACE" w:rsidRPr="00065ACE" w:rsidRDefault="00065ACE" w:rsidP="00065ACE">
      <w:pPr>
        <w:tabs>
          <w:tab w:val="num" w:pos="1070"/>
          <w:tab w:val="right" w:leader="dot" w:pos="9639"/>
        </w:tabs>
        <w:spacing w:after="200" w:line="252" w:lineRule="auto"/>
        <w:ind w:left="1070" w:hanging="360"/>
        <w:contextualSpacing/>
        <w:rPr>
          <w:rFonts w:eastAsia="Times New Roman" w:cs="Calibri"/>
          <w:noProof/>
          <w:sz w:val="22"/>
          <w:szCs w:val="22"/>
        </w:rPr>
      </w:pPr>
      <w:r w:rsidRPr="00065ACE">
        <w:rPr>
          <w:rFonts w:eastAsia="Times New Roman" w:cs="Calibri"/>
          <w:noProof/>
          <w:sz w:val="22"/>
          <w:szCs w:val="22"/>
        </w:rPr>
        <w:t>Supporting the transition of young people from secondary schooling to further education, training or employment</w:t>
      </w:r>
    </w:p>
    <w:p w:rsidR="00065ACE" w:rsidRPr="00065ACE" w:rsidRDefault="00065ACE" w:rsidP="00065ACE">
      <w:pPr>
        <w:tabs>
          <w:tab w:val="num" w:pos="1070"/>
          <w:tab w:val="right" w:leader="dot" w:pos="9639"/>
        </w:tabs>
        <w:spacing w:after="200" w:line="252" w:lineRule="auto"/>
        <w:ind w:left="1070" w:hanging="360"/>
        <w:contextualSpacing/>
        <w:rPr>
          <w:rFonts w:eastAsia="Times New Roman" w:cs="Calibri"/>
          <w:noProof/>
          <w:sz w:val="22"/>
          <w:szCs w:val="22"/>
        </w:rPr>
      </w:pPr>
      <w:r w:rsidRPr="00065ACE">
        <w:rPr>
          <w:rFonts w:eastAsia="Times New Roman" w:cs="Calibri"/>
          <w:noProof/>
          <w:sz w:val="22"/>
          <w:szCs w:val="22"/>
        </w:rPr>
        <w:t>Increasing Indigenous engagement and attainment</w:t>
      </w:r>
    </w:p>
    <w:p w:rsidR="00065ACE" w:rsidRPr="00065ACE" w:rsidRDefault="00065ACE" w:rsidP="00781478">
      <w:pPr>
        <w:pStyle w:val="Heading3"/>
      </w:pPr>
      <w:bookmarkStart w:id="57" w:name="_Toc322615454"/>
      <w:bookmarkStart w:id="58" w:name="_Toc323899460"/>
      <w:bookmarkStart w:id="59" w:name="_Toc332716707"/>
      <w:bookmarkStart w:id="60" w:name="_Toc355773750"/>
      <w:r w:rsidRPr="00065ACE">
        <w:t>Collaboration between Partnership Brokers and Youth Connections providers</w:t>
      </w:r>
      <w:bookmarkEnd w:id="57"/>
      <w:bookmarkEnd w:id="58"/>
      <w:bookmarkEnd w:id="59"/>
      <w:bookmarkEnd w:id="60"/>
    </w:p>
    <w:p w:rsidR="00065ACE" w:rsidRPr="00065ACE" w:rsidRDefault="00065ACE" w:rsidP="00065ACE">
      <w:pPr>
        <w:spacing w:line="240" w:lineRule="auto"/>
        <w:rPr>
          <w:rFonts w:eastAsia="Times New Roman" w:cs="Calibri"/>
          <w:sz w:val="22"/>
          <w:szCs w:val="22"/>
        </w:rPr>
      </w:pPr>
      <w:r w:rsidRPr="00065ACE">
        <w:rPr>
          <w:rFonts w:eastAsia="Times New Roman" w:cs="Calibri"/>
          <w:sz w:val="22"/>
          <w:szCs w:val="22"/>
        </w:rPr>
        <w:t>An important feature of the Partnership Brokers and Youth Connections programs is the requirement for providers to work together to identify and address the needs of their region. In 2012, 60 per cent of Partnership Brokers indicated they were working closely with Youth Connections providers and supporting new or enhanced partnership arrangements to meet identified needs in their region</w:t>
      </w:r>
      <w:r w:rsidRPr="00065ACE">
        <w:rPr>
          <w:rFonts w:eastAsia="Times New Roman" w:cs="Calibri"/>
          <w:sz w:val="22"/>
          <w:szCs w:val="22"/>
          <w:vertAlign w:val="superscript"/>
        </w:rPr>
        <w:footnoteReference w:id="8"/>
      </w:r>
      <w:r w:rsidRPr="00065ACE">
        <w:rPr>
          <w:rFonts w:eastAsia="Times New Roman" w:cs="Calibri"/>
          <w:sz w:val="22"/>
          <w:szCs w:val="22"/>
        </w:rPr>
        <w:t xml:space="preserve"> (up from 55 per cent in 2011). In regions where collaboration has been limited, Youth Connections providers appear to have concentrated on delivery of case management services and Partnership Brokers have focused on stakeholder engagement and partnership development independently.</w:t>
      </w:r>
    </w:p>
    <w:p w:rsidR="00065ACE" w:rsidRPr="00065ACE" w:rsidRDefault="00065ACE" w:rsidP="00065ACE">
      <w:pPr>
        <w:spacing w:before="120" w:after="120" w:line="240" w:lineRule="auto"/>
        <w:ind w:right="34"/>
        <w:rPr>
          <w:rFonts w:eastAsia="Times New Roman" w:cs="Calibri"/>
          <w:sz w:val="22"/>
          <w:szCs w:val="22"/>
          <w:lang w:val="en-US" w:eastAsia="en-AU"/>
        </w:rPr>
        <w:sectPr w:rsidR="00065ACE" w:rsidRPr="00065ACE" w:rsidSect="004B3484">
          <w:footerReference w:type="default" r:id="rId48"/>
          <w:pgSz w:w="11906" w:h="16838"/>
          <w:pgMar w:top="820" w:right="1133" w:bottom="709" w:left="993" w:header="708" w:footer="0" w:gutter="0"/>
          <w:cols w:space="708"/>
          <w:docGrid w:linePitch="360"/>
        </w:sectPr>
      </w:pPr>
    </w:p>
    <w:p w:rsidR="00065ACE" w:rsidRPr="00065ACE" w:rsidRDefault="00EC7A08" w:rsidP="00781478">
      <w:pPr>
        <w:pStyle w:val="Heading1"/>
        <w:rPr>
          <w:lang w:eastAsia="en-AU"/>
        </w:rPr>
      </w:pPr>
      <w:bookmarkStart w:id="61" w:name="_Toc355773751"/>
      <w:bookmarkStart w:id="62" w:name="_Toc292696790"/>
      <w:bookmarkStart w:id="63" w:name="_Toc323901028"/>
      <w:bookmarkStart w:id="64" w:name="_Toc384044203"/>
      <w:bookmarkEnd w:id="35"/>
      <w:r w:rsidRPr="00065ACE">
        <w:rPr>
          <w:lang w:eastAsia="en-AU"/>
        </w:rPr>
        <w:lastRenderedPageBreak/>
        <w:t>Western Australia Summary</w:t>
      </w:r>
      <w:bookmarkEnd w:id="61"/>
      <w:bookmarkEnd w:id="64"/>
    </w:p>
    <w:p w:rsidR="00065ACE" w:rsidRPr="00065ACE" w:rsidRDefault="00065ACE" w:rsidP="00781478">
      <w:pPr>
        <w:pStyle w:val="Heading3"/>
      </w:pPr>
      <w:bookmarkStart w:id="65" w:name="_Toc355773752"/>
      <w:r w:rsidRPr="00065ACE">
        <w:t>Context</w:t>
      </w:r>
      <w:bookmarkEnd w:id="65"/>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Western Australia’s (WA) strong economic position is largely driven by resources projects and sound global commodity prices and although commodity prices have dipped recently and companies such as </w:t>
      </w:r>
      <w:proofErr w:type="spellStart"/>
      <w:r w:rsidRPr="00065ACE">
        <w:rPr>
          <w:rFonts w:eastAsia="Times New Roman" w:cs="Calibri"/>
          <w:sz w:val="22"/>
          <w:szCs w:val="22"/>
          <w:lang w:val="en-US"/>
        </w:rPr>
        <w:t>Fortescue</w:t>
      </w:r>
      <w:proofErr w:type="spellEnd"/>
      <w:r w:rsidRPr="00065ACE">
        <w:rPr>
          <w:rFonts w:eastAsia="Times New Roman" w:cs="Calibri"/>
          <w:sz w:val="22"/>
          <w:szCs w:val="22"/>
          <w:lang w:val="en-US"/>
        </w:rPr>
        <w:t xml:space="preserve"> Metals Group have retrenched a number of employees, commodity prices have </w:t>
      </w:r>
      <w:proofErr w:type="spellStart"/>
      <w:r w:rsidRPr="00065ACE">
        <w:rPr>
          <w:rFonts w:eastAsia="Times New Roman" w:cs="Calibri"/>
          <w:sz w:val="22"/>
          <w:szCs w:val="22"/>
          <w:lang w:val="en-US"/>
        </w:rPr>
        <w:t>stabilised</w:t>
      </w:r>
      <w:proofErr w:type="spellEnd"/>
      <w:r w:rsidRPr="00065ACE">
        <w:rPr>
          <w:rFonts w:eastAsia="Times New Roman" w:cs="Calibri"/>
          <w:sz w:val="22"/>
          <w:szCs w:val="22"/>
          <w:lang w:val="en-US"/>
        </w:rPr>
        <w:t xml:space="preserve"> and the economy is still performing strongly. In February 2013, the unemployment rate was 4.5% compared to the national rate of 5.45, while the participation rate in WA was 69.3% compared to 65.3% for Australia. WA does have a patchwork or two speed economy. Industries and people associated with the resources industry are in a much stronger economic position than those in other industries such as residential construction, retail and agriculture which have seen declines in employment levels in the last 12 months.</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The WA Department of Education (DoE) has continued to implement two significant reforms. The first is a continued push for Independent Public Schools, whereby WA public schools can obtain greater autonomy from DoE with a view to fostering greater parent and community involvement. The other major change has been the dismantling of the District Office structure. Many positions in District Offices have been redeployed to schools. The 14 Districts have formed into eight Education Regional Offices, each with a single Regional Executive Director (RED). The RED sits on the DoE Corporate Executive and provides broad direction for public schools. The school principals within each region are expected to work collaboratively with each other in network formations. These changes have had some impact on the deployment of District Office based positions that particularly impact on youth attainment and transition outcomes, such as Enterprise and Vocational Education Coordinators and Participation Managers and Coordinators.</w:t>
      </w:r>
    </w:p>
    <w:p w:rsidR="00065ACE" w:rsidRPr="00065ACE" w:rsidRDefault="00065ACE" w:rsidP="00781478">
      <w:pPr>
        <w:pStyle w:val="Heading3"/>
      </w:pPr>
      <w:bookmarkStart w:id="66" w:name="_Toc355773753"/>
      <w:r w:rsidRPr="00065ACE">
        <w:t>Program Status</w:t>
      </w:r>
      <w:bookmarkEnd w:id="66"/>
      <w:r w:rsidRPr="00065ACE">
        <w:t xml:space="preserve">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As at April 2013, there were approximately 202 active and self-sustaining partnerships associated with Partnership Brokers in Western Australia involving approximately 670 partner organisations. These partnerships are undertaking a range of activity to support the learning and development of young people in their community. Approximately 27 per cent of these partnerships have an Indigenous focus. There have been approximately 1740 Outcomes Framework Key Performance Measure (</w:t>
      </w:r>
      <w:proofErr w:type="spellStart"/>
      <w:r w:rsidRPr="00065ACE">
        <w:rPr>
          <w:rFonts w:eastAsia="Times New Roman" w:cs="Calibri"/>
          <w:sz w:val="22"/>
          <w:szCs w:val="22"/>
          <w:lang w:val="en-US"/>
        </w:rPr>
        <w:t>KPM</w:t>
      </w:r>
      <w:proofErr w:type="spellEnd"/>
      <w:r w:rsidRPr="00065ACE">
        <w:rPr>
          <w:rFonts w:eastAsia="Times New Roman" w:cs="Calibri"/>
          <w:sz w:val="22"/>
          <w:szCs w:val="22"/>
          <w:lang w:val="en-US"/>
        </w:rPr>
        <w:t>) evaluations with around 650 (37%) of those evaluations rating the partnership’s progress as ‘Considerable’ or ‘Achieved’.</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Partnership Broker Snapshots have provided some excellent examples of partnership initiatives across a broad range of focus areas involving a variety of stakeholders. A selection of WA Snapshots is included at the end of this report.</w:t>
      </w:r>
    </w:p>
    <w:p w:rsidR="00065ACE" w:rsidRPr="00065ACE" w:rsidRDefault="00065ACE" w:rsidP="00781478">
      <w:pPr>
        <w:pStyle w:val="Heading3"/>
      </w:pPr>
      <w:bookmarkStart w:id="67" w:name="_Toc355773754"/>
      <w:r w:rsidRPr="00065ACE">
        <w:t>Challenges</w:t>
      </w:r>
      <w:bookmarkEnd w:id="67"/>
    </w:p>
    <w:p w:rsidR="00065ACE" w:rsidRPr="00065ACE" w:rsidRDefault="00065ACE" w:rsidP="00065ACE">
      <w:pPr>
        <w:spacing w:before="120" w:after="120" w:line="240" w:lineRule="auto"/>
        <w:ind w:right="34"/>
        <w:rPr>
          <w:rFonts w:eastAsia="Times New Roman" w:cs="Calibri"/>
          <w:color w:val="000000"/>
          <w:sz w:val="22"/>
          <w:szCs w:val="22"/>
          <w:lang w:val="en-US"/>
        </w:rPr>
      </w:pPr>
      <w:r w:rsidRPr="00065ACE">
        <w:rPr>
          <w:rFonts w:eastAsia="Times New Roman" w:cs="Calibri"/>
          <w:sz w:val="22"/>
          <w:szCs w:val="22"/>
          <w:lang w:val="en-US"/>
        </w:rPr>
        <w:t xml:space="preserve">While the information above indicates significant progress, individual providers and the Partnership Brokers program have also faced many of the challenges outlined in the National Summary above. In addition, the two speed economy in WA has seen </w:t>
      </w:r>
      <w:proofErr w:type="gramStart"/>
      <w:r w:rsidRPr="00065ACE">
        <w:rPr>
          <w:rFonts w:eastAsia="Times New Roman" w:cs="Calibri"/>
          <w:sz w:val="22"/>
          <w:szCs w:val="22"/>
          <w:lang w:val="en-US"/>
        </w:rPr>
        <w:t>towns</w:t>
      </w:r>
      <w:proofErr w:type="gramEnd"/>
      <w:r w:rsidRPr="00065ACE">
        <w:rPr>
          <w:rFonts w:eastAsia="Times New Roman" w:cs="Calibri"/>
          <w:sz w:val="22"/>
          <w:szCs w:val="22"/>
          <w:lang w:val="en-US"/>
        </w:rPr>
        <w:t xml:space="preserve"> central to the resources growth experiencing residential property shortages.</w:t>
      </w:r>
      <w:r w:rsidRPr="00065ACE">
        <w:rPr>
          <w:rFonts w:eastAsia="Times New Roman" w:cs="Calibri"/>
          <w:color w:val="000000"/>
          <w:sz w:val="22"/>
          <w:szCs w:val="22"/>
          <w:lang w:val="en-US"/>
        </w:rPr>
        <w:t xml:space="preserve"> </w:t>
      </w:r>
      <w:r w:rsidRPr="00065ACE">
        <w:rPr>
          <w:rFonts w:eastAsia="Times New Roman" w:cs="Calibri"/>
          <w:sz w:val="22"/>
          <w:szCs w:val="22"/>
          <w:lang w:val="en-US"/>
        </w:rPr>
        <w:t xml:space="preserve">The Partnership Broker providers who work in these regions are not-for-profit organisations and the impact of these conditions is that the providers are unable to compete with the resources sector for skilled staff. Wages are far lower than those offered to people in resource-associated industries and housing/rental affordability combined with relatively poor physical and social infrastructure hinders providers employing experienced staff. </w:t>
      </w:r>
      <w:r w:rsidRPr="00065ACE">
        <w:rPr>
          <w:rFonts w:eastAsia="Times New Roman" w:cs="Calibri"/>
          <w:color w:val="000000"/>
          <w:sz w:val="22"/>
          <w:szCs w:val="22"/>
          <w:lang w:val="en-US"/>
        </w:rPr>
        <w:t>The impact of having less skilled or experienced staff in these roles means a reduced level of strategic planning and partnership development, whilst the staff are passionate and committed to their roles, this inexperience means slower than expected program outcomes.</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Another side of this two speed economy is that there is a drain of skilled workers from other rural WA areas such as the </w:t>
      </w:r>
      <w:proofErr w:type="spellStart"/>
      <w:r w:rsidRPr="00065ACE">
        <w:rPr>
          <w:rFonts w:eastAsia="Times New Roman" w:cs="Calibri"/>
          <w:sz w:val="22"/>
          <w:szCs w:val="22"/>
          <w:lang w:val="en-US"/>
        </w:rPr>
        <w:t>Wheatbelt</w:t>
      </w:r>
      <w:proofErr w:type="spellEnd"/>
      <w:r w:rsidRPr="00065ACE">
        <w:rPr>
          <w:rFonts w:eastAsia="Times New Roman" w:cs="Calibri"/>
          <w:sz w:val="22"/>
          <w:szCs w:val="22"/>
          <w:lang w:val="en-US"/>
        </w:rPr>
        <w:t xml:space="preserve"> where wages are far lower than in the resources sector. A consequence of this and other factors such as drought in previous years has presented another set of challenges for Partnership Brokers working in such regions. For example, there is often a reduction in community infrastructure accompanied by a lessening of community confidence, and then a reluctance to become involved, including on the part of key stakeholders Partnership Brokers would hope to be working with.</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The level of collaboration between Partnership Brokers and Youth Connections providers in WA is higher than the national average based on 2012 Annual Provider Survey results. The State Partnership Broker Network is operating in an inclusive way and is now working more constructively with the State Youth Connections Network at a strategic level.</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A continuing trend in WA is the low level of unemployment meaning there are increased opportunities for young people to obtain employment without completing Year 12 and/or its vocational equivalent, contrary to the goals of </w:t>
      </w:r>
      <w:r w:rsidRPr="00065ACE">
        <w:rPr>
          <w:rFonts w:eastAsia="Times New Roman" w:cs="Calibri"/>
          <w:sz w:val="22"/>
          <w:szCs w:val="22"/>
          <w:lang w:val="en-US"/>
        </w:rPr>
        <w:lastRenderedPageBreak/>
        <w:t>Youth Attainment and Transitions National Partnership. While this presents a challenge for the Partnership Brokers program, there are also opportunities to engage industry in partnerships that improve the capacity of young people to undertake employment in areas of skills shortage.</w:t>
      </w:r>
    </w:p>
    <w:p w:rsidR="009B56B7" w:rsidRDefault="009B56B7" w:rsidP="00781478">
      <w:pPr>
        <w:pStyle w:val="Heading2"/>
        <w:rPr>
          <w:lang w:eastAsia="en-AU"/>
        </w:rPr>
      </w:pPr>
      <w:bookmarkStart w:id="68" w:name="_Toc355773755"/>
    </w:p>
    <w:p w:rsidR="00065ACE" w:rsidRPr="00065ACE" w:rsidRDefault="00EC7A08" w:rsidP="00781478">
      <w:pPr>
        <w:pStyle w:val="Heading2"/>
        <w:rPr>
          <w:lang w:eastAsia="en-AU"/>
        </w:rPr>
      </w:pPr>
      <w:bookmarkStart w:id="69" w:name="_Toc384044204"/>
      <w:r w:rsidRPr="00065ACE">
        <w:rPr>
          <w:lang w:eastAsia="en-AU"/>
        </w:rPr>
        <w:t>Organisations</w:t>
      </w:r>
      <w:bookmarkEnd w:id="62"/>
      <w:bookmarkEnd w:id="63"/>
      <w:bookmarkEnd w:id="68"/>
      <w:bookmarkEnd w:id="69"/>
    </w:p>
    <w:p w:rsidR="00065ACE" w:rsidRPr="00065ACE" w:rsidRDefault="00065ACE" w:rsidP="00781478">
      <w:pPr>
        <w:pStyle w:val="Heading4"/>
        <w:rPr>
          <w:rFonts w:eastAsia="Times New Roman"/>
        </w:rPr>
      </w:pPr>
      <w:bookmarkStart w:id="70" w:name="_Toc292697120"/>
      <w:bookmarkStart w:id="71" w:name="_Toc323901029"/>
      <w:bookmarkStart w:id="72" w:name="_Toc355773756"/>
      <w:r w:rsidRPr="00065ACE">
        <w:rPr>
          <w:rFonts w:eastAsia="Times New Roman"/>
        </w:rPr>
        <w:t xml:space="preserve">Table </w:t>
      </w:r>
      <w:proofErr w:type="gramStart"/>
      <w:r w:rsidRPr="00065ACE">
        <w:rPr>
          <w:rFonts w:eastAsia="Times New Roman"/>
        </w:rPr>
        <w:t>A</w:t>
      </w:r>
      <w:proofErr w:type="gramEnd"/>
      <w:r w:rsidRPr="00065ACE">
        <w:rPr>
          <w:rFonts w:eastAsia="Times New Roman"/>
        </w:rPr>
        <w:t xml:space="preserve"> – Number of Organisations in Partnerships by Stakeholder Group</w:t>
      </w:r>
      <w:bookmarkEnd w:id="70"/>
      <w:bookmarkEnd w:id="71"/>
      <w:bookmarkEnd w:id="72"/>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This table shows the stakeholder groups represented in partnerships.</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Note:</w:t>
      </w:r>
      <w:r w:rsidRPr="00065ACE">
        <w:rPr>
          <w:rFonts w:eastAsia="Times New Roman" w:cs="Calibri"/>
          <w:sz w:val="22"/>
          <w:szCs w:val="22"/>
          <w:lang w:val="en-US"/>
        </w:rPr>
        <w:t xml:space="preserve"> this data includes organisations in partnerships with status active and self-sustaining. National figures do not include Victoria. Organisations involved in multiple partnerships have only been counted once.</w:t>
      </w:r>
    </w:p>
    <w:tbl>
      <w:tblPr>
        <w:tblW w:w="9482" w:type="dxa"/>
        <w:tblInd w:w="28" w:type="dxa"/>
        <w:tblLayout w:type="fixed"/>
        <w:tblCellMar>
          <w:left w:w="28" w:type="dxa"/>
          <w:right w:w="28" w:type="dxa"/>
        </w:tblCellMar>
        <w:tblLook w:val="0000" w:firstRow="0" w:lastRow="0" w:firstColumn="0" w:lastColumn="0" w:noHBand="0" w:noVBand="0"/>
      </w:tblPr>
      <w:tblGrid>
        <w:gridCol w:w="2359"/>
        <w:gridCol w:w="1772"/>
        <w:gridCol w:w="1709"/>
        <w:gridCol w:w="1790"/>
        <w:gridCol w:w="1852"/>
      </w:tblGrid>
      <w:tr w:rsidR="00065ACE" w:rsidRPr="00065ACE" w:rsidTr="004B3484">
        <w:trPr>
          <w:trHeight w:val="293"/>
        </w:trPr>
        <w:tc>
          <w:tcPr>
            <w:tcW w:w="2359" w:type="dxa"/>
            <w:tcBorders>
              <w:top w:val="single" w:sz="12" w:space="0" w:color="auto"/>
              <w:left w:val="single" w:sz="12" w:space="0" w:color="auto"/>
              <w:bottom w:val="single" w:sz="12" w:space="0" w:color="auto"/>
              <w:right w:val="single" w:sz="12" w:space="0" w:color="auto"/>
            </w:tcBorders>
            <w:shd w:val="clear" w:color="auto" w:fill="BFBFBF" w:themeFill="accent5" w:themeFillTint="66"/>
            <w:noWrap/>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Stakeholder Group</w:t>
            </w:r>
          </w:p>
        </w:tc>
        <w:tc>
          <w:tcPr>
            <w:tcW w:w="1772" w:type="dxa"/>
            <w:tcBorders>
              <w:top w:val="single" w:sz="12" w:space="0" w:color="auto"/>
              <w:left w:val="single" w:sz="12" w:space="0" w:color="auto"/>
              <w:bottom w:val="single" w:sz="12" w:space="0" w:color="auto"/>
              <w:right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 xml:space="preserve">Total number of organisations in partnerships </w:t>
            </w:r>
          </w:p>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(WA)</w:t>
            </w:r>
          </w:p>
        </w:tc>
        <w:tc>
          <w:tcPr>
            <w:tcW w:w="1709" w:type="dxa"/>
            <w:tcBorders>
              <w:top w:val="single" w:sz="12" w:space="0" w:color="auto"/>
              <w:left w:val="single" w:sz="12" w:space="0" w:color="auto"/>
              <w:bottom w:val="single" w:sz="12" w:space="0" w:color="auto"/>
              <w:right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Percentage of organisations in partnerships (WA)</w:t>
            </w:r>
          </w:p>
        </w:tc>
        <w:tc>
          <w:tcPr>
            <w:tcW w:w="1790" w:type="dxa"/>
            <w:tcBorders>
              <w:top w:val="single" w:sz="12" w:space="0" w:color="auto"/>
              <w:left w:val="single" w:sz="12" w:space="0" w:color="auto"/>
              <w:bottom w:val="single" w:sz="12" w:space="0" w:color="auto"/>
              <w:right w:val="single" w:sz="4"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organisations in partnerships (Nationally)</w:t>
            </w:r>
          </w:p>
        </w:tc>
        <w:tc>
          <w:tcPr>
            <w:tcW w:w="1852" w:type="dxa"/>
            <w:tcBorders>
              <w:top w:val="single" w:sz="12" w:space="0" w:color="auto"/>
              <w:left w:val="single" w:sz="4" w:space="0" w:color="auto"/>
              <w:bottom w:val="single" w:sz="12" w:space="0" w:color="auto"/>
              <w:right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Percentage of organisations in partnerships (Nationally)</w:t>
            </w:r>
          </w:p>
        </w:tc>
      </w:tr>
      <w:tr w:rsidR="00065ACE" w:rsidRPr="00065ACE" w:rsidTr="004B3484">
        <w:trPr>
          <w:trHeight w:val="302"/>
        </w:trPr>
        <w:tc>
          <w:tcPr>
            <w:tcW w:w="2359"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Business &amp; Industry</w:t>
            </w:r>
          </w:p>
        </w:tc>
        <w:tc>
          <w:tcPr>
            <w:tcW w:w="177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198</w:t>
            </w:r>
          </w:p>
        </w:tc>
        <w:tc>
          <w:tcPr>
            <w:tcW w:w="1709"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29%</w:t>
            </w:r>
          </w:p>
        </w:tc>
        <w:tc>
          <w:tcPr>
            <w:tcW w:w="1790" w:type="dxa"/>
            <w:tcBorders>
              <w:top w:val="single" w:sz="12"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color w:val="000000"/>
                <w:sz w:val="20"/>
                <w:szCs w:val="20"/>
              </w:rPr>
              <w:t>1508</w:t>
            </w:r>
          </w:p>
        </w:tc>
        <w:tc>
          <w:tcPr>
            <w:tcW w:w="1852" w:type="dxa"/>
            <w:tcBorders>
              <w:top w:val="single" w:sz="12" w:space="0" w:color="auto"/>
              <w:left w:val="single" w:sz="4" w:space="0" w:color="auto"/>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color w:val="000000"/>
                <w:sz w:val="20"/>
                <w:szCs w:val="20"/>
              </w:rPr>
              <w:t>29%</w:t>
            </w:r>
          </w:p>
        </w:tc>
      </w:tr>
      <w:tr w:rsidR="00065ACE" w:rsidRPr="00065ACE" w:rsidTr="004B3484">
        <w:trPr>
          <w:trHeight w:val="302"/>
        </w:trPr>
        <w:tc>
          <w:tcPr>
            <w:tcW w:w="23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Community</w:t>
            </w:r>
          </w:p>
        </w:tc>
        <w:tc>
          <w:tcPr>
            <w:tcW w:w="177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226</w:t>
            </w:r>
          </w:p>
        </w:tc>
        <w:tc>
          <w:tcPr>
            <w:tcW w:w="1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33%</w:t>
            </w:r>
          </w:p>
        </w:tc>
        <w:tc>
          <w:tcPr>
            <w:tcW w:w="1790"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color w:val="000000"/>
                <w:sz w:val="20"/>
                <w:szCs w:val="20"/>
              </w:rPr>
              <w:t>1645</w:t>
            </w:r>
          </w:p>
        </w:tc>
        <w:tc>
          <w:tcPr>
            <w:tcW w:w="1852" w:type="dxa"/>
            <w:tcBorders>
              <w:top w:val="single" w:sz="4" w:space="0" w:color="auto"/>
              <w:left w:val="single" w:sz="4" w:space="0" w:color="auto"/>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color w:val="000000"/>
                <w:sz w:val="20"/>
                <w:szCs w:val="20"/>
              </w:rPr>
              <w:t>31%</w:t>
            </w:r>
          </w:p>
        </w:tc>
      </w:tr>
      <w:tr w:rsidR="00065ACE" w:rsidRPr="00065ACE" w:rsidTr="004B3484">
        <w:trPr>
          <w:trHeight w:val="302"/>
        </w:trPr>
        <w:tc>
          <w:tcPr>
            <w:tcW w:w="23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Education</w:t>
            </w:r>
          </w:p>
        </w:tc>
        <w:tc>
          <w:tcPr>
            <w:tcW w:w="177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219</w:t>
            </w:r>
          </w:p>
        </w:tc>
        <w:tc>
          <w:tcPr>
            <w:tcW w:w="1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32%</w:t>
            </w:r>
          </w:p>
        </w:tc>
        <w:tc>
          <w:tcPr>
            <w:tcW w:w="1790"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color w:val="000000"/>
                <w:sz w:val="20"/>
                <w:szCs w:val="20"/>
              </w:rPr>
              <w:t>1968</w:t>
            </w:r>
          </w:p>
        </w:tc>
        <w:tc>
          <w:tcPr>
            <w:tcW w:w="1852" w:type="dxa"/>
            <w:tcBorders>
              <w:top w:val="single" w:sz="4" w:space="0" w:color="auto"/>
              <w:left w:val="single" w:sz="4" w:space="0" w:color="auto"/>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color w:val="000000"/>
                <w:sz w:val="20"/>
                <w:szCs w:val="20"/>
              </w:rPr>
              <w:t>37%</w:t>
            </w:r>
          </w:p>
        </w:tc>
      </w:tr>
      <w:tr w:rsidR="00065ACE" w:rsidRPr="00065ACE" w:rsidTr="004B3484">
        <w:trPr>
          <w:trHeight w:val="302"/>
        </w:trPr>
        <w:tc>
          <w:tcPr>
            <w:tcW w:w="2359"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Parents and Families</w:t>
            </w:r>
          </w:p>
        </w:tc>
        <w:tc>
          <w:tcPr>
            <w:tcW w:w="177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35</w:t>
            </w:r>
          </w:p>
        </w:tc>
        <w:tc>
          <w:tcPr>
            <w:tcW w:w="1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5%</w:t>
            </w:r>
          </w:p>
        </w:tc>
        <w:tc>
          <w:tcPr>
            <w:tcW w:w="1790" w:type="dxa"/>
            <w:tcBorders>
              <w:top w:val="single" w:sz="4" w:space="0" w:color="auto"/>
              <w:left w:val="single" w:sz="12" w:space="0" w:color="auto"/>
              <w:bottom w:val="single" w:sz="12"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color w:val="000000"/>
                <w:sz w:val="20"/>
                <w:szCs w:val="20"/>
              </w:rPr>
              <w:t>167</w:t>
            </w:r>
          </w:p>
        </w:tc>
        <w:tc>
          <w:tcPr>
            <w:tcW w:w="1852" w:type="dxa"/>
            <w:tcBorders>
              <w:top w:val="single" w:sz="4" w:space="0" w:color="auto"/>
              <w:left w:val="single" w:sz="4" w:space="0" w:color="auto"/>
              <w:bottom w:val="single" w:sz="12"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color w:val="000000"/>
                <w:sz w:val="20"/>
                <w:szCs w:val="20"/>
              </w:rPr>
              <w:t>3%</w:t>
            </w:r>
          </w:p>
        </w:tc>
      </w:tr>
      <w:tr w:rsidR="00065ACE" w:rsidRPr="00065ACE" w:rsidTr="004B3484">
        <w:trPr>
          <w:trHeight w:val="302"/>
        </w:trPr>
        <w:tc>
          <w:tcPr>
            <w:tcW w:w="2359" w:type="dxa"/>
            <w:tcBorders>
              <w:top w:val="single" w:sz="12" w:space="0" w:color="auto"/>
              <w:left w:val="single" w:sz="12" w:space="0" w:color="auto"/>
              <w:bottom w:val="single" w:sz="12" w:space="0" w:color="auto"/>
              <w:right w:val="single" w:sz="12" w:space="0" w:color="auto"/>
            </w:tcBorders>
            <w:shd w:val="clear" w:color="auto" w:fill="DFDFDF" w:themeFill="accent5" w:themeFillTint="33"/>
            <w:noWrap/>
            <w:vAlign w:val="center"/>
          </w:tcPr>
          <w:p w:rsidR="00065ACE" w:rsidRPr="00065ACE" w:rsidRDefault="00065ACE" w:rsidP="00065ACE">
            <w:pPr>
              <w:spacing w:line="240" w:lineRule="auto"/>
              <w:ind w:right="-1"/>
              <w:rPr>
                <w:rFonts w:eastAsia="Times New Roman" w:cs="Calibri"/>
                <w:b/>
                <w:bCs/>
                <w:sz w:val="22"/>
                <w:szCs w:val="22"/>
                <w:lang w:val="en-US" w:eastAsia="en-AU"/>
              </w:rPr>
            </w:pPr>
            <w:r w:rsidRPr="00065ACE">
              <w:rPr>
                <w:rFonts w:eastAsia="Times New Roman" w:cs="Calibri"/>
                <w:b/>
                <w:bCs/>
                <w:sz w:val="22"/>
                <w:szCs w:val="22"/>
                <w:lang w:val="en-US" w:eastAsia="en-AU"/>
              </w:rPr>
              <w:t>Total</w:t>
            </w:r>
          </w:p>
        </w:tc>
        <w:tc>
          <w:tcPr>
            <w:tcW w:w="1772" w:type="dxa"/>
            <w:tcBorders>
              <w:top w:val="single" w:sz="12" w:space="0" w:color="auto"/>
              <w:left w:val="single" w:sz="12" w:space="0" w:color="auto"/>
              <w:bottom w:val="single" w:sz="12" w:space="0" w:color="auto"/>
              <w:right w:val="single" w:sz="4" w:space="0" w:color="auto"/>
            </w:tcBorders>
            <w:shd w:val="clear" w:color="auto" w:fill="DFDFDF" w:themeFill="accent5" w:themeFillTint="33"/>
            <w:noWrap/>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678</w:t>
            </w:r>
          </w:p>
        </w:tc>
        <w:tc>
          <w:tcPr>
            <w:tcW w:w="1709" w:type="dxa"/>
            <w:tcBorders>
              <w:top w:val="single" w:sz="12" w:space="0" w:color="auto"/>
              <w:left w:val="single" w:sz="4" w:space="0" w:color="auto"/>
              <w:bottom w:val="single" w:sz="12" w:space="0" w:color="auto"/>
              <w:right w:val="single" w:sz="12" w:space="0" w:color="auto"/>
            </w:tcBorders>
            <w:shd w:val="clear" w:color="auto" w:fill="DFDFDF" w:themeFill="accent5" w:themeFillTint="33"/>
            <w:noWrap/>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100%</w:t>
            </w:r>
          </w:p>
        </w:tc>
        <w:tc>
          <w:tcPr>
            <w:tcW w:w="1790" w:type="dxa"/>
            <w:tcBorders>
              <w:top w:val="single" w:sz="12" w:space="0" w:color="auto"/>
              <w:left w:val="single" w:sz="12" w:space="0" w:color="auto"/>
              <w:bottom w:val="single" w:sz="12"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5288</w:t>
            </w:r>
          </w:p>
        </w:tc>
        <w:tc>
          <w:tcPr>
            <w:tcW w:w="1852" w:type="dxa"/>
            <w:tcBorders>
              <w:top w:val="single" w:sz="12" w:space="0" w:color="auto"/>
              <w:left w:val="single" w:sz="4" w:space="0" w:color="auto"/>
              <w:bottom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100%</w:t>
            </w:r>
          </w:p>
        </w:tc>
      </w:tr>
    </w:tbl>
    <w:p w:rsidR="00781478" w:rsidRDefault="00781478" w:rsidP="00781478">
      <w:pPr>
        <w:pStyle w:val="Heading4"/>
        <w:rPr>
          <w:rFonts w:eastAsia="Times New Roman"/>
        </w:rPr>
      </w:pPr>
      <w:bookmarkStart w:id="73" w:name="_Toc292696374"/>
      <w:bookmarkStart w:id="74" w:name="_Toc355773757"/>
      <w:bookmarkStart w:id="75" w:name="_Toc323901030"/>
    </w:p>
    <w:p w:rsidR="009B56B7" w:rsidRDefault="009B56B7">
      <w:pPr>
        <w:spacing w:line="240" w:lineRule="auto"/>
        <w:rPr>
          <w:rFonts w:asciiTheme="majorHAnsi" w:eastAsia="Times New Roman" w:hAnsiTheme="majorHAnsi" w:cstheme="majorBidi"/>
          <w:b/>
          <w:bCs/>
          <w:iCs/>
          <w:u w:val="single"/>
        </w:rPr>
      </w:pPr>
      <w:r>
        <w:rPr>
          <w:rFonts w:eastAsia="Times New Roman"/>
        </w:rPr>
        <w:br w:type="page"/>
      </w:r>
    </w:p>
    <w:p w:rsidR="00065ACE" w:rsidRPr="00065ACE" w:rsidRDefault="00065ACE" w:rsidP="00781478">
      <w:pPr>
        <w:pStyle w:val="Heading4"/>
        <w:rPr>
          <w:rFonts w:eastAsia="Times New Roman"/>
        </w:rPr>
      </w:pPr>
      <w:r w:rsidRPr="00065ACE">
        <w:rPr>
          <w:rFonts w:eastAsia="Times New Roman"/>
        </w:rPr>
        <w:lastRenderedPageBreak/>
        <w:t xml:space="preserve">Table B – Number of Organisations in Partnerships by </w:t>
      </w:r>
      <w:proofErr w:type="spellStart"/>
      <w:r w:rsidRPr="00065ACE">
        <w:rPr>
          <w:rFonts w:eastAsia="Times New Roman"/>
        </w:rPr>
        <w:t>ANZSIC</w:t>
      </w:r>
      <w:proofErr w:type="spellEnd"/>
      <w:r w:rsidRPr="00065ACE">
        <w:rPr>
          <w:rFonts w:eastAsia="Times New Roman"/>
        </w:rPr>
        <w:t xml:space="preserve"> Division</w:t>
      </w:r>
      <w:bookmarkEnd w:id="73"/>
      <w:bookmarkEnd w:id="74"/>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This table shows the </w:t>
      </w:r>
      <w:proofErr w:type="spellStart"/>
      <w:r w:rsidRPr="00065ACE">
        <w:rPr>
          <w:rFonts w:eastAsia="Times New Roman" w:cs="Calibri"/>
          <w:sz w:val="22"/>
          <w:szCs w:val="22"/>
          <w:lang w:val="en-US"/>
        </w:rPr>
        <w:t>ANZSIC</w:t>
      </w:r>
      <w:proofErr w:type="spellEnd"/>
      <w:r w:rsidRPr="00065ACE">
        <w:rPr>
          <w:rFonts w:eastAsia="Times New Roman" w:cs="Calibri"/>
          <w:sz w:val="22"/>
          <w:szCs w:val="22"/>
          <w:lang w:val="en-US"/>
        </w:rPr>
        <w:t xml:space="preserve"> divisions represented in partnerships.</w:t>
      </w:r>
    </w:p>
    <w:p w:rsidR="00065ACE" w:rsidRPr="00065ACE" w:rsidRDefault="00065ACE" w:rsidP="00065ACE">
      <w:pPr>
        <w:spacing w:before="120" w:after="120" w:line="240" w:lineRule="auto"/>
        <w:ind w:right="34"/>
        <w:rPr>
          <w:rFonts w:eastAsia="Times New Roman" w:cs="Calibri"/>
          <w:sz w:val="20"/>
          <w:szCs w:val="22"/>
          <w:lang w:val="en-US"/>
        </w:rPr>
      </w:pPr>
      <w:r w:rsidRPr="00065ACE">
        <w:rPr>
          <w:rFonts w:eastAsia="Times New Roman" w:cs="Calibri"/>
          <w:b/>
          <w:sz w:val="22"/>
          <w:szCs w:val="22"/>
          <w:lang w:val="en-US"/>
        </w:rPr>
        <w:t>Note:</w:t>
      </w:r>
      <w:r w:rsidRPr="00065ACE">
        <w:rPr>
          <w:rFonts w:eastAsia="Times New Roman" w:cs="Calibri"/>
          <w:sz w:val="22"/>
          <w:szCs w:val="22"/>
          <w:lang w:val="en-US"/>
        </w:rPr>
        <w:t xml:space="preserve"> this data includes organisations in partnerships with status active and self-sustaining. National figures do not include Victoria. Organisations involved in multiple partnerships have only been counted once.</w:t>
      </w:r>
    </w:p>
    <w:tbl>
      <w:tblPr>
        <w:tblW w:w="9715" w:type="dxa"/>
        <w:tblInd w:w="108" w:type="dxa"/>
        <w:tblLayout w:type="fixed"/>
        <w:tblLook w:val="0000" w:firstRow="0" w:lastRow="0" w:firstColumn="0" w:lastColumn="0" w:noHBand="0" w:noVBand="0"/>
      </w:tblPr>
      <w:tblGrid>
        <w:gridCol w:w="4287"/>
        <w:gridCol w:w="1286"/>
        <w:gridCol w:w="1571"/>
        <w:gridCol w:w="1286"/>
        <w:gridCol w:w="1285"/>
      </w:tblGrid>
      <w:tr w:rsidR="00065ACE" w:rsidRPr="00065ACE" w:rsidTr="004B3484">
        <w:trPr>
          <w:trHeight w:val="274"/>
        </w:trPr>
        <w:tc>
          <w:tcPr>
            <w:tcW w:w="4287" w:type="dxa"/>
            <w:tcBorders>
              <w:top w:val="single" w:sz="12" w:space="0" w:color="auto"/>
              <w:left w:val="single" w:sz="12" w:space="0" w:color="auto"/>
              <w:bottom w:val="single" w:sz="12" w:space="0" w:color="auto"/>
              <w:right w:val="single" w:sz="12" w:space="0" w:color="auto"/>
            </w:tcBorders>
            <w:shd w:val="clear" w:color="auto" w:fill="BFBFBF" w:themeFill="accent5" w:themeFillTint="66"/>
            <w:noWrap/>
            <w:vAlign w:val="center"/>
          </w:tcPr>
          <w:p w:rsidR="00065ACE" w:rsidRPr="00065ACE" w:rsidRDefault="00065ACE" w:rsidP="00065ACE">
            <w:pPr>
              <w:spacing w:line="240" w:lineRule="auto"/>
              <w:jc w:val="center"/>
              <w:rPr>
                <w:rFonts w:ascii="Arial" w:eastAsia="Times New Roman" w:hAnsi="Arial" w:cs="Arial"/>
                <w:b/>
                <w:bCs/>
                <w:sz w:val="22"/>
                <w:szCs w:val="22"/>
                <w:lang w:eastAsia="en-AU"/>
              </w:rPr>
            </w:pPr>
            <w:proofErr w:type="spellStart"/>
            <w:r w:rsidRPr="00065ACE">
              <w:rPr>
                <w:rFonts w:eastAsia="Times New Roman" w:cs="Calibri"/>
                <w:b/>
                <w:bCs/>
                <w:sz w:val="22"/>
                <w:szCs w:val="22"/>
                <w:lang w:eastAsia="en-AU"/>
              </w:rPr>
              <w:t>ANZSIC</w:t>
            </w:r>
            <w:proofErr w:type="spellEnd"/>
            <w:r w:rsidRPr="00065ACE">
              <w:rPr>
                <w:rFonts w:eastAsia="Times New Roman" w:cs="Calibri"/>
                <w:b/>
                <w:bCs/>
                <w:sz w:val="22"/>
                <w:szCs w:val="22"/>
                <w:lang w:eastAsia="en-AU"/>
              </w:rPr>
              <w:t xml:space="preserve"> Division</w:t>
            </w:r>
          </w:p>
        </w:tc>
        <w:tc>
          <w:tcPr>
            <w:tcW w:w="1286" w:type="dxa"/>
            <w:tcBorders>
              <w:top w:val="single" w:sz="12" w:space="0" w:color="auto"/>
              <w:left w:val="single" w:sz="12" w:space="0" w:color="auto"/>
              <w:bottom w:val="single" w:sz="12" w:space="0" w:color="auto"/>
              <w:right w:val="single" w:sz="4"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(WA)</w:t>
            </w:r>
          </w:p>
        </w:tc>
        <w:tc>
          <w:tcPr>
            <w:tcW w:w="1571" w:type="dxa"/>
            <w:tcBorders>
              <w:top w:val="single" w:sz="12" w:space="0" w:color="auto"/>
              <w:left w:val="nil"/>
              <w:bottom w:val="single" w:sz="12" w:space="0" w:color="auto"/>
              <w:right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Percentage of Total (WA)</w:t>
            </w:r>
          </w:p>
        </w:tc>
        <w:tc>
          <w:tcPr>
            <w:tcW w:w="1286" w:type="dxa"/>
            <w:tcBorders>
              <w:top w:val="single" w:sz="12" w:space="0" w:color="auto"/>
              <w:left w:val="single" w:sz="12" w:space="0" w:color="auto"/>
              <w:bottom w:val="single" w:sz="12" w:space="0" w:color="auto"/>
              <w:right w:val="single" w:sz="4"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(National)</w:t>
            </w:r>
          </w:p>
        </w:tc>
        <w:tc>
          <w:tcPr>
            <w:tcW w:w="1285" w:type="dxa"/>
            <w:tcBorders>
              <w:top w:val="single" w:sz="12" w:space="0" w:color="auto"/>
              <w:left w:val="nil"/>
              <w:bottom w:val="single" w:sz="12" w:space="0" w:color="auto"/>
              <w:right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Percentage  of Total (National)</w:t>
            </w:r>
          </w:p>
        </w:tc>
      </w:tr>
      <w:tr w:rsidR="00065ACE" w:rsidRPr="00065ACE" w:rsidTr="004B3484">
        <w:trPr>
          <w:trHeight w:val="349"/>
        </w:trPr>
        <w:tc>
          <w:tcPr>
            <w:tcW w:w="4287"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Accommodation and Food Services</w:t>
            </w:r>
          </w:p>
        </w:tc>
        <w:tc>
          <w:tcPr>
            <w:tcW w:w="128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w:t>
            </w:r>
          </w:p>
        </w:tc>
        <w:tc>
          <w:tcPr>
            <w:tcW w:w="1571" w:type="dxa"/>
            <w:tcBorders>
              <w:top w:val="single" w:sz="12"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c>
          <w:tcPr>
            <w:tcW w:w="1286" w:type="dxa"/>
            <w:tcBorders>
              <w:top w:val="single" w:sz="12"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121</w:t>
            </w:r>
          </w:p>
        </w:tc>
        <w:tc>
          <w:tcPr>
            <w:tcW w:w="1285" w:type="dxa"/>
            <w:tcBorders>
              <w:top w:val="single" w:sz="12"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Administrative and Support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5%</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208</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4%</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Agriculture, Forestry and Fishing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15</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101</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Arts and Recreation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15</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190</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4%</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Construction</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7</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81</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Education and Training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298</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44%</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2409</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45%</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Electricity, Gas, Water and Waste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0%</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23</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0%</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Financial and Insurance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7</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55</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Health Care and Social Assistance</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115</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17%</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703</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13%</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Information Media and Telecommunications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0%</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65</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Manufacturing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5</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77</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Mining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16</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60</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Other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77</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724</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Professional, Scientific and Technical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67</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Public Administration and Safety</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29</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4%</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232</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4%</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Rental, Hiring and Real Estate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0%</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10</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0%</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Retail Trade</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24</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4%</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113</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w:t>
            </w:r>
          </w:p>
        </w:tc>
      </w:tr>
      <w:tr w:rsidR="00065ACE" w:rsidRPr="00065ACE" w:rsidTr="004B3484">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Transport, Postal and Warehousing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12</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65</w:t>
            </w:r>
          </w:p>
        </w:tc>
        <w:tc>
          <w:tcPr>
            <w:tcW w:w="1285" w:type="dxa"/>
            <w:tcBorders>
              <w:top w:val="single" w:sz="4" w:space="0" w:color="auto"/>
              <w:left w:val="nil"/>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w:t>
            </w:r>
          </w:p>
        </w:tc>
      </w:tr>
      <w:tr w:rsidR="00065ACE" w:rsidRPr="00065ACE" w:rsidTr="004B3484">
        <w:trPr>
          <w:trHeight w:val="349"/>
        </w:trPr>
        <w:tc>
          <w:tcPr>
            <w:tcW w:w="4287" w:type="dxa"/>
            <w:tcBorders>
              <w:top w:val="nil"/>
              <w:left w:val="single" w:sz="12" w:space="0" w:color="auto"/>
              <w:bottom w:val="single" w:sz="12" w:space="0" w:color="auto"/>
              <w:right w:val="single" w:sz="12" w:space="0" w:color="auto"/>
            </w:tcBorders>
            <w:shd w:val="clear" w:color="auto" w:fill="auto"/>
            <w:noWrap/>
            <w:vAlign w:val="center"/>
          </w:tcPr>
          <w:p w:rsidR="00065ACE" w:rsidRPr="00065ACE" w:rsidRDefault="00065ACE" w:rsidP="00065ACE">
            <w:pPr>
              <w:spacing w:line="240" w:lineRule="auto"/>
              <w:ind w:right="-1"/>
              <w:rPr>
                <w:rFonts w:eastAsia="Times New Roman" w:cs="Calibri"/>
                <w:sz w:val="22"/>
                <w:szCs w:val="22"/>
                <w:lang w:eastAsia="en-AU"/>
              </w:rPr>
            </w:pPr>
            <w:r w:rsidRPr="00065ACE">
              <w:rPr>
                <w:rFonts w:eastAsia="Times New Roman" w:cs="Calibri"/>
                <w:sz w:val="22"/>
                <w:szCs w:val="22"/>
                <w:lang w:eastAsia="en-AU"/>
              </w:rPr>
              <w:t>Wholesale Trade</w:t>
            </w:r>
          </w:p>
        </w:tc>
        <w:tc>
          <w:tcPr>
            <w:tcW w:w="128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0</w:t>
            </w:r>
          </w:p>
        </w:tc>
        <w:tc>
          <w:tcPr>
            <w:tcW w:w="1571" w:type="dxa"/>
            <w:tcBorders>
              <w:top w:val="single" w:sz="4" w:space="0" w:color="auto"/>
              <w:left w:val="nil"/>
              <w:bottom w:val="single" w:sz="12" w:space="0" w:color="auto"/>
              <w:right w:val="single" w:sz="12"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0%</w:t>
            </w:r>
          </w:p>
        </w:tc>
        <w:tc>
          <w:tcPr>
            <w:tcW w:w="1286" w:type="dxa"/>
            <w:tcBorders>
              <w:top w:val="single" w:sz="4" w:space="0" w:color="auto"/>
              <w:left w:val="single" w:sz="12" w:space="0" w:color="auto"/>
              <w:bottom w:val="single" w:sz="12"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bCs/>
                <w:color w:val="000000"/>
                <w:sz w:val="20"/>
                <w:szCs w:val="20"/>
              </w:rPr>
              <w:t>4</w:t>
            </w:r>
          </w:p>
        </w:tc>
        <w:tc>
          <w:tcPr>
            <w:tcW w:w="1285" w:type="dxa"/>
            <w:tcBorders>
              <w:top w:val="single" w:sz="4" w:space="0" w:color="auto"/>
              <w:left w:val="nil"/>
              <w:bottom w:val="single" w:sz="12"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0%</w:t>
            </w:r>
          </w:p>
        </w:tc>
      </w:tr>
      <w:tr w:rsidR="00065ACE" w:rsidRPr="00065ACE" w:rsidTr="004B3484">
        <w:trPr>
          <w:trHeight w:val="349"/>
        </w:trPr>
        <w:tc>
          <w:tcPr>
            <w:tcW w:w="4287" w:type="dxa"/>
            <w:tcBorders>
              <w:top w:val="single" w:sz="12" w:space="0" w:color="auto"/>
              <w:left w:val="single" w:sz="12" w:space="0" w:color="auto"/>
              <w:bottom w:val="single" w:sz="12" w:space="0" w:color="auto"/>
              <w:right w:val="single" w:sz="12" w:space="0" w:color="auto"/>
            </w:tcBorders>
            <w:shd w:val="clear" w:color="auto" w:fill="DFDFDF" w:themeFill="accent5" w:themeFillTint="33"/>
            <w:noWrap/>
            <w:vAlign w:val="center"/>
          </w:tcPr>
          <w:p w:rsidR="00065ACE" w:rsidRPr="00065ACE" w:rsidRDefault="00065ACE" w:rsidP="00065ACE">
            <w:pPr>
              <w:spacing w:line="240" w:lineRule="auto"/>
              <w:ind w:right="-1"/>
              <w:rPr>
                <w:rFonts w:eastAsia="Times New Roman" w:cs="Calibri"/>
                <w:b/>
                <w:bCs/>
                <w:sz w:val="22"/>
                <w:szCs w:val="22"/>
                <w:lang w:val="en-US" w:eastAsia="en-AU"/>
              </w:rPr>
            </w:pPr>
            <w:r w:rsidRPr="00065ACE">
              <w:rPr>
                <w:rFonts w:eastAsia="Times New Roman" w:cs="Calibri"/>
                <w:b/>
                <w:bCs/>
                <w:sz w:val="22"/>
                <w:szCs w:val="22"/>
                <w:lang w:val="en-US" w:eastAsia="en-AU"/>
              </w:rPr>
              <w:t>Total</w:t>
            </w:r>
          </w:p>
        </w:tc>
        <w:tc>
          <w:tcPr>
            <w:tcW w:w="1286" w:type="dxa"/>
            <w:tcBorders>
              <w:top w:val="single" w:sz="12" w:space="0" w:color="auto"/>
              <w:left w:val="single" w:sz="12" w:space="0" w:color="auto"/>
              <w:bottom w:val="single" w:sz="12" w:space="0" w:color="auto"/>
              <w:right w:val="single" w:sz="4" w:space="0" w:color="auto"/>
            </w:tcBorders>
            <w:shd w:val="clear" w:color="auto" w:fill="DFDFDF" w:themeFill="accent5" w:themeFillTint="33"/>
            <w:noWrap/>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677</w:t>
            </w:r>
          </w:p>
        </w:tc>
        <w:tc>
          <w:tcPr>
            <w:tcW w:w="1571" w:type="dxa"/>
            <w:tcBorders>
              <w:top w:val="single" w:sz="12" w:space="0" w:color="auto"/>
              <w:left w:val="nil"/>
              <w:bottom w:val="single" w:sz="12" w:space="0" w:color="auto"/>
              <w:right w:val="single" w:sz="12" w:space="0" w:color="auto"/>
            </w:tcBorders>
            <w:shd w:val="clear" w:color="auto" w:fill="DFDFDF" w:themeFill="accent5" w:themeFillTint="33"/>
            <w:noWrap/>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color w:val="000000"/>
                <w:sz w:val="20"/>
                <w:szCs w:val="20"/>
              </w:rPr>
              <w:t>100%</w:t>
            </w:r>
          </w:p>
        </w:tc>
        <w:tc>
          <w:tcPr>
            <w:tcW w:w="1286" w:type="dxa"/>
            <w:tcBorders>
              <w:top w:val="single" w:sz="12" w:space="0" w:color="auto"/>
              <w:left w:val="single" w:sz="12" w:space="0" w:color="auto"/>
              <w:bottom w:val="single" w:sz="12"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5308</w:t>
            </w:r>
          </w:p>
        </w:tc>
        <w:tc>
          <w:tcPr>
            <w:tcW w:w="1285" w:type="dxa"/>
            <w:tcBorders>
              <w:top w:val="single" w:sz="12" w:space="0" w:color="auto"/>
              <w:left w:val="nil"/>
              <w:bottom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color w:val="000000"/>
                <w:sz w:val="20"/>
                <w:szCs w:val="20"/>
              </w:rPr>
            </w:pPr>
            <w:r w:rsidRPr="00065ACE">
              <w:rPr>
                <w:rFonts w:eastAsia="Times New Roman" w:cs="Calibri"/>
                <w:b/>
                <w:color w:val="000000"/>
                <w:sz w:val="20"/>
                <w:szCs w:val="20"/>
              </w:rPr>
              <w:t>100%</w:t>
            </w:r>
          </w:p>
        </w:tc>
      </w:tr>
    </w:tbl>
    <w:p w:rsidR="00065ACE" w:rsidRDefault="00065ACE" w:rsidP="00065ACE">
      <w:pPr>
        <w:spacing w:before="120" w:after="120" w:line="240" w:lineRule="auto"/>
        <w:ind w:right="34"/>
        <w:rPr>
          <w:rFonts w:eastAsia="Times New Roman" w:cs="Calibri"/>
          <w:sz w:val="22"/>
          <w:szCs w:val="22"/>
          <w:lang w:val="en-US"/>
        </w:rPr>
      </w:pPr>
    </w:p>
    <w:p w:rsidR="00065ACE" w:rsidRPr="00065ACE" w:rsidRDefault="00065ACE" w:rsidP="00781478">
      <w:pPr>
        <w:pStyle w:val="Heading4"/>
        <w:rPr>
          <w:rFonts w:eastAsia="Times New Roman"/>
        </w:rPr>
      </w:pPr>
      <w:bookmarkStart w:id="76" w:name="_Toc355773758"/>
      <w:r w:rsidRPr="00065ACE">
        <w:rPr>
          <w:rFonts w:eastAsia="Times New Roman"/>
        </w:rPr>
        <w:t>Table C – Number of Schools in Partnerships by Education Level</w:t>
      </w:r>
      <w:bookmarkEnd w:id="75"/>
      <w:bookmarkEnd w:id="76"/>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This table shows the number of schools by education level, represented in active and self-sustaining partnerships</w:t>
      </w:r>
      <w:r w:rsidR="00781478">
        <w:rPr>
          <w:rFonts w:eastAsia="Times New Roman" w:cs="Calibri"/>
          <w:sz w:val="22"/>
          <w:szCs w:val="22"/>
          <w:lang w:val="en-US"/>
        </w:rPr>
        <w:t>.</w:t>
      </w:r>
    </w:p>
    <w:p w:rsidR="00065ACE" w:rsidRPr="00065ACE" w:rsidRDefault="00065ACE" w:rsidP="00781478">
      <w:pPr>
        <w:spacing w:before="120" w:after="240" w:line="240" w:lineRule="auto"/>
        <w:ind w:right="34"/>
        <w:rPr>
          <w:rFonts w:eastAsia="Times New Roman" w:cs="Calibri"/>
          <w:sz w:val="22"/>
          <w:szCs w:val="22"/>
          <w:lang w:val="en-US"/>
        </w:rPr>
      </w:pPr>
      <w:r w:rsidRPr="00065ACE">
        <w:rPr>
          <w:rFonts w:eastAsia="Times New Roman" w:cs="Calibri"/>
          <w:b/>
          <w:sz w:val="22"/>
          <w:szCs w:val="22"/>
          <w:lang w:val="en-US"/>
        </w:rPr>
        <w:t>Note:</w:t>
      </w:r>
      <w:r w:rsidRPr="00065ACE">
        <w:rPr>
          <w:rFonts w:eastAsia="Times New Roman" w:cs="Calibri"/>
          <w:sz w:val="22"/>
          <w:szCs w:val="22"/>
          <w:lang w:val="en-US"/>
        </w:rPr>
        <w:t xml:space="preserve"> this data only includes schools in partnerships with status active and self-sustaining. National figures do not include Victoria. Schools involved in multiple partnershi</w:t>
      </w:r>
      <w:r w:rsidR="00781478">
        <w:rPr>
          <w:rFonts w:eastAsia="Times New Roman" w:cs="Calibri"/>
          <w:sz w:val="22"/>
          <w:szCs w:val="22"/>
          <w:lang w:val="en-US"/>
        </w:rPr>
        <w:t>ps have only been counted once.</w:t>
      </w:r>
    </w:p>
    <w:tbl>
      <w:tblPr>
        <w:tblStyle w:val="TableGrid3"/>
        <w:tblW w:w="9319" w:type="dxa"/>
        <w:tblInd w:w="250" w:type="dxa"/>
        <w:tblLook w:val="04A0" w:firstRow="1" w:lastRow="0" w:firstColumn="1" w:lastColumn="0" w:noHBand="0" w:noVBand="1"/>
        <w:tblDescription w:val="Table C - Number of schools in partnerships by education level"/>
      </w:tblPr>
      <w:tblGrid>
        <w:gridCol w:w="1643"/>
        <w:gridCol w:w="1370"/>
        <w:gridCol w:w="1370"/>
        <w:gridCol w:w="1370"/>
        <w:gridCol w:w="1370"/>
        <w:gridCol w:w="2196"/>
      </w:tblGrid>
      <w:tr w:rsidR="00065ACE" w:rsidRPr="00065ACE" w:rsidTr="007D5CF1">
        <w:trPr>
          <w:trHeight w:val="342"/>
          <w:tblHeader/>
        </w:trPr>
        <w:tc>
          <w:tcPr>
            <w:tcW w:w="1643" w:type="dxa"/>
            <w:tcBorders>
              <w:top w:val="single" w:sz="12" w:space="0" w:color="auto"/>
              <w:left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Education Level</w:t>
            </w:r>
          </w:p>
        </w:tc>
        <w:tc>
          <w:tcPr>
            <w:tcW w:w="1370" w:type="dxa"/>
            <w:tcBorders>
              <w:top w:val="single" w:sz="12" w:space="0" w:color="auto"/>
              <w:left w:val="single" w:sz="12" w:space="0" w:color="auto"/>
              <w:bottom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Number of schools in partnerships (WA)</w:t>
            </w:r>
          </w:p>
        </w:tc>
        <w:tc>
          <w:tcPr>
            <w:tcW w:w="1370" w:type="dxa"/>
            <w:tcBorders>
              <w:top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Percentage of schools in partnerships (WA)</w:t>
            </w:r>
          </w:p>
        </w:tc>
        <w:tc>
          <w:tcPr>
            <w:tcW w:w="1370" w:type="dxa"/>
            <w:tcBorders>
              <w:top w:val="single" w:sz="12" w:space="0" w:color="auto"/>
              <w:left w:val="single" w:sz="12" w:space="0" w:color="auto"/>
              <w:bottom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Number of schools in partnerships (Nationally)</w:t>
            </w:r>
          </w:p>
        </w:tc>
        <w:tc>
          <w:tcPr>
            <w:tcW w:w="1370" w:type="dxa"/>
            <w:tcBorders>
              <w:top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Percentage of schools in partnerships (Nationally)</w:t>
            </w:r>
          </w:p>
        </w:tc>
        <w:tc>
          <w:tcPr>
            <w:tcW w:w="2196" w:type="dxa"/>
            <w:tcBorders>
              <w:top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Number of schools in WA</w:t>
            </w:r>
          </w:p>
        </w:tc>
      </w:tr>
      <w:tr w:rsidR="00065ACE" w:rsidRPr="00065ACE" w:rsidTr="004B3484">
        <w:trPr>
          <w:trHeight w:val="342"/>
        </w:trPr>
        <w:tc>
          <w:tcPr>
            <w:tcW w:w="1643" w:type="dxa"/>
            <w:tcBorders>
              <w:top w:val="single" w:sz="12" w:space="0" w:color="auto"/>
              <w:left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Primary</w:t>
            </w:r>
          </w:p>
        </w:tc>
        <w:tc>
          <w:tcPr>
            <w:tcW w:w="1370" w:type="dxa"/>
            <w:tcBorders>
              <w:top w:val="single" w:sz="12" w:space="0" w:color="auto"/>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23</w:t>
            </w:r>
          </w:p>
        </w:tc>
        <w:tc>
          <w:tcPr>
            <w:tcW w:w="1370" w:type="dxa"/>
            <w:tcBorders>
              <w:top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21%</w:t>
            </w:r>
          </w:p>
        </w:tc>
        <w:tc>
          <w:tcPr>
            <w:tcW w:w="1370" w:type="dxa"/>
            <w:tcBorders>
              <w:top w:val="single" w:sz="12" w:space="0" w:color="auto"/>
              <w:left w:val="single" w:sz="12" w:space="0" w:color="auto"/>
            </w:tcBorders>
            <w:shd w:val="clear" w:color="auto" w:fill="FFFFFF" w:themeFill="background1"/>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220</w:t>
            </w:r>
          </w:p>
        </w:tc>
        <w:tc>
          <w:tcPr>
            <w:tcW w:w="1370" w:type="dxa"/>
            <w:tcBorders>
              <w:top w:val="single" w:sz="12" w:space="0" w:color="auto"/>
              <w:right w:val="single" w:sz="12" w:space="0" w:color="auto"/>
            </w:tcBorders>
            <w:shd w:val="clear" w:color="auto" w:fill="FFFFFF" w:themeFill="background1"/>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20%</w:t>
            </w:r>
          </w:p>
        </w:tc>
        <w:tc>
          <w:tcPr>
            <w:tcW w:w="2196" w:type="dxa"/>
            <w:tcBorders>
              <w:top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62%</w:t>
            </w:r>
          </w:p>
        </w:tc>
      </w:tr>
      <w:tr w:rsidR="00065ACE" w:rsidRPr="00065ACE" w:rsidTr="004B3484">
        <w:trPr>
          <w:trHeight w:val="362"/>
        </w:trPr>
        <w:tc>
          <w:tcPr>
            <w:tcW w:w="1643" w:type="dxa"/>
            <w:tcBorders>
              <w:left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Secondary</w:t>
            </w:r>
          </w:p>
        </w:tc>
        <w:tc>
          <w:tcPr>
            <w:tcW w:w="1370" w:type="dxa"/>
            <w:tcBorders>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47</w:t>
            </w:r>
          </w:p>
        </w:tc>
        <w:tc>
          <w:tcPr>
            <w:tcW w:w="1370"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43%</w:t>
            </w:r>
          </w:p>
        </w:tc>
        <w:tc>
          <w:tcPr>
            <w:tcW w:w="1370" w:type="dxa"/>
            <w:tcBorders>
              <w:left w:val="single" w:sz="12" w:space="0" w:color="auto"/>
            </w:tcBorders>
            <w:shd w:val="clear" w:color="auto" w:fill="FFFFFF" w:themeFill="background1"/>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587</w:t>
            </w:r>
          </w:p>
        </w:tc>
        <w:tc>
          <w:tcPr>
            <w:tcW w:w="1370" w:type="dxa"/>
            <w:tcBorders>
              <w:right w:val="single" w:sz="12" w:space="0" w:color="auto"/>
            </w:tcBorders>
            <w:shd w:val="clear" w:color="auto" w:fill="FFFFFF" w:themeFill="background1"/>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53%</w:t>
            </w:r>
          </w:p>
        </w:tc>
        <w:tc>
          <w:tcPr>
            <w:tcW w:w="2196" w:type="dxa"/>
            <w:tcBorders>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12%</w:t>
            </w:r>
          </w:p>
        </w:tc>
      </w:tr>
      <w:tr w:rsidR="00065ACE" w:rsidRPr="00065ACE" w:rsidTr="004B3484">
        <w:trPr>
          <w:trHeight w:val="362"/>
        </w:trPr>
        <w:tc>
          <w:tcPr>
            <w:tcW w:w="1643" w:type="dxa"/>
            <w:tcBorders>
              <w:left w:val="single" w:sz="12" w:space="0" w:color="auto"/>
              <w:bottom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Combined</w:t>
            </w:r>
          </w:p>
        </w:tc>
        <w:tc>
          <w:tcPr>
            <w:tcW w:w="1370" w:type="dxa"/>
            <w:tcBorders>
              <w:left w:val="single" w:sz="12" w:space="0" w:color="auto"/>
              <w:bottom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39</w:t>
            </w:r>
          </w:p>
        </w:tc>
        <w:tc>
          <w:tcPr>
            <w:tcW w:w="1370" w:type="dxa"/>
            <w:tcBorders>
              <w:bottom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36%</w:t>
            </w:r>
          </w:p>
        </w:tc>
        <w:tc>
          <w:tcPr>
            <w:tcW w:w="1370" w:type="dxa"/>
            <w:tcBorders>
              <w:left w:val="single" w:sz="12" w:space="0" w:color="auto"/>
              <w:bottom w:val="single" w:sz="12" w:space="0" w:color="auto"/>
            </w:tcBorders>
            <w:shd w:val="clear" w:color="auto" w:fill="FFFFFF" w:themeFill="background1"/>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291</w:t>
            </w:r>
          </w:p>
        </w:tc>
        <w:tc>
          <w:tcPr>
            <w:tcW w:w="1370" w:type="dxa"/>
            <w:tcBorders>
              <w:bottom w:val="single" w:sz="12" w:space="0" w:color="auto"/>
              <w:right w:val="single" w:sz="12" w:space="0" w:color="auto"/>
            </w:tcBorders>
            <w:shd w:val="clear" w:color="auto" w:fill="FFFFFF" w:themeFill="background1"/>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27%</w:t>
            </w:r>
          </w:p>
        </w:tc>
        <w:tc>
          <w:tcPr>
            <w:tcW w:w="2196" w:type="dxa"/>
            <w:tcBorders>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26%</w:t>
            </w:r>
          </w:p>
        </w:tc>
      </w:tr>
      <w:tr w:rsidR="00065ACE" w:rsidRPr="00065ACE" w:rsidTr="004B3484">
        <w:trPr>
          <w:trHeight w:val="362"/>
        </w:trPr>
        <w:tc>
          <w:tcPr>
            <w:tcW w:w="1643" w:type="dxa"/>
            <w:tcBorders>
              <w:top w:val="single" w:sz="12" w:space="0" w:color="auto"/>
              <w:left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ind w:right="-1"/>
              <w:rPr>
                <w:rFonts w:asciiTheme="majorHAnsi" w:hAnsiTheme="majorHAnsi" w:cstheme="majorHAnsi"/>
                <w:b/>
                <w:bCs/>
                <w:sz w:val="22"/>
                <w:szCs w:val="22"/>
                <w:lang w:val="en-US"/>
              </w:rPr>
            </w:pPr>
            <w:r w:rsidRPr="00781478">
              <w:rPr>
                <w:rFonts w:asciiTheme="majorHAnsi" w:hAnsiTheme="majorHAnsi" w:cstheme="majorHAnsi"/>
                <w:b/>
                <w:bCs/>
                <w:sz w:val="22"/>
                <w:szCs w:val="22"/>
                <w:lang w:val="en-US"/>
              </w:rPr>
              <w:t>TOTAL</w:t>
            </w:r>
          </w:p>
        </w:tc>
        <w:tc>
          <w:tcPr>
            <w:tcW w:w="1370" w:type="dxa"/>
            <w:tcBorders>
              <w:top w:val="single" w:sz="12" w:space="0" w:color="auto"/>
              <w:left w:val="single" w:sz="12" w:space="0" w:color="auto"/>
              <w:bottom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109</w:t>
            </w:r>
          </w:p>
        </w:tc>
        <w:tc>
          <w:tcPr>
            <w:tcW w:w="1370" w:type="dxa"/>
            <w:tcBorders>
              <w:top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100%</w:t>
            </w:r>
          </w:p>
        </w:tc>
        <w:tc>
          <w:tcPr>
            <w:tcW w:w="1370" w:type="dxa"/>
            <w:tcBorders>
              <w:top w:val="single" w:sz="12" w:space="0" w:color="auto"/>
              <w:left w:val="single" w:sz="12" w:space="0" w:color="auto"/>
              <w:bottom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1098</w:t>
            </w:r>
          </w:p>
        </w:tc>
        <w:tc>
          <w:tcPr>
            <w:tcW w:w="1370" w:type="dxa"/>
            <w:tcBorders>
              <w:top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100%</w:t>
            </w:r>
          </w:p>
        </w:tc>
        <w:tc>
          <w:tcPr>
            <w:tcW w:w="2196" w:type="dxa"/>
            <w:tcBorders>
              <w:top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100%</w:t>
            </w:r>
          </w:p>
        </w:tc>
      </w:tr>
    </w:tbl>
    <w:p w:rsidR="00BE2446" w:rsidRDefault="00BE2446" w:rsidP="00781478">
      <w:pPr>
        <w:pStyle w:val="Heading4"/>
        <w:rPr>
          <w:rFonts w:eastAsia="Times New Roman"/>
        </w:rPr>
      </w:pPr>
      <w:bookmarkStart w:id="77" w:name="_Toc323901031"/>
      <w:bookmarkStart w:id="78" w:name="_Toc355773759"/>
    </w:p>
    <w:p w:rsidR="00BE2446" w:rsidRDefault="00BE2446">
      <w:pPr>
        <w:spacing w:line="240" w:lineRule="auto"/>
        <w:rPr>
          <w:rFonts w:asciiTheme="majorHAnsi" w:eastAsia="Times New Roman" w:hAnsiTheme="majorHAnsi" w:cstheme="majorBidi"/>
          <w:b/>
          <w:bCs/>
          <w:iCs/>
          <w:u w:val="single"/>
        </w:rPr>
      </w:pPr>
      <w:r>
        <w:rPr>
          <w:rFonts w:eastAsia="Times New Roman"/>
        </w:rPr>
        <w:br w:type="page"/>
      </w:r>
    </w:p>
    <w:p w:rsidR="00065ACE" w:rsidRPr="00065ACE" w:rsidRDefault="00065ACE" w:rsidP="00781478">
      <w:pPr>
        <w:pStyle w:val="Heading4"/>
        <w:rPr>
          <w:rFonts w:eastAsia="Times New Roman"/>
        </w:rPr>
      </w:pPr>
      <w:r w:rsidRPr="00065ACE">
        <w:rPr>
          <w:rFonts w:eastAsia="Times New Roman"/>
        </w:rPr>
        <w:lastRenderedPageBreak/>
        <w:t>Table D – Number of Schools in Partnerships by Sector</w:t>
      </w:r>
      <w:bookmarkEnd w:id="77"/>
      <w:bookmarkEnd w:id="78"/>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This table shows the breakdown of schools by education sector, represented in active an</w:t>
      </w:r>
      <w:r w:rsidR="00781478">
        <w:rPr>
          <w:rFonts w:eastAsia="Times New Roman" w:cs="Calibri"/>
          <w:sz w:val="22"/>
          <w:szCs w:val="22"/>
          <w:lang w:val="en-US"/>
        </w:rPr>
        <w:t>d self-sustaining partnerships.</w:t>
      </w:r>
    </w:p>
    <w:p w:rsidR="00065ACE" w:rsidRPr="00065ACE" w:rsidRDefault="00065ACE" w:rsidP="00781478">
      <w:pPr>
        <w:spacing w:before="120" w:after="240" w:line="240" w:lineRule="auto"/>
        <w:ind w:right="34"/>
        <w:rPr>
          <w:rFonts w:eastAsia="Times New Roman" w:cs="Calibri"/>
          <w:sz w:val="22"/>
          <w:szCs w:val="22"/>
          <w:lang w:val="en-US"/>
        </w:rPr>
      </w:pPr>
      <w:r w:rsidRPr="00065ACE">
        <w:rPr>
          <w:rFonts w:eastAsia="Times New Roman" w:cs="Calibri"/>
          <w:b/>
          <w:sz w:val="22"/>
          <w:szCs w:val="22"/>
          <w:lang w:val="en-US"/>
        </w:rPr>
        <w:t>Note:</w:t>
      </w:r>
      <w:r w:rsidRPr="00065ACE">
        <w:rPr>
          <w:rFonts w:eastAsia="Times New Roman" w:cs="Calibri"/>
          <w:sz w:val="22"/>
          <w:szCs w:val="22"/>
          <w:lang w:val="en-US"/>
        </w:rPr>
        <w:t xml:space="preserve"> this data only includes schools in partnerships with status active and self-sustaining. National figures do not include Victoria. Schools involved in multiple partnershi</w:t>
      </w:r>
      <w:r w:rsidR="00781478">
        <w:rPr>
          <w:rFonts w:eastAsia="Times New Roman" w:cs="Calibri"/>
          <w:sz w:val="22"/>
          <w:szCs w:val="22"/>
          <w:lang w:val="en-US"/>
        </w:rPr>
        <w:t>ps have only been counted once.</w:t>
      </w:r>
    </w:p>
    <w:tbl>
      <w:tblPr>
        <w:tblStyle w:val="TableGrid3"/>
        <w:tblW w:w="9346" w:type="dxa"/>
        <w:tblInd w:w="250" w:type="dxa"/>
        <w:tblLook w:val="04A0" w:firstRow="1" w:lastRow="0" w:firstColumn="1" w:lastColumn="0" w:noHBand="0" w:noVBand="1"/>
        <w:tblDescription w:val="Table D - Number of schools in partnerships by sector"/>
      </w:tblPr>
      <w:tblGrid>
        <w:gridCol w:w="1736"/>
        <w:gridCol w:w="1370"/>
        <w:gridCol w:w="1370"/>
        <w:gridCol w:w="1370"/>
        <w:gridCol w:w="1370"/>
        <w:gridCol w:w="2130"/>
      </w:tblGrid>
      <w:tr w:rsidR="00065ACE" w:rsidRPr="00065ACE" w:rsidTr="007D5CF1">
        <w:trPr>
          <w:trHeight w:val="368"/>
          <w:tblHeader/>
        </w:trPr>
        <w:tc>
          <w:tcPr>
            <w:tcW w:w="1736" w:type="dxa"/>
            <w:tcBorders>
              <w:top w:val="single" w:sz="12" w:space="0" w:color="auto"/>
              <w:left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Education Sector</w:t>
            </w:r>
          </w:p>
        </w:tc>
        <w:tc>
          <w:tcPr>
            <w:tcW w:w="1370" w:type="dxa"/>
            <w:tcBorders>
              <w:top w:val="single" w:sz="12" w:space="0" w:color="auto"/>
              <w:left w:val="single" w:sz="12" w:space="0" w:color="auto"/>
              <w:bottom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Number of schools in partnerships (WA)</w:t>
            </w:r>
          </w:p>
        </w:tc>
        <w:tc>
          <w:tcPr>
            <w:tcW w:w="1370" w:type="dxa"/>
            <w:tcBorders>
              <w:top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Percentage of schools in partnerships (WA)</w:t>
            </w:r>
          </w:p>
        </w:tc>
        <w:tc>
          <w:tcPr>
            <w:tcW w:w="1370" w:type="dxa"/>
            <w:tcBorders>
              <w:top w:val="single" w:sz="12" w:space="0" w:color="auto"/>
              <w:left w:val="single" w:sz="12" w:space="0" w:color="auto"/>
              <w:bottom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Number of schools in partnerships (Nationally)</w:t>
            </w:r>
          </w:p>
        </w:tc>
        <w:tc>
          <w:tcPr>
            <w:tcW w:w="1370" w:type="dxa"/>
            <w:tcBorders>
              <w:top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Percentage of schools in partnerships (Nationally)</w:t>
            </w:r>
          </w:p>
        </w:tc>
        <w:tc>
          <w:tcPr>
            <w:tcW w:w="2130" w:type="dxa"/>
            <w:tcBorders>
              <w:top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Number of schools in WA</w:t>
            </w:r>
          </w:p>
        </w:tc>
      </w:tr>
      <w:tr w:rsidR="00065ACE" w:rsidRPr="00065ACE" w:rsidTr="004B3484">
        <w:trPr>
          <w:trHeight w:val="368"/>
        </w:trPr>
        <w:tc>
          <w:tcPr>
            <w:tcW w:w="1736" w:type="dxa"/>
            <w:tcBorders>
              <w:top w:val="single" w:sz="12" w:space="0" w:color="auto"/>
              <w:left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Government</w:t>
            </w:r>
          </w:p>
        </w:tc>
        <w:tc>
          <w:tcPr>
            <w:tcW w:w="1370" w:type="dxa"/>
            <w:tcBorders>
              <w:top w:val="single" w:sz="12" w:space="0" w:color="auto"/>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85</w:t>
            </w:r>
          </w:p>
        </w:tc>
        <w:tc>
          <w:tcPr>
            <w:tcW w:w="1370" w:type="dxa"/>
            <w:tcBorders>
              <w:top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78%</w:t>
            </w:r>
          </w:p>
        </w:tc>
        <w:tc>
          <w:tcPr>
            <w:tcW w:w="1370" w:type="dxa"/>
            <w:tcBorders>
              <w:top w:val="single" w:sz="12" w:space="0" w:color="auto"/>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858</w:t>
            </w:r>
          </w:p>
        </w:tc>
        <w:tc>
          <w:tcPr>
            <w:tcW w:w="1370" w:type="dxa"/>
            <w:tcBorders>
              <w:top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78%</w:t>
            </w:r>
          </w:p>
        </w:tc>
        <w:tc>
          <w:tcPr>
            <w:tcW w:w="2130" w:type="dxa"/>
            <w:tcBorders>
              <w:top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70%</w:t>
            </w:r>
          </w:p>
        </w:tc>
      </w:tr>
      <w:tr w:rsidR="00065ACE" w:rsidRPr="00065ACE" w:rsidTr="004B3484">
        <w:trPr>
          <w:trHeight w:val="368"/>
        </w:trPr>
        <w:tc>
          <w:tcPr>
            <w:tcW w:w="1736" w:type="dxa"/>
            <w:tcBorders>
              <w:left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Independent</w:t>
            </w:r>
          </w:p>
        </w:tc>
        <w:tc>
          <w:tcPr>
            <w:tcW w:w="1370" w:type="dxa"/>
            <w:tcBorders>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16</w:t>
            </w:r>
          </w:p>
        </w:tc>
        <w:tc>
          <w:tcPr>
            <w:tcW w:w="1370"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15%</w:t>
            </w:r>
          </w:p>
        </w:tc>
        <w:tc>
          <w:tcPr>
            <w:tcW w:w="1370" w:type="dxa"/>
            <w:tcBorders>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120</w:t>
            </w:r>
          </w:p>
        </w:tc>
        <w:tc>
          <w:tcPr>
            <w:tcW w:w="1370"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11%</w:t>
            </w:r>
          </w:p>
        </w:tc>
        <w:tc>
          <w:tcPr>
            <w:tcW w:w="2130" w:type="dxa"/>
            <w:tcBorders>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15%</w:t>
            </w:r>
          </w:p>
        </w:tc>
      </w:tr>
      <w:tr w:rsidR="00065ACE" w:rsidRPr="00065ACE" w:rsidTr="004B3484">
        <w:trPr>
          <w:trHeight w:val="368"/>
        </w:trPr>
        <w:tc>
          <w:tcPr>
            <w:tcW w:w="1736" w:type="dxa"/>
            <w:tcBorders>
              <w:left w:val="single" w:sz="12" w:space="0" w:color="auto"/>
              <w:bottom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Catholic</w:t>
            </w:r>
          </w:p>
        </w:tc>
        <w:tc>
          <w:tcPr>
            <w:tcW w:w="1370" w:type="dxa"/>
            <w:tcBorders>
              <w:left w:val="single" w:sz="12" w:space="0" w:color="auto"/>
              <w:bottom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8</w:t>
            </w:r>
          </w:p>
        </w:tc>
        <w:tc>
          <w:tcPr>
            <w:tcW w:w="1370" w:type="dxa"/>
            <w:tcBorders>
              <w:bottom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7%</w:t>
            </w:r>
          </w:p>
        </w:tc>
        <w:tc>
          <w:tcPr>
            <w:tcW w:w="1370" w:type="dxa"/>
            <w:tcBorders>
              <w:left w:val="single" w:sz="12" w:space="0" w:color="auto"/>
              <w:bottom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120</w:t>
            </w:r>
          </w:p>
        </w:tc>
        <w:tc>
          <w:tcPr>
            <w:tcW w:w="1370" w:type="dxa"/>
            <w:tcBorders>
              <w:bottom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11%</w:t>
            </w:r>
          </w:p>
        </w:tc>
        <w:tc>
          <w:tcPr>
            <w:tcW w:w="2130" w:type="dxa"/>
            <w:tcBorders>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15%</w:t>
            </w:r>
          </w:p>
        </w:tc>
      </w:tr>
      <w:tr w:rsidR="00065ACE" w:rsidRPr="00065ACE" w:rsidTr="004B3484">
        <w:trPr>
          <w:trHeight w:val="368"/>
        </w:trPr>
        <w:tc>
          <w:tcPr>
            <w:tcW w:w="1736" w:type="dxa"/>
            <w:tcBorders>
              <w:top w:val="single" w:sz="12" w:space="0" w:color="auto"/>
              <w:left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ind w:right="-1"/>
              <w:rPr>
                <w:rFonts w:asciiTheme="majorHAnsi" w:hAnsiTheme="majorHAnsi" w:cstheme="majorHAnsi"/>
                <w:b/>
                <w:bCs/>
                <w:sz w:val="22"/>
                <w:szCs w:val="22"/>
                <w:lang w:val="en-US"/>
              </w:rPr>
            </w:pPr>
            <w:r w:rsidRPr="00781478">
              <w:rPr>
                <w:rFonts w:asciiTheme="majorHAnsi" w:hAnsiTheme="majorHAnsi" w:cstheme="majorHAnsi"/>
                <w:b/>
                <w:bCs/>
                <w:sz w:val="22"/>
                <w:szCs w:val="22"/>
                <w:lang w:val="en-US"/>
              </w:rPr>
              <w:t>TOTAL</w:t>
            </w:r>
          </w:p>
        </w:tc>
        <w:tc>
          <w:tcPr>
            <w:tcW w:w="1370" w:type="dxa"/>
            <w:tcBorders>
              <w:top w:val="single" w:sz="12" w:space="0" w:color="auto"/>
              <w:left w:val="single" w:sz="12" w:space="0" w:color="auto"/>
              <w:bottom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109</w:t>
            </w:r>
          </w:p>
        </w:tc>
        <w:tc>
          <w:tcPr>
            <w:tcW w:w="1370" w:type="dxa"/>
            <w:tcBorders>
              <w:top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100%</w:t>
            </w:r>
          </w:p>
        </w:tc>
        <w:tc>
          <w:tcPr>
            <w:tcW w:w="1370" w:type="dxa"/>
            <w:tcBorders>
              <w:top w:val="single" w:sz="12" w:space="0" w:color="auto"/>
              <w:left w:val="single" w:sz="12" w:space="0" w:color="auto"/>
              <w:bottom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1098</w:t>
            </w:r>
          </w:p>
        </w:tc>
        <w:tc>
          <w:tcPr>
            <w:tcW w:w="1370" w:type="dxa"/>
            <w:tcBorders>
              <w:top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100%</w:t>
            </w:r>
          </w:p>
        </w:tc>
        <w:tc>
          <w:tcPr>
            <w:tcW w:w="2130" w:type="dxa"/>
            <w:tcBorders>
              <w:top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100%</w:t>
            </w:r>
          </w:p>
        </w:tc>
      </w:tr>
    </w:tbl>
    <w:p w:rsidR="00065ACE" w:rsidRDefault="00065ACE" w:rsidP="009B56B7">
      <w:pPr>
        <w:spacing w:line="240" w:lineRule="auto"/>
        <w:ind w:right="34"/>
        <w:rPr>
          <w:rFonts w:eastAsia="Times New Roman" w:cs="Calibri"/>
          <w:sz w:val="22"/>
          <w:szCs w:val="22"/>
          <w:lang w:val="en-US"/>
        </w:rPr>
      </w:pPr>
    </w:p>
    <w:p w:rsidR="00065ACE" w:rsidRPr="00065ACE" w:rsidRDefault="00065ACE" w:rsidP="00781478">
      <w:pPr>
        <w:pStyle w:val="Heading4"/>
        <w:rPr>
          <w:rFonts w:eastAsia="Times New Roman"/>
        </w:rPr>
      </w:pPr>
      <w:bookmarkStart w:id="79" w:name="_Toc323901032"/>
      <w:bookmarkStart w:id="80" w:name="_Toc355773760"/>
      <w:r w:rsidRPr="00065ACE">
        <w:rPr>
          <w:rFonts w:eastAsia="Times New Roman"/>
        </w:rPr>
        <w:t xml:space="preserve">Graph </w:t>
      </w:r>
      <w:proofErr w:type="gramStart"/>
      <w:r w:rsidRPr="00065ACE">
        <w:rPr>
          <w:rFonts w:eastAsia="Times New Roman"/>
        </w:rPr>
        <w:t>A</w:t>
      </w:r>
      <w:proofErr w:type="gramEnd"/>
      <w:r w:rsidRPr="00065ACE">
        <w:rPr>
          <w:rFonts w:eastAsia="Times New Roman"/>
        </w:rPr>
        <w:t xml:space="preserve"> – Number of Schools in Partnerships by </w:t>
      </w:r>
      <w:proofErr w:type="spellStart"/>
      <w:r w:rsidRPr="00065ACE">
        <w:rPr>
          <w:rFonts w:eastAsia="Times New Roman"/>
        </w:rPr>
        <w:t>ICSEA</w:t>
      </w:r>
      <w:bookmarkEnd w:id="79"/>
      <w:bookmarkEnd w:id="80"/>
      <w:proofErr w:type="spellEnd"/>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This graph shows the distribution of schools in partnerships by their Index of Community Socio-Educational Advantage (</w:t>
      </w:r>
      <w:proofErr w:type="spellStart"/>
      <w:r w:rsidRPr="00065ACE">
        <w:rPr>
          <w:rFonts w:eastAsia="Times New Roman" w:cs="Calibri"/>
          <w:sz w:val="22"/>
          <w:szCs w:val="22"/>
          <w:lang w:val="en-US"/>
        </w:rPr>
        <w:t>ICSEA</w:t>
      </w:r>
      <w:proofErr w:type="spellEnd"/>
      <w:r w:rsidRPr="00065ACE">
        <w:rPr>
          <w:rFonts w:eastAsia="Times New Roman" w:cs="Calibri"/>
          <w:sz w:val="22"/>
          <w:szCs w:val="22"/>
          <w:lang w:val="en-US"/>
        </w:rPr>
        <w:t xml:space="preserve">) value. </w:t>
      </w:r>
      <w:proofErr w:type="spellStart"/>
      <w:r w:rsidRPr="00065ACE">
        <w:rPr>
          <w:rFonts w:eastAsia="Times New Roman" w:cs="Calibri"/>
          <w:sz w:val="22"/>
          <w:szCs w:val="22"/>
          <w:lang w:val="en-US"/>
        </w:rPr>
        <w:t>ICSEA</w:t>
      </w:r>
      <w:proofErr w:type="spellEnd"/>
      <w:r w:rsidRPr="00065ACE">
        <w:rPr>
          <w:rFonts w:eastAsia="Times New Roman" w:cs="Calibri"/>
          <w:sz w:val="22"/>
          <w:szCs w:val="22"/>
          <w:lang w:val="en-US"/>
        </w:rPr>
        <w:t xml:space="preserve"> is used to gain an understanding of the levels of educational advantage or disadvantage that students bring to their academic studies. The variables that make up an </w:t>
      </w:r>
      <w:proofErr w:type="spellStart"/>
      <w:r w:rsidRPr="00065ACE">
        <w:rPr>
          <w:rFonts w:eastAsia="Times New Roman" w:cs="Calibri"/>
          <w:sz w:val="22"/>
          <w:szCs w:val="22"/>
          <w:lang w:val="en-US"/>
        </w:rPr>
        <w:t>ICSEA</w:t>
      </w:r>
      <w:proofErr w:type="spellEnd"/>
      <w:r w:rsidRPr="00065ACE">
        <w:rPr>
          <w:rFonts w:eastAsia="Times New Roman" w:cs="Calibri"/>
          <w:sz w:val="22"/>
          <w:szCs w:val="22"/>
          <w:lang w:val="en-US"/>
        </w:rPr>
        <w:t xml:space="preserve"> value are family background information (including parental occupation, and the school and non-school education levels they achieved) and school characteristics (including whether a school is in a metropolitan, regional or remote area; the proportion of Indigenous students;  and the proportion of students with language backgrounds other than English).</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Note:</w:t>
      </w:r>
      <w:r w:rsidRPr="00065ACE">
        <w:rPr>
          <w:rFonts w:eastAsia="Times New Roman" w:cs="Calibri"/>
          <w:sz w:val="22"/>
          <w:szCs w:val="22"/>
          <w:lang w:val="en-US"/>
        </w:rPr>
        <w:t xml:space="preserve"> This data only includes schools in partnerships with status active and self-sustaining. Schools involved in multiple partnerships have only been counted once.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noProof/>
          <w:sz w:val="22"/>
          <w:szCs w:val="22"/>
          <w:lang w:eastAsia="en-AU"/>
        </w:rPr>
        <w:drawing>
          <wp:inline distT="0" distB="0" distL="0" distR="0" wp14:anchorId="2EB21977" wp14:editId="0187C62C">
            <wp:extent cx="5829300" cy="2990850"/>
            <wp:effectExtent l="0" t="0" r="19050" b="19050"/>
            <wp:docPr id="8" name="Chart 8" descr="This is a bar graph as described above. This graph shows the distribution of WA schools in partnerships by their Index of Community Socio-Educational Advantage (ICSEA) value. The graph shows the  percentage of schools in partnership compared to the total number of Schools. &#10;Quarter 1 (Disadvantaged) 45% in partnership 29% total schools&#10;Quarter 2 23% in partnership 21% total schools&#10;Quarter 3 25% in partnership 27% total schools&#10;Quarter 4 (Advantaged) 7% in partnership 24% total schools&#10;" title="Graph A - Number of Schools in Partnerships by ICSEA"/>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81478" w:rsidRPr="00BE2446" w:rsidRDefault="00781478" w:rsidP="00781478">
      <w:pPr>
        <w:pStyle w:val="Heading4"/>
        <w:rPr>
          <w:rFonts w:eastAsia="Times New Roman"/>
          <w:sz w:val="22"/>
          <w:szCs w:val="22"/>
        </w:rPr>
      </w:pPr>
      <w:bookmarkStart w:id="81" w:name="_Toc323901033"/>
      <w:bookmarkStart w:id="82" w:name="_Toc355773761"/>
    </w:p>
    <w:p w:rsidR="00BE2446" w:rsidRDefault="00BE2446">
      <w:pPr>
        <w:spacing w:line="240" w:lineRule="auto"/>
        <w:rPr>
          <w:rFonts w:asciiTheme="majorHAnsi" w:eastAsia="Times New Roman" w:hAnsiTheme="majorHAnsi" w:cstheme="majorBidi"/>
          <w:b/>
          <w:bCs/>
          <w:iCs/>
          <w:u w:val="single"/>
        </w:rPr>
      </w:pPr>
      <w:r>
        <w:rPr>
          <w:rFonts w:eastAsia="Times New Roman"/>
        </w:rPr>
        <w:br w:type="page"/>
      </w:r>
    </w:p>
    <w:p w:rsidR="00065ACE" w:rsidRPr="00065ACE" w:rsidRDefault="00065ACE" w:rsidP="00781478">
      <w:pPr>
        <w:pStyle w:val="Heading4"/>
        <w:rPr>
          <w:rFonts w:eastAsia="Times New Roman"/>
        </w:rPr>
      </w:pPr>
      <w:r w:rsidRPr="00065ACE">
        <w:rPr>
          <w:rFonts w:eastAsia="Times New Roman"/>
        </w:rPr>
        <w:lastRenderedPageBreak/>
        <w:t>Table E – Number of Schools in Partnerships by ARIA Code</w:t>
      </w:r>
      <w:bookmarkEnd w:id="81"/>
      <w:bookmarkEnd w:id="82"/>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This table shows the number of schools by ARIA Code, represented in active and self-sustaining partnerships.</w:t>
      </w:r>
    </w:p>
    <w:p w:rsid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Note:</w:t>
      </w:r>
      <w:r w:rsidRPr="00065ACE">
        <w:rPr>
          <w:rFonts w:eastAsia="Times New Roman" w:cs="Calibri"/>
          <w:sz w:val="22"/>
          <w:szCs w:val="22"/>
          <w:lang w:val="en-US"/>
        </w:rPr>
        <w:t xml:space="preserve"> this data includes schools in partnerships with status active and self-sustaining. National figures do not include Victoria. Schools involved in multiple partnerships have only been counted once. Regions are defined by the Accessibility/Remoteness Index of Australia (ARIA) code developed by the Commonwealth Department of Health and Aged Care (</w:t>
      </w:r>
      <w:proofErr w:type="spellStart"/>
      <w:r w:rsidRPr="00065ACE">
        <w:rPr>
          <w:rFonts w:eastAsia="Times New Roman" w:cs="Calibri"/>
          <w:sz w:val="22"/>
          <w:szCs w:val="22"/>
          <w:lang w:val="en-US"/>
        </w:rPr>
        <w:t>DHAC</w:t>
      </w:r>
      <w:proofErr w:type="spellEnd"/>
      <w:r w:rsidRPr="00065ACE">
        <w:rPr>
          <w:rFonts w:eastAsia="Times New Roman" w:cs="Calibri"/>
          <w:sz w:val="22"/>
          <w:szCs w:val="22"/>
          <w:lang w:val="en-US"/>
        </w:rPr>
        <w:t>) and the National Key Centre for Social Applications of GIS (</w:t>
      </w:r>
      <w:proofErr w:type="spellStart"/>
      <w:r w:rsidRPr="00065ACE">
        <w:rPr>
          <w:rFonts w:eastAsia="Times New Roman" w:cs="Calibri"/>
          <w:sz w:val="22"/>
          <w:szCs w:val="22"/>
          <w:lang w:val="en-US"/>
        </w:rPr>
        <w:t>GISCA</w:t>
      </w:r>
      <w:proofErr w:type="spellEnd"/>
      <w:r w:rsidRPr="00065ACE">
        <w:rPr>
          <w:rFonts w:eastAsia="Times New Roman" w:cs="Calibri"/>
          <w:sz w:val="22"/>
          <w:szCs w:val="22"/>
          <w:lang w:val="en-US"/>
        </w:rPr>
        <w:t>).</w:t>
      </w:r>
    </w:p>
    <w:p w:rsidR="00BE2446" w:rsidRPr="00065ACE" w:rsidRDefault="00BE2446" w:rsidP="00065ACE">
      <w:pPr>
        <w:spacing w:before="120" w:after="120" w:line="240" w:lineRule="auto"/>
        <w:ind w:right="34"/>
        <w:rPr>
          <w:rFonts w:eastAsia="Times New Roman" w:cs="Calibri"/>
          <w:sz w:val="22"/>
          <w:szCs w:val="22"/>
          <w:lang w:val="en-US"/>
        </w:rPr>
      </w:pPr>
    </w:p>
    <w:tbl>
      <w:tblPr>
        <w:tblStyle w:val="TableGrid3"/>
        <w:tblW w:w="9997" w:type="dxa"/>
        <w:tblLook w:val="04A0" w:firstRow="1" w:lastRow="0" w:firstColumn="1" w:lastColumn="0" w:noHBand="0" w:noVBand="1"/>
        <w:tblDescription w:val="Table E - Number of schools in partnerships by ARIA code"/>
      </w:tblPr>
      <w:tblGrid>
        <w:gridCol w:w="2324"/>
        <w:gridCol w:w="1370"/>
        <w:gridCol w:w="1453"/>
        <w:gridCol w:w="1370"/>
        <w:gridCol w:w="1370"/>
        <w:gridCol w:w="2110"/>
      </w:tblGrid>
      <w:tr w:rsidR="00065ACE" w:rsidRPr="00065ACE" w:rsidTr="007D5CF1">
        <w:trPr>
          <w:trHeight w:val="338"/>
          <w:tblHeader/>
        </w:trPr>
        <w:tc>
          <w:tcPr>
            <w:tcW w:w="2465" w:type="dxa"/>
            <w:tcBorders>
              <w:top w:val="single" w:sz="12" w:space="0" w:color="auto"/>
              <w:left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bookmarkStart w:id="83" w:name="_Toc322512749"/>
            <w:bookmarkStart w:id="84" w:name="_Toc323899468"/>
            <w:r w:rsidRPr="00781478">
              <w:rPr>
                <w:rFonts w:asciiTheme="majorHAnsi" w:hAnsiTheme="majorHAnsi" w:cstheme="majorHAnsi"/>
                <w:b/>
                <w:bCs/>
                <w:sz w:val="22"/>
                <w:szCs w:val="22"/>
              </w:rPr>
              <w:t>Regions</w:t>
            </w:r>
            <w:bookmarkEnd w:id="83"/>
            <w:bookmarkEnd w:id="84"/>
          </w:p>
        </w:tc>
        <w:tc>
          <w:tcPr>
            <w:tcW w:w="1206" w:type="dxa"/>
            <w:tcBorders>
              <w:top w:val="single" w:sz="12" w:space="0" w:color="auto"/>
              <w:left w:val="single" w:sz="12" w:space="0" w:color="auto"/>
              <w:bottom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Number of Schools in partnerships (WA)</w:t>
            </w:r>
          </w:p>
        </w:tc>
        <w:tc>
          <w:tcPr>
            <w:tcW w:w="1462" w:type="dxa"/>
            <w:tcBorders>
              <w:top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Percentage of schools in partnerships (WA)</w:t>
            </w:r>
          </w:p>
        </w:tc>
        <w:tc>
          <w:tcPr>
            <w:tcW w:w="1263" w:type="dxa"/>
            <w:tcBorders>
              <w:top w:val="single" w:sz="12" w:space="0" w:color="auto"/>
              <w:left w:val="single" w:sz="12" w:space="0" w:color="auto"/>
              <w:bottom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Number of schools in partnerships  (Nationally)</w:t>
            </w:r>
          </w:p>
        </w:tc>
        <w:tc>
          <w:tcPr>
            <w:tcW w:w="1369" w:type="dxa"/>
            <w:tcBorders>
              <w:top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Percentage of schools in partnerships (Nationally)</w:t>
            </w:r>
          </w:p>
        </w:tc>
        <w:tc>
          <w:tcPr>
            <w:tcW w:w="2232" w:type="dxa"/>
            <w:tcBorders>
              <w:top w:val="single" w:sz="12" w:space="0" w:color="auto"/>
              <w:bottom w:val="single" w:sz="12" w:space="0" w:color="auto"/>
              <w:right w:val="single" w:sz="12" w:space="0" w:color="auto"/>
            </w:tcBorders>
            <w:shd w:val="clear" w:color="auto" w:fill="9F9F9F" w:themeFill="accent5" w:themeFillTint="99"/>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Number of schools in WA</w:t>
            </w:r>
          </w:p>
        </w:tc>
      </w:tr>
      <w:tr w:rsidR="00065ACE" w:rsidRPr="00065ACE" w:rsidTr="004B3484">
        <w:trPr>
          <w:trHeight w:val="338"/>
        </w:trPr>
        <w:tc>
          <w:tcPr>
            <w:tcW w:w="2465" w:type="dxa"/>
            <w:tcBorders>
              <w:top w:val="single" w:sz="12" w:space="0" w:color="auto"/>
              <w:left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Major Cities of Australia</w:t>
            </w:r>
          </w:p>
        </w:tc>
        <w:tc>
          <w:tcPr>
            <w:tcW w:w="1206" w:type="dxa"/>
            <w:tcBorders>
              <w:top w:val="single" w:sz="12" w:space="0" w:color="auto"/>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32</w:t>
            </w:r>
          </w:p>
        </w:tc>
        <w:tc>
          <w:tcPr>
            <w:tcW w:w="1462" w:type="dxa"/>
            <w:tcBorders>
              <w:top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29%</w:t>
            </w:r>
          </w:p>
        </w:tc>
        <w:tc>
          <w:tcPr>
            <w:tcW w:w="1263" w:type="dxa"/>
            <w:tcBorders>
              <w:top w:val="single" w:sz="12" w:space="0" w:color="auto"/>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517</w:t>
            </w:r>
          </w:p>
        </w:tc>
        <w:tc>
          <w:tcPr>
            <w:tcW w:w="1369" w:type="dxa"/>
            <w:tcBorders>
              <w:top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47%</w:t>
            </w:r>
          </w:p>
        </w:tc>
        <w:tc>
          <w:tcPr>
            <w:tcW w:w="2232" w:type="dxa"/>
            <w:tcBorders>
              <w:top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56%</w:t>
            </w:r>
          </w:p>
        </w:tc>
      </w:tr>
      <w:tr w:rsidR="00065ACE" w:rsidRPr="00065ACE" w:rsidTr="004B3484">
        <w:trPr>
          <w:trHeight w:val="338"/>
        </w:trPr>
        <w:tc>
          <w:tcPr>
            <w:tcW w:w="2465" w:type="dxa"/>
            <w:tcBorders>
              <w:left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Inner Regional Australia</w:t>
            </w:r>
          </w:p>
        </w:tc>
        <w:tc>
          <w:tcPr>
            <w:tcW w:w="1206" w:type="dxa"/>
            <w:tcBorders>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30</w:t>
            </w:r>
          </w:p>
        </w:tc>
        <w:tc>
          <w:tcPr>
            <w:tcW w:w="1462"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28%</w:t>
            </w:r>
          </w:p>
        </w:tc>
        <w:tc>
          <w:tcPr>
            <w:tcW w:w="1263" w:type="dxa"/>
            <w:tcBorders>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292</w:t>
            </w:r>
          </w:p>
        </w:tc>
        <w:tc>
          <w:tcPr>
            <w:tcW w:w="1369"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27%</w:t>
            </w:r>
          </w:p>
        </w:tc>
        <w:tc>
          <w:tcPr>
            <w:tcW w:w="2232"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12%</w:t>
            </w:r>
          </w:p>
        </w:tc>
      </w:tr>
      <w:tr w:rsidR="00065ACE" w:rsidRPr="00065ACE" w:rsidTr="004B3484">
        <w:trPr>
          <w:trHeight w:val="321"/>
        </w:trPr>
        <w:tc>
          <w:tcPr>
            <w:tcW w:w="2465" w:type="dxa"/>
            <w:tcBorders>
              <w:left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Outer Regional Australia</w:t>
            </w:r>
          </w:p>
        </w:tc>
        <w:tc>
          <w:tcPr>
            <w:tcW w:w="1206" w:type="dxa"/>
            <w:tcBorders>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30</w:t>
            </w:r>
          </w:p>
        </w:tc>
        <w:tc>
          <w:tcPr>
            <w:tcW w:w="1462"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28%</w:t>
            </w:r>
          </w:p>
        </w:tc>
        <w:tc>
          <w:tcPr>
            <w:tcW w:w="1263" w:type="dxa"/>
            <w:tcBorders>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188</w:t>
            </w:r>
          </w:p>
        </w:tc>
        <w:tc>
          <w:tcPr>
            <w:tcW w:w="1369"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17%</w:t>
            </w:r>
          </w:p>
        </w:tc>
        <w:tc>
          <w:tcPr>
            <w:tcW w:w="2232"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14%</w:t>
            </w:r>
          </w:p>
        </w:tc>
      </w:tr>
      <w:tr w:rsidR="00065ACE" w:rsidRPr="00065ACE" w:rsidTr="004B3484">
        <w:trPr>
          <w:trHeight w:val="321"/>
        </w:trPr>
        <w:tc>
          <w:tcPr>
            <w:tcW w:w="2465" w:type="dxa"/>
            <w:tcBorders>
              <w:left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Remote Australia</w:t>
            </w:r>
          </w:p>
        </w:tc>
        <w:tc>
          <w:tcPr>
            <w:tcW w:w="1206" w:type="dxa"/>
            <w:tcBorders>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11</w:t>
            </w:r>
          </w:p>
        </w:tc>
        <w:tc>
          <w:tcPr>
            <w:tcW w:w="1462"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10%</w:t>
            </w:r>
          </w:p>
        </w:tc>
        <w:tc>
          <w:tcPr>
            <w:tcW w:w="1263" w:type="dxa"/>
            <w:tcBorders>
              <w:lef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54</w:t>
            </w:r>
          </w:p>
        </w:tc>
        <w:tc>
          <w:tcPr>
            <w:tcW w:w="1369"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5%</w:t>
            </w:r>
          </w:p>
        </w:tc>
        <w:tc>
          <w:tcPr>
            <w:tcW w:w="2232" w:type="dxa"/>
            <w:tcBorders>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10%</w:t>
            </w:r>
          </w:p>
        </w:tc>
      </w:tr>
      <w:tr w:rsidR="00065ACE" w:rsidRPr="00065ACE" w:rsidTr="004B3484">
        <w:trPr>
          <w:trHeight w:val="338"/>
        </w:trPr>
        <w:tc>
          <w:tcPr>
            <w:tcW w:w="2465" w:type="dxa"/>
            <w:tcBorders>
              <w:left w:val="single" w:sz="12" w:space="0" w:color="auto"/>
              <w:bottom w:val="single" w:sz="12" w:space="0" w:color="auto"/>
              <w:right w:val="single" w:sz="12" w:space="0" w:color="auto"/>
            </w:tcBorders>
            <w:shd w:val="clear" w:color="auto" w:fill="auto"/>
            <w:vAlign w:val="center"/>
          </w:tcPr>
          <w:p w:rsidR="00065ACE" w:rsidRPr="00781478" w:rsidRDefault="00065ACE" w:rsidP="00065ACE">
            <w:pPr>
              <w:spacing w:line="240" w:lineRule="auto"/>
              <w:ind w:right="-1"/>
              <w:rPr>
                <w:rFonts w:asciiTheme="majorHAnsi" w:hAnsiTheme="majorHAnsi" w:cstheme="majorHAnsi"/>
                <w:sz w:val="22"/>
                <w:szCs w:val="22"/>
                <w:lang w:val="en-US"/>
              </w:rPr>
            </w:pPr>
            <w:r w:rsidRPr="00781478">
              <w:rPr>
                <w:rFonts w:asciiTheme="majorHAnsi" w:hAnsiTheme="majorHAnsi" w:cstheme="majorHAnsi"/>
                <w:sz w:val="22"/>
                <w:szCs w:val="22"/>
                <w:lang w:val="en-US"/>
              </w:rPr>
              <w:t>Very Remote Australia</w:t>
            </w:r>
          </w:p>
        </w:tc>
        <w:tc>
          <w:tcPr>
            <w:tcW w:w="1206" w:type="dxa"/>
            <w:tcBorders>
              <w:left w:val="single" w:sz="12" w:space="0" w:color="auto"/>
              <w:bottom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6</w:t>
            </w:r>
          </w:p>
        </w:tc>
        <w:tc>
          <w:tcPr>
            <w:tcW w:w="1462" w:type="dxa"/>
            <w:tcBorders>
              <w:bottom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6%</w:t>
            </w:r>
          </w:p>
        </w:tc>
        <w:tc>
          <w:tcPr>
            <w:tcW w:w="1263" w:type="dxa"/>
            <w:tcBorders>
              <w:left w:val="single" w:sz="12" w:space="0" w:color="auto"/>
              <w:bottom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47</w:t>
            </w:r>
          </w:p>
        </w:tc>
        <w:tc>
          <w:tcPr>
            <w:tcW w:w="1369" w:type="dxa"/>
            <w:tcBorders>
              <w:bottom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4%</w:t>
            </w:r>
          </w:p>
        </w:tc>
        <w:tc>
          <w:tcPr>
            <w:tcW w:w="2232" w:type="dxa"/>
            <w:tcBorders>
              <w:bottom w:val="single" w:sz="12" w:space="0" w:color="auto"/>
              <w:right w:val="single" w:sz="12" w:space="0" w:color="auto"/>
            </w:tcBorders>
            <w:vAlign w:val="center"/>
          </w:tcPr>
          <w:p w:rsidR="00065ACE" w:rsidRPr="00781478" w:rsidRDefault="00065ACE" w:rsidP="00065ACE">
            <w:pPr>
              <w:spacing w:line="240" w:lineRule="auto"/>
              <w:jc w:val="center"/>
              <w:rPr>
                <w:rFonts w:asciiTheme="majorHAnsi" w:hAnsiTheme="majorHAnsi" w:cstheme="majorHAnsi"/>
                <w:sz w:val="22"/>
                <w:szCs w:val="22"/>
              </w:rPr>
            </w:pPr>
            <w:r w:rsidRPr="00781478">
              <w:rPr>
                <w:rFonts w:asciiTheme="majorHAnsi" w:hAnsiTheme="majorHAnsi" w:cstheme="majorHAnsi"/>
                <w:sz w:val="22"/>
                <w:szCs w:val="22"/>
              </w:rPr>
              <w:t>8%</w:t>
            </w:r>
          </w:p>
        </w:tc>
      </w:tr>
      <w:tr w:rsidR="00065ACE" w:rsidRPr="00065ACE" w:rsidTr="004B3484">
        <w:trPr>
          <w:trHeight w:val="338"/>
        </w:trPr>
        <w:tc>
          <w:tcPr>
            <w:tcW w:w="2465" w:type="dxa"/>
            <w:tcBorders>
              <w:top w:val="single" w:sz="12" w:space="0" w:color="auto"/>
              <w:left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ind w:right="-1"/>
              <w:rPr>
                <w:rFonts w:asciiTheme="majorHAnsi" w:hAnsiTheme="majorHAnsi" w:cstheme="majorHAnsi"/>
                <w:b/>
                <w:sz w:val="22"/>
                <w:szCs w:val="22"/>
                <w:lang w:val="en-US"/>
              </w:rPr>
            </w:pPr>
            <w:r w:rsidRPr="00781478">
              <w:rPr>
                <w:rFonts w:asciiTheme="majorHAnsi" w:hAnsiTheme="majorHAnsi" w:cstheme="majorHAnsi"/>
                <w:b/>
                <w:bCs/>
                <w:sz w:val="22"/>
                <w:szCs w:val="22"/>
                <w:lang w:val="en-US"/>
              </w:rPr>
              <w:t>TOTAL</w:t>
            </w:r>
          </w:p>
        </w:tc>
        <w:tc>
          <w:tcPr>
            <w:tcW w:w="1206" w:type="dxa"/>
            <w:tcBorders>
              <w:top w:val="single" w:sz="12" w:space="0" w:color="auto"/>
              <w:left w:val="single" w:sz="12" w:space="0" w:color="auto"/>
              <w:bottom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109</w:t>
            </w:r>
          </w:p>
        </w:tc>
        <w:tc>
          <w:tcPr>
            <w:tcW w:w="1462" w:type="dxa"/>
            <w:tcBorders>
              <w:top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100%</w:t>
            </w:r>
          </w:p>
        </w:tc>
        <w:tc>
          <w:tcPr>
            <w:tcW w:w="1263" w:type="dxa"/>
            <w:tcBorders>
              <w:top w:val="single" w:sz="12" w:space="0" w:color="auto"/>
              <w:left w:val="single" w:sz="12" w:space="0" w:color="auto"/>
              <w:bottom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1098</w:t>
            </w:r>
          </w:p>
        </w:tc>
        <w:tc>
          <w:tcPr>
            <w:tcW w:w="1369" w:type="dxa"/>
            <w:tcBorders>
              <w:top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100%</w:t>
            </w:r>
          </w:p>
        </w:tc>
        <w:tc>
          <w:tcPr>
            <w:tcW w:w="2232" w:type="dxa"/>
            <w:tcBorders>
              <w:top w:val="single" w:sz="12" w:space="0" w:color="auto"/>
              <w:bottom w:val="single" w:sz="12" w:space="0" w:color="auto"/>
              <w:right w:val="single" w:sz="12" w:space="0" w:color="auto"/>
            </w:tcBorders>
            <w:shd w:val="clear" w:color="auto" w:fill="DFDFDF" w:themeFill="accent5" w:themeFillTint="33"/>
            <w:vAlign w:val="center"/>
          </w:tcPr>
          <w:p w:rsidR="00065ACE" w:rsidRPr="00781478" w:rsidRDefault="00065ACE" w:rsidP="00065ACE">
            <w:pPr>
              <w:spacing w:line="240" w:lineRule="auto"/>
              <w:jc w:val="center"/>
              <w:rPr>
                <w:rFonts w:asciiTheme="majorHAnsi" w:hAnsiTheme="majorHAnsi" w:cstheme="majorHAnsi"/>
                <w:b/>
                <w:bCs/>
                <w:sz w:val="22"/>
                <w:szCs w:val="22"/>
              </w:rPr>
            </w:pPr>
            <w:r w:rsidRPr="00781478">
              <w:rPr>
                <w:rFonts w:asciiTheme="majorHAnsi" w:hAnsiTheme="majorHAnsi" w:cstheme="majorHAnsi"/>
                <w:b/>
                <w:bCs/>
                <w:sz w:val="22"/>
                <w:szCs w:val="22"/>
              </w:rPr>
              <w:t>100%</w:t>
            </w:r>
          </w:p>
        </w:tc>
      </w:tr>
    </w:tbl>
    <w:p w:rsidR="00BE2446" w:rsidRDefault="00BE2446" w:rsidP="00BE2446">
      <w:pPr>
        <w:pStyle w:val="Heading2"/>
        <w:spacing w:after="0"/>
        <w:rPr>
          <w:lang w:eastAsia="en-AU"/>
        </w:rPr>
      </w:pPr>
      <w:bookmarkStart w:id="85" w:name="_Toc292696793"/>
      <w:bookmarkStart w:id="86" w:name="_Toc323901035"/>
      <w:bookmarkStart w:id="87" w:name="_Toc355773762"/>
    </w:p>
    <w:p w:rsidR="00065ACE" w:rsidRPr="00065ACE" w:rsidRDefault="00EC7A08" w:rsidP="00BE2446">
      <w:pPr>
        <w:pStyle w:val="Heading2"/>
        <w:spacing w:after="0"/>
        <w:rPr>
          <w:lang w:eastAsia="en-AU"/>
        </w:rPr>
      </w:pPr>
      <w:bookmarkStart w:id="88" w:name="_Toc384044205"/>
      <w:r w:rsidRPr="00065ACE">
        <w:rPr>
          <w:lang w:eastAsia="en-AU"/>
        </w:rPr>
        <w:t>Partnerships</w:t>
      </w:r>
      <w:bookmarkEnd w:id="85"/>
      <w:bookmarkEnd w:id="86"/>
      <w:bookmarkEnd w:id="87"/>
      <w:bookmarkEnd w:id="88"/>
      <w:r w:rsidRPr="00065ACE">
        <w:rPr>
          <w:lang w:eastAsia="en-AU"/>
        </w:rPr>
        <w:t xml:space="preserve"> </w:t>
      </w:r>
    </w:p>
    <w:p w:rsidR="00065ACE" w:rsidRPr="00065ACE" w:rsidRDefault="00065ACE" w:rsidP="00781478">
      <w:pPr>
        <w:pStyle w:val="Heading4"/>
        <w:rPr>
          <w:rFonts w:eastAsia="Times New Roman"/>
        </w:rPr>
      </w:pPr>
      <w:bookmarkStart w:id="89" w:name="_Toc323901036"/>
      <w:bookmarkStart w:id="90" w:name="_Toc355773763"/>
      <w:r w:rsidRPr="00065ACE">
        <w:rPr>
          <w:rFonts w:eastAsia="Times New Roman"/>
        </w:rPr>
        <w:t xml:space="preserve">Table </w:t>
      </w:r>
      <w:proofErr w:type="spellStart"/>
      <w:r w:rsidRPr="00065ACE">
        <w:rPr>
          <w:rFonts w:eastAsia="Times New Roman"/>
        </w:rPr>
        <w:t>F1</w:t>
      </w:r>
      <w:proofErr w:type="spellEnd"/>
      <w:r w:rsidRPr="00065ACE">
        <w:rPr>
          <w:rFonts w:eastAsia="Times New Roman"/>
        </w:rPr>
        <w:t xml:space="preserve"> and </w:t>
      </w:r>
      <w:proofErr w:type="spellStart"/>
      <w:r w:rsidRPr="00065ACE">
        <w:rPr>
          <w:rFonts w:eastAsia="Times New Roman"/>
        </w:rPr>
        <w:t>F2</w:t>
      </w:r>
      <w:proofErr w:type="spellEnd"/>
      <w:r w:rsidRPr="00065ACE">
        <w:rPr>
          <w:rFonts w:eastAsia="Times New Roman"/>
        </w:rPr>
        <w:t xml:space="preserve"> – Number of Partnerships Created by Status</w:t>
      </w:r>
      <w:bookmarkEnd w:id="89"/>
      <w:bookmarkEnd w:id="90"/>
    </w:p>
    <w:p w:rsidR="00065ACE" w:rsidRPr="00065ACE" w:rsidRDefault="00065ACE" w:rsidP="00065ACE">
      <w:pPr>
        <w:spacing w:before="120" w:after="120" w:line="240" w:lineRule="auto"/>
        <w:ind w:right="34"/>
        <w:rPr>
          <w:rFonts w:eastAsia="Times New Roman" w:cs="Calibri"/>
          <w:sz w:val="22"/>
          <w:szCs w:val="22"/>
          <w:lang w:val="en-US" w:eastAsia="en-AU"/>
        </w:rPr>
      </w:pPr>
      <w:r w:rsidRPr="00065ACE">
        <w:rPr>
          <w:rFonts w:eastAsia="Times New Roman" w:cs="Calibri"/>
          <w:sz w:val="22"/>
          <w:szCs w:val="22"/>
          <w:lang w:val="en-US" w:eastAsia="en-AU"/>
        </w:rPr>
        <w:t xml:space="preserve">These tables show the status of partnerships including the number of partnerships with an Indigenous focus.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Please see below for descriptions of the different partnership status options:</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 xml:space="preserve">Active: </w:t>
      </w:r>
      <w:r w:rsidRPr="00065ACE">
        <w:rPr>
          <w:rFonts w:eastAsia="Times New Roman" w:cs="Calibri"/>
          <w:sz w:val="22"/>
          <w:szCs w:val="22"/>
          <w:lang w:val="en-US"/>
        </w:rPr>
        <w:t xml:space="preserve">The partnership consists of two or more members (Organisations) and the Partnership Broker is playing an active role in assisting partners to achieve improved education and transition outcomes for young people. This includes building strong partnership foundations based on key partnering principles, such as transparency, equity and mutual benefit.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 xml:space="preserve">Self-sustaining: </w:t>
      </w:r>
      <w:r w:rsidRPr="00065ACE">
        <w:rPr>
          <w:rFonts w:eastAsia="Times New Roman" w:cs="Calibri"/>
          <w:sz w:val="22"/>
          <w:szCs w:val="22"/>
          <w:lang w:val="en-US"/>
        </w:rPr>
        <w:t>The partnership has reached a point in its development where it no longer requires direct support from the Partnership Broker.</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Draft:</w:t>
      </w:r>
      <w:r w:rsidRPr="00065ACE">
        <w:rPr>
          <w:rFonts w:eastAsia="Times New Roman" w:cs="Calibri"/>
          <w:sz w:val="22"/>
          <w:szCs w:val="22"/>
          <w:lang w:val="en-US"/>
        </w:rPr>
        <w:t xml:space="preserve"> </w:t>
      </w:r>
      <w:r w:rsidRPr="00065ACE">
        <w:rPr>
          <w:rFonts w:eastAsia="Times New Roman" w:cs="Calibri"/>
          <w:sz w:val="22"/>
          <w:szCs w:val="22"/>
          <w:lang w:val="en-US" w:eastAsia="en-AU"/>
        </w:rPr>
        <w:t>The Partnership has been entered in the system (YATMIS) but further information or progress is required before it can be activated.</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 xml:space="preserve">Inactive: </w:t>
      </w:r>
      <w:r w:rsidRPr="00065ACE">
        <w:rPr>
          <w:rFonts w:eastAsia="Times New Roman" w:cs="Calibri"/>
          <w:sz w:val="22"/>
          <w:szCs w:val="22"/>
          <w:lang w:val="en-US"/>
        </w:rPr>
        <w:t xml:space="preserve">These are partnerships that may be periodic or seasonal in nature. For example, the status of a particular partnership can be turned to ‘inactive’ when the partnership has achieved its purpose for the year and is likely to become active again in the following year. </w:t>
      </w:r>
    </w:p>
    <w:p w:rsidR="00065ACE" w:rsidRPr="00065ACE" w:rsidRDefault="00065ACE" w:rsidP="00781478">
      <w:pPr>
        <w:spacing w:before="120" w:after="240" w:line="240" w:lineRule="auto"/>
        <w:ind w:right="34"/>
        <w:rPr>
          <w:rFonts w:eastAsia="Times New Roman" w:cs="Calibri"/>
          <w:sz w:val="22"/>
          <w:szCs w:val="22"/>
          <w:lang w:val="en-US"/>
        </w:rPr>
      </w:pPr>
      <w:r w:rsidRPr="00065ACE">
        <w:rPr>
          <w:rFonts w:eastAsia="Times New Roman" w:cs="Calibri"/>
          <w:b/>
          <w:sz w:val="22"/>
          <w:szCs w:val="22"/>
          <w:lang w:val="en-US"/>
        </w:rPr>
        <w:t xml:space="preserve">Terminated: </w:t>
      </w:r>
      <w:r w:rsidRPr="00065ACE">
        <w:rPr>
          <w:rFonts w:eastAsia="Times New Roman" w:cs="Calibri"/>
          <w:sz w:val="22"/>
          <w:szCs w:val="22"/>
          <w:lang w:val="en-US"/>
        </w:rPr>
        <w:t>The partnership has achieved its purpose and been di</w:t>
      </w:r>
      <w:r w:rsidR="00781478">
        <w:rPr>
          <w:rFonts w:eastAsia="Times New Roman" w:cs="Calibri"/>
          <w:sz w:val="22"/>
          <w:szCs w:val="22"/>
          <w:lang w:val="en-US"/>
        </w:rPr>
        <w:t>scontinued, or become unviable.</w:t>
      </w:r>
    </w:p>
    <w:p w:rsidR="00065ACE" w:rsidRPr="00065ACE" w:rsidRDefault="00065ACE" w:rsidP="00781478">
      <w:pPr>
        <w:pStyle w:val="Heading4"/>
        <w:spacing w:after="120"/>
        <w:rPr>
          <w:rFonts w:eastAsia="Times New Roman"/>
          <w:lang w:eastAsia="en-AU"/>
        </w:rPr>
      </w:pPr>
      <w:r w:rsidRPr="00065ACE">
        <w:rPr>
          <w:rFonts w:eastAsia="Times New Roman"/>
          <w:lang w:eastAsia="en-AU"/>
        </w:rPr>
        <w:t xml:space="preserve">Table </w:t>
      </w:r>
      <w:proofErr w:type="spellStart"/>
      <w:r w:rsidRPr="00065ACE">
        <w:rPr>
          <w:rFonts w:eastAsia="Times New Roman"/>
          <w:lang w:eastAsia="en-AU"/>
        </w:rPr>
        <w:t>F1</w:t>
      </w:r>
      <w:proofErr w:type="spellEnd"/>
      <w:r w:rsidRPr="00065ACE">
        <w:rPr>
          <w:rFonts w:eastAsia="Times New Roman"/>
          <w:lang w:eastAsia="en-AU"/>
        </w:rPr>
        <w:t xml:space="preserve"> – Number of State Partnerships Created by Status for WA</w:t>
      </w:r>
    </w:p>
    <w:tbl>
      <w:tblPr>
        <w:tblW w:w="9926" w:type="dxa"/>
        <w:tblLayout w:type="fixed"/>
        <w:tblCellMar>
          <w:left w:w="113" w:type="dxa"/>
          <w:right w:w="57" w:type="dxa"/>
        </w:tblCellMar>
        <w:tblLook w:val="0000" w:firstRow="0" w:lastRow="0" w:firstColumn="0" w:lastColumn="0" w:noHBand="0" w:noVBand="0"/>
      </w:tblPr>
      <w:tblGrid>
        <w:gridCol w:w="1696"/>
        <w:gridCol w:w="1842"/>
        <w:gridCol w:w="1994"/>
        <w:gridCol w:w="2268"/>
        <w:gridCol w:w="2126"/>
      </w:tblGrid>
      <w:tr w:rsidR="00065ACE" w:rsidRPr="00065ACE" w:rsidTr="004B3484">
        <w:trPr>
          <w:trHeight w:val="460"/>
        </w:trPr>
        <w:tc>
          <w:tcPr>
            <w:tcW w:w="1696" w:type="dxa"/>
            <w:tcBorders>
              <w:top w:val="single" w:sz="12" w:space="0" w:color="auto"/>
              <w:left w:val="single" w:sz="12" w:space="0" w:color="auto"/>
              <w:bottom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Active partnerships (%)</w:t>
            </w:r>
          </w:p>
        </w:tc>
        <w:tc>
          <w:tcPr>
            <w:tcW w:w="1842" w:type="dxa"/>
            <w:tcBorders>
              <w:top w:val="single" w:sz="12" w:space="0" w:color="auto"/>
              <w:left w:val="nil"/>
              <w:bottom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Self Sustaining partnerships (%)</w:t>
            </w:r>
          </w:p>
        </w:tc>
        <w:tc>
          <w:tcPr>
            <w:tcW w:w="1994" w:type="dxa"/>
            <w:tcBorders>
              <w:top w:val="single" w:sz="12" w:space="0" w:color="auto"/>
              <w:left w:val="nil"/>
              <w:bottom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Active/Self-Sustaining partnerships (%)</w:t>
            </w:r>
          </w:p>
        </w:tc>
        <w:tc>
          <w:tcPr>
            <w:tcW w:w="2268" w:type="dxa"/>
            <w:tcBorders>
              <w:top w:val="single" w:sz="12" w:space="0" w:color="auto"/>
              <w:left w:val="single" w:sz="4" w:space="0" w:color="auto"/>
              <w:bottom w:val="single" w:sz="4"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Draft/Inactive/ Terminated partnerships (%)</w:t>
            </w:r>
          </w:p>
        </w:tc>
        <w:tc>
          <w:tcPr>
            <w:tcW w:w="2126" w:type="dxa"/>
            <w:tcBorders>
              <w:top w:val="single" w:sz="12" w:space="0" w:color="auto"/>
              <w:left w:val="single" w:sz="12" w:space="0" w:color="auto"/>
              <w:bottom w:val="single" w:sz="4"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State partnerships (%)</w:t>
            </w:r>
          </w:p>
        </w:tc>
      </w:tr>
      <w:tr w:rsidR="00065ACE" w:rsidRPr="00065ACE" w:rsidTr="004B3484">
        <w:trPr>
          <w:trHeight w:val="340"/>
        </w:trPr>
        <w:tc>
          <w:tcPr>
            <w:tcW w:w="1696" w:type="dxa"/>
            <w:tcBorders>
              <w:top w:val="nil"/>
              <w:left w:val="single" w:sz="12" w:space="0" w:color="auto"/>
              <w:bottom w:val="single" w:sz="12"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134 (32%)</w:t>
            </w:r>
          </w:p>
        </w:tc>
        <w:tc>
          <w:tcPr>
            <w:tcW w:w="1842" w:type="dxa"/>
            <w:tcBorders>
              <w:top w:val="single" w:sz="4" w:space="0" w:color="auto"/>
              <w:left w:val="nil"/>
              <w:bottom w:val="single" w:sz="12" w:space="0" w:color="auto"/>
              <w:right w:val="single" w:sz="4" w:space="0" w:color="auto"/>
            </w:tcBorders>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68 (16%)</w:t>
            </w:r>
          </w:p>
        </w:tc>
        <w:tc>
          <w:tcPr>
            <w:tcW w:w="1994" w:type="dxa"/>
            <w:tcBorders>
              <w:top w:val="single" w:sz="4" w:space="0" w:color="auto"/>
              <w:left w:val="nil"/>
              <w:bottom w:val="single" w:sz="12"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202 (49%)</w:t>
            </w:r>
          </w:p>
        </w:tc>
        <w:tc>
          <w:tcPr>
            <w:tcW w:w="2268" w:type="dxa"/>
            <w:tcBorders>
              <w:top w:val="single" w:sz="4" w:space="0" w:color="auto"/>
              <w:left w:val="single" w:sz="12" w:space="0" w:color="auto"/>
              <w:bottom w:val="single" w:sz="12" w:space="0" w:color="auto"/>
              <w:right w:val="single" w:sz="4" w:space="0" w:color="auto"/>
            </w:tcBorders>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213 (51%)</w:t>
            </w:r>
          </w:p>
        </w:tc>
        <w:tc>
          <w:tcPr>
            <w:tcW w:w="2126" w:type="dxa"/>
            <w:tcBorders>
              <w:top w:val="single" w:sz="4" w:space="0" w:color="auto"/>
              <w:left w:val="single" w:sz="4" w:space="0" w:color="auto"/>
              <w:bottom w:val="single" w:sz="12"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415 (100%)</w:t>
            </w:r>
          </w:p>
        </w:tc>
      </w:tr>
    </w:tbl>
    <w:p w:rsidR="00065ACE" w:rsidRPr="00065ACE" w:rsidRDefault="00065ACE" w:rsidP="00065ACE">
      <w:pPr>
        <w:spacing w:line="240" w:lineRule="auto"/>
        <w:rPr>
          <w:rFonts w:ascii="Times New Roman" w:eastAsia="Times New Roman" w:hAnsi="Times New Roman"/>
          <w:szCs w:val="20"/>
        </w:rPr>
      </w:pPr>
    </w:p>
    <w:p w:rsidR="00065ACE" w:rsidRPr="00065ACE" w:rsidRDefault="00065ACE" w:rsidP="00781478">
      <w:pPr>
        <w:pStyle w:val="Heading4"/>
        <w:spacing w:after="120"/>
        <w:rPr>
          <w:rFonts w:eastAsia="Times New Roman"/>
          <w:lang w:eastAsia="en-AU"/>
        </w:rPr>
      </w:pPr>
      <w:r w:rsidRPr="00065ACE">
        <w:rPr>
          <w:rFonts w:eastAsia="Times New Roman"/>
          <w:lang w:eastAsia="en-AU"/>
        </w:rPr>
        <w:lastRenderedPageBreak/>
        <w:t xml:space="preserve">Table </w:t>
      </w:r>
      <w:proofErr w:type="spellStart"/>
      <w:r w:rsidRPr="00065ACE">
        <w:rPr>
          <w:rFonts w:eastAsia="Times New Roman"/>
          <w:lang w:eastAsia="en-AU"/>
        </w:rPr>
        <w:t>F1</w:t>
      </w:r>
      <w:proofErr w:type="spellEnd"/>
      <w:r w:rsidRPr="00065ACE">
        <w:rPr>
          <w:rFonts w:eastAsia="Times New Roman"/>
          <w:lang w:eastAsia="en-AU"/>
        </w:rPr>
        <w:t xml:space="preserve"> – Number of State Partnerships Created by Status with Indigenous focus for WA</w:t>
      </w: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right w:w="57" w:type="dxa"/>
        </w:tblCellMar>
        <w:tblLook w:val="0020" w:firstRow="1" w:lastRow="0" w:firstColumn="0" w:lastColumn="0" w:noHBand="0" w:noVBand="0"/>
      </w:tblPr>
      <w:tblGrid>
        <w:gridCol w:w="2093"/>
        <w:gridCol w:w="2126"/>
        <w:gridCol w:w="2126"/>
        <w:gridCol w:w="1985"/>
        <w:gridCol w:w="1701"/>
      </w:tblGrid>
      <w:tr w:rsidR="00065ACE" w:rsidRPr="00065ACE" w:rsidTr="004B3484">
        <w:trPr>
          <w:trHeight w:val="322"/>
          <w:tblHeader/>
        </w:trPr>
        <w:tc>
          <w:tcPr>
            <w:tcW w:w="2093" w:type="dxa"/>
            <w:tcBorders>
              <w:bottom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Active partnerships (%)</w:t>
            </w:r>
          </w:p>
        </w:tc>
        <w:tc>
          <w:tcPr>
            <w:tcW w:w="2126" w:type="dxa"/>
            <w:tcBorders>
              <w:bottom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Self Sustaining partnerships (%)</w:t>
            </w:r>
          </w:p>
        </w:tc>
        <w:tc>
          <w:tcPr>
            <w:tcW w:w="2126" w:type="dxa"/>
            <w:tcBorders>
              <w:bottom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Active/Self-Sustaining partnerships (%)</w:t>
            </w:r>
          </w:p>
        </w:tc>
        <w:tc>
          <w:tcPr>
            <w:tcW w:w="1985" w:type="dxa"/>
            <w:tcBorders>
              <w:bottom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Draft/Inactive/ Terminated partnerships (%)</w:t>
            </w:r>
          </w:p>
        </w:tc>
        <w:tc>
          <w:tcPr>
            <w:tcW w:w="1701" w:type="dxa"/>
            <w:tcBorders>
              <w:bottom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State partnerships (%)</w:t>
            </w:r>
          </w:p>
        </w:tc>
      </w:tr>
      <w:tr w:rsidR="00065ACE" w:rsidRPr="00065ACE" w:rsidTr="004B3484">
        <w:trPr>
          <w:trHeight w:val="322"/>
          <w:tblHeader/>
        </w:trPr>
        <w:tc>
          <w:tcPr>
            <w:tcW w:w="2093" w:type="dxa"/>
            <w:tcBorders>
              <w:bottom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Cs/>
                <w:sz w:val="20"/>
                <w:szCs w:val="20"/>
                <w:lang w:eastAsia="en-AU"/>
              </w:rPr>
            </w:pPr>
            <w:r w:rsidRPr="00065ACE">
              <w:rPr>
                <w:rFonts w:eastAsia="Times New Roman" w:cs="Calibri"/>
                <w:bCs/>
                <w:sz w:val="20"/>
                <w:szCs w:val="20"/>
                <w:lang w:eastAsia="en-AU"/>
              </w:rPr>
              <w:t>38 (28%)</w:t>
            </w:r>
          </w:p>
        </w:tc>
        <w:tc>
          <w:tcPr>
            <w:tcW w:w="2126" w:type="dxa"/>
            <w:tcBorders>
              <w:bottom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Cs/>
                <w:sz w:val="20"/>
                <w:szCs w:val="20"/>
                <w:lang w:eastAsia="en-AU"/>
              </w:rPr>
            </w:pPr>
            <w:r w:rsidRPr="00065ACE">
              <w:rPr>
                <w:rFonts w:eastAsia="Times New Roman" w:cs="Calibri"/>
                <w:bCs/>
                <w:sz w:val="20"/>
                <w:szCs w:val="20"/>
                <w:lang w:eastAsia="en-AU"/>
              </w:rPr>
              <w:t>17 (25%)</w:t>
            </w:r>
          </w:p>
        </w:tc>
        <w:tc>
          <w:tcPr>
            <w:tcW w:w="2126" w:type="dxa"/>
            <w:tcBorders>
              <w:bottom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Cs/>
                <w:sz w:val="20"/>
                <w:szCs w:val="20"/>
                <w:lang w:eastAsia="en-AU"/>
              </w:rPr>
            </w:pPr>
            <w:r w:rsidRPr="00065ACE">
              <w:rPr>
                <w:rFonts w:eastAsia="Times New Roman" w:cs="Calibri"/>
                <w:bCs/>
                <w:sz w:val="20"/>
                <w:szCs w:val="20"/>
                <w:lang w:eastAsia="en-AU"/>
              </w:rPr>
              <w:t>55 (27%)</w:t>
            </w:r>
          </w:p>
        </w:tc>
        <w:tc>
          <w:tcPr>
            <w:tcW w:w="1985" w:type="dxa"/>
            <w:tcBorders>
              <w:bottom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Cs/>
                <w:sz w:val="20"/>
                <w:szCs w:val="20"/>
                <w:lang w:eastAsia="en-AU"/>
              </w:rPr>
            </w:pPr>
            <w:r w:rsidRPr="00065ACE">
              <w:rPr>
                <w:rFonts w:eastAsia="Times New Roman" w:cs="Calibri"/>
                <w:bCs/>
                <w:sz w:val="20"/>
                <w:szCs w:val="20"/>
                <w:lang w:eastAsia="en-AU"/>
              </w:rPr>
              <w:t>68 (32%)</w:t>
            </w:r>
          </w:p>
        </w:tc>
        <w:tc>
          <w:tcPr>
            <w:tcW w:w="1701" w:type="dxa"/>
            <w:tcBorders>
              <w:bottom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Cs/>
                <w:sz w:val="20"/>
                <w:szCs w:val="20"/>
                <w:lang w:eastAsia="en-AU"/>
              </w:rPr>
            </w:pPr>
            <w:r w:rsidRPr="00065ACE">
              <w:rPr>
                <w:rFonts w:eastAsia="Times New Roman" w:cs="Calibri"/>
                <w:bCs/>
                <w:sz w:val="20"/>
                <w:szCs w:val="20"/>
                <w:lang w:eastAsia="en-AU"/>
              </w:rPr>
              <w:t>123 (30%)</w:t>
            </w:r>
          </w:p>
        </w:tc>
      </w:tr>
    </w:tbl>
    <w:p w:rsidR="00065ACE" w:rsidRPr="00065ACE" w:rsidRDefault="00065ACE" w:rsidP="00065ACE">
      <w:pPr>
        <w:spacing w:line="240" w:lineRule="auto"/>
        <w:rPr>
          <w:rFonts w:ascii="Times New Roman" w:eastAsia="Times New Roman" w:hAnsi="Times New Roman"/>
          <w:szCs w:val="20"/>
        </w:rPr>
      </w:pPr>
    </w:p>
    <w:p w:rsidR="00065ACE" w:rsidRPr="00065ACE" w:rsidRDefault="00065ACE" w:rsidP="00BE2446">
      <w:pPr>
        <w:spacing w:after="120" w:line="240" w:lineRule="auto"/>
        <w:ind w:right="34"/>
        <w:rPr>
          <w:rFonts w:eastAsia="Times New Roman" w:cs="Calibri"/>
          <w:sz w:val="22"/>
          <w:szCs w:val="22"/>
          <w:lang w:val="en-US"/>
        </w:rPr>
      </w:pPr>
      <w:r w:rsidRPr="00065ACE">
        <w:rPr>
          <w:rFonts w:eastAsia="Times New Roman" w:cs="Calibri"/>
          <w:sz w:val="22"/>
          <w:szCs w:val="22"/>
          <w:lang w:val="en-US"/>
        </w:rPr>
        <w:t>Indigenous partnership percentages in the bottom row were calculated using the total partnerships by status in the row directly above. For example, 28% of the total active par</w:t>
      </w:r>
      <w:r w:rsidR="00781478">
        <w:rPr>
          <w:rFonts w:eastAsia="Times New Roman" w:cs="Calibri"/>
          <w:sz w:val="22"/>
          <w:szCs w:val="22"/>
          <w:lang w:val="en-US"/>
        </w:rPr>
        <w:t>tnerships in WA are Indigenous.</w:t>
      </w:r>
    </w:p>
    <w:p w:rsidR="00BE2446" w:rsidRDefault="00BE2446" w:rsidP="00781478">
      <w:pPr>
        <w:pStyle w:val="Heading4"/>
        <w:rPr>
          <w:rFonts w:eastAsia="Times New Roman"/>
          <w:lang w:eastAsia="en-AU"/>
        </w:rPr>
      </w:pPr>
    </w:p>
    <w:p w:rsidR="00065ACE" w:rsidRPr="00065ACE" w:rsidRDefault="00065ACE" w:rsidP="00781478">
      <w:pPr>
        <w:pStyle w:val="Heading4"/>
        <w:rPr>
          <w:rFonts w:eastAsia="Times New Roman"/>
          <w:lang w:eastAsia="en-AU"/>
        </w:rPr>
      </w:pPr>
      <w:r w:rsidRPr="00065ACE">
        <w:rPr>
          <w:rFonts w:eastAsia="Times New Roman"/>
          <w:lang w:eastAsia="en-AU"/>
        </w:rPr>
        <w:t xml:space="preserve">Table </w:t>
      </w:r>
      <w:proofErr w:type="spellStart"/>
      <w:r w:rsidRPr="00065ACE">
        <w:rPr>
          <w:rFonts w:eastAsia="Times New Roman"/>
          <w:lang w:eastAsia="en-AU"/>
        </w:rPr>
        <w:t>F2</w:t>
      </w:r>
      <w:proofErr w:type="spellEnd"/>
      <w:r w:rsidRPr="00065ACE">
        <w:rPr>
          <w:rFonts w:eastAsia="Times New Roman"/>
          <w:lang w:eastAsia="en-AU"/>
        </w:rPr>
        <w:t xml:space="preserve"> - Number of National Partnerships Created by Status</w:t>
      </w:r>
    </w:p>
    <w:p w:rsidR="00065ACE" w:rsidRPr="00065ACE" w:rsidRDefault="00065ACE" w:rsidP="00065ACE">
      <w:pPr>
        <w:spacing w:before="120" w:after="120" w:line="240" w:lineRule="auto"/>
        <w:ind w:right="34"/>
        <w:rPr>
          <w:rFonts w:eastAsia="Times New Roman" w:cs="Calibri"/>
          <w:sz w:val="22"/>
          <w:szCs w:val="22"/>
          <w:lang w:val="en-US" w:eastAsia="en-AU"/>
        </w:rPr>
      </w:pPr>
      <w:r w:rsidRPr="00065ACE">
        <w:rPr>
          <w:rFonts w:eastAsia="Times New Roman" w:cs="Calibri"/>
          <w:b/>
          <w:sz w:val="22"/>
          <w:szCs w:val="22"/>
          <w:lang w:val="en-US"/>
        </w:rPr>
        <w:t>Note:</w:t>
      </w:r>
      <w:r w:rsidRPr="00065ACE">
        <w:rPr>
          <w:rFonts w:eastAsia="Times New Roman" w:cs="Calibri"/>
          <w:sz w:val="22"/>
          <w:szCs w:val="22"/>
          <w:lang w:val="en-US"/>
        </w:rPr>
        <w:t xml:space="preserve"> National figures do not include Victoria.</w:t>
      </w:r>
    </w:p>
    <w:tbl>
      <w:tblPr>
        <w:tblW w:w="9998" w:type="dxa"/>
        <w:tblInd w:w="-34" w:type="dxa"/>
        <w:tblLayout w:type="fixed"/>
        <w:tblCellMar>
          <w:left w:w="57" w:type="dxa"/>
          <w:right w:w="57" w:type="dxa"/>
        </w:tblCellMar>
        <w:tblLook w:val="0000" w:firstRow="0" w:lastRow="0" w:firstColumn="0" w:lastColumn="0" w:noHBand="0" w:noVBand="0"/>
      </w:tblPr>
      <w:tblGrid>
        <w:gridCol w:w="1715"/>
        <w:gridCol w:w="1856"/>
        <w:gridCol w:w="2000"/>
        <w:gridCol w:w="2285"/>
        <w:gridCol w:w="2142"/>
      </w:tblGrid>
      <w:tr w:rsidR="00065ACE" w:rsidRPr="00065ACE" w:rsidTr="004B3484">
        <w:trPr>
          <w:trHeight w:val="363"/>
        </w:trPr>
        <w:tc>
          <w:tcPr>
            <w:tcW w:w="1715" w:type="dxa"/>
            <w:tcBorders>
              <w:top w:val="single" w:sz="12" w:space="0" w:color="auto"/>
              <w:left w:val="single" w:sz="12" w:space="0" w:color="auto"/>
              <w:bottom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Active partnerships (%)</w:t>
            </w:r>
          </w:p>
        </w:tc>
        <w:tc>
          <w:tcPr>
            <w:tcW w:w="1856" w:type="dxa"/>
            <w:tcBorders>
              <w:top w:val="single" w:sz="12" w:space="0" w:color="auto"/>
              <w:left w:val="nil"/>
              <w:bottom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Self Sustaining partnerships (%)</w:t>
            </w:r>
          </w:p>
        </w:tc>
        <w:tc>
          <w:tcPr>
            <w:tcW w:w="2000" w:type="dxa"/>
            <w:tcBorders>
              <w:top w:val="single" w:sz="12" w:space="0" w:color="auto"/>
              <w:left w:val="nil"/>
              <w:bottom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Active/Self-Sustaining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Draft/Inactive/ 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National partnerships (%)</w:t>
            </w:r>
          </w:p>
        </w:tc>
      </w:tr>
      <w:tr w:rsidR="00065ACE" w:rsidRPr="00065ACE" w:rsidTr="004B3484">
        <w:trPr>
          <w:trHeight w:val="363"/>
        </w:trPr>
        <w:tc>
          <w:tcPr>
            <w:tcW w:w="1715" w:type="dxa"/>
            <w:tcBorders>
              <w:top w:val="nil"/>
              <w:left w:val="single" w:sz="12" w:space="0" w:color="auto"/>
              <w:bottom w:val="single" w:sz="12"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1052 (32%)</w:t>
            </w:r>
          </w:p>
        </w:tc>
        <w:tc>
          <w:tcPr>
            <w:tcW w:w="1856" w:type="dxa"/>
            <w:tcBorders>
              <w:top w:val="single" w:sz="4" w:space="0" w:color="auto"/>
              <w:left w:val="nil"/>
              <w:bottom w:val="single" w:sz="12" w:space="0" w:color="auto"/>
              <w:right w:val="single" w:sz="4" w:space="0" w:color="auto"/>
            </w:tcBorders>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549 (17%)</w:t>
            </w:r>
          </w:p>
        </w:tc>
        <w:tc>
          <w:tcPr>
            <w:tcW w:w="2000" w:type="dxa"/>
            <w:tcBorders>
              <w:top w:val="single" w:sz="4" w:space="0" w:color="auto"/>
              <w:left w:val="nil"/>
              <w:bottom w:val="single" w:sz="12"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1601 (49%)</w:t>
            </w:r>
          </w:p>
        </w:tc>
        <w:tc>
          <w:tcPr>
            <w:tcW w:w="2285" w:type="dxa"/>
            <w:tcBorders>
              <w:top w:val="single" w:sz="4" w:space="0" w:color="auto"/>
              <w:left w:val="single" w:sz="4" w:space="0" w:color="auto"/>
              <w:bottom w:val="single" w:sz="12" w:space="0" w:color="auto"/>
              <w:right w:val="single" w:sz="4" w:space="0" w:color="auto"/>
            </w:tcBorders>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1666 (51%)</w:t>
            </w:r>
          </w:p>
        </w:tc>
        <w:tc>
          <w:tcPr>
            <w:tcW w:w="2142" w:type="dxa"/>
            <w:tcBorders>
              <w:top w:val="single" w:sz="4" w:space="0" w:color="auto"/>
              <w:left w:val="single" w:sz="4" w:space="0" w:color="auto"/>
              <w:bottom w:val="single" w:sz="12"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3267 (100%)</w:t>
            </w:r>
          </w:p>
        </w:tc>
      </w:tr>
    </w:tbl>
    <w:p w:rsidR="00065ACE" w:rsidRDefault="00065ACE" w:rsidP="00065ACE">
      <w:pPr>
        <w:spacing w:line="240" w:lineRule="auto"/>
        <w:rPr>
          <w:rFonts w:ascii="Times New Roman" w:eastAsia="Times New Roman" w:hAnsi="Times New Roman"/>
          <w:szCs w:val="20"/>
        </w:rPr>
      </w:pPr>
    </w:p>
    <w:p w:rsidR="00BE2446" w:rsidRPr="00065ACE" w:rsidRDefault="00BE2446" w:rsidP="00065ACE">
      <w:pPr>
        <w:spacing w:line="240" w:lineRule="auto"/>
        <w:rPr>
          <w:rFonts w:ascii="Times New Roman" w:eastAsia="Times New Roman" w:hAnsi="Times New Roman"/>
          <w:szCs w:val="20"/>
        </w:rPr>
      </w:pPr>
    </w:p>
    <w:p w:rsidR="00065ACE" w:rsidRPr="00065ACE" w:rsidRDefault="00065ACE" w:rsidP="00781478">
      <w:pPr>
        <w:pStyle w:val="Heading4"/>
        <w:rPr>
          <w:rFonts w:eastAsia="Times New Roman"/>
          <w:sz w:val="22"/>
          <w:lang w:eastAsia="en-AU"/>
        </w:rPr>
      </w:pPr>
      <w:r w:rsidRPr="00065ACE">
        <w:rPr>
          <w:rFonts w:eastAsia="Times New Roman"/>
          <w:lang w:eastAsia="en-AU"/>
        </w:rPr>
        <w:t xml:space="preserve">Table </w:t>
      </w:r>
      <w:proofErr w:type="spellStart"/>
      <w:r w:rsidRPr="00065ACE">
        <w:rPr>
          <w:rFonts w:eastAsia="Times New Roman"/>
          <w:lang w:eastAsia="en-AU"/>
        </w:rPr>
        <w:t>F2</w:t>
      </w:r>
      <w:proofErr w:type="spellEnd"/>
      <w:r w:rsidRPr="00065ACE">
        <w:rPr>
          <w:rFonts w:eastAsia="Times New Roman"/>
          <w:lang w:eastAsia="en-AU"/>
        </w:rPr>
        <w:t xml:space="preserve"> - Number of National Partnerships Created by Status with an Indigenous focus</w:t>
      </w:r>
    </w:p>
    <w:p w:rsidR="00065ACE" w:rsidRPr="00065ACE" w:rsidRDefault="00065ACE" w:rsidP="00065ACE">
      <w:pPr>
        <w:spacing w:line="240" w:lineRule="auto"/>
        <w:rPr>
          <w:rFonts w:ascii="Times New Roman" w:eastAsia="Times New Roman" w:hAnsi="Times New Roman"/>
          <w:szCs w:val="20"/>
        </w:rPr>
      </w:pPr>
    </w:p>
    <w:tbl>
      <w:tblPr>
        <w:tblW w:w="9998" w:type="dxa"/>
        <w:tblInd w:w="-34" w:type="dxa"/>
        <w:tblLayout w:type="fixed"/>
        <w:tblCellMar>
          <w:left w:w="57" w:type="dxa"/>
          <w:right w:w="57" w:type="dxa"/>
        </w:tblCellMar>
        <w:tblLook w:val="0000" w:firstRow="0" w:lastRow="0" w:firstColumn="0" w:lastColumn="0" w:noHBand="0" w:noVBand="0"/>
      </w:tblPr>
      <w:tblGrid>
        <w:gridCol w:w="1715"/>
        <w:gridCol w:w="1856"/>
        <w:gridCol w:w="2000"/>
        <w:gridCol w:w="2285"/>
        <w:gridCol w:w="2142"/>
      </w:tblGrid>
      <w:tr w:rsidR="00065ACE" w:rsidRPr="00065ACE" w:rsidTr="004B3484">
        <w:trPr>
          <w:trHeight w:val="426"/>
        </w:trPr>
        <w:tc>
          <w:tcPr>
            <w:tcW w:w="1715" w:type="dxa"/>
            <w:tcBorders>
              <w:top w:val="single" w:sz="12" w:space="0" w:color="auto"/>
              <w:left w:val="single" w:sz="12" w:space="0" w:color="auto"/>
              <w:bottom w:val="single" w:sz="4" w:space="0" w:color="auto"/>
              <w:right w:val="single" w:sz="4" w:space="0" w:color="auto"/>
            </w:tcBorders>
            <w:shd w:val="clear" w:color="auto" w:fill="9F9F9F" w:themeFill="accent5" w:themeFillTint="99"/>
            <w:noWrap/>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Active partnerships (%)</w:t>
            </w:r>
          </w:p>
        </w:tc>
        <w:tc>
          <w:tcPr>
            <w:tcW w:w="1856" w:type="dxa"/>
            <w:tcBorders>
              <w:top w:val="single" w:sz="12" w:space="0" w:color="auto"/>
              <w:left w:val="single" w:sz="4" w:space="0" w:color="auto"/>
              <w:bottom w:val="single" w:sz="4" w:space="0" w:color="auto"/>
              <w:right w:val="nil"/>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Self Sustaining partnerships (%)</w:t>
            </w:r>
          </w:p>
        </w:tc>
        <w:tc>
          <w:tcPr>
            <w:tcW w:w="2000" w:type="dxa"/>
            <w:tcBorders>
              <w:top w:val="single" w:sz="12" w:space="0" w:color="auto"/>
              <w:left w:val="single" w:sz="4" w:space="0" w:color="auto"/>
              <w:bottom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Active/Self-Sustaining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Draft/Inactive/</w:t>
            </w:r>
          </w:p>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National partnerships (%)</w:t>
            </w:r>
          </w:p>
        </w:tc>
      </w:tr>
      <w:tr w:rsidR="00065ACE" w:rsidRPr="00065ACE" w:rsidTr="004B3484">
        <w:trPr>
          <w:trHeight w:val="368"/>
        </w:trPr>
        <w:tc>
          <w:tcPr>
            <w:tcW w:w="171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229 (22%)</w:t>
            </w:r>
          </w:p>
        </w:tc>
        <w:tc>
          <w:tcPr>
            <w:tcW w:w="1856" w:type="dxa"/>
            <w:tcBorders>
              <w:top w:val="single" w:sz="4" w:space="0" w:color="auto"/>
              <w:left w:val="single" w:sz="4" w:space="0" w:color="auto"/>
              <w:bottom w:val="single" w:sz="12" w:space="0" w:color="auto"/>
              <w:right w:val="nil"/>
            </w:tcBorders>
            <w:shd w:val="clear" w:color="auto" w:fill="auto"/>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94 (17%)</w:t>
            </w:r>
          </w:p>
        </w:tc>
        <w:tc>
          <w:tcPr>
            <w:tcW w:w="2000" w:type="dxa"/>
            <w:tcBorders>
              <w:top w:val="single" w:sz="4" w:space="0" w:color="auto"/>
              <w:left w:val="single" w:sz="4" w:space="0" w:color="auto"/>
              <w:bottom w:val="single" w:sz="12"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323 (20%)</w:t>
            </w:r>
          </w:p>
        </w:tc>
        <w:tc>
          <w:tcPr>
            <w:tcW w:w="2285" w:type="dxa"/>
            <w:tcBorders>
              <w:top w:val="single" w:sz="4" w:space="0" w:color="auto"/>
              <w:left w:val="single" w:sz="4" w:space="0" w:color="auto"/>
              <w:bottom w:val="single" w:sz="12"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332 (20%)</w:t>
            </w:r>
          </w:p>
        </w:tc>
        <w:tc>
          <w:tcPr>
            <w:tcW w:w="2142" w:type="dxa"/>
            <w:tcBorders>
              <w:top w:val="single" w:sz="4" w:space="0" w:color="auto"/>
              <w:left w:val="single" w:sz="4" w:space="0" w:color="auto"/>
              <w:bottom w:val="single" w:sz="12"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sz w:val="20"/>
                <w:szCs w:val="20"/>
              </w:rPr>
            </w:pPr>
            <w:r w:rsidRPr="00065ACE">
              <w:rPr>
                <w:rFonts w:eastAsia="Times New Roman" w:cs="Calibri"/>
                <w:sz w:val="20"/>
                <w:szCs w:val="20"/>
              </w:rPr>
              <w:t>655 (20%)</w:t>
            </w:r>
          </w:p>
        </w:tc>
      </w:tr>
    </w:tbl>
    <w:p w:rsidR="00065ACE" w:rsidRPr="00065ACE" w:rsidRDefault="00065ACE" w:rsidP="00065ACE">
      <w:pPr>
        <w:spacing w:before="120" w:after="120" w:line="240" w:lineRule="auto"/>
        <w:ind w:right="34"/>
        <w:rPr>
          <w:rFonts w:eastAsia="Times New Roman" w:cs="Calibri"/>
          <w:sz w:val="22"/>
          <w:szCs w:val="22"/>
          <w:lang w:val="en-US" w:eastAsia="en-AU"/>
        </w:rPr>
        <w:sectPr w:rsidR="00065ACE" w:rsidRPr="00065ACE" w:rsidSect="004B3484">
          <w:pgSz w:w="11907" w:h="16839" w:code="9"/>
          <w:pgMar w:top="393" w:right="426" w:bottom="567" w:left="709" w:header="1" w:footer="0" w:gutter="0"/>
          <w:cols w:space="708"/>
          <w:docGrid w:linePitch="360"/>
        </w:sectPr>
      </w:pPr>
      <w:r w:rsidRPr="00065ACE">
        <w:rPr>
          <w:rFonts w:eastAsia="Times New Roman" w:cs="Calibri"/>
          <w:sz w:val="22"/>
          <w:szCs w:val="22"/>
          <w:lang w:val="en-US" w:eastAsia="en-AU"/>
        </w:rPr>
        <w:t>Indigenous partnership percentages in the bottom row were calculated using the total partnerships by status in the row directly above. For example, 22% of the total active partnerships are Indigenous.</w:t>
      </w:r>
      <w:bookmarkStart w:id="91" w:name="_Toc323901037"/>
    </w:p>
    <w:p w:rsidR="00065ACE" w:rsidRPr="00065ACE" w:rsidRDefault="00065ACE" w:rsidP="00781478">
      <w:pPr>
        <w:pStyle w:val="Heading4"/>
        <w:rPr>
          <w:rFonts w:eastAsia="Times New Roman"/>
        </w:rPr>
      </w:pPr>
      <w:bookmarkStart w:id="92" w:name="_Toc355773764"/>
      <w:r w:rsidRPr="00065ACE">
        <w:rPr>
          <w:rFonts w:eastAsia="Times New Roman"/>
        </w:rPr>
        <w:lastRenderedPageBreak/>
        <w:t>Table G – Active vs. Self-Sustaining Partnerships (WA)</w:t>
      </w:r>
      <w:bookmarkEnd w:id="91"/>
      <w:bookmarkEnd w:id="92"/>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This table shows change in the proportion of partnerships with status active and self-sustaining.</w:t>
      </w:r>
    </w:p>
    <w:p w:rsidR="00065ACE" w:rsidRPr="00065ACE" w:rsidRDefault="00065ACE" w:rsidP="00065ACE">
      <w:pPr>
        <w:spacing w:before="120" w:after="120" w:line="240" w:lineRule="auto"/>
        <w:ind w:right="34"/>
        <w:rPr>
          <w:rFonts w:eastAsia="Times New Roman" w:cs="Calibri"/>
          <w:sz w:val="22"/>
          <w:szCs w:val="22"/>
          <w:lang w:val="en-US"/>
        </w:rPr>
        <w:sectPr w:rsidR="00065ACE" w:rsidRPr="00065ACE" w:rsidSect="004B3484">
          <w:pgSz w:w="11907" w:h="16839" w:code="9"/>
          <w:pgMar w:top="851" w:right="426" w:bottom="567" w:left="709" w:header="1" w:footer="0" w:gutter="0"/>
          <w:cols w:space="708"/>
          <w:docGrid w:linePitch="360"/>
        </w:sectPr>
      </w:pPr>
    </w:p>
    <w:tbl>
      <w:tblPr>
        <w:tblStyle w:val="TableGrid3"/>
        <w:tblW w:w="4897" w:type="dxa"/>
        <w:tblInd w:w="108" w:type="dxa"/>
        <w:tblLook w:val="04A0" w:firstRow="1" w:lastRow="0" w:firstColumn="1" w:lastColumn="0" w:noHBand="0" w:noVBand="1"/>
        <w:tblDescription w:val="Table G - Active vs self-sustaining partnerships (WA)"/>
      </w:tblPr>
      <w:tblGrid>
        <w:gridCol w:w="1701"/>
        <w:gridCol w:w="1597"/>
        <w:gridCol w:w="1599"/>
      </w:tblGrid>
      <w:tr w:rsidR="00065ACE" w:rsidRPr="00065ACE" w:rsidTr="007D5CF1">
        <w:trPr>
          <w:trHeight w:val="744"/>
          <w:tblHeader/>
        </w:trPr>
        <w:tc>
          <w:tcPr>
            <w:tcW w:w="1701" w:type="dxa"/>
            <w:tcBorders>
              <w:top w:val="single" w:sz="12" w:space="0" w:color="auto"/>
              <w:left w:val="single" w:sz="12"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rPr>
                <w:rFonts w:cs="Calibri"/>
                <w:b/>
              </w:rPr>
            </w:pPr>
            <w:r w:rsidRPr="00065ACE">
              <w:rPr>
                <w:rFonts w:cs="Calibri"/>
                <w:b/>
              </w:rPr>
              <w:lastRenderedPageBreak/>
              <w:t>Year (Month)</w:t>
            </w:r>
          </w:p>
        </w:tc>
        <w:tc>
          <w:tcPr>
            <w:tcW w:w="1597" w:type="dxa"/>
            <w:tcBorders>
              <w:top w:val="single" w:sz="12" w:space="0" w:color="auto"/>
              <w:left w:val="single" w:sz="12" w:space="0" w:color="auto"/>
              <w:right w:val="single" w:sz="6" w:space="0" w:color="auto"/>
            </w:tcBorders>
            <w:shd w:val="clear" w:color="auto" w:fill="9F9F9F" w:themeFill="accent5" w:themeFillTint="99"/>
            <w:vAlign w:val="center"/>
          </w:tcPr>
          <w:p w:rsidR="00065ACE" w:rsidRPr="00065ACE" w:rsidRDefault="00065ACE" w:rsidP="00065ACE">
            <w:pPr>
              <w:spacing w:before="120" w:after="120" w:line="240" w:lineRule="auto"/>
              <w:ind w:right="-1"/>
              <w:jc w:val="center"/>
              <w:rPr>
                <w:rFonts w:cs="Calibri"/>
                <w:b/>
                <w:bCs/>
                <w:lang w:val="en-US"/>
              </w:rPr>
            </w:pPr>
            <w:r w:rsidRPr="00065ACE">
              <w:rPr>
                <w:rFonts w:cs="Calibri"/>
                <w:b/>
                <w:bCs/>
                <w:lang w:val="en-US"/>
              </w:rPr>
              <w:t>Active</w:t>
            </w:r>
          </w:p>
        </w:tc>
        <w:tc>
          <w:tcPr>
            <w:tcW w:w="1599" w:type="dxa"/>
            <w:tcBorders>
              <w:top w:val="single" w:sz="12" w:space="0" w:color="auto"/>
              <w:left w:val="single" w:sz="6" w:space="0" w:color="auto"/>
              <w:right w:val="single" w:sz="12" w:space="0" w:color="auto"/>
            </w:tcBorders>
            <w:shd w:val="clear" w:color="auto" w:fill="9F9F9F" w:themeFill="accent5" w:themeFillTint="99"/>
            <w:vAlign w:val="center"/>
          </w:tcPr>
          <w:p w:rsidR="00065ACE" w:rsidRPr="00065ACE" w:rsidRDefault="00065ACE" w:rsidP="00065ACE">
            <w:pPr>
              <w:spacing w:before="120" w:after="120" w:line="240" w:lineRule="auto"/>
              <w:ind w:right="-1"/>
              <w:jc w:val="center"/>
              <w:rPr>
                <w:rFonts w:cs="Calibri"/>
                <w:b/>
                <w:bCs/>
                <w:lang w:val="en-US"/>
              </w:rPr>
            </w:pPr>
            <w:r w:rsidRPr="00065ACE">
              <w:rPr>
                <w:rFonts w:cs="Calibri"/>
                <w:b/>
                <w:bCs/>
                <w:lang w:val="en-US"/>
              </w:rPr>
              <w:t>Self-sustaining</w:t>
            </w:r>
          </w:p>
        </w:tc>
      </w:tr>
      <w:tr w:rsidR="00065ACE" w:rsidRPr="00065ACE" w:rsidTr="004B3484">
        <w:trPr>
          <w:trHeight w:val="510"/>
        </w:trPr>
        <w:tc>
          <w:tcPr>
            <w:tcW w:w="1701" w:type="dxa"/>
            <w:tcBorders>
              <w:top w:val="single" w:sz="12" w:space="0" w:color="auto"/>
              <w:left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rPr>
                <w:rFonts w:cs="Calibri"/>
              </w:rPr>
            </w:pPr>
            <w:r w:rsidRPr="00065ACE">
              <w:rPr>
                <w:rFonts w:cs="Calibri"/>
              </w:rPr>
              <w:t>2011 (April)</w:t>
            </w:r>
          </w:p>
        </w:tc>
        <w:tc>
          <w:tcPr>
            <w:tcW w:w="1597" w:type="dxa"/>
            <w:tcBorders>
              <w:top w:val="single" w:sz="12" w:space="0" w:color="auto"/>
              <w:left w:val="single" w:sz="12" w:space="0" w:color="auto"/>
              <w:right w:val="single" w:sz="6" w:space="0" w:color="auto"/>
            </w:tcBorders>
            <w:vAlign w:val="center"/>
          </w:tcPr>
          <w:p w:rsidR="00065ACE" w:rsidRPr="00065ACE" w:rsidRDefault="00065ACE" w:rsidP="00065ACE">
            <w:pPr>
              <w:spacing w:line="240" w:lineRule="auto"/>
              <w:jc w:val="center"/>
              <w:rPr>
                <w:rFonts w:cs="Calibri"/>
                <w:color w:val="000000"/>
              </w:rPr>
            </w:pPr>
            <w:r w:rsidRPr="00065ACE">
              <w:rPr>
                <w:rFonts w:cs="Calibri"/>
                <w:color w:val="000000"/>
              </w:rPr>
              <w:t>85%</w:t>
            </w:r>
          </w:p>
        </w:tc>
        <w:tc>
          <w:tcPr>
            <w:tcW w:w="1599" w:type="dxa"/>
            <w:tcBorders>
              <w:top w:val="single" w:sz="12" w:space="0" w:color="auto"/>
              <w:left w:val="single" w:sz="6" w:space="0" w:color="auto"/>
              <w:right w:val="single" w:sz="12" w:space="0" w:color="auto"/>
            </w:tcBorders>
            <w:shd w:val="clear" w:color="auto" w:fill="FFFFFF" w:themeFill="background1"/>
            <w:vAlign w:val="center"/>
          </w:tcPr>
          <w:p w:rsidR="00065ACE" w:rsidRPr="00065ACE" w:rsidRDefault="00065ACE" w:rsidP="00065ACE">
            <w:pPr>
              <w:spacing w:line="240" w:lineRule="auto"/>
              <w:jc w:val="center"/>
              <w:rPr>
                <w:rFonts w:cs="Calibri"/>
                <w:color w:val="000000"/>
              </w:rPr>
            </w:pPr>
            <w:r w:rsidRPr="00065ACE">
              <w:rPr>
                <w:rFonts w:cs="Calibri"/>
                <w:color w:val="000000"/>
              </w:rPr>
              <w:t>15%</w:t>
            </w:r>
          </w:p>
        </w:tc>
      </w:tr>
      <w:tr w:rsidR="00065ACE" w:rsidRPr="00065ACE" w:rsidTr="004B3484">
        <w:trPr>
          <w:trHeight w:val="540"/>
        </w:trPr>
        <w:tc>
          <w:tcPr>
            <w:tcW w:w="1701" w:type="dxa"/>
            <w:tcBorders>
              <w:left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rPr>
                <w:rFonts w:cs="Calibri"/>
              </w:rPr>
            </w:pPr>
            <w:r w:rsidRPr="00065ACE">
              <w:rPr>
                <w:rFonts w:cs="Calibri"/>
              </w:rPr>
              <w:t>2011 (September)</w:t>
            </w:r>
          </w:p>
        </w:tc>
        <w:tc>
          <w:tcPr>
            <w:tcW w:w="1597" w:type="dxa"/>
            <w:tcBorders>
              <w:left w:val="single" w:sz="12" w:space="0" w:color="auto"/>
            </w:tcBorders>
            <w:vAlign w:val="center"/>
          </w:tcPr>
          <w:p w:rsidR="00065ACE" w:rsidRPr="00065ACE" w:rsidRDefault="00065ACE" w:rsidP="00065ACE">
            <w:pPr>
              <w:spacing w:line="240" w:lineRule="auto"/>
              <w:jc w:val="center"/>
              <w:rPr>
                <w:rFonts w:cs="Calibri"/>
                <w:color w:val="000000"/>
              </w:rPr>
            </w:pPr>
            <w:r w:rsidRPr="00065ACE">
              <w:rPr>
                <w:rFonts w:cs="Calibri"/>
                <w:color w:val="000000"/>
              </w:rPr>
              <w:t>80%</w:t>
            </w:r>
          </w:p>
        </w:tc>
        <w:tc>
          <w:tcPr>
            <w:tcW w:w="1599" w:type="dxa"/>
            <w:tcBorders>
              <w:right w:val="single" w:sz="12" w:space="0" w:color="auto"/>
            </w:tcBorders>
            <w:shd w:val="clear" w:color="auto" w:fill="FFFFFF" w:themeFill="background1"/>
            <w:vAlign w:val="center"/>
          </w:tcPr>
          <w:p w:rsidR="00065ACE" w:rsidRPr="00065ACE" w:rsidRDefault="00065ACE" w:rsidP="00065ACE">
            <w:pPr>
              <w:spacing w:line="240" w:lineRule="auto"/>
              <w:jc w:val="center"/>
              <w:rPr>
                <w:rFonts w:cs="Calibri"/>
                <w:color w:val="000000"/>
              </w:rPr>
            </w:pPr>
            <w:r w:rsidRPr="00065ACE">
              <w:rPr>
                <w:rFonts w:cs="Calibri"/>
                <w:color w:val="000000"/>
              </w:rPr>
              <w:t>20%</w:t>
            </w:r>
          </w:p>
        </w:tc>
      </w:tr>
      <w:tr w:rsidR="00065ACE" w:rsidRPr="00065ACE" w:rsidTr="004B3484">
        <w:trPr>
          <w:trHeight w:val="540"/>
        </w:trPr>
        <w:tc>
          <w:tcPr>
            <w:tcW w:w="1701" w:type="dxa"/>
            <w:tcBorders>
              <w:left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rPr>
                <w:rFonts w:cs="Calibri"/>
              </w:rPr>
            </w:pPr>
            <w:r w:rsidRPr="00065ACE">
              <w:rPr>
                <w:rFonts w:cs="Calibri"/>
              </w:rPr>
              <w:t>2012 (April)</w:t>
            </w:r>
          </w:p>
        </w:tc>
        <w:tc>
          <w:tcPr>
            <w:tcW w:w="1597" w:type="dxa"/>
            <w:tcBorders>
              <w:left w:val="single" w:sz="12" w:space="0" w:color="auto"/>
            </w:tcBorders>
            <w:vAlign w:val="center"/>
          </w:tcPr>
          <w:p w:rsidR="00065ACE" w:rsidRPr="00065ACE" w:rsidRDefault="00065ACE" w:rsidP="00065ACE">
            <w:pPr>
              <w:spacing w:line="240" w:lineRule="auto"/>
              <w:jc w:val="center"/>
              <w:rPr>
                <w:rFonts w:cs="Calibri"/>
                <w:color w:val="000000"/>
              </w:rPr>
            </w:pPr>
            <w:r w:rsidRPr="00065ACE">
              <w:rPr>
                <w:rFonts w:cs="Calibri"/>
                <w:color w:val="000000"/>
              </w:rPr>
              <w:t>76%</w:t>
            </w:r>
          </w:p>
        </w:tc>
        <w:tc>
          <w:tcPr>
            <w:tcW w:w="1599" w:type="dxa"/>
            <w:tcBorders>
              <w:right w:val="single" w:sz="12" w:space="0" w:color="auto"/>
            </w:tcBorders>
            <w:shd w:val="clear" w:color="auto" w:fill="FFFFFF" w:themeFill="background1"/>
            <w:vAlign w:val="center"/>
          </w:tcPr>
          <w:p w:rsidR="00065ACE" w:rsidRPr="00065ACE" w:rsidRDefault="00065ACE" w:rsidP="00065ACE">
            <w:pPr>
              <w:spacing w:line="240" w:lineRule="auto"/>
              <w:jc w:val="center"/>
              <w:rPr>
                <w:rFonts w:cs="Calibri"/>
                <w:color w:val="000000"/>
              </w:rPr>
            </w:pPr>
            <w:r w:rsidRPr="00065ACE">
              <w:rPr>
                <w:rFonts w:cs="Calibri"/>
                <w:color w:val="000000"/>
              </w:rPr>
              <w:t>24%</w:t>
            </w:r>
          </w:p>
        </w:tc>
      </w:tr>
      <w:tr w:rsidR="00065ACE" w:rsidRPr="00065ACE" w:rsidTr="004B3484">
        <w:trPr>
          <w:trHeight w:val="540"/>
        </w:trPr>
        <w:tc>
          <w:tcPr>
            <w:tcW w:w="1701" w:type="dxa"/>
            <w:tcBorders>
              <w:left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rPr>
                <w:rFonts w:cs="Calibri"/>
              </w:rPr>
            </w:pPr>
            <w:r w:rsidRPr="00065ACE">
              <w:rPr>
                <w:rFonts w:cs="Calibri"/>
              </w:rPr>
              <w:t>2012 (September)</w:t>
            </w:r>
          </w:p>
        </w:tc>
        <w:tc>
          <w:tcPr>
            <w:tcW w:w="1597" w:type="dxa"/>
            <w:tcBorders>
              <w:left w:val="single" w:sz="12" w:space="0" w:color="auto"/>
            </w:tcBorders>
            <w:vAlign w:val="center"/>
          </w:tcPr>
          <w:p w:rsidR="00065ACE" w:rsidRPr="00065ACE" w:rsidRDefault="00065ACE" w:rsidP="00065ACE">
            <w:pPr>
              <w:spacing w:line="240" w:lineRule="auto"/>
              <w:jc w:val="center"/>
              <w:rPr>
                <w:rFonts w:cs="Calibri"/>
                <w:color w:val="000000"/>
              </w:rPr>
            </w:pPr>
            <w:r w:rsidRPr="00065ACE">
              <w:rPr>
                <w:rFonts w:cs="Calibri"/>
                <w:color w:val="000000"/>
              </w:rPr>
              <w:t>77%</w:t>
            </w:r>
          </w:p>
        </w:tc>
        <w:tc>
          <w:tcPr>
            <w:tcW w:w="1599" w:type="dxa"/>
            <w:tcBorders>
              <w:right w:val="single" w:sz="12" w:space="0" w:color="auto"/>
            </w:tcBorders>
            <w:shd w:val="clear" w:color="auto" w:fill="FFFFFF" w:themeFill="background1"/>
            <w:vAlign w:val="center"/>
          </w:tcPr>
          <w:p w:rsidR="00065ACE" w:rsidRPr="00065ACE" w:rsidRDefault="00065ACE" w:rsidP="00065ACE">
            <w:pPr>
              <w:spacing w:line="240" w:lineRule="auto"/>
              <w:jc w:val="center"/>
              <w:rPr>
                <w:rFonts w:cs="Calibri"/>
                <w:color w:val="000000"/>
              </w:rPr>
            </w:pPr>
            <w:r w:rsidRPr="00065ACE">
              <w:rPr>
                <w:rFonts w:cs="Calibri"/>
                <w:color w:val="000000"/>
              </w:rPr>
              <w:t>23%</w:t>
            </w:r>
          </w:p>
        </w:tc>
      </w:tr>
      <w:tr w:rsidR="00065ACE" w:rsidRPr="00065ACE" w:rsidTr="004B3484">
        <w:trPr>
          <w:trHeight w:val="540"/>
        </w:trPr>
        <w:tc>
          <w:tcPr>
            <w:tcW w:w="1701" w:type="dxa"/>
            <w:tcBorders>
              <w:left w:val="single" w:sz="12" w:space="0" w:color="auto"/>
              <w:bottom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rPr>
                <w:rFonts w:cs="Calibri"/>
              </w:rPr>
            </w:pPr>
            <w:r w:rsidRPr="00065ACE">
              <w:rPr>
                <w:rFonts w:cs="Calibri"/>
              </w:rPr>
              <w:t>2013 (April)</w:t>
            </w:r>
          </w:p>
        </w:tc>
        <w:tc>
          <w:tcPr>
            <w:tcW w:w="1597" w:type="dxa"/>
            <w:tcBorders>
              <w:left w:val="single" w:sz="12" w:space="0" w:color="auto"/>
              <w:bottom w:val="single" w:sz="12" w:space="0" w:color="auto"/>
            </w:tcBorders>
            <w:vAlign w:val="center"/>
          </w:tcPr>
          <w:p w:rsidR="00065ACE" w:rsidRPr="00065ACE" w:rsidRDefault="00065ACE" w:rsidP="00065ACE">
            <w:pPr>
              <w:spacing w:line="240" w:lineRule="auto"/>
              <w:jc w:val="center"/>
              <w:rPr>
                <w:rFonts w:cs="Calibri"/>
                <w:color w:val="000000"/>
              </w:rPr>
            </w:pPr>
            <w:r w:rsidRPr="00065ACE">
              <w:rPr>
                <w:rFonts w:cs="Calibri"/>
                <w:color w:val="000000"/>
              </w:rPr>
              <w:t>66%</w:t>
            </w:r>
          </w:p>
        </w:tc>
        <w:tc>
          <w:tcPr>
            <w:tcW w:w="1599" w:type="dxa"/>
            <w:tcBorders>
              <w:bottom w:val="single" w:sz="12" w:space="0" w:color="auto"/>
              <w:right w:val="single" w:sz="12" w:space="0" w:color="auto"/>
            </w:tcBorders>
            <w:shd w:val="clear" w:color="auto" w:fill="FFFFFF" w:themeFill="background1"/>
            <w:vAlign w:val="center"/>
          </w:tcPr>
          <w:p w:rsidR="00065ACE" w:rsidRPr="00065ACE" w:rsidRDefault="00065ACE" w:rsidP="00065ACE">
            <w:pPr>
              <w:spacing w:line="240" w:lineRule="auto"/>
              <w:jc w:val="center"/>
              <w:rPr>
                <w:rFonts w:cs="Calibri"/>
                <w:color w:val="000000"/>
              </w:rPr>
            </w:pPr>
            <w:r w:rsidRPr="00065ACE">
              <w:rPr>
                <w:rFonts w:cs="Calibri"/>
                <w:color w:val="000000"/>
              </w:rPr>
              <w:t>34%</w:t>
            </w:r>
          </w:p>
        </w:tc>
      </w:tr>
    </w:tbl>
    <w:p w:rsidR="00065ACE" w:rsidRPr="00065ACE" w:rsidRDefault="00065ACE" w:rsidP="00065ACE">
      <w:pPr>
        <w:spacing w:before="120" w:after="120" w:line="240" w:lineRule="auto"/>
        <w:ind w:right="34"/>
        <w:rPr>
          <w:rFonts w:eastAsia="Times New Roman" w:cs="Calibri"/>
          <w:sz w:val="22"/>
          <w:szCs w:val="22"/>
          <w:lang w:val="en-US"/>
        </w:rPr>
        <w:sectPr w:rsidR="00065ACE" w:rsidRPr="00065ACE" w:rsidSect="004B3484">
          <w:type w:val="continuous"/>
          <w:pgSz w:w="11907" w:h="16839" w:code="9"/>
          <w:pgMar w:top="851" w:right="1275" w:bottom="567" w:left="709" w:header="1" w:footer="0" w:gutter="0"/>
          <w:cols w:num="2" w:space="708"/>
          <w:docGrid w:linePitch="360"/>
        </w:sectPr>
      </w:pPr>
      <w:r w:rsidRPr="00065ACE">
        <w:rPr>
          <w:rFonts w:eastAsia="Times New Roman" w:cs="Calibri"/>
          <w:noProof/>
          <w:sz w:val="22"/>
          <w:szCs w:val="22"/>
          <w:lang w:eastAsia="en-AU"/>
        </w:rPr>
        <w:drawing>
          <wp:anchor distT="0" distB="0" distL="114300" distR="114300" simplePos="0" relativeHeight="251659264" behindDoc="0" locked="0" layoutInCell="1" allowOverlap="1" wp14:anchorId="70BC03F9" wp14:editId="77F15107">
            <wp:simplePos x="0" y="0"/>
            <wp:positionH relativeFrom="column">
              <wp:posOffset>3378835</wp:posOffset>
            </wp:positionH>
            <wp:positionV relativeFrom="paragraph">
              <wp:posOffset>-2169795</wp:posOffset>
            </wp:positionV>
            <wp:extent cx="3267075" cy="2247900"/>
            <wp:effectExtent l="0" t="0" r="9525" b="19050"/>
            <wp:wrapNone/>
            <wp:docPr id="9" name="Chart 9" descr="This Chart provides a graphical representation of the data which appears in the Table G - Active Vs Self Sustaining Partnerships (WA)."/>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r w:rsidRPr="00065ACE">
        <w:rPr>
          <w:rFonts w:eastAsia="Times New Roman" w:cs="Calibri"/>
          <w:sz w:val="22"/>
          <w:szCs w:val="22"/>
          <w:lang w:val="en-US"/>
        </w:rPr>
        <w:br w:type="column"/>
      </w:r>
    </w:p>
    <w:p w:rsidR="00065ACE" w:rsidRPr="00065ACE" w:rsidRDefault="00065ACE" w:rsidP="00065ACE">
      <w:pPr>
        <w:spacing w:before="240" w:line="240" w:lineRule="auto"/>
        <w:outlineLvl w:val="2"/>
        <w:rPr>
          <w:rFonts w:eastAsia="Times New Roman" w:cs="Calibri"/>
          <w:b/>
          <w:sz w:val="22"/>
          <w:szCs w:val="22"/>
        </w:rPr>
      </w:pPr>
      <w:bookmarkStart w:id="93" w:name="_Toc323901038"/>
      <w:bookmarkStart w:id="94" w:name="_Toc355773765"/>
    </w:p>
    <w:p w:rsidR="00065ACE" w:rsidRPr="00065ACE" w:rsidRDefault="00065ACE" w:rsidP="00781478">
      <w:pPr>
        <w:pStyle w:val="Heading4"/>
        <w:rPr>
          <w:rFonts w:eastAsia="Times New Roman"/>
        </w:rPr>
      </w:pPr>
      <w:r w:rsidRPr="00065ACE">
        <w:rPr>
          <w:rFonts w:eastAsia="Times New Roman"/>
        </w:rPr>
        <w:t>Table H – Number of Partnerships by Partnership Category</w:t>
      </w:r>
      <w:bookmarkEnd w:id="93"/>
      <w:bookmarkEnd w:id="94"/>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This table shows the category of partnerships. </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Please see below for descriptions of the different partnership category options:</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Brokered Partnership:</w:t>
      </w:r>
      <w:r w:rsidRPr="00065ACE">
        <w:rPr>
          <w:rFonts w:eastAsia="Times New Roman" w:cs="Calibri"/>
          <w:sz w:val="22"/>
          <w:szCs w:val="22"/>
          <w:lang w:val="en-US"/>
        </w:rPr>
        <w:t xml:space="preserve"> A brokered partnership is any ‘new’ partnership that is established or created with support from the Partnership Broker.</w:t>
      </w: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Pre-existing Partnership:</w:t>
      </w:r>
      <w:r w:rsidRPr="00065ACE">
        <w:rPr>
          <w:rFonts w:eastAsia="Times New Roman" w:cs="Calibri"/>
          <w:sz w:val="22"/>
          <w:szCs w:val="22"/>
          <w:lang w:val="en-US"/>
        </w:rPr>
        <w:t xml:space="preserve"> A pre-existing partnership is a previously established partnership that is being enhanced with the support of the Partnership Broker. </w:t>
      </w:r>
    </w:p>
    <w:p w:rsidR="00065ACE" w:rsidRPr="00065ACE" w:rsidRDefault="00065ACE" w:rsidP="00065ACE">
      <w:pPr>
        <w:spacing w:before="120" w:after="120" w:line="240" w:lineRule="auto"/>
        <w:ind w:right="34"/>
        <w:rPr>
          <w:rFonts w:eastAsia="Times New Roman" w:cs="Calibri"/>
          <w:sz w:val="22"/>
          <w:szCs w:val="22"/>
          <w:lang w:val="en-US"/>
        </w:rPr>
      </w:pPr>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b/>
          <w:sz w:val="22"/>
          <w:szCs w:val="22"/>
          <w:lang w:val="en-US"/>
        </w:rPr>
        <w:t>Note:</w:t>
      </w:r>
      <w:r w:rsidRPr="00065ACE">
        <w:rPr>
          <w:rFonts w:eastAsia="Times New Roman" w:cs="Calibri"/>
          <w:sz w:val="22"/>
          <w:szCs w:val="22"/>
          <w:lang w:val="en-US"/>
        </w:rPr>
        <w:t xml:space="preserve"> this data includes partnerships with status active, self-sustaining, draft, inactive and terminated. National figures do not include Victoria.</w:t>
      </w:r>
    </w:p>
    <w:p w:rsidR="00065ACE" w:rsidRPr="00065ACE" w:rsidRDefault="00065ACE" w:rsidP="00065ACE">
      <w:pPr>
        <w:spacing w:before="120" w:after="120" w:line="240" w:lineRule="auto"/>
        <w:ind w:right="34"/>
        <w:rPr>
          <w:rFonts w:eastAsia="Times New Roman" w:cs="Calibri"/>
          <w:sz w:val="22"/>
          <w:szCs w:val="22"/>
          <w:lang w:val="en-US"/>
        </w:rPr>
      </w:pPr>
    </w:p>
    <w:p w:rsidR="00065ACE" w:rsidRPr="00065ACE" w:rsidRDefault="00065ACE" w:rsidP="00781478">
      <w:pPr>
        <w:pStyle w:val="Heading4"/>
        <w:spacing w:after="120"/>
        <w:rPr>
          <w:rFonts w:eastAsia="Times New Roman"/>
          <w:lang w:eastAsia="en-AU"/>
        </w:rPr>
      </w:pPr>
      <w:r w:rsidRPr="00065ACE">
        <w:rPr>
          <w:rFonts w:eastAsia="Times New Roman"/>
          <w:lang w:eastAsia="en-AU"/>
        </w:rPr>
        <w:t>Table H – Number of Partnerships by Partnership Category (WA)</w:t>
      </w:r>
    </w:p>
    <w:tbl>
      <w:tblPr>
        <w:tblW w:w="10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20" w:firstRow="1" w:lastRow="0" w:firstColumn="0" w:lastColumn="0" w:noHBand="0" w:noVBand="0"/>
      </w:tblPr>
      <w:tblGrid>
        <w:gridCol w:w="2079"/>
        <w:gridCol w:w="1559"/>
        <w:gridCol w:w="1701"/>
        <w:gridCol w:w="1654"/>
        <w:gridCol w:w="1701"/>
        <w:gridCol w:w="1606"/>
      </w:tblGrid>
      <w:tr w:rsidR="00065ACE" w:rsidRPr="00065ACE" w:rsidTr="004B3484">
        <w:trPr>
          <w:trHeight w:val="390"/>
          <w:tblHeader/>
        </w:trPr>
        <w:tc>
          <w:tcPr>
            <w:tcW w:w="2079" w:type="dxa"/>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Number of Pre-Existing Partnerships (WA)</w:t>
            </w:r>
          </w:p>
        </w:tc>
        <w:tc>
          <w:tcPr>
            <w:tcW w:w="1559" w:type="dxa"/>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Percentage of Pre-Existing Partnerships (WA)</w:t>
            </w:r>
          </w:p>
        </w:tc>
        <w:tc>
          <w:tcPr>
            <w:tcW w:w="1701" w:type="dxa"/>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Number of Brokered Partnerships (WA)</w:t>
            </w:r>
          </w:p>
        </w:tc>
        <w:tc>
          <w:tcPr>
            <w:tcW w:w="1654" w:type="dxa"/>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Percentage of Brokered Partnerships (WA)</w:t>
            </w:r>
          </w:p>
        </w:tc>
        <w:tc>
          <w:tcPr>
            <w:tcW w:w="1701" w:type="dxa"/>
            <w:tcBorders>
              <w:bottom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Partnerships (WA)</w:t>
            </w:r>
          </w:p>
        </w:tc>
        <w:tc>
          <w:tcPr>
            <w:tcW w:w="1606" w:type="dxa"/>
            <w:tcBorders>
              <w:bottom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Percentage of Partnerships (WA)</w:t>
            </w:r>
          </w:p>
        </w:tc>
      </w:tr>
      <w:tr w:rsidR="00065ACE" w:rsidRPr="00065ACE" w:rsidTr="004B3484">
        <w:trPr>
          <w:trHeight w:val="460"/>
          <w:tblHeader/>
        </w:trPr>
        <w:tc>
          <w:tcPr>
            <w:tcW w:w="2079" w:type="dxa"/>
            <w:shd w:val="clear" w:color="auto" w:fill="auto"/>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68</w:t>
            </w:r>
          </w:p>
        </w:tc>
        <w:tc>
          <w:tcPr>
            <w:tcW w:w="1559" w:type="dxa"/>
            <w:shd w:val="clear" w:color="auto" w:fill="auto"/>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(16%)</w:t>
            </w:r>
          </w:p>
        </w:tc>
        <w:tc>
          <w:tcPr>
            <w:tcW w:w="1701" w:type="dxa"/>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347</w:t>
            </w:r>
          </w:p>
        </w:tc>
        <w:tc>
          <w:tcPr>
            <w:tcW w:w="1654" w:type="dxa"/>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(84%)</w:t>
            </w:r>
          </w:p>
        </w:tc>
        <w:tc>
          <w:tcPr>
            <w:tcW w:w="1701" w:type="dxa"/>
            <w:shd w:val="clear" w:color="auto" w:fill="FFFFFF" w:themeFill="background1"/>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415</w:t>
            </w:r>
          </w:p>
        </w:tc>
        <w:tc>
          <w:tcPr>
            <w:tcW w:w="1606" w:type="dxa"/>
            <w:shd w:val="clear" w:color="auto" w:fill="FFFFFF" w:themeFill="background1"/>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(100%)</w:t>
            </w:r>
          </w:p>
        </w:tc>
      </w:tr>
    </w:tbl>
    <w:p w:rsidR="00065ACE" w:rsidRPr="00065ACE" w:rsidRDefault="00065ACE" w:rsidP="00065ACE">
      <w:pPr>
        <w:spacing w:line="240" w:lineRule="auto"/>
        <w:rPr>
          <w:rFonts w:ascii="Times New Roman" w:eastAsia="Times New Roman" w:hAnsi="Times New Roman"/>
          <w:szCs w:val="20"/>
        </w:rPr>
      </w:pPr>
    </w:p>
    <w:p w:rsidR="00065ACE" w:rsidRPr="00065ACE" w:rsidRDefault="00065ACE" w:rsidP="00781478">
      <w:pPr>
        <w:pStyle w:val="Heading4"/>
        <w:spacing w:after="120"/>
        <w:rPr>
          <w:rFonts w:eastAsia="Times New Roman"/>
          <w:lang w:eastAsia="en-AU"/>
        </w:rPr>
      </w:pPr>
      <w:r w:rsidRPr="00065ACE">
        <w:rPr>
          <w:rFonts w:eastAsia="Times New Roman"/>
          <w:lang w:eastAsia="en-AU"/>
        </w:rPr>
        <w:t>Table H – Number of Partnerships by Partnership Category Nationally</w:t>
      </w:r>
    </w:p>
    <w:tbl>
      <w:tblPr>
        <w:tblW w:w="10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20" w:firstRow="1" w:lastRow="0" w:firstColumn="0" w:lastColumn="0" w:noHBand="0" w:noVBand="0"/>
      </w:tblPr>
      <w:tblGrid>
        <w:gridCol w:w="2079"/>
        <w:gridCol w:w="1559"/>
        <w:gridCol w:w="1701"/>
        <w:gridCol w:w="1654"/>
        <w:gridCol w:w="1701"/>
        <w:gridCol w:w="1606"/>
      </w:tblGrid>
      <w:tr w:rsidR="00065ACE" w:rsidRPr="00065ACE" w:rsidTr="004B3484">
        <w:trPr>
          <w:trHeight w:val="390"/>
          <w:tblHeader/>
        </w:trPr>
        <w:tc>
          <w:tcPr>
            <w:tcW w:w="2079" w:type="dxa"/>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Number of Pre-Existing Partnerships Nationally</w:t>
            </w:r>
          </w:p>
        </w:tc>
        <w:tc>
          <w:tcPr>
            <w:tcW w:w="1559" w:type="dxa"/>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Percentage of Pre-Existing Partnerships Nationally</w:t>
            </w:r>
          </w:p>
        </w:tc>
        <w:tc>
          <w:tcPr>
            <w:tcW w:w="1701" w:type="dxa"/>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Number of Brokered Partnerships Nationally</w:t>
            </w:r>
          </w:p>
        </w:tc>
        <w:tc>
          <w:tcPr>
            <w:tcW w:w="1654" w:type="dxa"/>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Percentage of Brokered Partnerships Nationally</w:t>
            </w:r>
          </w:p>
        </w:tc>
        <w:tc>
          <w:tcPr>
            <w:tcW w:w="1701" w:type="dxa"/>
            <w:tcBorders>
              <w:bottom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Number of Partnerships Nationally</w:t>
            </w:r>
          </w:p>
        </w:tc>
        <w:tc>
          <w:tcPr>
            <w:tcW w:w="1606" w:type="dxa"/>
            <w:tcBorders>
              <w:bottom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Total Percentage of Partnerships Nationally</w:t>
            </w:r>
          </w:p>
        </w:tc>
      </w:tr>
      <w:tr w:rsidR="00065ACE" w:rsidRPr="00065ACE" w:rsidTr="004B3484">
        <w:trPr>
          <w:trHeight w:val="460"/>
          <w:tblHeader/>
        </w:trPr>
        <w:tc>
          <w:tcPr>
            <w:tcW w:w="2079" w:type="dxa"/>
            <w:shd w:val="clear" w:color="auto" w:fill="auto"/>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465</w:t>
            </w:r>
          </w:p>
        </w:tc>
        <w:tc>
          <w:tcPr>
            <w:tcW w:w="1559" w:type="dxa"/>
            <w:shd w:val="clear" w:color="auto" w:fill="auto"/>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(14%)</w:t>
            </w:r>
          </w:p>
        </w:tc>
        <w:tc>
          <w:tcPr>
            <w:tcW w:w="1701" w:type="dxa"/>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2802</w:t>
            </w:r>
          </w:p>
        </w:tc>
        <w:tc>
          <w:tcPr>
            <w:tcW w:w="1654" w:type="dxa"/>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(86%)</w:t>
            </w:r>
          </w:p>
        </w:tc>
        <w:tc>
          <w:tcPr>
            <w:tcW w:w="1701" w:type="dxa"/>
            <w:shd w:val="clear" w:color="auto" w:fill="FFFFFF" w:themeFill="background1"/>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3267</w:t>
            </w:r>
          </w:p>
        </w:tc>
        <w:tc>
          <w:tcPr>
            <w:tcW w:w="1606" w:type="dxa"/>
            <w:shd w:val="clear" w:color="auto" w:fill="FFFFFF" w:themeFill="background1"/>
            <w:vAlign w:val="center"/>
          </w:tcPr>
          <w:p w:rsidR="00065ACE" w:rsidRPr="00065ACE" w:rsidRDefault="00065ACE" w:rsidP="00065ACE">
            <w:pPr>
              <w:spacing w:line="240" w:lineRule="auto"/>
              <w:jc w:val="center"/>
              <w:rPr>
                <w:rFonts w:eastAsia="Times New Roman" w:cs="Calibri"/>
                <w:color w:val="000000"/>
                <w:sz w:val="20"/>
                <w:szCs w:val="20"/>
                <w:lang w:eastAsia="en-AU"/>
              </w:rPr>
            </w:pPr>
            <w:r w:rsidRPr="00065ACE">
              <w:rPr>
                <w:rFonts w:eastAsia="Times New Roman" w:cs="Calibri"/>
                <w:color w:val="000000"/>
                <w:sz w:val="20"/>
                <w:szCs w:val="20"/>
              </w:rPr>
              <w:t>(100%)</w:t>
            </w:r>
          </w:p>
        </w:tc>
      </w:tr>
    </w:tbl>
    <w:p w:rsidR="00065ACE" w:rsidRPr="00065ACE" w:rsidRDefault="00065ACE" w:rsidP="00065ACE">
      <w:pPr>
        <w:spacing w:before="120" w:after="120" w:line="240" w:lineRule="auto"/>
        <w:ind w:right="34"/>
        <w:rPr>
          <w:rFonts w:eastAsia="Times New Roman" w:cs="Calibri"/>
          <w:sz w:val="22"/>
          <w:szCs w:val="22"/>
          <w:lang w:val="en-US"/>
        </w:rPr>
      </w:pPr>
    </w:p>
    <w:p w:rsidR="00065ACE" w:rsidRPr="00065ACE" w:rsidRDefault="00065ACE" w:rsidP="00065ACE">
      <w:pPr>
        <w:spacing w:before="120" w:after="120" w:line="240" w:lineRule="auto"/>
        <w:ind w:right="34"/>
        <w:rPr>
          <w:rFonts w:eastAsia="Times New Roman" w:cs="Calibri"/>
          <w:sz w:val="22"/>
          <w:szCs w:val="22"/>
          <w:lang w:val="en-US"/>
        </w:rPr>
      </w:pPr>
    </w:p>
    <w:p w:rsidR="00065ACE" w:rsidRPr="00065ACE" w:rsidRDefault="00065ACE" w:rsidP="00065ACE">
      <w:pPr>
        <w:spacing w:line="240" w:lineRule="auto"/>
        <w:rPr>
          <w:rFonts w:ascii="Times New Roman" w:eastAsia="Times New Roman" w:hAnsi="Times New Roman"/>
          <w:szCs w:val="20"/>
        </w:rPr>
        <w:sectPr w:rsidR="00065ACE" w:rsidRPr="00065ACE" w:rsidSect="004B3484">
          <w:type w:val="continuous"/>
          <w:pgSz w:w="11907" w:h="16839" w:code="9"/>
          <w:pgMar w:top="851" w:right="426" w:bottom="567" w:left="709" w:header="1" w:footer="0" w:gutter="0"/>
          <w:cols w:space="708"/>
          <w:docGrid w:linePitch="360"/>
        </w:sectPr>
      </w:pPr>
    </w:p>
    <w:p w:rsidR="00065ACE" w:rsidRPr="00065ACE" w:rsidRDefault="00065ACE" w:rsidP="00781478">
      <w:pPr>
        <w:pStyle w:val="Heading4"/>
        <w:rPr>
          <w:rFonts w:eastAsia="Times New Roman"/>
          <w:lang w:eastAsia="en-AU"/>
        </w:rPr>
      </w:pPr>
      <w:bookmarkStart w:id="95" w:name="_Toc292696796"/>
      <w:bookmarkStart w:id="96" w:name="_Toc323901039"/>
      <w:bookmarkStart w:id="97" w:name="_Toc355773766"/>
      <w:r w:rsidRPr="00065ACE">
        <w:rPr>
          <w:rFonts w:eastAsia="Times New Roman"/>
        </w:rPr>
        <w:lastRenderedPageBreak/>
        <w:t>Table I – Key Performance Measure (</w:t>
      </w:r>
      <w:proofErr w:type="spellStart"/>
      <w:r w:rsidRPr="00065ACE">
        <w:rPr>
          <w:rFonts w:eastAsia="Times New Roman"/>
        </w:rPr>
        <w:t>KPM</w:t>
      </w:r>
      <w:proofErr w:type="spellEnd"/>
      <w:r w:rsidRPr="00065ACE">
        <w:rPr>
          <w:rFonts w:eastAsia="Times New Roman"/>
        </w:rPr>
        <w:t xml:space="preserve">) Evaluation Ratings </w:t>
      </w:r>
      <w:r w:rsidRPr="00065ACE">
        <w:rPr>
          <w:rFonts w:eastAsia="Times New Roman"/>
          <w:lang w:eastAsia="en-AU"/>
        </w:rPr>
        <w:t>(data as at 2 April)</w:t>
      </w:r>
      <w:bookmarkEnd w:id="95"/>
      <w:bookmarkEnd w:id="96"/>
      <w:bookmarkEnd w:id="97"/>
    </w:p>
    <w:p w:rsidR="00065ACE" w:rsidRPr="00065ACE" w:rsidRDefault="00065ACE" w:rsidP="00065ACE">
      <w:pPr>
        <w:spacing w:before="120" w:after="120" w:line="240" w:lineRule="auto"/>
        <w:ind w:right="34"/>
        <w:rPr>
          <w:rFonts w:eastAsia="Times New Roman" w:cs="Calibri"/>
          <w:sz w:val="22"/>
          <w:szCs w:val="22"/>
          <w:lang w:val="en-US"/>
        </w:rPr>
      </w:pPr>
      <w:r w:rsidRPr="00065ACE">
        <w:rPr>
          <w:rFonts w:eastAsia="Times New Roman" w:cs="Calibri"/>
          <w:sz w:val="22"/>
          <w:szCs w:val="22"/>
          <w:lang w:val="en-US"/>
        </w:rPr>
        <w:t xml:space="preserve">These tables show the number of times each </w:t>
      </w:r>
      <w:proofErr w:type="spellStart"/>
      <w:r w:rsidRPr="00065ACE">
        <w:rPr>
          <w:rFonts w:eastAsia="Times New Roman" w:cs="Calibri"/>
          <w:sz w:val="22"/>
          <w:szCs w:val="22"/>
          <w:lang w:val="en-US"/>
        </w:rPr>
        <w:t>KPM</w:t>
      </w:r>
      <w:proofErr w:type="spellEnd"/>
      <w:r w:rsidRPr="00065ACE">
        <w:rPr>
          <w:rFonts w:eastAsia="Times New Roman" w:cs="Calibri"/>
          <w:sz w:val="22"/>
          <w:szCs w:val="22"/>
          <w:lang w:val="en-US"/>
        </w:rPr>
        <w:t xml:space="preserve"> evaluation value (e.g. 1, 2, 3, 4, 5) have been selected, based on the latest evaluation rating recorded in the system (YATMIS). Each evaluation value maps to a descriptor of the progress a partnership has made against a particular </w:t>
      </w:r>
      <w:proofErr w:type="spellStart"/>
      <w:r w:rsidRPr="00065ACE">
        <w:rPr>
          <w:rFonts w:eastAsia="Times New Roman" w:cs="Calibri"/>
          <w:sz w:val="22"/>
          <w:szCs w:val="22"/>
          <w:lang w:val="en-US"/>
        </w:rPr>
        <w:t>KPM</w:t>
      </w:r>
      <w:proofErr w:type="spellEnd"/>
      <w:r w:rsidRPr="00065ACE">
        <w:rPr>
          <w:rFonts w:eastAsia="Times New Roman" w:cs="Calibri"/>
          <w:sz w:val="22"/>
          <w:szCs w:val="22"/>
          <w:lang w:val="en-US"/>
        </w:rPr>
        <w:t xml:space="preserve">. The values and their corresponding descriptors are outlined below: </w:t>
      </w:r>
    </w:p>
    <w:p w:rsidR="00065ACE" w:rsidRPr="00065ACE" w:rsidRDefault="00065ACE" w:rsidP="00065ACE">
      <w:pPr>
        <w:spacing w:before="120" w:after="120" w:line="240" w:lineRule="auto"/>
        <w:ind w:right="34"/>
        <w:rPr>
          <w:rFonts w:eastAsia="Times New Roman" w:cs="Calibri"/>
          <w:b/>
          <w:sz w:val="22"/>
          <w:szCs w:val="22"/>
          <w:lang w:val="en-US"/>
        </w:rPr>
      </w:pPr>
      <w:r w:rsidRPr="00065ACE">
        <w:rPr>
          <w:rFonts w:eastAsia="Times New Roman" w:cs="Calibri"/>
          <w:b/>
          <w:sz w:val="22"/>
          <w:szCs w:val="22"/>
          <w:lang w:val="en-US"/>
        </w:rPr>
        <w:t xml:space="preserve">1 = </w:t>
      </w:r>
      <w:r w:rsidRPr="00065ACE">
        <w:rPr>
          <w:rFonts w:eastAsia="Times New Roman" w:cs="Calibri"/>
          <w:sz w:val="22"/>
          <w:szCs w:val="22"/>
          <w:lang w:val="en-US"/>
        </w:rPr>
        <w:t>Limited</w:t>
      </w:r>
      <w:r w:rsidRPr="00065ACE">
        <w:rPr>
          <w:rFonts w:eastAsia="Times New Roman" w:cs="Calibri"/>
          <w:b/>
          <w:sz w:val="22"/>
          <w:szCs w:val="22"/>
          <w:lang w:val="en-US"/>
        </w:rPr>
        <w:tab/>
        <w:t xml:space="preserve">2 = </w:t>
      </w:r>
      <w:r w:rsidRPr="00065ACE">
        <w:rPr>
          <w:rFonts w:eastAsia="Times New Roman" w:cs="Calibri"/>
          <w:sz w:val="22"/>
          <w:szCs w:val="22"/>
          <w:lang w:val="en-US"/>
        </w:rPr>
        <w:t>Some Progress</w:t>
      </w:r>
      <w:r w:rsidRPr="00065ACE">
        <w:rPr>
          <w:rFonts w:eastAsia="Times New Roman" w:cs="Calibri"/>
          <w:b/>
          <w:sz w:val="22"/>
          <w:szCs w:val="22"/>
          <w:lang w:val="en-US"/>
        </w:rPr>
        <w:t xml:space="preserve"> </w:t>
      </w:r>
      <w:r w:rsidRPr="00065ACE">
        <w:rPr>
          <w:rFonts w:eastAsia="Times New Roman" w:cs="Calibri"/>
          <w:b/>
          <w:sz w:val="22"/>
          <w:szCs w:val="22"/>
          <w:lang w:val="en-US"/>
        </w:rPr>
        <w:tab/>
        <w:t xml:space="preserve">3 = </w:t>
      </w:r>
      <w:r w:rsidRPr="00065ACE">
        <w:rPr>
          <w:rFonts w:eastAsia="Times New Roman" w:cs="Calibri"/>
          <w:sz w:val="22"/>
          <w:szCs w:val="22"/>
          <w:lang w:val="en-US"/>
        </w:rPr>
        <w:t>Satisfactory</w:t>
      </w:r>
      <w:r w:rsidRPr="00065ACE">
        <w:rPr>
          <w:rFonts w:eastAsia="Times New Roman" w:cs="Calibri"/>
          <w:sz w:val="22"/>
          <w:szCs w:val="22"/>
          <w:lang w:val="en-US"/>
        </w:rPr>
        <w:tab/>
      </w:r>
      <w:r w:rsidRPr="00065ACE">
        <w:rPr>
          <w:rFonts w:eastAsia="Times New Roman" w:cs="Calibri"/>
          <w:b/>
          <w:sz w:val="22"/>
          <w:szCs w:val="22"/>
          <w:lang w:val="en-US"/>
        </w:rPr>
        <w:tab/>
        <w:t xml:space="preserve">4 = </w:t>
      </w:r>
      <w:r w:rsidRPr="00065ACE">
        <w:rPr>
          <w:rFonts w:eastAsia="Times New Roman" w:cs="Calibri"/>
          <w:sz w:val="22"/>
          <w:szCs w:val="22"/>
          <w:lang w:val="en-US"/>
        </w:rPr>
        <w:t>Considerable Progress</w:t>
      </w:r>
      <w:r w:rsidRPr="00065ACE">
        <w:rPr>
          <w:rFonts w:eastAsia="Times New Roman" w:cs="Calibri"/>
          <w:sz w:val="22"/>
          <w:szCs w:val="22"/>
          <w:lang w:val="en-US"/>
        </w:rPr>
        <w:tab/>
      </w:r>
      <w:r w:rsidRPr="00065ACE">
        <w:rPr>
          <w:rFonts w:eastAsia="Times New Roman" w:cs="Calibri"/>
          <w:b/>
          <w:sz w:val="22"/>
          <w:szCs w:val="22"/>
          <w:lang w:val="en-US"/>
        </w:rPr>
        <w:t xml:space="preserve">5 = </w:t>
      </w:r>
      <w:r w:rsidRPr="00065ACE">
        <w:rPr>
          <w:rFonts w:eastAsia="Times New Roman" w:cs="Calibri"/>
          <w:sz w:val="22"/>
          <w:szCs w:val="22"/>
          <w:lang w:val="en-US"/>
        </w:rPr>
        <w:t>Achieved</w:t>
      </w:r>
    </w:p>
    <w:p w:rsidR="00065ACE" w:rsidRPr="00065ACE" w:rsidRDefault="00065ACE" w:rsidP="00065ACE">
      <w:pPr>
        <w:spacing w:before="120" w:after="120" w:line="240" w:lineRule="auto"/>
        <w:ind w:right="34"/>
        <w:rPr>
          <w:rFonts w:eastAsia="Times New Roman" w:cs="Calibri"/>
          <w:sz w:val="22"/>
          <w:szCs w:val="22"/>
          <w:lang w:val="en-US"/>
        </w:rPr>
        <w:sectPr w:rsidR="00065ACE" w:rsidRPr="00065ACE" w:rsidSect="004B3484">
          <w:pgSz w:w="11907" w:h="16839" w:code="9"/>
          <w:pgMar w:top="709" w:right="426" w:bottom="567" w:left="709" w:header="1" w:footer="0" w:gutter="0"/>
          <w:cols w:space="708"/>
          <w:docGrid w:linePitch="360"/>
        </w:sectPr>
      </w:pPr>
      <w:r w:rsidRPr="00065ACE">
        <w:rPr>
          <w:rFonts w:eastAsia="Times New Roman" w:cs="Calibri"/>
          <w:sz w:val="22"/>
          <w:szCs w:val="22"/>
          <w:lang w:val="en-US"/>
        </w:rPr>
        <w:t xml:space="preserve">*Note: Regional Solution </w:t>
      </w:r>
      <w:proofErr w:type="spellStart"/>
      <w:r w:rsidRPr="00065ACE">
        <w:rPr>
          <w:rFonts w:eastAsia="Times New Roman" w:cs="Calibri"/>
          <w:sz w:val="22"/>
          <w:szCs w:val="22"/>
          <w:lang w:val="en-US"/>
        </w:rPr>
        <w:t>KPMs</w:t>
      </w:r>
      <w:proofErr w:type="spellEnd"/>
      <w:r w:rsidRPr="00065ACE">
        <w:rPr>
          <w:rFonts w:eastAsia="Times New Roman" w:cs="Calibri"/>
          <w:sz w:val="22"/>
          <w:szCs w:val="22"/>
          <w:lang w:val="en-US"/>
        </w:rPr>
        <w:t xml:space="preserve"> and </w:t>
      </w:r>
      <w:proofErr w:type="spellStart"/>
      <w:r w:rsidRPr="00065ACE">
        <w:rPr>
          <w:rFonts w:eastAsia="Times New Roman" w:cs="Calibri"/>
          <w:sz w:val="22"/>
          <w:szCs w:val="22"/>
          <w:lang w:val="en-US"/>
        </w:rPr>
        <w:t>KPM</w:t>
      </w:r>
      <w:proofErr w:type="spellEnd"/>
      <w:r w:rsidRPr="00065ACE">
        <w:rPr>
          <w:rFonts w:eastAsia="Times New Roman" w:cs="Calibri"/>
          <w:sz w:val="22"/>
          <w:szCs w:val="22"/>
          <w:lang w:val="en-US"/>
        </w:rPr>
        <w:t xml:space="preserve"> category ‘Other’ are not reflected. In many cases, progress against Parent and Family </w:t>
      </w:r>
      <w:proofErr w:type="spellStart"/>
      <w:r w:rsidRPr="00065ACE">
        <w:rPr>
          <w:rFonts w:eastAsia="Times New Roman" w:cs="Calibri"/>
          <w:sz w:val="22"/>
          <w:szCs w:val="22"/>
          <w:lang w:val="en-US"/>
        </w:rPr>
        <w:t>KPMs</w:t>
      </w:r>
      <w:proofErr w:type="spellEnd"/>
      <w:r w:rsidRPr="00065ACE">
        <w:rPr>
          <w:rFonts w:eastAsia="Times New Roman" w:cs="Calibri"/>
          <w:sz w:val="22"/>
          <w:szCs w:val="22"/>
          <w:lang w:val="en-US"/>
        </w:rPr>
        <w:t xml:space="preserve"> has been achieved through partnerships that do not include parent or family groups as members. While there are some partnerships that do involve parent and family groups, these groups represent only three per cent of the total number of organisations in partnerships.</w:t>
      </w:r>
    </w:p>
    <w:p w:rsidR="00065ACE" w:rsidRPr="00065ACE" w:rsidRDefault="00065ACE" w:rsidP="00065ACE">
      <w:pPr>
        <w:spacing w:before="120" w:after="120" w:line="240" w:lineRule="auto"/>
        <w:ind w:left="-142" w:right="34"/>
        <w:rPr>
          <w:rFonts w:eastAsia="Times New Roman" w:cs="Calibri"/>
          <w:sz w:val="22"/>
          <w:szCs w:val="22"/>
          <w:lang w:val="en-US"/>
        </w:rPr>
      </w:pPr>
    </w:p>
    <w:p w:rsidR="00065ACE" w:rsidRPr="00065ACE" w:rsidRDefault="00065ACE" w:rsidP="00065ACE">
      <w:pPr>
        <w:spacing w:line="240" w:lineRule="auto"/>
        <w:ind w:right="34"/>
        <w:rPr>
          <w:rFonts w:eastAsia="Times New Roman" w:cs="Calibri"/>
          <w:sz w:val="2"/>
          <w:szCs w:val="2"/>
          <w:lang w:val="en-US"/>
        </w:rPr>
      </w:pPr>
    </w:p>
    <w:tbl>
      <w:tblPr>
        <w:tblpPr w:leftFromText="180" w:rightFromText="180" w:vertAnchor="text" w:horzAnchor="margin" w:tblpXSpec="center" w:tblpY="14"/>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24"/>
        <w:gridCol w:w="1209"/>
        <w:gridCol w:w="800"/>
        <w:gridCol w:w="897"/>
        <w:gridCol w:w="1192"/>
        <w:gridCol w:w="1308"/>
        <w:gridCol w:w="956"/>
      </w:tblGrid>
      <w:tr w:rsidR="00065ACE" w:rsidRPr="00065ACE" w:rsidTr="004B3484">
        <w:trPr>
          <w:trHeight w:val="419"/>
        </w:trPr>
        <w:tc>
          <w:tcPr>
            <w:tcW w:w="4424" w:type="dxa"/>
            <w:tcBorders>
              <w:top w:val="single" w:sz="12" w:space="0" w:color="auto"/>
              <w:left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jc w:val="center"/>
              <w:rPr>
                <w:rFonts w:eastAsia="Times New Roman" w:cs="Calibri"/>
                <w:b/>
                <w:bCs/>
                <w:sz w:val="22"/>
                <w:szCs w:val="22"/>
                <w:lang w:eastAsia="en-AU"/>
              </w:rPr>
            </w:pPr>
            <w:r w:rsidRPr="00065ACE">
              <w:rPr>
                <w:rFonts w:eastAsia="Times New Roman" w:cs="Calibri"/>
                <w:b/>
                <w:bCs/>
                <w:sz w:val="22"/>
                <w:szCs w:val="22"/>
                <w:lang w:eastAsia="en-AU"/>
              </w:rPr>
              <w:t xml:space="preserve">Table </w:t>
            </w:r>
            <w:proofErr w:type="spellStart"/>
            <w:r w:rsidRPr="00065ACE">
              <w:rPr>
                <w:rFonts w:eastAsia="Times New Roman" w:cs="Calibri"/>
                <w:b/>
                <w:bCs/>
                <w:sz w:val="22"/>
                <w:szCs w:val="22"/>
                <w:lang w:eastAsia="en-AU"/>
              </w:rPr>
              <w:t>I1</w:t>
            </w:r>
            <w:proofErr w:type="spellEnd"/>
            <w:r w:rsidRPr="00065ACE">
              <w:rPr>
                <w:rFonts w:eastAsia="Times New Roman" w:cs="Calibri"/>
                <w:b/>
                <w:bCs/>
                <w:sz w:val="22"/>
                <w:szCs w:val="22"/>
                <w:lang w:eastAsia="en-AU"/>
              </w:rPr>
              <w:t xml:space="preserve"> – Outcome – Partnership Characteristics</w:t>
            </w:r>
          </w:p>
        </w:tc>
        <w:tc>
          <w:tcPr>
            <w:tcW w:w="1209" w:type="dxa"/>
            <w:tcBorders>
              <w:top w:val="single" w:sz="12" w:space="0" w:color="auto"/>
              <w:left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Total </w:t>
            </w:r>
            <w:proofErr w:type="spellStart"/>
            <w:r w:rsidRPr="00065ACE">
              <w:rPr>
                <w:rFonts w:eastAsia="Times New Roman" w:cs="Calibri"/>
                <w:b/>
                <w:bCs/>
                <w:sz w:val="22"/>
                <w:szCs w:val="20"/>
                <w:lang w:eastAsia="en-AU"/>
              </w:rPr>
              <w:t>KPM</w:t>
            </w:r>
            <w:proofErr w:type="spellEnd"/>
            <w:r w:rsidRPr="00065ACE">
              <w:rPr>
                <w:rFonts w:eastAsia="Times New Roman" w:cs="Calibri"/>
                <w:b/>
                <w:bCs/>
                <w:sz w:val="22"/>
                <w:szCs w:val="20"/>
                <w:lang w:eastAsia="en-AU"/>
              </w:rPr>
              <w:t xml:space="preserve"> Evaluations</w:t>
            </w:r>
          </w:p>
        </w:tc>
        <w:tc>
          <w:tcPr>
            <w:tcW w:w="800" w:type="dxa"/>
            <w:tcBorders>
              <w:top w:val="single" w:sz="12" w:space="0" w:color="auto"/>
              <w:left w:val="single" w:sz="12" w:space="0" w:color="auto"/>
              <w:right w:val="single" w:sz="4" w:space="0" w:color="auto"/>
            </w:tcBorders>
            <w:shd w:val="clear" w:color="auto" w:fill="9F9F9F" w:themeFill="accent5" w:themeFillTint="99"/>
            <w:vAlign w:val="center"/>
            <w:hideMark/>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1 – Limited</w:t>
            </w:r>
          </w:p>
        </w:tc>
        <w:tc>
          <w:tcPr>
            <w:tcW w:w="897" w:type="dxa"/>
            <w:tcBorders>
              <w:top w:val="single" w:sz="12" w:space="0" w:color="auto"/>
              <w:left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2 – Some Progress</w:t>
            </w:r>
          </w:p>
        </w:tc>
        <w:tc>
          <w:tcPr>
            <w:tcW w:w="1192" w:type="dxa"/>
            <w:tcBorders>
              <w:top w:val="single" w:sz="12" w:space="0" w:color="auto"/>
              <w:left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3 – Satisfactory </w:t>
            </w:r>
          </w:p>
        </w:tc>
        <w:tc>
          <w:tcPr>
            <w:tcW w:w="1308" w:type="dxa"/>
            <w:tcBorders>
              <w:top w:val="single" w:sz="12" w:space="0" w:color="auto"/>
              <w:left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4 – Considerable Progress</w:t>
            </w:r>
          </w:p>
        </w:tc>
        <w:tc>
          <w:tcPr>
            <w:tcW w:w="956" w:type="dxa"/>
            <w:tcBorders>
              <w:top w:val="single" w:sz="12" w:space="0" w:color="auto"/>
              <w:left w:val="single" w:sz="4"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5 – Achieved</w:t>
            </w:r>
          </w:p>
        </w:tc>
      </w:tr>
      <w:tr w:rsidR="00065ACE" w:rsidRPr="00065ACE" w:rsidTr="004B3484">
        <w:trPr>
          <w:trHeight w:val="868"/>
        </w:trPr>
        <w:tc>
          <w:tcPr>
            <w:tcW w:w="4424"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sz w:val="20"/>
                <w:szCs w:val="20"/>
                <w:lang w:eastAsia="en-AU"/>
              </w:rPr>
            </w:pPr>
            <w:r w:rsidRPr="00065ACE">
              <w:rPr>
                <w:rFonts w:eastAsia="Times New Roman" w:cs="Calibri"/>
                <w:sz w:val="20"/>
                <w:szCs w:val="20"/>
                <w:lang w:eastAsia="en-AU"/>
              </w:rPr>
              <w:t>High quality partnerships are established that link key stakeholders together with shared commitment, goals and outcomes to improve young people’s education and transition outcomes.</w:t>
            </w:r>
          </w:p>
        </w:tc>
        <w:tc>
          <w:tcPr>
            <w:tcW w:w="1209"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1565</w:t>
            </w:r>
          </w:p>
        </w:tc>
        <w:tc>
          <w:tcPr>
            <w:tcW w:w="800" w:type="dxa"/>
            <w:tcBorders>
              <w:top w:val="single" w:sz="12" w:space="0" w:color="auto"/>
              <w:left w:val="single" w:sz="12" w:space="0" w:color="auto"/>
              <w:right w:val="single" w:sz="4"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189 (12%)</w:t>
            </w:r>
          </w:p>
        </w:tc>
        <w:tc>
          <w:tcPr>
            <w:tcW w:w="897"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215</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(14%)</w:t>
            </w:r>
          </w:p>
        </w:tc>
        <w:tc>
          <w:tcPr>
            <w:tcW w:w="1192"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369 (24%)</w:t>
            </w:r>
          </w:p>
        </w:tc>
        <w:tc>
          <w:tcPr>
            <w:tcW w:w="1308"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382 (24%)</w:t>
            </w:r>
          </w:p>
        </w:tc>
        <w:tc>
          <w:tcPr>
            <w:tcW w:w="956" w:type="dxa"/>
            <w:tcBorders>
              <w:top w:val="single" w:sz="12" w:space="0" w:color="auto"/>
              <w:left w:val="single" w:sz="4"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410 (26%)</w:t>
            </w:r>
          </w:p>
        </w:tc>
      </w:tr>
      <w:tr w:rsidR="00065ACE" w:rsidRPr="00065ACE" w:rsidTr="004B3484">
        <w:trPr>
          <w:trHeight w:val="315"/>
        </w:trPr>
        <w:tc>
          <w:tcPr>
            <w:tcW w:w="10786" w:type="dxa"/>
            <w:gridSpan w:val="7"/>
            <w:tcBorders>
              <w:top w:val="single" w:sz="12" w:space="0" w:color="auto"/>
              <w:left w:val="nil"/>
              <w:right w:val="nil"/>
            </w:tcBorders>
            <w:shd w:val="clear" w:color="000000" w:fill="FFFFFF"/>
            <w:vAlign w:val="center"/>
            <w:hideMark/>
          </w:tcPr>
          <w:p w:rsidR="00065ACE" w:rsidRPr="00065ACE" w:rsidRDefault="00065ACE" w:rsidP="00065ACE">
            <w:pPr>
              <w:spacing w:line="240" w:lineRule="auto"/>
              <w:rPr>
                <w:rFonts w:eastAsia="Times New Roman" w:cs="Calibri"/>
                <w:color w:val="000000"/>
                <w:sz w:val="22"/>
                <w:szCs w:val="22"/>
                <w:lang w:eastAsia="en-AU"/>
              </w:rPr>
            </w:pPr>
          </w:p>
        </w:tc>
      </w:tr>
      <w:tr w:rsidR="00065ACE" w:rsidRPr="00065ACE" w:rsidTr="004B3484">
        <w:trPr>
          <w:trHeight w:val="439"/>
        </w:trPr>
        <w:tc>
          <w:tcPr>
            <w:tcW w:w="4424" w:type="dxa"/>
            <w:tcBorders>
              <w:left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Table </w:t>
            </w:r>
            <w:proofErr w:type="spellStart"/>
            <w:r w:rsidRPr="00065ACE">
              <w:rPr>
                <w:rFonts w:eastAsia="Times New Roman" w:cs="Calibri"/>
                <w:b/>
                <w:bCs/>
                <w:sz w:val="22"/>
                <w:szCs w:val="20"/>
                <w:lang w:eastAsia="en-AU"/>
              </w:rPr>
              <w:t>I1</w:t>
            </w:r>
            <w:proofErr w:type="spellEnd"/>
            <w:r w:rsidRPr="00065ACE">
              <w:rPr>
                <w:rFonts w:eastAsia="Times New Roman" w:cs="Calibri"/>
                <w:b/>
                <w:bCs/>
                <w:sz w:val="22"/>
                <w:szCs w:val="20"/>
                <w:lang w:eastAsia="en-AU"/>
              </w:rPr>
              <w:t xml:space="preserve"> continued –  Outcome  –  Partnership Characteristics (Breakdown of the  </w:t>
            </w:r>
            <w:proofErr w:type="spellStart"/>
            <w:r w:rsidRPr="00065ACE">
              <w:rPr>
                <w:rFonts w:eastAsia="Times New Roman" w:cs="Calibri"/>
                <w:b/>
                <w:bCs/>
                <w:sz w:val="22"/>
                <w:szCs w:val="20"/>
                <w:lang w:eastAsia="en-AU"/>
              </w:rPr>
              <w:t>KPMs</w:t>
            </w:r>
            <w:proofErr w:type="spellEnd"/>
            <w:r w:rsidRPr="00065ACE">
              <w:rPr>
                <w:rFonts w:eastAsia="Times New Roman" w:cs="Calibri"/>
                <w:b/>
                <w:bCs/>
                <w:sz w:val="22"/>
                <w:szCs w:val="20"/>
                <w:lang w:eastAsia="en-AU"/>
              </w:rPr>
              <w:t xml:space="preserve"> which contribute to the outcome above)</w:t>
            </w:r>
          </w:p>
        </w:tc>
        <w:tc>
          <w:tcPr>
            <w:tcW w:w="1209" w:type="dxa"/>
            <w:tcBorders>
              <w:left w:val="single" w:sz="12" w:space="0" w:color="auto"/>
              <w:right w:val="single" w:sz="12" w:space="0" w:color="auto"/>
            </w:tcBorders>
            <w:shd w:val="clear" w:color="auto" w:fill="BFBFBF" w:themeFill="accent5" w:themeFillTint="66"/>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Total </w:t>
            </w:r>
            <w:proofErr w:type="spellStart"/>
            <w:r w:rsidRPr="00065ACE">
              <w:rPr>
                <w:rFonts w:eastAsia="Times New Roman" w:cs="Calibri"/>
                <w:b/>
                <w:bCs/>
                <w:sz w:val="22"/>
                <w:szCs w:val="20"/>
                <w:lang w:eastAsia="en-AU"/>
              </w:rPr>
              <w:t>KPM</w:t>
            </w:r>
            <w:proofErr w:type="spellEnd"/>
            <w:r w:rsidRPr="00065ACE">
              <w:rPr>
                <w:rFonts w:eastAsia="Times New Roman" w:cs="Calibri"/>
                <w:b/>
                <w:bCs/>
                <w:sz w:val="22"/>
                <w:szCs w:val="20"/>
                <w:lang w:eastAsia="en-AU"/>
              </w:rPr>
              <w:t xml:space="preserve"> Evaluations</w:t>
            </w:r>
          </w:p>
        </w:tc>
        <w:tc>
          <w:tcPr>
            <w:tcW w:w="800" w:type="dxa"/>
            <w:tcBorders>
              <w:left w:val="single" w:sz="12"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1 – Limited</w:t>
            </w:r>
          </w:p>
        </w:tc>
        <w:tc>
          <w:tcPr>
            <w:tcW w:w="897" w:type="dxa"/>
            <w:tcBorders>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2 – Some Progress</w:t>
            </w:r>
          </w:p>
        </w:tc>
        <w:tc>
          <w:tcPr>
            <w:tcW w:w="1192" w:type="dxa"/>
            <w:tcBorders>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3 – Satisfactory </w:t>
            </w:r>
          </w:p>
        </w:tc>
        <w:tc>
          <w:tcPr>
            <w:tcW w:w="1308" w:type="dxa"/>
            <w:tcBorders>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4 – Considerable Progress</w:t>
            </w:r>
          </w:p>
        </w:tc>
        <w:tc>
          <w:tcPr>
            <w:tcW w:w="956" w:type="dxa"/>
            <w:tcBorders>
              <w:left w:val="single" w:sz="4"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5 – Achieved</w:t>
            </w:r>
          </w:p>
        </w:tc>
      </w:tr>
      <w:tr w:rsidR="00065ACE" w:rsidRPr="00065ACE" w:rsidTr="004B3484">
        <w:trPr>
          <w:trHeight w:val="439"/>
        </w:trPr>
        <w:tc>
          <w:tcPr>
            <w:tcW w:w="4424"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b/>
                <w:bCs/>
                <w:sz w:val="18"/>
                <w:szCs w:val="18"/>
                <w:lang w:eastAsia="en-AU"/>
              </w:rPr>
            </w:pPr>
            <w:r w:rsidRPr="00065ACE">
              <w:rPr>
                <w:rFonts w:eastAsia="Times New Roman" w:cs="Calibri"/>
                <w:b/>
                <w:bCs/>
                <w:sz w:val="18"/>
                <w:szCs w:val="18"/>
                <w:lang w:eastAsia="en-AU"/>
              </w:rPr>
              <w:t xml:space="preserve">Shared Goal </w:t>
            </w:r>
            <w:r w:rsidRPr="00065ACE">
              <w:rPr>
                <w:rFonts w:eastAsia="Times New Roman" w:cs="Calibri"/>
                <w:bCs/>
                <w:sz w:val="18"/>
                <w:szCs w:val="18"/>
                <w:lang w:eastAsia="en-AU"/>
              </w:rPr>
              <w:t>‐ Partners have a clear, shared, realistic goal.</w:t>
            </w:r>
          </w:p>
        </w:tc>
        <w:tc>
          <w:tcPr>
            <w:tcW w:w="1209" w:type="dxa"/>
            <w:tcBorders>
              <w:left w:val="single" w:sz="12" w:space="0" w:color="auto"/>
              <w:right w:val="single" w:sz="12" w:space="0" w:color="auto"/>
            </w:tcBorders>
            <w:shd w:val="clear" w:color="auto" w:fill="BFBFBF" w:themeFill="accent5" w:themeFillTint="66"/>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327</w:t>
            </w:r>
          </w:p>
        </w:tc>
        <w:tc>
          <w:tcPr>
            <w:tcW w:w="800" w:type="dxa"/>
            <w:tcBorders>
              <w:left w:val="single" w:sz="12" w:space="0" w:color="auto"/>
              <w:right w:val="single" w:sz="4"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w:t>
            </w:r>
          </w:p>
        </w:tc>
        <w:tc>
          <w:tcPr>
            <w:tcW w:w="897" w:type="dxa"/>
            <w:tcBorders>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13%</w:t>
            </w:r>
          </w:p>
        </w:tc>
        <w:tc>
          <w:tcPr>
            <w:tcW w:w="1192" w:type="dxa"/>
            <w:tcBorders>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20%</w:t>
            </w:r>
          </w:p>
        </w:tc>
        <w:tc>
          <w:tcPr>
            <w:tcW w:w="1308" w:type="dxa"/>
            <w:tcBorders>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29%</w:t>
            </w:r>
          </w:p>
        </w:tc>
        <w:tc>
          <w:tcPr>
            <w:tcW w:w="956" w:type="dxa"/>
            <w:tcBorders>
              <w:left w:val="single" w:sz="4"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30%</w:t>
            </w:r>
          </w:p>
        </w:tc>
      </w:tr>
      <w:tr w:rsidR="00065ACE" w:rsidRPr="00065ACE" w:rsidTr="004B3484">
        <w:trPr>
          <w:trHeight w:val="439"/>
        </w:trPr>
        <w:tc>
          <w:tcPr>
            <w:tcW w:w="4424" w:type="dxa"/>
            <w:tcBorders>
              <w:left w:val="single" w:sz="12" w:space="0" w:color="auto"/>
              <w:right w:val="single" w:sz="12" w:space="0" w:color="auto"/>
            </w:tcBorders>
            <w:shd w:val="clear" w:color="000000" w:fill="FFFFFF"/>
            <w:vAlign w:val="center"/>
            <w:hideMark/>
          </w:tcPr>
          <w:p w:rsidR="00065ACE" w:rsidRPr="00065ACE" w:rsidRDefault="00065ACE" w:rsidP="00065ACE">
            <w:pPr>
              <w:spacing w:line="240" w:lineRule="auto"/>
              <w:rPr>
                <w:rFonts w:eastAsia="Times New Roman" w:cs="Calibri"/>
                <w:b/>
                <w:bCs/>
                <w:sz w:val="18"/>
                <w:szCs w:val="18"/>
                <w:lang w:eastAsia="en-AU"/>
              </w:rPr>
            </w:pPr>
            <w:r w:rsidRPr="00065ACE">
              <w:rPr>
                <w:rFonts w:eastAsia="Times New Roman" w:cs="Calibri"/>
                <w:b/>
                <w:bCs/>
                <w:sz w:val="18"/>
                <w:szCs w:val="18"/>
                <w:lang w:eastAsia="en-AU"/>
              </w:rPr>
              <w:t xml:space="preserve">Shared Decision Making </w:t>
            </w:r>
            <w:r w:rsidRPr="00065ACE">
              <w:rPr>
                <w:rFonts w:eastAsia="Times New Roman" w:cs="Calibri"/>
                <w:bCs/>
                <w:sz w:val="18"/>
                <w:szCs w:val="18"/>
                <w:lang w:eastAsia="en-AU"/>
              </w:rPr>
              <w:t>‐Each partner contributes meaningfully to the planning and implementation of the program, and is involved in the decisions that are made.</w:t>
            </w:r>
          </w:p>
        </w:tc>
        <w:tc>
          <w:tcPr>
            <w:tcW w:w="1209"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322</w:t>
            </w:r>
          </w:p>
        </w:tc>
        <w:tc>
          <w:tcPr>
            <w:tcW w:w="800" w:type="dxa"/>
            <w:tcBorders>
              <w:left w:val="single" w:sz="12"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12%</w:t>
            </w:r>
          </w:p>
        </w:tc>
        <w:tc>
          <w:tcPr>
            <w:tcW w:w="897"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w:t>
            </w:r>
          </w:p>
        </w:tc>
        <w:tc>
          <w:tcPr>
            <w:tcW w:w="1192"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c>
          <w:tcPr>
            <w:tcW w:w="1308"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c>
          <w:tcPr>
            <w:tcW w:w="956" w:type="dxa"/>
            <w:tcBorders>
              <w:left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r>
      <w:tr w:rsidR="00065ACE" w:rsidRPr="00065ACE" w:rsidTr="004B3484">
        <w:trPr>
          <w:trHeight w:val="439"/>
        </w:trPr>
        <w:tc>
          <w:tcPr>
            <w:tcW w:w="4424" w:type="dxa"/>
            <w:tcBorders>
              <w:left w:val="single" w:sz="12" w:space="0" w:color="auto"/>
              <w:right w:val="single" w:sz="12" w:space="0" w:color="auto"/>
            </w:tcBorders>
            <w:shd w:val="clear" w:color="auto" w:fill="auto"/>
            <w:vAlign w:val="center"/>
            <w:hideMark/>
          </w:tcPr>
          <w:p w:rsidR="00065ACE" w:rsidRPr="00065ACE" w:rsidRDefault="00065ACE" w:rsidP="00065ACE">
            <w:pPr>
              <w:spacing w:line="240" w:lineRule="auto"/>
              <w:rPr>
                <w:rFonts w:eastAsia="Times New Roman" w:cs="Calibri"/>
                <w:b/>
                <w:bCs/>
                <w:sz w:val="18"/>
                <w:szCs w:val="18"/>
                <w:lang w:eastAsia="en-AU"/>
              </w:rPr>
            </w:pPr>
            <w:r w:rsidRPr="00065ACE">
              <w:rPr>
                <w:rFonts w:eastAsia="Times New Roman" w:cs="Calibri"/>
                <w:b/>
                <w:bCs/>
                <w:sz w:val="18"/>
                <w:szCs w:val="18"/>
                <w:lang w:eastAsia="en-AU"/>
              </w:rPr>
              <w:t xml:space="preserve">Communication </w:t>
            </w:r>
            <w:r w:rsidRPr="00065ACE">
              <w:rPr>
                <w:rFonts w:eastAsia="Times New Roman" w:cs="Calibri"/>
                <w:bCs/>
                <w:sz w:val="18"/>
                <w:szCs w:val="18"/>
                <w:lang w:eastAsia="en-AU"/>
              </w:rPr>
              <w:t>‐ There is effective communication between partners.</w:t>
            </w:r>
          </w:p>
        </w:tc>
        <w:tc>
          <w:tcPr>
            <w:tcW w:w="1209"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327</w:t>
            </w:r>
          </w:p>
        </w:tc>
        <w:tc>
          <w:tcPr>
            <w:tcW w:w="800" w:type="dxa"/>
            <w:tcBorders>
              <w:left w:val="single" w:sz="12"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w:t>
            </w:r>
          </w:p>
        </w:tc>
        <w:tc>
          <w:tcPr>
            <w:tcW w:w="897"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12%</w:t>
            </w:r>
          </w:p>
        </w:tc>
        <w:tc>
          <w:tcPr>
            <w:tcW w:w="1192"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28%</w:t>
            </w:r>
          </w:p>
        </w:tc>
        <w:tc>
          <w:tcPr>
            <w:tcW w:w="1308"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24%</w:t>
            </w:r>
          </w:p>
        </w:tc>
        <w:tc>
          <w:tcPr>
            <w:tcW w:w="956" w:type="dxa"/>
            <w:tcBorders>
              <w:left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27%</w:t>
            </w:r>
          </w:p>
        </w:tc>
      </w:tr>
      <w:tr w:rsidR="00065ACE" w:rsidRPr="00065ACE" w:rsidTr="004B3484">
        <w:trPr>
          <w:trHeight w:val="439"/>
        </w:trPr>
        <w:tc>
          <w:tcPr>
            <w:tcW w:w="4424" w:type="dxa"/>
            <w:tcBorders>
              <w:left w:val="single" w:sz="12" w:space="0" w:color="auto"/>
              <w:bottom w:val="single" w:sz="4" w:space="0" w:color="auto"/>
              <w:right w:val="single" w:sz="12" w:space="0" w:color="auto"/>
            </w:tcBorders>
            <w:shd w:val="clear" w:color="000000" w:fill="FFFFFF"/>
            <w:vAlign w:val="center"/>
            <w:hideMark/>
          </w:tcPr>
          <w:p w:rsidR="00065ACE" w:rsidRPr="00065ACE" w:rsidRDefault="00065ACE" w:rsidP="00065ACE">
            <w:pPr>
              <w:spacing w:line="240" w:lineRule="auto"/>
              <w:rPr>
                <w:rFonts w:eastAsia="Times New Roman" w:cs="Calibri"/>
                <w:b/>
                <w:bCs/>
                <w:sz w:val="18"/>
                <w:szCs w:val="18"/>
                <w:lang w:eastAsia="en-AU"/>
              </w:rPr>
            </w:pPr>
            <w:r w:rsidRPr="00065ACE">
              <w:rPr>
                <w:rFonts w:eastAsia="Times New Roman" w:cs="Calibri"/>
                <w:b/>
                <w:bCs/>
                <w:sz w:val="18"/>
                <w:szCs w:val="18"/>
                <w:lang w:eastAsia="en-AU"/>
              </w:rPr>
              <w:t xml:space="preserve">Commitment and Investment </w:t>
            </w:r>
            <w:r w:rsidRPr="00065ACE">
              <w:rPr>
                <w:rFonts w:eastAsia="Times New Roman" w:cs="Calibri"/>
                <w:bCs/>
                <w:sz w:val="18"/>
                <w:szCs w:val="18"/>
                <w:lang w:eastAsia="en-AU"/>
              </w:rPr>
              <w:t>‐ All organisations are committed to the partnership and make a considerable investment to it.</w:t>
            </w:r>
          </w:p>
        </w:tc>
        <w:tc>
          <w:tcPr>
            <w:tcW w:w="1209" w:type="dxa"/>
            <w:tcBorders>
              <w:left w:val="single" w:sz="12" w:space="0" w:color="auto"/>
              <w:bottom w:val="single" w:sz="4"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323</w:t>
            </w:r>
          </w:p>
        </w:tc>
        <w:tc>
          <w:tcPr>
            <w:tcW w:w="800" w:type="dxa"/>
            <w:tcBorders>
              <w:left w:val="single" w:sz="12" w:space="0" w:color="auto"/>
              <w:bottom w:val="single" w:sz="4"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w:t>
            </w:r>
          </w:p>
        </w:tc>
        <w:tc>
          <w:tcPr>
            <w:tcW w:w="897"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17%</w:t>
            </w:r>
          </w:p>
        </w:tc>
        <w:tc>
          <w:tcPr>
            <w:tcW w:w="1192"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22%</w:t>
            </w:r>
          </w:p>
        </w:tc>
        <w:tc>
          <w:tcPr>
            <w:tcW w:w="1308"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23%</w:t>
            </w:r>
          </w:p>
        </w:tc>
        <w:tc>
          <w:tcPr>
            <w:tcW w:w="956" w:type="dxa"/>
            <w:tcBorders>
              <w:left w:val="single" w:sz="4" w:space="0" w:color="auto"/>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29%</w:t>
            </w:r>
          </w:p>
        </w:tc>
      </w:tr>
      <w:tr w:rsidR="00065ACE" w:rsidRPr="00065ACE" w:rsidTr="004B3484">
        <w:trPr>
          <w:trHeight w:val="440"/>
        </w:trPr>
        <w:tc>
          <w:tcPr>
            <w:tcW w:w="4424" w:type="dxa"/>
            <w:tcBorders>
              <w:left w:val="single" w:sz="12" w:space="0" w:color="auto"/>
              <w:bottom w:val="single" w:sz="4" w:space="0" w:color="auto"/>
              <w:right w:val="single" w:sz="12" w:space="0" w:color="auto"/>
            </w:tcBorders>
            <w:shd w:val="clear" w:color="000000" w:fill="FFFFFF"/>
            <w:vAlign w:val="center"/>
            <w:hideMark/>
          </w:tcPr>
          <w:p w:rsidR="00065ACE" w:rsidRPr="00065ACE" w:rsidRDefault="00065ACE" w:rsidP="00065ACE">
            <w:pPr>
              <w:spacing w:line="240" w:lineRule="auto"/>
              <w:rPr>
                <w:rFonts w:eastAsia="Times New Roman" w:cs="Calibri"/>
                <w:b/>
                <w:bCs/>
                <w:sz w:val="18"/>
                <w:szCs w:val="18"/>
                <w:lang w:eastAsia="en-AU"/>
              </w:rPr>
            </w:pPr>
            <w:r w:rsidRPr="00065ACE">
              <w:rPr>
                <w:rFonts w:eastAsia="Times New Roman" w:cs="Calibri"/>
                <w:b/>
                <w:bCs/>
                <w:sz w:val="18"/>
                <w:szCs w:val="18"/>
                <w:lang w:eastAsia="en-AU"/>
              </w:rPr>
              <w:t xml:space="preserve">Review </w:t>
            </w:r>
            <w:r w:rsidRPr="00065ACE">
              <w:rPr>
                <w:rFonts w:eastAsia="Times New Roman" w:cs="Calibri"/>
                <w:bCs/>
                <w:sz w:val="18"/>
                <w:szCs w:val="18"/>
                <w:lang w:eastAsia="en-AU"/>
              </w:rPr>
              <w:t>‐ Partners monitor and review their partnership and progress towards goals.</w:t>
            </w:r>
          </w:p>
        </w:tc>
        <w:tc>
          <w:tcPr>
            <w:tcW w:w="1209" w:type="dxa"/>
            <w:tcBorders>
              <w:left w:val="single" w:sz="12" w:space="0" w:color="auto"/>
              <w:bottom w:val="single" w:sz="4"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266</w:t>
            </w:r>
          </w:p>
        </w:tc>
        <w:tc>
          <w:tcPr>
            <w:tcW w:w="800" w:type="dxa"/>
            <w:tcBorders>
              <w:left w:val="single" w:sz="12" w:space="0" w:color="auto"/>
              <w:bottom w:val="single" w:sz="4"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23%</w:t>
            </w:r>
          </w:p>
        </w:tc>
        <w:tc>
          <w:tcPr>
            <w:tcW w:w="897"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13%</w:t>
            </w:r>
          </w:p>
        </w:tc>
        <w:tc>
          <w:tcPr>
            <w:tcW w:w="1192"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24%</w:t>
            </w:r>
          </w:p>
        </w:tc>
        <w:tc>
          <w:tcPr>
            <w:tcW w:w="1308"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20%</w:t>
            </w:r>
          </w:p>
        </w:tc>
        <w:tc>
          <w:tcPr>
            <w:tcW w:w="956" w:type="dxa"/>
            <w:tcBorders>
              <w:left w:val="single" w:sz="4" w:space="0" w:color="auto"/>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19%</w:t>
            </w:r>
          </w:p>
        </w:tc>
      </w:tr>
    </w:tbl>
    <w:p w:rsidR="00065ACE" w:rsidRPr="00065ACE" w:rsidRDefault="00065ACE" w:rsidP="00065ACE">
      <w:pPr>
        <w:spacing w:line="240" w:lineRule="auto"/>
        <w:ind w:right="34"/>
        <w:rPr>
          <w:rFonts w:eastAsia="Times New Roman" w:cs="Calibri"/>
          <w:sz w:val="2"/>
          <w:szCs w:val="22"/>
          <w:lang w:val="en-US"/>
        </w:rPr>
      </w:pPr>
    </w:p>
    <w:p w:rsidR="00065ACE" w:rsidRPr="00065ACE" w:rsidRDefault="00065ACE" w:rsidP="00065ACE">
      <w:pPr>
        <w:spacing w:before="240" w:after="120" w:line="240" w:lineRule="auto"/>
        <w:ind w:left="-284" w:right="-568"/>
        <w:rPr>
          <w:rFonts w:eastAsia="Times New Roman" w:cs="Calibri"/>
          <w:sz w:val="22"/>
          <w:szCs w:val="22"/>
          <w:lang w:val="en-US"/>
        </w:rPr>
        <w:sectPr w:rsidR="00065ACE" w:rsidRPr="00065ACE" w:rsidSect="004B3484">
          <w:type w:val="continuous"/>
          <w:pgSz w:w="11907" w:h="16839" w:code="9"/>
          <w:pgMar w:top="393" w:right="426" w:bottom="567" w:left="709" w:header="1" w:footer="0" w:gutter="0"/>
          <w:cols w:num="2" w:space="708"/>
          <w:docGrid w:linePitch="360"/>
        </w:sectPr>
      </w:pPr>
    </w:p>
    <w:p w:rsidR="00065ACE" w:rsidRPr="00065ACE" w:rsidRDefault="00065ACE" w:rsidP="00065ACE">
      <w:pPr>
        <w:spacing w:before="240" w:after="120" w:line="240" w:lineRule="auto"/>
        <w:ind w:left="142" w:right="-568"/>
        <w:rPr>
          <w:rFonts w:eastAsia="Times New Roman" w:cs="Calibri"/>
          <w:sz w:val="22"/>
          <w:szCs w:val="22"/>
        </w:rPr>
      </w:pPr>
      <w:r w:rsidRPr="00065ACE">
        <w:rPr>
          <w:rFonts w:eastAsia="Times New Roman" w:cs="Calibri"/>
          <w:sz w:val="22"/>
          <w:szCs w:val="22"/>
        </w:rPr>
        <w:lastRenderedPageBreak/>
        <w:t>The data above shows that:</w:t>
      </w:r>
    </w:p>
    <w:p w:rsidR="00065ACE" w:rsidRPr="00065ACE" w:rsidRDefault="00065ACE" w:rsidP="00065ACE">
      <w:pPr>
        <w:numPr>
          <w:ilvl w:val="0"/>
          <w:numId w:val="88"/>
        </w:numPr>
        <w:spacing w:line="240" w:lineRule="auto"/>
        <w:ind w:left="567" w:hanging="426"/>
        <w:rPr>
          <w:rFonts w:eastAsia="Times New Roman" w:cs="Calibri"/>
          <w:sz w:val="22"/>
          <w:szCs w:val="22"/>
        </w:rPr>
      </w:pPr>
      <w:r w:rsidRPr="00065ACE">
        <w:rPr>
          <w:rFonts w:eastAsia="Times New Roman" w:cs="Calibri"/>
          <w:sz w:val="22"/>
          <w:szCs w:val="22"/>
        </w:rPr>
        <w:t>Providers reported 50% of partnerships that have been evaluated have achieved or made considerable progress against this outcome.</w:t>
      </w:r>
    </w:p>
    <w:p w:rsidR="00065ACE" w:rsidRPr="00065ACE" w:rsidRDefault="00065ACE" w:rsidP="00065ACE">
      <w:pPr>
        <w:numPr>
          <w:ilvl w:val="0"/>
          <w:numId w:val="88"/>
        </w:numPr>
        <w:spacing w:line="240" w:lineRule="auto"/>
        <w:ind w:left="567" w:hanging="426"/>
        <w:rPr>
          <w:rFonts w:eastAsia="Times New Roman" w:cs="Calibri"/>
          <w:sz w:val="22"/>
          <w:szCs w:val="22"/>
        </w:rPr>
      </w:pPr>
      <w:r w:rsidRPr="00065ACE">
        <w:rPr>
          <w:rFonts w:eastAsia="Times New Roman" w:cs="Calibri"/>
          <w:sz w:val="22"/>
          <w:szCs w:val="22"/>
        </w:rPr>
        <w:t>Providers reported 26% of partnerships that have been evaluated have made limited or some progress against this outcome.</w:t>
      </w:r>
    </w:p>
    <w:p w:rsidR="00065ACE" w:rsidRPr="00065ACE" w:rsidRDefault="00065ACE" w:rsidP="00065ACE">
      <w:pPr>
        <w:numPr>
          <w:ilvl w:val="0"/>
          <w:numId w:val="88"/>
        </w:numPr>
        <w:spacing w:line="240" w:lineRule="auto"/>
        <w:ind w:left="567" w:hanging="426"/>
        <w:rPr>
          <w:rFonts w:eastAsia="Times New Roman" w:cs="Calibri"/>
          <w:sz w:val="22"/>
          <w:szCs w:val="22"/>
        </w:rPr>
      </w:pPr>
      <w:r w:rsidRPr="00065ACE">
        <w:rPr>
          <w:rFonts w:eastAsia="Times New Roman" w:cs="Calibri"/>
          <w:sz w:val="22"/>
          <w:szCs w:val="22"/>
        </w:rPr>
        <w:t>There are 327 partnerships (79% of the total number of partnerships in WA) that have demonstrated to some extent that ‘</w:t>
      </w:r>
      <w:r w:rsidRPr="00065ACE">
        <w:rPr>
          <w:rFonts w:eastAsia="Times New Roman" w:cs="Calibri"/>
          <w:i/>
          <w:sz w:val="22"/>
          <w:szCs w:val="22"/>
        </w:rPr>
        <w:t>partners have a clear, shared, realistic goal’</w:t>
      </w:r>
      <w:r w:rsidRPr="00065ACE">
        <w:rPr>
          <w:rFonts w:eastAsia="Times New Roman" w:cs="Calibri"/>
          <w:sz w:val="22"/>
          <w:szCs w:val="22"/>
        </w:rPr>
        <w:t>. Providers reported that 59% of these partnerships have achieved or made considerable progress against this partnership characteristic.</w:t>
      </w:r>
    </w:p>
    <w:p w:rsidR="00065ACE" w:rsidRPr="00065ACE" w:rsidRDefault="00065ACE" w:rsidP="00065ACE">
      <w:pPr>
        <w:spacing w:line="240" w:lineRule="auto"/>
        <w:ind w:left="142" w:hanging="360"/>
        <w:rPr>
          <w:rFonts w:eastAsia="Times New Roman" w:cs="Calibri"/>
          <w:sz w:val="20"/>
          <w:szCs w:val="22"/>
        </w:rPr>
      </w:pPr>
    </w:p>
    <w:p w:rsidR="00065ACE" w:rsidRPr="00065ACE" w:rsidRDefault="00065ACE" w:rsidP="00065ACE">
      <w:pPr>
        <w:spacing w:line="240" w:lineRule="auto"/>
        <w:ind w:left="720" w:hanging="360"/>
        <w:rPr>
          <w:rFonts w:eastAsia="Times New Roman" w:cs="Calibri"/>
          <w:sz w:val="20"/>
          <w:szCs w:val="22"/>
        </w:rPr>
      </w:pPr>
    </w:p>
    <w:p w:rsidR="00065ACE" w:rsidRPr="00065ACE" w:rsidRDefault="00065ACE" w:rsidP="00065ACE">
      <w:pPr>
        <w:spacing w:before="120" w:after="120" w:line="240" w:lineRule="auto"/>
        <w:ind w:right="34"/>
        <w:rPr>
          <w:rFonts w:eastAsia="Times New Roman" w:cs="Calibri"/>
          <w:noProof/>
          <w:sz w:val="22"/>
          <w:szCs w:val="22"/>
          <w:lang w:val="en-US" w:eastAsia="en-AU"/>
        </w:rPr>
        <w:sectPr w:rsidR="00065ACE" w:rsidRPr="00065ACE" w:rsidSect="004B3484">
          <w:type w:val="continuous"/>
          <w:pgSz w:w="11907" w:h="16839" w:code="9"/>
          <w:pgMar w:top="393" w:right="426" w:bottom="567" w:left="709" w:header="1" w:footer="0" w:gutter="0"/>
          <w:cols w:space="708"/>
          <w:docGrid w:linePitch="360"/>
        </w:sectPr>
      </w:pPr>
    </w:p>
    <w:p w:rsidR="00065ACE" w:rsidRPr="00065ACE" w:rsidRDefault="00065ACE" w:rsidP="00065ACE">
      <w:pPr>
        <w:spacing w:before="120" w:after="120" w:line="240" w:lineRule="auto"/>
        <w:ind w:right="34"/>
        <w:rPr>
          <w:rFonts w:eastAsia="Times New Roman" w:cs="Calibri"/>
          <w:noProof/>
          <w:sz w:val="22"/>
          <w:szCs w:val="22"/>
          <w:lang w:val="en-US" w:eastAsia="en-AU"/>
        </w:rPr>
      </w:pPr>
    </w:p>
    <w:p w:rsidR="00065ACE" w:rsidRPr="00065ACE" w:rsidRDefault="00065ACE" w:rsidP="00065ACE">
      <w:pPr>
        <w:spacing w:before="120" w:after="120" w:line="240" w:lineRule="auto"/>
        <w:ind w:right="34"/>
        <w:rPr>
          <w:rFonts w:eastAsia="Times New Roman" w:cs="Calibri"/>
          <w:noProof/>
          <w:sz w:val="22"/>
          <w:szCs w:val="22"/>
          <w:lang w:val="en-US" w:eastAsia="en-AU"/>
        </w:rPr>
        <w:sectPr w:rsidR="00065ACE" w:rsidRPr="00065ACE" w:rsidSect="004B3484">
          <w:type w:val="continuous"/>
          <w:pgSz w:w="11907" w:h="16839" w:code="9"/>
          <w:pgMar w:top="393" w:right="426" w:bottom="567" w:left="709" w:header="1" w:footer="0" w:gutter="0"/>
          <w:cols w:num="2" w:space="708"/>
          <w:docGrid w:linePitch="360"/>
        </w:sectPr>
      </w:pPr>
    </w:p>
    <w:p w:rsidR="00065ACE" w:rsidRPr="00065ACE" w:rsidRDefault="00065ACE" w:rsidP="00065ACE">
      <w:pPr>
        <w:spacing w:line="240" w:lineRule="auto"/>
        <w:rPr>
          <w:rFonts w:eastAsia="Times New Roman" w:cs="Calibri"/>
          <w:b/>
          <w:color w:val="000000"/>
          <w:sz w:val="22"/>
          <w:szCs w:val="22"/>
        </w:rPr>
      </w:pPr>
    </w:p>
    <w:tbl>
      <w:tblPr>
        <w:tblpPr w:leftFromText="180" w:rightFromText="180" w:vertAnchor="text" w:horzAnchor="margin" w:tblpXSpec="center" w:tblpYSpec="inside"/>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6"/>
        <w:gridCol w:w="1213"/>
        <w:gridCol w:w="800"/>
        <w:gridCol w:w="897"/>
        <w:gridCol w:w="1192"/>
        <w:gridCol w:w="1308"/>
        <w:gridCol w:w="956"/>
      </w:tblGrid>
      <w:tr w:rsidR="00065ACE" w:rsidRPr="00065ACE" w:rsidTr="004B3484">
        <w:trPr>
          <w:trHeight w:val="426"/>
        </w:trPr>
        <w:tc>
          <w:tcPr>
            <w:tcW w:w="4446" w:type="dxa"/>
            <w:tcBorders>
              <w:top w:val="single" w:sz="12" w:space="0" w:color="auto"/>
              <w:left w:val="single" w:sz="12" w:space="0" w:color="auto"/>
              <w:bottom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jc w:val="center"/>
              <w:rPr>
                <w:rFonts w:ascii="Arial" w:eastAsia="Times New Roman" w:hAnsi="Arial" w:cs="Arial"/>
                <w:b/>
                <w:bCs/>
                <w:sz w:val="22"/>
                <w:szCs w:val="22"/>
                <w:lang w:eastAsia="en-AU"/>
              </w:rPr>
            </w:pPr>
            <w:r w:rsidRPr="00065ACE">
              <w:rPr>
                <w:rFonts w:eastAsia="Times New Roman" w:cs="Calibri"/>
                <w:b/>
                <w:bCs/>
                <w:sz w:val="22"/>
                <w:szCs w:val="22"/>
                <w:lang w:eastAsia="en-AU"/>
              </w:rPr>
              <w:t xml:space="preserve">Table </w:t>
            </w:r>
            <w:proofErr w:type="spellStart"/>
            <w:r w:rsidRPr="00065ACE">
              <w:rPr>
                <w:rFonts w:eastAsia="Times New Roman" w:cs="Calibri"/>
                <w:b/>
                <w:bCs/>
                <w:sz w:val="22"/>
                <w:szCs w:val="22"/>
                <w:lang w:eastAsia="en-AU"/>
              </w:rPr>
              <w:t>I2</w:t>
            </w:r>
            <w:proofErr w:type="spellEnd"/>
            <w:r w:rsidRPr="00065ACE">
              <w:rPr>
                <w:rFonts w:eastAsia="Times New Roman" w:cs="Calibri"/>
                <w:b/>
                <w:bCs/>
                <w:sz w:val="22"/>
                <w:szCs w:val="22"/>
                <w:lang w:eastAsia="en-AU"/>
              </w:rPr>
              <w:t xml:space="preserve"> – Outcome – Education &amp; Training</w:t>
            </w:r>
          </w:p>
        </w:tc>
        <w:tc>
          <w:tcPr>
            <w:tcW w:w="1213" w:type="dxa"/>
            <w:tcBorders>
              <w:top w:val="single" w:sz="12" w:space="0" w:color="auto"/>
              <w:left w:val="single" w:sz="12" w:space="0" w:color="auto"/>
              <w:bottom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Total </w:t>
            </w:r>
            <w:proofErr w:type="spellStart"/>
            <w:r w:rsidRPr="00065ACE">
              <w:rPr>
                <w:rFonts w:eastAsia="Times New Roman" w:cs="Calibri"/>
                <w:b/>
                <w:bCs/>
                <w:sz w:val="22"/>
                <w:szCs w:val="20"/>
                <w:lang w:eastAsia="en-AU"/>
              </w:rPr>
              <w:t>KPM</w:t>
            </w:r>
            <w:proofErr w:type="spellEnd"/>
            <w:r w:rsidRPr="00065ACE">
              <w:rPr>
                <w:rFonts w:eastAsia="Times New Roman" w:cs="Calibri"/>
                <w:b/>
                <w:bCs/>
                <w:sz w:val="22"/>
                <w:szCs w:val="20"/>
                <w:lang w:eastAsia="en-AU"/>
              </w:rPr>
              <w:t xml:space="preserve"> Evaluations</w:t>
            </w:r>
          </w:p>
        </w:tc>
        <w:tc>
          <w:tcPr>
            <w:tcW w:w="800" w:type="dxa"/>
            <w:tcBorders>
              <w:top w:val="single" w:sz="12" w:space="0" w:color="auto"/>
              <w:left w:val="single" w:sz="12" w:space="0" w:color="auto"/>
              <w:bottom w:val="single" w:sz="12" w:space="0" w:color="auto"/>
              <w:right w:val="single" w:sz="4" w:space="0" w:color="auto"/>
            </w:tcBorders>
            <w:shd w:val="clear" w:color="auto" w:fill="9F9F9F" w:themeFill="accent5" w:themeFillTint="99"/>
            <w:vAlign w:val="center"/>
            <w:hideMark/>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1 – Limited</w:t>
            </w:r>
          </w:p>
        </w:tc>
        <w:tc>
          <w:tcPr>
            <w:tcW w:w="897" w:type="dxa"/>
            <w:tcBorders>
              <w:top w:val="single" w:sz="12" w:space="0" w:color="auto"/>
              <w:left w:val="single" w:sz="4" w:space="0" w:color="auto"/>
              <w:bottom w:val="single" w:sz="12"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2 – Some Progress</w:t>
            </w:r>
          </w:p>
        </w:tc>
        <w:tc>
          <w:tcPr>
            <w:tcW w:w="1192" w:type="dxa"/>
            <w:tcBorders>
              <w:top w:val="single" w:sz="12" w:space="0" w:color="auto"/>
              <w:left w:val="single" w:sz="4" w:space="0" w:color="auto"/>
              <w:bottom w:val="single" w:sz="12"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3 – Satisfactory </w:t>
            </w:r>
          </w:p>
        </w:tc>
        <w:tc>
          <w:tcPr>
            <w:tcW w:w="1308" w:type="dxa"/>
            <w:tcBorders>
              <w:top w:val="single" w:sz="12" w:space="0" w:color="auto"/>
              <w:left w:val="single" w:sz="4" w:space="0" w:color="auto"/>
              <w:bottom w:val="single" w:sz="12"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4 – Considerable Progress</w:t>
            </w:r>
          </w:p>
        </w:tc>
        <w:tc>
          <w:tcPr>
            <w:tcW w:w="956" w:type="dxa"/>
            <w:tcBorders>
              <w:top w:val="single" w:sz="12" w:space="0" w:color="auto"/>
              <w:left w:val="single" w:sz="4" w:space="0" w:color="auto"/>
              <w:bottom w:val="single" w:sz="12"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5 – Achieved</w:t>
            </w:r>
          </w:p>
        </w:tc>
      </w:tr>
      <w:tr w:rsidR="00065ACE" w:rsidRPr="00065ACE" w:rsidTr="004B3484">
        <w:trPr>
          <w:trHeight w:val="899"/>
        </w:trPr>
        <w:tc>
          <w:tcPr>
            <w:tcW w:w="4446"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color w:val="333333"/>
                <w:sz w:val="20"/>
                <w:szCs w:val="20"/>
                <w:lang w:eastAsia="en-AU"/>
              </w:rPr>
            </w:pPr>
            <w:r w:rsidRPr="00065ACE">
              <w:rPr>
                <w:rFonts w:eastAsia="Times New Roman" w:cs="Calibri"/>
                <w:sz w:val="20"/>
                <w:szCs w:val="20"/>
                <w:lang w:eastAsia="en-AU"/>
              </w:rPr>
              <w:t>Education and training providers partnering with stakeholders in their community to ensure all young people participate in challenging, relevant and engaging learning that broadens personal aspirations and improves education and transition outcomes.</w:t>
            </w:r>
          </w:p>
        </w:tc>
        <w:tc>
          <w:tcPr>
            <w:tcW w:w="1213"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439</w:t>
            </w:r>
          </w:p>
        </w:tc>
        <w:tc>
          <w:tcPr>
            <w:tcW w:w="800" w:type="dxa"/>
            <w:tcBorders>
              <w:top w:val="single" w:sz="12" w:space="0" w:color="auto"/>
              <w:left w:val="single" w:sz="12" w:space="0" w:color="auto"/>
              <w:right w:val="single" w:sz="4"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76</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(17%)</w:t>
            </w:r>
          </w:p>
        </w:tc>
        <w:tc>
          <w:tcPr>
            <w:tcW w:w="897"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76</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(17%)</w:t>
            </w:r>
          </w:p>
        </w:tc>
        <w:tc>
          <w:tcPr>
            <w:tcW w:w="1192"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95</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(22%)</w:t>
            </w:r>
          </w:p>
        </w:tc>
        <w:tc>
          <w:tcPr>
            <w:tcW w:w="1308"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98</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(22%)</w:t>
            </w:r>
          </w:p>
        </w:tc>
        <w:tc>
          <w:tcPr>
            <w:tcW w:w="956" w:type="dxa"/>
            <w:tcBorders>
              <w:top w:val="single" w:sz="12" w:space="0" w:color="auto"/>
              <w:left w:val="single" w:sz="4"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94</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(21%)</w:t>
            </w:r>
          </w:p>
        </w:tc>
      </w:tr>
      <w:tr w:rsidR="00065ACE" w:rsidRPr="00065ACE" w:rsidTr="004B3484">
        <w:trPr>
          <w:trHeight w:val="345"/>
        </w:trPr>
        <w:tc>
          <w:tcPr>
            <w:tcW w:w="10812" w:type="dxa"/>
            <w:gridSpan w:val="7"/>
            <w:tcBorders>
              <w:top w:val="single" w:sz="12" w:space="0" w:color="auto"/>
              <w:left w:val="nil"/>
              <w:right w:val="nil"/>
            </w:tcBorders>
            <w:shd w:val="clear" w:color="000000" w:fill="FFFFFF"/>
            <w:vAlign w:val="center"/>
            <w:hideMark/>
          </w:tcPr>
          <w:p w:rsidR="00065ACE" w:rsidRPr="00065ACE" w:rsidRDefault="00065ACE" w:rsidP="00065ACE">
            <w:pPr>
              <w:spacing w:line="240" w:lineRule="auto"/>
              <w:rPr>
                <w:rFonts w:eastAsia="Times New Roman" w:cs="Calibri"/>
                <w:color w:val="000000"/>
                <w:sz w:val="20"/>
                <w:szCs w:val="20"/>
                <w:lang w:eastAsia="en-AU"/>
              </w:rPr>
            </w:pPr>
          </w:p>
        </w:tc>
      </w:tr>
      <w:tr w:rsidR="00065ACE" w:rsidRPr="00065ACE" w:rsidTr="004B3484">
        <w:trPr>
          <w:trHeight w:val="460"/>
        </w:trPr>
        <w:tc>
          <w:tcPr>
            <w:tcW w:w="4446" w:type="dxa"/>
            <w:tcBorders>
              <w:left w:val="single" w:sz="12"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333333"/>
                <w:sz w:val="22"/>
                <w:szCs w:val="20"/>
                <w:lang w:eastAsia="en-AU"/>
              </w:rPr>
            </w:pPr>
            <w:r w:rsidRPr="00065ACE">
              <w:rPr>
                <w:rFonts w:eastAsia="Times New Roman" w:cs="Calibri"/>
                <w:b/>
                <w:bCs/>
                <w:sz w:val="22"/>
                <w:szCs w:val="20"/>
                <w:lang w:eastAsia="en-AU"/>
              </w:rPr>
              <w:t xml:space="preserve">Table </w:t>
            </w:r>
            <w:proofErr w:type="spellStart"/>
            <w:r w:rsidRPr="00065ACE">
              <w:rPr>
                <w:rFonts w:eastAsia="Times New Roman" w:cs="Calibri"/>
                <w:b/>
                <w:bCs/>
                <w:sz w:val="22"/>
                <w:szCs w:val="20"/>
                <w:lang w:eastAsia="en-AU"/>
              </w:rPr>
              <w:t>I2</w:t>
            </w:r>
            <w:proofErr w:type="spellEnd"/>
            <w:r w:rsidRPr="00065ACE">
              <w:rPr>
                <w:rFonts w:eastAsia="Times New Roman" w:cs="Calibri"/>
                <w:b/>
                <w:bCs/>
                <w:sz w:val="22"/>
                <w:szCs w:val="20"/>
                <w:lang w:eastAsia="en-AU"/>
              </w:rPr>
              <w:t xml:space="preserve">  continued – Outcome – Education &amp; Training  (Breakdown of the  </w:t>
            </w:r>
            <w:proofErr w:type="spellStart"/>
            <w:r w:rsidRPr="00065ACE">
              <w:rPr>
                <w:rFonts w:eastAsia="Times New Roman" w:cs="Calibri"/>
                <w:b/>
                <w:bCs/>
                <w:sz w:val="22"/>
                <w:szCs w:val="20"/>
                <w:lang w:eastAsia="en-AU"/>
              </w:rPr>
              <w:t>KPMs</w:t>
            </w:r>
            <w:proofErr w:type="spellEnd"/>
            <w:r w:rsidRPr="00065ACE">
              <w:rPr>
                <w:rFonts w:eastAsia="Times New Roman" w:cs="Calibri"/>
                <w:b/>
                <w:bCs/>
                <w:sz w:val="22"/>
                <w:szCs w:val="20"/>
                <w:lang w:eastAsia="en-AU"/>
              </w:rPr>
              <w:t xml:space="preserve"> which contribute to the outcome above)</w:t>
            </w:r>
          </w:p>
        </w:tc>
        <w:tc>
          <w:tcPr>
            <w:tcW w:w="1213" w:type="dxa"/>
            <w:tcBorders>
              <w:left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Total </w:t>
            </w:r>
            <w:proofErr w:type="spellStart"/>
            <w:r w:rsidRPr="00065ACE">
              <w:rPr>
                <w:rFonts w:eastAsia="Times New Roman" w:cs="Calibri"/>
                <w:b/>
                <w:bCs/>
                <w:sz w:val="22"/>
                <w:szCs w:val="20"/>
                <w:lang w:eastAsia="en-AU"/>
              </w:rPr>
              <w:t>KPM</w:t>
            </w:r>
            <w:proofErr w:type="spellEnd"/>
            <w:r w:rsidRPr="00065ACE">
              <w:rPr>
                <w:rFonts w:eastAsia="Times New Roman" w:cs="Calibri"/>
                <w:b/>
                <w:bCs/>
                <w:sz w:val="22"/>
                <w:szCs w:val="20"/>
                <w:lang w:eastAsia="en-AU"/>
              </w:rPr>
              <w:t xml:space="preserve"> Evaluations</w:t>
            </w:r>
          </w:p>
        </w:tc>
        <w:tc>
          <w:tcPr>
            <w:tcW w:w="800" w:type="dxa"/>
            <w:tcBorders>
              <w:left w:val="single" w:sz="12"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1 – Limited</w:t>
            </w:r>
          </w:p>
        </w:tc>
        <w:tc>
          <w:tcPr>
            <w:tcW w:w="897"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2 – Some Progress</w:t>
            </w:r>
          </w:p>
        </w:tc>
        <w:tc>
          <w:tcPr>
            <w:tcW w:w="1192"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3 – Satisfactory </w:t>
            </w:r>
          </w:p>
        </w:tc>
        <w:tc>
          <w:tcPr>
            <w:tcW w:w="1308"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4 – Considerable Progress</w:t>
            </w:r>
          </w:p>
        </w:tc>
        <w:tc>
          <w:tcPr>
            <w:tcW w:w="956" w:type="dxa"/>
            <w:tcBorders>
              <w:left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5 – Achieved</w:t>
            </w:r>
          </w:p>
        </w:tc>
      </w:tr>
      <w:tr w:rsidR="00065ACE" w:rsidRPr="00065ACE" w:rsidTr="004B3484">
        <w:trPr>
          <w:trHeight w:val="460"/>
        </w:trPr>
        <w:tc>
          <w:tcPr>
            <w:tcW w:w="4446" w:type="dxa"/>
            <w:tcBorders>
              <w:left w:val="single" w:sz="12" w:space="0" w:color="auto"/>
              <w:right w:val="single" w:sz="12" w:space="0" w:color="auto"/>
            </w:tcBorders>
            <w:shd w:val="clear" w:color="000000" w:fill="FFFFFF"/>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education and training providers who accredit community-based learning</w:t>
            </w:r>
          </w:p>
        </w:tc>
        <w:tc>
          <w:tcPr>
            <w:tcW w:w="1213"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39</w:t>
            </w:r>
          </w:p>
        </w:tc>
        <w:tc>
          <w:tcPr>
            <w:tcW w:w="800" w:type="dxa"/>
            <w:tcBorders>
              <w:left w:val="single" w:sz="12" w:space="0" w:color="auto"/>
              <w:right w:val="single" w:sz="4" w:space="0" w:color="auto"/>
            </w:tcBorders>
            <w:shd w:val="clear" w:color="000000" w:fill="FFFFFF"/>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33%</w:t>
            </w:r>
          </w:p>
        </w:tc>
        <w:tc>
          <w:tcPr>
            <w:tcW w:w="897"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18%</w:t>
            </w:r>
          </w:p>
        </w:tc>
        <w:tc>
          <w:tcPr>
            <w:tcW w:w="1192"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21%</w:t>
            </w:r>
          </w:p>
        </w:tc>
        <w:tc>
          <w:tcPr>
            <w:tcW w:w="1308"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15%</w:t>
            </w:r>
          </w:p>
        </w:tc>
        <w:tc>
          <w:tcPr>
            <w:tcW w:w="956" w:type="dxa"/>
            <w:tcBorders>
              <w:left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13%</w:t>
            </w:r>
          </w:p>
        </w:tc>
      </w:tr>
      <w:tr w:rsidR="00065ACE" w:rsidRPr="00065ACE" w:rsidTr="004B3484">
        <w:trPr>
          <w:trHeight w:val="460"/>
        </w:trPr>
        <w:tc>
          <w:tcPr>
            <w:tcW w:w="4446" w:type="dxa"/>
            <w:tcBorders>
              <w:left w:val="single" w:sz="12" w:space="0" w:color="auto"/>
              <w:right w:val="single" w:sz="12" w:space="0" w:color="auto"/>
            </w:tcBorders>
            <w:shd w:val="clear" w:color="000000" w:fill="FFFFFF"/>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education and training providers who have increased opportunities for young people to access trained mentors</w:t>
            </w:r>
          </w:p>
        </w:tc>
        <w:tc>
          <w:tcPr>
            <w:tcW w:w="1213"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83</w:t>
            </w:r>
          </w:p>
        </w:tc>
        <w:tc>
          <w:tcPr>
            <w:tcW w:w="800" w:type="dxa"/>
            <w:tcBorders>
              <w:left w:val="single" w:sz="12" w:space="0" w:color="auto"/>
              <w:right w:val="single" w:sz="4" w:space="0" w:color="auto"/>
            </w:tcBorders>
            <w:shd w:val="clear" w:color="000000" w:fill="FFFFFF"/>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c>
          <w:tcPr>
            <w:tcW w:w="897"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18%</w:t>
            </w:r>
          </w:p>
        </w:tc>
        <w:tc>
          <w:tcPr>
            <w:tcW w:w="1192"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22%</w:t>
            </w:r>
          </w:p>
        </w:tc>
        <w:tc>
          <w:tcPr>
            <w:tcW w:w="1308"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18%</w:t>
            </w:r>
          </w:p>
        </w:tc>
        <w:tc>
          <w:tcPr>
            <w:tcW w:w="956" w:type="dxa"/>
            <w:tcBorders>
              <w:left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17%</w:t>
            </w:r>
          </w:p>
        </w:tc>
      </w:tr>
      <w:tr w:rsidR="00065ACE" w:rsidRPr="00065ACE" w:rsidTr="004B3484">
        <w:trPr>
          <w:trHeight w:val="460"/>
        </w:trPr>
        <w:tc>
          <w:tcPr>
            <w:tcW w:w="4446" w:type="dxa"/>
            <w:tcBorders>
              <w:left w:val="single" w:sz="12" w:space="0" w:color="auto"/>
              <w:bottom w:val="single" w:sz="4" w:space="0" w:color="auto"/>
              <w:right w:val="single" w:sz="12" w:space="0" w:color="auto"/>
            </w:tcBorders>
            <w:shd w:val="clear" w:color="000000" w:fill="FFFFFF"/>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education and training providers who have increased their career practitioner capacity</w:t>
            </w:r>
          </w:p>
        </w:tc>
        <w:tc>
          <w:tcPr>
            <w:tcW w:w="1213" w:type="dxa"/>
            <w:tcBorders>
              <w:left w:val="single" w:sz="12" w:space="0" w:color="auto"/>
              <w:bottom w:val="single" w:sz="4"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56</w:t>
            </w:r>
          </w:p>
        </w:tc>
        <w:tc>
          <w:tcPr>
            <w:tcW w:w="800" w:type="dxa"/>
            <w:tcBorders>
              <w:left w:val="single" w:sz="12" w:space="0" w:color="auto"/>
              <w:bottom w:val="single" w:sz="4" w:space="0" w:color="auto"/>
              <w:right w:val="single" w:sz="4" w:space="0" w:color="auto"/>
            </w:tcBorders>
            <w:shd w:val="clear" w:color="000000" w:fill="FFFFFF"/>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w:t>
            </w:r>
          </w:p>
        </w:tc>
        <w:tc>
          <w:tcPr>
            <w:tcW w:w="897"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w:t>
            </w:r>
          </w:p>
        </w:tc>
        <w:tc>
          <w:tcPr>
            <w:tcW w:w="1192"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32%</w:t>
            </w:r>
          </w:p>
        </w:tc>
        <w:tc>
          <w:tcPr>
            <w:tcW w:w="1308"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23%</w:t>
            </w:r>
          </w:p>
        </w:tc>
        <w:tc>
          <w:tcPr>
            <w:tcW w:w="956" w:type="dxa"/>
            <w:tcBorders>
              <w:left w:val="single" w:sz="4" w:space="0" w:color="auto"/>
              <w:bottom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16%</w:t>
            </w:r>
          </w:p>
        </w:tc>
      </w:tr>
      <w:tr w:rsidR="00065ACE" w:rsidRPr="00065ACE" w:rsidTr="004B3484">
        <w:trPr>
          <w:trHeight w:val="460"/>
        </w:trPr>
        <w:tc>
          <w:tcPr>
            <w:tcW w:w="4446" w:type="dxa"/>
            <w:tcBorders>
              <w:left w:val="single" w:sz="12" w:space="0" w:color="auto"/>
              <w:bottom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Opportunities for meaningful learning as a result of education and training providers partnering with other stakeholders</w:t>
            </w:r>
          </w:p>
        </w:tc>
        <w:tc>
          <w:tcPr>
            <w:tcW w:w="1213" w:type="dxa"/>
            <w:tcBorders>
              <w:left w:val="single" w:sz="12" w:space="0" w:color="auto"/>
              <w:bottom w:val="single" w:sz="12" w:space="0" w:color="auto"/>
              <w:right w:val="single" w:sz="12" w:space="0" w:color="auto"/>
            </w:tcBorders>
            <w:shd w:val="clear" w:color="auto" w:fill="BFBFBF" w:themeFill="accent5" w:themeFillTint="66"/>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261</w:t>
            </w:r>
          </w:p>
        </w:tc>
        <w:tc>
          <w:tcPr>
            <w:tcW w:w="800" w:type="dxa"/>
            <w:tcBorders>
              <w:left w:val="single" w:sz="12" w:space="0" w:color="auto"/>
              <w:bottom w:val="single" w:sz="12" w:space="0" w:color="auto"/>
              <w:right w:val="single" w:sz="4" w:space="0" w:color="auto"/>
            </w:tcBorders>
            <w:shd w:val="clear" w:color="000000"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13%</w:t>
            </w:r>
          </w:p>
        </w:tc>
        <w:tc>
          <w:tcPr>
            <w:tcW w:w="897" w:type="dxa"/>
            <w:tcBorders>
              <w:left w:val="single" w:sz="4" w:space="0" w:color="auto"/>
              <w:bottom w:val="single" w:sz="12" w:space="0" w:color="auto"/>
              <w:right w:val="single" w:sz="4" w:space="0" w:color="auto"/>
            </w:tcBorders>
            <w:shd w:val="clear" w:color="000000"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18%</w:t>
            </w:r>
          </w:p>
        </w:tc>
        <w:tc>
          <w:tcPr>
            <w:tcW w:w="1192" w:type="dxa"/>
            <w:tcBorders>
              <w:left w:val="single" w:sz="4" w:space="0" w:color="auto"/>
              <w:bottom w:val="single" w:sz="12" w:space="0" w:color="auto"/>
              <w:right w:val="single" w:sz="4" w:space="0" w:color="auto"/>
            </w:tcBorders>
            <w:shd w:val="clear" w:color="000000"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20%</w:t>
            </w:r>
          </w:p>
        </w:tc>
        <w:tc>
          <w:tcPr>
            <w:tcW w:w="1308" w:type="dxa"/>
            <w:tcBorders>
              <w:left w:val="single" w:sz="4" w:space="0" w:color="auto"/>
              <w:bottom w:val="single" w:sz="12" w:space="0" w:color="auto"/>
              <w:right w:val="single" w:sz="4" w:space="0" w:color="auto"/>
            </w:tcBorders>
            <w:shd w:val="clear" w:color="000000"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c>
          <w:tcPr>
            <w:tcW w:w="956" w:type="dxa"/>
            <w:tcBorders>
              <w:left w:val="single" w:sz="4" w:space="0" w:color="auto"/>
              <w:bottom w:val="single" w:sz="12" w:space="0" w:color="auto"/>
              <w:right w:val="single" w:sz="12" w:space="0" w:color="auto"/>
            </w:tcBorders>
            <w:shd w:val="clear" w:color="000000"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r>
    </w:tbl>
    <w:p w:rsidR="00065ACE" w:rsidRPr="00065ACE" w:rsidRDefault="00065ACE" w:rsidP="00065ACE">
      <w:pPr>
        <w:spacing w:before="120" w:after="120" w:line="240" w:lineRule="auto"/>
        <w:ind w:left="-284" w:right="34"/>
        <w:rPr>
          <w:rFonts w:eastAsia="Times New Roman" w:cs="Calibri"/>
          <w:sz w:val="20"/>
          <w:szCs w:val="22"/>
          <w:lang w:val="en-US"/>
        </w:rPr>
        <w:sectPr w:rsidR="00065ACE" w:rsidRPr="00065ACE" w:rsidSect="004B3484">
          <w:pgSz w:w="11907" w:h="16839" w:code="9"/>
          <w:pgMar w:top="680" w:right="1134" w:bottom="680" w:left="1134" w:header="709" w:footer="0" w:gutter="0"/>
          <w:cols w:num="2" w:space="708"/>
          <w:docGrid w:linePitch="360"/>
        </w:sectPr>
      </w:pPr>
    </w:p>
    <w:p w:rsidR="00065ACE" w:rsidRPr="00065ACE" w:rsidRDefault="00065ACE" w:rsidP="00065ACE">
      <w:pPr>
        <w:spacing w:before="120" w:after="120" w:line="240" w:lineRule="auto"/>
        <w:ind w:left="-284" w:right="34"/>
        <w:rPr>
          <w:rFonts w:eastAsia="Times New Roman" w:cs="Calibri"/>
          <w:sz w:val="22"/>
          <w:szCs w:val="22"/>
          <w:lang w:val="en-US"/>
        </w:rPr>
      </w:pPr>
      <w:r w:rsidRPr="00065ACE">
        <w:rPr>
          <w:rFonts w:eastAsia="Times New Roman" w:cs="Calibri"/>
          <w:sz w:val="22"/>
          <w:szCs w:val="22"/>
          <w:lang w:val="en-US"/>
        </w:rPr>
        <w:lastRenderedPageBreak/>
        <w:t>The data above shows that</w:t>
      </w:r>
    </w:p>
    <w:p w:rsidR="00065ACE" w:rsidRPr="00065ACE" w:rsidRDefault="00065ACE" w:rsidP="00065ACE">
      <w:pPr>
        <w:numPr>
          <w:ilvl w:val="0"/>
          <w:numId w:val="88"/>
        </w:numPr>
        <w:spacing w:line="240" w:lineRule="auto"/>
        <w:ind w:left="284" w:hanging="568"/>
        <w:rPr>
          <w:rFonts w:eastAsia="Times New Roman" w:cs="Calibri"/>
          <w:sz w:val="22"/>
          <w:szCs w:val="22"/>
        </w:rPr>
      </w:pPr>
      <w:r w:rsidRPr="00065ACE">
        <w:rPr>
          <w:rFonts w:eastAsia="Times New Roman" w:cs="Calibri"/>
          <w:sz w:val="22"/>
          <w:szCs w:val="22"/>
        </w:rPr>
        <w:t>Providers reported 43% of partnerships that have been evaluated have achieved or made considerable progress against this outcome</w:t>
      </w:r>
    </w:p>
    <w:p w:rsidR="00065ACE" w:rsidRPr="00065ACE" w:rsidRDefault="00065ACE" w:rsidP="00065ACE">
      <w:pPr>
        <w:numPr>
          <w:ilvl w:val="0"/>
          <w:numId w:val="88"/>
        </w:numPr>
        <w:spacing w:line="240" w:lineRule="auto"/>
        <w:ind w:left="284" w:hanging="568"/>
        <w:rPr>
          <w:rFonts w:eastAsia="Times New Roman" w:cs="Calibri"/>
          <w:sz w:val="22"/>
          <w:szCs w:val="22"/>
        </w:rPr>
      </w:pPr>
      <w:r w:rsidRPr="00065ACE">
        <w:rPr>
          <w:rFonts w:eastAsia="Times New Roman" w:cs="Calibri"/>
          <w:sz w:val="22"/>
          <w:szCs w:val="22"/>
        </w:rPr>
        <w:t>Providers reported 34% of partnerships that have been evaluated have made limited or some progress against this outcome</w:t>
      </w:r>
    </w:p>
    <w:p w:rsidR="00065ACE" w:rsidRPr="00065ACE" w:rsidRDefault="00065ACE" w:rsidP="00065ACE">
      <w:pPr>
        <w:numPr>
          <w:ilvl w:val="0"/>
          <w:numId w:val="88"/>
        </w:numPr>
        <w:spacing w:line="240" w:lineRule="auto"/>
        <w:ind w:left="284" w:hanging="568"/>
        <w:rPr>
          <w:rFonts w:eastAsia="Times New Roman" w:cs="Calibri"/>
          <w:sz w:val="22"/>
          <w:szCs w:val="22"/>
        </w:rPr>
      </w:pPr>
      <w:r w:rsidRPr="00065ACE">
        <w:rPr>
          <w:rFonts w:eastAsia="Times New Roman" w:cs="Calibri"/>
          <w:sz w:val="22"/>
          <w:szCs w:val="22"/>
        </w:rPr>
        <w:t>There are 261 partnerships (63% of the total number of partnerships in WA) that have made progress towards providing ‘</w:t>
      </w:r>
      <w:r w:rsidRPr="00065ACE">
        <w:rPr>
          <w:rFonts w:eastAsia="Times New Roman" w:cs="Calibri"/>
          <w:i/>
          <w:sz w:val="22"/>
          <w:szCs w:val="22"/>
        </w:rPr>
        <w:t>opportunities for meaningful learning as a result of education and training providers partnering with other stakeholders’</w:t>
      </w:r>
      <w:r w:rsidRPr="00065ACE">
        <w:rPr>
          <w:rFonts w:eastAsia="Times New Roman" w:cs="Calibri"/>
          <w:sz w:val="22"/>
          <w:szCs w:val="22"/>
        </w:rPr>
        <w:t xml:space="preserve">. Providers reported that 50% of these partnerships have achieved or made considerable progress against this </w:t>
      </w:r>
      <w:proofErr w:type="spellStart"/>
      <w:r w:rsidRPr="00065ACE">
        <w:rPr>
          <w:rFonts w:eastAsia="Times New Roman" w:cs="Calibri"/>
          <w:sz w:val="22"/>
          <w:szCs w:val="22"/>
        </w:rPr>
        <w:t>KPM</w:t>
      </w:r>
      <w:proofErr w:type="spellEnd"/>
    </w:p>
    <w:p w:rsidR="00065ACE" w:rsidRPr="00065ACE" w:rsidRDefault="00065ACE" w:rsidP="00065ACE">
      <w:pPr>
        <w:spacing w:line="240" w:lineRule="auto"/>
        <w:ind w:left="284" w:hanging="568"/>
        <w:rPr>
          <w:rFonts w:eastAsia="Times New Roman" w:cs="Calibri"/>
          <w:sz w:val="20"/>
          <w:szCs w:val="22"/>
        </w:rPr>
        <w:sectPr w:rsidR="00065ACE" w:rsidRPr="00065ACE" w:rsidSect="004B3484">
          <w:type w:val="continuous"/>
          <w:pgSz w:w="11907" w:h="16839" w:code="9"/>
          <w:pgMar w:top="680" w:right="1134" w:bottom="680" w:left="1134" w:header="709" w:footer="0" w:gutter="0"/>
          <w:cols w:space="708"/>
          <w:docGrid w:linePitch="360"/>
        </w:sectPr>
      </w:pPr>
    </w:p>
    <w:p w:rsidR="00065ACE" w:rsidRPr="00065ACE" w:rsidRDefault="00065ACE" w:rsidP="00065ACE">
      <w:pPr>
        <w:spacing w:line="240" w:lineRule="auto"/>
        <w:ind w:left="-142"/>
        <w:rPr>
          <w:rFonts w:eastAsia="Times New Roman" w:cs="Calibri"/>
          <w:sz w:val="20"/>
          <w:szCs w:val="22"/>
        </w:rPr>
        <w:sectPr w:rsidR="00065ACE" w:rsidRPr="00065ACE" w:rsidSect="004B3484">
          <w:type w:val="continuous"/>
          <w:pgSz w:w="11907" w:h="16839" w:code="9"/>
          <w:pgMar w:top="680" w:right="1134" w:bottom="680" w:left="1134" w:header="709" w:footer="0" w:gutter="0"/>
          <w:cols w:num="2" w:space="708"/>
          <w:docGrid w:linePitch="360"/>
        </w:sectPr>
      </w:pPr>
      <w:r w:rsidRPr="00065ACE">
        <w:rPr>
          <w:rFonts w:eastAsia="Times New Roman" w:cs="Calibri"/>
          <w:sz w:val="20"/>
          <w:szCs w:val="22"/>
        </w:rPr>
        <w:lastRenderedPageBreak/>
        <w:t>.</w:t>
      </w:r>
    </w:p>
    <w:tbl>
      <w:tblPr>
        <w:tblpPr w:leftFromText="180" w:rightFromText="180" w:vertAnchor="text" w:horzAnchor="margin" w:tblpXSpec="center" w:tblpY="89"/>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25"/>
        <w:gridCol w:w="1208"/>
        <w:gridCol w:w="800"/>
        <w:gridCol w:w="897"/>
        <w:gridCol w:w="1192"/>
        <w:gridCol w:w="1308"/>
        <w:gridCol w:w="956"/>
      </w:tblGrid>
      <w:tr w:rsidR="00065ACE" w:rsidRPr="00065ACE" w:rsidTr="004B3484">
        <w:trPr>
          <w:trHeight w:val="419"/>
        </w:trPr>
        <w:tc>
          <w:tcPr>
            <w:tcW w:w="6376" w:type="dxa"/>
            <w:tcBorders>
              <w:top w:val="single" w:sz="12" w:space="0" w:color="auto"/>
              <w:left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outlineLvl w:val="2"/>
              <w:rPr>
                <w:rFonts w:ascii="Arial" w:eastAsia="Times New Roman" w:hAnsi="Arial" w:cs="Arial"/>
                <w:b/>
                <w:bCs/>
                <w:sz w:val="20"/>
                <w:szCs w:val="22"/>
              </w:rPr>
            </w:pPr>
            <w:bookmarkStart w:id="98" w:name="_Toc355773769"/>
            <w:r w:rsidRPr="00065ACE">
              <w:rPr>
                <w:rFonts w:eastAsia="Times New Roman" w:cs="Calibri"/>
                <w:b/>
                <w:sz w:val="22"/>
                <w:szCs w:val="22"/>
              </w:rPr>
              <w:t xml:space="preserve">Table </w:t>
            </w:r>
            <w:proofErr w:type="spellStart"/>
            <w:r w:rsidRPr="00065ACE">
              <w:rPr>
                <w:rFonts w:eastAsia="Times New Roman" w:cs="Calibri"/>
                <w:b/>
                <w:sz w:val="22"/>
                <w:szCs w:val="22"/>
              </w:rPr>
              <w:t>I3</w:t>
            </w:r>
            <w:proofErr w:type="spellEnd"/>
            <w:r w:rsidRPr="00065ACE">
              <w:rPr>
                <w:rFonts w:eastAsia="Times New Roman" w:cs="Calibri"/>
                <w:b/>
                <w:sz w:val="22"/>
                <w:szCs w:val="22"/>
              </w:rPr>
              <w:t xml:space="preserve"> – Outcome – Business &amp; Industry</w:t>
            </w:r>
            <w:bookmarkEnd w:id="98"/>
          </w:p>
        </w:tc>
        <w:tc>
          <w:tcPr>
            <w:tcW w:w="1235" w:type="dxa"/>
            <w:tcBorders>
              <w:top w:val="single" w:sz="12" w:space="0" w:color="auto"/>
              <w:left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jc w:val="center"/>
              <w:rPr>
                <w:rFonts w:ascii="Arial" w:eastAsia="Times New Roman" w:hAnsi="Arial"/>
                <w:b/>
                <w:bCs/>
                <w:sz w:val="18"/>
                <w:szCs w:val="20"/>
                <w:lang w:eastAsia="en-AU"/>
              </w:rPr>
            </w:pPr>
            <w:r w:rsidRPr="00065ACE">
              <w:rPr>
                <w:rFonts w:ascii="Arial" w:eastAsia="Times New Roman" w:hAnsi="Arial"/>
                <w:b/>
                <w:bCs/>
                <w:sz w:val="18"/>
                <w:szCs w:val="20"/>
                <w:lang w:eastAsia="en-AU"/>
              </w:rPr>
              <w:t xml:space="preserve">Total </w:t>
            </w:r>
            <w:proofErr w:type="spellStart"/>
            <w:r w:rsidRPr="00065ACE">
              <w:rPr>
                <w:rFonts w:ascii="Arial" w:eastAsia="Times New Roman" w:hAnsi="Arial"/>
                <w:b/>
                <w:bCs/>
                <w:sz w:val="18"/>
                <w:szCs w:val="20"/>
                <w:lang w:eastAsia="en-AU"/>
              </w:rPr>
              <w:t>KPM</w:t>
            </w:r>
            <w:proofErr w:type="spellEnd"/>
            <w:r w:rsidRPr="00065ACE">
              <w:rPr>
                <w:rFonts w:ascii="Arial" w:eastAsia="Times New Roman" w:hAnsi="Arial"/>
                <w:b/>
                <w:bCs/>
                <w:sz w:val="18"/>
                <w:szCs w:val="20"/>
                <w:lang w:eastAsia="en-AU"/>
              </w:rPr>
              <w:t xml:space="preserve"> Evaluations</w:t>
            </w:r>
          </w:p>
        </w:tc>
        <w:tc>
          <w:tcPr>
            <w:tcW w:w="635" w:type="dxa"/>
            <w:tcBorders>
              <w:top w:val="single" w:sz="12" w:space="0" w:color="auto"/>
              <w:left w:val="single" w:sz="12" w:space="0" w:color="auto"/>
              <w:right w:val="single" w:sz="4" w:space="0" w:color="auto"/>
            </w:tcBorders>
            <w:shd w:val="clear" w:color="auto" w:fill="9F9F9F" w:themeFill="accent5" w:themeFillTint="99"/>
            <w:vAlign w:val="center"/>
            <w:hideMark/>
          </w:tcPr>
          <w:p w:rsidR="00065ACE" w:rsidRPr="00065ACE" w:rsidRDefault="00065ACE" w:rsidP="00065ACE">
            <w:pPr>
              <w:spacing w:line="240" w:lineRule="auto"/>
              <w:jc w:val="center"/>
              <w:rPr>
                <w:rFonts w:ascii="Arial" w:eastAsia="Times New Roman" w:hAnsi="Arial"/>
                <w:b/>
                <w:bCs/>
                <w:sz w:val="18"/>
                <w:szCs w:val="20"/>
                <w:lang w:eastAsia="en-AU"/>
              </w:rPr>
            </w:pPr>
            <w:r w:rsidRPr="00065ACE">
              <w:rPr>
                <w:rFonts w:ascii="Arial" w:eastAsia="Times New Roman" w:hAnsi="Arial"/>
                <w:b/>
                <w:bCs/>
                <w:sz w:val="18"/>
                <w:szCs w:val="20"/>
                <w:lang w:eastAsia="en-AU"/>
              </w:rPr>
              <w:t>1</w:t>
            </w:r>
          </w:p>
        </w:tc>
        <w:tc>
          <w:tcPr>
            <w:tcW w:w="635" w:type="dxa"/>
            <w:tcBorders>
              <w:top w:val="single" w:sz="12" w:space="0" w:color="auto"/>
              <w:left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ascii="Arial" w:eastAsia="Times New Roman" w:hAnsi="Arial"/>
                <w:b/>
                <w:bCs/>
                <w:sz w:val="18"/>
                <w:szCs w:val="20"/>
                <w:lang w:eastAsia="en-AU"/>
              </w:rPr>
            </w:pPr>
            <w:r w:rsidRPr="00065ACE">
              <w:rPr>
                <w:rFonts w:ascii="Arial" w:eastAsia="Times New Roman" w:hAnsi="Arial"/>
                <w:b/>
                <w:bCs/>
                <w:sz w:val="18"/>
                <w:szCs w:val="20"/>
                <w:lang w:eastAsia="en-AU"/>
              </w:rPr>
              <w:t>2</w:t>
            </w:r>
          </w:p>
        </w:tc>
        <w:tc>
          <w:tcPr>
            <w:tcW w:w="635" w:type="dxa"/>
            <w:tcBorders>
              <w:top w:val="single" w:sz="12" w:space="0" w:color="auto"/>
              <w:left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ascii="Arial" w:eastAsia="Times New Roman" w:hAnsi="Arial"/>
                <w:b/>
                <w:bCs/>
                <w:sz w:val="18"/>
                <w:szCs w:val="20"/>
                <w:lang w:eastAsia="en-AU"/>
              </w:rPr>
            </w:pPr>
            <w:r w:rsidRPr="00065ACE">
              <w:rPr>
                <w:rFonts w:ascii="Arial" w:eastAsia="Times New Roman" w:hAnsi="Arial"/>
                <w:b/>
                <w:bCs/>
                <w:sz w:val="18"/>
                <w:szCs w:val="20"/>
                <w:lang w:eastAsia="en-AU"/>
              </w:rPr>
              <w:t>3</w:t>
            </w:r>
          </w:p>
        </w:tc>
        <w:tc>
          <w:tcPr>
            <w:tcW w:w="635" w:type="dxa"/>
            <w:tcBorders>
              <w:top w:val="single" w:sz="12" w:space="0" w:color="auto"/>
              <w:left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ascii="Arial" w:eastAsia="Times New Roman" w:hAnsi="Arial"/>
                <w:b/>
                <w:bCs/>
                <w:sz w:val="18"/>
                <w:szCs w:val="20"/>
                <w:lang w:eastAsia="en-AU"/>
              </w:rPr>
            </w:pPr>
            <w:r w:rsidRPr="00065ACE">
              <w:rPr>
                <w:rFonts w:ascii="Arial" w:eastAsia="Times New Roman" w:hAnsi="Arial"/>
                <w:b/>
                <w:bCs/>
                <w:sz w:val="18"/>
                <w:szCs w:val="20"/>
                <w:lang w:eastAsia="en-AU"/>
              </w:rPr>
              <w:t>4</w:t>
            </w:r>
          </w:p>
        </w:tc>
        <w:tc>
          <w:tcPr>
            <w:tcW w:w="635" w:type="dxa"/>
            <w:tcBorders>
              <w:top w:val="single" w:sz="12" w:space="0" w:color="auto"/>
              <w:left w:val="single" w:sz="4"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ascii="Arial" w:eastAsia="Times New Roman" w:hAnsi="Arial"/>
                <w:b/>
                <w:bCs/>
                <w:sz w:val="18"/>
                <w:szCs w:val="20"/>
                <w:lang w:eastAsia="en-AU"/>
              </w:rPr>
            </w:pPr>
            <w:r w:rsidRPr="00065ACE">
              <w:rPr>
                <w:rFonts w:ascii="Arial" w:eastAsia="Times New Roman" w:hAnsi="Arial"/>
                <w:b/>
                <w:bCs/>
                <w:sz w:val="18"/>
                <w:szCs w:val="20"/>
                <w:lang w:eastAsia="en-AU"/>
              </w:rPr>
              <w:t>5</w:t>
            </w:r>
          </w:p>
        </w:tc>
      </w:tr>
      <w:tr w:rsidR="00065ACE" w:rsidRPr="00065ACE" w:rsidTr="004B3484">
        <w:trPr>
          <w:trHeight w:val="868"/>
        </w:trPr>
        <w:tc>
          <w:tcPr>
            <w:tcW w:w="6376"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sz w:val="20"/>
                <w:szCs w:val="20"/>
                <w:lang w:eastAsia="en-AU"/>
              </w:rPr>
            </w:pPr>
            <w:r w:rsidRPr="00065ACE">
              <w:rPr>
                <w:rFonts w:eastAsia="Times New Roman" w:cs="Calibri"/>
                <w:bCs/>
                <w:sz w:val="20"/>
                <w:szCs w:val="20"/>
                <w:lang w:eastAsia="en-AU"/>
              </w:rPr>
              <w:t>Business and industry</w:t>
            </w:r>
            <w:r w:rsidRPr="00065ACE">
              <w:rPr>
                <w:rFonts w:eastAsia="Times New Roman" w:cs="Calibri"/>
                <w:sz w:val="20"/>
                <w:szCs w:val="20"/>
                <w:lang w:eastAsia="en-AU"/>
              </w:rPr>
              <w:t xml:space="preserve"> actively engaged in sustainable partnerships that support the development of young people, contribute to the skills and knowledge of the future workforce and improve young people’s education and transition outcomes</w:t>
            </w:r>
            <w:r w:rsidRPr="00065ACE">
              <w:rPr>
                <w:rFonts w:eastAsia="Times New Roman" w:cs="Calibri"/>
                <w:iCs/>
                <w:sz w:val="20"/>
                <w:szCs w:val="20"/>
                <w:lang w:eastAsia="en-AU"/>
              </w:rPr>
              <w:t>.</w:t>
            </w:r>
          </w:p>
        </w:tc>
        <w:tc>
          <w:tcPr>
            <w:tcW w:w="1235"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271</w:t>
            </w:r>
          </w:p>
        </w:tc>
        <w:tc>
          <w:tcPr>
            <w:tcW w:w="635" w:type="dxa"/>
            <w:tcBorders>
              <w:top w:val="single" w:sz="12" w:space="0" w:color="auto"/>
              <w:left w:val="single" w:sz="12" w:space="0" w:color="auto"/>
              <w:right w:val="single" w:sz="4"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68</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(25%)</w:t>
            </w:r>
          </w:p>
        </w:tc>
        <w:tc>
          <w:tcPr>
            <w:tcW w:w="635"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54</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(20%)</w:t>
            </w:r>
          </w:p>
        </w:tc>
        <w:tc>
          <w:tcPr>
            <w:tcW w:w="635"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56</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(21%)</w:t>
            </w:r>
          </w:p>
        </w:tc>
        <w:tc>
          <w:tcPr>
            <w:tcW w:w="635"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55</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(20%)</w:t>
            </w:r>
          </w:p>
        </w:tc>
        <w:tc>
          <w:tcPr>
            <w:tcW w:w="635" w:type="dxa"/>
            <w:tcBorders>
              <w:top w:val="single" w:sz="12" w:space="0" w:color="auto"/>
              <w:left w:val="single" w:sz="4"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38</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(14%)</w:t>
            </w:r>
          </w:p>
        </w:tc>
      </w:tr>
      <w:tr w:rsidR="00065ACE" w:rsidRPr="00065ACE" w:rsidTr="004B3484">
        <w:trPr>
          <w:trHeight w:val="315"/>
        </w:trPr>
        <w:tc>
          <w:tcPr>
            <w:tcW w:w="10786" w:type="dxa"/>
            <w:gridSpan w:val="7"/>
            <w:tcBorders>
              <w:top w:val="single" w:sz="12" w:space="0" w:color="auto"/>
              <w:left w:val="nil"/>
              <w:right w:val="nil"/>
            </w:tcBorders>
            <w:shd w:val="clear" w:color="000000" w:fill="FFFFFF"/>
            <w:vAlign w:val="center"/>
            <w:hideMark/>
          </w:tcPr>
          <w:p w:rsidR="00065ACE" w:rsidRPr="00065ACE" w:rsidRDefault="00065ACE" w:rsidP="00065ACE">
            <w:pPr>
              <w:spacing w:line="240" w:lineRule="auto"/>
              <w:rPr>
                <w:rFonts w:eastAsia="Times New Roman" w:cs="Calibri"/>
                <w:color w:val="000000"/>
                <w:sz w:val="22"/>
                <w:szCs w:val="22"/>
                <w:lang w:eastAsia="en-AU"/>
              </w:rPr>
            </w:pPr>
          </w:p>
        </w:tc>
      </w:tr>
      <w:tr w:rsidR="00065ACE" w:rsidRPr="00065ACE" w:rsidTr="004B3484">
        <w:trPr>
          <w:trHeight w:val="439"/>
        </w:trPr>
        <w:tc>
          <w:tcPr>
            <w:tcW w:w="6376" w:type="dxa"/>
            <w:tcBorders>
              <w:left w:val="single" w:sz="12"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333333"/>
                <w:sz w:val="22"/>
                <w:szCs w:val="20"/>
                <w:lang w:eastAsia="en-AU"/>
              </w:rPr>
            </w:pPr>
            <w:r w:rsidRPr="00065ACE">
              <w:rPr>
                <w:rFonts w:eastAsia="Times New Roman" w:cs="Calibri"/>
                <w:b/>
                <w:bCs/>
                <w:sz w:val="22"/>
                <w:szCs w:val="20"/>
                <w:lang w:eastAsia="en-AU"/>
              </w:rPr>
              <w:t xml:space="preserve">Table </w:t>
            </w:r>
            <w:proofErr w:type="spellStart"/>
            <w:r w:rsidRPr="00065ACE">
              <w:rPr>
                <w:rFonts w:eastAsia="Times New Roman" w:cs="Calibri"/>
                <w:b/>
                <w:bCs/>
                <w:sz w:val="22"/>
                <w:szCs w:val="20"/>
                <w:lang w:eastAsia="en-AU"/>
              </w:rPr>
              <w:t>I3</w:t>
            </w:r>
            <w:proofErr w:type="spellEnd"/>
            <w:r w:rsidRPr="00065ACE">
              <w:rPr>
                <w:rFonts w:eastAsia="Times New Roman" w:cs="Calibri"/>
                <w:b/>
                <w:bCs/>
                <w:sz w:val="22"/>
                <w:szCs w:val="20"/>
                <w:lang w:eastAsia="en-AU"/>
              </w:rPr>
              <w:t xml:space="preserve">  continued – Outcome – Business &amp; Industry (Breakdown of the  </w:t>
            </w:r>
            <w:proofErr w:type="spellStart"/>
            <w:r w:rsidRPr="00065ACE">
              <w:rPr>
                <w:rFonts w:eastAsia="Times New Roman" w:cs="Calibri"/>
                <w:b/>
                <w:bCs/>
                <w:sz w:val="22"/>
                <w:szCs w:val="20"/>
                <w:lang w:eastAsia="en-AU"/>
              </w:rPr>
              <w:t>KPMs</w:t>
            </w:r>
            <w:proofErr w:type="spellEnd"/>
            <w:r w:rsidRPr="00065ACE">
              <w:rPr>
                <w:rFonts w:eastAsia="Times New Roman" w:cs="Calibri"/>
                <w:b/>
                <w:bCs/>
                <w:sz w:val="22"/>
                <w:szCs w:val="20"/>
                <w:lang w:eastAsia="en-AU"/>
              </w:rPr>
              <w:t xml:space="preserve"> which contribute to the outcome above)</w:t>
            </w:r>
          </w:p>
        </w:tc>
        <w:tc>
          <w:tcPr>
            <w:tcW w:w="1235" w:type="dxa"/>
            <w:tcBorders>
              <w:left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Total </w:t>
            </w:r>
            <w:proofErr w:type="spellStart"/>
            <w:r w:rsidRPr="00065ACE">
              <w:rPr>
                <w:rFonts w:eastAsia="Times New Roman" w:cs="Calibri"/>
                <w:b/>
                <w:bCs/>
                <w:sz w:val="22"/>
                <w:szCs w:val="20"/>
                <w:lang w:eastAsia="en-AU"/>
              </w:rPr>
              <w:t>KPM</w:t>
            </w:r>
            <w:proofErr w:type="spellEnd"/>
            <w:r w:rsidRPr="00065ACE">
              <w:rPr>
                <w:rFonts w:eastAsia="Times New Roman" w:cs="Calibri"/>
                <w:b/>
                <w:bCs/>
                <w:sz w:val="22"/>
                <w:szCs w:val="20"/>
                <w:lang w:eastAsia="en-AU"/>
              </w:rPr>
              <w:t xml:space="preserve"> Evaluations</w:t>
            </w:r>
          </w:p>
        </w:tc>
        <w:tc>
          <w:tcPr>
            <w:tcW w:w="635" w:type="dxa"/>
            <w:tcBorders>
              <w:left w:val="single" w:sz="12"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1 – Limited</w:t>
            </w:r>
          </w:p>
        </w:tc>
        <w:tc>
          <w:tcPr>
            <w:tcW w:w="635"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2 – Some Progress</w:t>
            </w:r>
          </w:p>
        </w:tc>
        <w:tc>
          <w:tcPr>
            <w:tcW w:w="635"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3 – Satisfactory </w:t>
            </w:r>
          </w:p>
        </w:tc>
        <w:tc>
          <w:tcPr>
            <w:tcW w:w="635"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4 – Considerable Progress</w:t>
            </w:r>
          </w:p>
        </w:tc>
        <w:tc>
          <w:tcPr>
            <w:tcW w:w="635" w:type="dxa"/>
            <w:tcBorders>
              <w:left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5 – Achieved</w:t>
            </w:r>
          </w:p>
        </w:tc>
      </w:tr>
      <w:tr w:rsidR="00065ACE" w:rsidRPr="00065ACE" w:rsidTr="004B3484">
        <w:trPr>
          <w:trHeight w:val="439"/>
        </w:trPr>
        <w:tc>
          <w:tcPr>
            <w:tcW w:w="6376" w:type="dxa"/>
            <w:tcBorders>
              <w:left w:val="single" w:sz="12" w:space="0" w:color="auto"/>
              <w:right w:val="single" w:sz="12" w:space="0" w:color="auto"/>
            </w:tcBorders>
            <w:shd w:val="clear" w:color="auto" w:fill="auto"/>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businesses providing mentoring/coaching opportunities for young people</w:t>
            </w:r>
          </w:p>
        </w:tc>
        <w:tc>
          <w:tcPr>
            <w:tcW w:w="1235"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91</w:t>
            </w:r>
          </w:p>
        </w:tc>
        <w:tc>
          <w:tcPr>
            <w:tcW w:w="635" w:type="dxa"/>
            <w:tcBorders>
              <w:left w:val="single" w:sz="12"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29%</w:t>
            </w:r>
          </w:p>
        </w:tc>
        <w:tc>
          <w:tcPr>
            <w:tcW w:w="635"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w:t>
            </w:r>
          </w:p>
        </w:tc>
        <w:tc>
          <w:tcPr>
            <w:tcW w:w="635"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24%</w:t>
            </w:r>
          </w:p>
        </w:tc>
        <w:tc>
          <w:tcPr>
            <w:tcW w:w="635"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22%</w:t>
            </w:r>
          </w:p>
        </w:tc>
        <w:tc>
          <w:tcPr>
            <w:tcW w:w="635" w:type="dxa"/>
            <w:tcBorders>
              <w:left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11%</w:t>
            </w:r>
          </w:p>
        </w:tc>
      </w:tr>
      <w:tr w:rsidR="00065ACE" w:rsidRPr="00065ACE" w:rsidTr="004B3484">
        <w:trPr>
          <w:trHeight w:val="439"/>
        </w:trPr>
        <w:tc>
          <w:tcPr>
            <w:tcW w:w="6376" w:type="dxa"/>
            <w:tcBorders>
              <w:left w:val="single" w:sz="12" w:space="0" w:color="auto"/>
              <w:right w:val="single" w:sz="12" w:space="0" w:color="auto"/>
            </w:tcBorders>
            <w:shd w:val="clear" w:color="000000" w:fill="FFFFFF"/>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businesses providing professional development opportunities for teachers and career practitioners</w:t>
            </w:r>
          </w:p>
        </w:tc>
        <w:tc>
          <w:tcPr>
            <w:tcW w:w="1235"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33</w:t>
            </w:r>
          </w:p>
        </w:tc>
        <w:tc>
          <w:tcPr>
            <w:tcW w:w="635" w:type="dxa"/>
            <w:tcBorders>
              <w:left w:val="single" w:sz="12" w:space="0" w:color="auto"/>
              <w:bottom w:val="single" w:sz="4"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42%</w:t>
            </w:r>
          </w:p>
        </w:tc>
        <w:tc>
          <w:tcPr>
            <w:tcW w:w="635"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21%</w:t>
            </w:r>
          </w:p>
        </w:tc>
        <w:tc>
          <w:tcPr>
            <w:tcW w:w="635"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15%</w:t>
            </w:r>
          </w:p>
        </w:tc>
        <w:tc>
          <w:tcPr>
            <w:tcW w:w="635"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12%</w:t>
            </w:r>
          </w:p>
        </w:tc>
        <w:tc>
          <w:tcPr>
            <w:tcW w:w="635" w:type="dxa"/>
            <w:tcBorders>
              <w:left w:val="single" w:sz="4" w:space="0" w:color="auto"/>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w:t>
            </w:r>
          </w:p>
        </w:tc>
      </w:tr>
      <w:tr w:rsidR="00065ACE" w:rsidRPr="00065ACE" w:rsidTr="004B3484">
        <w:trPr>
          <w:trHeight w:val="439"/>
        </w:trPr>
        <w:tc>
          <w:tcPr>
            <w:tcW w:w="6376"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businesses providing quality workplace and community learning opportunities for young people</w:t>
            </w:r>
          </w:p>
        </w:tc>
        <w:tc>
          <w:tcPr>
            <w:tcW w:w="1235" w:type="dxa"/>
            <w:tcBorders>
              <w:left w:val="single" w:sz="12" w:space="0" w:color="auto"/>
              <w:right w:val="single" w:sz="12" w:space="0" w:color="auto"/>
            </w:tcBorders>
            <w:shd w:val="clear" w:color="auto" w:fill="BFBFBF" w:themeFill="accent5" w:themeFillTint="66"/>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147</w:t>
            </w:r>
          </w:p>
        </w:tc>
        <w:tc>
          <w:tcPr>
            <w:tcW w:w="635" w:type="dxa"/>
            <w:tcBorders>
              <w:left w:val="single" w:sz="12" w:space="0" w:color="auto"/>
              <w:right w:val="single" w:sz="4"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19%</w:t>
            </w:r>
          </w:p>
        </w:tc>
        <w:tc>
          <w:tcPr>
            <w:tcW w:w="635" w:type="dxa"/>
            <w:tcBorders>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23%</w:t>
            </w:r>
          </w:p>
        </w:tc>
        <w:tc>
          <w:tcPr>
            <w:tcW w:w="635" w:type="dxa"/>
            <w:tcBorders>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20%</w:t>
            </w:r>
          </w:p>
        </w:tc>
        <w:tc>
          <w:tcPr>
            <w:tcW w:w="635" w:type="dxa"/>
            <w:tcBorders>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21%</w:t>
            </w:r>
          </w:p>
        </w:tc>
        <w:tc>
          <w:tcPr>
            <w:tcW w:w="635" w:type="dxa"/>
            <w:tcBorders>
              <w:left w:val="single" w:sz="4"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17%</w:t>
            </w:r>
          </w:p>
        </w:tc>
      </w:tr>
    </w:tbl>
    <w:p w:rsidR="00065ACE" w:rsidRPr="00065ACE" w:rsidRDefault="00065ACE" w:rsidP="00065ACE">
      <w:pPr>
        <w:tabs>
          <w:tab w:val="left" w:pos="426"/>
        </w:tabs>
        <w:spacing w:line="240" w:lineRule="auto"/>
        <w:rPr>
          <w:rFonts w:eastAsia="Times New Roman" w:cs="Calibri"/>
          <w:sz w:val="20"/>
          <w:szCs w:val="20"/>
        </w:rPr>
      </w:pPr>
    </w:p>
    <w:p w:rsidR="00065ACE" w:rsidRPr="00065ACE" w:rsidRDefault="00065ACE" w:rsidP="00065ACE">
      <w:pPr>
        <w:tabs>
          <w:tab w:val="left" w:pos="426"/>
        </w:tabs>
        <w:spacing w:line="240" w:lineRule="auto"/>
        <w:rPr>
          <w:rFonts w:eastAsia="Times New Roman" w:cs="Calibri"/>
          <w:sz w:val="20"/>
          <w:szCs w:val="20"/>
        </w:rPr>
        <w:sectPr w:rsidR="00065ACE" w:rsidRPr="00065ACE" w:rsidSect="004B3484">
          <w:type w:val="continuous"/>
          <w:pgSz w:w="11907" w:h="16839" w:code="9"/>
          <w:pgMar w:top="680" w:right="1134" w:bottom="680" w:left="1134" w:header="709" w:footer="0" w:gutter="0"/>
          <w:cols w:num="2" w:space="708"/>
          <w:docGrid w:linePitch="360"/>
        </w:sectPr>
      </w:pPr>
    </w:p>
    <w:p w:rsidR="00065ACE" w:rsidRPr="00065ACE" w:rsidRDefault="00065ACE" w:rsidP="00065ACE">
      <w:pPr>
        <w:spacing w:before="120" w:after="120" w:line="240" w:lineRule="auto"/>
        <w:ind w:left="-284" w:right="34"/>
        <w:rPr>
          <w:rFonts w:eastAsia="Times New Roman" w:cs="Calibri"/>
          <w:sz w:val="22"/>
          <w:szCs w:val="22"/>
          <w:lang w:val="en-US"/>
        </w:rPr>
      </w:pPr>
      <w:r w:rsidRPr="00065ACE">
        <w:rPr>
          <w:rFonts w:eastAsia="Times New Roman" w:cs="Calibri"/>
          <w:sz w:val="22"/>
          <w:szCs w:val="22"/>
          <w:lang w:val="en-US"/>
        </w:rPr>
        <w:lastRenderedPageBreak/>
        <w:t>The data above shows that:</w:t>
      </w:r>
    </w:p>
    <w:p w:rsidR="00065ACE" w:rsidRPr="00065ACE" w:rsidRDefault="00065ACE" w:rsidP="00065ACE">
      <w:pPr>
        <w:numPr>
          <w:ilvl w:val="0"/>
          <w:numId w:val="88"/>
        </w:numPr>
        <w:spacing w:line="240" w:lineRule="auto"/>
        <w:ind w:left="142" w:hanging="426"/>
        <w:rPr>
          <w:rFonts w:eastAsia="Times New Roman" w:cs="Calibri"/>
          <w:sz w:val="22"/>
          <w:szCs w:val="22"/>
        </w:rPr>
      </w:pPr>
      <w:r w:rsidRPr="00065ACE">
        <w:rPr>
          <w:rFonts w:eastAsia="Times New Roman" w:cs="Calibri"/>
          <w:sz w:val="22"/>
          <w:szCs w:val="22"/>
        </w:rPr>
        <w:lastRenderedPageBreak/>
        <w:t>Providers reported 34% of partnerships that have been evaluated have achieved or made considerable progress against this outcome.</w:t>
      </w:r>
    </w:p>
    <w:p w:rsidR="00065ACE" w:rsidRPr="00065ACE" w:rsidRDefault="00065ACE" w:rsidP="00065ACE">
      <w:pPr>
        <w:numPr>
          <w:ilvl w:val="0"/>
          <w:numId w:val="88"/>
        </w:numPr>
        <w:spacing w:line="240" w:lineRule="auto"/>
        <w:ind w:left="142" w:hanging="426"/>
        <w:rPr>
          <w:rFonts w:eastAsia="Times New Roman" w:cs="Calibri"/>
          <w:sz w:val="22"/>
          <w:szCs w:val="22"/>
        </w:rPr>
      </w:pPr>
      <w:r w:rsidRPr="00065ACE">
        <w:rPr>
          <w:rFonts w:eastAsia="Times New Roman" w:cs="Calibri"/>
          <w:sz w:val="22"/>
          <w:szCs w:val="22"/>
        </w:rPr>
        <w:t>Providers reported 45% of partnerships that have been evaluated have made limited or some progress against this outcome.</w:t>
      </w:r>
    </w:p>
    <w:p w:rsidR="00065ACE" w:rsidRPr="00065ACE" w:rsidRDefault="00065ACE" w:rsidP="00065ACE">
      <w:pPr>
        <w:numPr>
          <w:ilvl w:val="0"/>
          <w:numId w:val="88"/>
        </w:numPr>
        <w:spacing w:line="240" w:lineRule="auto"/>
        <w:ind w:left="142" w:hanging="426"/>
        <w:rPr>
          <w:rFonts w:eastAsia="Times New Roman" w:cs="Calibri"/>
          <w:sz w:val="22"/>
          <w:szCs w:val="22"/>
        </w:rPr>
      </w:pPr>
      <w:r w:rsidRPr="00065ACE">
        <w:rPr>
          <w:rFonts w:eastAsia="Times New Roman" w:cs="Calibri"/>
          <w:sz w:val="22"/>
          <w:szCs w:val="22"/>
        </w:rPr>
        <w:t>There are 147 partnerships (35% of the total number of partnerships in WA) that have made progress towards increasing ‘</w:t>
      </w:r>
      <w:r w:rsidRPr="00065ACE">
        <w:rPr>
          <w:rFonts w:eastAsia="Times New Roman" w:cs="Calibri"/>
          <w:i/>
          <w:sz w:val="22"/>
          <w:szCs w:val="22"/>
        </w:rPr>
        <w:t>the number of businesses providing quality workplace and community learning opportunities for young people</w:t>
      </w:r>
      <w:r w:rsidRPr="00065ACE">
        <w:rPr>
          <w:rFonts w:eastAsia="Times New Roman" w:cs="Calibri"/>
          <w:sz w:val="22"/>
          <w:szCs w:val="22"/>
        </w:rPr>
        <w:t xml:space="preserve">’. Providers reported that 38% of these partnerships have achieved or made considerable progress against this </w:t>
      </w:r>
      <w:proofErr w:type="spellStart"/>
      <w:r w:rsidRPr="00065ACE">
        <w:rPr>
          <w:rFonts w:eastAsia="Times New Roman" w:cs="Calibri"/>
          <w:sz w:val="22"/>
          <w:szCs w:val="22"/>
        </w:rPr>
        <w:t>KPM</w:t>
      </w:r>
      <w:proofErr w:type="spellEnd"/>
      <w:r w:rsidRPr="00065ACE">
        <w:rPr>
          <w:rFonts w:eastAsia="Times New Roman" w:cs="Calibri"/>
          <w:sz w:val="22"/>
          <w:szCs w:val="22"/>
        </w:rPr>
        <w:t>.</w:t>
      </w:r>
    </w:p>
    <w:p w:rsidR="00065ACE" w:rsidRPr="00065ACE" w:rsidRDefault="00065ACE" w:rsidP="00065ACE">
      <w:pPr>
        <w:spacing w:line="240" w:lineRule="auto"/>
        <w:rPr>
          <w:rFonts w:eastAsia="Times New Roman" w:cs="Calibri"/>
          <w:sz w:val="22"/>
          <w:szCs w:val="22"/>
        </w:rPr>
        <w:sectPr w:rsidR="00065ACE" w:rsidRPr="00065ACE" w:rsidSect="004B3484">
          <w:type w:val="continuous"/>
          <w:pgSz w:w="11907" w:h="16839" w:code="9"/>
          <w:pgMar w:top="680" w:right="1134" w:bottom="680" w:left="1134" w:header="709" w:footer="0" w:gutter="0"/>
          <w:cols w:space="708"/>
          <w:docGrid w:linePitch="360"/>
        </w:sectPr>
      </w:pPr>
    </w:p>
    <w:tbl>
      <w:tblPr>
        <w:tblpPr w:leftFromText="180" w:rightFromText="180" w:vertAnchor="text" w:horzAnchor="margin" w:tblpXSpec="center" w:tblpY="14"/>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8"/>
        <w:gridCol w:w="1219"/>
        <w:gridCol w:w="800"/>
        <w:gridCol w:w="897"/>
        <w:gridCol w:w="1192"/>
        <w:gridCol w:w="1308"/>
        <w:gridCol w:w="956"/>
      </w:tblGrid>
      <w:tr w:rsidR="00065ACE" w:rsidRPr="00065ACE" w:rsidTr="004B3484">
        <w:trPr>
          <w:trHeight w:val="257"/>
        </w:trPr>
        <w:tc>
          <w:tcPr>
            <w:tcW w:w="4518" w:type="dxa"/>
            <w:tcBorders>
              <w:top w:val="single" w:sz="12" w:space="0" w:color="auto"/>
              <w:left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jc w:val="center"/>
              <w:rPr>
                <w:rFonts w:ascii="Arial" w:eastAsia="Times New Roman" w:hAnsi="Arial" w:cs="Arial"/>
                <w:b/>
                <w:bCs/>
                <w:sz w:val="20"/>
                <w:szCs w:val="22"/>
                <w:lang w:eastAsia="en-AU"/>
              </w:rPr>
            </w:pPr>
            <w:r w:rsidRPr="00065ACE">
              <w:rPr>
                <w:rFonts w:eastAsia="Times New Roman" w:cs="Calibri"/>
                <w:b/>
                <w:bCs/>
                <w:sz w:val="22"/>
                <w:szCs w:val="22"/>
                <w:lang w:eastAsia="en-AU"/>
              </w:rPr>
              <w:lastRenderedPageBreak/>
              <w:t xml:space="preserve">Table </w:t>
            </w:r>
            <w:proofErr w:type="spellStart"/>
            <w:r w:rsidRPr="00065ACE">
              <w:rPr>
                <w:rFonts w:eastAsia="Times New Roman" w:cs="Calibri"/>
                <w:b/>
                <w:bCs/>
                <w:sz w:val="22"/>
                <w:szCs w:val="22"/>
                <w:lang w:eastAsia="en-AU"/>
              </w:rPr>
              <w:t>I4</w:t>
            </w:r>
            <w:proofErr w:type="spellEnd"/>
            <w:r w:rsidRPr="00065ACE">
              <w:rPr>
                <w:rFonts w:eastAsia="Times New Roman" w:cs="Calibri"/>
                <w:b/>
                <w:bCs/>
                <w:sz w:val="22"/>
                <w:szCs w:val="22"/>
                <w:lang w:eastAsia="en-AU"/>
              </w:rPr>
              <w:t xml:space="preserve"> – Outcome – Parents &amp; Families</w:t>
            </w:r>
          </w:p>
        </w:tc>
        <w:tc>
          <w:tcPr>
            <w:tcW w:w="1219" w:type="dxa"/>
            <w:tcBorders>
              <w:top w:val="single" w:sz="12" w:space="0" w:color="auto"/>
              <w:left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Total </w:t>
            </w:r>
            <w:proofErr w:type="spellStart"/>
            <w:r w:rsidRPr="00065ACE">
              <w:rPr>
                <w:rFonts w:eastAsia="Times New Roman" w:cs="Calibri"/>
                <w:b/>
                <w:bCs/>
                <w:sz w:val="22"/>
                <w:szCs w:val="20"/>
                <w:lang w:eastAsia="en-AU"/>
              </w:rPr>
              <w:t>KPM</w:t>
            </w:r>
            <w:proofErr w:type="spellEnd"/>
            <w:r w:rsidRPr="00065ACE">
              <w:rPr>
                <w:rFonts w:eastAsia="Times New Roman" w:cs="Calibri"/>
                <w:b/>
                <w:bCs/>
                <w:sz w:val="22"/>
                <w:szCs w:val="20"/>
                <w:lang w:eastAsia="en-AU"/>
              </w:rPr>
              <w:t xml:space="preserve"> Evaluations</w:t>
            </w:r>
          </w:p>
        </w:tc>
        <w:tc>
          <w:tcPr>
            <w:tcW w:w="800" w:type="dxa"/>
            <w:tcBorders>
              <w:top w:val="single" w:sz="12" w:space="0" w:color="auto"/>
              <w:left w:val="single" w:sz="12" w:space="0" w:color="auto"/>
              <w:right w:val="single" w:sz="4" w:space="0" w:color="auto"/>
            </w:tcBorders>
            <w:shd w:val="clear" w:color="auto" w:fill="9F9F9F" w:themeFill="accent5" w:themeFillTint="99"/>
            <w:vAlign w:val="center"/>
            <w:hideMark/>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1 – Limited</w:t>
            </w:r>
          </w:p>
        </w:tc>
        <w:tc>
          <w:tcPr>
            <w:tcW w:w="897" w:type="dxa"/>
            <w:tcBorders>
              <w:top w:val="single" w:sz="12" w:space="0" w:color="auto"/>
              <w:left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2 – Some Progress</w:t>
            </w:r>
          </w:p>
        </w:tc>
        <w:tc>
          <w:tcPr>
            <w:tcW w:w="1192" w:type="dxa"/>
            <w:tcBorders>
              <w:top w:val="single" w:sz="12" w:space="0" w:color="auto"/>
              <w:left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3 – Satisfactory </w:t>
            </w:r>
          </w:p>
        </w:tc>
        <w:tc>
          <w:tcPr>
            <w:tcW w:w="1308" w:type="dxa"/>
            <w:tcBorders>
              <w:top w:val="single" w:sz="12" w:space="0" w:color="auto"/>
              <w:left w:val="single" w:sz="4"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4 – Considerable Progress</w:t>
            </w:r>
          </w:p>
        </w:tc>
        <w:tc>
          <w:tcPr>
            <w:tcW w:w="956" w:type="dxa"/>
            <w:tcBorders>
              <w:top w:val="single" w:sz="12" w:space="0" w:color="auto"/>
              <w:left w:val="single" w:sz="4"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5 – Achieved</w:t>
            </w:r>
          </w:p>
        </w:tc>
      </w:tr>
      <w:tr w:rsidR="00065ACE" w:rsidRPr="00065ACE" w:rsidTr="004B3484">
        <w:trPr>
          <w:trHeight w:val="916"/>
        </w:trPr>
        <w:tc>
          <w:tcPr>
            <w:tcW w:w="4518"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color w:val="333333"/>
                <w:sz w:val="20"/>
                <w:szCs w:val="20"/>
                <w:lang w:eastAsia="en-AU"/>
              </w:rPr>
            </w:pPr>
            <w:r w:rsidRPr="00065ACE">
              <w:rPr>
                <w:rFonts w:eastAsia="Times New Roman" w:cs="Calibri"/>
                <w:sz w:val="20"/>
                <w:szCs w:val="20"/>
                <w:lang w:eastAsia="en-AU"/>
              </w:rPr>
              <w:t>Partnerships that support parents and families to provide an informed and supportive environment for all young people to enable lifelong learning and career and pathway planning, and improve their education and transition outcomes.</w:t>
            </w:r>
            <w:r w:rsidRPr="00065ACE">
              <w:rPr>
                <w:rFonts w:eastAsia="Times New Roman" w:cs="Calibri"/>
                <w:sz w:val="20"/>
                <w:szCs w:val="20"/>
                <w:vertAlign w:val="superscript"/>
                <w:lang w:eastAsia="en-AU"/>
              </w:rPr>
              <w:t>*</w:t>
            </w:r>
          </w:p>
        </w:tc>
        <w:tc>
          <w:tcPr>
            <w:tcW w:w="1219"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360</w:t>
            </w:r>
          </w:p>
        </w:tc>
        <w:tc>
          <w:tcPr>
            <w:tcW w:w="800" w:type="dxa"/>
            <w:tcBorders>
              <w:top w:val="single" w:sz="12" w:space="0" w:color="auto"/>
              <w:left w:val="single" w:sz="12" w:space="0" w:color="auto"/>
              <w:right w:val="single" w:sz="4"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88</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(24%)</w:t>
            </w:r>
          </w:p>
        </w:tc>
        <w:tc>
          <w:tcPr>
            <w:tcW w:w="897"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87</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(24%)</w:t>
            </w:r>
          </w:p>
        </w:tc>
        <w:tc>
          <w:tcPr>
            <w:tcW w:w="1192"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80</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(22%)</w:t>
            </w:r>
          </w:p>
        </w:tc>
        <w:tc>
          <w:tcPr>
            <w:tcW w:w="1308"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67</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(19%)</w:t>
            </w:r>
          </w:p>
        </w:tc>
        <w:tc>
          <w:tcPr>
            <w:tcW w:w="956" w:type="dxa"/>
            <w:tcBorders>
              <w:top w:val="single" w:sz="12" w:space="0" w:color="auto"/>
              <w:left w:val="single" w:sz="4"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38</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(11%)</w:t>
            </w:r>
          </w:p>
        </w:tc>
      </w:tr>
      <w:tr w:rsidR="00065ACE" w:rsidRPr="00065ACE" w:rsidTr="004B3484">
        <w:trPr>
          <w:trHeight w:val="320"/>
        </w:trPr>
        <w:tc>
          <w:tcPr>
            <w:tcW w:w="10890" w:type="dxa"/>
            <w:gridSpan w:val="7"/>
            <w:tcBorders>
              <w:top w:val="single" w:sz="12" w:space="0" w:color="auto"/>
              <w:left w:val="nil"/>
              <w:right w:val="nil"/>
            </w:tcBorders>
            <w:shd w:val="clear" w:color="000000" w:fill="FFFFFF"/>
            <w:vAlign w:val="center"/>
            <w:hideMark/>
          </w:tcPr>
          <w:p w:rsidR="00065ACE" w:rsidRPr="00065ACE" w:rsidRDefault="00065ACE" w:rsidP="00065ACE">
            <w:pPr>
              <w:spacing w:line="240" w:lineRule="auto"/>
              <w:rPr>
                <w:rFonts w:eastAsia="Times New Roman" w:cs="Calibri"/>
                <w:color w:val="000000"/>
                <w:sz w:val="22"/>
                <w:szCs w:val="22"/>
                <w:lang w:eastAsia="en-AU"/>
              </w:rPr>
            </w:pPr>
          </w:p>
        </w:tc>
      </w:tr>
      <w:tr w:rsidR="00065ACE" w:rsidRPr="00065ACE" w:rsidTr="004B3484">
        <w:trPr>
          <w:trHeight w:val="427"/>
        </w:trPr>
        <w:tc>
          <w:tcPr>
            <w:tcW w:w="4518" w:type="dxa"/>
            <w:tcBorders>
              <w:left w:val="single" w:sz="12"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333333"/>
                <w:sz w:val="22"/>
                <w:szCs w:val="20"/>
                <w:lang w:eastAsia="en-AU"/>
              </w:rPr>
            </w:pPr>
            <w:r w:rsidRPr="00065ACE">
              <w:rPr>
                <w:rFonts w:eastAsia="Times New Roman" w:cs="Calibri"/>
                <w:b/>
                <w:bCs/>
                <w:sz w:val="22"/>
                <w:szCs w:val="20"/>
                <w:lang w:eastAsia="en-AU"/>
              </w:rPr>
              <w:t xml:space="preserve">Table </w:t>
            </w:r>
            <w:proofErr w:type="spellStart"/>
            <w:r w:rsidRPr="00065ACE">
              <w:rPr>
                <w:rFonts w:eastAsia="Times New Roman" w:cs="Calibri"/>
                <w:b/>
                <w:bCs/>
                <w:sz w:val="22"/>
                <w:szCs w:val="20"/>
                <w:lang w:eastAsia="en-AU"/>
              </w:rPr>
              <w:t>I4</w:t>
            </w:r>
            <w:proofErr w:type="spellEnd"/>
            <w:r w:rsidRPr="00065ACE">
              <w:rPr>
                <w:rFonts w:eastAsia="Times New Roman" w:cs="Calibri"/>
                <w:b/>
                <w:bCs/>
                <w:sz w:val="22"/>
                <w:szCs w:val="20"/>
                <w:lang w:eastAsia="en-AU"/>
              </w:rPr>
              <w:t xml:space="preserve">  continued – Outcome – Parents &amp; Families (Breakdown of the  </w:t>
            </w:r>
            <w:proofErr w:type="spellStart"/>
            <w:r w:rsidRPr="00065ACE">
              <w:rPr>
                <w:rFonts w:eastAsia="Times New Roman" w:cs="Calibri"/>
                <w:b/>
                <w:bCs/>
                <w:sz w:val="22"/>
                <w:szCs w:val="20"/>
                <w:lang w:eastAsia="en-AU"/>
              </w:rPr>
              <w:t>KPMs</w:t>
            </w:r>
            <w:proofErr w:type="spellEnd"/>
            <w:r w:rsidRPr="00065ACE">
              <w:rPr>
                <w:rFonts w:eastAsia="Times New Roman" w:cs="Calibri"/>
                <w:b/>
                <w:bCs/>
                <w:sz w:val="22"/>
                <w:szCs w:val="20"/>
                <w:lang w:eastAsia="en-AU"/>
              </w:rPr>
              <w:t xml:space="preserve"> which contribute to the outcome above)</w:t>
            </w:r>
          </w:p>
        </w:tc>
        <w:tc>
          <w:tcPr>
            <w:tcW w:w="1219" w:type="dxa"/>
            <w:tcBorders>
              <w:left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Total </w:t>
            </w:r>
            <w:proofErr w:type="spellStart"/>
            <w:r w:rsidRPr="00065ACE">
              <w:rPr>
                <w:rFonts w:eastAsia="Times New Roman" w:cs="Calibri"/>
                <w:b/>
                <w:bCs/>
                <w:sz w:val="22"/>
                <w:szCs w:val="20"/>
                <w:lang w:eastAsia="en-AU"/>
              </w:rPr>
              <w:t>KPM</w:t>
            </w:r>
            <w:proofErr w:type="spellEnd"/>
            <w:r w:rsidRPr="00065ACE">
              <w:rPr>
                <w:rFonts w:eastAsia="Times New Roman" w:cs="Calibri"/>
                <w:b/>
                <w:bCs/>
                <w:sz w:val="22"/>
                <w:szCs w:val="20"/>
                <w:lang w:eastAsia="en-AU"/>
              </w:rPr>
              <w:t xml:space="preserve"> Evaluations</w:t>
            </w:r>
          </w:p>
        </w:tc>
        <w:tc>
          <w:tcPr>
            <w:tcW w:w="800" w:type="dxa"/>
            <w:tcBorders>
              <w:left w:val="single" w:sz="12"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1 – Limited</w:t>
            </w:r>
          </w:p>
        </w:tc>
        <w:tc>
          <w:tcPr>
            <w:tcW w:w="897"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2 – Some Progress</w:t>
            </w:r>
          </w:p>
        </w:tc>
        <w:tc>
          <w:tcPr>
            <w:tcW w:w="1192"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3 – Satisfactory </w:t>
            </w:r>
          </w:p>
        </w:tc>
        <w:tc>
          <w:tcPr>
            <w:tcW w:w="1308"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4 – Considerable Progress</w:t>
            </w:r>
          </w:p>
        </w:tc>
        <w:tc>
          <w:tcPr>
            <w:tcW w:w="956" w:type="dxa"/>
            <w:tcBorders>
              <w:left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5 – Achieved</w:t>
            </w:r>
          </w:p>
        </w:tc>
      </w:tr>
      <w:tr w:rsidR="00065ACE" w:rsidRPr="00065ACE" w:rsidTr="004B3484">
        <w:trPr>
          <w:trHeight w:val="427"/>
        </w:trPr>
        <w:tc>
          <w:tcPr>
            <w:tcW w:w="4518" w:type="dxa"/>
            <w:tcBorders>
              <w:left w:val="single" w:sz="12" w:space="0" w:color="auto"/>
              <w:right w:val="single" w:sz="12" w:space="0" w:color="auto"/>
            </w:tcBorders>
            <w:shd w:val="clear" w:color="auto" w:fill="auto"/>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parents and families that are actively engaged in supporting learning inside and outside the classroom</w:t>
            </w:r>
          </w:p>
        </w:tc>
        <w:tc>
          <w:tcPr>
            <w:tcW w:w="1219"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71</w:t>
            </w:r>
          </w:p>
        </w:tc>
        <w:tc>
          <w:tcPr>
            <w:tcW w:w="800" w:type="dxa"/>
            <w:tcBorders>
              <w:left w:val="single" w:sz="12"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c>
          <w:tcPr>
            <w:tcW w:w="897"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24%</w:t>
            </w:r>
          </w:p>
        </w:tc>
        <w:tc>
          <w:tcPr>
            <w:tcW w:w="1192"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21%</w:t>
            </w:r>
          </w:p>
        </w:tc>
        <w:tc>
          <w:tcPr>
            <w:tcW w:w="1308"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20%</w:t>
            </w:r>
          </w:p>
        </w:tc>
        <w:tc>
          <w:tcPr>
            <w:tcW w:w="956" w:type="dxa"/>
            <w:tcBorders>
              <w:left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10%</w:t>
            </w:r>
          </w:p>
        </w:tc>
      </w:tr>
      <w:tr w:rsidR="00065ACE" w:rsidRPr="00065ACE" w:rsidTr="004B3484">
        <w:trPr>
          <w:trHeight w:val="427"/>
        </w:trPr>
        <w:tc>
          <w:tcPr>
            <w:tcW w:w="4518" w:type="dxa"/>
            <w:tcBorders>
              <w:left w:val="single" w:sz="12" w:space="0" w:color="auto"/>
              <w:right w:val="single" w:sz="12" w:space="0" w:color="auto"/>
            </w:tcBorders>
            <w:shd w:val="clear" w:color="000000" w:fill="FFFFFF"/>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parents and families that are actively involved in career transition planning for their children</w:t>
            </w:r>
          </w:p>
        </w:tc>
        <w:tc>
          <w:tcPr>
            <w:tcW w:w="1219"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44</w:t>
            </w:r>
          </w:p>
        </w:tc>
        <w:tc>
          <w:tcPr>
            <w:tcW w:w="800" w:type="dxa"/>
            <w:tcBorders>
              <w:left w:val="single" w:sz="12"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c>
          <w:tcPr>
            <w:tcW w:w="897"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23%</w:t>
            </w:r>
          </w:p>
        </w:tc>
        <w:tc>
          <w:tcPr>
            <w:tcW w:w="1192"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30%</w:t>
            </w:r>
          </w:p>
        </w:tc>
        <w:tc>
          <w:tcPr>
            <w:tcW w:w="1308" w:type="dxa"/>
            <w:tcBorders>
              <w:left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11%</w:t>
            </w:r>
          </w:p>
        </w:tc>
        <w:tc>
          <w:tcPr>
            <w:tcW w:w="956" w:type="dxa"/>
            <w:tcBorders>
              <w:left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11%</w:t>
            </w:r>
          </w:p>
        </w:tc>
      </w:tr>
      <w:tr w:rsidR="00065ACE" w:rsidRPr="00065ACE" w:rsidTr="004B3484">
        <w:trPr>
          <w:trHeight w:val="427"/>
        </w:trPr>
        <w:tc>
          <w:tcPr>
            <w:tcW w:w="4518" w:type="dxa"/>
            <w:tcBorders>
              <w:left w:val="single" w:sz="12" w:space="0" w:color="auto"/>
              <w:bottom w:val="single" w:sz="4" w:space="0" w:color="auto"/>
              <w:right w:val="single" w:sz="12" w:space="0" w:color="auto"/>
            </w:tcBorders>
            <w:shd w:val="clear" w:color="auto" w:fill="FFFFFF" w:themeFill="background1"/>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parents and families that are better informed about learning and career options</w:t>
            </w:r>
          </w:p>
        </w:tc>
        <w:tc>
          <w:tcPr>
            <w:tcW w:w="1219" w:type="dxa"/>
            <w:tcBorders>
              <w:left w:val="single" w:sz="12" w:space="0" w:color="auto"/>
              <w:bottom w:val="single" w:sz="4"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88</w:t>
            </w:r>
          </w:p>
        </w:tc>
        <w:tc>
          <w:tcPr>
            <w:tcW w:w="800" w:type="dxa"/>
            <w:tcBorders>
              <w:left w:val="single" w:sz="12" w:space="0" w:color="auto"/>
              <w:bottom w:val="single" w:sz="4"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22%</w:t>
            </w:r>
          </w:p>
        </w:tc>
        <w:tc>
          <w:tcPr>
            <w:tcW w:w="897"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c>
          <w:tcPr>
            <w:tcW w:w="1192"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26%</w:t>
            </w:r>
          </w:p>
        </w:tc>
        <w:tc>
          <w:tcPr>
            <w:tcW w:w="1308"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20%</w:t>
            </w:r>
          </w:p>
        </w:tc>
        <w:tc>
          <w:tcPr>
            <w:tcW w:w="956" w:type="dxa"/>
            <w:tcBorders>
              <w:left w:val="single" w:sz="4" w:space="0" w:color="auto"/>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7%</w:t>
            </w:r>
          </w:p>
        </w:tc>
      </w:tr>
      <w:tr w:rsidR="00065ACE" w:rsidRPr="00065ACE" w:rsidTr="004B3484">
        <w:trPr>
          <w:trHeight w:val="427"/>
        </w:trPr>
        <w:tc>
          <w:tcPr>
            <w:tcW w:w="4518" w:type="dxa"/>
            <w:tcBorders>
              <w:left w:val="single" w:sz="12" w:space="0" w:color="auto"/>
              <w:bottom w:val="single" w:sz="4"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parents and families that are confident to interact with education and training providers, employers and community groups to support participation and engagement of their children</w:t>
            </w:r>
          </w:p>
        </w:tc>
        <w:tc>
          <w:tcPr>
            <w:tcW w:w="1219" w:type="dxa"/>
            <w:tcBorders>
              <w:left w:val="single" w:sz="12" w:space="0" w:color="auto"/>
              <w:bottom w:val="single" w:sz="4" w:space="0" w:color="auto"/>
              <w:right w:val="single" w:sz="12" w:space="0" w:color="auto"/>
            </w:tcBorders>
            <w:shd w:val="clear" w:color="auto" w:fill="BFBFBF" w:themeFill="accent5" w:themeFillTint="66"/>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91</w:t>
            </w:r>
          </w:p>
        </w:tc>
        <w:tc>
          <w:tcPr>
            <w:tcW w:w="800" w:type="dxa"/>
            <w:tcBorders>
              <w:left w:val="single" w:sz="12" w:space="0" w:color="auto"/>
              <w:bottom w:val="single" w:sz="4" w:space="0" w:color="auto"/>
              <w:right w:val="single" w:sz="4"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27%</w:t>
            </w:r>
          </w:p>
        </w:tc>
        <w:tc>
          <w:tcPr>
            <w:tcW w:w="897" w:type="dxa"/>
            <w:tcBorders>
              <w:left w:val="single" w:sz="4" w:space="0" w:color="auto"/>
              <w:bottom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24%</w:t>
            </w:r>
          </w:p>
        </w:tc>
        <w:tc>
          <w:tcPr>
            <w:tcW w:w="1192" w:type="dxa"/>
            <w:tcBorders>
              <w:left w:val="single" w:sz="4" w:space="0" w:color="auto"/>
              <w:bottom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18%</w:t>
            </w:r>
          </w:p>
        </w:tc>
        <w:tc>
          <w:tcPr>
            <w:tcW w:w="1308" w:type="dxa"/>
            <w:tcBorders>
              <w:left w:val="single" w:sz="4" w:space="0" w:color="auto"/>
              <w:bottom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16%</w:t>
            </w:r>
          </w:p>
        </w:tc>
        <w:tc>
          <w:tcPr>
            <w:tcW w:w="956" w:type="dxa"/>
            <w:tcBorders>
              <w:left w:val="single" w:sz="4" w:space="0" w:color="auto"/>
              <w:bottom w:val="single" w:sz="4"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w:t>
            </w:r>
          </w:p>
        </w:tc>
      </w:tr>
      <w:tr w:rsidR="00065ACE" w:rsidRPr="00065ACE" w:rsidTr="004B3484">
        <w:trPr>
          <w:trHeight w:val="427"/>
        </w:trPr>
        <w:tc>
          <w:tcPr>
            <w:tcW w:w="4518" w:type="dxa"/>
            <w:tcBorders>
              <w:left w:val="single" w:sz="12" w:space="0" w:color="auto"/>
              <w:bottom w:val="single" w:sz="4" w:space="0" w:color="auto"/>
              <w:right w:val="single" w:sz="12" w:space="0" w:color="auto"/>
            </w:tcBorders>
            <w:shd w:val="clear" w:color="auto" w:fill="auto"/>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parents and families that have improved understanding of the link between learning and career aspirations</w:t>
            </w:r>
          </w:p>
        </w:tc>
        <w:tc>
          <w:tcPr>
            <w:tcW w:w="1219" w:type="dxa"/>
            <w:tcBorders>
              <w:left w:val="single" w:sz="12" w:space="0" w:color="auto"/>
              <w:bottom w:val="single" w:sz="4"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66</w:t>
            </w:r>
          </w:p>
        </w:tc>
        <w:tc>
          <w:tcPr>
            <w:tcW w:w="800" w:type="dxa"/>
            <w:tcBorders>
              <w:left w:val="single" w:sz="12" w:space="0" w:color="auto"/>
              <w:bottom w:val="single" w:sz="4" w:space="0" w:color="auto"/>
              <w:right w:val="single" w:sz="4" w:space="0" w:color="auto"/>
            </w:tcBorders>
            <w:shd w:val="clear" w:color="auto" w:fill="auto"/>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23%</w:t>
            </w:r>
          </w:p>
        </w:tc>
        <w:tc>
          <w:tcPr>
            <w:tcW w:w="897"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24%</w:t>
            </w:r>
          </w:p>
        </w:tc>
        <w:tc>
          <w:tcPr>
            <w:tcW w:w="1192"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20%</w:t>
            </w:r>
          </w:p>
        </w:tc>
        <w:tc>
          <w:tcPr>
            <w:tcW w:w="1308" w:type="dxa"/>
            <w:tcBorders>
              <w:left w:val="single" w:sz="4" w:space="0" w:color="auto"/>
              <w:bottom w:val="single" w:sz="4" w:space="0" w:color="auto"/>
              <w:right w:val="single" w:sz="4"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23%</w:t>
            </w:r>
          </w:p>
        </w:tc>
        <w:tc>
          <w:tcPr>
            <w:tcW w:w="956" w:type="dxa"/>
            <w:tcBorders>
              <w:left w:val="single" w:sz="4" w:space="0" w:color="auto"/>
              <w:bottom w:val="single" w:sz="4" w:space="0" w:color="auto"/>
              <w:right w:val="single" w:sz="12" w:space="0" w:color="auto"/>
            </w:tcBorders>
            <w:shd w:val="clear" w:color="auto" w:fill="auto"/>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11%</w:t>
            </w:r>
          </w:p>
        </w:tc>
      </w:tr>
    </w:tbl>
    <w:p w:rsidR="00065ACE" w:rsidRPr="00065ACE" w:rsidRDefault="00065ACE" w:rsidP="00065ACE">
      <w:pPr>
        <w:spacing w:before="120" w:line="240" w:lineRule="auto"/>
        <w:ind w:right="34"/>
        <w:rPr>
          <w:rFonts w:eastAsia="Times New Roman" w:cs="Calibri"/>
          <w:sz w:val="20"/>
          <w:szCs w:val="22"/>
          <w:lang w:val="en-US"/>
        </w:rPr>
        <w:sectPr w:rsidR="00065ACE" w:rsidRPr="00065ACE" w:rsidSect="004B3484">
          <w:type w:val="continuous"/>
          <w:pgSz w:w="11906" w:h="16838"/>
          <w:pgMar w:top="426" w:right="991" w:bottom="567" w:left="1134" w:header="142" w:footer="0" w:gutter="0"/>
          <w:cols w:num="2" w:space="142" w:equalWidth="0">
            <w:col w:w="4230" w:space="142"/>
            <w:col w:w="5409"/>
          </w:cols>
          <w:docGrid w:linePitch="360"/>
        </w:sectPr>
      </w:pPr>
    </w:p>
    <w:p w:rsidR="00065ACE" w:rsidRPr="00065ACE" w:rsidRDefault="00065ACE" w:rsidP="00065ACE">
      <w:pPr>
        <w:spacing w:before="120" w:line="240" w:lineRule="auto"/>
        <w:ind w:right="34"/>
        <w:rPr>
          <w:rFonts w:eastAsia="Times New Roman" w:cs="Calibri"/>
          <w:sz w:val="20"/>
          <w:szCs w:val="22"/>
          <w:lang w:val="en-US"/>
        </w:rPr>
      </w:pPr>
    </w:p>
    <w:p w:rsidR="00065ACE" w:rsidRPr="00065ACE" w:rsidRDefault="00065ACE" w:rsidP="00065ACE">
      <w:pPr>
        <w:spacing w:before="120" w:line="240" w:lineRule="auto"/>
        <w:ind w:left="-284" w:right="34"/>
        <w:rPr>
          <w:rFonts w:eastAsia="Times New Roman" w:cs="Calibri"/>
          <w:sz w:val="22"/>
          <w:szCs w:val="22"/>
          <w:lang w:val="en-US"/>
        </w:rPr>
      </w:pPr>
      <w:r w:rsidRPr="00065ACE">
        <w:rPr>
          <w:rFonts w:eastAsia="Times New Roman" w:cs="Calibri"/>
          <w:sz w:val="22"/>
          <w:szCs w:val="22"/>
          <w:lang w:val="en-US"/>
        </w:rPr>
        <w:t>The data above shows that:</w:t>
      </w:r>
    </w:p>
    <w:p w:rsidR="00065ACE" w:rsidRPr="00065ACE" w:rsidRDefault="00065ACE" w:rsidP="00065ACE">
      <w:pPr>
        <w:numPr>
          <w:ilvl w:val="0"/>
          <w:numId w:val="88"/>
        </w:numPr>
        <w:spacing w:line="240" w:lineRule="auto"/>
        <w:ind w:left="284" w:right="-397" w:hanging="568"/>
        <w:rPr>
          <w:rFonts w:eastAsia="Times New Roman" w:cs="Calibri"/>
          <w:sz w:val="22"/>
          <w:szCs w:val="22"/>
        </w:rPr>
      </w:pPr>
      <w:r w:rsidRPr="00065ACE">
        <w:rPr>
          <w:rFonts w:eastAsia="Times New Roman" w:cs="Calibri"/>
          <w:sz w:val="22"/>
          <w:szCs w:val="22"/>
        </w:rPr>
        <w:t>Providers reported 30% of partnerships that have been evaluated have achieved or made considerable progress against this outcome</w:t>
      </w:r>
    </w:p>
    <w:p w:rsidR="00065ACE" w:rsidRPr="00065ACE" w:rsidRDefault="00065ACE" w:rsidP="00065ACE">
      <w:pPr>
        <w:numPr>
          <w:ilvl w:val="0"/>
          <w:numId w:val="88"/>
        </w:numPr>
        <w:spacing w:line="240" w:lineRule="auto"/>
        <w:ind w:left="284" w:right="-397" w:hanging="568"/>
        <w:rPr>
          <w:rFonts w:eastAsia="Times New Roman" w:cs="Calibri"/>
          <w:sz w:val="22"/>
          <w:szCs w:val="22"/>
        </w:rPr>
      </w:pPr>
      <w:r w:rsidRPr="00065ACE">
        <w:rPr>
          <w:rFonts w:eastAsia="Times New Roman" w:cs="Calibri"/>
          <w:sz w:val="22"/>
          <w:szCs w:val="22"/>
        </w:rPr>
        <w:t>Providers reported 48% of partnerships that have been evaluated have made limited or some progress against this outcome</w:t>
      </w:r>
    </w:p>
    <w:p w:rsidR="00065ACE" w:rsidRPr="00065ACE" w:rsidRDefault="00065ACE" w:rsidP="00065ACE">
      <w:pPr>
        <w:numPr>
          <w:ilvl w:val="0"/>
          <w:numId w:val="88"/>
        </w:numPr>
        <w:spacing w:line="240" w:lineRule="auto"/>
        <w:ind w:left="284" w:right="-397" w:hanging="568"/>
        <w:rPr>
          <w:rFonts w:eastAsia="Times New Roman" w:cs="Calibri"/>
          <w:sz w:val="22"/>
          <w:szCs w:val="22"/>
        </w:rPr>
        <w:sectPr w:rsidR="00065ACE" w:rsidRPr="00065ACE" w:rsidSect="004B3484">
          <w:type w:val="continuous"/>
          <w:pgSz w:w="11906" w:h="16838"/>
          <w:pgMar w:top="426" w:right="991" w:bottom="567" w:left="1134" w:header="142" w:footer="0" w:gutter="0"/>
          <w:cols w:space="142"/>
          <w:docGrid w:linePitch="360"/>
        </w:sectPr>
      </w:pPr>
      <w:r w:rsidRPr="00065ACE">
        <w:rPr>
          <w:rFonts w:eastAsia="Times New Roman" w:cs="Calibri"/>
          <w:sz w:val="22"/>
          <w:szCs w:val="22"/>
        </w:rPr>
        <w:t>There are 91 partnerships (22% of the total number of partnerships in WA) that have made progress towards providing ‘</w:t>
      </w:r>
      <w:r w:rsidRPr="00065ACE">
        <w:rPr>
          <w:rFonts w:eastAsia="Times New Roman" w:cs="Calibri"/>
          <w:i/>
          <w:sz w:val="22"/>
          <w:szCs w:val="22"/>
        </w:rPr>
        <w:t>an increase in the number of parents and families that are confident to interact with education and training providers, employers and community groups to support participation and engagement of their children’</w:t>
      </w:r>
      <w:r w:rsidRPr="00065ACE">
        <w:rPr>
          <w:rFonts w:eastAsia="Times New Roman" w:cs="Calibri"/>
          <w:sz w:val="22"/>
          <w:szCs w:val="22"/>
        </w:rPr>
        <w:t xml:space="preserve">. Providers reported that 30% of these partnerships have achieved or made considerable progress against this </w:t>
      </w:r>
      <w:proofErr w:type="spellStart"/>
      <w:r w:rsidRPr="00065ACE">
        <w:rPr>
          <w:rFonts w:eastAsia="Times New Roman" w:cs="Calibri"/>
          <w:sz w:val="22"/>
          <w:szCs w:val="22"/>
        </w:rPr>
        <w:t>KPM</w:t>
      </w:r>
      <w:proofErr w:type="spellEnd"/>
      <w:r w:rsidRPr="00065ACE">
        <w:rPr>
          <w:rFonts w:eastAsia="Times New Roman" w:cs="Calibri"/>
          <w:sz w:val="22"/>
          <w:szCs w:val="22"/>
        </w:rPr>
        <w:t>.</w:t>
      </w:r>
    </w:p>
    <w:p w:rsidR="00065ACE" w:rsidRPr="00065ACE" w:rsidRDefault="00065ACE" w:rsidP="00065ACE">
      <w:pPr>
        <w:spacing w:line="240" w:lineRule="auto"/>
        <w:outlineLvl w:val="2"/>
        <w:rPr>
          <w:rFonts w:eastAsia="Times New Roman" w:cs="Calibri"/>
          <w:b/>
          <w:bCs/>
          <w:sz w:val="22"/>
          <w:szCs w:val="22"/>
        </w:rPr>
        <w:sectPr w:rsidR="00065ACE" w:rsidRPr="00065ACE" w:rsidSect="004B3484">
          <w:type w:val="continuous"/>
          <w:pgSz w:w="11906" w:h="16838"/>
          <w:pgMar w:top="709" w:right="991" w:bottom="567" w:left="1134" w:header="142" w:footer="0" w:gutter="0"/>
          <w:cols w:num="2" w:space="0" w:equalWidth="0">
            <w:col w:w="4275" w:space="0"/>
            <w:col w:w="5506"/>
          </w:cols>
          <w:docGrid w:linePitch="360"/>
        </w:sectPr>
      </w:pPr>
      <w:bookmarkStart w:id="99" w:name="_Toc355773771"/>
    </w:p>
    <w:tbl>
      <w:tblPr>
        <w:tblpPr w:leftFromText="180" w:rightFromText="180" w:vertAnchor="text" w:horzAnchor="margin" w:tblpXSpec="center" w:tblpY="22"/>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6"/>
        <w:gridCol w:w="1213"/>
        <w:gridCol w:w="800"/>
        <w:gridCol w:w="897"/>
        <w:gridCol w:w="1192"/>
        <w:gridCol w:w="1308"/>
        <w:gridCol w:w="956"/>
      </w:tblGrid>
      <w:tr w:rsidR="00065ACE" w:rsidRPr="00065ACE" w:rsidTr="004B3484">
        <w:trPr>
          <w:trHeight w:val="426"/>
        </w:trPr>
        <w:tc>
          <w:tcPr>
            <w:tcW w:w="4446" w:type="dxa"/>
            <w:tcBorders>
              <w:top w:val="single" w:sz="12" w:space="0" w:color="auto"/>
              <w:left w:val="single" w:sz="12" w:space="0" w:color="auto"/>
              <w:bottom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jc w:val="center"/>
              <w:rPr>
                <w:rFonts w:ascii="Arial" w:eastAsia="Times New Roman" w:hAnsi="Arial" w:cs="Arial"/>
                <w:b/>
                <w:bCs/>
                <w:sz w:val="20"/>
                <w:szCs w:val="22"/>
                <w:lang w:eastAsia="en-AU"/>
              </w:rPr>
            </w:pPr>
            <w:bookmarkStart w:id="100" w:name="_Toc355769875"/>
            <w:bookmarkEnd w:id="99"/>
            <w:r w:rsidRPr="00065ACE">
              <w:rPr>
                <w:rFonts w:eastAsia="Times New Roman" w:cs="Calibri"/>
                <w:b/>
                <w:bCs/>
                <w:sz w:val="22"/>
                <w:szCs w:val="22"/>
                <w:lang w:eastAsia="en-AU"/>
              </w:rPr>
              <w:lastRenderedPageBreak/>
              <w:t xml:space="preserve">Table </w:t>
            </w:r>
            <w:proofErr w:type="spellStart"/>
            <w:r w:rsidRPr="00065ACE">
              <w:rPr>
                <w:rFonts w:eastAsia="Times New Roman" w:cs="Calibri"/>
                <w:b/>
                <w:bCs/>
                <w:sz w:val="22"/>
                <w:szCs w:val="22"/>
                <w:lang w:eastAsia="en-AU"/>
              </w:rPr>
              <w:t>I5</w:t>
            </w:r>
            <w:proofErr w:type="spellEnd"/>
            <w:r w:rsidRPr="00065ACE">
              <w:rPr>
                <w:rFonts w:eastAsia="Times New Roman" w:cs="Calibri"/>
                <w:b/>
                <w:bCs/>
                <w:sz w:val="22"/>
                <w:szCs w:val="22"/>
                <w:lang w:eastAsia="en-AU"/>
              </w:rPr>
              <w:t xml:space="preserve"> – Outcome – Community Groups</w:t>
            </w:r>
            <w:bookmarkEnd w:id="100"/>
          </w:p>
        </w:tc>
        <w:tc>
          <w:tcPr>
            <w:tcW w:w="1213" w:type="dxa"/>
            <w:tcBorders>
              <w:top w:val="single" w:sz="12" w:space="0" w:color="auto"/>
              <w:left w:val="single" w:sz="12" w:space="0" w:color="auto"/>
              <w:bottom w:val="single" w:sz="12" w:space="0" w:color="auto"/>
              <w:right w:val="single" w:sz="12" w:space="0" w:color="auto"/>
            </w:tcBorders>
            <w:shd w:val="clear" w:color="auto" w:fill="9F9F9F" w:themeFill="accent5" w:themeFillTint="99"/>
            <w:vAlign w:val="center"/>
            <w:hideMark/>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Total </w:t>
            </w:r>
            <w:proofErr w:type="spellStart"/>
            <w:r w:rsidRPr="00065ACE">
              <w:rPr>
                <w:rFonts w:eastAsia="Times New Roman" w:cs="Calibri"/>
                <w:b/>
                <w:bCs/>
                <w:sz w:val="22"/>
                <w:szCs w:val="20"/>
                <w:lang w:eastAsia="en-AU"/>
              </w:rPr>
              <w:t>KPM</w:t>
            </w:r>
            <w:proofErr w:type="spellEnd"/>
            <w:r w:rsidRPr="00065ACE">
              <w:rPr>
                <w:rFonts w:eastAsia="Times New Roman" w:cs="Calibri"/>
                <w:b/>
                <w:bCs/>
                <w:sz w:val="22"/>
                <w:szCs w:val="20"/>
                <w:lang w:eastAsia="en-AU"/>
              </w:rPr>
              <w:t xml:space="preserve"> Evaluations</w:t>
            </w:r>
          </w:p>
        </w:tc>
        <w:tc>
          <w:tcPr>
            <w:tcW w:w="800" w:type="dxa"/>
            <w:tcBorders>
              <w:top w:val="single" w:sz="12" w:space="0" w:color="auto"/>
              <w:left w:val="single" w:sz="12" w:space="0" w:color="auto"/>
              <w:bottom w:val="single" w:sz="12" w:space="0" w:color="auto"/>
              <w:right w:val="single" w:sz="4" w:space="0" w:color="auto"/>
            </w:tcBorders>
            <w:shd w:val="clear" w:color="auto" w:fill="9F9F9F" w:themeFill="accent5" w:themeFillTint="99"/>
            <w:vAlign w:val="center"/>
            <w:hideMark/>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1 – Limited</w:t>
            </w:r>
          </w:p>
        </w:tc>
        <w:tc>
          <w:tcPr>
            <w:tcW w:w="897" w:type="dxa"/>
            <w:tcBorders>
              <w:top w:val="single" w:sz="12" w:space="0" w:color="auto"/>
              <w:left w:val="single" w:sz="4" w:space="0" w:color="auto"/>
              <w:bottom w:val="single" w:sz="12"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2 – Some Progress</w:t>
            </w:r>
          </w:p>
        </w:tc>
        <w:tc>
          <w:tcPr>
            <w:tcW w:w="1192" w:type="dxa"/>
            <w:tcBorders>
              <w:top w:val="single" w:sz="12" w:space="0" w:color="auto"/>
              <w:left w:val="single" w:sz="4" w:space="0" w:color="auto"/>
              <w:bottom w:val="single" w:sz="12"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3 – Satisfactory </w:t>
            </w:r>
          </w:p>
        </w:tc>
        <w:tc>
          <w:tcPr>
            <w:tcW w:w="1308" w:type="dxa"/>
            <w:tcBorders>
              <w:top w:val="single" w:sz="12" w:space="0" w:color="auto"/>
              <w:left w:val="single" w:sz="4" w:space="0" w:color="auto"/>
              <w:bottom w:val="single" w:sz="12" w:space="0" w:color="auto"/>
              <w:right w:val="single" w:sz="4"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4 – Considerable Progress</w:t>
            </w:r>
          </w:p>
        </w:tc>
        <w:tc>
          <w:tcPr>
            <w:tcW w:w="956" w:type="dxa"/>
            <w:tcBorders>
              <w:top w:val="single" w:sz="12" w:space="0" w:color="auto"/>
              <w:left w:val="single" w:sz="4" w:space="0" w:color="auto"/>
              <w:bottom w:val="single" w:sz="12" w:space="0" w:color="auto"/>
              <w:right w:val="single" w:sz="12" w:space="0" w:color="auto"/>
            </w:tcBorders>
            <w:shd w:val="clear" w:color="auto" w:fill="9F9F9F" w:themeFill="accent5" w:themeFillTint="99"/>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5 – Achieved</w:t>
            </w:r>
          </w:p>
        </w:tc>
      </w:tr>
      <w:tr w:rsidR="00065ACE" w:rsidRPr="00065ACE" w:rsidTr="004B3484">
        <w:trPr>
          <w:trHeight w:val="899"/>
        </w:trPr>
        <w:tc>
          <w:tcPr>
            <w:tcW w:w="4446"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color w:val="333333"/>
                <w:sz w:val="20"/>
                <w:szCs w:val="20"/>
                <w:lang w:eastAsia="en-AU"/>
              </w:rPr>
            </w:pPr>
            <w:r w:rsidRPr="00065ACE">
              <w:rPr>
                <w:rFonts w:eastAsia="Times New Roman" w:cs="Calibri"/>
                <w:sz w:val="20"/>
                <w:szCs w:val="20"/>
                <w:lang w:eastAsia="en-AU"/>
              </w:rPr>
              <w:t>Community groups participating in partnerships that harness resources and build social capital to support young people to identify and achieve their goals and improve their education and transition outcomes.</w:t>
            </w:r>
          </w:p>
        </w:tc>
        <w:tc>
          <w:tcPr>
            <w:tcW w:w="1213" w:type="dxa"/>
            <w:tcBorders>
              <w:top w:val="single" w:sz="12" w:space="0" w:color="auto"/>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670</w:t>
            </w:r>
          </w:p>
        </w:tc>
        <w:tc>
          <w:tcPr>
            <w:tcW w:w="800" w:type="dxa"/>
            <w:tcBorders>
              <w:top w:val="single" w:sz="12" w:space="0" w:color="auto"/>
              <w:left w:val="single" w:sz="12" w:space="0" w:color="auto"/>
              <w:right w:val="single" w:sz="4"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116</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(17%)</w:t>
            </w:r>
          </w:p>
        </w:tc>
        <w:tc>
          <w:tcPr>
            <w:tcW w:w="897"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140</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(21%)</w:t>
            </w:r>
          </w:p>
        </w:tc>
        <w:tc>
          <w:tcPr>
            <w:tcW w:w="1192"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154</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(23%)</w:t>
            </w:r>
          </w:p>
        </w:tc>
        <w:tc>
          <w:tcPr>
            <w:tcW w:w="1308" w:type="dxa"/>
            <w:tcBorders>
              <w:top w:val="single" w:sz="12" w:space="0" w:color="auto"/>
              <w:left w:val="single" w:sz="4" w:space="0" w:color="auto"/>
              <w:right w:val="single" w:sz="4"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168</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(25%)</w:t>
            </w:r>
          </w:p>
        </w:tc>
        <w:tc>
          <w:tcPr>
            <w:tcW w:w="956" w:type="dxa"/>
            <w:tcBorders>
              <w:top w:val="single" w:sz="12" w:space="0" w:color="auto"/>
              <w:left w:val="single" w:sz="4"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92</w:t>
            </w:r>
          </w:p>
          <w:p w:rsidR="00065ACE" w:rsidRPr="00065ACE" w:rsidRDefault="00065ACE" w:rsidP="00065ACE">
            <w:pPr>
              <w:spacing w:line="240" w:lineRule="auto"/>
              <w:jc w:val="center"/>
              <w:rPr>
                <w:rFonts w:eastAsia="Times New Roman" w:cs="Calibri"/>
                <w:b/>
                <w:bCs/>
                <w:color w:val="000000"/>
                <w:sz w:val="20"/>
                <w:szCs w:val="20"/>
              </w:rPr>
            </w:pPr>
            <w:r w:rsidRPr="00065ACE">
              <w:rPr>
                <w:rFonts w:eastAsia="Times New Roman" w:cs="Calibri"/>
                <w:b/>
                <w:bCs/>
                <w:color w:val="000000"/>
                <w:sz w:val="20"/>
                <w:szCs w:val="20"/>
              </w:rPr>
              <w:t>(14%)</w:t>
            </w:r>
          </w:p>
        </w:tc>
      </w:tr>
      <w:tr w:rsidR="00065ACE" w:rsidRPr="00065ACE" w:rsidTr="004B3484">
        <w:trPr>
          <w:trHeight w:val="345"/>
        </w:trPr>
        <w:tc>
          <w:tcPr>
            <w:tcW w:w="10812" w:type="dxa"/>
            <w:gridSpan w:val="7"/>
            <w:tcBorders>
              <w:top w:val="single" w:sz="12" w:space="0" w:color="auto"/>
              <w:left w:val="nil"/>
              <w:right w:val="nil"/>
            </w:tcBorders>
            <w:shd w:val="clear" w:color="000000" w:fill="FFFFFF"/>
            <w:vAlign w:val="center"/>
            <w:hideMark/>
          </w:tcPr>
          <w:p w:rsidR="00065ACE" w:rsidRPr="00065ACE" w:rsidRDefault="00065ACE" w:rsidP="00065ACE">
            <w:pPr>
              <w:spacing w:line="240" w:lineRule="auto"/>
              <w:rPr>
                <w:rFonts w:eastAsia="Times New Roman" w:cs="Calibri"/>
                <w:color w:val="000000"/>
                <w:sz w:val="20"/>
                <w:szCs w:val="20"/>
                <w:lang w:eastAsia="en-AU"/>
              </w:rPr>
            </w:pPr>
          </w:p>
        </w:tc>
      </w:tr>
      <w:tr w:rsidR="00065ACE" w:rsidRPr="00065ACE" w:rsidTr="004B3484">
        <w:trPr>
          <w:trHeight w:val="460"/>
        </w:trPr>
        <w:tc>
          <w:tcPr>
            <w:tcW w:w="4446" w:type="dxa"/>
            <w:tcBorders>
              <w:left w:val="single" w:sz="12"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333333"/>
                <w:sz w:val="22"/>
                <w:szCs w:val="20"/>
                <w:lang w:eastAsia="en-AU"/>
              </w:rPr>
            </w:pPr>
            <w:r w:rsidRPr="00065ACE">
              <w:rPr>
                <w:rFonts w:eastAsia="Times New Roman" w:cs="Calibri"/>
                <w:b/>
                <w:bCs/>
                <w:sz w:val="22"/>
                <w:szCs w:val="20"/>
                <w:lang w:eastAsia="en-AU"/>
              </w:rPr>
              <w:t xml:space="preserve">Table </w:t>
            </w:r>
            <w:proofErr w:type="spellStart"/>
            <w:r w:rsidRPr="00065ACE">
              <w:rPr>
                <w:rFonts w:eastAsia="Times New Roman" w:cs="Calibri"/>
                <w:b/>
                <w:bCs/>
                <w:sz w:val="22"/>
                <w:szCs w:val="20"/>
                <w:lang w:eastAsia="en-AU"/>
              </w:rPr>
              <w:t>I5</w:t>
            </w:r>
            <w:proofErr w:type="spellEnd"/>
            <w:r w:rsidRPr="00065ACE">
              <w:rPr>
                <w:rFonts w:eastAsia="Times New Roman" w:cs="Calibri"/>
                <w:b/>
                <w:bCs/>
                <w:sz w:val="22"/>
                <w:szCs w:val="20"/>
                <w:lang w:eastAsia="en-AU"/>
              </w:rPr>
              <w:t xml:space="preserve">  continued – Outcome – Community Groups (Breakdown of the  </w:t>
            </w:r>
            <w:proofErr w:type="spellStart"/>
            <w:r w:rsidRPr="00065ACE">
              <w:rPr>
                <w:rFonts w:eastAsia="Times New Roman" w:cs="Calibri"/>
                <w:b/>
                <w:bCs/>
                <w:sz w:val="22"/>
                <w:szCs w:val="20"/>
                <w:lang w:eastAsia="en-AU"/>
              </w:rPr>
              <w:t>KPMs</w:t>
            </w:r>
            <w:proofErr w:type="spellEnd"/>
            <w:r w:rsidRPr="00065ACE">
              <w:rPr>
                <w:rFonts w:eastAsia="Times New Roman" w:cs="Calibri"/>
                <w:b/>
                <w:bCs/>
                <w:sz w:val="22"/>
                <w:szCs w:val="20"/>
                <w:lang w:eastAsia="en-AU"/>
              </w:rPr>
              <w:t xml:space="preserve"> which contribute to the outcome above)</w:t>
            </w:r>
          </w:p>
        </w:tc>
        <w:tc>
          <w:tcPr>
            <w:tcW w:w="1213" w:type="dxa"/>
            <w:tcBorders>
              <w:left w:val="single" w:sz="12" w:space="0" w:color="auto"/>
              <w:right w:val="single" w:sz="12" w:space="0" w:color="auto"/>
            </w:tcBorders>
            <w:shd w:val="clear" w:color="auto" w:fill="DFDFDF" w:themeFill="accent5" w:themeFillTint="33"/>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Total </w:t>
            </w:r>
            <w:proofErr w:type="spellStart"/>
            <w:r w:rsidRPr="00065ACE">
              <w:rPr>
                <w:rFonts w:eastAsia="Times New Roman" w:cs="Calibri"/>
                <w:b/>
                <w:bCs/>
                <w:sz w:val="22"/>
                <w:szCs w:val="20"/>
                <w:lang w:eastAsia="en-AU"/>
              </w:rPr>
              <w:t>KPM</w:t>
            </w:r>
            <w:proofErr w:type="spellEnd"/>
            <w:r w:rsidRPr="00065ACE">
              <w:rPr>
                <w:rFonts w:eastAsia="Times New Roman" w:cs="Calibri"/>
                <w:b/>
                <w:bCs/>
                <w:sz w:val="22"/>
                <w:szCs w:val="20"/>
                <w:lang w:eastAsia="en-AU"/>
              </w:rPr>
              <w:t xml:space="preserve"> Evaluations</w:t>
            </w:r>
          </w:p>
        </w:tc>
        <w:tc>
          <w:tcPr>
            <w:tcW w:w="800" w:type="dxa"/>
            <w:tcBorders>
              <w:left w:val="single" w:sz="12"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1 – Limited</w:t>
            </w:r>
          </w:p>
        </w:tc>
        <w:tc>
          <w:tcPr>
            <w:tcW w:w="897"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2 – Some Progress</w:t>
            </w:r>
          </w:p>
        </w:tc>
        <w:tc>
          <w:tcPr>
            <w:tcW w:w="1192"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 xml:space="preserve">3 – Satisfactory </w:t>
            </w:r>
          </w:p>
        </w:tc>
        <w:tc>
          <w:tcPr>
            <w:tcW w:w="1308"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4 – Considerable Progress</w:t>
            </w:r>
          </w:p>
        </w:tc>
        <w:tc>
          <w:tcPr>
            <w:tcW w:w="956" w:type="dxa"/>
            <w:tcBorders>
              <w:left w:val="single" w:sz="4" w:space="0" w:color="auto"/>
              <w:bottom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b/>
                <w:bCs/>
                <w:color w:val="000000"/>
                <w:sz w:val="22"/>
                <w:szCs w:val="20"/>
                <w:lang w:eastAsia="en-AU"/>
              </w:rPr>
            </w:pPr>
            <w:r w:rsidRPr="00065ACE">
              <w:rPr>
                <w:rFonts w:eastAsia="Times New Roman" w:cs="Calibri"/>
                <w:b/>
                <w:bCs/>
                <w:sz w:val="22"/>
                <w:szCs w:val="20"/>
                <w:lang w:eastAsia="en-AU"/>
              </w:rPr>
              <w:t>5 – Achieved</w:t>
            </w:r>
          </w:p>
        </w:tc>
      </w:tr>
      <w:tr w:rsidR="00065ACE" w:rsidRPr="00065ACE" w:rsidTr="004B3484">
        <w:trPr>
          <w:trHeight w:val="460"/>
        </w:trPr>
        <w:tc>
          <w:tcPr>
            <w:tcW w:w="4446" w:type="dxa"/>
            <w:tcBorders>
              <w:left w:val="single" w:sz="12" w:space="0" w:color="auto"/>
              <w:right w:val="single" w:sz="12" w:space="0" w:color="auto"/>
            </w:tcBorders>
            <w:shd w:val="clear" w:color="000000" w:fill="FFFFFF"/>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community groups that partner with stakeholders to align services for young people and reduce service duplication and resource wastage</w:t>
            </w:r>
          </w:p>
        </w:tc>
        <w:tc>
          <w:tcPr>
            <w:tcW w:w="1213"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58</w:t>
            </w:r>
          </w:p>
        </w:tc>
        <w:tc>
          <w:tcPr>
            <w:tcW w:w="800" w:type="dxa"/>
            <w:tcBorders>
              <w:left w:val="single" w:sz="12" w:space="0" w:color="auto"/>
              <w:bottom w:val="single" w:sz="4" w:space="0" w:color="auto"/>
              <w:right w:val="single" w:sz="4" w:space="0" w:color="auto"/>
            </w:tcBorders>
            <w:shd w:val="clear" w:color="000000" w:fill="FFFFFF"/>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21%</w:t>
            </w:r>
          </w:p>
        </w:tc>
        <w:tc>
          <w:tcPr>
            <w:tcW w:w="897"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19%</w:t>
            </w:r>
          </w:p>
        </w:tc>
        <w:tc>
          <w:tcPr>
            <w:tcW w:w="1192"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17%</w:t>
            </w:r>
          </w:p>
        </w:tc>
        <w:tc>
          <w:tcPr>
            <w:tcW w:w="1308"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29%</w:t>
            </w:r>
          </w:p>
        </w:tc>
        <w:tc>
          <w:tcPr>
            <w:tcW w:w="956" w:type="dxa"/>
            <w:tcBorders>
              <w:left w:val="single" w:sz="4" w:space="0" w:color="auto"/>
              <w:bottom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w:t>
            </w:r>
          </w:p>
        </w:tc>
      </w:tr>
      <w:tr w:rsidR="00065ACE" w:rsidRPr="00065ACE" w:rsidTr="004B3484">
        <w:trPr>
          <w:trHeight w:val="460"/>
        </w:trPr>
        <w:tc>
          <w:tcPr>
            <w:tcW w:w="4446"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community groups that partner with stakeholders to build networks and linkages among agencies to support young people</w:t>
            </w:r>
          </w:p>
        </w:tc>
        <w:tc>
          <w:tcPr>
            <w:tcW w:w="1213" w:type="dxa"/>
            <w:tcBorders>
              <w:left w:val="single" w:sz="12" w:space="0" w:color="auto"/>
              <w:right w:val="single" w:sz="12" w:space="0" w:color="auto"/>
            </w:tcBorders>
            <w:shd w:val="clear" w:color="auto" w:fill="BFBFBF" w:themeFill="accent5" w:themeFillTint="66"/>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157</w:t>
            </w:r>
          </w:p>
        </w:tc>
        <w:tc>
          <w:tcPr>
            <w:tcW w:w="800" w:type="dxa"/>
            <w:tcBorders>
              <w:left w:val="single" w:sz="12" w:space="0" w:color="auto"/>
              <w:right w:val="single" w:sz="4" w:space="0" w:color="auto"/>
            </w:tcBorders>
            <w:shd w:val="clear" w:color="000000"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15%</w:t>
            </w:r>
          </w:p>
        </w:tc>
        <w:tc>
          <w:tcPr>
            <w:tcW w:w="897" w:type="dxa"/>
            <w:tcBorders>
              <w:left w:val="single" w:sz="4" w:space="0" w:color="auto"/>
              <w:right w:val="single" w:sz="4" w:space="0" w:color="auto"/>
            </w:tcBorders>
            <w:shd w:val="clear" w:color="000000"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17%</w:t>
            </w:r>
          </w:p>
        </w:tc>
        <w:tc>
          <w:tcPr>
            <w:tcW w:w="1192" w:type="dxa"/>
            <w:tcBorders>
              <w:left w:val="single" w:sz="4" w:space="0" w:color="auto"/>
              <w:right w:val="single" w:sz="4" w:space="0" w:color="auto"/>
            </w:tcBorders>
            <w:shd w:val="clear" w:color="000000"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21%</w:t>
            </w:r>
          </w:p>
        </w:tc>
        <w:tc>
          <w:tcPr>
            <w:tcW w:w="1308" w:type="dxa"/>
            <w:tcBorders>
              <w:left w:val="single" w:sz="4" w:space="0" w:color="auto"/>
              <w:right w:val="single" w:sz="4" w:space="0" w:color="auto"/>
            </w:tcBorders>
            <w:shd w:val="clear" w:color="000000"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29%</w:t>
            </w:r>
          </w:p>
        </w:tc>
        <w:tc>
          <w:tcPr>
            <w:tcW w:w="956" w:type="dxa"/>
            <w:tcBorders>
              <w:left w:val="single" w:sz="4" w:space="0" w:color="auto"/>
              <w:right w:val="single" w:sz="12" w:space="0" w:color="auto"/>
            </w:tcBorders>
            <w:shd w:val="clear" w:color="000000" w:fill="DFDFDF" w:themeFill="accent5" w:themeFillTint="33"/>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18%</w:t>
            </w:r>
          </w:p>
        </w:tc>
      </w:tr>
      <w:tr w:rsidR="00065ACE" w:rsidRPr="00065ACE" w:rsidTr="004B3484">
        <w:trPr>
          <w:trHeight w:val="460"/>
        </w:trPr>
        <w:tc>
          <w:tcPr>
            <w:tcW w:w="4446" w:type="dxa"/>
            <w:tcBorders>
              <w:left w:val="single" w:sz="12" w:space="0" w:color="auto"/>
              <w:bottom w:val="single" w:sz="4" w:space="0" w:color="auto"/>
              <w:right w:val="single" w:sz="12" w:space="0" w:color="auto"/>
            </w:tcBorders>
            <w:shd w:val="clear" w:color="auto" w:fill="auto"/>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community groups that partner with stakeholders to harness and grow community resources for young people</w:t>
            </w:r>
          </w:p>
        </w:tc>
        <w:tc>
          <w:tcPr>
            <w:tcW w:w="1213" w:type="dxa"/>
            <w:tcBorders>
              <w:left w:val="single" w:sz="12" w:space="0" w:color="auto"/>
              <w:bottom w:val="single" w:sz="4"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97</w:t>
            </w:r>
          </w:p>
        </w:tc>
        <w:tc>
          <w:tcPr>
            <w:tcW w:w="800" w:type="dxa"/>
            <w:tcBorders>
              <w:left w:val="single" w:sz="12" w:space="0" w:color="auto"/>
              <w:bottom w:val="single" w:sz="4" w:space="0" w:color="auto"/>
              <w:right w:val="single" w:sz="4" w:space="0" w:color="auto"/>
            </w:tcBorders>
            <w:shd w:val="clear" w:color="000000" w:fill="FFFFFF"/>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16%</w:t>
            </w:r>
          </w:p>
        </w:tc>
        <w:tc>
          <w:tcPr>
            <w:tcW w:w="897"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w:t>
            </w:r>
          </w:p>
        </w:tc>
        <w:tc>
          <w:tcPr>
            <w:tcW w:w="1192"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29%</w:t>
            </w:r>
          </w:p>
        </w:tc>
        <w:tc>
          <w:tcPr>
            <w:tcW w:w="1308" w:type="dxa"/>
            <w:tcBorders>
              <w:left w:val="single" w:sz="4" w:space="0" w:color="auto"/>
              <w:bottom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26%</w:t>
            </w:r>
          </w:p>
        </w:tc>
        <w:tc>
          <w:tcPr>
            <w:tcW w:w="956" w:type="dxa"/>
            <w:tcBorders>
              <w:left w:val="single" w:sz="4" w:space="0" w:color="auto"/>
              <w:bottom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14%</w:t>
            </w:r>
          </w:p>
        </w:tc>
      </w:tr>
      <w:tr w:rsidR="00065ACE" w:rsidRPr="00065ACE" w:rsidTr="004B3484">
        <w:trPr>
          <w:trHeight w:val="460"/>
        </w:trPr>
        <w:tc>
          <w:tcPr>
            <w:tcW w:w="4446" w:type="dxa"/>
            <w:tcBorders>
              <w:left w:val="single" w:sz="12" w:space="0" w:color="auto"/>
              <w:right w:val="single" w:sz="12" w:space="0" w:color="auto"/>
            </w:tcBorders>
            <w:shd w:val="clear" w:color="auto" w:fill="auto"/>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community groups that partner with stakeholders to identify and respond to emerging trends and skill needs with reference to young people</w:t>
            </w:r>
          </w:p>
        </w:tc>
        <w:tc>
          <w:tcPr>
            <w:tcW w:w="1213"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74</w:t>
            </w:r>
          </w:p>
        </w:tc>
        <w:tc>
          <w:tcPr>
            <w:tcW w:w="800" w:type="dxa"/>
            <w:tcBorders>
              <w:left w:val="single" w:sz="12" w:space="0" w:color="auto"/>
              <w:right w:val="single" w:sz="4" w:space="0" w:color="auto"/>
            </w:tcBorders>
            <w:shd w:val="clear" w:color="000000" w:fill="FFFFFF"/>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20%</w:t>
            </w:r>
          </w:p>
        </w:tc>
        <w:tc>
          <w:tcPr>
            <w:tcW w:w="897"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18%</w:t>
            </w:r>
          </w:p>
        </w:tc>
        <w:tc>
          <w:tcPr>
            <w:tcW w:w="1192"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27%</w:t>
            </w:r>
          </w:p>
        </w:tc>
        <w:tc>
          <w:tcPr>
            <w:tcW w:w="1308"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24%</w:t>
            </w:r>
          </w:p>
        </w:tc>
        <w:tc>
          <w:tcPr>
            <w:tcW w:w="956" w:type="dxa"/>
            <w:tcBorders>
              <w:left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11%</w:t>
            </w:r>
          </w:p>
        </w:tc>
      </w:tr>
      <w:tr w:rsidR="00065ACE" w:rsidRPr="00065ACE" w:rsidTr="004B3484">
        <w:trPr>
          <w:trHeight w:val="460"/>
        </w:trPr>
        <w:tc>
          <w:tcPr>
            <w:tcW w:w="4446" w:type="dxa"/>
            <w:tcBorders>
              <w:left w:val="single" w:sz="12" w:space="0" w:color="auto"/>
              <w:right w:val="single" w:sz="12" w:space="0" w:color="auto"/>
            </w:tcBorders>
            <w:shd w:val="clear" w:color="auto" w:fill="auto"/>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community groups that partner with stakeholders to improve young people's employability and life skills</w:t>
            </w:r>
          </w:p>
        </w:tc>
        <w:tc>
          <w:tcPr>
            <w:tcW w:w="1213"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126</w:t>
            </w:r>
          </w:p>
        </w:tc>
        <w:tc>
          <w:tcPr>
            <w:tcW w:w="800" w:type="dxa"/>
            <w:tcBorders>
              <w:left w:val="single" w:sz="12" w:space="0" w:color="auto"/>
              <w:right w:val="single" w:sz="4" w:space="0" w:color="auto"/>
            </w:tcBorders>
            <w:shd w:val="clear" w:color="000000" w:fill="FFFFFF"/>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19%</w:t>
            </w:r>
          </w:p>
        </w:tc>
        <w:tc>
          <w:tcPr>
            <w:tcW w:w="897"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22%</w:t>
            </w:r>
          </w:p>
        </w:tc>
        <w:tc>
          <w:tcPr>
            <w:tcW w:w="1192"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19%</w:t>
            </w:r>
          </w:p>
        </w:tc>
        <w:tc>
          <w:tcPr>
            <w:tcW w:w="1308"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25%</w:t>
            </w:r>
          </w:p>
        </w:tc>
        <w:tc>
          <w:tcPr>
            <w:tcW w:w="956" w:type="dxa"/>
            <w:tcBorders>
              <w:left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15%</w:t>
            </w:r>
          </w:p>
        </w:tc>
      </w:tr>
      <w:tr w:rsidR="00065ACE" w:rsidRPr="00065ACE" w:rsidTr="004B3484">
        <w:trPr>
          <w:trHeight w:val="460"/>
        </w:trPr>
        <w:tc>
          <w:tcPr>
            <w:tcW w:w="4446" w:type="dxa"/>
            <w:tcBorders>
              <w:left w:val="single" w:sz="12" w:space="0" w:color="auto"/>
              <w:right w:val="single" w:sz="12" w:space="0" w:color="auto"/>
            </w:tcBorders>
            <w:shd w:val="clear" w:color="auto" w:fill="auto"/>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community groups that partner with stakeholders to provide mentoring and coaching opportunities for young people</w:t>
            </w:r>
          </w:p>
        </w:tc>
        <w:tc>
          <w:tcPr>
            <w:tcW w:w="1213" w:type="dxa"/>
            <w:tcBorders>
              <w:left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68</w:t>
            </w:r>
          </w:p>
        </w:tc>
        <w:tc>
          <w:tcPr>
            <w:tcW w:w="800" w:type="dxa"/>
            <w:tcBorders>
              <w:left w:val="single" w:sz="12" w:space="0" w:color="auto"/>
              <w:right w:val="single" w:sz="4" w:space="0" w:color="auto"/>
            </w:tcBorders>
            <w:shd w:val="clear" w:color="000000" w:fill="FFFFFF"/>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16%</w:t>
            </w:r>
          </w:p>
        </w:tc>
        <w:tc>
          <w:tcPr>
            <w:tcW w:w="897"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34%</w:t>
            </w:r>
          </w:p>
        </w:tc>
        <w:tc>
          <w:tcPr>
            <w:tcW w:w="1192"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28%</w:t>
            </w:r>
          </w:p>
        </w:tc>
        <w:tc>
          <w:tcPr>
            <w:tcW w:w="1308" w:type="dxa"/>
            <w:tcBorders>
              <w:left w:val="single" w:sz="4"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16%</w:t>
            </w:r>
          </w:p>
        </w:tc>
        <w:tc>
          <w:tcPr>
            <w:tcW w:w="956" w:type="dxa"/>
            <w:tcBorders>
              <w:left w:val="single" w:sz="4"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6%</w:t>
            </w:r>
          </w:p>
        </w:tc>
      </w:tr>
      <w:tr w:rsidR="00065ACE" w:rsidRPr="00065ACE" w:rsidTr="004B3484">
        <w:trPr>
          <w:trHeight w:val="460"/>
        </w:trPr>
        <w:tc>
          <w:tcPr>
            <w:tcW w:w="4446" w:type="dxa"/>
            <w:tcBorders>
              <w:left w:val="single" w:sz="12" w:space="0" w:color="auto"/>
              <w:bottom w:val="single" w:sz="12" w:space="0" w:color="auto"/>
              <w:right w:val="single" w:sz="12" w:space="0" w:color="auto"/>
            </w:tcBorders>
            <w:shd w:val="clear" w:color="auto" w:fill="auto"/>
            <w:vAlign w:val="center"/>
            <w:hideMark/>
          </w:tcPr>
          <w:p w:rsidR="00065ACE" w:rsidRPr="00065ACE" w:rsidRDefault="00065ACE" w:rsidP="00065ACE">
            <w:pPr>
              <w:spacing w:line="240" w:lineRule="auto"/>
              <w:rPr>
                <w:rFonts w:eastAsia="Times New Roman" w:cs="Calibri"/>
                <w:sz w:val="18"/>
                <w:szCs w:val="20"/>
                <w:lang w:eastAsia="en-AU"/>
              </w:rPr>
            </w:pPr>
            <w:r w:rsidRPr="00065ACE">
              <w:rPr>
                <w:rFonts w:eastAsia="Times New Roman" w:cs="Calibri"/>
                <w:sz w:val="18"/>
                <w:szCs w:val="20"/>
                <w:lang w:eastAsia="en-AU"/>
              </w:rPr>
              <w:t>An increase in the number of community groups that partner with stakeholders to provide young people with opportunities to connect with the community</w:t>
            </w:r>
          </w:p>
        </w:tc>
        <w:tc>
          <w:tcPr>
            <w:tcW w:w="1213" w:type="dxa"/>
            <w:tcBorders>
              <w:left w:val="single" w:sz="12" w:space="0" w:color="auto"/>
              <w:bottom w:val="single" w:sz="12" w:space="0" w:color="auto"/>
              <w:right w:val="single" w:sz="12" w:space="0" w:color="auto"/>
            </w:tcBorders>
            <w:shd w:val="clear" w:color="auto" w:fill="DFDFDF" w:themeFill="accent5" w:themeFillTint="33"/>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90</w:t>
            </w:r>
          </w:p>
        </w:tc>
        <w:tc>
          <w:tcPr>
            <w:tcW w:w="800" w:type="dxa"/>
            <w:tcBorders>
              <w:left w:val="single" w:sz="12" w:space="0" w:color="auto"/>
              <w:bottom w:val="single" w:sz="12" w:space="0" w:color="auto"/>
              <w:right w:val="single" w:sz="4" w:space="0" w:color="auto"/>
            </w:tcBorders>
            <w:shd w:val="clear" w:color="000000" w:fill="FFFFFF"/>
            <w:vAlign w:val="center"/>
            <w:hideMark/>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17%</w:t>
            </w:r>
          </w:p>
        </w:tc>
        <w:tc>
          <w:tcPr>
            <w:tcW w:w="897" w:type="dxa"/>
            <w:tcBorders>
              <w:left w:val="single" w:sz="4" w:space="0" w:color="auto"/>
              <w:bottom w:val="single" w:sz="12"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27%</w:t>
            </w:r>
          </w:p>
        </w:tc>
        <w:tc>
          <w:tcPr>
            <w:tcW w:w="1192" w:type="dxa"/>
            <w:tcBorders>
              <w:left w:val="single" w:sz="4" w:space="0" w:color="auto"/>
              <w:bottom w:val="single" w:sz="12"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22%</w:t>
            </w:r>
          </w:p>
        </w:tc>
        <w:tc>
          <w:tcPr>
            <w:tcW w:w="1308" w:type="dxa"/>
            <w:tcBorders>
              <w:left w:val="single" w:sz="4" w:space="0" w:color="auto"/>
              <w:bottom w:val="single" w:sz="12" w:space="0" w:color="auto"/>
              <w:right w:val="single" w:sz="4"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22%</w:t>
            </w:r>
          </w:p>
        </w:tc>
        <w:tc>
          <w:tcPr>
            <w:tcW w:w="956" w:type="dxa"/>
            <w:tcBorders>
              <w:left w:val="single" w:sz="4" w:space="0" w:color="auto"/>
              <w:bottom w:val="single" w:sz="12" w:space="0" w:color="auto"/>
              <w:right w:val="single" w:sz="12" w:space="0" w:color="auto"/>
            </w:tcBorders>
            <w:shd w:val="clear" w:color="000000" w:fill="FFFFFF"/>
            <w:vAlign w:val="center"/>
          </w:tcPr>
          <w:p w:rsidR="00065ACE" w:rsidRPr="00065ACE" w:rsidRDefault="00065ACE" w:rsidP="00065ACE">
            <w:pPr>
              <w:spacing w:line="240" w:lineRule="auto"/>
              <w:jc w:val="center"/>
              <w:rPr>
                <w:rFonts w:eastAsia="Times New Roman" w:cs="Calibri"/>
                <w:color w:val="000000"/>
                <w:sz w:val="20"/>
                <w:szCs w:val="20"/>
              </w:rPr>
            </w:pPr>
            <w:r w:rsidRPr="00065ACE">
              <w:rPr>
                <w:rFonts w:eastAsia="Times New Roman" w:cs="Calibri"/>
                <w:color w:val="000000"/>
                <w:sz w:val="20"/>
                <w:szCs w:val="20"/>
              </w:rPr>
              <w:t>12%</w:t>
            </w:r>
          </w:p>
        </w:tc>
      </w:tr>
    </w:tbl>
    <w:p w:rsidR="00065ACE" w:rsidRPr="00065ACE" w:rsidRDefault="00065ACE" w:rsidP="00065ACE">
      <w:pPr>
        <w:spacing w:before="120" w:line="240" w:lineRule="auto"/>
        <w:ind w:right="34"/>
        <w:rPr>
          <w:rFonts w:eastAsia="Times New Roman" w:cs="Calibri"/>
          <w:sz w:val="20"/>
          <w:szCs w:val="22"/>
          <w:lang w:val="en-US"/>
        </w:rPr>
        <w:sectPr w:rsidR="00065ACE" w:rsidRPr="00065ACE" w:rsidSect="004B3484">
          <w:type w:val="continuous"/>
          <w:pgSz w:w="11906" w:h="16838"/>
          <w:pgMar w:top="709" w:right="991" w:bottom="567" w:left="1134" w:header="142" w:footer="0" w:gutter="0"/>
          <w:cols w:num="2" w:space="0" w:equalWidth="0">
            <w:col w:w="4275" w:space="0"/>
            <w:col w:w="5506"/>
          </w:cols>
          <w:docGrid w:linePitch="360"/>
        </w:sectPr>
      </w:pPr>
      <w:bookmarkStart w:id="101" w:name="_Toc323901040"/>
    </w:p>
    <w:p w:rsidR="00065ACE" w:rsidRPr="00065ACE" w:rsidRDefault="00065ACE" w:rsidP="00065ACE">
      <w:pPr>
        <w:spacing w:before="120" w:line="240" w:lineRule="auto"/>
        <w:ind w:right="34"/>
        <w:rPr>
          <w:rFonts w:eastAsia="Times New Roman" w:cs="Calibri"/>
          <w:sz w:val="22"/>
          <w:szCs w:val="22"/>
          <w:lang w:val="en-US"/>
        </w:rPr>
      </w:pPr>
      <w:r w:rsidRPr="00065ACE">
        <w:rPr>
          <w:rFonts w:eastAsia="Times New Roman" w:cs="Calibri"/>
          <w:sz w:val="22"/>
          <w:szCs w:val="22"/>
          <w:lang w:val="en-US"/>
        </w:rPr>
        <w:t>The data above shows that:</w:t>
      </w:r>
      <w:bookmarkEnd w:id="101"/>
    </w:p>
    <w:p w:rsidR="00065ACE" w:rsidRPr="00065ACE" w:rsidRDefault="00065ACE" w:rsidP="00065ACE">
      <w:pPr>
        <w:numPr>
          <w:ilvl w:val="0"/>
          <w:numId w:val="92"/>
        </w:numPr>
        <w:spacing w:line="240" w:lineRule="auto"/>
        <w:ind w:left="426" w:right="-142" w:hanging="426"/>
        <w:contextualSpacing/>
        <w:rPr>
          <w:rFonts w:eastAsia="Times New Roman" w:cs="Calibri"/>
          <w:sz w:val="22"/>
          <w:szCs w:val="22"/>
        </w:rPr>
      </w:pPr>
      <w:r w:rsidRPr="00065ACE">
        <w:rPr>
          <w:rFonts w:eastAsia="Times New Roman" w:cs="Calibri"/>
          <w:sz w:val="22"/>
          <w:szCs w:val="22"/>
        </w:rPr>
        <w:t xml:space="preserve">Providers reported 39% of partnerships that have been evaluated have </w:t>
      </w:r>
      <w:r w:rsidRPr="00065ACE">
        <w:rPr>
          <w:rFonts w:eastAsia="Times New Roman" w:cs="Calibri"/>
          <w:i/>
          <w:sz w:val="22"/>
          <w:szCs w:val="22"/>
        </w:rPr>
        <w:t>achieved</w:t>
      </w:r>
      <w:r w:rsidRPr="00065ACE">
        <w:rPr>
          <w:rFonts w:eastAsia="Times New Roman" w:cs="Calibri"/>
          <w:sz w:val="22"/>
          <w:szCs w:val="22"/>
        </w:rPr>
        <w:t xml:space="preserve"> or made </w:t>
      </w:r>
      <w:r w:rsidRPr="00065ACE">
        <w:rPr>
          <w:rFonts w:eastAsia="Times New Roman" w:cs="Calibri"/>
          <w:i/>
          <w:sz w:val="22"/>
          <w:szCs w:val="22"/>
        </w:rPr>
        <w:t>considerable progress</w:t>
      </w:r>
      <w:r w:rsidRPr="00065ACE">
        <w:rPr>
          <w:rFonts w:eastAsia="Times New Roman" w:cs="Calibri"/>
          <w:sz w:val="22"/>
          <w:szCs w:val="22"/>
        </w:rPr>
        <w:t xml:space="preserve"> against this outcome.</w:t>
      </w:r>
    </w:p>
    <w:p w:rsidR="00065ACE" w:rsidRPr="00065ACE" w:rsidRDefault="00065ACE" w:rsidP="00065ACE">
      <w:pPr>
        <w:numPr>
          <w:ilvl w:val="0"/>
          <w:numId w:val="92"/>
        </w:numPr>
        <w:spacing w:line="240" w:lineRule="auto"/>
        <w:ind w:left="426" w:right="-142" w:hanging="426"/>
        <w:contextualSpacing/>
        <w:rPr>
          <w:rFonts w:eastAsia="Times New Roman" w:cs="Calibri"/>
          <w:sz w:val="22"/>
          <w:szCs w:val="22"/>
        </w:rPr>
      </w:pPr>
      <w:r w:rsidRPr="00065ACE">
        <w:rPr>
          <w:rFonts w:eastAsia="Times New Roman" w:cs="Calibri"/>
          <w:sz w:val="22"/>
          <w:szCs w:val="22"/>
        </w:rPr>
        <w:t>Providers reported 38% of partnerships have made limited or some progress against this outcome.</w:t>
      </w:r>
    </w:p>
    <w:p w:rsidR="00065ACE" w:rsidRPr="00065ACE" w:rsidRDefault="00065ACE" w:rsidP="00065ACE">
      <w:pPr>
        <w:numPr>
          <w:ilvl w:val="0"/>
          <w:numId w:val="92"/>
        </w:numPr>
        <w:spacing w:line="240" w:lineRule="auto"/>
        <w:ind w:left="426" w:right="-142" w:hanging="426"/>
        <w:contextualSpacing/>
        <w:rPr>
          <w:rFonts w:eastAsia="Times New Roman" w:cs="Calibri"/>
          <w:sz w:val="22"/>
          <w:szCs w:val="22"/>
        </w:rPr>
        <w:sectPr w:rsidR="00065ACE" w:rsidRPr="00065ACE" w:rsidSect="004B3484">
          <w:type w:val="continuous"/>
          <w:pgSz w:w="11906" w:h="16838"/>
          <w:pgMar w:top="709" w:right="991" w:bottom="567" w:left="1134" w:header="142" w:footer="0" w:gutter="0"/>
          <w:cols w:space="0"/>
          <w:docGrid w:linePitch="360"/>
        </w:sectPr>
      </w:pPr>
      <w:r w:rsidRPr="00065ACE">
        <w:rPr>
          <w:rFonts w:eastAsia="Times New Roman" w:cs="Calibri"/>
          <w:sz w:val="22"/>
          <w:szCs w:val="22"/>
        </w:rPr>
        <w:t xml:space="preserve">There are 157 partnerships (38% of the total number of partnerships in WA) that have made progress towards providing ‘an increase in the number of community groups that partner with stakeholders to build networks and linkages among agencies to support young people’. Providers reported that 47% of these partnerships have achieved or made considerable progress against this </w:t>
      </w:r>
      <w:proofErr w:type="spellStart"/>
      <w:r w:rsidRPr="00065ACE">
        <w:rPr>
          <w:rFonts w:eastAsia="Times New Roman" w:cs="Calibri"/>
          <w:sz w:val="22"/>
          <w:szCs w:val="22"/>
        </w:rPr>
        <w:t>KPM</w:t>
      </w:r>
      <w:proofErr w:type="spellEnd"/>
      <w:r w:rsidRPr="00065ACE">
        <w:rPr>
          <w:rFonts w:eastAsia="Times New Roman" w:cs="Calibri"/>
          <w:sz w:val="22"/>
          <w:szCs w:val="22"/>
        </w:rPr>
        <w:t>.</w:t>
      </w:r>
    </w:p>
    <w:p w:rsidR="00065ACE" w:rsidRPr="00065ACE" w:rsidRDefault="00065ACE" w:rsidP="00065ACE">
      <w:pPr>
        <w:spacing w:line="240" w:lineRule="auto"/>
        <w:ind w:right="34"/>
        <w:rPr>
          <w:rFonts w:eastAsia="Times New Roman" w:cs="Calibri"/>
          <w:b/>
          <w:sz w:val="2"/>
          <w:szCs w:val="2"/>
          <w:lang w:val="en-US"/>
        </w:rPr>
        <w:sectPr w:rsidR="00065ACE" w:rsidRPr="00065ACE" w:rsidSect="004B3484">
          <w:pgSz w:w="11906" w:h="16838"/>
          <w:pgMar w:top="709" w:right="991" w:bottom="567" w:left="567" w:header="142" w:footer="0" w:gutter="0"/>
          <w:cols w:space="708"/>
          <w:docGrid w:linePitch="360"/>
        </w:sectPr>
      </w:pPr>
    </w:p>
    <w:p w:rsidR="00065ACE" w:rsidRPr="00065ACE" w:rsidRDefault="00065ACE" w:rsidP="00065ACE">
      <w:pPr>
        <w:spacing w:line="240" w:lineRule="auto"/>
        <w:ind w:right="34"/>
        <w:rPr>
          <w:rFonts w:eastAsia="Times New Roman" w:cs="Calibri"/>
          <w:b/>
          <w:sz w:val="2"/>
          <w:szCs w:val="2"/>
          <w:lang w:val="en-US"/>
        </w:rPr>
      </w:pPr>
    </w:p>
    <w:p w:rsidR="00065ACE" w:rsidRPr="00065ACE" w:rsidRDefault="00065ACE" w:rsidP="00065ACE">
      <w:pPr>
        <w:tabs>
          <w:tab w:val="left" w:pos="5425"/>
        </w:tabs>
        <w:spacing w:line="240" w:lineRule="auto"/>
        <w:rPr>
          <w:sz w:val="22"/>
          <w:szCs w:val="22"/>
        </w:rPr>
        <w:sectPr w:rsidR="00065ACE" w:rsidRPr="00065ACE" w:rsidSect="004B3484">
          <w:type w:val="continuous"/>
          <w:pgSz w:w="11906" w:h="16838"/>
          <w:pgMar w:top="709" w:right="991" w:bottom="567" w:left="567" w:header="142" w:footer="0" w:gutter="0"/>
          <w:cols w:space="708"/>
          <w:docGrid w:linePitch="360"/>
        </w:sectPr>
      </w:pPr>
    </w:p>
    <w:p w:rsidR="00065ACE" w:rsidRPr="00065ACE" w:rsidRDefault="00065ACE" w:rsidP="00065ACE">
      <w:pPr>
        <w:tabs>
          <w:tab w:val="left" w:pos="5425"/>
        </w:tabs>
        <w:spacing w:line="240" w:lineRule="auto"/>
        <w:rPr>
          <w:b/>
          <w:sz w:val="22"/>
          <w:szCs w:val="22"/>
        </w:rPr>
      </w:pPr>
      <w:r w:rsidRPr="00065ACE">
        <w:rPr>
          <w:sz w:val="22"/>
          <w:szCs w:val="22"/>
        </w:rPr>
        <w:lastRenderedPageBreak/>
        <w:tab/>
      </w:r>
    </w:p>
    <w:p w:rsidR="00065ACE" w:rsidRPr="00065ACE" w:rsidRDefault="00065ACE" w:rsidP="00065ACE">
      <w:pPr>
        <w:tabs>
          <w:tab w:val="left" w:pos="6075"/>
        </w:tabs>
        <w:spacing w:after="200"/>
        <w:rPr>
          <w:sz w:val="20"/>
          <w:szCs w:val="20"/>
        </w:rPr>
      </w:pPr>
      <w:r w:rsidRPr="00065ACE">
        <w:rPr>
          <w:noProof/>
          <w:sz w:val="20"/>
          <w:szCs w:val="20"/>
          <w:lang w:eastAsia="en-AU"/>
        </w:rPr>
        <w:drawing>
          <wp:inline distT="0" distB="0" distL="0" distR="0" wp14:anchorId="7FBE7732" wp14:editId="48EFAA88">
            <wp:extent cx="2798578" cy="594397"/>
            <wp:effectExtent l="19050" t="0" r="1772" b="0"/>
            <wp:docPr id="21" name="Picture 1" descr="Logo. Partnership Brokers. School plus Business plu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2797308" cy="595423"/>
                    </a:xfrm>
                    <a:prstGeom prst="rect">
                      <a:avLst/>
                    </a:prstGeom>
                    <a:noFill/>
                    <a:ln w="9525">
                      <a:noFill/>
                      <a:miter lim="800000"/>
                      <a:headEnd/>
                      <a:tailEnd/>
                    </a:ln>
                  </pic:spPr>
                </pic:pic>
              </a:graphicData>
            </a:graphic>
          </wp:inline>
        </w:drawing>
      </w:r>
    </w:p>
    <w:p w:rsidR="00065ACE" w:rsidRPr="00065ACE" w:rsidRDefault="00065ACE" w:rsidP="00065ACE">
      <w:pPr>
        <w:tabs>
          <w:tab w:val="left" w:pos="6075"/>
        </w:tabs>
        <w:ind w:left="-284"/>
        <w:rPr>
          <w:sz w:val="20"/>
          <w:szCs w:val="20"/>
        </w:rPr>
      </w:pPr>
      <w:r w:rsidRPr="00065ACE">
        <w:rPr>
          <w:noProof/>
          <w:sz w:val="20"/>
          <w:szCs w:val="20"/>
          <w:lang w:eastAsia="en-AU"/>
        </w:rPr>
        <mc:AlternateContent>
          <mc:Choice Requires="wps">
            <w:drawing>
              <wp:inline distT="0" distB="0" distL="0" distR="0" wp14:anchorId="2D6DF681" wp14:editId="6E967732">
                <wp:extent cx="3285490" cy="2867025"/>
                <wp:effectExtent l="0" t="0" r="10160" b="28575"/>
                <wp:docPr id="7" name="Rounded Rectangle 7" descr="Title: IMPROVING INDIGENOUS ATTENDANCE AND ACHIEVEMENT. Purpose: To improve the attendance rates and educational outcomes for young Indigenous women.&#10;Partnership Members are Kununurra District High School, Kimberley District Education Office, Gelganyem Trust and Miriuwung Gajerrong Ord Enhancement Schem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5490" cy="2867025"/>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365DC0" w:rsidRPr="00CC47AD" w:rsidRDefault="00365DC0" w:rsidP="00CC47AD">
                            <w:pPr>
                              <w:pStyle w:val="Heading5"/>
                              <w:rPr>
                                <w:rFonts w:eastAsia="Times New Roman"/>
                                <w:color w:val="FFFFFF" w:themeColor="background1"/>
                              </w:rPr>
                            </w:pPr>
                            <w:bookmarkStart w:id="102" w:name="_Toc375559618"/>
                            <w:r w:rsidRPr="00CC47AD">
                              <w:rPr>
                                <w:rFonts w:eastAsia="Times New Roman"/>
                                <w:color w:val="FFFFFF" w:themeColor="background1"/>
                              </w:rPr>
                              <w:t>IMPROVING INDIGENOUS ATTENDANCE AND ACHIEVEMENT</w:t>
                            </w:r>
                            <w:bookmarkEnd w:id="102"/>
                          </w:p>
                          <w:p w:rsidR="00365DC0" w:rsidRPr="006B206E" w:rsidRDefault="00365DC0" w:rsidP="006B206E">
                            <w:pPr>
                              <w:rPr>
                                <w:color w:val="FFFFFF" w:themeColor="background1"/>
                              </w:rPr>
                            </w:pPr>
                            <w:bookmarkStart w:id="103" w:name="_Toc375559619"/>
                            <w:r w:rsidRPr="006B206E">
                              <w:rPr>
                                <w:color w:val="FFFFFF" w:themeColor="background1"/>
                              </w:rPr>
                              <w:t>Purpose:</w:t>
                            </w:r>
                            <w:bookmarkEnd w:id="103"/>
                          </w:p>
                          <w:p w:rsidR="00365DC0" w:rsidRPr="006B206E" w:rsidRDefault="00365DC0" w:rsidP="006B206E">
                            <w:pPr>
                              <w:rPr>
                                <w:color w:val="FFFFFF" w:themeColor="background1"/>
                              </w:rPr>
                            </w:pPr>
                            <w:bookmarkStart w:id="104" w:name="_Toc375559620"/>
                            <w:proofErr w:type="gramStart"/>
                            <w:r w:rsidRPr="006B206E">
                              <w:rPr>
                                <w:color w:val="FFFFFF" w:themeColor="background1"/>
                              </w:rPr>
                              <w:t>To improve the attendance rates and educational outcomes for young Indigenous women.</w:t>
                            </w:r>
                            <w:bookmarkEnd w:id="104"/>
                            <w:proofErr w:type="gramEnd"/>
                          </w:p>
                          <w:p w:rsidR="00365DC0" w:rsidRPr="006B206E" w:rsidRDefault="00365DC0" w:rsidP="006B206E">
                            <w:pPr>
                              <w:rPr>
                                <w:color w:val="FFFFFF" w:themeColor="background1"/>
                              </w:rPr>
                            </w:pPr>
                            <w:bookmarkStart w:id="105" w:name="_Toc375559621"/>
                            <w:r w:rsidRPr="006B206E">
                              <w:rPr>
                                <w:color w:val="FFFFFF" w:themeColor="background1"/>
                              </w:rPr>
                              <w:t>Partnership Members:</w:t>
                            </w:r>
                            <w:bookmarkEnd w:id="105"/>
                          </w:p>
                          <w:p w:rsidR="00365DC0" w:rsidRPr="006B206E" w:rsidRDefault="00365DC0" w:rsidP="006B206E">
                            <w:pPr>
                              <w:pStyle w:val="ListParagraph"/>
                              <w:numPr>
                                <w:ilvl w:val="0"/>
                                <w:numId w:val="97"/>
                              </w:numPr>
                              <w:ind w:left="284" w:hanging="284"/>
                              <w:rPr>
                                <w:color w:val="FFFFFF" w:themeColor="background1"/>
                              </w:rPr>
                            </w:pPr>
                            <w:bookmarkStart w:id="106" w:name="_Toc375559622"/>
                            <w:r w:rsidRPr="006B206E">
                              <w:rPr>
                                <w:color w:val="FFFFFF" w:themeColor="background1"/>
                              </w:rPr>
                              <w:t>Kununurra District High School</w:t>
                            </w:r>
                            <w:bookmarkEnd w:id="106"/>
                          </w:p>
                          <w:p w:rsidR="00365DC0" w:rsidRPr="006B206E" w:rsidRDefault="00365DC0" w:rsidP="006B206E">
                            <w:pPr>
                              <w:pStyle w:val="ListParagraph"/>
                              <w:numPr>
                                <w:ilvl w:val="0"/>
                                <w:numId w:val="97"/>
                              </w:numPr>
                              <w:ind w:left="284" w:hanging="284"/>
                              <w:rPr>
                                <w:color w:val="FFFFFF" w:themeColor="background1"/>
                              </w:rPr>
                            </w:pPr>
                            <w:bookmarkStart w:id="107" w:name="_Toc375559623"/>
                            <w:r w:rsidRPr="006B206E">
                              <w:rPr>
                                <w:color w:val="FFFFFF" w:themeColor="background1"/>
                              </w:rPr>
                              <w:t>Kimberley District Education Office</w:t>
                            </w:r>
                            <w:bookmarkEnd w:id="107"/>
                          </w:p>
                          <w:p w:rsidR="00365DC0" w:rsidRPr="006B206E" w:rsidRDefault="00365DC0" w:rsidP="006B206E">
                            <w:pPr>
                              <w:pStyle w:val="ListParagraph"/>
                              <w:numPr>
                                <w:ilvl w:val="0"/>
                                <w:numId w:val="97"/>
                              </w:numPr>
                              <w:ind w:left="284" w:hanging="284"/>
                              <w:rPr>
                                <w:color w:val="FFFFFF" w:themeColor="background1"/>
                              </w:rPr>
                            </w:pPr>
                            <w:bookmarkStart w:id="108" w:name="_Toc375559624"/>
                            <w:proofErr w:type="spellStart"/>
                            <w:r w:rsidRPr="006B206E">
                              <w:rPr>
                                <w:color w:val="FFFFFF" w:themeColor="background1"/>
                              </w:rPr>
                              <w:t>Gelganyem</w:t>
                            </w:r>
                            <w:proofErr w:type="spellEnd"/>
                            <w:r w:rsidRPr="006B206E">
                              <w:rPr>
                                <w:color w:val="FFFFFF" w:themeColor="background1"/>
                              </w:rPr>
                              <w:t xml:space="preserve"> Trust</w:t>
                            </w:r>
                            <w:bookmarkEnd w:id="108"/>
                          </w:p>
                          <w:p w:rsidR="00365DC0" w:rsidRPr="006B206E" w:rsidRDefault="00365DC0" w:rsidP="006B206E">
                            <w:pPr>
                              <w:pStyle w:val="ListParagraph"/>
                              <w:numPr>
                                <w:ilvl w:val="0"/>
                                <w:numId w:val="97"/>
                              </w:numPr>
                              <w:ind w:left="284" w:hanging="284"/>
                              <w:rPr>
                                <w:color w:val="FFFFFF" w:themeColor="background1"/>
                              </w:rPr>
                            </w:pPr>
                            <w:bookmarkStart w:id="109" w:name="_Toc375559625"/>
                            <w:proofErr w:type="spellStart"/>
                            <w:r w:rsidRPr="006B206E">
                              <w:rPr>
                                <w:color w:val="FFFFFF" w:themeColor="background1"/>
                              </w:rPr>
                              <w:t>Miriuwung</w:t>
                            </w:r>
                            <w:proofErr w:type="spellEnd"/>
                            <w:r w:rsidRPr="006B206E">
                              <w:rPr>
                                <w:color w:val="FFFFFF" w:themeColor="background1"/>
                              </w:rPr>
                              <w:t xml:space="preserve"> </w:t>
                            </w:r>
                            <w:proofErr w:type="spellStart"/>
                            <w:r w:rsidRPr="006B206E">
                              <w:rPr>
                                <w:color w:val="FFFFFF" w:themeColor="background1"/>
                              </w:rPr>
                              <w:t>Gajerrong</w:t>
                            </w:r>
                            <w:proofErr w:type="spellEnd"/>
                            <w:r w:rsidRPr="006B206E">
                              <w:rPr>
                                <w:color w:val="FFFFFF" w:themeColor="background1"/>
                              </w:rPr>
                              <w:t xml:space="preserve"> Ord Enhancement Scheme</w:t>
                            </w:r>
                            <w:bookmarkEnd w:id="109"/>
                          </w:p>
                          <w:p w:rsidR="00365DC0" w:rsidRDefault="00365DC0"/>
                        </w:txbxContent>
                      </wps:txbx>
                      <wps:bodyPr rot="0" vert="horz" wrap="square" lIns="91440" tIns="45720" rIns="91440" bIns="45720" anchor="t" anchorCtr="0" upright="1">
                        <a:noAutofit/>
                      </wps:bodyPr>
                    </wps:wsp>
                  </a:graphicData>
                </a:graphic>
              </wp:inline>
            </w:drawing>
          </mc:Choice>
          <mc:Fallback>
            <w:pict>
              <v:roundrect id="Rounded Rectangle 7" o:spid="_x0000_s1027" alt="Title: IMPROVING INDIGENOUS ATTENDANCE AND ACHIEVEMENT. Purpose: To improve the attendance rates and educational outcomes for young Indigenous women.&#10;Partnership Members are Kununurra District High School, Kimberley District Education Office, Gelganyem Trust and Miriuwung Gajerrong Ord Enhancement Scheme.&#10;" style="width:258.7pt;height:225.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" fillcolor="#1f497d">
                <v:textbox>
                  <w:txbxContent>
                    <w:p w:rsidR="00365DC0" w:rsidRPr="00CC47AD" w:rsidRDefault="00365DC0" w:rsidP="00CC47AD">
                      <w:pPr>
                        <w:pStyle w:val="Heading5"/>
                        <w:rPr>
                          <w:rFonts w:eastAsia="Times New Roman"/>
                          <w:color w:val="FFFFFF" w:themeColor="background1"/>
                        </w:rPr>
                      </w:pPr>
                      <w:bookmarkStart w:id="110" w:name="_Toc375559618"/>
                      <w:r w:rsidRPr="00CC47AD">
                        <w:rPr>
                          <w:rFonts w:eastAsia="Times New Roman"/>
                          <w:color w:val="FFFFFF" w:themeColor="background1"/>
                        </w:rPr>
                        <w:t>IMPROVING INDIGENOUS ATTENDANCE AND ACHIEVEMENT</w:t>
                      </w:r>
                      <w:bookmarkEnd w:id="110"/>
                    </w:p>
                    <w:p w:rsidR="00365DC0" w:rsidRPr="006B206E" w:rsidRDefault="00365DC0" w:rsidP="006B206E">
                      <w:pPr>
                        <w:rPr>
                          <w:color w:val="FFFFFF" w:themeColor="background1"/>
                        </w:rPr>
                      </w:pPr>
                      <w:bookmarkStart w:id="111" w:name="_Toc375559619"/>
                      <w:r w:rsidRPr="006B206E">
                        <w:rPr>
                          <w:color w:val="FFFFFF" w:themeColor="background1"/>
                        </w:rPr>
                        <w:t>Purpose:</w:t>
                      </w:r>
                      <w:bookmarkEnd w:id="111"/>
                    </w:p>
                    <w:p w:rsidR="00365DC0" w:rsidRPr="006B206E" w:rsidRDefault="00365DC0" w:rsidP="006B206E">
                      <w:pPr>
                        <w:rPr>
                          <w:color w:val="FFFFFF" w:themeColor="background1"/>
                        </w:rPr>
                      </w:pPr>
                      <w:bookmarkStart w:id="112" w:name="_Toc375559620"/>
                      <w:proofErr w:type="gramStart"/>
                      <w:r w:rsidRPr="006B206E">
                        <w:rPr>
                          <w:color w:val="FFFFFF" w:themeColor="background1"/>
                        </w:rPr>
                        <w:t>To improve the attendance rates and educational outcomes for young Indigenous women.</w:t>
                      </w:r>
                      <w:bookmarkEnd w:id="112"/>
                      <w:proofErr w:type="gramEnd"/>
                    </w:p>
                    <w:p w:rsidR="00365DC0" w:rsidRPr="006B206E" w:rsidRDefault="00365DC0" w:rsidP="006B206E">
                      <w:pPr>
                        <w:rPr>
                          <w:color w:val="FFFFFF" w:themeColor="background1"/>
                        </w:rPr>
                      </w:pPr>
                      <w:bookmarkStart w:id="113" w:name="_Toc375559621"/>
                      <w:r w:rsidRPr="006B206E">
                        <w:rPr>
                          <w:color w:val="FFFFFF" w:themeColor="background1"/>
                        </w:rPr>
                        <w:t>Partnership Members:</w:t>
                      </w:r>
                      <w:bookmarkEnd w:id="113"/>
                    </w:p>
                    <w:p w:rsidR="00365DC0" w:rsidRPr="006B206E" w:rsidRDefault="00365DC0" w:rsidP="006B206E">
                      <w:pPr>
                        <w:pStyle w:val="ListParagraph"/>
                        <w:numPr>
                          <w:ilvl w:val="0"/>
                          <w:numId w:val="97"/>
                        </w:numPr>
                        <w:ind w:left="284" w:hanging="284"/>
                        <w:rPr>
                          <w:color w:val="FFFFFF" w:themeColor="background1"/>
                        </w:rPr>
                      </w:pPr>
                      <w:bookmarkStart w:id="114" w:name="_Toc375559622"/>
                      <w:r w:rsidRPr="006B206E">
                        <w:rPr>
                          <w:color w:val="FFFFFF" w:themeColor="background1"/>
                        </w:rPr>
                        <w:t>Kununurra District High School</w:t>
                      </w:r>
                      <w:bookmarkEnd w:id="114"/>
                    </w:p>
                    <w:p w:rsidR="00365DC0" w:rsidRPr="006B206E" w:rsidRDefault="00365DC0" w:rsidP="006B206E">
                      <w:pPr>
                        <w:pStyle w:val="ListParagraph"/>
                        <w:numPr>
                          <w:ilvl w:val="0"/>
                          <w:numId w:val="97"/>
                        </w:numPr>
                        <w:ind w:left="284" w:hanging="284"/>
                        <w:rPr>
                          <w:color w:val="FFFFFF" w:themeColor="background1"/>
                        </w:rPr>
                      </w:pPr>
                      <w:bookmarkStart w:id="115" w:name="_Toc375559623"/>
                      <w:r w:rsidRPr="006B206E">
                        <w:rPr>
                          <w:color w:val="FFFFFF" w:themeColor="background1"/>
                        </w:rPr>
                        <w:t>Kimberley District Education Office</w:t>
                      </w:r>
                      <w:bookmarkEnd w:id="115"/>
                    </w:p>
                    <w:p w:rsidR="00365DC0" w:rsidRPr="006B206E" w:rsidRDefault="00365DC0" w:rsidP="006B206E">
                      <w:pPr>
                        <w:pStyle w:val="ListParagraph"/>
                        <w:numPr>
                          <w:ilvl w:val="0"/>
                          <w:numId w:val="97"/>
                        </w:numPr>
                        <w:ind w:left="284" w:hanging="284"/>
                        <w:rPr>
                          <w:color w:val="FFFFFF" w:themeColor="background1"/>
                        </w:rPr>
                      </w:pPr>
                      <w:bookmarkStart w:id="116" w:name="_Toc375559624"/>
                      <w:proofErr w:type="spellStart"/>
                      <w:r w:rsidRPr="006B206E">
                        <w:rPr>
                          <w:color w:val="FFFFFF" w:themeColor="background1"/>
                        </w:rPr>
                        <w:t>Gelganyem</w:t>
                      </w:r>
                      <w:proofErr w:type="spellEnd"/>
                      <w:r w:rsidRPr="006B206E">
                        <w:rPr>
                          <w:color w:val="FFFFFF" w:themeColor="background1"/>
                        </w:rPr>
                        <w:t xml:space="preserve"> Trust</w:t>
                      </w:r>
                      <w:bookmarkEnd w:id="116"/>
                    </w:p>
                    <w:p w:rsidR="00365DC0" w:rsidRPr="006B206E" w:rsidRDefault="00365DC0" w:rsidP="006B206E">
                      <w:pPr>
                        <w:pStyle w:val="ListParagraph"/>
                        <w:numPr>
                          <w:ilvl w:val="0"/>
                          <w:numId w:val="97"/>
                        </w:numPr>
                        <w:ind w:left="284" w:hanging="284"/>
                        <w:rPr>
                          <w:color w:val="FFFFFF" w:themeColor="background1"/>
                        </w:rPr>
                      </w:pPr>
                      <w:bookmarkStart w:id="117" w:name="_Toc375559625"/>
                      <w:proofErr w:type="spellStart"/>
                      <w:r w:rsidRPr="006B206E">
                        <w:rPr>
                          <w:color w:val="FFFFFF" w:themeColor="background1"/>
                        </w:rPr>
                        <w:t>Miriuwung</w:t>
                      </w:r>
                      <w:proofErr w:type="spellEnd"/>
                      <w:r w:rsidRPr="006B206E">
                        <w:rPr>
                          <w:color w:val="FFFFFF" w:themeColor="background1"/>
                        </w:rPr>
                        <w:t xml:space="preserve"> </w:t>
                      </w:r>
                      <w:proofErr w:type="spellStart"/>
                      <w:r w:rsidRPr="006B206E">
                        <w:rPr>
                          <w:color w:val="FFFFFF" w:themeColor="background1"/>
                        </w:rPr>
                        <w:t>Gajerrong</w:t>
                      </w:r>
                      <w:proofErr w:type="spellEnd"/>
                      <w:r w:rsidRPr="006B206E">
                        <w:rPr>
                          <w:color w:val="FFFFFF" w:themeColor="background1"/>
                        </w:rPr>
                        <w:t xml:space="preserve"> Ord Enhancement Scheme</w:t>
                      </w:r>
                      <w:bookmarkEnd w:id="117"/>
                    </w:p>
                    <w:p w:rsidR="00365DC0" w:rsidRDefault="00365DC0"/>
                  </w:txbxContent>
                </v:textbox>
                <w10:anchorlock/>
              </v:roundrect>
            </w:pict>
          </mc:Fallback>
        </mc:AlternateContent>
      </w:r>
    </w:p>
    <w:p w:rsidR="00065ACE" w:rsidRPr="00CC47AD" w:rsidRDefault="00065ACE" w:rsidP="00CC47AD">
      <w:pPr>
        <w:pStyle w:val="Heading6"/>
        <w:rPr>
          <w:rFonts w:eastAsia="Times New Roman"/>
          <w:color w:val="0070C0"/>
        </w:rPr>
      </w:pPr>
      <w:r w:rsidRPr="00CC47AD">
        <w:rPr>
          <w:rFonts w:eastAsia="Times New Roman"/>
          <w:color w:val="0070C0"/>
        </w:rPr>
        <w:t>Context and Goals</w:t>
      </w:r>
    </w:p>
    <w:p w:rsidR="00065ACE" w:rsidRPr="00065ACE" w:rsidRDefault="00065ACE" w:rsidP="00065ACE">
      <w:pPr>
        <w:tabs>
          <w:tab w:val="left" w:pos="6075"/>
        </w:tabs>
        <w:spacing w:after="120"/>
        <w:rPr>
          <w:rFonts w:cs="Calibri"/>
          <w:sz w:val="20"/>
          <w:szCs w:val="20"/>
          <w:lang w:eastAsia="en-AU"/>
        </w:rPr>
      </w:pPr>
      <w:r w:rsidRPr="00065ACE">
        <w:rPr>
          <w:rFonts w:cs="Calibri"/>
          <w:sz w:val="20"/>
          <w:szCs w:val="20"/>
          <w:lang w:eastAsia="en-AU"/>
        </w:rPr>
        <w:t xml:space="preserve">About half of the 300 students at Kununurra District High School are Indigenous and their attendance rates and achievement levels are lower than those of the non-Indigenous students. Many of the Indigenous female students are disengaging from school and in danger of not continuing with their education. </w:t>
      </w:r>
    </w:p>
    <w:p w:rsidR="00065ACE" w:rsidRPr="00065ACE" w:rsidRDefault="00065ACE" w:rsidP="00065ACE">
      <w:pPr>
        <w:spacing w:after="240"/>
        <w:rPr>
          <w:sz w:val="20"/>
          <w:szCs w:val="20"/>
          <w:lang w:eastAsia="en-AU"/>
        </w:rPr>
      </w:pPr>
      <w:r w:rsidRPr="00065ACE">
        <w:rPr>
          <w:sz w:val="20"/>
          <w:szCs w:val="20"/>
          <w:lang w:eastAsia="en-AU"/>
        </w:rPr>
        <w:t xml:space="preserve">The Partnership has been established to increase attendance rates and improve educational outcomes for young Indigenous women. </w:t>
      </w:r>
    </w:p>
    <w:p w:rsidR="00065ACE" w:rsidRPr="00CC47AD" w:rsidRDefault="00065ACE" w:rsidP="00CC47AD">
      <w:pPr>
        <w:pStyle w:val="Heading6"/>
        <w:rPr>
          <w:rFonts w:eastAsia="Times New Roman"/>
          <w:color w:val="0070C0"/>
        </w:rPr>
      </w:pPr>
      <w:r w:rsidRPr="00CC47AD">
        <w:rPr>
          <w:rFonts w:eastAsia="Times New Roman"/>
          <w:color w:val="0070C0"/>
        </w:rPr>
        <w:t>The Partnership’s Approach</w:t>
      </w:r>
    </w:p>
    <w:p w:rsidR="00065ACE" w:rsidRPr="00065ACE" w:rsidRDefault="00065ACE" w:rsidP="00065ACE">
      <w:pPr>
        <w:tabs>
          <w:tab w:val="left" w:pos="6075"/>
        </w:tabs>
        <w:spacing w:after="120"/>
        <w:rPr>
          <w:rFonts w:cs="Calibri"/>
          <w:sz w:val="20"/>
          <w:szCs w:val="20"/>
          <w:lang w:eastAsia="en-AU"/>
        </w:rPr>
      </w:pPr>
      <w:r w:rsidRPr="00065ACE">
        <w:rPr>
          <w:rFonts w:cs="Calibri"/>
          <w:sz w:val="20"/>
          <w:szCs w:val="20"/>
          <w:lang w:eastAsia="en-AU"/>
        </w:rPr>
        <w:t xml:space="preserve">The Partnership established the </w:t>
      </w:r>
      <w:proofErr w:type="spellStart"/>
      <w:r w:rsidRPr="00065ACE">
        <w:rPr>
          <w:rFonts w:eastAsia="Times New Roman" w:cs="Arial"/>
          <w:i/>
          <w:sz w:val="20"/>
          <w:szCs w:val="20"/>
        </w:rPr>
        <w:t>Joodoogeb</w:t>
      </w:r>
      <w:proofErr w:type="spellEnd"/>
      <w:r w:rsidRPr="00065ACE">
        <w:rPr>
          <w:rFonts w:eastAsia="Times New Roman" w:cs="Arial"/>
          <w:i/>
          <w:sz w:val="20"/>
          <w:szCs w:val="20"/>
        </w:rPr>
        <w:t>-be-</w:t>
      </w:r>
      <w:proofErr w:type="spellStart"/>
      <w:r w:rsidRPr="00065ACE">
        <w:rPr>
          <w:rFonts w:eastAsia="Times New Roman" w:cs="Arial"/>
          <w:i/>
          <w:sz w:val="20"/>
          <w:szCs w:val="20"/>
        </w:rPr>
        <w:t>gerring</w:t>
      </w:r>
      <w:proofErr w:type="spellEnd"/>
      <w:r w:rsidRPr="00065ACE">
        <w:rPr>
          <w:rFonts w:eastAsia="Times New Roman" w:cs="Arial"/>
          <w:i/>
          <w:sz w:val="20"/>
          <w:szCs w:val="20"/>
        </w:rPr>
        <w:t xml:space="preserve"> </w:t>
      </w:r>
      <w:proofErr w:type="spellStart"/>
      <w:r w:rsidRPr="00065ACE">
        <w:rPr>
          <w:rFonts w:eastAsia="Times New Roman" w:cs="Arial"/>
          <w:i/>
          <w:sz w:val="20"/>
          <w:szCs w:val="20"/>
        </w:rPr>
        <w:t>Werlemen</w:t>
      </w:r>
      <w:proofErr w:type="spellEnd"/>
      <w:r w:rsidRPr="00065ACE">
        <w:rPr>
          <w:rFonts w:cs="Calibri"/>
          <w:i/>
          <w:sz w:val="20"/>
          <w:szCs w:val="20"/>
          <w:lang w:eastAsia="en-AU"/>
        </w:rPr>
        <w:t xml:space="preserve"> Program</w:t>
      </w:r>
      <w:r w:rsidRPr="00065ACE">
        <w:rPr>
          <w:rFonts w:cs="Calibri"/>
          <w:sz w:val="20"/>
          <w:szCs w:val="20"/>
          <w:lang w:eastAsia="en-AU"/>
        </w:rPr>
        <w:t xml:space="preserve"> which operates as an off-site class five days a week. An essential ingredient in the program’s success is the low student/teacher ratio. Each student has an individual learning plan and there is a strong emphasis placed on engaging the families in their children’s education.</w:t>
      </w:r>
    </w:p>
    <w:p w:rsidR="00065ACE" w:rsidRPr="00065ACE" w:rsidRDefault="00065ACE" w:rsidP="00065ACE">
      <w:pPr>
        <w:tabs>
          <w:tab w:val="left" w:pos="6075"/>
        </w:tabs>
        <w:spacing w:after="120"/>
        <w:rPr>
          <w:rFonts w:cs="Calibri"/>
          <w:sz w:val="20"/>
          <w:szCs w:val="20"/>
          <w:lang w:eastAsia="en-AU"/>
        </w:rPr>
      </w:pPr>
      <w:r w:rsidRPr="00065ACE">
        <w:rPr>
          <w:rFonts w:cs="Calibri"/>
          <w:sz w:val="20"/>
          <w:szCs w:val="20"/>
          <w:lang w:eastAsia="en-AU"/>
        </w:rPr>
        <w:t>As well as improving educational outcomes, the aim of the program is to improve the emotional and social well-being of students and build a more positive sense of cultural identity. The girls engage in</w:t>
      </w:r>
      <w:r w:rsidRPr="00065ACE">
        <w:rPr>
          <w:rFonts w:ascii="Arial" w:eastAsia="Times New Roman" w:hAnsi="Arial" w:cs="Arial"/>
          <w:sz w:val="20"/>
          <w:szCs w:val="20"/>
        </w:rPr>
        <w:t xml:space="preserve"> </w:t>
      </w:r>
      <w:r w:rsidRPr="00065ACE">
        <w:rPr>
          <w:rFonts w:eastAsia="Times New Roman" w:cs="Arial"/>
          <w:sz w:val="20"/>
          <w:szCs w:val="20"/>
        </w:rPr>
        <w:t xml:space="preserve">cultural studies through the </w:t>
      </w:r>
      <w:proofErr w:type="spellStart"/>
      <w:r w:rsidRPr="00065ACE">
        <w:rPr>
          <w:rFonts w:eastAsia="Times New Roman" w:cs="Arial"/>
          <w:sz w:val="20"/>
          <w:szCs w:val="20"/>
        </w:rPr>
        <w:t>Miriwoong</w:t>
      </w:r>
      <w:proofErr w:type="spellEnd"/>
      <w:r w:rsidRPr="00065ACE">
        <w:rPr>
          <w:rFonts w:eastAsia="Times New Roman" w:cs="Arial"/>
          <w:sz w:val="20"/>
          <w:szCs w:val="20"/>
        </w:rPr>
        <w:t xml:space="preserve"> Language and Art Centre</w:t>
      </w:r>
      <w:r w:rsidRPr="00065ACE">
        <w:rPr>
          <w:rFonts w:cs="Calibri"/>
          <w:sz w:val="20"/>
          <w:szCs w:val="20"/>
          <w:lang w:eastAsia="en-AU"/>
        </w:rPr>
        <w:t>. Although the main focus is literacy and numeracy, the program also includes other life-skills such as art, music and cooking, to help develop emotional intelligence and foster self-esteem.</w:t>
      </w:r>
    </w:p>
    <w:p w:rsidR="00065ACE" w:rsidRPr="00065ACE" w:rsidRDefault="00065ACE" w:rsidP="00065ACE">
      <w:pPr>
        <w:tabs>
          <w:tab w:val="left" w:pos="6075"/>
        </w:tabs>
        <w:spacing w:after="120"/>
        <w:rPr>
          <w:rFonts w:cs="Calibri"/>
          <w:sz w:val="20"/>
          <w:szCs w:val="20"/>
          <w:lang w:eastAsia="en-AU"/>
        </w:rPr>
      </w:pPr>
    </w:p>
    <w:p w:rsidR="00065ACE" w:rsidRPr="00065ACE" w:rsidRDefault="00065ACE" w:rsidP="00065ACE">
      <w:pPr>
        <w:tabs>
          <w:tab w:val="left" w:pos="6075"/>
        </w:tabs>
        <w:spacing w:after="120"/>
        <w:rPr>
          <w:rFonts w:eastAsia="Times New Roman" w:cs="Calibri"/>
          <w:b/>
          <w:color w:val="1F497D"/>
          <w:sz w:val="20"/>
          <w:szCs w:val="20"/>
          <w:lang w:eastAsia="en-AU"/>
        </w:rPr>
      </w:pPr>
      <w:r w:rsidRPr="00065ACE">
        <w:rPr>
          <w:rFonts w:eastAsia="Times New Roman" w:cs="Calibri"/>
          <w:b/>
          <w:noProof/>
          <w:color w:val="1F497D"/>
          <w:sz w:val="20"/>
          <w:szCs w:val="20"/>
          <w:lang w:eastAsia="en-AU"/>
        </w:rPr>
        <mc:AlternateContent>
          <mc:Choice Requires="wps">
            <w:drawing>
              <wp:inline distT="0" distB="0" distL="0" distR="0" wp14:anchorId="1D67AC2E" wp14:editId="2D4533A8">
                <wp:extent cx="3073400" cy="1123950"/>
                <wp:effectExtent l="0" t="0" r="0" b="0"/>
                <wp:docPr id="2" name="Rounded Rectangle 2" descr="A snapshot quote which reads &quot;The Miriuwung Gajerrong community can take ownership of the challenges facing disengaged girls and work with the school to develop long term solutions.&quot; MG Ord Enhancement Scheme&#10;&#10;&#10;&#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23950"/>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5DC0" w:rsidRDefault="00365DC0" w:rsidP="00065ACE">
                            <w:pPr>
                              <w:pStyle w:val="Quote1"/>
                            </w:pPr>
                            <w:r w:rsidRPr="009F3F26">
                              <w:sym w:font="Wingdings" w:char="F07D"/>
                            </w:r>
                            <w:r w:rsidRPr="009F3F26">
                              <w:t xml:space="preserve">  </w:t>
                            </w:r>
                            <w:r>
                              <w:t>The</w:t>
                            </w:r>
                            <w:r>
                              <w:rPr>
                                <w:lang w:val="en-US"/>
                              </w:rPr>
                              <w:t xml:space="preserve"> </w:t>
                            </w:r>
                            <w:proofErr w:type="spellStart"/>
                            <w:r>
                              <w:rPr>
                                <w:rFonts w:asciiTheme="minorHAnsi" w:hAnsiTheme="minorHAnsi" w:cstheme="minorHAnsi"/>
                                <w:lang w:eastAsia="en-AU"/>
                              </w:rPr>
                              <w:t>Miriuwu</w:t>
                            </w:r>
                            <w:r w:rsidRPr="009F3F26">
                              <w:rPr>
                                <w:rFonts w:asciiTheme="minorHAnsi" w:hAnsiTheme="minorHAnsi" w:cstheme="minorHAnsi"/>
                                <w:lang w:eastAsia="en-AU"/>
                              </w:rPr>
                              <w:t>ng</w:t>
                            </w:r>
                            <w:proofErr w:type="spellEnd"/>
                            <w:r w:rsidRPr="009F3F26">
                              <w:rPr>
                                <w:rFonts w:asciiTheme="minorHAnsi" w:hAnsiTheme="minorHAnsi" w:cstheme="minorHAnsi"/>
                                <w:lang w:eastAsia="en-AU"/>
                              </w:rPr>
                              <w:t xml:space="preserve"> </w:t>
                            </w:r>
                            <w:proofErr w:type="spellStart"/>
                            <w:r w:rsidRPr="009F3F26">
                              <w:rPr>
                                <w:rFonts w:asciiTheme="minorHAnsi" w:hAnsiTheme="minorHAnsi" w:cstheme="minorHAnsi"/>
                                <w:lang w:eastAsia="en-AU"/>
                              </w:rPr>
                              <w:t>Gajerrong</w:t>
                            </w:r>
                            <w:proofErr w:type="spellEnd"/>
                            <w:r w:rsidRPr="009F3F26">
                              <w:rPr>
                                <w:lang w:val="en-US"/>
                              </w:rPr>
                              <w:t xml:space="preserve"> community can take ownership of the challenges facing disengaged girls and w</w:t>
                            </w:r>
                            <w:r>
                              <w:rPr>
                                <w:lang w:val="en-US"/>
                              </w:rPr>
                              <w:t>ork with the school to develop</w:t>
                            </w:r>
                            <w:r w:rsidRPr="009F3F26">
                              <w:rPr>
                                <w:lang w:val="en-US"/>
                              </w:rPr>
                              <w:t xml:space="preserve"> long term solution</w:t>
                            </w:r>
                            <w:r>
                              <w:rPr>
                                <w:lang w:val="en-US"/>
                              </w:rPr>
                              <w:t>s</w:t>
                            </w:r>
                            <w:r w:rsidRPr="009F3F26">
                              <w:rPr>
                                <w:lang w:val="en-US"/>
                              </w:rPr>
                              <w:t>.</w:t>
                            </w:r>
                            <w:r w:rsidRPr="009F3F26">
                              <w:t xml:space="preserve"> </w:t>
                            </w:r>
                            <w:r w:rsidRPr="009F3F26">
                              <w:sym w:font="Wingdings" w:char="F07E"/>
                            </w:r>
                            <w:r>
                              <w:t xml:space="preserve"> </w:t>
                            </w:r>
                          </w:p>
                          <w:p w:rsidR="00365DC0" w:rsidRPr="007D5CF1" w:rsidRDefault="00365DC0" w:rsidP="007D5CF1">
                            <w:pPr>
                              <w:pStyle w:val="Quote1"/>
                              <w:rPr>
                                <w:i w:val="0"/>
                                <w:color w:val="000000" w:themeColor="text2"/>
                                <w:sz w:val="23"/>
                                <w:szCs w:val="23"/>
                              </w:rPr>
                            </w:pPr>
                            <w:r>
                              <w:rPr>
                                <w:rFonts w:asciiTheme="minorHAnsi" w:hAnsiTheme="minorHAnsi" w:cstheme="minorHAnsi"/>
                                <w:lang w:eastAsia="en-AU"/>
                              </w:rPr>
                              <w:t>MG</w:t>
                            </w:r>
                            <w:r w:rsidRPr="009F3F26">
                              <w:rPr>
                                <w:lang w:val="en-US"/>
                              </w:rPr>
                              <w:t xml:space="preserve"> </w:t>
                            </w:r>
                            <w:r>
                              <w:t>Ord Enhancement Scheme</w:t>
                            </w:r>
                          </w:p>
                          <w:p w:rsidR="00365DC0" w:rsidRDefault="00365DC0" w:rsidP="00065ACE"/>
                          <w:p w:rsidR="00365DC0" w:rsidRDefault="00365DC0" w:rsidP="00065ACE"/>
                        </w:txbxContent>
                      </wps:txbx>
                      <wps:bodyPr rot="0" vert="horz" wrap="square" lIns="91440" tIns="45720" rIns="91440" bIns="45720" anchor="t" anchorCtr="0" upright="1">
                        <a:noAutofit/>
                      </wps:bodyPr>
                    </wps:wsp>
                  </a:graphicData>
                </a:graphic>
              </wp:inline>
            </w:drawing>
          </mc:Choice>
          <mc:Fallback>
            <w:pict>
              <v:roundrect id="Rounded Rectangle 2" o:spid="_x0000_s1028" alt="A snapshot quote which reads &quot;The Miriuwung Gajerrong community can take ownership of the challenges facing disengaged girls and work with the school to develop long term solutions.&quot; MG Ord Enhancement Scheme&#10;&#10;&#10;&#10;&#10;&#10;" style="width:242pt;height:8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" fillcolor="#dce6f2" stroked="f">
                <v:textbox>
                  <w:txbxContent>
                    <w:p w:rsidR="00365DC0" w:rsidRDefault="00365DC0" w:rsidP="00065ACE">
                      <w:pPr>
                        <w:pStyle w:val="Quote1"/>
                      </w:pPr>
                      <w:r w:rsidRPr="009F3F26">
                        <w:sym w:font="Wingdings" w:char="F07D"/>
                      </w:r>
                      <w:r w:rsidRPr="009F3F26">
                        <w:t xml:space="preserve">  </w:t>
                      </w:r>
                      <w:r>
                        <w:t>The</w:t>
                      </w:r>
                      <w:r>
                        <w:rPr>
                          <w:lang w:val="en-US"/>
                        </w:rPr>
                        <w:t xml:space="preserve"> </w:t>
                      </w:r>
                      <w:proofErr w:type="spellStart"/>
                      <w:r>
                        <w:rPr>
                          <w:rFonts w:asciiTheme="minorHAnsi" w:hAnsiTheme="minorHAnsi" w:cstheme="minorHAnsi"/>
                          <w:lang w:eastAsia="en-AU"/>
                        </w:rPr>
                        <w:t>Miriuwu</w:t>
                      </w:r>
                      <w:r w:rsidRPr="009F3F26">
                        <w:rPr>
                          <w:rFonts w:asciiTheme="minorHAnsi" w:hAnsiTheme="minorHAnsi" w:cstheme="minorHAnsi"/>
                          <w:lang w:eastAsia="en-AU"/>
                        </w:rPr>
                        <w:t>ng</w:t>
                      </w:r>
                      <w:proofErr w:type="spellEnd"/>
                      <w:r w:rsidRPr="009F3F26">
                        <w:rPr>
                          <w:rFonts w:asciiTheme="minorHAnsi" w:hAnsiTheme="minorHAnsi" w:cstheme="minorHAnsi"/>
                          <w:lang w:eastAsia="en-AU"/>
                        </w:rPr>
                        <w:t xml:space="preserve"> </w:t>
                      </w:r>
                      <w:proofErr w:type="spellStart"/>
                      <w:r w:rsidRPr="009F3F26">
                        <w:rPr>
                          <w:rFonts w:asciiTheme="minorHAnsi" w:hAnsiTheme="minorHAnsi" w:cstheme="minorHAnsi"/>
                          <w:lang w:eastAsia="en-AU"/>
                        </w:rPr>
                        <w:t>Gajerrong</w:t>
                      </w:r>
                      <w:proofErr w:type="spellEnd"/>
                      <w:r w:rsidRPr="009F3F26">
                        <w:rPr>
                          <w:lang w:val="en-US"/>
                        </w:rPr>
                        <w:t xml:space="preserve"> community can take ownership of the challenges facing disengaged girls and w</w:t>
                      </w:r>
                      <w:r>
                        <w:rPr>
                          <w:lang w:val="en-US"/>
                        </w:rPr>
                        <w:t>ork with the school to develop</w:t>
                      </w:r>
                      <w:r w:rsidRPr="009F3F26">
                        <w:rPr>
                          <w:lang w:val="en-US"/>
                        </w:rPr>
                        <w:t xml:space="preserve"> long term solution</w:t>
                      </w:r>
                      <w:r>
                        <w:rPr>
                          <w:lang w:val="en-US"/>
                        </w:rPr>
                        <w:t>s</w:t>
                      </w:r>
                      <w:r w:rsidRPr="009F3F26">
                        <w:rPr>
                          <w:lang w:val="en-US"/>
                        </w:rPr>
                        <w:t>.</w:t>
                      </w:r>
                      <w:r w:rsidRPr="009F3F26">
                        <w:t xml:space="preserve"> </w:t>
                      </w:r>
                      <w:r w:rsidRPr="009F3F26">
                        <w:sym w:font="Wingdings" w:char="F07E"/>
                      </w:r>
                      <w:r>
                        <w:t xml:space="preserve"> </w:t>
                      </w:r>
                    </w:p>
                    <w:p w:rsidR="00365DC0" w:rsidRPr="007D5CF1" w:rsidRDefault="00365DC0" w:rsidP="007D5CF1">
                      <w:pPr>
                        <w:pStyle w:val="Quote1"/>
                        <w:rPr>
                          <w:i w:val="0"/>
                          <w:color w:val="000000" w:themeColor="text2"/>
                          <w:sz w:val="23"/>
                          <w:szCs w:val="23"/>
                        </w:rPr>
                      </w:pPr>
                      <w:r>
                        <w:rPr>
                          <w:rFonts w:asciiTheme="minorHAnsi" w:hAnsiTheme="minorHAnsi" w:cstheme="minorHAnsi"/>
                          <w:lang w:eastAsia="en-AU"/>
                        </w:rPr>
                        <w:t>MG</w:t>
                      </w:r>
                      <w:r w:rsidRPr="009F3F26">
                        <w:rPr>
                          <w:lang w:val="en-US"/>
                        </w:rPr>
                        <w:t xml:space="preserve"> </w:t>
                      </w:r>
                      <w:r>
                        <w:t>Ord Enhancement Scheme</w:t>
                      </w:r>
                    </w:p>
                    <w:p w:rsidR="00365DC0" w:rsidRDefault="00365DC0" w:rsidP="00065ACE"/>
                    <w:p w:rsidR="00365DC0" w:rsidRDefault="00365DC0" w:rsidP="00065ACE"/>
                  </w:txbxContent>
                </v:textbox>
                <w10:anchorlock/>
              </v:roundrect>
            </w:pict>
          </mc:Fallback>
        </mc:AlternateContent>
      </w:r>
    </w:p>
    <w:p w:rsidR="00065ACE" w:rsidRPr="00CC47AD" w:rsidRDefault="00065ACE" w:rsidP="00CC47AD">
      <w:pPr>
        <w:pStyle w:val="Heading6"/>
        <w:rPr>
          <w:rFonts w:eastAsia="Times New Roman"/>
          <w:color w:val="0070C0"/>
        </w:rPr>
      </w:pPr>
      <w:r w:rsidRPr="00CC47AD">
        <w:rPr>
          <w:rFonts w:eastAsia="Times New Roman"/>
          <w:color w:val="0070C0"/>
        </w:rPr>
        <w:t>Benefits</w:t>
      </w:r>
    </w:p>
    <w:p w:rsidR="00065ACE" w:rsidRPr="00065ACE" w:rsidRDefault="00065ACE" w:rsidP="00065ACE">
      <w:pPr>
        <w:spacing w:before="120" w:after="60"/>
        <w:ind w:left="357" w:hanging="357"/>
        <w:rPr>
          <w:rFonts w:cs="Calibri"/>
          <w:sz w:val="20"/>
          <w:szCs w:val="20"/>
          <w:lang w:eastAsia="en-AU"/>
        </w:rPr>
      </w:pPr>
      <w:r w:rsidRPr="00065ACE">
        <w:rPr>
          <w:rFonts w:cs="Calibri"/>
          <w:sz w:val="20"/>
          <w:szCs w:val="20"/>
          <w:lang w:eastAsia="en-AU"/>
        </w:rPr>
        <w:t>Attendance rates for Indigenous young women have improved by 60%.</w:t>
      </w:r>
    </w:p>
    <w:p w:rsidR="00065ACE" w:rsidRPr="00065ACE" w:rsidRDefault="00065ACE" w:rsidP="00065ACE">
      <w:pPr>
        <w:spacing w:before="120" w:after="60"/>
        <w:ind w:left="357" w:hanging="357"/>
        <w:rPr>
          <w:rFonts w:cs="Calibri"/>
          <w:sz w:val="20"/>
          <w:szCs w:val="20"/>
          <w:lang w:eastAsia="en-AU"/>
        </w:rPr>
      </w:pPr>
      <w:r w:rsidRPr="00065ACE">
        <w:rPr>
          <w:rFonts w:cs="Calibri"/>
          <w:sz w:val="20"/>
          <w:szCs w:val="20"/>
          <w:lang w:eastAsia="en-AU"/>
        </w:rPr>
        <w:t xml:space="preserve">A number of the girls have returned to mainstream education, either on-site at the High School or at a boarding facility. </w:t>
      </w:r>
    </w:p>
    <w:p w:rsidR="00065ACE" w:rsidRPr="00065ACE" w:rsidRDefault="00065ACE" w:rsidP="00065ACE">
      <w:pPr>
        <w:spacing w:before="60" w:after="60"/>
        <w:rPr>
          <w:rFonts w:eastAsia="Times New Roman" w:cs="Calibri"/>
          <w:b/>
          <w:color w:val="1F497D"/>
          <w:sz w:val="20"/>
          <w:szCs w:val="20"/>
          <w:lang w:eastAsia="en-AU"/>
        </w:rPr>
      </w:pPr>
      <w:r w:rsidRPr="00065ACE">
        <w:rPr>
          <w:rFonts w:eastAsia="Times New Roman" w:cs="Calibri"/>
          <w:b/>
          <w:noProof/>
          <w:color w:val="1F497D"/>
          <w:sz w:val="20"/>
          <w:szCs w:val="20"/>
          <w:lang w:eastAsia="en-AU"/>
        </w:rPr>
        <mc:AlternateContent>
          <mc:Choice Requires="wps">
            <w:drawing>
              <wp:inline distT="0" distB="0" distL="0" distR="0" wp14:anchorId="52DB90CB" wp14:editId="4C4E90A4">
                <wp:extent cx="3073400" cy="1216550"/>
                <wp:effectExtent l="0" t="0" r="0" b="3175"/>
                <wp:docPr id="5" name="Rounded Rectangle 5" descr="A snapshot quote which reads &quot;The Werlemen program is making a real difference for young Indigenous women who have dropped out of school by providing the support they need to re-engage in education.&quot; WUNAN Foundation&#10;&#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216550"/>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5DC0" w:rsidRPr="00D6210F" w:rsidRDefault="00365DC0" w:rsidP="00065ACE">
                            <w:pPr>
                              <w:pStyle w:val="Quote1"/>
                            </w:pPr>
                            <w:r w:rsidRPr="00D6210F">
                              <w:sym w:font="Wingdings" w:char="F07D"/>
                            </w:r>
                            <w:r w:rsidRPr="00D6210F">
                              <w:t xml:space="preserve">  The </w:t>
                            </w:r>
                            <w:proofErr w:type="spellStart"/>
                            <w:r w:rsidRPr="00D6210F">
                              <w:t>Werlemen</w:t>
                            </w:r>
                            <w:proofErr w:type="spellEnd"/>
                            <w:r w:rsidRPr="00D6210F">
                              <w:t xml:space="preserve"> program is making a real difference for young Indigenous women who have dropped out of school by providing the support they need to re-engage in education.</w:t>
                            </w:r>
                            <w:r w:rsidRPr="00D6210F">
                              <w:sym w:font="Wingdings" w:char="F07E"/>
                            </w:r>
                          </w:p>
                          <w:p w:rsidR="00365DC0" w:rsidRDefault="00365DC0" w:rsidP="007D5CF1">
                            <w:pPr>
                              <w:pStyle w:val="Quote1"/>
                            </w:pPr>
                            <w:proofErr w:type="spellStart"/>
                            <w:r>
                              <w:t>WUNAN</w:t>
                            </w:r>
                            <w:proofErr w:type="spellEnd"/>
                            <w:r>
                              <w:t xml:space="preserve"> Foundation</w:t>
                            </w:r>
                          </w:p>
                        </w:txbxContent>
                      </wps:txbx>
                      <wps:bodyPr rot="0" vert="horz" wrap="square" lIns="91440" tIns="45720" rIns="91440" bIns="45720" anchor="t" anchorCtr="0" upright="1">
                        <a:noAutofit/>
                      </wps:bodyPr>
                    </wps:wsp>
                  </a:graphicData>
                </a:graphic>
              </wp:inline>
            </w:drawing>
          </mc:Choice>
          <mc:Fallback>
            <w:pict>
              <v:roundrect id="Rounded Rectangle 5" o:spid="_x0000_s1029" alt="A snapshot quote which reads &quot;The Werlemen program is making a real difference for young Indigenous women who have dropped out of school by providing the support they need to re-engage in education.&quot; WUNAN Foundation&#10;&#10;&#10;&#10;" style="width:242pt;height:95.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" fillcolor="#dce6f2" stroked="f">
                <v:textbox>
                  <w:txbxContent>
                    <w:p w:rsidR="00365DC0" w:rsidRPr="00D6210F" w:rsidRDefault="00365DC0" w:rsidP="00065ACE">
                      <w:pPr>
                        <w:pStyle w:val="Quote1"/>
                      </w:pPr>
                      <w:r w:rsidRPr="00D6210F">
                        <w:sym w:font="Wingdings" w:char="F07D"/>
                      </w:r>
                      <w:r w:rsidRPr="00D6210F">
                        <w:t xml:space="preserve">  The </w:t>
                      </w:r>
                      <w:proofErr w:type="spellStart"/>
                      <w:r w:rsidRPr="00D6210F">
                        <w:t>Werlemen</w:t>
                      </w:r>
                      <w:proofErr w:type="spellEnd"/>
                      <w:r w:rsidRPr="00D6210F">
                        <w:t xml:space="preserve"> program is making a real difference for young Indigenous women who have dropped out of school by providing the support they need to re-engage in education.</w:t>
                      </w:r>
                      <w:r w:rsidRPr="00D6210F">
                        <w:sym w:font="Wingdings" w:char="F07E"/>
                      </w:r>
                    </w:p>
                    <w:p w:rsidR="00365DC0" w:rsidRDefault="00365DC0" w:rsidP="007D5CF1">
                      <w:pPr>
                        <w:pStyle w:val="Quote1"/>
                      </w:pPr>
                      <w:proofErr w:type="spellStart"/>
                      <w:r>
                        <w:t>WUNAN</w:t>
                      </w:r>
                      <w:proofErr w:type="spellEnd"/>
                      <w:r>
                        <w:t xml:space="preserve"> Foundation</w:t>
                      </w:r>
                    </w:p>
                  </w:txbxContent>
                </v:textbox>
                <w10:anchorlock/>
              </v:roundrect>
            </w:pict>
          </mc:Fallback>
        </mc:AlternateContent>
      </w:r>
    </w:p>
    <w:p w:rsidR="00065ACE" w:rsidRPr="00CC47AD" w:rsidRDefault="00065ACE" w:rsidP="00CC47AD">
      <w:pPr>
        <w:pStyle w:val="Heading6"/>
        <w:rPr>
          <w:rFonts w:eastAsia="Times New Roman"/>
          <w:color w:val="0070C0"/>
        </w:rPr>
      </w:pPr>
      <w:r w:rsidRPr="00CC47AD">
        <w:rPr>
          <w:rFonts w:eastAsia="Times New Roman"/>
          <w:color w:val="0070C0"/>
        </w:rPr>
        <w:t>Next Steps</w:t>
      </w:r>
    </w:p>
    <w:p w:rsidR="00065ACE" w:rsidRPr="00065ACE" w:rsidRDefault="00065ACE" w:rsidP="00065ACE">
      <w:pPr>
        <w:tabs>
          <w:tab w:val="left" w:pos="6075"/>
        </w:tabs>
        <w:spacing w:after="120"/>
        <w:rPr>
          <w:rFonts w:cs="Calibri"/>
          <w:sz w:val="20"/>
          <w:szCs w:val="20"/>
          <w:lang w:eastAsia="en-AU"/>
        </w:rPr>
      </w:pPr>
      <w:r w:rsidRPr="00065ACE">
        <w:rPr>
          <w:rFonts w:cs="Calibri"/>
          <w:sz w:val="20"/>
          <w:szCs w:val="20"/>
          <w:lang w:eastAsia="en-AU"/>
        </w:rPr>
        <w:t>There is strong commitment to the program by the partners, all of whom are co-signatories to a Memorandum of Understanding (</w:t>
      </w:r>
      <w:proofErr w:type="spellStart"/>
      <w:r w:rsidRPr="00065ACE">
        <w:rPr>
          <w:rFonts w:cs="Calibri"/>
          <w:sz w:val="20"/>
          <w:szCs w:val="20"/>
          <w:lang w:eastAsia="en-AU"/>
        </w:rPr>
        <w:t>MOU</w:t>
      </w:r>
      <w:proofErr w:type="spellEnd"/>
      <w:r w:rsidRPr="00065ACE">
        <w:rPr>
          <w:rFonts w:cs="Calibri"/>
          <w:sz w:val="20"/>
          <w:szCs w:val="20"/>
          <w:lang w:eastAsia="en-AU"/>
        </w:rPr>
        <w:t>). The Partnership was a recipient of a Schools First Award in 2010 and this has provided the partners with access to more resources. In building on the success of the program, the Partnership is exploring opportunities to extend the program model to Wyndham and Halls Creek.</w:t>
      </w:r>
    </w:p>
    <w:p w:rsidR="00065ACE" w:rsidRPr="00CC47AD" w:rsidRDefault="00065ACE" w:rsidP="00CC47AD">
      <w:pPr>
        <w:pStyle w:val="Heading6"/>
        <w:rPr>
          <w:rFonts w:eastAsia="Times New Roman"/>
          <w:color w:val="0070C0"/>
        </w:rPr>
      </w:pPr>
      <w:r w:rsidRPr="00CC47AD">
        <w:rPr>
          <w:rFonts w:eastAsia="Times New Roman"/>
          <w:color w:val="0070C0"/>
        </w:rPr>
        <w:t>Support from the Partnership Broker</w:t>
      </w:r>
    </w:p>
    <w:p w:rsidR="00065ACE" w:rsidRPr="00065ACE" w:rsidRDefault="00065ACE" w:rsidP="00065ACE">
      <w:pPr>
        <w:tabs>
          <w:tab w:val="left" w:pos="6075"/>
        </w:tabs>
        <w:spacing w:after="120"/>
        <w:rPr>
          <w:rFonts w:cs="Calibri"/>
          <w:sz w:val="20"/>
          <w:szCs w:val="20"/>
          <w:lang w:eastAsia="en-AU"/>
        </w:rPr>
      </w:pPr>
      <w:r w:rsidRPr="00065ACE">
        <w:rPr>
          <w:rFonts w:cs="Calibri"/>
          <w:sz w:val="20"/>
          <w:szCs w:val="20"/>
          <w:lang w:eastAsia="en-AU"/>
        </w:rPr>
        <w:t xml:space="preserve">The Partnership Broker played a key role in bringing together three Indigenous organisations. In addition, the Partnership Broker facilitated meetings and assisted in establishing an </w:t>
      </w:r>
      <w:proofErr w:type="spellStart"/>
      <w:r w:rsidRPr="00065ACE">
        <w:rPr>
          <w:rFonts w:cs="Calibri"/>
          <w:sz w:val="20"/>
          <w:szCs w:val="20"/>
          <w:lang w:eastAsia="en-AU"/>
        </w:rPr>
        <w:t>MOU</w:t>
      </w:r>
      <w:proofErr w:type="spellEnd"/>
      <w:r w:rsidRPr="00065ACE">
        <w:rPr>
          <w:rFonts w:cs="Calibri"/>
          <w:sz w:val="20"/>
          <w:szCs w:val="20"/>
          <w:lang w:eastAsia="en-AU"/>
        </w:rPr>
        <w:t xml:space="preserve"> between the partners. </w:t>
      </w:r>
    </w:p>
    <w:p w:rsidR="00065ACE" w:rsidRPr="00065ACE" w:rsidRDefault="00065ACE" w:rsidP="00065ACE">
      <w:pPr>
        <w:tabs>
          <w:tab w:val="left" w:pos="6075"/>
        </w:tabs>
        <w:spacing w:after="120"/>
        <w:rPr>
          <w:rFonts w:cs="Calibri"/>
          <w:sz w:val="20"/>
          <w:szCs w:val="20"/>
          <w:lang w:eastAsia="en-AU"/>
        </w:rPr>
      </w:pPr>
      <w:r w:rsidRPr="00065ACE">
        <w:rPr>
          <w:rFonts w:cs="Calibri"/>
          <w:sz w:val="20"/>
          <w:szCs w:val="20"/>
          <w:lang w:eastAsia="en-AU"/>
        </w:rPr>
        <w:t>The Partnership Broker also met with ministers and key government departments to advocate for the expansion of</w:t>
      </w:r>
      <w:r w:rsidR="00CC47AD">
        <w:rPr>
          <w:rFonts w:cs="Calibri"/>
          <w:sz w:val="20"/>
          <w:szCs w:val="20"/>
          <w:lang w:eastAsia="en-AU"/>
        </w:rPr>
        <w:t xml:space="preserve"> the program to other regions. </w:t>
      </w:r>
    </w:p>
    <w:p w:rsidR="00065ACE" w:rsidRPr="00065ACE" w:rsidRDefault="00065ACE" w:rsidP="00065ACE">
      <w:pPr>
        <w:tabs>
          <w:tab w:val="left" w:pos="6075"/>
        </w:tabs>
        <w:spacing w:after="200"/>
        <w:rPr>
          <w:b/>
          <w:sz w:val="20"/>
          <w:szCs w:val="20"/>
        </w:rPr>
      </w:pPr>
      <w:r w:rsidRPr="00065ACE">
        <w:rPr>
          <w:rFonts w:cs="Calibri"/>
          <w:noProof/>
          <w:sz w:val="20"/>
          <w:szCs w:val="20"/>
          <w:lang w:eastAsia="en-AU"/>
        </w:rPr>
        <mc:AlternateContent>
          <mc:Choice Requires="wps">
            <w:drawing>
              <wp:anchor distT="0" distB="0" distL="114300" distR="114300" simplePos="0" relativeHeight="251660288" behindDoc="0" locked="0" layoutInCell="1" allowOverlap="1" wp14:anchorId="7D0FB5B2" wp14:editId="5EBA70DD">
                <wp:simplePos x="0" y="0"/>
                <wp:positionH relativeFrom="column">
                  <wp:posOffset>-88900</wp:posOffset>
                </wp:positionH>
                <wp:positionV relativeFrom="paragraph">
                  <wp:posOffset>58420</wp:posOffset>
                </wp:positionV>
                <wp:extent cx="3222625" cy="1133475"/>
                <wp:effectExtent l="0" t="0" r="15875" b="28575"/>
                <wp:wrapNone/>
                <wp:docPr id="4" name="Rounded Rectangle 4" descr="Concluding textbox: TOP TIP - It is important to have open communication, trust and a shared understanding between all partners. &#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2625" cy="1133475"/>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365DC0" w:rsidRPr="00CC47AD" w:rsidRDefault="00365DC0" w:rsidP="00CC47AD">
                            <w:pPr>
                              <w:pStyle w:val="Heading5"/>
                              <w:rPr>
                                <w:rFonts w:eastAsia="Times New Roman"/>
                                <w:color w:val="FFFFFF" w:themeColor="background1"/>
                              </w:rPr>
                            </w:pPr>
                            <w:r w:rsidRPr="00CC47AD">
                              <w:rPr>
                                <w:rFonts w:eastAsia="Times New Roman"/>
                                <w:color w:val="FFFFFF" w:themeColor="background1"/>
                              </w:rPr>
                              <w:t>TOP TIP</w:t>
                            </w:r>
                          </w:p>
                          <w:p w:rsidR="00365DC0" w:rsidRPr="00FF4DBB" w:rsidRDefault="00365DC0" w:rsidP="00065ACE">
                            <w:pPr>
                              <w:rPr>
                                <w:color w:val="FFFFFF" w:themeColor="background1"/>
                                <w:sz w:val="21"/>
                                <w:szCs w:val="21"/>
                              </w:rPr>
                            </w:pPr>
                            <w:r w:rsidRPr="00201F30">
                              <w:rPr>
                                <w:rFonts w:asciiTheme="majorHAnsi" w:hAnsiTheme="majorHAnsi" w:cstheme="majorHAnsi"/>
                                <w:color w:val="FFFFFF" w:themeColor="background1"/>
                                <w:lang w:eastAsia="en-AU"/>
                              </w:rPr>
                              <w:t>It is important to have open communication, trust and a shared understanding between all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0" alt="Concluding textbox: TOP TIP - It is important to have open communication, trust and a shared understanding between all partners. &#10;&#10;&#10;" style="position:absolute;margin-left:-7pt;margin-top:4.6pt;width:253.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" fillcolor="#1f497d">
                <v:textbox>
                  <w:txbxContent>
                    <w:p w:rsidR="00365DC0" w:rsidRPr="00CC47AD" w:rsidRDefault="00365DC0" w:rsidP="00CC47AD">
                      <w:pPr>
                        <w:pStyle w:val="Heading5"/>
                        <w:rPr>
                          <w:rFonts w:eastAsia="Times New Roman"/>
                          <w:color w:val="FFFFFF" w:themeColor="background1"/>
                        </w:rPr>
                      </w:pPr>
                      <w:r w:rsidRPr="00CC47AD">
                        <w:rPr>
                          <w:rFonts w:eastAsia="Times New Roman"/>
                          <w:color w:val="FFFFFF" w:themeColor="background1"/>
                        </w:rPr>
                        <w:t>TOP TIP</w:t>
                      </w:r>
                    </w:p>
                    <w:p w:rsidR="00365DC0" w:rsidRPr="00FF4DBB" w:rsidRDefault="00365DC0" w:rsidP="00065ACE">
                      <w:pPr>
                        <w:rPr>
                          <w:color w:val="FFFFFF" w:themeColor="background1"/>
                          <w:sz w:val="21"/>
                          <w:szCs w:val="21"/>
                        </w:rPr>
                      </w:pPr>
                      <w:r w:rsidRPr="00201F30">
                        <w:rPr>
                          <w:rFonts w:asciiTheme="majorHAnsi" w:hAnsiTheme="majorHAnsi" w:cstheme="majorHAnsi"/>
                          <w:color w:val="FFFFFF" w:themeColor="background1"/>
                          <w:lang w:eastAsia="en-AU"/>
                        </w:rPr>
                        <w:t>It is important to have open communication, trust and a shared understanding between all partners.</w:t>
                      </w:r>
                    </w:p>
                  </w:txbxContent>
                </v:textbox>
              </v:roundrect>
            </w:pict>
          </mc:Fallback>
        </mc:AlternateContent>
      </w:r>
    </w:p>
    <w:p w:rsidR="00065ACE" w:rsidRPr="00065ACE" w:rsidRDefault="00065ACE" w:rsidP="00065ACE">
      <w:pPr>
        <w:tabs>
          <w:tab w:val="left" w:pos="6075"/>
        </w:tabs>
        <w:spacing w:after="200"/>
        <w:rPr>
          <w:b/>
          <w:sz w:val="20"/>
          <w:szCs w:val="20"/>
        </w:rPr>
      </w:pPr>
    </w:p>
    <w:p w:rsidR="00065ACE" w:rsidRPr="00065ACE" w:rsidRDefault="00065ACE" w:rsidP="00065ACE">
      <w:pPr>
        <w:spacing w:after="200"/>
        <w:rPr>
          <w:i/>
          <w:sz w:val="20"/>
          <w:szCs w:val="20"/>
        </w:rPr>
      </w:pPr>
    </w:p>
    <w:p w:rsidR="00065ACE" w:rsidRPr="00065ACE" w:rsidRDefault="00065ACE" w:rsidP="00065ACE">
      <w:pPr>
        <w:spacing w:line="240" w:lineRule="auto"/>
        <w:rPr>
          <w:rFonts w:ascii="Times New Roman" w:eastAsia="Times New Roman" w:hAnsi="Times New Roman"/>
          <w:sz w:val="20"/>
          <w:szCs w:val="20"/>
        </w:rPr>
        <w:sectPr w:rsidR="00065ACE" w:rsidRPr="00065ACE" w:rsidSect="004B3484">
          <w:type w:val="continuous"/>
          <w:pgSz w:w="11906" w:h="16838"/>
          <w:pgMar w:top="709" w:right="991" w:bottom="567" w:left="567" w:header="142" w:footer="0" w:gutter="0"/>
          <w:cols w:num="2" w:space="708"/>
          <w:docGrid w:linePitch="360"/>
        </w:sectPr>
      </w:pPr>
    </w:p>
    <w:p w:rsidR="00065ACE" w:rsidRPr="00065ACE" w:rsidRDefault="00065ACE" w:rsidP="00065ACE">
      <w:pPr>
        <w:spacing w:line="240" w:lineRule="auto"/>
        <w:rPr>
          <w:rFonts w:ascii="Times New Roman" w:eastAsia="Times New Roman" w:hAnsi="Times New Roman"/>
          <w:szCs w:val="20"/>
        </w:rPr>
      </w:pPr>
      <w:r w:rsidRPr="00065ACE">
        <w:rPr>
          <w:rFonts w:ascii="Times New Roman" w:eastAsia="Times New Roman" w:hAnsi="Times New Roman"/>
          <w:szCs w:val="20"/>
        </w:rPr>
        <w:lastRenderedPageBreak/>
        <w:br w:type="page"/>
      </w:r>
    </w:p>
    <w:p w:rsidR="00065ACE" w:rsidRPr="00065ACE" w:rsidRDefault="00065ACE" w:rsidP="00065ACE">
      <w:pPr>
        <w:tabs>
          <w:tab w:val="left" w:pos="5425"/>
        </w:tabs>
        <w:spacing w:line="240" w:lineRule="auto"/>
        <w:ind w:left="284"/>
        <w:rPr>
          <w:sz w:val="22"/>
          <w:szCs w:val="22"/>
        </w:rPr>
        <w:sectPr w:rsidR="00065ACE" w:rsidRPr="00065ACE" w:rsidSect="004B3484">
          <w:type w:val="continuous"/>
          <w:pgSz w:w="11906" w:h="16838"/>
          <w:pgMar w:top="709" w:right="991" w:bottom="567" w:left="567" w:header="142" w:footer="0" w:gutter="0"/>
          <w:cols w:space="708"/>
          <w:docGrid w:linePitch="360"/>
        </w:sectPr>
      </w:pPr>
    </w:p>
    <w:p w:rsidR="00065ACE" w:rsidRPr="00065ACE" w:rsidRDefault="00065ACE" w:rsidP="00065ACE">
      <w:pPr>
        <w:tabs>
          <w:tab w:val="left" w:pos="5425"/>
        </w:tabs>
        <w:spacing w:line="240" w:lineRule="auto"/>
        <w:ind w:left="284"/>
        <w:rPr>
          <w:sz w:val="20"/>
          <w:szCs w:val="20"/>
        </w:rPr>
      </w:pPr>
      <w:r w:rsidRPr="00065ACE">
        <w:rPr>
          <w:noProof/>
          <w:sz w:val="20"/>
          <w:szCs w:val="20"/>
          <w:lang w:eastAsia="en-AU"/>
        </w:rPr>
        <w:lastRenderedPageBreak/>
        <w:drawing>
          <wp:inline distT="0" distB="0" distL="0" distR="0" wp14:anchorId="3188AA39" wp14:editId="62F721AD">
            <wp:extent cx="2679405" cy="570327"/>
            <wp:effectExtent l="0" t="0" r="0" b="0"/>
            <wp:docPr id="22" name="Picture 1" descr="Logo. Partnership Brokers. School + Business +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2679405" cy="570327"/>
                    </a:xfrm>
                    <a:prstGeom prst="rect">
                      <a:avLst/>
                    </a:prstGeom>
                    <a:noFill/>
                    <a:ln w="9525">
                      <a:noFill/>
                      <a:miter lim="800000"/>
                      <a:headEnd/>
                      <a:tailEnd/>
                    </a:ln>
                  </pic:spPr>
                </pic:pic>
              </a:graphicData>
            </a:graphic>
          </wp:inline>
        </w:drawing>
      </w:r>
    </w:p>
    <w:p w:rsidR="00065ACE" w:rsidRPr="00065ACE" w:rsidRDefault="00065ACE" w:rsidP="00065ACE">
      <w:pPr>
        <w:tabs>
          <w:tab w:val="left" w:pos="5425"/>
        </w:tabs>
        <w:spacing w:line="240" w:lineRule="auto"/>
        <w:rPr>
          <w:b/>
          <w:sz w:val="20"/>
          <w:szCs w:val="20"/>
        </w:rPr>
      </w:pPr>
      <w:r w:rsidRPr="00065ACE">
        <w:rPr>
          <w:sz w:val="20"/>
          <w:szCs w:val="20"/>
        </w:rPr>
        <w:tab/>
      </w:r>
    </w:p>
    <w:p w:rsidR="00065ACE" w:rsidRPr="00065ACE" w:rsidRDefault="00065ACE" w:rsidP="00065ACE">
      <w:pPr>
        <w:tabs>
          <w:tab w:val="left" w:pos="6075"/>
        </w:tabs>
        <w:spacing w:after="200"/>
        <w:rPr>
          <w:sz w:val="20"/>
          <w:szCs w:val="20"/>
        </w:rPr>
      </w:pPr>
      <w:r w:rsidRPr="00065ACE">
        <w:rPr>
          <w:noProof/>
          <w:sz w:val="20"/>
          <w:szCs w:val="20"/>
          <w:lang w:eastAsia="en-AU"/>
        </w:rPr>
        <mc:AlternateContent>
          <mc:Choice Requires="wps">
            <w:drawing>
              <wp:inline distT="0" distB="0" distL="0" distR="0" wp14:anchorId="3DD3C2F0" wp14:editId="7FEA49E6">
                <wp:extent cx="2996565" cy="2762250"/>
                <wp:effectExtent l="0" t="0" r="13335"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2762250"/>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365DC0" w:rsidRPr="00CC47AD" w:rsidRDefault="00365DC0" w:rsidP="008202A9">
                            <w:pPr>
                              <w:pStyle w:val="Heading5"/>
                              <w:spacing w:before="0"/>
                              <w:rPr>
                                <w:rFonts w:eastAsia="Times New Roman"/>
                                <w:color w:val="FFFFFF" w:themeColor="background1"/>
                              </w:rPr>
                            </w:pPr>
                            <w:bookmarkStart w:id="118" w:name="_Toc375559631"/>
                            <w:r w:rsidRPr="00CC47AD">
                              <w:rPr>
                                <w:rFonts w:eastAsia="Times New Roman"/>
                                <w:color w:val="FFFFFF" w:themeColor="background1"/>
                              </w:rPr>
                              <w:t>HEALTH PATHWAYS PARTNERSHIP</w:t>
                            </w:r>
                            <w:bookmarkEnd w:id="118"/>
                          </w:p>
                          <w:p w:rsidR="00365DC0" w:rsidRPr="006B206E" w:rsidRDefault="00365DC0" w:rsidP="006B206E">
                            <w:pPr>
                              <w:rPr>
                                <w:color w:val="FFFFFF" w:themeColor="background1"/>
                                <w:sz w:val="22"/>
                                <w:szCs w:val="22"/>
                              </w:rPr>
                            </w:pPr>
                            <w:bookmarkStart w:id="119" w:name="_Toc375559632"/>
                            <w:r w:rsidRPr="006B206E">
                              <w:rPr>
                                <w:color w:val="FFFFFF" w:themeColor="background1"/>
                                <w:sz w:val="22"/>
                                <w:szCs w:val="22"/>
                              </w:rPr>
                              <w:t>Purpose:</w:t>
                            </w:r>
                            <w:bookmarkEnd w:id="119"/>
                          </w:p>
                          <w:p w:rsidR="00365DC0" w:rsidRPr="006B206E" w:rsidRDefault="00365DC0" w:rsidP="006B206E">
                            <w:pPr>
                              <w:rPr>
                                <w:color w:val="FFFFFF" w:themeColor="background1"/>
                                <w:sz w:val="22"/>
                                <w:szCs w:val="22"/>
                              </w:rPr>
                            </w:pPr>
                            <w:bookmarkStart w:id="120" w:name="_Toc375559633"/>
                            <w:proofErr w:type="gramStart"/>
                            <w:r w:rsidRPr="006B206E">
                              <w:rPr>
                                <w:color w:val="FFFFFF" w:themeColor="background1"/>
                                <w:sz w:val="22"/>
                                <w:szCs w:val="22"/>
                              </w:rPr>
                              <w:t>To expand vocational pathways for youth in the region and to support an industry experiencing skill and labour shortages.</w:t>
                            </w:r>
                            <w:bookmarkEnd w:id="120"/>
                            <w:proofErr w:type="gramEnd"/>
                          </w:p>
                          <w:p w:rsidR="00365DC0" w:rsidRPr="006B206E" w:rsidRDefault="00365DC0" w:rsidP="006B206E">
                            <w:pPr>
                              <w:rPr>
                                <w:color w:val="FFFFFF" w:themeColor="background1"/>
                                <w:sz w:val="22"/>
                                <w:szCs w:val="22"/>
                              </w:rPr>
                            </w:pPr>
                            <w:bookmarkStart w:id="121" w:name="_Toc375559634"/>
                            <w:r w:rsidRPr="006B206E">
                              <w:rPr>
                                <w:color w:val="FFFFFF" w:themeColor="background1"/>
                                <w:sz w:val="22"/>
                                <w:szCs w:val="22"/>
                              </w:rPr>
                              <w:t>Partnership Members:</w:t>
                            </w:r>
                            <w:bookmarkEnd w:id="121"/>
                          </w:p>
                          <w:p w:rsidR="00365DC0" w:rsidRPr="006B206E" w:rsidRDefault="00365DC0" w:rsidP="006B206E">
                            <w:pPr>
                              <w:pStyle w:val="ListParagraph"/>
                              <w:numPr>
                                <w:ilvl w:val="0"/>
                                <w:numId w:val="97"/>
                              </w:numPr>
                              <w:ind w:left="284" w:hanging="284"/>
                              <w:rPr>
                                <w:color w:val="FFFFFF" w:themeColor="background1"/>
                                <w:sz w:val="22"/>
                                <w:szCs w:val="22"/>
                              </w:rPr>
                            </w:pPr>
                            <w:bookmarkStart w:id="122" w:name="_Toc375559635"/>
                            <w:r w:rsidRPr="006B206E">
                              <w:rPr>
                                <w:color w:val="FFFFFF" w:themeColor="background1"/>
                                <w:sz w:val="22"/>
                                <w:szCs w:val="22"/>
                              </w:rPr>
                              <w:t>Aged Care Employers (10)</w:t>
                            </w:r>
                            <w:bookmarkEnd w:id="122"/>
                          </w:p>
                          <w:p w:rsidR="00365DC0" w:rsidRPr="006B206E" w:rsidRDefault="00365DC0" w:rsidP="006B206E">
                            <w:pPr>
                              <w:pStyle w:val="ListParagraph"/>
                              <w:numPr>
                                <w:ilvl w:val="0"/>
                                <w:numId w:val="97"/>
                              </w:numPr>
                              <w:ind w:left="284" w:hanging="284"/>
                              <w:rPr>
                                <w:color w:val="FFFFFF" w:themeColor="background1"/>
                                <w:sz w:val="22"/>
                                <w:szCs w:val="22"/>
                              </w:rPr>
                            </w:pPr>
                            <w:bookmarkStart w:id="123" w:name="_Toc375559636"/>
                            <w:r w:rsidRPr="006B206E">
                              <w:rPr>
                                <w:color w:val="FFFFFF" w:themeColor="background1"/>
                                <w:sz w:val="22"/>
                                <w:szCs w:val="22"/>
                              </w:rPr>
                              <w:t>Local High Schools (5)</w:t>
                            </w:r>
                            <w:bookmarkEnd w:id="123"/>
                          </w:p>
                          <w:p w:rsidR="00365DC0" w:rsidRPr="006B206E" w:rsidRDefault="00365DC0" w:rsidP="006B206E">
                            <w:pPr>
                              <w:pStyle w:val="ListParagraph"/>
                              <w:numPr>
                                <w:ilvl w:val="0"/>
                                <w:numId w:val="97"/>
                              </w:numPr>
                              <w:ind w:left="284" w:hanging="284"/>
                              <w:rPr>
                                <w:color w:val="FFFFFF" w:themeColor="background1"/>
                                <w:sz w:val="22"/>
                                <w:szCs w:val="22"/>
                              </w:rPr>
                            </w:pPr>
                            <w:bookmarkStart w:id="124" w:name="_Toc375559637"/>
                            <w:r w:rsidRPr="006B206E">
                              <w:rPr>
                                <w:color w:val="FFFFFF" w:themeColor="background1"/>
                                <w:sz w:val="22"/>
                                <w:szCs w:val="22"/>
                              </w:rPr>
                              <w:t>Training Council</w:t>
                            </w:r>
                            <w:bookmarkEnd w:id="124"/>
                          </w:p>
                          <w:p w:rsidR="00365DC0" w:rsidRPr="006B206E" w:rsidRDefault="00365DC0" w:rsidP="006B206E">
                            <w:pPr>
                              <w:pStyle w:val="ListParagraph"/>
                              <w:numPr>
                                <w:ilvl w:val="0"/>
                                <w:numId w:val="97"/>
                              </w:numPr>
                              <w:ind w:left="284" w:hanging="284"/>
                              <w:rPr>
                                <w:color w:val="FFFFFF" w:themeColor="background1"/>
                                <w:sz w:val="22"/>
                                <w:szCs w:val="22"/>
                              </w:rPr>
                            </w:pPr>
                            <w:bookmarkStart w:id="125" w:name="_Toc375559638"/>
                            <w:r w:rsidRPr="006B206E">
                              <w:rPr>
                                <w:color w:val="FFFFFF" w:themeColor="background1"/>
                                <w:sz w:val="22"/>
                                <w:szCs w:val="22"/>
                              </w:rPr>
                              <w:t>Aged &amp; Community Services WA (</w:t>
                            </w:r>
                            <w:proofErr w:type="spellStart"/>
                            <w:r w:rsidRPr="006B206E">
                              <w:rPr>
                                <w:color w:val="FFFFFF" w:themeColor="background1"/>
                                <w:sz w:val="22"/>
                                <w:szCs w:val="22"/>
                              </w:rPr>
                              <w:t>ACSWA</w:t>
                            </w:r>
                            <w:proofErr w:type="spellEnd"/>
                            <w:r w:rsidRPr="006B206E">
                              <w:rPr>
                                <w:color w:val="FFFFFF" w:themeColor="background1"/>
                                <w:sz w:val="22"/>
                                <w:szCs w:val="22"/>
                              </w:rPr>
                              <w:t>)</w:t>
                            </w:r>
                            <w:bookmarkEnd w:id="125"/>
                          </w:p>
                          <w:p w:rsidR="00365DC0" w:rsidRPr="008202A9" w:rsidRDefault="00365DC0" w:rsidP="008202A9">
                            <w:pPr>
                              <w:pStyle w:val="ListParagraph"/>
                              <w:numPr>
                                <w:ilvl w:val="0"/>
                                <w:numId w:val="97"/>
                              </w:numPr>
                              <w:ind w:left="284" w:hanging="284"/>
                              <w:rPr>
                                <w:color w:val="FFFFFF" w:themeColor="background1"/>
                                <w:sz w:val="22"/>
                                <w:szCs w:val="22"/>
                              </w:rPr>
                            </w:pPr>
                            <w:bookmarkStart w:id="126" w:name="_Toc375559639"/>
                            <w:r w:rsidRPr="008202A9">
                              <w:rPr>
                                <w:color w:val="FFFFFF" w:themeColor="background1"/>
                                <w:sz w:val="22"/>
                                <w:szCs w:val="22"/>
                              </w:rPr>
                              <w:t>Department of Education</w:t>
                            </w:r>
                            <w:bookmarkEnd w:id="126"/>
                          </w:p>
                          <w:p w:rsidR="00365DC0" w:rsidRPr="00DB1496" w:rsidRDefault="00365DC0" w:rsidP="00065ACE">
                            <w:pPr>
                              <w:pStyle w:val="ListParagraph"/>
                              <w:ind w:left="0"/>
                              <w:rPr>
                                <w:color w:val="FFFFFF" w:themeColor="background1"/>
                                <w:sz w:val="21"/>
                                <w:szCs w:val="21"/>
                              </w:rPr>
                            </w:pPr>
                          </w:p>
                        </w:txbxContent>
                      </wps:txbx>
                      <wps:bodyPr rot="0" vert="horz" wrap="square" lIns="91440" tIns="45720" rIns="91440" bIns="45720" anchor="t" anchorCtr="0" upright="1">
                        <a:noAutofit/>
                      </wps:bodyPr>
                    </wps:wsp>
                  </a:graphicData>
                </a:graphic>
              </wp:inline>
            </w:drawing>
          </mc:Choice>
          <mc:Fallback>
            <w:pict>
              <v:roundrect id="Rounded Rectangle 3" o:spid="_x0000_s1031" style="width:235.95pt;height:2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" fillcolor="#1f497d">
                <v:textbox>
                  <w:txbxContent>
                    <w:p w:rsidR="00365DC0" w:rsidRPr="00CC47AD" w:rsidRDefault="00365DC0" w:rsidP="008202A9">
                      <w:pPr>
                        <w:pStyle w:val="Heading5"/>
                        <w:spacing w:before="0"/>
                        <w:rPr>
                          <w:rFonts w:eastAsia="Times New Roman"/>
                          <w:color w:val="FFFFFF" w:themeColor="background1"/>
                        </w:rPr>
                      </w:pPr>
                      <w:bookmarkStart w:id="127" w:name="_Toc375559631"/>
                      <w:r w:rsidRPr="00CC47AD">
                        <w:rPr>
                          <w:rFonts w:eastAsia="Times New Roman"/>
                          <w:color w:val="FFFFFF" w:themeColor="background1"/>
                        </w:rPr>
                        <w:t>HEALTH PATHWAYS PARTNERSHIP</w:t>
                      </w:r>
                      <w:bookmarkEnd w:id="127"/>
                    </w:p>
                    <w:p w:rsidR="00365DC0" w:rsidRPr="006B206E" w:rsidRDefault="00365DC0" w:rsidP="006B206E">
                      <w:pPr>
                        <w:rPr>
                          <w:color w:val="FFFFFF" w:themeColor="background1"/>
                          <w:sz w:val="22"/>
                          <w:szCs w:val="22"/>
                        </w:rPr>
                      </w:pPr>
                      <w:bookmarkStart w:id="128" w:name="_Toc375559632"/>
                      <w:r w:rsidRPr="006B206E">
                        <w:rPr>
                          <w:color w:val="FFFFFF" w:themeColor="background1"/>
                          <w:sz w:val="22"/>
                          <w:szCs w:val="22"/>
                        </w:rPr>
                        <w:t>Purpose:</w:t>
                      </w:r>
                      <w:bookmarkEnd w:id="128"/>
                    </w:p>
                    <w:p w:rsidR="00365DC0" w:rsidRPr="006B206E" w:rsidRDefault="00365DC0" w:rsidP="006B206E">
                      <w:pPr>
                        <w:rPr>
                          <w:color w:val="FFFFFF" w:themeColor="background1"/>
                          <w:sz w:val="22"/>
                          <w:szCs w:val="22"/>
                        </w:rPr>
                      </w:pPr>
                      <w:bookmarkStart w:id="129" w:name="_Toc375559633"/>
                      <w:proofErr w:type="gramStart"/>
                      <w:r w:rsidRPr="006B206E">
                        <w:rPr>
                          <w:color w:val="FFFFFF" w:themeColor="background1"/>
                          <w:sz w:val="22"/>
                          <w:szCs w:val="22"/>
                        </w:rPr>
                        <w:t>To expand vocational pathways for youth in the region and to support an industry experiencing skill and labour shortages.</w:t>
                      </w:r>
                      <w:bookmarkEnd w:id="129"/>
                      <w:proofErr w:type="gramEnd"/>
                    </w:p>
                    <w:p w:rsidR="00365DC0" w:rsidRPr="006B206E" w:rsidRDefault="00365DC0" w:rsidP="006B206E">
                      <w:pPr>
                        <w:rPr>
                          <w:color w:val="FFFFFF" w:themeColor="background1"/>
                          <w:sz w:val="22"/>
                          <w:szCs w:val="22"/>
                        </w:rPr>
                      </w:pPr>
                      <w:bookmarkStart w:id="130" w:name="_Toc375559634"/>
                      <w:r w:rsidRPr="006B206E">
                        <w:rPr>
                          <w:color w:val="FFFFFF" w:themeColor="background1"/>
                          <w:sz w:val="22"/>
                          <w:szCs w:val="22"/>
                        </w:rPr>
                        <w:t>Partnership Members:</w:t>
                      </w:r>
                      <w:bookmarkEnd w:id="130"/>
                    </w:p>
                    <w:p w:rsidR="00365DC0" w:rsidRPr="006B206E" w:rsidRDefault="00365DC0" w:rsidP="006B206E">
                      <w:pPr>
                        <w:pStyle w:val="ListParagraph"/>
                        <w:numPr>
                          <w:ilvl w:val="0"/>
                          <w:numId w:val="97"/>
                        </w:numPr>
                        <w:ind w:left="284" w:hanging="284"/>
                        <w:rPr>
                          <w:color w:val="FFFFFF" w:themeColor="background1"/>
                          <w:sz w:val="22"/>
                          <w:szCs w:val="22"/>
                        </w:rPr>
                      </w:pPr>
                      <w:bookmarkStart w:id="131" w:name="_Toc375559635"/>
                      <w:r w:rsidRPr="006B206E">
                        <w:rPr>
                          <w:color w:val="FFFFFF" w:themeColor="background1"/>
                          <w:sz w:val="22"/>
                          <w:szCs w:val="22"/>
                        </w:rPr>
                        <w:t>Aged Care Employers (10)</w:t>
                      </w:r>
                      <w:bookmarkEnd w:id="131"/>
                    </w:p>
                    <w:p w:rsidR="00365DC0" w:rsidRPr="006B206E" w:rsidRDefault="00365DC0" w:rsidP="006B206E">
                      <w:pPr>
                        <w:pStyle w:val="ListParagraph"/>
                        <w:numPr>
                          <w:ilvl w:val="0"/>
                          <w:numId w:val="97"/>
                        </w:numPr>
                        <w:ind w:left="284" w:hanging="284"/>
                        <w:rPr>
                          <w:color w:val="FFFFFF" w:themeColor="background1"/>
                          <w:sz w:val="22"/>
                          <w:szCs w:val="22"/>
                        </w:rPr>
                      </w:pPr>
                      <w:bookmarkStart w:id="132" w:name="_Toc375559636"/>
                      <w:r w:rsidRPr="006B206E">
                        <w:rPr>
                          <w:color w:val="FFFFFF" w:themeColor="background1"/>
                          <w:sz w:val="22"/>
                          <w:szCs w:val="22"/>
                        </w:rPr>
                        <w:t>Local High Schools (5)</w:t>
                      </w:r>
                      <w:bookmarkEnd w:id="132"/>
                    </w:p>
                    <w:p w:rsidR="00365DC0" w:rsidRPr="006B206E" w:rsidRDefault="00365DC0" w:rsidP="006B206E">
                      <w:pPr>
                        <w:pStyle w:val="ListParagraph"/>
                        <w:numPr>
                          <w:ilvl w:val="0"/>
                          <w:numId w:val="97"/>
                        </w:numPr>
                        <w:ind w:left="284" w:hanging="284"/>
                        <w:rPr>
                          <w:color w:val="FFFFFF" w:themeColor="background1"/>
                          <w:sz w:val="22"/>
                          <w:szCs w:val="22"/>
                        </w:rPr>
                      </w:pPr>
                      <w:bookmarkStart w:id="133" w:name="_Toc375559637"/>
                      <w:r w:rsidRPr="006B206E">
                        <w:rPr>
                          <w:color w:val="FFFFFF" w:themeColor="background1"/>
                          <w:sz w:val="22"/>
                          <w:szCs w:val="22"/>
                        </w:rPr>
                        <w:t>Training Council</w:t>
                      </w:r>
                      <w:bookmarkEnd w:id="133"/>
                    </w:p>
                    <w:p w:rsidR="00365DC0" w:rsidRPr="006B206E" w:rsidRDefault="00365DC0" w:rsidP="006B206E">
                      <w:pPr>
                        <w:pStyle w:val="ListParagraph"/>
                        <w:numPr>
                          <w:ilvl w:val="0"/>
                          <w:numId w:val="97"/>
                        </w:numPr>
                        <w:ind w:left="284" w:hanging="284"/>
                        <w:rPr>
                          <w:color w:val="FFFFFF" w:themeColor="background1"/>
                          <w:sz w:val="22"/>
                          <w:szCs w:val="22"/>
                        </w:rPr>
                      </w:pPr>
                      <w:bookmarkStart w:id="134" w:name="_Toc375559638"/>
                      <w:r w:rsidRPr="006B206E">
                        <w:rPr>
                          <w:color w:val="FFFFFF" w:themeColor="background1"/>
                          <w:sz w:val="22"/>
                          <w:szCs w:val="22"/>
                        </w:rPr>
                        <w:t>Aged &amp; Community Services WA (</w:t>
                      </w:r>
                      <w:proofErr w:type="spellStart"/>
                      <w:r w:rsidRPr="006B206E">
                        <w:rPr>
                          <w:color w:val="FFFFFF" w:themeColor="background1"/>
                          <w:sz w:val="22"/>
                          <w:szCs w:val="22"/>
                        </w:rPr>
                        <w:t>ACSWA</w:t>
                      </w:r>
                      <w:proofErr w:type="spellEnd"/>
                      <w:r w:rsidRPr="006B206E">
                        <w:rPr>
                          <w:color w:val="FFFFFF" w:themeColor="background1"/>
                          <w:sz w:val="22"/>
                          <w:szCs w:val="22"/>
                        </w:rPr>
                        <w:t>)</w:t>
                      </w:r>
                      <w:bookmarkEnd w:id="134"/>
                    </w:p>
                    <w:p w:rsidR="00365DC0" w:rsidRPr="008202A9" w:rsidRDefault="00365DC0" w:rsidP="008202A9">
                      <w:pPr>
                        <w:pStyle w:val="ListParagraph"/>
                        <w:numPr>
                          <w:ilvl w:val="0"/>
                          <w:numId w:val="97"/>
                        </w:numPr>
                        <w:ind w:left="284" w:hanging="284"/>
                        <w:rPr>
                          <w:color w:val="FFFFFF" w:themeColor="background1"/>
                          <w:sz w:val="22"/>
                          <w:szCs w:val="22"/>
                        </w:rPr>
                      </w:pPr>
                      <w:bookmarkStart w:id="135" w:name="_Toc375559639"/>
                      <w:r w:rsidRPr="008202A9">
                        <w:rPr>
                          <w:color w:val="FFFFFF" w:themeColor="background1"/>
                          <w:sz w:val="22"/>
                          <w:szCs w:val="22"/>
                        </w:rPr>
                        <w:t>Department of Education</w:t>
                      </w:r>
                      <w:bookmarkEnd w:id="135"/>
                    </w:p>
                    <w:p w:rsidR="00365DC0" w:rsidRPr="00DB1496" w:rsidRDefault="00365DC0" w:rsidP="00065ACE">
                      <w:pPr>
                        <w:pStyle w:val="ListParagraph"/>
                        <w:ind w:left="0"/>
                        <w:rPr>
                          <w:color w:val="FFFFFF" w:themeColor="background1"/>
                          <w:sz w:val="21"/>
                          <w:szCs w:val="21"/>
                        </w:rPr>
                      </w:pPr>
                    </w:p>
                  </w:txbxContent>
                </v:textbox>
                <w10:anchorlock/>
              </v:roundrect>
            </w:pict>
          </mc:Fallback>
        </mc:AlternateContent>
      </w:r>
    </w:p>
    <w:p w:rsidR="00065ACE" w:rsidRPr="00CC47AD" w:rsidRDefault="00065ACE" w:rsidP="00CC47AD">
      <w:pPr>
        <w:pStyle w:val="Heading6"/>
        <w:rPr>
          <w:rFonts w:eastAsia="Times New Roman"/>
          <w:color w:val="0070C0"/>
        </w:rPr>
      </w:pPr>
      <w:r w:rsidRPr="00CC47AD">
        <w:rPr>
          <w:rFonts w:eastAsia="Times New Roman"/>
          <w:color w:val="0070C0"/>
        </w:rPr>
        <w:t>Context and Goals</w:t>
      </w:r>
    </w:p>
    <w:p w:rsidR="00065ACE" w:rsidRPr="00065ACE" w:rsidRDefault="00065ACE" w:rsidP="00065ACE">
      <w:pPr>
        <w:autoSpaceDE w:val="0"/>
        <w:autoSpaceDN w:val="0"/>
        <w:spacing w:after="120"/>
        <w:rPr>
          <w:rFonts w:eastAsia="Times New Roman" w:cs="Arial"/>
          <w:color w:val="000000"/>
          <w:sz w:val="20"/>
          <w:szCs w:val="20"/>
          <w:lang w:eastAsia="en-AU"/>
        </w:rPr>
      </w:pPr>
      <w:r w:rsidRPr="00065ACE">
        <w:rPr>
          <w:rFonts w:eastAsia="Times New Roman" w:cs="Arial"/>
          <w:color w:val="000000"/>
          <w:sz w:val="20"/>
          <w:szCs w:val="20"/>
          <w:lang w:eastAsia="en-AU"/>
        </w:rPr>
        <w:t xml:space="preserve">The health and community services sector is the third largest in the Canning region of Perth WA. The sector employs approximately 31,000 employees and is projected to increase at a rate of 3.3% per year until 2015. The aged care sector in particular is experiencing severe skill shortage exacerbated by an aging population and competition from more lucrative sectors.  </w:t>
      </w:r>
    </w:p>
    <w:p w:rsidR="00065ACE" w:rsidRPr="00065ACE" w:rsidRDefault="00065ACE" w:rsidP="00065ACE">
      <w:pPr>
        <w:tabs>
          <w:tab w:val="num" w:pos="720"/>
        </w:tabs>
        <w:adjustRightInd w:val="0"/>
        <w:contextualSpacing/>
        <w:rPr>
          <w:rFonts w:eastAsia="Times New Roman" w:cs="Arial"/>
          <w:color w:val="000000"/>
          <w:sz w:val="20"/>
          <w:szCs w:val="20"/>
          <w:lang w:eastAsia="en-AU"/>
        </w:rPr>
      </w:pPr>
      <w:r w:rsidRPr="00065ACE">
        <w:rPr>
          <w:rFonts w:eastAsia="Times New Roman" w:cs="Arial"/>
          <w:color w:val="000000"/>
          <w:sz w:val="20"/>
          <w:szCs w:val="20"/>
          <w:lang w:eastAsia="en-AU"/>
        </w:rPr>
        <w:t>The Health Pathways Partnership addresses this skill shortage by promoting career pathways and offering school-based traineeship opportunities in the aged care sector to senior high school students.</w:t>
      </w:r>
    </w:p>
    <w:p w:rsidR="00065ACE" w:rsidRPr="00065ACE" w:rsidRDefault="00065ACE" w:rsidP="00065ACE">
      <w:pPr>
        <w:tabs>
          <w:tab w:val="num" w:pos="720"/>
        </w:tabs>
        <w:adjustRightInd w:val="0"/>
        <w:contextualSpacing/>
        <w:rPr>
          <w:rFonts w:eastAsia="Times New Roman" w:cs="Arial"/>
          <w:color w:val="000000"/>
          <w:sz w:val="20"/>
          <w:szCs w:val="20"/>
          <w:lang w:eastAsia="en-AU"/>
        </w:rPr>
      </w:pPr>
    </w:p>
    <w:p w:rsidR="00065ACE" w:rsidRPr="00065ACE" w:rsidRDefault="00065ACE" w:rsidP="00065ACE">
      <w:pPr>
        <w:tabs>
          <w:tab w:val="num" w:pos="720"/>
        </w:tabs>
        <w:adjustRightInd w:val="0"/>
        <w:contextualSpacing/>
        <w:rPr>
          <w:rFonts w:eastAsia="Times New Roman" w:cs="Arial"/>
          <w:color w:val="000000"/>
          <w:sz w:val="20"/>
          <w:szCs w:val="20"/>
          <w:lang w:eastAsia="en-AU"/>
        </w:rPr>
      </w:pPr>
      <w:r w:rsidRPr="00065ACE">
        <w:rPr>
          <w:rFonts w:eastAsia="Times New Roman" w:cs="Arial"/>
          <w:noProof/>
          <w:color w:val="000000"/>
          <w:sz w:val="20"/>
          <w:szCs w:val="20"/>
          <w:lang w:eastAsia="en-AU"/>
        </w:rPr>
        <mc:AlternateContent>
          <mc:Choice Requires="wps">
            <w:drawing>
              <wp:inline distT="0" distB="0" distL="0" distR="0" wp14:anchorId="5A21FF27" wp14:editId="65466C15">
                <wp:extent cx="3039745" cy="1447800"/>
                <wp:effectExtent l="0" t="0" r="8255" b="0"/>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745" cy="1447800"/>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5DC0" w:rsidRDefault="00365DC0" w:rsidP="00065ACE">
                            <w:pPr>
                              <w:pStyle w:val="Quote1"/>
                            </w:pPr>
                            <w:r w:rsidRPr="00575635">
                              <w:sym w:font="Wingdings" w:char="007D"/>
                            </w:r>
                            <w:r w:rsidRPr="00575635">
                              <w:t xml:space="preserve">  This is a great opportunity to not only implement training programs that directly reflect the needs of our sector, but to build partnerships and pathways for students wishing to explore career opportunities in the aged care sector</w:t>
                            </w:r>
                            <w:r w:rsidRPr="00575635">
                              <w:sym w:font="Wingdings" w:char="007E"/>
                            </w:r>
                          </w:p>
                          <w:p w:rsidR="00365DC0" w:rsidRDefault="00365DC0" w:rsidP="00065ACE">
                            <w:pPr>
                              <w:pStyle w:val="Quote1"/>
                            </w:pPr>
                            <w:r>
                              <w:t xml:space="preserve">Maureen Williams, </w:t>
                            </w:r>
                            <w:proofErr w:type="spellStart"/>
                            <w:r>
                              <w:t>Braemar</w:t>
                            </w:r>
                            <w:proofErr w:type="spellEnd"/>
                            <w:r>
                              <w:t xml:space="preserve"> Presbyterian re</w:t>
                            </w:r>
                          </w:p>
                          <w:p w:rsidR="00365DC0" w:rsidRPr="005D70C2" w:rsidRDefault="00365DC0" w:rsidP="00065ACE">
                            <w:pPr>
                              <w:tabs>
                                <w:tab w:val="left" w:pos="6075"/>
                              </w:tabs>
                              <w:spacing w:after="120"/>
                              <w:rPr>
                                <w:i/>
                                <w:color w:val="000000" w:themeColor="text2"/>
                                <w:sz w:val="20"/>
                              </w:rPr>
                            </w:pPr>
                          </w:p>
                          <w:p w:rsidR="00365DC0" w:rsidRDefault="00365DC0" w:rsidP="00065ACE"/>
                          <w:p w:rsidR="00365DC0" w:rsidRDefault="00365DC0" w:rsidP="00065ACE"/>
                        </w:txbxContent>
                      </wps:txbx>
                      <wps:bodyPr rot="0" vert="horz" wrap="square" lIns="91440" tIns="45720" rIns="91440" bIns="45720" anchor="t" anchorCtr="0" upright="1">
                        <a:noAutofit/>
                      </wps:bodyPr>
                    </wps:wsp>
                  </a:graphicData>
                </a:graphic>
              </wp:inline>
            </w:drawing>
          </mc:Choice>
          <mc:Fallback>
            <w:pict>
              <v:roundrect id="Rounded Rectangle 11" o:spid="_x0000_s1032" style="width:239.35pt;height:11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" fillcolor="#dce6f2" stroked="f">
                <v:textbox>
                  <w:txbxContent>
                    <w:p w:rsidR="00365DC0" w:rsidRDefault="00365DC0" w:rsidP="00065ACE">
                      <w:pPr>
                        <w:pStyle w:val="Quote1"/>
                      </w:pPr>
                      <w:r w:rsidRPr="00575635">
                        <w:sym w:font="Wingdings" w:char="007D"/>
                      </w:r>
                      <w:r w:rsidRPr="00575635">
                        <w:t xml:space="preserve">  This is a great opportunity to not only implement training programs that directly reflect the needs of our sector, but to build partnerships and pathways for students wishing to explore career opportunities in the aged care sector</w:t>
                      </w:r>
                      <w:r w:rsidRPr="00575635">
                        <w:sym w:font="Wingdings" w:char="007E"/>
                      </w:r>
                    </w:p>
                    <w:p w:rsidR="00365DC0" w:rsidRDefault="00365DC0" w:rsidP="00065ACE">
                      <w:pPr>
                        <w:pStyle w:val="Quote1"/>
                      </w:pPr>
                      <w:r>
                        <w:t xml:space="preserve">Maureen Williams, </w:t>
                      </w:r>
                      <w:proofErr w:type="spellStart"/>
                      <w:r>
                        <w:t>Braemar</w:t>
                      </w:r>
                      <w:proofErr w:type="spellEnd"/>
                      <w:r>
                        <w:t xml:space="preserve"> Presbyterian re</w:t>
                      </w:r>
                    </w:p>
                    <w:p w:rsidR="00365DC0" w:rsidRPr="005D70C2" w:rsidRDefault="00365DC0" w:rsidP="00065ACE">
                      <w:pPr>
                        <w:tabs>
                          <w:tab w:val="left" w:pos="6075"/>
                        </w:tabs>
                        <w:spacing w:after="120"/>
                        <w:rPr>
                          <w:i/>
                          <w:color w:val="000000" w:themeColor="text2"/>
                          <w:sz w:val="20"/>
                        </w:rPr>
                      </w:pPr>
                    </w:p>
                    <w:p w:rsidR="00365DC0" w:rsidRDefault="00365DC0" w:rsidP="00065ACE"/>
                    <w:p w:rsidR="00365DC0" w:rsidRDefault="00365DC0" w:rsidP="00065ACE"/>
                  </w:txbxContent>
                </v:textbox>
                <w10:anchorlock/>
              </v:roundrect>
            </w:pict>
          </mc:Fallback>
        </mc:AlternateContent>
      </w:r>
    </w:p>
    <w:p w:rsidR="00065ACE" w:rsidRPr="00CC47AD" w:rsidRDefault="00065ACE" w:rsidP="00CC47AD">
      <w:pPr>
        <w:pStyle w:val="Heading6"/>
        <w:rPr>
          <w:rFonts w:eastAsia="Times New Roman"/>
          <w:color w:val="0070C0"/>
        </w:rPr>
      </w:pPr>
      <w:r w:rsidRPr="00CC47AD">
        <w:rPr>
          <w:rFonts w:eastAsia="Times New Roman"/>
          <w:color w:val="0070C0"/>
        </w:rPr>
        <w:t>The Partnership’s Approach</w:t>
      </w:r>
    </w:p>
    <w:p w:rsidR="00065ACE" w:rsidRPr="00065ACE" w:rsidRDefault="00065ACE" w:rsidP="00065ACE">
      <w:pPr>
        <w:tabs>
          <w:tab w:val="num" w:pos="720"/>
        </w:tabs>
        <w:adjustRightInd w:val="0"/>
        <w:spacing w:after="120"/>
        <w:rPr>
          <w:rFonts w:eastAsia="Times New Roman" w:cs="Arial"/>
          <w:color w:val="000000"/>
          <w:sz w:val="20"/>
          <w:szCs w:val="20"/>
          <w:lang w:eastAsia="en-AU"/>
        </w:rPr>
      </w:pPr>
      <w:r w:rsidRPr="00065ACE">
        <w:rPr>
          <w:rFonts w:eastAsia="Times New Roman" w:cs="Arial"/>
          <w:color w:val="000000"/>
          <w:sz w:val="20"/>
          <w:szCs w:val="20"/>
          <w:lang w:eastAsia="en-AU"/>
        </w:rPr>
        <w:t>In 2011, the partners implemented a pilot program that commenced with 5 weeks upfront training for students with a registered training organisation (</w:t>
      </w:r>
      <w:proofErr w:type="spellStart"/>
      <w:r w:rsidRPr="00065ACE">
        <w:rPr>
          <w:rFonts w:eastAsia="Times New Roman" w:cs="Arial"/>
          <w:color w:val="000000"/>
          <w:sz w:val="20"/>
          <w:szCs w:val="20"/>
          <w:lang w:eastAsia="en-AU"/>
        </w:rPr>
        <w:t>RTO</w:t>
      </w:r>
      <w:proofErr w:type="spellEnd"/>
      <w:r w:rsidRPr="00065ACE">
        <w:rPr>
          <w:rFonts w:eastAsia="Times New Roman" w:cs="Arial"/>
          <w:color w:val="000000"/>
          <w:sz w:val="20"/>
          <w:szCs w:val="20"/>
          <w:lang w:eastAsia="en-AU"/>
        </w:rPr>
        <w:t xml:space="preserve">) to raise awareness of the industry and to prepare students for the sometimes confronting experiences they may have in the aged care facilities.  </w:t>
      </w:r>
    </w:p>
    <w:p w:rsidR="00065ACE" w:rsidRPr="00065ACE" w:rsidRDefault="00065ACE" w:rsidP="00065ACE">
      <w:pPr>
        <w:tabs>
          <w:tab w:val="num" w:pos="720"/>
        </w:tabs>
        <w:adjustRightInd w:val="0"/>
        <w:spacing w:after="120"/>
        <w:rPr>
          <w:rFonts w:eastAsia="Times New Roman" w:cs="Arial"/>
          <w:color w:val="000000"/>
          <w:sz w:val="20"/>
          <w:szCs w:val="20"/>
          <w:lang w:eastAsia="en-AU"/>
        </w:rPr>
      </w:pPr>
      <w:r w:rsidRPr="00065ACE">
        <w:rPr>
          <w:rFonts w:eastAsia="Times New Roman" w:cs="Arial"/>
          <w:color w:val="000000"/>
          <w:sz w:val="20"/>
          <w:szCs w:val="20"/>
          <w:lang w:eastAsia="en-AU"/>
        </w:rPr>
        <w:t>This was followed by a period of Workplace Learning, after which, employers offered selected students school-based traineeships in the areas of Health Support, Community Services and Business.</w:t>
      </w:r>
    </w:p>
    <w:p w:rsidR="00065ACE" w:rsidRPr="00065ACE" w:rsidRDefault="00065ACE" w:rsidP="00CC47AD">
      <w:pPr>
        <w:pStyle w:val="Heading6"/>
        <w:rPr>
          <w:b/>
          <w:color w:val="1F497D"/>
          <w:sz w:val="20"/>
          <w:szCs w:val="20"/>
          <w:lang w:eastAsia="en-AU"/>
        </w:rPr>
      </w:pPr>
      <w:r w:rsidRPr="00065ACE">
        <w:rPr>
          <w:b/>
          <w:color w:val="1F497D"/>
          <w:sz w:val="20"/>
          <w:szCs w:val="20"/>
          <w:lang w:eastAsia="en-AU"/>
        </w:rPr>
        <w:br w:type="column"/>
      </w:r>
      <w:r w:rsidRPr="00CC47AD">
        <w:rPr>
          <w:rFonts w:eastAsia="Times New Roman"/>
          <w:color w:val="0070C0"/>
        </w:rPr>
        <w:lastRenderedPageBreak/>
        <w:t>Benefits</w:t>
      </w:r>
    </w:p>
    <w:p w:rsidR="00065ACE" w:rsidRPr="00065ACE" w:rsidRDefault="00065ACE" w:rsidP="00065ACE">
      <w:pPr>
        <w:numPr>
          <w:ilvl w:val="0"/>
          <w:numId w:val="95"/>
        </w:numPr>
        <w:autoSpaceDE w:val="0"/>
        <w:autoSpaceDN w:val="0"/>
        <w:spacing w:after="60" w:line="240" w:lineRule="auto"/>
        <w:ind w:left="425" w:hanging="425"/>
        <w:rPr>
          <w:rFonts w:cs="Calibri"/>
          <w:b/>
          <w:bCs/>
          <w:color w:val="FF0000"/>
          <w:sz w:val="20"/>
          <w:szCs w:val="20"/>
          <w:lang w:eastAsia="en-AU"/>
        </w:rPr>
      </w:pPr>
      <w:r w:rsidRPr="00065ACE">
        <w:rPr>
          <w:rFonts w:cs="Calibri"/>
          <w:sz w:val="20"/>
          <w:szCs w:val="20"/>
          <w:lang w:eastAsia="en-AU"/>
        </w:rPr>
        <w:t>Students are supported to undertake five Cert II units up front to prepare them for work in the aged care sector, and complete Workplace Learning which is credited towards their high school certificate.</w:t>
      </w:r>
    </w:p>
    <w:p w:rsidR="00065ACE" w:rsidRPr="00065ACE" w:rsidRDefault="00065ACE" w:rsidP="00065ACE">
      <w:pPr>
        <w:numPr>
          <w:ilvl w:val="0"/>
          <w:numId w:val="95"/>
        </w:numPr>
        <w:autoSpaceDE w:val="0"/>
        <w:autoSpaceDN w:val="0"/>
        <w:spacing w:after="60" w:line="240" w:lineRule="auto"/>
        <w:ind w:left="425" w:hanging="425"/>
        <w:rPr>
          <w:rFonts w:cs="Calibri"/>
          <w:sz w:val="20"/>
          <w:szCs w:val="20"/>
          <w:lang w:eastAsia="en-AU"/>
        </w:rPr>
      </w:pPr>
      <w:r w:rsidRPr="00065ACE">
        <w:rPr>
          <w:rFonts w:cs="Calibri"/>
          <w:sz w:val="20"/>
          <w:szCs w:val="20"/>
          <w:lang w:eastAsia="en-AU"/>
        </w:rPr>
        <w:t xml:space="preserve">Selected students are offered a school-based traineeship. </w:t>
      </w:r>
      <w:r w:rsidRPr="00065ACE">
        <w:rPr>
          <w:rFonts w:eastAsia="Times New Roman" w:cs="Arial"/>
          <w:sz w:val="20"/>
          <w:szCs w:val="20"/>
          <w:lang w:eastAsia="en-AU"/>
        </w:rPr>
        <w:t>In 2011, 9 students commenced school-based traineeships in Health Support Services as a result of the partnership.</w:t>
      </w:r>
    </w:p>
    <w:p w:rsidR="00065ACE" w:rsidRPr="00065ACE" w:rsidRDefault="00065ACE" w:rsidP="00065ACE">
      <w:pPr>
        <w:numPr>
          <w:ilvl w:val="0"/>
          <w:numId w:val="95"/>
        </w:numPr>
        <w:autoSpaceDE w:val="0"/>
        <w:autoSpaceDN w:val="0"/>
        <w:spacing w:after="200" w:line="240" w:lineRule="auto"/>
        <w:ind w:left="425" w:hanging="425"/>
        <w:rPr>
          <w:rFonts w:cs="Calibri"/>
          <w:sz w:val="20"/>
          <w:szCs w:val="20"/>
          <w:lang w:eastAsia="en-AU"/>
        </w:rPr>
      </w:pPr>
      <w:r w:rsidRPr="00065ACE">
        <w:rPr>
          <w:rFonts w:eastAsia="Times New Roman" w:cs="Arial"/>
          <w:color w:val="000000"/>
          <w:sz w:val="20"/>
          <w:szCs w:val="20"/>
          <w:lang w:eastAsia="en-AU"/>
        </w:rPr>
        <w:t>Employers are working together to shape the training program and attract young people to the sector to meet the needs of their business.</w:t>
      </w:r>
    </w:p>
    <w:p w:rsidR="00065ACE" w:rsidRPr="00CC47AD" w:rsidRDefault="00065ACE" w:rsidP="00CC47AD">
      <w:pPr>
        <w:pStyle w:val="Heading6"/>
        <w:rPr>
          <w:rFonts w:eastAsia="Times New Roman"/>
          <w:color w:val="0070C0"/>
        </w:rPr>
      </w:pPr>
      <w:r w:rsidRPr="00CC47AD">
        <w:rPr>
          <w:rFonts w:eastAsia="Times New Roman"/>
          <w:color w:val="0070C0"/>
        </w:rPr>
        <w:t>Next Steps</w:t>
      </w:r>
    </w:p>
    <w:p w:rsidR="00065ACE" w:rsidRPr="00065ACE" w:rsidRDefault="00065ACE" w:rsidP="00065ACE">
      <w:pPr>
        <w:spacing w:after="120"/>
        <w:rPr>
          <w:rFonts w:cs="Calibri"/>
          <w:sz w:val="20"/>
          <w:szCs w:val="20"/>
          <w:lang w:eastAsia="en-AU"/>
        </w:rPr>
      </w:pPr>
      <w:r w:rsidRPr="00065ACE">
        <w:rPr>
          <w:rFonts w:cs="Calibri"/>
          <w:sz w:val="20"/>
          <w:szCs w:val="20"/>
          <w:lang w:eastAsia="en-AU"/>
        </w:rPr>
        <w:t>The partnership program will expand and diversify in 2012. Five new partners have joined the partnership and work placements are being offered in new areas such as maintenance and kitchen operations. Feedback from the evaluation undertaken of the pilot program will be fundamental as the partners review the plan for 2012 and look at sustainability of the program into the future.</w:t>
      </w:r>
    </w:p>
    <w:p w:rsidR="00065ACE" w:rsidRPr="00065ACE" w:rsidRDefault="00065ACE" w:rsidP="00065ACE">
      <w:pPr>
        <w:spacing w:after="120"/>
        <w:rPr>
          <w:rFonts w:cs="Calibri"/>
          <w:color w:val="FF0000"/>
          <w:sz w:val="20"/>
          <w:szCs w:val="20"/>
        </w:rPr>
      </w:pPr>
      <w:r w:rsidRPr="00065ACE">
        <w:rPr>
          <w:rFonts w:cs="Calibri"/>
          <w:sz w:val="20"/>
          <w:szCs w:val="20"/>
          <w:lang w:eastAsia="en-AU"/>
        </w:rPr>
        <w:t>The Health Pathways program is being replicated in Perth’s Northern suburbs by the Department of Education.</w:t>
      </w:r>
      <w:r w:rsidRPr="00065ACE">
        <w:rPr>
          <w:rFonts w:cs="Calibri"/>
          <w:noProof/>
          <w:sz w:val="20"/>
          <w:szCs w:val="20"/>
          <w:lang w:eastAsia="en-AU"/>
        </w:rPr>
        <w:drawing>
          <wp:inline distT="0" distB="0" distL="0" distR="0" wp14:anchorId="59AD5791" wp14:editId="6A052BC4">
            <wp:extent cx="3042285" cy="2281555"/>
            <wp:effectExtent l="0" t="0" r="0" b="0"/>
            <wp:docPr id="23" name="Picture 0" descr="Female high school student assisting elderly female aged care resident in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d Care SbTs 010.JPG"/>
                    <pic:cNvPicPr/>
                  </pic:nvPicPr>
                  <pic:blipFill>
                    <a:blip r:embed="rId52" cstate="print"/>
                    <a:stretch>
                      <a:fillRect/>
                    </a:stretch>
                  </pic:blipFill>
                  <pic:spPr>
                    <a:xfrm>
                      <a:off x="0" y="0"/>
                      <a:ext cx="3042285" cy="2281555"/>
                    </a:xfrm>
                    <a:prstGeom prst="rect">
                      <a:avLst/>
                    </a:prstGeom>
                  </pic:spPr>
                </pic:pic>
              </a:graphicData>
            </a:graphic>
          </wp:inline>
        </w:drawing>
      </w:r>
    </w:p>
    <w:p w:rsidR="00065ACE" w:rsidRPr="00CC47AD" w:rsidRDefault="00065ACE" w:rsidP="00CC47AD">
      <w:pPr>
        <w:pStyle w:val="Heading6"/>
        <w:rPr>
          <w:rFonts w:eastAsia="Times New Roman"/>
          <w:color w:val="0070C0"/>
        </w:rPr>
      </w:pPr>
      <w:r w:rsidRPr="00CC47AD">
        <w:rPr>
          <w:rFonts w:eastAsia="Times New Roman"/>
          <w:color w:val="0070C0"/>
        </w:rPr>
        <w:t>Support from the Partnership Broker</w:t>
      </w:r>
    </w:p>
    <w:p w:rsidR="00201F30" w:rsidRDefault="00065ACE" w:rsidP="00065ACE">
      <w:pPr>
        <w:autoSpaceDE w:val="0"/>
        <w:autoSpaceDN w:val="0"/>
        <w:spacing w:after="360"/>
        <w:ind w:right="-28"/>
        <w:rPr>
          <w:rFonts w:ascii="Times New Roman" w:eastAsia="Times New Roman" w:hAnsi="Times New Roman" w:cs="Arial"/>
          <w:color w:val="000000"/>
          <w:sz w:val="20"/>
          <w:szCs w:val="20"/>
          <w:lang w:eastAsia="en-AU"/>
        </w:rPr>
      </w:pPr>
      <w:r w:rsidRPr="00065ACE">
        <w:rPr>
          <w:rFonts w:eastAsia="Times New Roman" w:cs="Arial"/>
          <w:color w:val="000000"/>
          <w:sz w:val="20"/>
          <w:szCs w:val="20"/>
          <w:lang w:eastAsia="en-AU"/>
        </w:rPr>
        <w:t>The Partnership Broker consulted with schools and identified a gap in vocational pathways available to students. They approached aged care providers and other potential partners to assess their interest in an initiative and facilitated group meetings. Further support included advising partners on funding sources and assisting them to coordinate a structured program including parent information sessions and a launch event.</w:t>
      </w:r>
      <w:r w:rsidRPr="00065ACE">
        <w:rPr>
          <w:rFonts w:ascii="Times New Roman" w:eastAsia="Times New Roman" w:hAnsi="Times New Roman" w:cs="Arial"/>
          <w:color w:val="000000"/>
          <w:sz w:val="20"/>
          <w:szCs w:val="20"/>
          <w:lang w:eastAsia="en-AU"/>
        </w:rPr>
        <w:t xml:space="preserve"> </w:t>
      </w:r>
    </w:p>
    <w:p w:rsidR="00065ACE" w:rsidRPr="00065ACE" w:rsidRDefault="00065ACE" w:rsidP="00065ACE">
      <w:pPr>
        <w:autoSpaceDE w:val="0"/>
        <w:autoSpaceDN w:val="0"/>
        <w:spacing w:after="360"/>
        <w:ind w:right="-28"/>
        <w:rPr>
          <w:rFonts w:ascii="Times New Roman" w:hAnsi="Times New Roman"/>
          <w:sz w:val="20"/>
          <w:szCs w:val="20"/>
          <w:lang w:eastAsia="en-AU"/>
        </w:rPr>
      </w:pPr>
      <w:r w:rsidRPr="00065ACE">
        <w:rPr>
          <w:rFonts w:ascii="Times New Roman" w:eastAsia="Times New Roman" w:hAnsi="Times New Roman" w:cs="Arial"/>
          <w:noProof/>
          <w:color w:val="000000"/>
          <w:sz w:val="20"/>
          <w:szCs w:val="20"/>
          <w:lang w:eastAsia="en-AU"/>
        </w:rPr>
        <mc:AlternateContent>
          <mc:Choice Requires="wps">
            <w:drawing>
              <wp:inline distT="0" distB="0" distL="0" distR="0" wp14:anchorId="636CF317" wp14:editId="65B6A0FB">
                <wp:extent cx="3264535" cy="904875"/>
                <wp:effectExtent l="0" t="0" r="12065" b="28575"/>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4535" cy="904875"/>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365DC0" w:rsidRPr="00CC47AD" w:rsidRDefault="00365DC0" w:rsidP="00CC47AD">
                            <w:pPr>
                              <w:pStyle w:val="Heading5"/>
                              <w:rPr>
                                <w:rFonts w:eastAsia="Times New Roman"/>
                                <w:color w:val="FFFFFF" w:themeColor="background1"/>
                              </w:rPr>
                            </w:pPr>
                            <w:r w:rsidRPr="00CC47AD">
                              <w:rPr>
                                <w:rFonts w:eastAsia="Times New Roman"/>
                                <w:color w:val="FFFFFF" w:themeColor="background1"/>
                              </w:rPr>
                              <w:t>TOP TIP</w:t>
                            </w:r>
                          </w:p>
                          <w:p w:rsidR="00365DC0" w:rsidRDefault="00365DC0" w:rsidP="00065ACE">
                            <w:pPr>
                              <w:rPr>
                                <w:color w:val="FFFFFF" w:themeColor="background1"/>
                                <w:sz w:val="20"/>
                              </w:rPr>
                            </w:pPr>
                            <w:r>
                              <w:rPr>
                                <w:color w:val="FFFFFF" w:themeColor="background1"/>
                                <w:sz w:val="20"/>
                              </w:rPr>
                              <w:t>It is important to have open communication, trust and a shared understanding between all partners.</w:t>
                            </w:r>
                          </w:p>
                          <w:p w:rsidR="00365DC0" w:rsidRPr="005D70C2" w:rsidRDefault="00365DC0" w:rsidP="00065ACE">
                            <w:pPr>
                              <w:rPr>
                                <w:color w:val="FFFFFF" w:themeColor="background1"/>
                                <w:sz w:val="20"/>
                              </w:rPr>
                            </w:pPr>
                          </w:p>
                        </w:txbxContent>
                      </wps:txbx>
                      <wps:bodyPr rot="0" vert="horz" wrap="square" lIns="91440" tIns="45720" rIns="91440" bIns="45720" anchor="t" anchorCtr="0" upright="1">
                        <a:noAutofit/>
                      </wps:bodyPr>
                    </wps:wsp>
                  </a:graphicData>
                </a:graphic>
              </wp:inline>
            </w:drawing>
          </mc:Choice>
          <mc:Fallback>
            <w:pict>
              <v:roundrect id="Rounded Rectangle 10" o:spid="_x0000_s1033" style="width:257.05pt;height:71.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" fillcolor="#1f497d">
                <v:textbox>
                  <w:txbxContent>
                    <w:p w:rsidR="00365DC0" w:rsidRPr="00CC47AD" w:rsidRDefault="00365DC0" w:rsidP="00CC47AD">
                      <w:pPr>
                        <w:pStyle w:val="Heading5"/>
                        <w:rPr>
                          <w:rFonts w:eastAsia="Times New Roman"/>
                          <w:color w:val="FFFFFF" w:themeColor="background1"/>
                        </w:rPr>
                      </w:pPr>
                      <w:r w:rsidRPr="00CC47AD">
                        <w:rPr>
                          <w:rFonts w:eastAsia="Times New Roman"/>
                          <w:color w:val="FFFFFF" w:themeColor="background1"/>
                        </w:rPr>
                        <w:t>TOP TIP</w:t>
                      </w:r>
                    </w:p>
                    <w:p w:rsidR="00365DC0" w:rsidRDefault="00365DC0" w:rsidP="00065ACE">
                      <w:pPr>
                        <w:rPr>
                          <w:color w:val="FFFFFF" w:themeColor="background1"/>
                          <w:sz w:val="20"/>
                        </w:rPr>
                      </w:pPr>
                      <w:r>
                        <w:rPr>
                          <w:color w:val="FFFFFF" w:themeColor="background1"/>
                          <w:sz w:val="20"/>
                        </w:rPr>
                        <w:t>It is important to have open communication, trust and a shared understanding between all partners.</w:t>
                      </w:r>
                    </w:p>
                    <w:p w:rsidR="00365DC0" w:rsidRPr="005D70C2" w:rsidRDefault="00365DC0" w:rsidP="00065ACE">
                      <w:pPr>
                        <w:rPr>
                          <w:color w:val="FFFFFF" w:themeColor="background1"/>
                          <w:sz w:val="20"/>
                        </w:rPr>
                      </w:pPr>
                    </w:p>
                  </w:txbxContent>
                </v:textbox>
                <w10:anchorlock/>
              </v:roundrect>
            </w:pict>
          </mc:Fallback>
        </mc:AlternateContent>
      </w:r>
    </w:p>
    <w:p w:rsidR="00F914DC" w:rsidRDefault="00F914DC" w:rsidP="00065ACE">
      <w:pPr>
        <w:spacing w:line="240" w:lineRule="auto"/>
        <w:rPr>
          <w:rFonts w:eastAsia="Times New Roman" w:cs="Calibri"/>
          <w:szCs w:val="20"/>
          <w:lang w:val="en-US"/>
        </w:rPr>
        <w:sectPr w:rsidR="00F914DC" w:rsidSect="004B3484">
          <w:type w:val="continuous"/>
          <w:pgSz w:w="11906" w:h="16838"/>
          <w:pgMar w:top="709" w:right="991" w:bottom="567" w:left="567" w:header="142" w:footer="0" w:gutter="0"/>
          <w:cols w:num="2" w:space="708"/>
          <w:docGrid w:linePitch="360"/>
        </w:sectPr>
      </w:pPr>
    </w:p>
    <w:p w:rsidR="00F914DC" w:rsidRPr="00F914DC" w:rsidRDefault="00F914DC" w:rsidP="00201F30">
      <w:pPr>
        <w:pStyle w:val="Heading1"/>
      </w:pPr>
      <w:bookmarkStart w:id="136" w:name="_Toc320196900"/>
      <w:bookmarkStart w:id="137" w:name="_Toc384044206"/>
      <w:r w:rsidRPr="00F914DC">
        <w:lastRenderedPageBreak/>
        <w:t>ANNEXURE 1</w:t>
      </w:r>
      <w:bookmarkEnd w:id="136"/>
      <w:r w:rsidRPr="00F914DC">
        <w:t xml:space="preserve"> C – National Career Development</w:t>
      </w:r>
      <w:bookmarkEnd w:id="137"/>
      <w:r w:rsidRPr="00F914DC">
        <w:t xml:space="preserve"> </w:t>
      </w:r>
    </w:p>
    <w:p w:rsidR="00F914DC" w:rsidRPr="00F914DC" w:rsidRDefault="00F914DC" w:rsidP="00201F30">
      <w:pPr>
        <w:pStyle w:val="Heading2"/>
      </w:pPr>
      <w:bookmarkStart w:id="138" w:name="_Toc384044207"/>
      <w:r w:rsidRPr="00F914DC">
        <w:t>National Summary: Activity during the 2012 calendar year</w:t>
      </w:r>
      <w:bookmarkEnd w:id="138"/>
      <w:r w:rsidRPr="00F914DC">
        <w:t xml:space="preserve">  </w:t>
      </w:r>
    </w:p>
    <w:p w:rsidR="00F914DC" w:rsidRPr="00F914DC" w:rsidRDefault="00F914DC" w:rsidP="00201F30">
      <w:pPr>
        <w:pStyle w:val="Heading3"/>
      </w:pPr>
      <w:r w:rsidRPr="00F914DC">
        <w:t>Background</w:t>
      </w:r>
    </w:p>
    <w:p w:rsidR="00F914DC" w:rsidRPr="00F914DC" w:rsidRDefault="00F914DC" w:rsidP="00F914DC">
      <w:pPr>
        <w:rPr>
          <w:sz w:val="22"/>
          <w:szCs w:val="22"/>
        </w:rPr>
      </w:pPr>
      <w:r w:rsidRPr="00F914DC">
        <w:rPr>
          <w:sz w:val="22"/>
          <w:szCs w:val="22"/>
        </w:rPr>
        <w:t xml:space="preserve">Under the National Career Development element of the National Partnership Agreement on Youth Attainment and Transitions, $47 million was committed through </w:t>
      </w:r>
      <w:proofErr w:type="spellStart"/>
      <w:r w:rsidRPr="00F914DC">
        <w:rPr>
          <w:sz w:val="22"/>
          <w:szCs w:val="22"/>
        </w:rPr>
        <w:t>COAG</w:t>
      </w:r>
      <w:proofErr w:type="spellEnd"/>
      <w:r w:rsidRPr="00F914DC">
        <w:rPr>
          <w:sz w:val="22"/>
          <w:szCs w:val="22"/>
        </w:rPr>
        <w:t xml:space="preserve"> over four years from January 2010 to December 2013 to fund a range of career development initiatives. As part of the 2012-2013 Budget, savings of $17 million over three financial years were identified from uncommitted aspects of the National Career Development element of the National Partnership Agreement on Youth Attainment and Transitions.  </w:t>
      </w:r>
    </w:p>
    <w:p w:rsidR="00F914DC" w:rsidRPr="00F914DC" w:rsidRDefault="00F914DC" w:rsidP="00201F30">
      <w:pPr>
        <w:pStyle w:val="Heading3"/>
      </w:pPr>
      <w:r w:rsidRPr="00F914DC">
        <w:t xml:space="preserve">National Career Development Strategy research projects </w:t>
      </w:r>
    </w:p>
    <w:p w:rsidR="00F914DC" w:rsidRPr="00F914DC" w:rsidRDefault="00F914DC" w:rsidP="00F914DC">
      <w:pPr>
        <w:rPr>
          <w:sz w:val="22"/>
          <w:szCs w:val="22"/>
        </w:rPr>
      </w:pPr>
      <w:r w:rsidRPr="00F914DC">
        <w:rPr>
          <w:sz w:val="22"/>
          <w:szCs w:val="22"/>
        </w:rPr>
        <w:t xml:space="preserve">To inform the development of a National Career Development Strategy, the department commissioned a multi-stage research project. The research project comprised five discrete but interrelated elements including a literature review, a market research study with stakeholders including young people, parents, employers and career practitioners, options for implementation, a cost-benefit analysis and an exploration of cognitive neuroscience and its effect on career decisions. </w:t>
      </w:r>
      <w:r w:rsidRPr="00F914DC">
        <w:rPr>
          <w:sz w:val="22"/>
          <w:szCs w:val="22"/>
        </w:rPr>
        <w:br/>
      </w:r>
    </w:p>
    <w:p w:rsidR="00F914DC" w:rsidRPr="00F914DC" w:rsidRDefault="00F914DC" w:rsidP="00F914DC">
      <w:pPr>
        <w:rPr>
          <w:sz w:val="22"/>
          <w:szCs w:val="22"/>
        </w:rPr>
      </w:pPr>
      <w:r w:rsidRPr="00F914DC">
        <w:rPr>
          <w:sz w:val="22"/>
          <w:szCs w:val="22"/>
        </w:rPr>
        <w:t xml:space="preserve">The outcomes of the research projects were presented at the Career Development Association of Australia national conference on 30 March 2012. The department engaged external consultants to conduct the research at a combined total cost of $1,197,963.72. Reports from the research project are available on the Department of Education’s website. </w:t>
      </w:r>
      <w:r w:rsidRPr="00F914DC">
        <w:rPr>
          <w:sz w:val="22"/>
          <w:szCs w:val="22"/>
        </w:rPr>
        <w:br/>
      </w:r>
    </w:p>
    <w:p w:rsidR="00F914DC" w:rsidRPr="00201F30" w:rsidRDefault="00F914DC" w:rsidP="00201F30">
      <w:pPr>
        <w:rPr>
          <w:rFonts w:asciiTheme="majorHAnsi" w:hAnsiTheme="majorHAnsi"/>
          <w:b/>
          <w:bCs/>
          <w:i/>
          <w:sz w:val="26"/>
        </w:rPr>
      </w:pPr>
      <w:r w:rsidRPr="00CC47AD">
        <w:rPr>
          <w:rFonts w:asciiTheme="majorHAnsi" w:eastAsia="Times New Roman" w:hAnsiTheme="majorHAnsi"/>
          <w:b/>
          <w:bCs/>
          <w:i/>
          <w:sz w:val="26"/>
        </w:rPr>
        <w:t>National Career Development Strategy</w:t>
      </w:r>
      <w:r w:rsidRPr="00F914DC">
        <w:rPr>
          <w:rFonts w:ascii="Cambria" w:hAnsi="Cambria"/>
          <w:b/>
          <w:bCs/>
          <w:sz w:val="22"/>
          <w:szCs w:val="22"/>
        </w:rPr>
        <w:br/>
      </w:r>
      <w:r w:rsidRPr="00F914DC">
        <w:rPr>
          <w:sz w:val="22"/>
          <w:szCs w:val="22"/>
        </w:rPr>
        <w:t>On 27 June 2012, The Australian Government released the National Career Development Green paper. The paper drew on the results of the National Career Development Research Project and extensive consultation with state and territory governments, universities, the vocational education and training sector and other career development stakeholders.</w:t>
      </w:r>
    </w:p>
    <w:p w:rsidR="00F914DC" w:rsidRPr="00F914DC" w:rsidRDefault="00F914DC" w:rsidP="00F914DC">
      <w:pPr>
        <w:spacing w:before="120"/>
        <w:rPr>
          <w:sz w:val="22"/>
          <w:szCs w:val="22"/>
        </w:rPr>
      </w:pPr>
      <w:r w:rsidRPr="00F914DC">
        <w:rPr>
          <w:sz w:val="22"/>
          <w:szCs w:val="22"/>
        </w:rPr>
        <w:t>The Department received 80 submissions to the Green Paper which were used to inform the final Nationa</w:t>
      </w:r>
      <w:r w:rsidR="00201F30">
        <w:rPr>
          <w:sz w:val="22"/>
          <w:szCs w:val="22"/>
        </w:rPr>
        <w:t xml:space="preserve">l Career Development Strategy. </w:t>
      </w:r>
    </w:p>
    <w:p w:rsidR="00F914DC" w:rsidRPr="00F914DC" w:rsidRDefault="00F914DC" w:rsidP="00201F30">
      <w:pPr>
        <w:pStyle w:val="Heading3"/>
      </w:pPr>
      <w:r w:rsidRPr="00F914DC">
        <w:t xml:space="preserve">Job Guide </w:t>
      </w:r>
    </w:p>
    <w:p w:rsidR="00F914DC" w:rsidRPr="00201F30" w:rsidRDefault="00F914DC" w:rsidP="00201F30">
      <w:pPr>
        <w:rPr>
          <w:rFonts w:cs="Arial"/>
          <w:sz w:val="22"/>
          <w:szCs w:val="22"/>
        </w:rPr>
      </w:pPr>
      <w:r w:rsidRPr="00F914DC">
        <w:rPr>
          <w:rFonts w:cs="Arial"/>
          <w:sz w:val="22"/>
          <w:szCs w:val="22"/>
        </w:rPr>
        <w:t xml:space="preserve">Job Guide assists young people to explore career, education and training options and make subject choices. It includes information on over 500 occupations. In 2012, the department moved from a distribution model of one book for every Year 10 student to the provision of class sets, based on Year 10 enrolment numbers provided by State and Territory education authorities. Students were however able to access Job Guide online and through a CD ROM. The department contracted </w:t>
      </w:r>
      <w:proofErr w:type="spellStart"/>
      <w:r w:rsidRPr="00F914DC">
        <w:rPr>
          <w:rFonts w:cs="Arial"/>
          <w:sz w:val="22"/>
          <w:szCs w:val="22"/>
        </w:rPr>
        <w:t>Hobsons</w:t>
      </w:r>
      <w:proofErr w:type="spellEnd"/>
      <w:r w:rsidRPr="00F914DC">
        <w:rPr>
          <w:rFonts w:cs="Arial"/>
          <w:sz w:val="22"/>
          <w:szCs w:val="22"/>
        </w:rPr>
        <w:t xml:space="preserve"> Australia to produce Job Guide at a cost of $</w:t>
      </w:r>
      <w:r w:rsidRPr="00F914DC">
        <w:rPr>
          <w:sz w:val="22"/>
          <w:szCs w:val="22"/>
        </w:rPr>
        <w:t>720,184.63. There was also a distribution cost to the Job Guide of $567,150.79</w:t>
      </w:r>
      <w:r w:rsidRPr="00F914DC">
        <w:rPr>
          <w:rFonts w:cs="Arial"/>
          <w:sz w:val="22"/>
          <w:szCs w:val="22"/>
        </w:rPr>
        <w:t>.</w:t>
      </w:r>
      <w:r w:rsidRPr="00F914DC">
        <w:rPr>
          <w:sz w:val="22"/>
          <w:szCs w:val="22"/>
        </w:rPr>
        <w:t xml:space="preserve"> </w:t>
      </w:r>
      <w:r w:rsidRPr="00F914DC">
        <w:rPr>
          <w:rFonts w:cs="Arial"/>
          <w:sz w:val="22"/>
          <w:szCs w:val="22"/>
        </w:rPr>
        <w:t xml:space="preserve">Approximately 134, 450 copies were issued across the country.  Limited quantities were also provided to universities, </w:t>
      </w:r>
      <w:proofErr w:type="spellStart"/>
      <w:r w:rsidRPr="00F914DC">
        <w:rPr>
          <w:rFonts w:cs="Arial"/>
          <w:sz w:val="22"/>
          <w:szCs w:val="22"/>
        </w:rPr>
        <w:t>TAFEs</w:t>
      </w:r>
      <w:proofErr w:type="spellEnd"/>
      <w:r w:rsidRPr="00F914DC">
        <w:rPr>
          <w:rFonts w:cs="Arial"/>
          <w:sz w:val="22"/>
          <w:szCs w:val="22"/>
        </w:rPr>
        <w:t xml:space="preserve"> and Australian Gov</w:t>
      </w:r>
      <w:r w:rsidR="00201F30">
        <w:rPr>
          <w:rFonts w:cs="Arial"/>
          <w:sz w:val="22"/>
          <w:szCs w:val="22"/>
        </w:rPr>
        <w:t xml:space="preserve">ernment funded youth programs. </w:t>
      </w:r>
    </w:p>
    <w:p w:rsidR="00F914DC" w:rsidRPr="00F914DC" w:rsidRDefault="00F914DC" w:rsidP="00201F30">
      <w:pPr>
        <w:pStyle w:val="Heading3"/>
      </w:pPr>
      <w:r w:rsidRPr="00F914DC">
        <w:t xml:space="preserve">Career Information Products </w:t>
      </w:r>
    </w:p>
    <w:p w:rsidR="00F914DC" w:rsidRPr="00F914DC" w:rsidRDefault="00F914DC" w:rsidP="00F914DC">
      <w:pPr>
        <w:tabs>
          <w:tab w:val="num" w:pos="361"/>
          <w:tab w:val="num" w:pos="400"/>
        </w:tabs>
        <w:rPr>
          <w:sz w:val="22"/>
          <w:szCs w:val="22"/>
        </w:rPr>
      </w:pPr>
      <w:r w:rsidRPr="00F914DC">
        <w:rPr>
          <w:sz w:val="22"/>
          <w:szCs w:val="22"/>
        </w:rPr>
        <w:t xml:space="preserve">The department created and distributed a number of products which are used by teachers, career advisers, parents and students to help inform students’ career choices. The products include Year 12 What Next, Parents Talking Career Choices, Recap, ‘Bullseye’ posters, and Career Information Flyers. </w:t>
      </w:r>
    </w:p>
    <w:p w:rsidR="00F914DC" w:rsidRPr="00F914DC" w:rsidRDefault="00F914DC" w:rsidP="00F914DC">
      <w:pPr>
        <w:rPr>
          <w:sz w:val="22"/>
          <w:szCs w:val="22"/>
        </w:rPr>
      </w:pPr>
    </w:p>
    <w:p w:rsidR="00F914DC" w:rsidRPr="00CC47AD" w:rsidRDefault="00F914DC" w:rsidP="00CC47AD">
      <w:pPr>
        <w:spacing w:after="120"/>
        <w:rPr>
          <w:sz w:val="22"/>
          <w:szCs w:val="22"/>
        </w:rPr>
      </w:pPr>
      <w:proofErr w:type="spellStart"/>
      <w:proofErr w:type="gramStart"/>
      <w:r w:rsidRPr="00CC47AD">
        <w:rPr>
          <w:rStyle w:val="Heading3Char"/>
          <w:rFonts w:eastAsia="Calibri"/>
        </w:rPr>
        <w:lastRenderedPageBreak/>
        <w:t>myfuture</w:t>
      </w:r>
      <w:proofErr w:type="spellEnd"/>
      <w:proofErr w:type="gramEnd"/>
      <w:r w:rsidRPr="00CC47AD">
        <w:rPr>
          <w:rStyle w:val="Heading3Char"/>
          <w:rFonts w:eastAsia="Calibri"/>
        </w:rPr>
        <w:t xml:space="preserve"> website</w:t>
      </w:r>
      <w:r w:rsidRPr="00F914DC">
        <w:rPr>
          <w:rFonts w:ascii="Cambria" w:hAnsi="Cambria"/>
          <w:b/>
          <w:bCs/>
          <w:sz w:val="22"/>
          <w:szCs w:val="22"/>
        </w:rPr>
        <w:br/>
      </w:r>
      <w:proofErr w:type="spellStart"/>
      <w:r w:rsidRPr="00F914DC">
        <w:rPr>
          <w:sz w:val="22"/>
          <w:szCs w:val="22"/>
        </w:rPr>
        <w:t>myfuture</w:t>
      </w:r>
      <w:proofErr w:type="spellEnd"/>
      <w:r w:rsidRPr="00F914DC">
        <w:rPr>
          <w:sz w:val="22"/>
          <w:szCs w:val="22"/>
        </w:rPr>
        <w:t xml:space="preserve">, Australia’s national career information and exploration service, is an interactive, user-driven website that contains a personalised career exploration and decision making tool, comprehensive career information, and help for those assisting others making career decisions. The </w:t>
      </w:r>
      <w:proofErr w:type="spellStart"/>
      <w:r w:rsidRPr="00F914DC">
        <w:rPr>
          <w:sz w:val="22"/>
          <w:szCs w:val="22"/>
        </w:rPr>
        <w:t>myfuture</w:t>
      </w:r>
      <w:proofErr w:type="spellEnd"/>
      <w:r w:rsidRPr="00F914DC">
        <w:rPr>
          <w:sz w:val="22"/>
          <w:szCs w:val="22"/>
        </w:rPr>
        <w:t xml:space="preserve"> website is managed by the Department on behalf of all governments. The Australian Government contributes 50 percent of total funding for core services, with the remainder paid by states and territories under the Standing Council on School Education and Early Childhood (</w:t>
      </w:r>
      <w:proofErr w:type="spellStart"/>
      <w:r w:rsidRPr="00F914DC">
        <w:rPr>
          <w:sz w:val="22"/>
          <w:szCs w:val="22"/>
        </w:rPr>
        <w:t>SCSEEC</w:t>
      </w:r>
      <w:proofErr w:type="spellEnd"/>
      <w:r w:rsidRPr="00F914DC">
        <w:rPr>
          <w:sz w:val="22"/>
          <w:szCs w:val="22"/>
        </w:rPr>
        <w:t xml:space="preserve">), using the former </w:t>
      </w:r>
      <w:proofErr w:type="spellStart"/>
      <w:r w:rsidRPr="00F914DC">
        <w:rPr>
          <w:sz w:val="22"/>
          <w:szCs w:val="22"/>
        </w:rPr>
        <w:t>MCEECDYA</w:t>
      </w:r>
      <w:proofErr w:type="spellEnd"/>
      <w:r w:rsidRPr="00F914DC">
        <w:rPr>
          <w:sz w:val="22"/>
          <w:szCs w:val="22"/>
        </w:rPr>
        <w:t xml:space="preserve"> National </w:t>
      </w:r>
      <w:r w:rsidR="00CC47AD">
        <w:rPr>
          <w:sz w:val="22"/>
          <w:szCs w:val="22"/>
        </w:rPr>
        <w:t xml:space="preserve">Projects Fund funding formula. </w:t>
      </w:r>
    </w:p>
    <w:p w:rsidR="00F914DC" w:rsidRPr="00F914DC" w:rsidRDefault="00F914DC" w:rsidP="00F914DC">
      <w:pPr>
        <w:spacing w:after="120"/>
        <w:rPr>
          <w:sz w:val="22"/>
          <w:szCs w:val="22"/>
        </w:rPr>
      </w:pPr>
      <w:r w:rsidRPr="00F914DC">
        <w:rPr>
          <w:sz w:val="22"/>
          <w:szCs w:val="22"/>
        </w:rPr>
        <w:t xml:space="preserve">In 2012, the Australian Government undertook a project to enhance the </w:t>
      </w:r>
      <w:proofErr w:type="spellStart"/>
      <w:r w:rsidRPr="00F914DC">
        <w:rPr>
          <w:sz w:val="22"/>
          <w:szCs w:val="22"/>
        </w:rPr>
        <w:t>myfuture</w:t>
      </w:r>
      <w:proofErr w:type="spellEnd"/>
      <w:r w:rsidRPr="00F914DC">
        <w:rPr>
          <w:sz w:val="22"/>
          <w:szCs w:val="22"/>
        </w:rPr>
        <w:t xml:space="preserve"> web service in line with the findings from the National Career Development research projects and extensive focus group testing that commenced in 2012. The planned enhancements were to improve ease of use and reflect the diversity of life stages, skills and lifestyle choices that existed across Australia. The focus group testing was to be conducted over three rounds in metropolitan, regional and remote locations across Australia. </w:t>
      </w:r>
    </w:p>
    <w:p w:rsidR="00F914DC" w:rsidRPr="00F914DC" w:rsidRDefault="00F914DC" w:rsidP="00F914DC">
      <w:pPr>
        <w:spacing w:after="120"/>
        <w:rPr>
          <w:sz w:val="22"/>
          <w:szCs w:val="22"/>
        </w:rPr>
      </w:pPr>
      <w:r w:rsidRPr="00F914DC">
        <w:rPr>
          <w:sz w:val="22"/>
          <w:szCs w:val="22"/>
        </w:rPr>
        <w:t xml:space="preserve">Key elements of </w:t>
      </w:r>
      <w:proofErr w:type="spellStart"/>
      <w:r w:rsidRPr="00F914DC">
        <w:rPr>
          <w:sz w:val="22"/>
          <w:szCs w:val="22"/>
        </w:rPr>
        <w:t>myfuture</w:t>
      </w:r>
      <w:proofErr w:type="spellEnd"/>
      <w:r w:rsidRPr="00F914DC">
        <w:rPr>
          <w:sz w:val="22"/>
          <w:szCs w:val="22"/>
        </w:rPr>
        <w:t xml:space="preserve"> redesign and enhancements include a Parent’s Portal, stronger connections with industry, enhanced social networking technology, improved access to information about VET courses and training options and career development information presented in a form relevant to workforce development.</w:t>
      </w:r>
    </w:p>
    <w:p w:rsidR="00F914DC" w:rsidRPr="00F914DC" w:rsidRDefault="00F914DC" w:rsidP="00F914DC">
      <w:pPr>
        <w:spacing w:after="120"/>
        <w:rPr>
          <w:sz w:val="22"/>
          <w:szCs w:val="22"/>
        </w:rPr>
      </w:pPr>
      <w:r w:rsidRPr="00F914DC">
        <w:rPr>
          <w:sz w:val="22"/>
          <w:szCs w:val="22"/>
        </w:rPr>
        <w:t xml:space="preserve">In 2012, the department contracted Education Services Australia for the management and maintenance of the </w:t>
      </w:r>
      <w:proofErr w:type="spellStart"/>
      <w:r w:rsidRPr="00F914DC">
        <w:rPr>
          <w:i/>
          <w:sz w:val="22"/>
          <w:szCs w:val="22"/>
        </w:rPr>
        <w:t>myfuture</w:t>
      </w:r>
      <w:proofErr w:type="spellEnd"/>
      <w:r w:rsidRPr="00F914DC">
        <w:rPr>
          <w:sz w:val="22"/>
          <w:szCs w:val="22"/>
        </w:rPr>
        <w:t xml:space="preserve"> website at a cost to the Australian Government of $2.96 million (GST </w:t>
      </w:r>
      <w:proofErr w:type="spellStart"/>
      <w:r w:rsidRPr="00F914DC">
        <w:rPr>
          <w:sz w:val="22"/>
          <w:szCs w:val="22"/>
        </w:rPr>
        <w:t>incl</w:t>
      </w:r>
      <w:proofErr w:type="spellEnd"/>
      <w:r w:rsidRPr="00F914DC">
        <w:rPr>
          <w:sz w:val="22"/>
          <w:szCs w:val="22"/>
        </w:rPr>
        <w:t xml:space="preserve">). This figure includes the Australian Government’s contribution to maintenance and management ($1,569.952) and enhancements ($1,392,286) over 18 months. </w:t>
      </w:r>
    </w:p>
    <w:p w:rsidR="00F914DC" w:rsidRPr="00F914DC" w:rsidRDefault="00F914DC" w:rsidP="00CC47AD">
      <w:pPr>
        <w:pStyle w:val="Heading3"/>
      </w:pPr>
      <w:proofErr w:type="spellStart"/>
      <w:proofErr w:type="gramStart"/>
      <w:r w:rsidRPr="00F914DC">
        <w:t>myfuture</w:t>
      </w:r>
      <w:proofErr w:type="spellEnd"/>
      <w:proofErr w:type="gramEnd"/>
      <w:r w:rsidRPr="00F914DC">
        <w:t xml:space="preserve"> video competition </w:t>
      </w:r>
    </w:p>
    <w:p w:rsidR="00F914DC" w:rsidRPr="00F914DC" w:rsidRDefault="00F914DC" w:rsidP="00F914DC">
      <w:pPr>
        <w:rPr>
          <w:sz w:val="22"/>
          <w:szCs w:val="22"/>
        </w:rPr>
      </w:pPr>
      <w:r w:rsidRPr="00F914DC">
        <w:rPr>
          <w:sz w:val="22"/>
          <w:szCs w:val="22"/>
        </w:rPr>
        <w:t xml:space="preserve">The department engaged Education Services Australia to conduct the 2011 </w:t>
      </w:r>
      <w:proofErr w:type="spellStart"/>
      <w:r w:rsidRPr="00F914DC">
        <w:rPr>
          <w:sz w:val="22"/>
          <w:szCs w:val="22"/>
        </w:rPr>
        <w:t>myfuture</w:t>
      </w:r>
      <w:proofErr w:type="spellEnd"/>
      <w:r w:rsidRPr="00F914DC">
        <w:rPr>
          <w:sz w:val="22"/>
          <w:szCs w:val="22"/>
        </w:rPr>
        <w:t xml:space="preserve"> video competition at a cost of $216,260 (GST inclusive). This competition generated high quality occupation videos suitable for publication on the </w:t>
      </w:r>
      <w:proofErr w:type="spellStart"/>
      <w:r w:rsidRPr="00F914DC">
        <w:rPr>
          <w:sz w:val="22"/>
          <w:szCs w:val="22"/>
        </w:rPr>
        <w:t>myfuture</w:t>
      </w:r>
      <w:proofErr w:type="spellEnd"/>
      <w:r w:rsidRPr="00F914DC">
        <w:rPr>
          <w:sz w:val="22"/>
          <w:szCs w:val="22"/>
        </w:rPr>
        <w:t xml:space="preserve"> web service. Competition entrants submitted video clips of up to three minutes in length that profile one occupation exploring duties, tasks and working conditions and qualifications. 92 videos (45 entries in the Best School Video category and 47 entries in the Best Youth Video category) were entered into the </w:t>
      </w:r>
      <w:proofErr w:type="spellStart"/>
      <w:r w:rsidRPr="00F914DC">
        <w:rPr>
          <w:sz w:val="22"/>
          <w:szCs w:val="22"/>
        </w:rPr>
        <w:t>myfuture</w:t>
      </w:r>
      <w:proofErr w:type="spellEnd"/>
      <w:r w:rsidRPr="00F914DC">
        <w:rPr>
          <w:sz w:val="22"/>
          <w:szCs w:val="22"/>
        </w:rPr>
        <w:t xml:space="preserve"> 2011 Video Competition. Winners were announced on 30 March 2012 at the Career Development Association of Australia (</w:t>
      </w:r>
      <w:proofErr w:type="spellStart"/>
      <w:r w:rsidRPr="00F914DC">
        <w:rPr>
          <w:sz w:val="22"/>
          <w:szCs w:val="22"/>
        </w:rPr>
        <w:t>CDAA</w:t>
      </w:r>
      <w:proofErr w:type="spellEnd"/>
      <w:r w:rsidRPr="00F914DC">
        <w:rPr>
          <w:sz w:val="22"/>
          <w:szCs w:val="22"/>
        </w:rPr>
        <w:t>) conference in Canberra. Funding for t</w:t>
      </w:r>
      <w:r w:rsidR="00CC47AD">
        <w:rPr>
          <w:sz w:val="22"/>
          <w:szCs w:val="22"/>
        </w:rPr>
        <w:t>he project ceased in June 2012.</w:t>
      </w:r>
    </w:p>
    <w:p w:rsidR="00F914DC" w:rsidRPr="00F914DC" w:rsidRDefault="00F914DC" w:rsidP="00CC47AD">
      <w:pPr>
        <w:pStyle w:val="Heading3"/>
      </w:pPr>
      <w:r w:rsidRPr="00F914DC">
        <w:t>Scholarships for Career Advisers Program</w:t>
      </w:r>
    </w:p>
    <w:p w:rsidR="00F914DC" w:rsidRPr="00F914DC" w:rsidRDefault="00F914DC" w:rsidP="00CC47AD">
      <w:pPr>
        <w:spacing w:after="120"/>
        <w:rPr>
          <w:sz w:val="22"/>
          <w:szCs w:val="22"/>
        </w:rPr>
      </w:pPr>
      <w:r w:rsidRPr="00F914DC">
        <w:rPr>
          <w:sz w:val="22"/>
          <w:szCs w:val="22"/>
        </w:rPr>
        <w:t xml:space="preserve">The Australian Government’s Scholarships for Career Advisers initiative were provided to support practitioners to enhance their skills, particularly during the transition phase when the Professional Standards for Australian Career Development Practitioners was being introduced. There were two Scholarship categories: a Study Scholarship or an Industry Placement and both were available to advisers in schools, </w:t>
      </w:r>
      <w:proofErr w:type="spellStart"/>
      <w:r w:rsidRPr="00F914DC">
        <w:rPr>
          <w:sz w:val="22"/>
          <w:szCs w:val="22"/>
        </w:rPr>
        <w:t>TAFEs</w:t>
      </w:r>
      <w:proofErr w:type="spellEnd"/>
      <w:r w:rsidRPr="00F914DC">
        <w:rPr>
          <w:sz w:val="22"/>
          <w:szCs w:val="22"/>
        </w:rPr>
        <w:t xml:space="preserve"> and universities. There were 86 Study Scholarship winners and 17 Indu</w:t>
      </w:r>
      <w:r w:rsidR="00CC47AD">
        <w:rPr>
          <w:sz w:val="22"/>
          <w:szCs w:val="22"/>
        </w:rPr>
        <w:t>stry Placement winners in 2012.</w:t>
      </w:r>
    </w:p>
    <w:p w:rsidR="00F914DC" w:rsidRPr="00F914DC" w:rsidRDefault="00F914DC" w:rsidP="00F914DC">
      <w:pPr>
        <w:rPr>
          <w:sz w:val="22"/>
          <w:szCs w:val="22"/>
        </w:rPr>
      </w:pPr>
      <w:r w:rsidRPr="00F914DC">
        <w:rPr>
          <w:sz w:val="22"/>
          <w:szCs w:val="22"/>
        </w:rPr>
        <w:t xml:space="preserve">The Australian Government ceased the initiative in January 2013 as it had achieved its objective of supporting practitioners during the professional standard transitions phase, and was no longer consistent with the proposed Australian Government areas of responsibility heading into the future. </w:t>
      </w:r>
    </w:p>
    <w:p w:rsidR="00F914DC" w:rsidRPr="00F914DC" w:rsidRDefault="00F914DC" w:rsidP="00CC47AD">
      <w:pPr>
        <w:pStyle w:val="Heading3"/>
      </w:pPr>
      <w:r w:rsidRPr="00F914DC">
        <w:t xml:space="preserve">Australian Career Service (ACS) Judith </w:t>
      </w:r>
      <w:proofErr w:type="spellStart"/>
      <w:r w:rsidRPr="00F914DC">
        <w:t>Leeson</w:t>
      </w:r>
      <w:proofErr w:type="spellEnd"/>
      <w:r w:rsidRPr="00F914DC">
        <w:t xml:space="preserve"> Award </w:t>
      </w:r>
    </w:p>
    <w:p w:rsidR="00F914DC" w:rsidRPr="00F914DC" w:rsidRDefault="00F914DC" w:rsidP="00F914DC">
      <w:pPr>
        <w:rPr>
          <w:sz w:val="22"/>
          <w:szCs w:val="22"/>
        </w:rPr>
      </w:pPr>
      <w:r w:rsidRPr="00F914DC">
        <w:rPr>
          <w:sz w:val="22"/>
          <w:szCs w:val="22"/>
        </w:rPr>
        <w:t xml:space="preserve">In 2012 the award winner was announced at the annual </w:t>
      </w:r>
      <w:proofErr w:type="spellStart"/>
      <w:r w:rsidRPr="00F914DC">
        <w:rPr>
          <w:sz w:val="22"/>
          <w:szCs w:val="22"/>
        </w:rPr>
        <w:t>CDAA</w:t>
      </w:r>
      <w:proofErr w:type="spellEnd"/>
      <w:r w:rsidRPr="00F914DC">
        <w:rPr>
          <w:sz w:val="22"/>
          <w:szCs w:val="22"/>
        </w:rPr>
        <w:t xml:space="preserve"> conference. The Australian Government ceased the supporting this Award in May 2012.</w:t>
      </w:r>
    </w:p>
    <w:p w:rsidR="00F914DC" w:rsidRPr="00F914DC" w:rsidRDefault="00F914DC" w:rsidP="00CC47AD">
      <w:pPr>
        <w:pStyle w:val="Heading3"/>
      </w:pPr>
      <w:r w:rsidRPr="00F914DC">
        <w:t>Australian Vocational Student Prize</w:t>
      </w:r>
    </w:p>
    <w:p w:rsidR="00F914DC" w:rsidRPr="00F914DC" w:rsidRDefault="00F914DC" w:rsidP="00F914DC">
      <w:pPr>
        <w:rPr>
          <w:sz w:val="22"/>
          <w:szCs w:val="22"/>
        </w:rPr>
      </w:pPr>
      <w:r w:rsidRPr="00F914DC">
        <w:rPr>
          <w:sz w:val="22"/>
          <w:szCs w:val="22"/>
        </w:rPr>
        <w:t xml:space="preserve">This initiative represents a $ 1,040,000 annual commitment and the 2011 </w:t>
      </w:r>
      <w:proofErr w:type="spellStart"/>
      <w:r w:rsidRPr="00F914DC">
        <w:rPr>
          <w:sz w:val="22"/>
          <w:szCs w:val="22"/>
        </w:rPr>
        <w:t>AVSP</w:t>
      </w:r>
      <w:proofErr w:type="spellEnd"/>
      <w:r w:rsidRPr="00F914DC">
        <w:rPr>
          <w:sz w:val="22"/>
          <w:szCs w:val="22"/>
        </w:rPr>
        <w:t xml:space="preserve"> winners’ details were released on 24 July 2012.</w:t>
      </w:r>
    </w:p>
    <w:p w:rsidR="00F914DC" w:rsidRPr="00F914DC" w:rsidRDefault="00F914DC" w:rsidP="00F914DC">
      <w:pPr>
        <w:rPr>
          <w:sz w:val="22"/>
          <w:szCs w:val="22"/>
        </w:rPr>
      </w:pPr>
    </w:p>
    <w:p w:rsidR="00F914DC" w:rsidRPr="00F914DC" w:rsidRDefault="00F914DC" w:rsidP="00F914DC">
      <w:pPr>
        <w:rPr>
          <w:sz w:val="22"/>
          <w:szCs w:val="22"/>
        </w:rPr>
      </w:pPr>
      <w:r w:rsidRPr="00F914DC">
        <w:rPr>
          <w:sz w:val="22"/>
          <w:szCs w:val="22"/>
        </w:rPr>
        <w:lastRenderedPageBreak/>
        <w:t>500 students were awarded an Australian Vocational Student Prize after being nominated by their schools for their participation in a Vocational Education and Training (VET) in Schools programme or Australian School based Apprenticeship, as part of their senior secondary studies during 2011. Winners received $2000 and a certificate. Of these winners, 20 went on to receive a Prime Minister’s Award for Skills Excellence in School and a further $2000 and certificate of recognition.  </w:t>
      </w:r>
    </w:p>
    <w:p w:rsidR="00F914DC" w:rsidRPr="00F914DC" w:rsidRDefault="00F914DC" w:rsidP="00CC47AD">
      <w:pPr>
        <w:pStyle w:val="Heading3"/>
      </w:pPr>
      <w:r w:rsidRPr="00F914DC">
        <w:t>National Career Development Working Group (</w:t>
      </w:r>
      <w:proofErr w:type="spellStart"/>
      <w:r w:rsidRPr="00F914DC">
        <w:t>NCDWG</w:t>
      </w:r>
      <w:proofErr w:type="spellEnd"/>
      <w:r w:rsidRPr="00F914DC">
        <w:t xml:space="preserve">)  </w:t>
      </w:r>
    </w:p>
    <w:p w:rsidR="00F914DC" w:rsidRPr="00F914DC" w:rsidRDefault="00F914DC" w:rsidP="00F914DC">
      <w:pPr>
        <w:rPr>
          <w:sz w:val="22"/>
          <w:szCs w:val="22"/>
        </w:rPr>
      </w:pPr>
      <w:r w:rsidRPr="00F914DC">
        <w:rPr>
          <w:sz w:val="22"/>
          <w:szCs w:val="22"/>
        </w:rPr>
        <w:t xml:space="preserve">The </w:t>
      </w:r>
      <w:proofErr w:type="spellStart"/>
      <w:r w:rsidRPr="00F914DC">
        <w:rPr>
          <w:sz w:val="22"/>
          <w:szCs w:val="22"/>
        </w:rPr>
        <w:t>NCDWG</w:t>
      </w:r>
      <w:proofErr w:type="spellEnd"/>
      <w:r w:rsidRPr="00F914DC">
        <w:rPr>
          <w:sz w:val="22"/>
          <w:szCs w:val="22"/>
        </w:rPr>
        <w:t xml:space="preserve">, chaired by the Australian Government, includes representatives from all state and territory governments and the Catholic and Independent school sectors. The Working Group was established to provide information and advice on issues relating to career development activity under the National Partnership Agreement. </w:t>
      </w:r>
    </w:p>
    <w:p w:rsidR="00065ACE" w:rsidRPr="00065ACE" w:rsidRDefault="00065ACE" w:rsidP="00065ACE">
      <w:pPr>
        <w:spacing w:line="240" w:lineRule="auto"/>
        <w:rPr>
          <w:rFonts w:eastAsia="Times New Roman" w:cs="Calibri"/>
          <w:szCs w:val="20"/>
          <w:lang w:val="en-US"/>
        </w:rPr>
        <w:sectPr w:rsidR="00065ACE" w:rsidRPr="00065ACE" w:rsidSect="00F914DC">
          <w:pgSz w:w="11906" w:h="16838"/>
          <w:pgMar w:top="709" w:right="991" w:bottom="567" w:left="567" w:header="142" w:footer="0" w:gutter="0"/>
          <w:cols w:space="708"/>
          <w:docGrid w:linePitch="360"/>
        </w:sectPr>
      </w:pPr>
    </w:p>
    <w:p w:rsidR="00065ACE" w:rsidRPr="00065ACE" w:rsidRDefault="00065ACE" w:rsidP="00065ACE">
      <w:pPr>
        <w:spacing w:line="240" w:lineRule="auto"/>
        <w:rPr>
          <w:rFonts w:eastAsia="Times New Roman" w:cs="Calibri"/>
          <w:szCs w:val="20"/>
          <w:lang w:val="en-US"/>
        </w:rPr>
      </w:pPr>
    </w:p>
    <w:p w:rsidR="00065ACE" w:rsidRPr="00065ACE" w:rsidRDefault="00065ACE" w:rsidP="00065ACE">
      <w:pPr>
        <w:spacing w:line="240" w:lineRule="auto"/>
        <w:ind w:right="34"/>
        <w:rPr>
          <w:rFonts w:eastAsia="Times New Roman" w:cs="Calibri"/>
          <w:b/>
          <w:sz w:val="2"/>
          <w:szCs w:val="2"/>
          <w:lang w:val="en-US"/>
        </w:rPr>
      </w:pPr>
    </w:p>
    <w:p w:rsidR="00D95A1A" w:rsidRPr="00651B71" w:rsidRDefault="00D95A1A" w:rsidP="00D95A1A">
      <w:pPr>
        <w:spacing w:line="240" w:lineRule="auto"/>
      </w:pPr>
    </w:p>
    <w:sectPr w:rsidR="00D95A1A" w:rsidRPr="00651B71" w:rsidSect="00F914DC">
      <w:type w:val="continuous"/>
      <w:pgSz w:w="11906" w:h="16838"/>
      <w:pgMar w:top="709" w:right="991" w:bottom="567" w:left="56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C0" w:rsidRDefault="00365DC0" w:rsidP="008F1C21">
      <w:pPr>
        <w:spacing w:line="240" w:lineRule="auto"/>
      </w:pPr>
      <w:r>
        <w:separator/>
      </w:r>
    </w:p>
  </w:endnote>
  <w:endnote w:type="continuationSeparator" w:id="0">
    <w:p w:rsidR="00365DC0" w:rsidRDefault="00365DC0" w:rsidP="008F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Aller Light">
    <w:altName w:val="Aller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C0" w:rsidRDefault="00365DC0" w:rsidP="00EC7A08">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C0" w:rsidRDefault="00365DC0" w:rsidP="00EC7A08">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152672"/>
      <w:docPartObj>
        <w:docPartGallery w:val="Page Numbers (Bottom of Page)"/>
        <w:docPartUnique/>
      </w:docPartObj>
    </w:sdtPr>
    <w:sdtEndPr>
      <w:rPr>
        <w:noProof/>
      </w:rPr>
    </w:sdtEndPr>
    <w:sdtContent>
      <w:p w:rsidR="00EC7A08" w:rsidRDefault="00EC7A08" w:rsidP="00EC7A08">
        <w:pPr>
          <w:pStyle w:val="Footer"/>
          <w:pBdr>
            <w:top w:val="none" w:sz="0" w:space="0" w:color="auto"/>
          </w:pBdr>
        </w:pPr>
        <w:r>
          <w:fldChar w:fldCharType="begin"/>
        </w:r>
        <w:r>
          <w:instrText xml:space="preserve"> PAGE   \* MERGEFORMAT </w:instrText>
        </w:r>
        <w:r>
          <w:fldChar w:fldCharType="separate"/>
        </w:r>
        <w:r w:rsidR="00855BAA">
          <w:rPr>
            <w:noProof/>
          </w:rPr>
          <w:t>62</w:t>
        </w:r>
        <w:r>
          <w:rPr>
            <w:noProof/>
          </w:rPr>
          <w:fldChar w:fldCharType="end"/>
        </w:r>
      </w:p>
    </w:sdtContent>
  </w:sdt>
  <w:p w:rsidR="00365DC0" w:rsidRDefault="00365DC0" w:rsidP="00365DC0">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C0" w:rsidRDefault="00365D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080635"/>
      <w:docPartObj>
        <w:docPartGallery w:val="Page Numbers (Bottom of Page)"/>
        <w:docPartUnique/>
      </w:docPartObj>
    </w:sdtPr>
    <w:sdtEndPr>
      <w:rPr>
        <w:noProof/>
      </w:rPr>
    </w:sdtEndPr>
    <w:sdtContent>
      <w:p w:rsidR="00EC7A08" w:rsidRDefault="00EC7A08" w:rsidP="00EC7A08">
        <w:pPr>
          <w:pStyle w:val="Footer"/>
          <w:pBdr>
            <w:top w:val="none" w:sz="0" w:space="0" w:color="auto"/>
          </w:pBdr>
        </w:pPr>
        <w:r>
          <w:fldChar w:fldCharType="begin"/>
        </w:r>
        <w:r>
          <w:instrText xml:space="preserve"> PAGE   \* MERGEFORMAT </w:instrText>
        </w:r>
        <w:r>
          <w:fldChar w:fldCharType="separate"/>
        </w:r>
        <w:r w:rsidR="00855BAA">
          <w:rPr>
            <w:noProof/>
          </w:rPr>
          <w:t>84</w:t>
        </w:r>
        <w:r>
          <w:rPr>
            <w:noProof/>
          </w:rPr>
          <w:fldChar w:fldCharType="end"/>
        </w:r>
      </w:p>
    </w:sdtContent>
  </w:sdt>
  <w:p w:rsidR="00365DC0" w:rsidRDefault="00365DC0" w:rsidP="00EC7A08">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C0" w:rsidRDefault="00365DC0" w:rsidP="008F1C21">
      <w:pPr>
        <w:spacing w:line="240" w:lineRule="auto"/>
      </w:pPr>
      <w:r>
        <w:separator/>
      </w:r>
    </w:p>
  </w:footnote>
  <w:footnote w:type="continuationSeparator" w:id="0">
    <w:p w:rsidR="00365DC0" w:rsidRDefault="00365DC0" w:rsidP="008F1C21">
      <w:pPr>
        <w:spacing w:line="240" w:lineRule="auto"/>
      </w:pPr>
      <w:r>
        <w:continuationSeparator/>
      </w:r>
    </w:p>
  </w:footnote>
  <w:footnote w:id="1">
    <w:p w:rsidR="00365DC0" w:rsidRDefault="00365DC0" w:rsidP="0018046E">
      <w:pPr>
        <w:spacing w:line="240" w:lineRule="auto"/>
        <w:jc w:val="both"/>
        <w:rPr>
          <w:rFonts w:ascii="Arial" w:hAnsi="Arial" w:cs="Arial"/>
          <w:sz w:val="18"/>
          <w:szCs w:val="18"/>
        </w:rPr>
      </w:pPr>
      <w:r w:rsidRPr="00EF3AA8">
        <w:rPr>
          <w:rStyle w:val="FootnoteReference"/>
          <w:rFonts w:ascii="Arial" w:hAnsi="Arial" w:cs="Arial"/>
          <w:sz w:val="18"/>
          <w:szCs w:val="18"/>
        </w:rPr>
        <w:footnoteRef/>
      </w:r>
      <w:r w:rsidRPr="00EF3AA8">
        <w:rPr>
          <w:rFonts w:ascii="Arial" w:hAnsi="Arial" w:cs="Arial"/>
          <w:sz w:val="18"/>
          <w:szCs w:val="18"/>
        </w:rPr>
        <w:t xml:space="preserve"> </w:t>
      </w:r>
      <w:r>
        <w:rPr>
          <w:rFonts w:ascii="Arial" w:hAnsi="Arial" w:cs="Arial"/>
          <w:sz w:val="18"/>
          <w:szCs w:val="18"/>
        </w:rPr>
        <w:t>This is f</w:t>
      </w:r>
      <w:r w:rsidRPr="00EF3AA8">
        <w:rPr>
          <w:rFonts w:ascii="Arial" w:hAnsi="Arial" w:cs="Arial"/>
          <w:sz w:val="18"/>
          <w:szCs w:val="18"/>
        </w:rPr>
        <w:t>or those unemployed youth aged 15-19, who are actively seeking full-time work</w:t>
      </w:r>
      <w:r>
        <w:rPr>
          <w:rFonts w:ascii="Arial" w:hAnsi="Arial" w:cs="Arial"/>
          <w:sz w:val="18"/>
          <w:szCs w:val="18"/>
        </w:rPr>
        <w:t xml:space="preserve"> </w:t>
      </w:r>
      <w:r w:rsidRPr="00B6348D">
        <w:rPr>
          <w:rFonts w:ascii="Arial" w:hAnsi="Arial" w:cs="Arial"/>
          <w:sz w:val="18"/>
          <w:szCs w:val="18"/>
        </w:rPr>
        <w:t>(as those seeking part time work are more likely to be primarily focused on full time education)</w:t>
      </w:r>
      <w:r w:rsidRPr="00EF3AA8">
        <w:rPr>
          <w:rFonts w:ascii="Arial" w:hAnsi="Arial" w:cs="Arial"/>
          <w:sz w:val="18"/>
          <w:szCs w:val="18"/>
        </w:rPr>
        <w:t>.</w:t>
      </w:r>
      <w:r>
        <w:rPr>
          <w:rFonts w:ascii="Arial" w:hAnsi="Arial" w:cs="Arial"/>
          <w:sz w:val="18"/>
          <w:szCs w:val="18"/>
        </w:rPr>
        <w:t xml:space="preserve"> The definition of ’youth’ for the other labour market measures reported in this section is also for those aged 15-19. </w:t>
      </w:r>
    </w:p>
    <w:p w:rsidR="00365DC0" w:rsidRPr="00B7159E" w:rsidRDefault="00365DC0" w:rsidP="0018046E">
      <w:pPr>
        <w:pStyle w:val="Footer"/>
        <w:ind w:right="0"/>
        <w:rPr>
          <w:rFonts w:ascii="Arial" w:hAnsi="Arial" w:cs="Arial"/>
          <w:sz w:val="18"/>
          <w:szCs w:val="18"/>
        </w:rPr>
      </w:pPr>
      <w:r w:rsidRPr="0018046E">
        <w:rPr>
          <w:vertAlign w:val="superscript"/>
        </w:rPr>
        <w:t>15</w:t>
      </w:r>
      <w:r>
        <w:t xml:space="preserve"> </w:t>
      </w:r>
      <w:r w:rsidRPr="00B7159E">
        <w:rPr>
          <w:rFonts w:ascii="Arial" w:hAnsi="Arial" w:cs="Arial"/>
          <w:sz w:val="18"/>
          <w:szCs w:val="18"/>
        </w:rPr>
        <w:t>Some caution is needed though in respect to drawing conclusions from the above data, as it does not allow for the respective differences over time in regards to the overall levels (and prevalence) of 15-19 year olds undertaking further education rather than other options (such as seeking or being engaged in full-time employment).</w:t>
      </w:r>
    </w:p>
    <w:p w:rsidR="00365DC0" w:rsidRDefault="00365DC0" w:rsidP="00C3168A">
      <w:pPr>
        <w:jc w:val="both"/>
      </w:pPr>
    </w:p>
  </w:footnote>
  <w:footnote w:id="2">
    <w:p w:rsidR="00365DC0" w:rsidRDefault="00365DC0" w:rsidP="00D95A1A">
      <w:pPr>
        <w:pStyle w:val="FootnoteText"/>
      </w:pPr>
      <w:r>
        <w:rPr>
          <w:rStyle w:val="FootnoteReference"/>
        </w:rPr>
        <w:footnoteRef/>
      </w:r>
      <w:r>
        <w:t xml:space="preserve"> </w:t>
      </w:r>
      <w:r w:rsidRPr="00E5135E">
        <w:t xml:space="preserve">Survey results are analysed by </w:t>
      </w:r>
      <w:proofErr w:type="spellStart"/>
      <w:r w:rsidRPr="00E5135E">
        <w:t>RMIT</w:t>
      </w:r>
      <w:proofErr w:type="spellEnd"/>
      <w:r w:rsidRPr="00E5135E">
        <w:t xml:space="preserve"> University.</w:t>
      </w:r>
    </w:p>
  </w:footnote>
  <w:footnote w:id="3">
    <w:p w:rsidR="00365DC0" w:rsidRDefault="00365DC0" w:rsidP="00065ACE">
      <w:pPr>
        <w:pStyle w:val="FootnoteText"/>
      </w:pPr>
      <w:r>
        <w:rPr>
          <w:rStyle w:val="FootnoteReference"/>
        </w:rPr>
        <w:footnoteRef/>
      </w:r>
      <w:r>
        <w:t xml:space="preserve"> </w:t>
      </w:r>
      <w:proofErr w:type="spellStart"/>
      <w:r>
        <w:t>ICSEA</w:t>
      </w:r>
      <w:proofErr w:type="spellEnd"/>
      <w:r>
        <w:t xml:space="preserve"> was created by the Australian Curriculum, Assessment and Reporting Authority (</w:t>
      </w:r>
      <w:proofErr w:type="spellStart"/>
      <w:r>
        <w:t>ACARA</w:t>
      </w:r>
      <w:proofErr w:type="spellEnd"/>
      <w:r>
        <w:t>) specifically to gain an understanding of the levels of educational advantage or disadvantage that students bring to their academic studies.</w:t>
      </w:r>
    </w:p>
  </w:footnote>
  <w:footnote w:id="4">
    <w:p w:rsidR="00365DC0" w:rsidRPr="00363409" w:rsidRDefault="00365DC0" w:rsidP="00065ACE">
      <w:pPr>
        <w:pStyle w:val="FootnoteText"/>
      </w:pPr>
      <w:r>
        <w:rPr>
          <w:rStyle w:val="FootnoteReference"/>
        </w:rPr>
        <w:footnoteRef/>
      </w:r>
      <w:r>
        <w:t xml:space="preserve"> </w:t>
      </w:r>
      <w:r w:rsidRPr="00E12A7E">
        <w:t xml:space="preserve">In Victoria, the </w:t>
      </w:r>
      <w:r w:rsidRPr="00906FE2">
        <w:t>Partnership</w:t>
      </w:r>
      <w:r w:rsidRPr="00E12A7E">
        <w:t xml:space="preserve"> Brokers program is delivered through the Victorian Government’s Local Learning and Employment Network (LLEN) and is managed by the Victorian Department o</w:t>
      </w:r>
      <w:r>
        <w:t xml:space="preserve">f Education and Early Childhood </w:t>
      </w:r>
      <w:r w:rsidRPr="0000354D">
        <w:t>Development.</w:t>
      </w:r>
      <w:r w:rsidRPr="00B34977">
        <w:rPr>
          <w:color w:val="0070C0"/>
        </w:rPr>
        <w:t xml:space="preserve"> </w:t>
      </w:r>
    </w:p>
  </w:footnote>
  <w:footnote w:id="5">
    <w:p w:rsidR="00365DC0" w:rsidRDefault="00365DC0" w:rsidP="00065ACE">
      <w:pPr>
        <w:pStyle w:val="FootnoteText"/>
      </w:pPr>
      <w:r>
        <w:rPr>
          <w:rStyle w:val="FootnoteReference"/>
        </w:rPr>
        <w:footnoteRef/>
      </w:r>
      <w:r>
        <w:t xml:space="preserve"> Data cited is accurate as at 2 April 2013.</w:t>
      </w:r>
    </w:p>
  </w:footnote>
  <w:footnote w:id="6">
    <w:p w:rsidR="00365DC0" w:rsidRDefault="00365DC0" w:rsidP="00065ACE">
      <w:pPr>
        <w:pStyle w:val="FootnoteText"/>
        <w:tabs>
          <w:tab w:val="left" w:pos="840"/>
          <w:tab w:val="left" w:pos="1890"/>
        </w:tabs>
      </w:pPr>
    </w:p>
  </w:footnote>
  <w:footnote w:id="7">
    <w:p w:rsidR="00365DC0" w:rsidRDefault="00365DC0" w:rsidP="00065ACE">
      <w:pPr>
        <w:pStyle w:val="FootnoteText"/>
      </w:pPr>
      <w:r>
        <w:rPr>
          <w:rStyle w:val="FootnoteReference"/>
        </w:rPr>
        <w:footnoteRef/>
      </w:r>
      <w:r>
        <w:t xml:space="preserve"> Data sourced from the 2012 Annual Partnership Broker Provider Survey.</w:t>
      </w:r>
    </w:p>
  </w:footnote>
  <w:footnote w:id="8">
    <w:p w:rsidR="00365DC0" w:rsidRDefault="00365DC0" w:rsidP="00065ACE">
      <w:pPr>
        <w:pStyle w:val="FootnoteText"/>
      </w:pPr>
      <w:r>
        <w:rPr>
          <w:rStyle w:val="FootnoteReference"/>
        </w:rPr>
        <w:footnoteRef/>
      </w:r>
      <w:r>
        <w:t xml:space="preserve"> Data sourced from the 2012 Annual Partnership Broker Provider Survey.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C0" w:rsidRDefault="00365DC0" w:rsidP="00EC7A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C0" w:rsidRDefault="00365DC0" w:rsidP="00EC7A08">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858"/>
    <w:multiLevelType w:val="hybridMultilevel"/>
    <w:tmpl w:val="2FAC2BAA"/>
    <w:lvl w:ilvl="0" w:tplc="0C090001">
      <w:start w:val="1"/>
      <w:numFmt w:val="bullet"/>
      <w:lvlText w:val=""/>
      <w:lvlJc w:val="left"/>
      <w:pPr>
        <w:ind w:left="-1620" w:hanging="360"/>
      </w:pPr>
      <w:rPr>
        <w:rFonts w:ascii="Symbol" w:hAnsi="Symbol" w:hint="default"/>
      </w:rPr>
    </w:lvl>
    <w:lvl w:ilvl="1" w:tplc="0C090003">
      <w:start w:val="1"/>
      <w:numFmt w:val="bullet"/>
      <w:lvlText w:val="o"/>
      <w:lvlJc w:val="left"/>
      <w:pPr>
        <w:ind w:left="-900" w:hanging="360"/>
      </w:pPr>
      <w:rPr>
        <w:rFonts w:ascii="Courier New" w:hAnsi="Courier New" w:hint="default"/>
      </w:rPr>
    </w:lvl>
    <w:lvl w:ilvl="2" w:tplc="0C090005">
      <w:start w:val="1"/>
      <w:numFmt w:val="bullet"/>
      <w:lvlText w:val=""/>
      <w:lvlJc w:val="left"/>
      <w:pPr>
        <w:ind w:left="-180" w:hanging="360"/>
      </w:pPr>
      <w:rPr>
        <w:rFonts w:ascii="Wingdings" w:hAnsi="Wingdings" w:hint="default"/>
      </w:rPr>
    </w:lvl>
    <w:lvl w:ilvl="3" w:tplc="0C090001">
      <w:start w:val="1"/>
      <w:numFmt w:val="bullet"/>
      <w:lvlText w:val=""/>
      <w:lvlJc w:val="left"/>
      <w:pPr>
        <w:ind w:left="540" w:hanging="360"/>
      </w:pPr>
      <w:rPr>
        <w:rFonts w:ascii="Symbol" w:hAnsi="Symbol" w:hint="default"/>
      </w:rPr>
    </w:lvl>
    <w:lvl w:ilvl="4" w:tplc="0C090003">
      <w:start w:val="1"/>
      <w:numFmt w:val="bullet"/>
      <w:lvlText w:val="o"/>
      <w:lvlJc w:val="left"/>
      <w:pPr>
        <w:ind w:left="1260" w:hanging="360"/>
      </w:pPr>
      <w:rPr>
        <w:rFonts w:ascii="Courier New" w:hAnsi="Courier New" w:hint="default"/>
      </w:rPr>
    </w:lvl>
    <w:lvl w:ilvl="5" w:tplc="0C090005">
      <w:start w:val="1"/>
      <w:numFmt w:val="bullet"/>
      <w:lvlText w:val=""/>
      <w:lvlJc w:val="left"/>
      <w:pPr>
        <w:ind w:left="1980" w:hanging="360"/>
      </w:pPr>
      <w:rPr>
        <w:rFonts w:ascii="Wingdings" w:hAnsi="Wingdings" w:hint="default"/>
      </w:rPr>
    </w:lvl>
    <w:lvl w:ilvl="6" w:tplc="0C090001">
      <w:start w:val="1"/>
      <w:numFmt w:val="bullet"/>
      <w:lvlText w:val=""/>
      <w:lvlJc w:val="left"/>
      <w:pPr>
        <w:ind w:left="2700" w:hanging="360"/>
      </w:pPr>
      <w:rPr>
        <w:rFonts w:ascii="Symbol" w:hAnsi="Symbol" w:hint="default"/>
      </w:rPr>
    </w:lvl>
    <w:lvl w:ilvl="7" w:tplc="0C090003">
      <w:start w:val="1"/>
      <w:numFmt w:val="bullet"/>
      <w:lvlText w:val="o"/>
      <w:lvlJc w:val="left"/>
      <w:pPr>
        <w:ind w:left="3420" w:hanging="360"/>
      </w:pPr>
      <w:rPr>
        <w:rFonts w:ascii="Courier New" w:hAnsi="Courier New" w:hint="default"/>
      </w:rPr>
    </w:lvl>
    <w:lvl w:ilvl="8" w:tplc="0C090005">
      <w:start w:val="1"/>
      <w:numFmt w:val="bullet"/>
      <w:lvlText w:val=""/>
      <w:lvlJc w:val="left"/>
      <w:pPr>
        <w:ind w:left="4140" w:hanging="360"/>
      </w:pPr>
      <w:rPr>
        <w:rFonts w:ascii="Wingdings" w:hAnsi="Wingdings" w:hint="default"/>
      </w:rPr>
    </w:lvl>
  </w:abstractNum>
  <w:abstractNum w:abstractNumId="1">
    <w:nsid w:val="050426E4"/>
    <w:multiLevelType w:val="hybridMultilevel"/>
    <w:tmpl w:val="5C628EFA"/>
    <w:lvl w:ilvl="0" w:tplc="8B781A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0237AA"/>
    <w:multiLevelType w:val="hybridMultilevel"/>
    <w:tmpl w:val="976CA8E2"/>
    <w:lvl w:ilvl="0" w:tplc="7C38E47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A475FA"/>
    <w:multiLevelType w:val="hybridMultilevel"/>
    <w:tmpl w:val="757EC3C4"/>
    <w:lvl w:ilvl="0" w:tplc="58D2ECEC">
      <w:start w:val="1"/>
      <w:numFmt w:val="bullet"/>
      <w:lvlText w:val=""/>
      <w:lvlJc w:val="left"/>
      <w:pPr>
        <w:tabs>
          <w:tab w:val="num" w:pos="1569"/>
        </w:tabs>
        <w:ind w:left="1569" w:hanging="360"/>
      </w:pPr>
      <w:rPr>
        <w:rFonts w:ascii="Symbol" w:hAnsi="Symbol" w:hint="default"/>
        <w:color w:val="auto"/>
      </w:rPr>
    </w:lvl>
    <w:lvl w:ilvl="1" w:tplc="0C090003">
      <w:start w:val="1"/>
      <w:numFmt w:val="bullet"/>
      <w:lvlText w:val="o"/>
      <w:lvlJc w:val="left"/>
      <w:pPr>
        <w:tabs>
          <w:tab w:val="num" w:pos="2289"/>
        </w:tabs>
        <w:ind w:left="2289" w:hanging="360"/>
      </w:pPr>
      <w:rPr>
        <w:rFonts w:ascii="Courier New" w:hAnsi="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4">
    <w:nsid w:val="07295278"/>
    <w:multiLevelType w:val="hybridMultilevel"/>
    <w:tmpl w:val="12DCCC08"/>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5">
    <w:nsid w:val="080F65C7"/>
    <w:multiLevelType w:val="hybridMultilevel"/>
    <w:tmpl w:val="A992D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CA3F64"/>
    <w:multiLevelType w:val="hybridMultilevel"/>
    <w:tmpl w:val="BAE6B3FA"/>
    <w:lvl w:ilvl="0" w:tplc="3F60C90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0A547B76"/>
    <w:multiLevelType w:val="hybridMultilevel"/>
    <w:tmpl w:val="30522AF0"/>
    <w:lvl w:ilvl="0" w:tplc="7D7210B4">
      <w:start w:val="1"/>
      <w:numFmt w:val="lowerRoman"/>
      <w:lvlText w:val="%1)"/>
      <w:lvlJc w:val="left"/>
      <w:pPr>
        <w:ind w:left="862" w:hanging="720"/>
      </w:pPr>
      <w:rPr>
        <w:rFonts w:asciiTheme="majorHAnsi" w:hAnsiTheme="majorHAnsi"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B9E68CD"/>
    <w:multiLevelType w:val="hybridMultilevel"/>
    <w:tmpl w:val="944CD6A4"/>
    <w:lvl w:ilvl="0" w:tplc="EE386D4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BDE7706"/>
    <w:multiLevelType w:val="hybridMultilevel"/>
    <w:tmpl w:val="C0921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F37660F"/>
    <w:multiLevelType w:val="hybridMultilevel"/>
    <w:tmpl w:val="B088C41A"/>
    <w:lvl w:ilvl="0" w:tplc="E4040232">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F46303E"/>
    <w:multiLevelType w:val="hybridMultilevel"/>
    <w:tmpl w:val="E6443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0541C16"/>
    <w:multiLevelType w:val="hybridMultilevel"/>
    <w:tmpl w:val="45984C98"/>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
    <w:nsid w:val="105C3C16"/>
    <w:multiLevelType w:val="hybridMultilevel"/>
    <w:tmpl w:val="BBFC62AC"/>
    <w:lvl w:ilvl="0" w:tplc="255A31D4">
      <w:start w:val="1"/>
      <w:numFmt w:val="lowerRoman"/>
      <w:lvlText w:val="%1)"/>
      <w:lvlJc w:val="left"/>
      <w:pPr>
        <w:ind w:left="720" w:hanging="720"/>
      </w:pPr>
      <w:rPr>
        <w:rFonts w:asciiTheme="majorHAnsi" w:hAnsiTheme="majorHAnsi" w:cs="Arial" w:hint="default"/>
        <w:sz w:val="24"/>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1D675B3"/>
    <w:multiLevelType w:val="hybridMultilevel"/>
    <w:tmpl w:val="780243AE"/>
    <w:lvl w:ilvl="0" w:tplc="1EB08C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1E528B8"/>
    <w:multiLevelType w:val="hybridMultilevel"/>
    <w:tmpl w:val="C3DC50D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134D35E9"/>
    <w:multiLevelType w:val="hybridMultilevel"/>
    <w:tmpl w:val="01F20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D575E3"/>
    <w:multiLevelType w:val="hybridMultilevel"/>
    <w:tmpl w:val="508CA16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3FA20DD"/>
    <w:multiLevelType w:val="hybridMultilevel"/>
    <w:tmpl w:val="ECE6D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59F1729"/>
    <w:multiLevelType w:val="hybridMultilevel"/>
    <w:tmpl w:val="1F846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8C749DA"/>
    <w:multiLevelType w:val="hybridMultilevel"/>
    <w:tmpl w:val="EE38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9DA75E8"/>
    <w:multiLevelType w:val="hybridMultilevel"/>
    <w:tmpl w:val="2B221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1A2827A9"/>
    <w:multiLevelType w:val="hybridMultilevel"/>
    <w:tmpl w:val="6A3AA5A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nsid w:val="1AD17ECA"/>
    <w:multiLevelType w:val="hybridMultilevel"/>
    <w:tmpl w:val="A104B92E"/>
    <w:lvl w:ilvl="0" w:tplc="1E68FB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B6B1ABD"/>
    <w:multiLevelType w:val="hybridMultilevel"/>
    <w:tmpl w:val="3162CBFC"/>
    <w:lvl w:ilvl="0" w:tplc="04E89E0E">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BD870F5"/>
    <w:multiLevelType w:val="hybridMultilevel"/>
    <w:tmpl w:val="364425C4"/>
    <w:lvl w:ilvl="0" w:tplc="310ACEA8">
      <w:start w:val="1"/>
      <w:numFmt w:val="bullet"/>
      <w:lvlText w:val=""/>
      <w:lvlJc w:val="left"/>
      <w:pPr>
        <w:ind w:left="677" w:hanging="360"/>
      </w:pPr>
      <w:rPr>
        <w:rFonts w:ascii="Symbol" w:hAnsi="Symbol" w:hint="default"/>
        <w:color w:val="auto"/>
        <w:sz w:val="20"/>
        <w:szCs w:val="20"/>
      </w:rPr>
    </w:lvl>
    <w:lvl w:ilvl="1" w:tplc="94305D46">
      <w:start w:val="1"/>
      <w:numFmt w:val="bullet"/>
      <w:lvlText w:val="̵"/>
      <w:lvlJc w:val="left"/>
      <w:pPr>
        <w:tabs>
          <w:tab w:val="num" w:pos="1440"/>
        </w:tabs>
        <w:ind w:left="1440" w:hanging="360"/>
      </w:pPr>
      <w:rPr>
        <w:rFonts w:ascii="Calibri" w:hAnsi="Calibri"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nsid w:val="1CE955EC"/>
    <w:multiLevelType w:val="hybridMultilevel"/>
    <w:tmpl w:val="6A603EEC"/>
    <w:lvl w:ilvl="0" w:tplc="58D2ECE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1D2A075D"/>
    <w:multiLevelType w:val="hybridMultilevel"/>
    <w:tmpl w:val="400CA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1D48034C"/>
    <w:multiLevelType w:val="hybridMultilevel"/>
    <w:tmpl w:val="53A8BE6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nsid w:val="1EEF7304"/>
    <w:multiLevelType w:val="hybridMultilevel"/>
    <w:tmpl w:val="134801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1184C27"/>
    <w:multiLevelType w:val="hybridMultilevel"/>
    <w:tmpl w:val="9D0E875A"/>
    <w:lvl w:ilvl="0" w:tplc="64DCDA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263E5FA0"/>
    <w:multiLevelType w:val="hybridMultilevel"/>
    <w:tmpl w:val="8646C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700654A"/>
    <w:multiLevelType w:val="hybridMultilevel"/>
    <w:tmpl w:val="4A42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A676BF1"/>
    <w:multiLevelType w:val="hybridMultilevel"/>
    <w:tmpl w:val="9D3A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B773D58"/>
    <w:multiLevelType w:val="hybridMultilevel"/>
    <w:tmpl w:val="4440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C5022DE"/>
    <w:multiLevelType w:val="hybridMultilevel"/>
    <w:tmpl w:val="8F26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D3740CB"/>
    <w:multiLevelType w:val="hybridMultilevel"/>
    <w:tmpl w:val="C0F2771A"/>
    <w:lvl w:ilvl="0" w:tplc="0C090003">
      <w:start w:val="1"/>
      <w:numFmt w:val="bullet"/>
      <w:lvlText w:val="o"/>
      <w:lvlJc w:val="left"/>
      <w:pPr>
        <w:tabs>
          <w:tab w:val="num" w:pos="360"/>
        </w:tabs>
        <w:ind w:left="360" w:hanging="360"/>
      </w:pPr>
      <w:rPr>
        <w:rFonts w:ascii="Courier New" w:hAnsi="Courier New" w:hint="default"/>
      </w:rPr>
    </w:lvl>
    <w:lvl w:ilvl="1" w:tplc="24FC507A">
      <w:numFmt w:val="bullet"/>
      <w:lvlText w:val="-"/>
      <w:lvlJc w:val="left"/>
      <w:pPr>
        <w:tabs>
          <w:tab w:val="num" w:pos="1440"/>
        </w:tabs>
        <w:ind w:left="1440" w:hanging="360"/>
      </w:pPr>
      <w:rPr>
        <w:rFonts w:ascii="Calibri" w:eastAsia="Times New Roman" w:hAnsi="Calibri"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2E4F3F36"/>
    <w:multiLevelType w:val="hybridMultilevel"/>
    <w:tmpl w:val="63ECBBB4"/>
    <w:lvl w:ilvl="0" w:tplc="58D2ECE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2F1F6292"/>
    <w:multiLevelType w:val="hybridMultilevel"/>
    <w:tmpl w:val="2B7A6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33087CBC"/>
    <w:multiLevelType w:val="hybridMultilevel"/>
    <w:tmpl w:val="FB26A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C892676"/>
    <w:multiLevelType w:val="hybridMultilevel"/>
    <w:tmpl w:val="89D88A3A"/>
    <w:lvl w:ilvl="0" w:tplc="0C090001">
      <w:start w:val="1"/>
      <w:numFmt w:val="bullet"/>
      <w:lvlText w:val=""/>
      <w:lvlJc w:val="left"/>
      <w:pPr>
        <w:ind w:left="374" w:hanging="360"/>
      </w:pPr>
      <w:rPr>
        <w:rFonts w:ascii="Symbol" w:hAnsi="Symbol" w:hint="default"/>
      </w:rPr>
    </w:lvl>
    <w:lvl w:ilvl="1" w:tplc="0C090003" w:tentative="1">
      <w:start w:val="1"/>
      <w:numFmt w:val="bullet"/>
      <w:lvlText w:val="o"/>
      <w:lvlJc w:val="left"/>
      <w:pPr>
        <w:ind w:left="1094"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41">
    <w:nsid w:val="3D53542F"/>
    <w:multiLevelType w:val="hybridMultilevel"/>
    <w:tmpl w:val="CDA8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EAD4345"/>
    <w:multiLevelType w:val="hybridMultilevel"/>
    <w:tmpl w:val="D68A1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3F8644FC"/>
    <w:multiLevelType w:val="hybridMultilevel"/>
    <w:tmpl w:val="732A8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406934FF"/>
    <w:multiLevelType w:val="hybridMultilevel"/>
    <w:tmpl w:val="9A622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43205E43"/>
    <w:multiLevelType w:val="multilevel"/>
    <w:tmpl w:val="E6E43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440E0DD7"/>
    <w:multiLevelType w:val="hybridMultilevel"/>
    <w:tmpl w:val="634AA37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44291D54"/>
    <w:multiLevelType w:val="hybridMultilevel"/>
    <w:tmpl w:val="9F2E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4F64C60"/>
    <w:multiLevelType w:val="hybridMultilevel"/>
    <w:tmpl w:val="9E12A7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47542B57"/>
    <w:multiLevelType w:val="hybridMultilevel"/>
    <w:tmpl w:val="473C4C6A"/>
    <w:lvl w:ilvl="0" w:tplc="146263D6">
      <w:start w:val="1"/>
      <w:numFmt w:val="bullet"/>
      <w:pStyle w:val="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8AE7B15"/>
    <w:multiLevelType w:val="hybridMultilevel"/>
    <w:tmpl w:val="6ED8F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B647093"/>
    <w:multiLevelType w:val="hybridMultilevel"/>
    <w:tmpl w:val="CA50E0B0"/>
    <w:lvl w:ilvl="0" w:tplc="56B60646">
      <w:start w:val="1"/>
      <w:numFmt w:val="bullet"/>
      <w:pStyle w:val="ListBullet1"/>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2">
    <w:nsid w:val="4C1F7810"/>
    <w:multiLevelType w:val="hybridMultilevel"/>
    <w:tmpl w:val="7F2C195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3">
    <w:nsid w:val="4CF356C6"/>
    <w:multiLevelType w:val="hybridMultilevel"/>
    <w:tmpl w:val="44224E1E"/>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4">
    <w:nsid w:val="4D21316A"/>
    <w:multiLevelType w:val="hybridMultilevel"/>
    <w:tmpl w:val="DF160B1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5">
    <w:nsid w:val="4DC71153"/>
    <w:multiLevelType w:val="hybridMultilevel"/>
    <w:tmpl w:val="93968670"/>
    <w:lvl w:ilvl="0" w:tplc="EA1CEC5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4FD01A95"/>
    <w:multiLevelType w:val="hybridMultilevel"/>
    <w:tmpl w:val="E612F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nsid w:val="50242E33"/>
    <w:multiLevelType w:val="hybridMultilevel"/>
    <w:tmpl w:val="DB7480A2"/>
    <w:lvl w:ilvl="0" w:tplc="255A31D4">
      <w:start w:val="1"/>
      <w:numFmt w:val="lowerRoman"/>
      <w:lvlText w:val="%1)"/>
      <w:lvlJc w:val="left"/>
      <w:pPr>
        <w:ind w:left="1080" w:hanging="720"/>
      </w:pPr>
      <w:rPr>
        <w:rFonts w:asciiTheme="majorHAnsi" w:hAnsiTheme="majorHAnsi" w:cs="Arial" w:hint="default"/>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507B3B3D"/>
    <w:multiLevelType w:val="hybridMultilevel"/>
    <w:tmpl w:val="6268BBF8"/>
    <w:lvl w:ilvl="0" w:tplc="58D2ECE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9">
    <w:nsid w:val="52BC4AD7"/>
    <w:multiLevelType w:val="hybridMultilevel"/>
    <w:tmpl w:val="C314744A"/>
    <w:lvl w:ilvl="0" w:tplc="BCF20FFE">
      <w:start w:val="1"/>
      <w:numFmt w:val="lowerLetter"/>
      <w:lvlText w:val="%1)"/>
      <w:lvlJc w:val="left"/>
      <w:pPr>
        <w:tabs>
          <w:tab w:val="num" w:pos="644"/>
        </w:tabs>
        <w:ind w:left="644" w:hanging="36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0">
    <w:nsid w:val="53E24671"/>
    <w:multiLevelType w:val="hybridMultilevel"/>
    <w:tmpl w:val="57FE3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nsid w:val="544342C0"/>
    <w:multiLevelType w:val="hybridMultilevel"/>
    <w:tmpl w:val="10387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54D41BAF"/>
    <w:multiLevelType w:val="hybridMultilevel"/>
    <w:tmpl w:val="DD4E9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5FB5494"/>
    <w:multiLevelType w:val="hybridMultilevel"/>
    <w:tmpl w:val="0A64F19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4">
    <w:nsid w:val="56170222"/>
    <w:multiLevelType w:val="hybridMultilevel"/>
    <w:tmpl w:val="03344810"/>
    <w:lvl w:ilvl="0" w:tplc="BC6609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7080444"/>
    <w:multiLevelType w:val="hybridMultilevel"/>
    <w:tmpl w:val="E1ECA892"/>
    <w:lvl w:ilvl="0" w:tplc="0BDA07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57DB43E1"/>
    <w:multiLevelType w:val="hybridMultilevel"/>
    <w:tmpl w:val="869CB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nsid w:val="5B2731C3"/>
    <w:multiLevelType w:val="hybridMultilevel"/>
    <w:tmpl w:val="8E921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5BB7501A"/>
    <w:multiLevelType w:val="hybridMultilevel"/>
    <w:tmpl w:val="6E981980"/>
    <w:lvl w:ilvl="0" w:tplc="8904E72A">
      <w:start w:val="1"/>
      <w:numFmt w:val="bullet"/>
      <w:pStyle w:val="dpReclev2"/>
      <w:lvlText w:val=""/>
      <w:lvlJc w:val="left"/>
      <w:pPr>
        <w:tabs>
          <w:tab w:val="num" w:pos="1070"/>
        </w:tabs>
        <w:ind w:left="1070" w:hanging="360"/>
      </w:pPr>
      <w:rPr>
        <w:rFonts w:ascii="Wingdings" w:hAnsi="Wingdings" w:hint="default"/>
        <w:sz w:val="18"/>
        <w:szCs w:val="18"/>
      </w:rPr>
    </w:lvl>
    <w:lvl w:ilvl="1" w:tplc="2C5C4B50" w:tentative="1">
      <w:start w:val="1"/>
      <w:numFmt w:val="bullet"/>
      <w:lvlText w:val=""/>
      <w:lvlJc w:val="left"/>
      <w:pPr>
        <w:tabs>
          <w:tab w:val="num" w:pos="1790"/>
        </w:tabs>
        <w:ind w:left="1790" w:hanging="360"/>
      </w:pPr>
      <w:rPr>
        <w:rFonts w:ascii="Wingdings" w:hAnsi="Wingdings" w:hint="default"/>
      </w:rPr>
    </w:lvl>
    <w:lvl w:ilvl="2" w:tplc="C7C4513A" w:tentative="1">
      <w:start w:val="1"/>
      <w:numFmt w:val="bullet"/>
      <w:lvlText w:val=""/>
      <w:lvlJc w:val="left"/>
      <w:pPr>
        <w:tabs>
          <w:tab w:val="num" w:pos="2510"/>
        </w:tabs>
        <w:ind w:left="2510" w:hanging="360"/>
      </w:pPr>
      <w:rPr>
        <w:rFonts w:ascii="Wingdings" w:hAnsi="Wingdings" w:hint="default"/>
      </w:rPr>
    </w:lvl>
    <w:lvl w:ilvl="3" w:tplc="94C24602" w:tentative="1">
      <w:start w:val="1"/>
      <w:numFmt w:val="bullet"/>
      <w:lvlText w:val=""/>
      <w:lvlJc w:val="left"/>
      <w:pPr>
        <w:tabs>
          <w:tab w:val="num" w:pos="3230"/>
        </w:tabs>
        <w:ind w:left="3230" w:hanging="360"/>
      </w:pPr>
      <w:rPr>
        <w:rFonts w:ascii="Wingdings" w:hAnsi="Wingdings" w:hint="default"/>
      </w:rPr>
    </w:lvl>
    <w:lvl w:ilvl="4" w:tplc="2BB88470" w:tentative="1">
      <w:start w:val="1"/>
      <w:numFmt w:val="bullet"/>
      <w:lvlText w:val=""/>
      <w:lvlJc w:val="left"/>
      <w:pPr>
        <w:tabs>
          <w:tab w:val="num" w:pos="3950"/>
        </w:tabs>
        <w:ind w:left="3950" w:hanging="360"/>
      </w:pPr>
      <w:rPr>
        <w:rFonts w:ascii="Wingdings" w:hAnsi="Wingdings" w:hint="default"/>
      </w:rPr>
    </w:lvl>
    <w:lvl w:ilvl="5" w:tplc="5FA83948" w:tentative="1">
      <w:start w:val="1"/>
      <w:numFmt w:val="bullet"/>
      <w:lvlText w:val=""/>
      <w:lvlJc w:val="left"/>
      <w:pPr>
        <w:tabs>
          <w:tab w:val="num" w:pos="4670"/>
        </w:tabs>
        <w:ind w:left="4670" w:hanging="360"/>
      </w:pPr>
      <w:rPr>
        <w:rFonts w:ascii="Wingdings" w:hAnsi="Wingdings" w:hint="default"/>
      </w:rPr>
    </w:lvl>
    <w:lvl w:ilvl="6" w:tplc="EE9A5414" w:tentative="1">
      <w:start w:val="1"/>
      <w:numFmt w:val="bullet"/>
      <w:lvlText w:val=""/>
      <w:lvlJc w:val="left"/>
      <w:pPr>
        <w:tabs>
          <w:tab w:val="num" w:pos="5390"/>
        </w:tabs>
        <w:ind w:left="5390" w:hanging="360"/>
      </w:pPr>
      <w:rPr>
        <w:rFonts w:ascii="Wingdings" w:hAnsi="Wingdings" w:hint="default"/>
      </w:rPr>
    </w:lvl>
    <w:lvl w:ilvl="7" w:tplc="0454851C" w:tentative="1">
      <w:start w:val="1"/>
      <w:numFmt w:val="bullet"/>
      <w:lvlText w:val=""/>
      <w:lvlJc w:val="left"/>
      <w:pPr>
        <w:tabs>
          <w:tab w:val="num" w:pos="6110"/>
        </w:tabs>
        <w:ind w:left="6110" w:hanging="360"/>
      </w:pPr>
      <w:rPr>
        <w:rFonts w:ascii="Wingdings" w:hAnsi="Wingdings" w:hint="default"/>
      </w:rPr>
    </w:lvl>
    <w:lvl w:ilvl="8" w:tplc="1144B6E6" w:tentative="1">
      <w:start w:val="1"/>
      <w:numFmt w:val="bullet"/>
      <w:lvlText w:val=""/>
      <w:lvlJc w:val="left"/>
      <w:pPr>
        <w:tabs>
          <w:tab w:val="num" w:pos="6830"/>
        </w:tabs>
        <w:ind w:left="6830" w:hanging="360"/>
      </w:pPr>
      <w:rPr>
        <w:rFonts w:ascii="Wingdings" w:hAnsi="Wingdings" w:hint="default"/>
      </w:rPr>
    </w:lvl>
  </w:abstractNum>
  <w:abstractNum w:abstractNumId="69">
    <w:nsid w:val="5C434799"/>
    <w:multiLevelType w:val="multilevel"/>
    <w:tmpl w:val="2C5AF9A6"/>
    <w:lvl w:ilvl="0">
      <w:start w:val="1"/>
      <w:numFmt w:val="lowerLetter"/>
      <w:lvlText w:val="%1)"/>
      <w:lvlJc w:val="left"/>
      <w:pPr>
        <w:ind w:left="360" w:hanging="360"/>
      </w:pPr>
      <w:rPr>
        <w:rFonts w:cs="Times New Roman"/>
      </w:rPr>
    </w:lvl>
    <w:lvl w:ilvl="1">
      <w:start w:val="1"/>
      <w:numFmt w:val="lowerRoman"/>
      <w:lvlText w:val="%2)"/>
      <w:lvlJc w:val="left"/>
      <w:pPr>
        <w:ind w:left="720" w:hanging="360"/>
      </w:pPr>
      <w:rPr>
        <w:rFonts w:asciiTheme="majorHAnsi" w:eastAsia="Calibri" w:hAnsiTheme="majorHAnsi" w:cs="Arial"/>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nsid w:val="5F7D0935"/>
    <w:multiLevelType w:val="hybridMultilevel"/>
    <w:tmpl w:val="CD42015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1">
    <w:nsid w:val="60795148"/>
    <w:multiLevelType w:val="hybridMultilevel"/>
    <w:tmpl w:val="025E217C"/>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72">
    <w:nsid w:val="617C2E65"/>
    <w:multiLevelType w:val="hybridMultilevel"/>
    <w:tmpl w:val="194012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nsid w:val="61A4161C"/>
    <w:multiLevelType w:val="hybridMultilevel"/>
    <w:tmpl w:val="D1B23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nsid w:val="6226083A"/>
    <w:multiLevelType w:val="hybridMultilevel"/>
    <w:tmpl w:val="DE388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nsid w:val="62B163CC"/>
    <w:multiLevelType w:val="multilevel"/>
    <w:tmpl w:val="6B924AFA"/>
    <w:styleLink w:val="Style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nsid w:val="657878DD"/>
    <w:multiLevelType w:val="hybridMultilevel"/>
    <w:tmpl w:val="2C16BF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7C25928"/>
    <w:multiLevelType w:val="hybridMultilevel"/>
    <w:tmpl w:val="2E969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nsid w:val="697A2C9F"/>
    <w:multiLevelType w:val="hybridMultilevel"/>
    <w:tmpl w:val="4208A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9AD69C1"/>
    <w:multiLevelType w:val="hybridMultilevel"/>
    <w:tmpl w:val="C09A8F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0">
    <w:nsid w:val="6A186AFB"/>
    <w:multiLevelType w:val="hybridMultilevel"/>
    <w:tmpl w:val="F21A5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nsid w:val="6B6F4895"/>
    <w:multiLevelType w:val="hybridMultilevel"/>
    <w:tmpl w:val="7FE8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6BB13934"/>
    <w:multiLevelType w:val="hybridMultilevel"/>
    <w:tmpl w:val="90DA8B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3">
    <w:nsid w:val="6C0D6E7C"/>
    <w:multiLevelType w:val="hybridMultilevel"/>
    <w:tmpl w:val="A9F6B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nsid w:val="6D383ACE"/>
    <w:multiLevelType w:val="hybridMultilevel"/>
    <w:tmpl w:val="8EB0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6DB20C76"/>
    <w:multiLevelType w:val="hybridMultilevel"/>
    <w:tmpl w:val="D0AE2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6DCF7025"/>
    <w:multiLevelType w:val="hybridMultilevel"/>
    <w:tmpl w:val="3C8E8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nsid w:val="6F0B39B1"/>
    <w:multiLevelType w:val="hybridMultilevel"/>
    <w:tmpl w:val="64488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6FA31CC1"/>
    <w:multiLevelType w:val="hybridMultilevel"/>
    <w:tmpl w:val="4A40E73E"/>
    <w:lvl w:ilvl="0" w:tplc="555ADB80">
      <w:start w:val="45"/>
      <w:numFmt w:val="bullet"/>
      <w:pStyle w:val="List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71882DDD"/>
    <w:multiLevelType w:val="hybridMultilevel"/>
    <w:tmpl w:val="47B08B28"/>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90">
    <w:nsid w:val="71C864B6"/>
    <w:multiLevelType w:val="hybridMultilevel"/>
    <w:tmpl w:val="BCB4DDD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1">
    <w:nsid w:val="740B2A88"/>
    <w:multiLevelType w:val="hybridMultilevel"/>
    <w:tmpl w:val="34FC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74FB1490"/>
    <w:multiLevelType w:val="hybridMultilevel"/>
    <w:tmpl w:val="84D09660"/>
    <w:lvl w:ilvl="0" w:tplc="8B62B7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765D2ED9"/>
    <w:multiLevelType w:val="hybridMultilevel"/>
    <w:tmpl w:val="E22EBB0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nsid w:val="78854AAC"/>
    <w:multiLevelType w:val="hybridMultilevel"/>
    <w:tmpl w:val="B3CE7BCA"/>
    <w:lvl w:ilvl="0" w:tplc="8D28AA02">
      <w:start w:val="1"/>
      <w:numFmt w:val="decimal"/>
      <w:pStyle w:val="Normalnumbered"/>
      <w:lvlText w:val="%1."/>
      <w:lvlJc w:val="left"/>
      <w:pPr>
        <w:tabs>
          <w:tab w:val="num" w:pos="1277"/>
        </w:tabs>
        <w:ind w:left="127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95">
    <w:nsid w:val="7EFB3A5B"/>
    <w:multiLevelType w:val="hybridMultilevel"/>
    <w:tmpl w:val="06EA8F24"/>
    <w:lvl w:ilvl="0" w:tplc="504E3BB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9"/>
  </w:num>
  <w:num w:numId="2">
    <w:abstractNumId w:val="94"/>
  </w:num>
  <w:num w:numId="3">
    <w:abstractNumId w:val="69"/>
  </w:num>
  <w:num w:numId="4">
    <w:abstractNumId w:val="0"/>
  </w:num>
  <w:num w:numId="5">
    <w:abstractNumId w:val="90"/>
  </w:num>
  <w:num w:numId="6">
    <w:abstractNumId w:val="82"/>
  </w:num>
  <w:num w:numId="7">
    <w:abstractNumId w:val="17"/>
  </w:num>
  <w:num w:numId="8">
    <w:abstractNumId w:val="46"/>
  </w:num>
  <w:num w:numId="9">
    <w:abstractNumId w:val="72"/>
  </w:num>
  <w:num w:numId="10">
    <w:abstractNumId w:val="58"/>
  </w:num>
  <w:num w:numId="11">
    <w:abstractNumId w:val="45"/>
  </w:num>
  <w:num w:numId="12">
    <w:abstractNumId w:val="37"/>
  </w:num>
  <w:num w:numId="13">
    <w:abstractNumId w:val="75"/>
  </w:num>
  <w:num w:numId="14">
    <w:abstractNumId w:val="55"/>
  </w:num>
  <w:num w:numId="15">
    <w:abstractNumId w:val="8"/>
  </w:num>
  <w:num w:numId="16">
    <w:abstractNumId w:val="93"/>
  </w:num>
  <w:num w:numId="17">
    <w:abstractNumId w:val="48"/>
  </w:num>
  <w:num w:numId="18">
    <w:abstractNumId w:val="12"/>
  </w:num>
  <w:num w:numId="19">
    <w:abstractNumId w:val="3"/>
  </w:num>
  <w:num w:numId="20">
    <w:abstractNumId w:val="26"/>
  </w:num>
  <w:num w:numId="21">
    <w:abstractNumId w:val="59"/>
  </w:num>
  <w:num w:numId="22">
    <w:abstractNumId w:val="62"/>
  </w:num>
  <w:num w:numId="23">
    <w:abstractNumId w:val="16"/>
  </w:num>
  <w:num w:numId="24">
    <w:abstractNumId w:val="91"/>
  </w:num>
  <w:num w:numId="25">
    <w:abstractNumId w:val="19"/>
  </w:num>
  <w:num w:numId="26">
    <w:abstractNumId w:val="21"/>
  </w:num>
  <w:num w:numId="27">
    <w:abstractNumId w:val="79"/>
  </w:num>
  <w:num w:numId="28">
    <w:abstractNumId w:val="60"/>
  </w:num>
  <w:num w:numId="29">
    <w:abstractNumId w:val="80"/>
  </w:num>
  <w:num w:numId="30">
    <w:abstractNumId w:val="61"/>
  </w:num>
  <w:num w:numId="31">
    <w:abstractNumId w:val="5"/>
  </w:num>
  <w:num w:numId="32">
    <w:abstractNumId w:val="74"/>
  </w:num>
  <w:num w:numId="33">
    <w:abstractNumId w:val="36"/>
  </w:num>
  <w:num w:numId="34">
    <w:abstractNumId w:val="53"/>
  </w:num>
  <w:num w:numId="35">
    <w:abstractNumId w:val="85"/>
  </w:num>
  <w:num w:numId="36">
    <w:abstractNumId w:val="38"/>
  </w:num>
  <w:num w:numId="37">
    <w:abstractNumId w:val="83"/>
  </w:num>
  <w:num w:numId="38">
    <w:abstractNumId w:val="87"/>
  </w:num>
  <w:num w:numId="39">
    <w:abstractNumId w:val="78"/>
  </w:num>
  <w:num w:numId="40">
    <w:abstractNumId w:val="42"/>
  </w:num>
  <w:num w:numId="41">
    <w:abstractNumId w:val="86"/>
  </w:num>
  <w:num w:numId="42">
    <w:abstractNumId w:val="40"/>
  </w:num>
  <w:num w:numId="43">
    <w:abstractNumId w:val="29"/>
  </w:num>
  <w:num w:numId="44">
    <w:abstractNumId w:val="7"/>
  </w:num>
  <w:num w:numId="45">
    <w:abstractNumId w:val="6"/>
  </w:num>
  <w:num w:numId="46">
    <w:abstractNumId w:val="95"/>
  </w:num>
  <w:num w:numId="47">
    <w:abstractNumId w:val="57"/>
  </w:num>
  <w:num w:numId="48">
    <w:abstractNumId w:val="13"/>
  </w:num>
  <w:num w:numId="49">
    <w:abstractNumId w:val="1"/>
  </w:num>
  <w:num w:numId="50">
    <w:abstractNumId w:val="76"/>
  </w:num>
  <w:num w:numId="51">
    <w:abstractNumId w:val="64"/>
  </w:num>
  <w:num w:numId="52">
    <w:abstractNumId w:val="2"/>
  </w:num>
  <w:num w:numId="53">
    <w:abstractNumId w:val="18"/>
  </w:num>
  <w:num w:numId="54">
    <w:abstractNumId w:val="43"/>
  </w:num>
  <w:num w:numId="55">
    <w:abstractNumId w:val="11"/>
  </w:num>
  <w:num w:numId="56">
    <w:abstractNumId w:val="65"/>
  </w:num>
  <w:num w:numId="57">
    <w:abstractNumId w:val="28"/>
  </w:num>
  <w:num w:numId="58">
    <w:abstractNumId w:val="92"/>
  </w:num>
  <w:num w:numId="59">
    <w:abstractNumId w:val="14"/>
  </w:num>
  <w:num w:numId="60">
    <w:abstractNumId w:val="77"/>
  </w:num>
  <w:num w:numId="61">
    <w:abstractNumId w:val="44"/>
  </w:num>
  <w:num w:numId="62">
    <w:abstractNumId w:val="73"/>
  </w:num>
  <w:num w:numId="63">
    <w:abstractNumId w:val="27"/>
  </w:num>
  <w:num w:numId="64">
    <w:abstractNumId w:val="66"/>
  </w:num>
  <w:num w:numId="65">
    <w:abstractNumId w:val="10"/>
  </w:num>
  <w:num w:numId="66">
    <w:abstractNumId w:val="50"/>
  </w:num>
  <w:num w:numId="67">
    <w:abstractNumId w:val="71"/>
  </w:num>
  <w:num w:numId="68">
    <w:abstractNumId w:val="4"/>
  </w:num>
  <w:num w:numId="69">
    <w:abstractNumId w:val="89"/>
  </w:num>
  <w:num w:numId="70">
    <w:abstractNumId w:val="30"/>
  </w:num>
  <w:num w:numId="71">
    <w:abstractNumId w:val="41"/>
  </w:num>
  <w:num w:numId="72">
    <w:abstractNumId w:val="31"/>
  </w:num>
  <w:num w:numId="73">
    <w:abstractNumId w:val="81"/>
  </w:num>
  <w:num w:numId="74">
    <w:abstractNumId w:val="35"/>
  </w:num>
  <w:num w:numId="75">
    <w:abstractNumId w:val="23"/>
  </w:num>
  <w:num w:numId="76">
    <w:abstractNumId w:val="70"/>
  </w:num>
  <w:num w:numId="77">
    <w:abstractNumId w:val="22"/>
  </w:num>
  <w:num w:numId="78">
    <w:abstractNumId w:val="63"/>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num>
  <w:num w:numId="81">
    <w:abstractNumId w:val="84"/>
  </w:num>
  <w:num w:numId="82">
    <w:abstractNumId w:val="15"/>
  </w:num>
  <w:num w:numId="83">
    <w:abstractNumId w:val="34"/>
  </w:num>
  <w:num w:numId="84">
    <w:abstractNumId w:val="47"/>
  </w:num>
  <w:num w:numId="85">
    <w:abstractNumId w:val="54"/>
  </w:num>
  <w:num w:numId="86">
    <w:abstractNumId w:val="20"/>
  </w:num>
  <w:num w:numId="87">
    <w:abstractNumId w:val="88"/>
  </w:num>
  <w:num w:numId="8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num>
  <w:num w:numId="92">
    <w:abstractNumId w:val="9"/>
  </w:num>
  <w:num w:numId="93">
    <w:abstractNumId w:val="56"/>
  </w:num>
  <w:num w:numId="94">
    <w:abstractNumId w:val="67"/>
  </w:num>
  <w:num w:numId="9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num>
  <w:num w:numId="97">
    <w:abstractNumId w:val="3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E6"/>
    <w:rsid w:val="00000BB4"/>
    <w:rsid w:val="000020AE"/>
    <w:rsid w:val="00002A1F"/>
    <w:rsid w:val="00003739"/>
    <w:rsid w:val="00017102"/>
    <w:rsid w:val="00017255"/>
    <w:rsid w:val="00020142"/>
    <w:rsid w:val="00021108"/>
    <w:rsid w:val="00025713"/>
    <w:rsid w:val="0002588E"/>
    <w:rsid w:val="00027D81"/>
    <w:rsid w:val="00030583"/>
    <w:rsid w:val="00032B47"/>
    <w:rsid w:val="000335BD"/>
    <w:rsid w:val="000338EB"/>
    <w:rsid w:val="00041A2A"/>
    <w:rsid w:val="0004214D"/>
    <w:rsid w:val="00044674"/>
    <w:rsid w:val="000536E7"/>
    <w:rsid w:val="000541EE"/>
    <w:rsid w:val="00055DD7"/>
    <w:rsid w:val="00057B50"/>
    <w:rsid w:val="0006027A"/>
    <w:rsid w:val="000604A4"/>
    <w:rsid w:val="00062174"/>
    <w:rsid w:val="00065ACE"/>
    <w:rsid w:val="000751F2"/>
    <w:rsid w:val="00075AEE"/>
    <w:rsid w:val="00076DFA"/>
    <w:rsid w:val="00083040"/>
    <w:rsid w:val="000944B5"/>
    <w:rsid w:val="0009585A"/>
    <w:rsid w:val="000A2567"/>
    <w:rsid w:val="000A27C0"/>
    <w:rsid w:val="000A2FA7"/>
    <w:rsid w:val="000A5B22"/>
    <w:rsid w:val="000A6DEE"/>
    <w:rsid w:val="000B0A51"/>
    <w:rsid w:val="000B1328"/>
    <w:rsid w:val="000B2256"/>
    <w:rsid w:val="000B2A2E"/>
    <w:rsid w:val="000B3114"/>
    <w:rsid w:val="000B620C"/>
    <w:rsid w:val="000B6578"/>
    <w:rsid w:val="000B67E4"/>
    <w:rsid w:val="000C2235"/>
    <w:rsid w:val="000C70CA"/>
    <w:rsid w:val="000C7DAD"/>
    <w:rsid w:val="000D3C06"/>
    <w:rsid w:val="000D5045"/>
    <w:rsid w:val="000E03FB"/>
    <w:rsid w:val="000E180A"/>
    <w:rsid w:val="000E45AA"/>
    <w:rsid w:val="000E5D05"/>
    <w:rsid w:val="0010010F"/>
    <w:rsid w:val="00106684"/>
    <w:rsid w:val="00112EF7"/>
    <w:rsid w:val="00113CDC"/>
    <w:rsid w:val="00114268"/>
    <w:rsid w:val="00114F71"/>
    <w:rsid w:val="00117C22"/>
    <w:rsid w:val="001235B4"/>
    <w:rsid w:val="00125724"/>
    <w:rsid w:val="001260CF"/>
    <w:rsid w:val="00126635"/>
    <w:rsid w:val="00127FEC"/>
    <w:rsid w:val="00135133"/>
    <w:rsid w:val="001368B0"/>
    <w:rsid w:val="001379A5"/>
    <w:rsid w:val="00137CA3"/>
    <w:rsid w:val="00143775"/>
    <w:rsid w:val="00144049"/>
    <w:rsid w:val="0014476D"/>
    <w:rsid w:val="00144E84"/>
    <w:rsid w:val="00145EF1"/>
    <w:rsid w:val="00150647"/>
    <w:rsid w:val="00151786"/>
    <w:rsid w:val="00154ACF"/>
    <w:rsid w:val="00155236"/>
    <w:rsid w:val="00155D61"/>
    <w:rsid w:val="00161CDD"/>
    <w:rsid w:val="00167D3D"/>
    <w:rsid w:val="0017108C"/>
    <w:rsid w:val="00171632"/>
    <w:rsid w:val="001748E4"/>
    <w:rsid w:val="00175A8D"/>
    <w:rsid w:val="00177C13"/>
    <w:rsid w:val="0018046E"/>
    <w:rsid w:val="001878B1"/>
    <w:rsid w:val="00191EEE"/>
    <w:rsid w:val="00191F8A"/>
    <w:rsid w:val="0019404B"/>
    <w:rsid w:val="00196C9B"/>
    <w:rsid w:val="001A0A7F"/>
    <w:rsid w:val="001B0943"/>
    <w:rsid w:val="001B140F"/>
    <w:rsid w:val="001B42FA"/>
    <w:rsid w:val="001C324C"/>
    <w:rsid w:val="001C52EF"/>
    <w:rsid w:val="001C7CA5"/>
    <w:rsid w:val="001C7FB2"/>
    <w:rsid w:val="001D29AC"/>
    <w:rsid w:val="001D635F"/>
    <w:rsid w:val="001D6DE9"/>
    <w:rsid w:val="001E2613"/>
    <w:rsid w:val="001E4A92"/>
    <w:rsid w:val="001E7AF1"/>
    <w:rsid w:val="0020066C"/>
    <w:rsid w:val="00201F30"/>
    <w:rsid w:val="0020726D"/>
    <w:rsid w:val="0021632A"/>
    <w:rsid w:val="002171FD"/>
    <w:rsid w:val="002243C2"/>
    <w:rsid w:val="00225160"/>
    <w:rsid w:val="00231A2E"/>
    <w:rsid w:val="00236173"/>
    <w:rsid w:val="002378BE"/>
    <w:rsid w:val="00237E5C"/>
    <w:rsid w:val="002428AB"/>
    <w:rsid w:val="00243242"/>
    <w:rsid w:val="00244083"/>
    <w:rsid w:val="002539F3"/>
    <w:rsid w:val="00253DC1"/>
    <w:rsid w:val="00254C98"/>
    <w:rsid w:val="002564F5"/>
    <w:rsid w:val="00256F20"/>
    <w:rsid w:val="00261A27"/>
    <w:rsid w:val="00266D34"/>
    <w:rsid w:val="00271280"/>
    <w:rsid w:val="00272B0B"/>
    <w:rsid w:val="00283935"/>
    <w:rsid w:val="00284AF0"/>
    <w:rsid w:val="00286BC5"/>
    <w:rsid w:val="0029015A"/>
    <w:rsid w:val="0029351D"/>
    <w:rsid w:val="002941A5"/>
    <w:rsid w:val="002A1BA5"/>
    <w:rsid w:val="002A57E3"/>
    <w:rsid w:val="002A6DA7"/>
    <w:rsid w:val="002B05AC"/>
    <w:rsid w:val="002B14F0"/>
    <w:rsid w:val="002B183A"/>
    <w:rsid w:val="002B26D6"/>
    <w:rsid w:val="002B76F4"/>
    <w:rsid w:val="002B7CAE"/>
    <w:rsid w:val="002C14BF"/>
    <w:rsid w:val="002C3F70"/>
    <w:rsid w:val="002C527C"/>
    <w:rsid w:val="002D0E03"/>
    <w:rsid w:val="002D2367"/>
    <w:rsid w:val="002D31F4"/>
    <w:rsid w:val="002E02C4"/>
    <w:rsid w:val="002E0BEA"/>
    <w:rsid w:val="002E1B61"/>
    <w:rsid w:val="002E4BFE"/>
    <w:rsid w:val="002E64A7"/>
    <w:rsid w:val="002E6B94"/>
    <w:rsid w:val="002F2452"/>
    <w:rsid w:val="002F3B0F"/>
    <w:rsid w:val="002F4CCE"/>
    <w:rsid w:val="002F4D27"/>
    <w:rsid w:val="00314E6F"/>
    <w:rsid w:val="00315C21"/>
    <w:rsid w:val="0032287F"/>
    <w:rsid w:val="00322C8C"/>
    <w:rsid w:val="00325707"/>
    <w:rsid w:val="003307A5"/>
    <w:rsid w:val="00336011"/>
    <w:rsid w:val="00337B44"/>
    <w:rsid w:val="00345878"/>
    <w:rsid w:val="00346B9E"/>
    <w:rsid w:val="00351744"/>
    <w:rsid w:val="0035212D"/>
    <w:rsid w:val="0035241C"/>
    <w:rsid w:val="0036049F"/>
    <w:rsid w:val="00365DC0"/>
    <w:rsid w:val="00371F7D"/>
    <w:rsid w:val="00373A5E"/>
    <w:rsid w:val="00373BF5"/>
    <w:rsid w:val="00374688"/>
    <w:rsid w:val="00377278"/>
    <w:rsid w:val="00381554"/>
    <w:rsid w:val="00392191"/>
    <w:rsid w:val="00392BC5"/>
    <w:rsid w:val="003A0BE4"/>
    <w:rsid w:val="003A191C"/>
    <w:rsid w:val="003A4C8D"/>
    <w:rsid w:val="003A50D3"/>
    <w:rsid w:val="003A5434"/>
    <w:rsid w:val="003A595D"/>
    <w:rsid w:val="003A7506"/>
    <w:rsid w:val="003B0AD9"/>
    <w:rsid w:val="003B370F"/>
    <w:rsid w:val="003C7162"/>
    <w:rsid w:val="003C79F0"/>
    <w:rsid w:val="003D3261"/>
    <w:rsid w:val="003D71DD"/>
    <w:rsid w:val="003E1921"/>
    <w:rsid w:val="003E268B"/>
    <w:rsid w:val="003E4F3E"/>
    <w:rsid w:val="003F397A"/>
    <w:rsid w:val="004147AF"/>
    <w:rsid w:val="00416E23"/>
    <w:rsid w:val="004205B6"/>
    <w:rsid w:val="00421714"/>
    <w:rsid w:val="00434004"/>
    <w:rsid w:val="0044054C"/>
    <w:rsid w:val="00440619"/>
    <w:rsid w:val="00440AE1"/>
    <w:rsid w:val="00443A84"/>
    <w:rsid w:val="00447E2F"/>
    <w:rsid w:val="00450C0C"/>
    <w:rsid w:val="0045514D"/>
    <w:rsid w:val="00456B0A"/>
    <w:rsid w:val="004645FD"/>
    <w:rsid w:val="004731BC"/>
    <w:rsid w:val="00475DD5"/>
    <w:rsid w:val="004767D5"/>
    <w:rsid w:val="00476ABB"/>
    <w:rsid w:val="004803FA"/>
    <w:rsid w:val="004810C9"/>
    <w:rsid w:val="00481192"/>
    <w:rsid w:val="00483AA8"/>
    <w:rsid w:val="004875F2"/>
    <w:rsid w:val="00490960"/>
    <w:rsid w:val="00491988"/>
    <w:rsid w:val="004925A1"/>
    <w:rsid w:val="00496D5C"/>
    <w:rsid w:val="004A1172"/>
    <w:rsid w:val="004A2695"/>
    <w:rsid w:val="004A2A71"/>
    <w:rsid w:val="004A3B9B"/>
    <w:rsid w:val="004A5F31"/>
    <w:rsid w:val="004B0FFC"/>
    <w:rsid w:val="004B2F6D"/>
    <w:rsid w:val="004B3484"/>
    <w:rsid w:val="004C5F1D"/>
    <w:rsid w:val="004D5D53"/>
    <w:rsid w:val="004F4B3E"/>
    <w:rsid w:val="005020A4"/>
    <w:rsid w:val="00502399"/>
    <w:rsid w:val="0050253B"/>
    <w:rsid w:val="00503CF5"/>
    <w:rsid w:val="005066FB"/>
    <w:rsid w:val="00507A7E"/>
    <w:rsid w:val="0052149E"/>
    <w:rsid w:val="005214BF"/>
    <w:rsid w:val="00523A94"/>
    <w:rsid w:val="00530D5F"/>
    <w:rsid w:val="00531489"/>
    <w:rsid w:val="00531944"/>
    <w:rsid w:val="005340F8"/>
    <w:rsid w:val="0054174A"/>
    <w:rsid w:val="00555D32"/>
    <w:rsid w:val="00556EC0"/>
    <w:rsid w:val="005632C3"/>
    <w:rsid w:val="005641EE"/>
    <w:rsid w:val="0056582A"/>
    <w:rsid w:val="00566EB2"/>
    <w:rsid w:val="00570023"/>
    <w:rsid w:val="00570E1D"/>
    <w:rsid w:val="00577732"/>
    <w:rsid w:val="00584EC1"/>
    <w:rsid w:val="005906B8"/>
    <w:rsid w:val="005911BA"/>
    <w:rsid w:val="00591DAB"/>
    <w:rsid w:val="005944DF"/>
    <w:rsid w:val="0059610C"/>
    <w:rsid w:val="00597336"/>
    <w:rsid w:val="00597EEF"/>
    <w:rsid w:val="005A53DA"/>
    <w:rsid w:val="005A6F81"/>
    <w:rsid w:val="005A7254"/>
    <w:rsid w:val="005B004A"/>
    <w:rsid w:val="005B2F76"/>
    <w:rsid w:val="005B34DF"/>
    <w:rsid w:val="005B3768"/>
    <w:rsid w:val="005C1688"/>
    <w:rsid w:val="005C35B5"/>
    <w:rsid w:val="005C4F59"/>
    <w:rsid w:val="005C7624"/>
    <w:rsid w:val="005D08A5"/>
    <w:rsid w:val="005D2CC7"/>
    <w:rsid w:val="005D2D7F"/>
    <w:rsid w:val="005D5479"/>
    <w:rsid w:val="005D76C9"/>
    <w:rsid w:val="005E1500"/>
    <w:rsid w:val="005E5BC2"/>
    <w:rsid w:val="005E7420"/>
    <w:rsid w:val="005F146D"/>
    <w:rsid w:val="005F2405"/>
    <w:rsid w:val="005F315F"/>
    <w:rsid w:val="005F4352"/>
    <w:rsid w:val="005F49FB"/>
    <w:rsid w:val="005F4AE4"/>
    <w:rsid w:val="005F5567"/>
    <w:rsid w:val="005F601F"/>
    <w:rsid w:val="0060000C"/>
    <w:rsid w:val="0060058B"/>
    <w:rsid w:val="006026B8"/>
    <w:rsid w:val="00603ACA"/>
    <w:rsid w:val="00605698"/>
    <w:rsid w:val="00605C73"/>
    <w:rsid w:val="0060765B"/>
    <w:rsid w:val="006222A7"/>
    <w:rsid w:val="00622755"/>
    <w:rsid w:val="00623DCC"/>
    <w:rsid w:val="00624D9E"/>
    <w:rsid w:val="006255E6"/>
    <w:rsid w:val="0062594D"/>
    <w:rsid w:val="00626DC2"/>
    <w:rsid w:val="006334A8"/>
    <w:rsid w:val="00642336"/>
    <w:rsid w:val="00646AA7"/>
    <w:rsid w:val="00646CCE"/>
    <w:rsid w:val="00647BBF"/>
    <w:rsid w:val="00647C41"/>
    <w:rsid w:val="00651B71"/>
    <w:rsid w:val="006524DE"/>
    <w:rsid w:val="006530AB"/>
    <w:rsid w:val="00655C7E"/>
    <w:rsid w:val="006564E6"/>
    <w:rsid w:val="00661B17"/>
    <w:rsid w:val="00662BFE"/>
    <w:rsid w:val="00663B36"/>
    <w:rsid w:val="006662D0"/>
    <w:rsid w:val="00667DEC"/>
    <w:rsid w:val="00671F37"/>
    <w:rsid w:val="00672066"/>
    <w:rsid w:val="006769E0"/>
    <w:rsid w:val="006804D8"/>
    <w:rsid w:val="006836FA"/>
    <w:rsid w:val="006840E3"/>
    <w:rsid w:val="00685605"/>
    <w:rsid w:val="00690CA7"/>
    <w:rsid w:val="00690E1C"/>
    <w:rsid w:val="006933CE"/>
    <w:rsid w:val="00693813"/>
    <w:rsid w:val="006956A8"/>
    <w:rsid w:val="00695925"/>
    <w:rsid w:val="006966BA"/>
    <w:rsid w:val="00697E1C"/>
    <w:rsid w:val="006A228B"/>
    <w:rsid w:val="006A337B"/>
    <w:rsid w:val="006A4ECF"/>
    <w:rsid w:val="006B206E"/>
    <w:rsid w:val="006B40ED"/>
    <w:rsid w:val="006B512F"/>
    <w:rsid w:val="006C1C6C"/>
    <w:rsid w:val="006C3FB9"/>
    <w:rsid w:val="006C4AAB"/>
    <w:rsid w:val="006D1584"/>
    <w:rsid w:val="006D42F8"/>
    <w:rsid w:val="006D5710"/>
    <w:rsid w:val="006D6B2D"/>
    <w:rsid w:val="006E1532"/>
    <w:rsid w:val="006F06FA"/>
    <w:rsid w:val="006F082A"/>
    <w:rsid w:val="006F0B9B"/>
    <w:rsid w:val="006F17C1"/>
    <w:rsid w:val="006F1B53"/>
    <w:rsid w:val="006F48D6"/>
    <w:rsid w:val="006F4D74"/>
    <w:rsid w:val="006F7FFB"/>
    <w:rsid w:val="00701884"/>
    <w:rsid w:val="00702EF5"/>
    <w:rsid w:val="00703DF4"/>
    <w:rsid w:val="0071554D"/>
    <w:rsid w:val="00732844"/>
    <w:rsid w:val="00735308"/>
    <w:rsid w:val="00735A09"/>
    <w:rsid w:val="007363C7"/>
    <w:rsid w:val="00742598"/>
    <w:rsid w:val="00742D08"/>
    <w:rsid w:val="00743586"/>
    <w:rsid w:val="00745181"/>
    <w:rsid w:val="00752F49"/>
    <w:rsid w:val="007579BC"/>
    <w:rsid w:val="00757F25"/>
    <w:rsid w:val="007657AB"/>
    <w:rsid w:val="00766EE3"/>
    <w:rsid w:val="00773D66"/>
    <w:rsid w:val="00781478"/>
    <w:rsid w:val="00786723"/>
    <w:rsid w:val="007954E9"/>
    <w:rsid w:val="00797748"/>
    <w:rsid w:val="007A31AB"/>
    <w:rsid w:val="007A3BCE"/>
    <w:rsid w:val="007B57EE"/>
    <w:rsid w:val="007B7F02"/>
    <w:rsid w:val="007C710C"/>
    <w:rsid w:val="007D0851"/>
    <w:rsid w:val="007D5CF1"/>
    <w:rsid w:val="007E0C11"/>
    <w:rsid w:val="007E19DC"/>
    <w:rsid w:val="007E3C2C"/>
    <w:rsid w:val="007E42D1"/>
    <w:rsid w:val="007E787F"/>
    <w:rsid w:val="007F36F1"/>
    <w:rsid w:val="00815B06"/>
    <w:rsid w:val="0081625C"/>
    <w:rsid w:val="008202A9"/>
    <w:rsid w:val="008224B8"/>
    <w:rsid w:val="008226E0"/>
    <w:rsid w:val="00823F39"/>
    <w:rsid w:val="00830167"/>
    <w:rsid w:val="008307FD"/>
    <w:rsid w:val="00830E45"/>
    <w:rsid w:val="00831D4E"/>
    <w:rsid w:val="00832218"/>
    <w:rsid w:val="00833EFF"/>
    <w:rsid w:val="00834924"/>
    <w:rsid w:val="008351D7"/>
    <w:rsid w:val="0083746D"/>
    <w:rsid w:val="00842007"/>
    <w:rsid w:val="00843F82"/>
    <w:rsid w:val="0084437C"/>
    <w:rsid w:val="00855BAA"/>
    <w:rsid w:val="0086401B"/>
    <w:rsid w:val="0086464C"/>
    <w:rsid w:val="008648DE"/>
    <w:rsid w:val="00866E2C"/>
    <w:rsid w:val="00871C43"/>
    <w:rsid w:val="00872290"/>
    <w:rsid w:val="008810BF"/>
    <w:rsid w:val="008878EF"/>
    <w:rsid w:val="008A2DC9"/>
    <w:rsid w:val="008A6EA4"/>
    <w:rsid w:val="008B6934"/>
    <w:rsid w:val="008C4C9D"/>
    <w:rsid w:val="008C7CA7"/>
    <w:rsid w:val="008C7EA1"/>
    <w:rsid w:val="008D408D"/>
    <w:rsid w:val="008D4FC1"/>
    <w:rsid w:val="008D7470"/>
    <w:rsid w:val="008E6027"/>
    <w:rsid w:val="008F1C21"/>
    <w:rsid w:val="008F318A"/>
    <w:rsid w:val="008F387A"/>
    <w:rsid w:val="008F4B49"/>
    <w:rsid w:val="008F6761"/>
    <w:rsid w:val="0090335C"/>
    <w:rsid w:val="00912E7A"/>
    <w:rsid w:val="00915408"/>
    <w:rsid w:val="0092548B"/>
    <w:rsid w:val="00926F42"/>
    <w:rsid w:val="00930E6E"/>
    <w:rsid w:val="0093128B"/>
    <w:rsid w:val="009319F7"/>
    <w:rsid w:val="00933D3D"/>
    <w:rsid w:val="0093747A"/>
    <w:rsid w:val="00937B46"/>
    <w:rsid w:val="00937D1E"/>
    <w:rsid w:val="009425DD"/>
    <w:rsid w:val="0094262B"/>
    <w:rsid w:val="00944411"/>
    <w:rsid w:val="00944C3F"/>
    <w:rsid w:val="009456B9"/>
    <w:rsid w:val="0095198F"/>
    <w:rsid w:val="00951D02"/>
    <w:rsid w:val="00952046"/>
    <w:rsid w:val="0095346D"/>
    <w:rsid w:val="009639A6"/>
    <w:rsid w:val="009648D2"/>
    <w:rsid w:val="009651B1"/>
    <w:rsid w:val="0096641B"/>
    <w:rsid w:val="00966475"/>
    <w:rsid w:val="00966848"/>
    <w:rsid w:val="00971CFD"/>
    <w:rsid w:val="0097282F"/>
    <w:rsid w:val="00977BCA"/>
    <w:rsid w:val="00977C0C"/>
    <w:rsid w:val="009822F2"/>
    <w:rsid w:val="00984246"/>
    <w:rsid w:val="00990331"/>
    <w:rsid w:val="00990868"/>
    <w:rsid w:val="00990B48"/>
    <w:rsid w:val="00991C17"/>
    <w:rsid w:val="009A483B"/>
    <w:rsid w:val="009A533A"/>
    <w:rsid w:val="009A5567"/>
    <w:rsid w:val="009A5F71"/>
    <w:rsid w:val="009B0338"/>
    <w:rsid w:val="009B0BCC"/>
    <w:rsid w:val="009B1F06"/>
    <w:rsid w:val="009B33EC"/>
    <w:rsid w:val="009B56B7"/>
    <w:rsid w:val="009B71D2"/>
    <w:rsid w:val="009B7A98"/>
    <w:rsid w:val="009C3D2A"/>
    <w:rsid w:val="009C5736"/>
    <w:rsid w:val="009C7C2D"/>
    <w:rsid w:val="009D060E"/>
    <w:rsid w:val="009D0EBB"/>
    <w:rsid w:val="009D48D6"/>
    <w:rsid w:val="009D7F6B"/>
    <w:rsid w:val="009E0A28"/>
    <w:rsid w:val="009E2268"/>
    <w:rsid w:val="009E395A"/>
    <w:rsid w:val="009F06BC"/>
    <w:rsid w:val="009F0A5D"/>
    <w:rsid w:val="009F41C7"/>
    <w:rsid w:val="009F5D56"/>
    <w:rsid w:val="00A01F65"/>
    <w:rsid w:val="00A0247B"/>
    <w:rsid w:val="00A03016"/>
    <w:rsid w:val="00A0357D"/>
    <w:rsid w:val="00A03940"/>
    <w:rsid w:val="00A05899"/>
    <w:rsid w:val="00A10E8D"/>
    <w:rsid w:val="00A14606"/>
    <w:rsid w:val="00A149C8"/>
    <w:rsid w:val="00A25EA4"/>
    <w:rsid w:val="00A31D75"/>
    <w:rsid w:val="00A31E51"/>
    <w:rsid w:val="00A34C60"/>
    <w:rsid w:val="00A352A0"/>
    <w:rsid w:val="00A405C9"/>
    <w:rsid w:val="00A46B93"/>
    <w:rsid w:val="00A51E8A"/>
    <w:rsid w:val="00A520A5"/>
    <w:rsid w:val="00A557EA"/>
    <w:rsid w:val="00A56BAA"/>
    <w:rsid w:val="00A63349"/>
    <w:rsid w:val="00A666BA"/>
    <w:rsid w:val="00A70842"/>
    <w:rsid w:val="00A7330A"/>
    <w:rsid w:val="00A74B45"/>
    <w:rsid w:val="00A75CB7"/>
    <w:rsid w:val="00A77F65"/>
    <w:rsid w:val="00A816F9"/>
    <w:rsid w:val="00A85AA6"/>
    <w:rsid w:val="00A87C45"/>
    <w:rsid w:val="00A87FC8"/>
    <w:rsid w:val="00A93CB1"/>
    <w:rsid w:val="00A9625C"/>
    <w:rsid w:val="00A976BE"/>
    <w:rsid w:val="00A97B34"/>
    <w:rsid w:val="00AA1147"/>
    <w:rsid w:val="00AA1245"/>
    <w:rsid w:val="00AA4275"/>
    <w:rsid w:val="00AA79A4"/>
    <w:rsid w:val="00AB0559"/>
    <w:rsid w:val="00AB0E28"/>
    <w:rsid w:val="00AB1DBF"/>
    <w:rsid w:val="00AB2C00"/>
    <w:rsid w:val="00AB5C34"/>
    <w:rsid w:val="00AC0D36"/>
    <w:rsid w:val="00AC682F"/>
    <w:rsid w:val="00AD1AE9"/>
    <w:rsid w:val="00AD3C22"/>
    <w:rsid w:val="00AE2F97"/>
    <w:rsid w:val="00AE4577"/>
    <w:rsid w:val="00AE5B0D"/>
    <w:rsid w:val="00AE5BC5"/>
    <w:rsid w:val="00AE67DB"/>
    <w:rsid w:val="00AF06A9"/>
    <w:rsid w:val="00AF174F"/>
    <w:rsid w:val="00AF1879"/>
    <w:rsid w:val="00AF3B20"/>
    <w:rsid w:val="00B018AA"/>
    <w:rsid w:val="00B02596"/>
    <w:rsid w:val="00B04937"/>
    <w:rsid w:val="00B06F8A"/>
    <w:rsid w:val="00B1247D"/>
    <w:rsid w:val="00B12B3B"/>
    <w:rsid w:val="00B14A21"/>
    <w:rsid w:val="00B1578C"/>
    <w:rsid w:val="00B252C6"/>
    <w:rsid w:val="00B308D5"/>
    <w:rsid w:val="00B330C8"/>
    <w:rsid w:val="00B363CF"/>
    <w:rsid w:val="00B36638"/>
    <w:rsid w:val="00B36A07"/>
    <w:rsid w:val="00B47539"/>
    <w:rsid w:val="00B47ABF"/>
    <w:rsid w:val="00B508E7"/>
    <w:rsid w:val="00B553AC"/>
    <w:rsid w:val="00B5695E"/>
    <w:rsid w:val="00B604B4"/>
    <w:rsid w:val="00B6348D"/>
    <w:rsid w:val="00B64B7B"/>
    <w:rsid w:val="00B706E9"/>
    <w:rsid w:val="00B7159E"/>
    <w:rsid w:val="00B80CE2"/>
    <w:rsid w:val="00B82E46"/>
    <w:rsid w:val="00B86003"/>
    <w:rsid w:val="00B91942"/>
    <w:rsid w:val="00B9471C"/>
    <w:rsid w:val="00B94BAB"/>
    <w:rsid w:val="00B96744"/>
    <w:rsid w:val="00B975E8"/>
    <w:rsid w:val="00BA00CD"/>
    <w:rsid w:val="00BA3E66"/>
    <w:rsid w:val="00BB1876"/>
    <w:rsid w:val="00BB43CB"/>
    <w:rsid w:val="00BB6947"/>
    <w:rsid w:val="00BB7134"/>
    <w:rsid w:val="00BC0DA7"/>
    <w:rsid w:val="00BC2B5D"/>
    <w:rsid w:val="00BD7DAB"/>
    <w:rsid w:val="00BE00CF"/>
    <w:rsid w:val="00BE0BE7"/>
    <w:rsid w:val="00BE2446"/>
    <w:rsid w:val="00BE3E27"/>
    <w:rsid w:val="00BE44BA"/>
    <w:rsid w:val="00BE6C0A"/>
    <w:rsid w:val="00BF2578"/>
    <w:rsid w:val="00BF3340"/>
    <w:rsid w:val="00BF50D2"/>
    <w:rsid w:val="00C04631"/>
    <w:rsid w:val="00C15F43"/>
    <w:rsid w:val="00C21AB1"/>
    <w:rsid w:val="00C23487"/>
    <w:rsid w:val="00C24726"/>
    <w:rsid w:val="00C3168A"/>
    <w:rsid w:val="00C33546"/>
    <w:rsid w:val="00C43449"/>
    <w:rsid w:val="00C44548"/>
    <w:rsid w:val="00C44E11"/>
    <w:rsid w:val="00C47B94"/>
    <w:rsid w:val="00C50EBC"/>
    <w:rsid w:val="00C51E97"/>
    <w:rsid w:val="00C62B71"/>
    <w:rsid w:val="00C750E5"/>
    <w:rsid w:val="00C83862"/>
    <w:rsid w:val="00C85BFC"/>
    <w:rsid w:val="00C87393"/>
    <w:rsid w:val="00CA1D60"/>
    <w:rsid w:val="00CA2524"/>
    <w:rsid w:val="00CA3B53"/>
    <w:rsid w:val="00CA539B"/>
    <w:rsid w:val="00CA69DC"/>
    <w:rsid w:val="00CA7BF5"/>
    <w:rsid w:val="00CB0250"/>
    <w:rsid w:val="00CB2605"/>
    <w:rsid w:val="00CB53C2"/>
    <w:rsid w:val="00CC08BA"/>
    <w:rsid w:val="00CC4097"/>
    <w:rsid w:val="00CC47AD"/>
    <w:rsid w:val="00CC49FF"/>
    <w:rsid w:val="00CD2B59"/>
    <w:rsid w:val="00CD71F7"/>
    <w:rsid w:val="00CE1A86"/>
    <w:rsid w:val="00CE1BC6"/>
    <w:rsid w:val="00CE6654"/>
    <w:rsid w:val="00CE68DA"/>
    <w:rsid w:val="00CF13BC"/>
    <w:rsid w:val="00CF5BB6"/>
    <w:rsid w:val="00CF6427"/>
    <w:rsid w:val="00CF6B55"/>
    <w:rsid w:val="00D002D1"/>
    <w:rsid w:val="00D04B1B"/>
    <w:rsid w:val="00D1273E"/>
    <w:rsid w:val="00D21A4F"/>
    <w:rsid w:val="00D31C1F"/>
    <w:rsid w:val="00D34AD8"/>
    <w:rsid w:val="00D34D77"/>
    <w:rsid w:val="00D36070"/>
    <w:rsid w:val="00D43B11"/>
    <w:rsid w:val="00D514B2"/>
    <w:rsid w:val="00D6020C"/>
    <w:rsid w:val="00D633C6"/>
    <w:rsid w:val="00D70329"/>
    <w:rsid w:val="00D7208B"/>
    <w:rsid w:val="00D726A5"/>
    <w:rsid w:val="00D758E7"/>
    <w:rsid w:val="00D84F65"/>
    <w:rsid w:val="00D91016"/>
    <w:rsid w:val="00D92070"/>
    <w:rsid w:val="00D95A1A"/>
    <w:rsid w:val="00D96990"/>
    <w:rsid w:val="00D96D77"/>
    <w:rsid w:val="00D97AE9"/>
    <w:rsid w:val="00DA1F92"/>
    <w:rsid w:val="00DA403A"/>
    <w:rsid w:val="00DA567B"/>
    <w:rsid w:val="00DA68FC"/>
    <w:rsid w:val="00DB02B2"/>
    <w:rsid w:val="00DB15C1"/>
    <w:rsid w:val="00DB3EAB"/>
    <w:rsid w:val="00DB45EF"/>
    <w:rsid w:val="00DB470E"/>
    <w:rsid w:val="00DB4EA2"/>
    <w:rsid w:val="00DC13FA"/>
    <w:rsid w:val="00DC2862"/>
    <w:rsid w:val="00DC4F04"/>
    <w:rsid w:val="00DC7BE1"/>
    <w:rsid w:val="00DD31E4"/>
    <w:rsid w:val="00DD42DC"/>
    <w:rsid w:val="00DD639D"/>
    <w:rsid w:val="00DD6C80"/>
    <w:rsid w:val="00DE1157"/>
    <w:rsid w:val="00DE4D38"/>
    <w:rsid w:val="00DF1EF7"/>
    <w:rsid w:val="00DF61D6"/>
    <w:rsid w:val="00DF6829"/>
    <w:rsid w:val="00DF7439"/>
    <w:rsid w:val="00E048AA"/>
    <w:rsid w:val="00E0563A"/>
    <w:rsid w:val="00E06C5D"/>
    <w:rsid w:val="00E116CE"/>
    <w:rsid w:val="00E1496B"/>
    <w:rsid w:val="00E164FC"/>
    <w:rsid w:val="00E21513"/>
    <w:rsid w:val="00E24EA0"/>
    <w:rsid w:val="00E32D6F"/>
    <w:rsid w:val="00E35E55"/>
    <w:rsid w:val="00E4528E"/>
    <w:rsid w:val="00E474C4"/>
    <w:rsid w:val="00E52B6D"/>
    <w:rsid w:val="00E568A3"/>
    <w:rsid w:val="00E569DB"/>
    <w:rsid w:val="00E65929"/>
    <w:rsid w:val="00E67B55"/>
    <w:rsid w:val="00E67D03"/>
    <w:rsid w:val="00E67EE5"/>
    <w:rsid w:val="00E71BE7"/>
    <w:rsid w:val="00E81B57"/>
    <w:rsid w:val="00E840FB"/>
    <w:rsid w:val="00E86273"/>
    <w:rsid w:val="00E87386"/>
    <w:rsid w:val="00E87833"/>
    <w:rsid w:val="00E9008D"/>
    <w:rsid w:val="00E95305"/>
    <w:rsid w:val="00E95A40"/>
    <w:rsid w:val="00EA3F49"/>
    <w:rsid w:val="00EA4A6F"/>
    <w:rsid w:val="00EA50FC"/>
    <w:rsid w:val="00EB00AE"/>
    <w:rsid w:val="00EB04AB"/>
    <w:rsid w:val="00EB385F"/>
    <w:rsid w:val="00EB39C4"/>
    <w:rsid w:val="00EB3C34"/>
    <w:rsid w:val="00EC2A77"/>
    <w:rsid w:val="00EC62AD"/>
    <w:rsid w:val="00EC7A08"/>
    <w:rsid w:val="00ED0002"/>
    <w:rsid w:val="00ED20B5"/>
    <w:rsid w:val="00ED40B3"/>
    <w:rsid w:val="00ED773F"/>
    <w:rsid w:val="00ED7816"/>
    <w:rsid w:val="00EE40B4"/>
    <w:rsid w:val="00EF0B78"/>
    <w:rsid w:val="00EF3AA8"/>
    <w:rsid w:val="00EF4B06"/>
    <w:rsid w:val="00EF57AE"/>
    <w:rsid w:val="00EF62AD"/>
    <w:rsid w:val="00F0200B"/>
    <w:rsid w:val="00F029B6"/>
    <w:rsid w:val="00F03718"/>
    <w:rsid w:val="00F0714E"/>
    <w:rsid w:val="00F07998"/>
    <w:rsid w:val="00F07B59"/>
    <w:rsid w:val="00F10BA6"/>
    <w:rsid w:val="00F11BE3"/>
    <w:rsid w:val="00F125C1"/>
    <w:rsid w:val="00F17560"/>
    <w:rsid w:val="00F179A6"/>
    <w:rsid w:val="00F21B9A"/>
    <w:rsid w:val="00F23399"/>
    <w:rsid w:val="00F24B91"/>
    <w:rsid w:val="00F300BD"/>
    <w:rsid w:val="00F31222"/>
    <w:rsid w:val="00F340D2"/>
    <w:rsid w:val="00F34166"/>
    <w:rsid w:val="00F36A95"/>
    <w:rsid w:val="00F36CB5"/>
    <w:rsid w:val="00F414FC"/>
    <w:rsid w:val="00F42C2B"/>
    <w:rsid w:val="00F47C52"/>
    <w:rsid w:val="00F533C8"/>
    <w:rsid w:val="00F5609B"/>
    <w:rsid w:val="00F628D7"/>
    <w:rsid w:val="00F63F8F"/>
    <w:rsid w:val="00F65134"/>
    <w:rsid w:val="00F658ED"/>
    <w:rsid w:val="00F72129"/>
    <w:rsid w:val="00F73E31"/>
    <w:rsid w:val="00F75C05"/>
    <w:rsid w:val="00F77488"/>
    <w:rsid w:val="00F845BD"/>
    <w:rsid w:val="00F914DC"/>
    <w:rsid w:val="00F91DFF"/>
    <w:rsid w:val="00F92634"/>
    <w:rsid w:val="00F93673"/>
    <w:rsid w:val="00F93680"/>
    <w:rsid w:val="00F96BD0"/>
    <w:rsid w:val="00FA19A4"/>
    <w:rsid w:val="00FA2958"/>
    <w:rsid w:val="00FA31EF"/>
    <w:rsid w:val="00FA692D"/>
    <w:rsid w:val="00FB44B3"/>
    <w:rsid w:val="00FB7A15"/>
    <w:rsid w:val="00FC1AE2"/>
    <w:rsid w:val="00FC5F32"/>
    <w:rsid w:val="00FC6FC3"/>
    <w:rsid w:val="00FD4E73"/>
    <w:rsid w:val="00FD5A5E"/>
    <w:rsid w:val="00FE1646"/>
    <w:rsid w:val="00FF3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AU"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iPriority="0" w:unhideWhenUsed="0"/>
    <w:lsdException w:name="annotation text" w:uiPriority="0"/>
    <w:lsdException w:name="header" w:uiPriority="0"/>
    <w:lsdException w:name="caption" w:locked="1" w:uiPriority="0" w:qFormat="1"/>
    <w:lsdException w:name="table of figures" w:uiPriority="0" w:qFormat="1"/>
    <w:lsdException w:name="footnote reference" w:locked="1" w:semiHidden="0" w:uiPriority="0" w:unhideWhenUsed="0"/>
    <w:lsdException w:name="annotation reference" w:uiPriority="0"/>
    <w:lsdException w:name="List Bullet 2"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Plain Text"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67B55"/>
    <w:pPr>
      <w:spacing w:line="276" w:lineRule="auto"/>
    </w:pPr>
  </w:style>
  <w:style w:type="paragraph" w:styleId="Heading1">
    <w:name w:val="heading 1"/>
    <w:basedOn w:val="Normal"/>
    <w:next w:val="Normal"/>
    <w:link w:val="Heading1Char"/>
    <w:qFormat/>
    <w:rsid w:val="00421714"/>
    <w:pPr>
      <w:keepNext/>
      <w:keepLines/>
      <w:spacing w:before="480"/>
      <w:outlineLvl w:val="0"/>
    </w:pPr>
    <w:rPr>
      <w:rFonts w:ascii="Arial" w:eastAsia="Times New Roman" w:hAnsi="Arial"/>
      <w:b/>
      <w:bCs/>
      <w:sz w:val="32"/>
      <w:szCs w:val="28"/>
    </w:rPr>
  </w:style>
  <w:style w:type="paragraph" w:styleId="Heading2">
    <w:name w:val="heading 2"/>
    <w:basedOn w:val="Normal"/>
    <w:next w:val="Normal"/>
    <w:link w:val="Heading2Char"/>
    <w:qFormat/>
    <w:rsid w:val="009A483B"/>
    <w:pPr>
      <w:keepNext/>
      <w:keepLines/>
      <w:spacing w:before="240" w:after="240"/>
      <w:outlineLvl w:val="1"/>
    </w:pPr>
    <w:rPr>
      <w:rFonts w:ascii="Arial" w:eastAsia="Times New Roman" w:hAnsi="Arial"/>
      <w:b/>
      <w:bCs/>
      <w:color w:val="000000"/>
      <w:sz w:val="28"/>
      <w:szCs w:val="26"/>
    </w:rPr>
  </w:style>
  <w:style w:type="paragraph" w:styleId="Heading3">
    <w:name w:val="heading 3"/>
    <w:basedOn w:val="Normal"/>
    <w:next w:val="Normal"/>
    <w:link w:val="Heading3Char"/>
    <w:qFormat/>
    <w:rsid w:val="002C3F70"/>
    <w:pPr>
      <w:keepNext/>
      <w:keepLines/>
      <w:spacing w:before="240" w:after="120"/>
      <w:outlineLvl w:val="2"/>
    </w:pPr>
    <w:rPr>
      <w:rFonts w:asciiTheme="majorHAnsi" w:eastAsia="Times New Roman" w:hAnsiTheme="majorHAnsi"/>
      <w:b/>
      <w:bCs/>
      <w:i/>
      <w:sz w:val="26"/>
    </w:rPr>
  </w:style>
  <w:style w:type="paragraph" w:styleId="Heading4">
    <w:name w:val="heading 4"/>
    <w:basedOn w:val="Normal"/>
    <w:next w:val="Normal"/>
    <w:link w:val="Heading4Char"/>
    <w:unhideWhenUsed/>
    <w:qFormat/>
    <w:locked/>
    <w:rsid w:val="008A6EA4"/>
    <w:pPr>
      <w:keepNext/>
      <w:keepLines/>
      <w:outlineLvl w:val="3"/>
    </w:pPr>
    <w:rPr>
      <w:rFonts w:asciiTheme="majorHAnsi" w:eastAsiaTheme="majorEastAsia" w:hAnsiTheme="majorHAnsi" w:cstheme="majorBidi"/>
      <w:b/>
      <w:bCs/>
      <w:iCs/>
      <w:u w:val="single"/>
    </w:rPr>
  </w:style>
  <w:style w:type="paragraph" w:styleId="Heading5">
    <w:name w:val="heading 5"/>
    <w:basedOn w:val="Normal"/>
    <w:next w:val="Normal"/>
    <w:link w:val="Heading5Char"/>
    <w:unhideWhenUsed/>
    <w:qFormat/>
    <w:locked/>
    <w:rsid w:val="00283935"/>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nhideWhenUsed/>
    <w:qFormat/>
    <w:locked/>
    <w:rsid w:val="00CC47AD"/>
    <w:pPr>
      <w:keepNext/>
      <w:keepLines/>
      <w:spacing w:before="200"/>
      <w:outlineLvl w:val="5"/>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21714"/>
    <w:rPr>
      <w:rFonts w:ascii="Arial" w:hAnsi="Arial" w:cs="Times New Roman"/>
      <w:b/>
      <w:bCs/>
      <w:sz w:val="28"/>
      <w:szCs w:val="28"/>
    </w:rPr>
  </w:style>
  <w:style w:type="character" w:customStyle="1" w:styleId="Heading2Char">
    <w:name w:val="Heading 2 Char"/>
    <w:basedOn w:val="DefaultParagraphFont"/>
    <w:link w:val="Heading2"/>
    <w:locked/>
    <w:rsid w:val="009A483B"/>
    <w:rPr>
      <w:rFonts w:ascii="Arial" w:hAnsi="Arial" w:cs="Times New Roman"/>
      <w:b/>
      <w:bCs/>
      <w:color w:val="000000"/>
      <w:sz w:val="26"/>
      <w:szCs w:val="26"/>
    </w:rPr>
  </w:style>
  <w:style w:type="character" w:customStyle="1" w:styleId="Heading3Char">
    <w:name w:val="Heading 3 Char"/>
    <w:basedOn w:val="DefaultParagraphFont"/>
    <w:link w:val="Heading3"/>
    <w:locked/>
    <w:rsid w:val="002C3F70"/>
    <w:rPr>
      <w:rFonts w:asciiTheme="majorHAnsi" w:eastAsia="Times New Roman" w:hAnsiTheme="majorHAnsi"/>
      <w:b/>
      <w:bCs/>
      <w:i/>
      <w:sz w:val="26"/>
    </w:rPr>
  </w:style>
  <w:style w:type="paragraph" w:customStyle="1" w:styleId="MLWGHeader">
    <w:name w:val="MLWG Header"/>
    <w:basedOn w:val="Normal"/>
    <w:uiPriority w:val="99"/>
    <w:rsid w:val="006255E6"/>
    <w:pPr>
      <w:pBdr>
        <w:bottom w:val="single" w:sz="8" w:space="1" w:color="FFFFFF"/>
      </w:pBdr>
      <w:shd w:val="clear" w:color="auto" w:fill="17365D"/>
      <w:spacing w:line="240" w:lineRule="auto"/>
      <w:jc w:val="right"/>
    </w:pPr>
    <w:rPr>
      <w:rFonts w:eastAsia="Times New Roman"/>
      <w:b/>
      <w:bCs/>
      <w:color w:val="FFFFFF"/>
      <w:szCs w:val="20"/>
      <w:lang w:eastAsia="en-AU"/>
    </w:rPr>
  </w:style>
  <w:style w:type="paragraph" w:customStyle="1" w:styleId="TopLine">
    <w:name w:val="Top Line"/>
    <w:basedOn w:val="Normal"/>
    <w:uiPriority w:val="99"/>
    <w:rsid w:val="00BB43CB"/>
    <w:pPr>
      <w:pBdr>
        <w:bottom w:val="single" w:sz="4" w:space="1" w:color="auto"/>
      </w:pBdr>
      <w:spacing w:after="240"/>
    </w:pPr>
    <w:rPr>
      <w:b/>
    </w:rPr>
  </w:style>
  <w:style w:type="paragraph" w:customStyle="1" w:styleId="Numberedpara">
    <w:name w:val="Numbered para"/>
    <w:basedOn w:val="Normal"/>
    <w:uiPriority w:val="99"/>
    <w:rsid w:val="00BB43CB"/>
    <w:pPr>
      <w:ind w:left="567" w:hanging="567"/>
    </w:pPr>
  </w:style>
  <w:style w:type="paragraph" w:customStyle="1" w:styleId="Dots">
    <w:name w:val="Dots"/>
    <w:basedOn w:val="ListParagraph"/>
    <w:uiPriority w:val="99"/>
    <w:rsid w:val="00BB43CB"/>
    <w:pPr>
      <w:numPr>
        <w:numId w:val="1"/>
      </w:numPr>
    </w:pPr>
  </w:style>
  <w:style w:type="paragraph" w:styleId="ListParagraph">
    <w:name w:val="List Paragraph"/>
    <w:basedOn w:val="Normal"/>
    <w:link w:val="ListParagraphChar"/>
    <w:uiPriority w:val="34"/>
    <w:qFormat/>
    <w:rsid w:val="00BB43CB"/>
    <w:pPr>
      <w:ind w:left="720"/>
      <w:contextualSpacing/>
    </w:pPr>
  </w:style>
  <w:style w:type="paragraph" w:styleId="BalloonText">
    <w:name w:val="Balloon Text"/>
    <w:basedOn w:val="Normal"/>
    <w:link w:val="BalloonTextChar"/>
    <w:rsid w:val="006255E6"/>
    <w:pPr>
      <w:spacing w:line="240" w:lineRule="auto"/>
    </w:pPr>
    <w:rPr>
      <w:rFonts w:ascii="Tahoma" w:hAnsi="Tahoma" w:cs="Tahoma"/>
      <w:sz w:val="16"/>
      <w:szCs w:val="16"/>
    </w:rPr>
  </w:style>
  <w:style w:type="character" w:customStyle="1" w:styleId="BalloonTextChar">
    <w:name w:val="Balloon Text Char"/>
    <w:basedOn w:val="DefaultParagraphFont"/>
    <w:link w:val="BalloonText"/>
    <w:locked/>
    <w:rsid w:val="006255E6"/>
    <w:rPr>
      <w:rFonts w:ascii="Tahoma" w:hAnsi="Tahoma" w:cs="Tahoma"/>
      <w:sz w:val="16"/>
      <w:szCs w:val="16"/>
    </w:rPr>
  </w:style>
  <w:style w:type="paragraph" w:styleId="Header">
    <w:name w:val="header"/>
    <w:basedOn w:val="Normal"/>
    <w:link w:val="HeaderChar"/>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basedOn w:val="DefaultParagraphFont"/>
    <w:link w:val="Header"/>
    <w:locked/>
    <w:rsid w:val="009D48D6"/>
    <w:rPr>
      <w:rFonts w:ascii="Tahoma" w:hAnsi="Tahoma" w:cs="Tahoma"/>
      <w:sz w:val="16"/>
      <w:szCs w:val="16"/>
    </w:rPr>
  </w:style>
  <w:style w:type="paragraph" w:styleId="Footer">
    <w:name w:val="footer"/>
    <w:basedOn w:val="Normal"/>
    <w:link w:val="FooterChar"/>
    <w:uiPriority w:val="99"/>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basedOn w:val="DefaultParagraphFont"/>
    <w:link w:val="Footer"/>
    <w:uiPriority w:val="99"/>
    <w:locked/>
    <w:rsid w:val="009D48D6"/>
    <w:rPr>
      <w:rFonts w:ascii="Tahoma" w:hAnsi="Tahoma" w:cs="Tahoma"/>
      <w:sz w:val="16"/>
      <w:szCs w:val="16"/>
    </w:rPr>
  </w:style>
  <w:style w:type="paragraph" w:customStyle="1" w:styleId="Titlepage">
    <w:name w:val="Title page"/>
    <w:basedOn w:val="Normal"/>
    <w:link w:val="TitlepageChar"/>
    <w:uiPriority w:val="99"/>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pPr>
    <w:rPr>
      <w:rFonts w:ascii="Corbel" w:hAnsi="Corbel" w:cs="Corbel"/>
      <w:color w:val="000000"/>
    </w:rPr>
  </w:style>
  <w:style w:type="character" w:customStyle="1" w:styleId="TitlepageChar">
    <w:name w:val="Title page Char"/>
    <w:basedOn w:val="DefaultParagraphFont"/>
    <w:link w:val="Titlepage"/>
    <w:uiPriority w:val="99"/>
    <w:locked/>
    <w:rsid w:val="009A483B"/>
    <w:rPr>
      <w:rFonts w:ascii="Arial" w:hAnsi="Arial" w:cs="Arial"/>
      <w:b/>
      <w:color w:val="004270"/>
      <w:sz w:val="56"/>
      <w:szCs w:val="56"/>
    </w:rPr>
  </w:style>
  <w:style w:type="paragraph" w:customStyle="1" w:styleId="FromNP">
    <w:name w:val="From NP"/>
    <w:basedOn w:val="Default"/>
    <w:link w:val="FromNPChar"/>
    <w:uiPriority w:val="99"/>
    <w:rsid w:val="009D7F6B"/>
    <w:pPr>
      <w:spacing w:after="195"/>
    </w:pPr>
    <w:rPr>
      <w:sz w:val="23"/>
      <w:szCs w:val="23"/>
    </w:rPr>
  </w:style>
  <w:style w:type="paragraph" w:customStyle="1" w:styleId="TableColumnHeadingCentred">
    <w:name w:val="Table Column Heading Centred"/>
    <w:basedOn w:val="Normal"/>
    <w:uiPriority w:val="99"/>
    <w:rsid w:val="000B6578"/>
    <w:pPr>
      <w:spacing w:before="40" w:after="40" w:line="240" w:lineRule="auto"/>
      <w:jc w:val="center"/>
    </w:pPr>
    <w:rPr>
      <w:rFonts w:ascii="Consolas" w:eastAsia="Times New Roman" w:hAnsi="Consolas"/>
      <w:b/>
      <w:color w:val="3D4B67"/>
      <w:szCs w:val="20"/>
      <w:lang w:eastAsia="en-AU"/>
    </w:rPr>
  </w:style>
  <w:style w:type="character" w:customStyle="1" w:styleId="DefaultChar">
    <w:name w:val="Default Char"/>
    <w:basedOn w:val="DefaultParagraphFont"/>
    <w:link w:val="Default"/>
    <w:uiPriority w:val="99"/>
    <w:locked/>
    <w:rsid w:val="009D7F6B"/>
    <w:rPr>
      <w:rFonts w:ascii="Corbel" w:hAnsi="Corbel" w:cs="Corbel"/>
      <w:color w:val="000000"/>
      <w:sz w:val="24"/>
      <w:szCs w:val="24"/>
      <w:lang w:val="en-AU" w:eastAsia="en-US" w:bidi="ar-SA"/>
    </w:rPr>
  </w:style>
  <w:style w:type="character" w:customStyle="1" w:styleId="FromNPChar">
    <w:name w:val="From NP Char"/>
    <w:basedOn w:val="DefaultChar"/>
    <w:link w:val="FromNP"/>
    <w:uiPriority w:val="99"/>
    <w:locked/>
    <w:rsid w:val="009D7F6B"/>
    <w:rPr>
      <w:rFonts w:ascii="Corbel" w:hAnsi="Corbel" w:cs="Corbel"/>
      <w:color w:val="000000"/>
      <w:sz w:val="24"/>
      <w:szCs w:val="24"/>
      <w:lang w:val="en-AU" w:eastAsia="en-US" w:bidi="ar-SA"/>
    </w:rPr>
  </w:style>
  <w:style w:type="paragraph" w:customStyle="1" w:styleId="TableTextLeft">
    <w:name w:val="Table Text Left"/>
    <w:basedOn w:val="Normal"/>
    <w:uiPriority w:val="99"/>
    <w:rsid w:val="000B6578"/>
    <w:pPr>
      <w:spacing w:before="40" w:after="40" w:line="240" w:lineRule="auto"/>
      <w:jc w:val="both"/>
    </w:pPr>
    <w:rPr>
      <w:rFonts w:ascii="Corbel" w:eastAsia="Times New Roman" w:hAnsi="Corbel"/>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olor w:val="000000"/>
      <w:sz w:val="23"/>
      <w:szCs w:val="20"/>
      <w:lang w:eastAsia="en-AU"/>
    </w:rPr>
  </w:style>
  <w:style w:type="character" w:customStyle="1" w:styleId="NormalnumberedChar">
    <w:name w:val="Normal numbered Char"/>
    <w:basedOn w:val="DefaultParagraphFont"/>
    <w:link w:val="Normalnumbered"/>
    <w:uiPriority w:val="99"/>
    <w:locked/>
    <w:rsid w:val="000B6578"/>
    <w:rPr>
      <w:rFonts w:ascii="Corbel" w:eastAsia="Times New Roman" w:hAnsi="Corbel"/>
      <w:color w:val="000000"/>
      <w:sz w:val="23"/>
      <w:szCs w:val="20"/>
      <w:lang w:eastAsia="en-AU"/>
    </w:rPr>
  </w:style>
  <w:style w:type="table" w:styleId="TableGrid">
    <w:name w:val="Table Grid"/>
    <w:basedOn w:val="TableNormal"/>
    <w:rsid w:val="00AC68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B553AC"/>
    <w:pPr>
      <w:outlineLvl w:val="9"/>
    </w:pPr>
    <w:rPr>
      <w:lang w:val="en-US"/>
    </w:rPr>
  </w:style>
  <w:style w:type="paragraph" w:styleId="TOC2">
    <w:name w:val="toc 2"/>
    <w:basedOn w:val="Normal"/>
    <w:next w:val="Normal"/>
    <w:autoRedefine/>
    <w:uiPriority w:val="39"/>
    <w:rsid w:val="009B0BCC"/>
    <w:pPr>
      <w:tabs>
        <w:tab w:val="left" w:pos="990"/>
        <w:tab w:val="right" w:leader="dot" w:pos="10206"/>
      </w:tabs>
      <w:spacing w:line="240" w:lineRule="auto"/>
      <w:ind w:left="329" w:hanging="329"/>
    </w:pPr>
    <w:rPr>
      <w:rFonts w:cs="Arial"/>
      <w:b/>
    </w:rPr>
  </w:style>
  <w:style w:type="character" w:styleId="Hyperlink">
    <w:name w:val="Hyperlink"/>
    <w:basedOn w:val="DefaultParagraphFont"/>
    <w:uiPriority w:val="99"/>
    <w:rsid w:val="00B553AC"/>
    <w:rPr>
      <w:rFonts w:cs="Times New Roman"/>
      <w:color w:val="0000FF"/>
      <w:u w:val="single"/>
    </w:rPr>
  </w:style>
  <w:style w:type="paragraph" w:styleId="TOC1">
    <w:name w:val="toc 1"/>
    <w:basedOn w:val="Normal"/>
    <w:next w:val="Normal"/>
    <w:autoRedefine/>
    <w:uiPriority w:val="39"/>
    <w:rsid w:val="009B0BCC"/>
    <w:pPr>
      <w:tabs>
        <w:tab w:val="left" w:pos="987"/>
        <w:tab w:val="right" w:leader="dot" w:pos="10206"/>
      </w:tabs>
      <w:spacing w:line="240" w:lineRule="auto"/>
    </w:pPr>
    <w:rPr>
      <w:rFonts w:asciiTheme="majorHAnsi" w:eastAsia="Times New Roman" w:hAnsiTheme="majorHAnsi" w:cs="Arial"/>
      <w:b/>
      <w:noProof/>
      <w:lang w:val="en-US"/>
    </w:rPr>
  </w:style>
  <w:style w:type="paragraph" w:styleId="TOC3">
    <w:name w:val="toc 3"/>
    <w:basedOn w:val="Normal"/>
    <w:next w:val="Normal"/>
    <w:autoRedefine/>
    <w:uiPriority w:val="39"/>
    <w:rsid w:val="009B0BCC"/>
    <w:pPr>
      <w:tabs>
        <w:tab w:val="left" w:pos="987"/>
        <w:tab w:val="right" w:leader="dot" w:pos="10195"/>
      </w:tabs>
      <w:spacing w:line="240" w:lineRule="auto"/>
    </w:pPr>
    <w:rPr>
      <w:rFonts w:eastAsia="Times New Roman"/>
      <w:lang w:val="en-US"/>
    </w:rPr>
  </w:style>
  <w:style w:type="paragraph" w:customStyle="1" w:styleId="Itemnumber">
    <w:name w:val="Item number"/>
    <w:basedOn w:val="Normal"/>
    <w:uiPriority w:val="99"/>
    <w:rsid w:val="0095198F"/>
    <w:pPr>
      <w:spacing w:before="120" w:after="120" w:line="240" w:lineRule="auto"/>
      <w:ind w:left="1440" w:hanging="1440"/>
    </w:pPr>
    <w:rPr>
      <w:rFonts w:eastAsia="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locked/>
    <w:rsid w:val="00AE67DB"/>
    <w:rPr>
      <w:rFonts w:ascii="Times New Roman" w:hAnsi="Times New Roman" w:cs="Times New Roman"/>
      <w:sz w:val="20"/>
      <w:szCs w:val="20"/>
      <w:lang w:eastAsia="en-AU"/>
    </w:rPr>
  </w:style>
  <w:style w:type="character" w:styleId="FootnoteReference">
    <w:name w:val="footnote reference"/>
    <w:basedOn w:val="DefaultParagraphFont"/>
    <w:rsid w:val="00AE67DB"/>
    <w:rPr>
      <w:rFonts w:cs="Times New Roman"/>
      <w:vertAlign w:val="superscript"/>
    </w:rPr>
  </w:style>
  <w:style w:type="paragraph" w:customStyle="1" w:styleId="othertitle">
    <w:name w:val="other title"/>
    <w:basedOn w:val="Heading2"/>
    <w:uiPriority w:val="99"/>
    <w:rsid w:val="00C87393"/>
    <w:pPr>
      <w:spacing w:before="120" w:after="0"/>
    </w:pPr>
  </w:style>
  <w:style w:type="character" w:styleId="Strong">
    <w:name w:val="Strong"/>
    <w:basedOn w:val="DefaultParagraphFont"/>
    <w:qFormat/>
    <w:rsid w:val="001368B0"/>
    <w:rPr>
      <w:rFonts w:cs="Times New Roman"/>
      <w:b/>
      <w:bCs/>
    </w:rPr>
  </w:style>
  <w:style w:type="character" w:styleId="CommentReference">
    <w:name w:val="annotation reference"/>
    <w:basedOn w:val="DefaultParagraphFont"/>
    <w:rsid w:val="00F300BD"/>
    <w:rPr>
      <w:rFonts w:cs="Times New Roman"/>
      <w:sz w:val="16"/>
      <w:szCs w:val="16"/>
    </w:rPr>
  </w:style>
  <w:style w:type="paragraph" w:styleId="CommentText">
    <w:name w:val="annotation text"/>
    <w:basedOn w:val="Normal"/>
    <w:link w:val="CommentTextChar"/>
    <w:rsid w:val="00F300BD"/>
    <w:pPr>
      <w:spacing w:line="240" w:lineRule="auto"/>
    </w:pPr>
    <w:rPr>
      <w:sz w:val="20"/>
      <w:szCs w:val="20"/>
    </w:rPr>
  </w:style>
  <w:style w:type="character" w:customStyle="1" w:styleId="CommentTextChar">
    <w:name w:val="Comment Text Char"/>
    <w:basedOn w:val="DefaultParagraphFont"/>
    <w:link w:val="CommentText"/>
    <w:locked/>
    <w:rsid w:val="00F300BD"/>
    <w:rPr>
      <w:rFonts w:cs="Times New Roman"/>
      <w:sz w:val="20"/>
      <w:szCs w:val="20"/>
    </w:rPr>
  </w:style>
  <w:style w:type="paragraph" w:styleId="CommentSubject">
    <w:name w:val="annotation subject"/>
    <w:basedOn w:val="CommentText"/>
    <w:next w:val="CommentText"/>
    <w:link w:val="CommentSubjectChar"/>
    <w:rsid w:val="00F300BD"/>
    <w:rPr>
      <w:b/>
      <w:bCs/>
    </w:rPr>
  </w:style>
  <w:style w:type="character" w:customStyle="1" w:styleId="CommentSubjectChar">
    <w:name w:val="Comment Subject Char"/>
    <w:basedOn w:val="CommentTextChar"/>
    <w:link w:val="CommentSubject"/>
    <w:locked/>
    <w:rsid w:val="00F300BD"/>
    <w:rPr>
      <w:rFonts w:cs="Times New Roman"/>
      <w:b/>
      <w:bCs/>
      <w:sz w:val="20"/>
      <w:szCs w:val="20"/>
    </w:rPr>
  </w:style>
  <w:style w:type="paragraph" w:styleId="BodyText">
    <w:name w:val="Body Text"/>
    <w:basedOn w:val="Normal"/>
    <w:link w:val="BodyTextChar"/>
    <w:rsid w:val="00646CCE"/>
    <w:pPr>
      <w:spacing w:before="100" w:after="100" w:line="240" w:lineRule="auto"/>
    </w:pPr>
    <w:rPr>
      <w:rFonts w:ascii="Times New Roman" w:hAnsi="Times New Roman"/>
      <w:lang w:eastAsia="en-AU"/>
    </w:rPr>
  </w:style>
  <w:style w:type="character" w:customStyle="1" w:styleId="BodyTextChar">
    <w:name w:val="Body Text Char"/>
    <w:basedOn w:val="DefaultParagraphFont"/>
    <w:link w:val="BodyText"/>
    <w:locked/>
    <w:rsid w:val="00646CCE"/>
    <w:rPr>
      <w:rFonts w:ascii="Times New Roman" w:hAnsi="Times New Roman" w:cs="Times New Roman"/>
      <w:sz w:val="24"/>
      <w:szCs w:val="24"/>
      <w:lang w:eastAsia="en-AU"/>
    </w:rPr>
  </w:style>
  <w:style w:type="character" w:customStyle="1" w:styleId="Emphasis-Underline">
    <w:name w:val="Emphasis - Underline"/>
    <w:basedOn w:val="DefaultParagraphFont"/>
    <w:uiPriority w:val="99"/>
    <w:rsid w:val="00646CCE"/>
    <w:rPr>
      <w:rFonts w:cs="Times New Roman"/>
      <w:u w:val="single"/>
    </w:rPr>
  </w:style>
  <w:style w:type="paragraph" w:styleId="NormalWeb">
    <w:name w:val="Normal (Web)"/>
    <w:basedOn w:val="Normal"/>
    <w:uiPriority w:val="99"/>
    <w:rsid w:val="00B47539"/>
    <w:pPr>
      <w:spacing w:before="100" w:beforeAutospacing="1" w:after="100" w:afterAutospacing="1" w:line="240" w:lineRule="auto"/>
    </w:pPr>
    <w:rPr>
      <w:rFonts w:ascii="Times New Roman" w:eastAsia="Times New Roman" w:hAnsi="Times New Roman"/>
      <w:lang w:eastAsia="en-AU"/>
    </w:rPr>
  </w:style>
  <w:style w:type="paragraph" w:customStyle="1" w:styleId="msolistparagraph0">
    <w:name w:val="msolistparagraph"/>
    <w:basedOn w:val="Normal"/>
    <w:uiPriority w:val="99"/>
    <w:rsid w:val="00A352A0"/>
    <w:pPr>
      <w:spacing w:line="240" w:lineRule="auto"/>
      <w:ind w:left="720"/>
    </w:pPr>
    <w:rPr>
      <w:rFonts w:ascii="Arial" w:hAnsi="Arial" w:cs="Arial"/>
      <w:lang w:eastAsia="en-AU"/>
    </w:rPr>
  </w:style>
  <w:style w:type="paragraph" w:customStyle="1" w:styleId="listparagraph0">
    <w:name w:val="listparagraph"/>
    <w:basedOn w:val="Normal"/>
    <w:uiPriority w:val="99"/>
    <w:rsid w:val="00266D34"/>
    <w:pPr>
      <w:ind w:left="720"/>
    </w:pPr>
    <w:rPr>
      <w:lang w:eastAsia="en-AU"/>
    </w:rPr>
  </w:style>
  <w:style w:type="paragraph" w:customStyle="1" w:styleId="Indent1">
    <w:name w:val="Indent 1"/>
    <w:basedOn w:val="Normal"/>
    <w:rsid w:val="00440619"/>
    <w:pPr>
      <w:spacing w:line="240" w:lineRule="auto"/>
      <w:ind w:left="567"/>
      <w:jc w:val="both"/>
    </w:pPr>
    <w:rPr>
      <w:rFonts w:ascii="Arial" w:eastAsia="Times New Roman" w:hAnsi="Arial"/>
      <w:lang w:eastAsia="en-AU"/>
    </w:rPr>
  </w:style>
  <w:style w:type="paragraph" w:customStyle="1" w:styleId="MAINtab">
    <w:name w:val="MAIN tab"/>
    <w:basedOn w:val="Normal"/>
    <w:autoRedefine/>
    <w:uiPriority w:val="99"/>
    <w:rsid w:val="007E787F"/>
    <w:pPr>
      <w:spacing w:line="240" w:lineRule="auto"/>
      <w:ind w:left="660" w:hanging="660"/>
      <w:jc w:val="both"/>
    </w:pPr>
    <w:rPr>
      <w:rFonts w:ascii="Arial" w:eastAsia="Times New Roman" w:hAnsi="Arial" w:cs="Arial"/>
      <w:b/>
      <w:color w:val="FF0000"/>
      <w:lang w:eastAsia="en-AU"/>
    </w:rPr>
  </w:style>
  <w:style w:type="character" w:customStyle="1" w:styleId="CharChar3">
    <w:name w:val="Char Char3"/>
    <w:basedOn w:val="DefaultParagraphFont"/>
    <w:uiPriority w:val="99"/>
    <w:semiHidden/>
    <w:locked/>
    <w:rsid w:val="000D3C06"/>
    <w:rPr>
      <w:rFonts w:ascii="Times New Roman" w:hAnsi="Times New Roman" w:cs="Times New Roman"/>
      <w:sz w:val="20"/>
      <w:szCs w:val="20"/>
      <w:lang w:eastAsia="en-AU"/>
    </w:rPr>
  </w:style>
  <w:style w:type="paragraph" w:customStyle="1" w:styleId="Pa1">
    <w:name w:val="Pa1"/>
    <w:basedOn w:val="Default"/>
    <w:next w:val="Default"/>
    <w:uiPriority w:val="99"/>
    <w:rsid w:val="00A31E51"/>
    <w:pPr>
      <w:spacing w:line="171" w:lineRule="atLeast"/>
    </w:pPr>
    <w:rPr>
      <w:rFonts w:ascii="Aller Light" w:hAnsi="Aller Light" w:cs="Times New Roman"/>
      <w:color w:val="auto"/>
      <w:lang w:eastAsia="en-AU"/>
    </w:rPr>
  </w:style>
  <w:style w:type="character" w:customStyle="1" w:styleId="CharChar">
    <w:name w:val="Char Char"/>
    <w:basedOn w:val="DefaultParagraphFont"/>
    <w:uiPriority w:val="99"/>
    <w:rsid w:val="00A31E51"/>
    <w:rPr>
      <w:rFonts w:cs="Times New Roman"/>
      <w:sz w:val="24"/>
      <w:szCs w:val="24"/>
    </w:rPr>
  </w:style>
  <w:style w:type="character" w:customStyle="1" w:styleId="st1">
    <w:name w:val="st1"/>
    <w:basedOn w:val="DefaultParagraphFont"/>
    <w:uiPriority w:val="99"/>
    <w:rsid w:val="00A31E51"/>
    <w:rPr>
      <w:rFonts w:cs="Times New Roman"/>
    </w:rPr>
  </w:style>
  <w:style w:type="numbering" w:customStyle="1" w:styleId="Style1">
    <w:name w:val="Style1"/>
    <w:rsid w:val="00B338FA"/>
    <w:pPr>
      <w:numPr>
        <w:numId w:val="13"/>
      </w:numPr>
    </w:pPr>
  </w:style>
  <w:style w:type="character" w:customStyle="1" w:styleId="Heading4Char">
    <w:name w:val="Heading 4 Char"/>
    <w:basedOn w:val="DefaultParagraphFont"/>
    <w:link w:val="Heading4"/>
    <w:rsid w:val="008A6EA4"/>
    <w:rPr>
      <w:rFonts w:asciiTheme="majorHAnsi" w:eastAsiaTheme="majorEastAsia" w:hAnsiTheme="majorHAnsi" w:cstheme="majorBidi"/>
      <w:b/>
      <w:bCs/>
      <w:iCs/>
      <w:u w:val="single"/>
    </w:rPr>
  </w:style>
  <w:style w:type="paragraph" w:styleId="TOC4">
    <w:name w:val="toc 4"/>
    <w:basedOn w:val="Normal"/>
    <w:next w:val="Normal"/>
    <w:autoRedefine/>
    <w:uiPriority w:val="39"/>
    <w:locked/>
    <w:rsid w:val="009B0BCC"/>
    <w:pPr>
      <w:tabs>
        <w:tab w:val="left" w:pos="993"/>
        <w:tab w:val="left" w:pos="1985"/>
        <w:tab w:val="right" w:leader="dot" w:pos="9628"/>
      </w:tabs>
      <w:spacing w:line="240" w:lineRule="auto"/>
      <w:ind w:left="993"/>
      <w:jc w:val="center"/>
    </w:pPr>
  </w:style>
  <w:style w:type="character" w:customStyle="1" w:styleId="Heading5Char">
    <w:name w:val="Heading 5 Char"/>
    <w:basedOn w:val="DefaultParagraphFont"/>
    <w:link w:val="Heading5"/>
    <w:rsid w:val="00283935"/>
    <w:rPr>
      <w:rFonts w:asciiTheme="majorHAnsi" w:eastAsiaTheme="majorEastAsia" w:hAnsiTheme="majorHAnsi" w:cstheme="majorBidi"/>
      <w:color w:val="6E6E6E" w:themeColor="accent1" w:themeShade="7F"/>
      <w:lang w:eastAsia="en-US"/>
    </w:rPr>
  </w:style>
  <w:style w:type="paragraph" w:customStyle="1" w:styleId="boldheadings">
    <w:name w:val="bold headings"/>
    <w:basedOn w:val="Normal"/>
    <w:link w:val="boldheadingsChar"/>
    <w:qFormat/>
    <w:rsid w:val="0020726D"/>
    <w:pPr>
      <w:spacing w:line="240" w:lineRule="auto"/>
    </w:pPr>
    <w:rPr>
      <w:rFonts w:asciiTheme="majorHAnsi" w:hAnsiTheme="majorHAnsi" w:cs="Arial"/>
      <w:b/>
    </w:rPr>
  </w:style>
  <w:style w:type="character" w:customStyle="1" w:styleId="boldheadingsChar">
    <w:name w:val="bold headings Char"/>
    <w:basedOn w:val="DefaultParagraphFont"/>
    <w:link w:val="boldheadings"/>
    <w:rsid w:val="0020726D"/>
    <w:rPr>
      <w:rFonts w:asciiTheme="majorHAnsi" w:hAnsiTheme="majorHAnsi" w:cs="Arial"/>
      <w:b/>
    </w:rPr>
  </w:style>
  <w:style w:type="paragraph" w:styleId="Revision">
    <w:name w:val="Revision"/>
    <w:hidden/>
    <w:uiPriority w:val="99"/>
    <w:semiHidden/>
    <w:rsid w:val="001D29AC"/>
  </w:style>
  <w:style w:type="table" w:customStyle="1" w:styleId="TableGrid1">
    <w:name w:val="Table Grid1"/>
    <w:basedOn w:val="TableNormal"/>
    <w:next w:val="TableGrid"/>
    <w:rsid w:val="00113CD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95A1A"/>
  </w:style>
  <w:style w:type="table" w:customStyle="1" w:styleId="TableGrid2">
    <w:name w:val="Table Grid2"/>
    <w:basedOn w:val="TableNormal"/>
    <w:next w:val="TableGrid"/>
    <w:rsid w:val="00D95A1A"/>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95A1A"/>
    <w:rPr>
      <w:rFonts w:eastAsia="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
    <w:name w:val="Caption1"/>
    <w:basedOn w:val="Normal"/>
    <w:next w:val="Normal"/>
    <w:unhideWhenUsed/>
    <w:qFormat/>
    <w:rsid w:val="00D95A1A"/>
    <w:pPr>
      <w:spacing w:after="200" w:line="240" w:lineRule="auto"/>
    </w:pPr>
    <w:rPr>
      <w:rFonts w:eastAsia="Times New Roman"/>
      <w:b/>
      <w:bCs/>
      <w:color w:val="4F81BD"/>
      <w:sz w:val="18"/>
      <w:szCs w:val="18"/>
      <w:lang w:eastAsia="en-AU"/>
    </w:rPr>
  </w:style>
  <w:style w:type="numbering" w:customStyle="1" w:styleId="NoList2">
    <w:name w:val="No List2"/>
    <w:next w:val="NoList"/>
    <w:uiPriority w:val="99"/>
    <w:semiHidden/>
    <w:unhideWhenUsed/>
    <w:rsid w:val="00065ACE"/>
  </w:style>
  <w:style w:type="paragraph" w:customStyle="1" w:styleId="IntenseQuote1">
    <w:name w:val="Intense Quote1"/>
    <w:basedOn w:val="Normal"/>
    <w:next w:val="Normal"/>
    <w:uiPriority w:val="30"/>
    <w:qFormat/>
    <w:rsid w:val="00065ACE"/>
    <w:pPr>
      <w:pBdr>
        <w:bottom w:val="single" w:sz="4" w:space="4" w:color="4F81BD"/>
      </w:pBdr>
      <w:spacing w:before="200" w:after="280" w:line="240" w:lineRule="auto"/>
      <w:ind w:left="936" w:right="936"/>
    </w:pPr>
    <w:rPr>
      <w:rFonts w:ascii="Times New Roman" w:eastAsia="Times New Roman" w:hAnsi="Times New Roman"/>
      <w:b/>
      <w:bCs/>
      <w:i/>
      <w:iCs/>
      <w:color w:val="4F81BD"/>
      <w:szCs w:val="20"/>
    </w:rPr>
  </w:style>
  <w:style w:type="character" w:customStyle="1" w:styleId="IntenseQuoteChar">
    <w:name w:val="Intense Quote Char"/>
    <w:basedOn w:val="DefaultParagraphFont"/>
    <w:link w:val="IntenseQuote"/>
    <w:uiPriority w:val="30"/>
    <w:rsid w:val="00065ACE"/>
    <w:rPr>
      <w:b/>
      <w:bCs/>
      <w:i/>
      <w:iCs/>
      <w:color w:val="4F81BD"/>
      <w:sz w:val="24"/>
      <w:lang w:eastAsia="en-US"/>
    </w:rPr>
  </w:style>
  <w:style w:type="character" w:styleId="Emphasis">
    <w:name w:val="Emphasis"/>
    <w:basedOn w:val="DefaultParagraphFont"/>
    <w:uiPriority w:val="20"/>
    <w:qFormat/>
    <w:locked/>
    <w:rsid w:val="00065ACE"/>
    <w:rPr>
      <w:i/>
      <w:iCs/>
    </w:rPr>
  </w:style>
  <w:style w:type="paragraph" w:customStyle="1" w:styleId="Ahead">
    <w:name w:val="Ahead"/>
    <w:basedOn w:val="Normal"/>
    <w:qFormat/>
    <w:rsid w:val="00065ACE"/>
    <w:pPr>
      <w:spacing w:after="120" w:line="240" w:lineRule="auto"/>
    </w:pPr>
    <w:rPr>
      <w:rFonts w:ascii="Times New Roman" w:hAnsi="Times New Roman"/>
      <w:b/>
      <w:sz w:val="28"/>
      <w:lang w:val="en-US"/>
    </w:rPr>
  </w:style>
  <w:style w:type="paragraph" w:customStyle="1" w:styleId="text">
    <w:name w:val="text"/>
    <w:basedOn w:val="BodyText"/>
    <w:qFormat/>
    <w:rsid w:val="00065ACE"/>
    <w:pPr>
      <w:spacing w:before="120" w:after="120"/>
      <w:ind w:right="34"/>
    </w:pPr>
    <w:rPr>
      <w:rFonts w:ascii="Calibri" w:eastAsia="Times New Roman" w:hAnsi="Calibri" w:cs="Calibri"/>
      <w:sz w:val="22"/>
      <w:szCs w:val="22"/>
      <w:lang w:val="en-US" w:eastAsia="en-US"/>
    </w:rPr>
  </w:style>
  <w:style w:type="paragraph" w:styleId="NoSpacing">
    <w:name w:val="No Spacing"/>
    <w:uiPriority w:val="1"/>
    <w:qFormat/>
    <w:rsid w:val="00065ACE"/>
    <w:rPr>
      <w:sz w:val="22"/>
      <w:szCs w:val="22"/>
    </w:rPr>
  </w:style>
  <w:style w:type="paragraph" w:customStyle="1" w:styleId="dpReclev2">
    <w:name w:val="dp Rec lev2"/>
    <w:basedOn w:val="Normal"/>
    <w:qFormat/>
    <w:rsid w:val="00065ACE"/>
    <w:pPr>
      <w:numPr>
        <w:numId w:val="89"/>
      </w:numPr>
      <w:tabs>
        <w:tab w:val="clear" w:pos="1070"/>
        <w:tab w:val="right" w:leader="dot" w:pos="9639"/>
      </w:tabs>
      <w:spacing w:after="200" w:line="252" w:lineRule="auto"/>
      <w:ind w:left="360"/>
      <w:contextualSpacing/>
    </w:pPr>
    <w:rPr>
      <w:rFonts w:ascii="Cambria" w:eastAsia="Times New Roman" w:hAnsi="Cambria"/>
      <w:noProof/>
      <w:sz w:val="22"/>
      <w:szCs w:val="22"/>
    </w:rPr>
  </w:style>
  <w:style w:type="paragraph" w:customStyle="1" w:styleId="TOC51">
    <w:name w:val="TOC 51"/>
    <w:basedOn w:val="Normal"/>
    <w:next w:val="Normal"/>
    <w:autoRedefine/>
    <w:rsid w:val="00065ACE"/>
    <w:pPr>
      <w:spacing w:line="240" w:lineRule="auto"/>
      <w:ind w:left="960"/>
    </w:pPr>
    <w:rPr>
      <w:rFonts w:eastAsia="Times New Roman" w:cs="Calibri"/>
      <w:sz w:val="18"/>
      <w:szCs w:val="18"/>
    </w:rPr>
  </w:style>
  <w:style w:type="paragraph" w:customStyle="1" w:styleId="TOC61">
    <w:name w:val="TOC 61"/>
    <w:basedOn w:val="Normal"/>
    <w:next w:val="Normal"/>
    <w:autoRedefine/>
    <w:rsid w:val="00065ACE"/>
    <w:pPr>
      <w:spacing w:line="240" w:lineRule="auto"/>
      <w:ind w:left="1200"/>
    </w:pPr>
    <w:rPr>
      <w:rFonts w:eastAsia="Times New Roman" w:cs="Calibri"/>
      <w:sz w:val="18"/>
      <w:szCs w:val="18"/>
    </w:rPr>
  </w:style>
  <w:style w:type="paragraph" w:customStyle="1" w:styleId="TOC71">
    <w:name w:val="TOC 71"/>
    <w:basedOn w:val="Normal"/>
    <w:next w:val="Normal"/>
    <w:autoRedefine/>
    <w:rsid w:val="00065ACE"/>
    <w:pPr>
      <w:spacing w:line="240" w:lineRule="auto"/>
      <w:ind w:left="1440"/>
    </w:pPr>
    <w:rPr>
      <w:rFonts w:eastAsia="Times New Roman" w:cs="Calibri"/>
      <w:sz w:val="18"/>
      <w:szCs w:val="18"/>
    </w:rPr>
  </w:style>
  <w:style w:type="paragraph" w:customStyle="1" w:styleId="TOC81">
    <w:name w:val="TOC 81"/>
    <w:basedOn w:val="Normal"/>
    <w:next w:val="Normal"/>
    <w:autoRedefine/>
    <w:rsid w:val="00065ACE"/>
    <w:pPr>
      <w:spacing w:line="240" w:lineRule="auto"/>
      <w:ind w:left="1680"/>
    </w:pPr>
    <w:rPr>
      <w:rFonts w:eastAsia="Times New Roman" w:cs="Calibri"/>
      <w:sz w:val="18"/>
      <w:szCs w:val="18"/>
    </w:rPr>
  </w:style>
  <w:style w:type="paragraph" w:customStyle="1" w:styleId="TOC91">
    <w:name w:val="TOC 91"/>
    <w:basedOn w:val="Normal"/>
    <w:next w:val="Normal"/>
    <w:autoRedefine/>
    <w:rsid w:val="00065ACE"/>
    <w:pPr>
      <w:spacing w:line="240" w:lineRule="auto"/>
      <w:ind w:left="1920"/>
    </w:pPr>
    <w:rPr>
      <w:rFonts w:eastAsia="Times New Roman" w:cs="Calibri"/>
      <w:sz w:val="18"/>
      <w:szCs w:val="18"/>
    </w:rPr>
  </w:style>
  <w:style w:type="table" w:customStyle="1" w:styleId="TableGrid3">
    <w:name w:val="Table Grid3"/>
    <w:basedOn w:val="TableNormal"/>
    <w:next w:val="TableGrid"/>
    <w:rsid w:val="00065ACE"/>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1"/>
    <w:basedOn w:val="ListParagraph"/>
    <w:next w:val="ListBullet"/>
    <w:rsid w:val="00065ACE"/>
    <w:pPr>
      <w:numPr>
        <w:numId w:val="90"/>
      </w:numPr>
      <w:spacing w:line="240" w:lineRule="auto"/>
      <w:ind w:left="360"/>
      <w:contextualSpacing w:val="0"/>
    </w:pPr>
    <w:rPr>
      <w:rFonts w:eastAsia="Times New Roman" w:cs="Calibri"/>
      <w:sz w:val="22"/>
      <w:szCs w:val="22"/>
    </w:rPr>
  </w:style>
  <w:style w:type="paragraph" w:styleId="ListBullet2">
    <w:name w:val="List Bullet 2"/>
    <w:basedOn w:val="ListParagraph"/>
    <w:rsid w:val="00065ACE"/>
    <w:pPr>
      <w:framePr w:hSpace="180" w:wrap="around" w:vAnchor="text" w:hAnchor="margin" w:xAlign="center" w:y="14"/>
      <w:numPr>
        <w:numId w:val="91"/>
      </w:numPr>
      <w:tabs>
        <w:tab w:val="left" w:pos="284"/>
      </w:tabs>
      <w:spacing w:line="240" w:lineRule="auto"/>
    </w:pPr>
    <w:rPr>
      <w:rFonts w:eastAsia="Times New Roman" w:cs="Calibri"/>
      <w:sz w:val="20"/>
      <w:szCs w:val="20"/>
    </w:rPr>
  </w:style>
  <w:style w:type="paragraph" w:customStyle="1" w:styleId="Title1">
    <w:name w:val="Title1"/>
    <w:basedOn w:val="Normal"/>
    <w:next w:val="Normal"/>
    <w:qFormat/>
    <w:rsid w:val="00065ACE"/>
    <w:pPr>
      <w:spacing w:line="240" w:lineRule="auto"/>
      <w:jc w:val="right"/>
    </w:pPr>
    <w:rPr>
      <w:rFonts w:eastAsia="Times New Roman" w:cs="Calibri"/>
      <w:b/>
      <w:color w:val="165788"/>
      <w:sz w:val="56"/>
      <w:szCs w:val="56"/>
    </w:rPr>
  </w:style>
  <w:style w:type="character" w:customStyle="1" w:styleId="TitleChar">
    <w:name w:val="Title Char"/>
    <w:basedOn w:val="DefaultParagraphFont"/>
    <w:link w:val="Title"/>
    <w:rsid w:val="00065ACE"/>
    <w:rPr>
      <w:rFonts w:ascii="Calibri" w:hAnsi="Calibri" w:cs="Calibri"/>
      <w:b/>
      <w:color w:val="165788"/>
      <w:sz w:val="56"/>
      <w:szCs w:val="56"/>
      <w:lang w:eastAsia="en-US"/>
    </w:rPr>
  </w:style>
  <w:style w:type="paragraph" w:customStyle="1" w:styleId="Subtitle1">
    <w:name w:val="Subtitle1"/>
    <w:basedOn w:val="Normal"/>
    <w:next w:val="Normal"/>
    <w:qFormat/>
    <w:rsid w:val="00065ACE"/>
    <w:pPr>
      <w:spacing w:line="240" w:lineRule="auto"/>
      <w:jc w:val="right"/>
    </w:pPr>
    <w:rPr>
      <w:rFonts w:eastAsia="Times New Roman" w:cs="Calibri"/>
      <w:b/>
      <w:color w:val="165788"/>
      <w:sz w:val="52"/>
      <w:szCs w:val="52"/>
    </w:rPr>
  </w:style>
  <w:style w:type="character" w:customStyle="1" w:styleId="SubtitleChar">
    <w:name w:val="Subtitle Char"/>
    <w:basedOn w:val="DefaultParagraphFont"/>
    <w:link w:val="Subtitle"/>
    <w:rsid w:val="00065ACE"/>
    <w:rPr>
      <w:rFonts w:ascii="Calibri" w:hAnsi="Calibri" w:cs="Calibri"/>
      <w:b/>
      <w:color w:val="165788"/>
      <w:sz w:val="52"/>
      <w:szCs w:val="52"/>
      <w:lang w:eastAsia="en-US"/>
    </w:rPr>
  </w:style>
  <w:style w:type="paragraph" w:styleId="BodyText2">
    <w:name w:val="Body Text 2"/>
    <w:basedOn w:val="BodyText"/>
    <w:link w:val="BodyText2Char"/>
    <w:rsid w:val="00065ACE"/>
    <w:pPr>
      <w:spacing w:before="0" w:after="120"/>
      <w:ind w:right="34"/>
    </w:pPr>
    <w:rPr>
      <w:rFonts w:ascii="Calibri" w:eastAsia="Times New Roman" w:hAnsi="Calibri" w:cs="Calibri"/>
      <w:sz w:val="22"/>
      <w:szCs w:val="22"/>
      <w:lang w:val="en-US"/>
    </w:rPr>
  </w:style>
  <w:style w:type="character" w:customStyle="1" w:styleId="BodyText2Char">
    <w:name w:val="Body Text 2 Char"/>
    <w:basedOn w:val="DefaultParagraphFont"/>
    <w:link w:val="BodyText2"/>
    <w:rsid w:val="00065ACE"/>
    <w:rPr>
      <w:rFonts w:eastAsia="Times New Roman" w:cs="Calibri"/>
      <w:sz w:val="22"/>
      <w:szCs w:val="22"/>
      <w:lang w:val="en-US" w:eastAsia="en-AU"/>
    </w:rPr>
  </w:style>
  <w:style w:type="paragraph" w:customStyle="1" w:styleId="VersionControl">
    <w:name w:val="Version Control"/>
    <w:basedOn w:val="Normal"/>
    <w:qFormat/>
    <w:rsid w:val="00065ACE"/>
    <w:pPr>
      <w:spacing w:line="240" w:lineRule="auto"/>
      <w:jc w:val="center"/>
    </w:pPr>
    <w:rPr>
      <w:rFonts w:eastAsia="Times New Roman" w:cs="Calibri"/>
      <w:b/>
      <w:szCs w:val="20"/>
      <w:lang w:eastAsia="en-AU"/>
    </w:rPr>
  </w:style>
  <w:style w:type="paragraph" w:styleId="TableofFigures">
    <w:name w:val="table of figures"/>
    <w:basedOn w:val="Normal"/>
    <w:next w:val="text"/>
    <w:qFormat/>
    <w:rsid w:val="00065ACE"/>
    <w:pPr>
      <w:spacing w:line="240" w:lineRule="auto"/>
      <w:jc w:val="center"/>
    </w:pPr>
    <w:rPr>
      <w:rFonts w:eastAsia="Times New Roman" w:cs="Calibri"/>
      <w:color w:val="000000"/>
      <w:sz w:val="20"/>
      <w:szCs w:val="20"/>
    </w:rPr>
  </w:style>
  <w:style w:type="paragraph" w:styleId="PlainText">
    <w:name w:val="Plain Text"/>
    <w:basedOn w:val="Normal"/>
    <w:link w:val="PlainTextChar"/>
    <w:rsid w:val="00065ACE"/>
    <w:pPr>
      <w:framePr w:hSpace="180" w:wrap="around" w:vAnchor="text" w:hAnchor="margin" w:xAlign="center" w:y="14"/>
      <w:spacing w:line="240" w:lineRule="auto"/>
    </w:pPr>
    <w:rPr>
      <w:rFonts w:eastAsia="Times New Roman" w:cs="Calibri"/>
      <w:sz w:val="20"/>
      <w:szCs w:val="20"/>
      <w:lang w:eastAsia="en-AU"/>
    </w:rPr>
  </w:style>
  <w:style w:type="character" w:customStyle="1" w:styleId="PlainTextChar">
    <w:name w:val="Plain Text Char"/>
    <w:basedOn w:val="DefaultParagraphFont"/>
    <w:link w:val="PlainText"/>
    <w:rsid w:val="00065ACE"/>
    <w:rPr>
      <w:rFonts w:eastAsia="Times New Roman" w:cs="Calibri"/>
      <w:sz w:val="20"/>
      <w:szCs w:val="20"/>
      <w:lang w:eastAsia="en-AU"/>
    </w:rPr>
  </w:style>
  <w:style w:type="character" w:customStyle="1" w:styleId="ListParagraphChar">
    <w:name w:val="List Paragraph Char"/>
    <w:basedOn w:val="DefaultParagraphFont"/>
    <w:link w:val="ListParagraph"/>
    <w:uiPriority w:val="34"/>
    <w:locked/>
    <w:rsid w:val="00065ACE"/>
  </w:style>
  <w:style w:type="paragraph" w:customStyle="1" w:styleId="TableColumnHeading">
    <w:name w:val="Table Column Heading"/>
    <w:basedOn w:val="Normal"/>
    <w:qFormat/>
    <w:rsid w:val="00065ACE"/>
    <w:pPr>
      <w:spacing w:line="240" w:lineRule="auto"/>
      <w:jc w:val="center"/>
    </w:pPr>
    <w:rPr>
      <w:rFonts w:eastAsia="Times New Roman" w:cs="Calibri"/>
      <w:b/>
      <w:bCs/>
      <w:sz w:val="22"/>
      <w:szCs w:val="22"/>
      <w:lang w:eastAsia="en-AU"/>
    </w:rPr>
  </w:style>
  <w:style w:type="paragraph" w:customStyle="1" w:styleId="Quote1">
    <w:name w:val="Quote1"/>
    <w:basedOn w:val="Normal"/>
    <w:next w:val="Normal"/>
    <w:uiPriority w:val="29"/>
    <w:qFormat/>
    <w:rsid w:val="00065ACE"/>
    <w:pPr>
      <w:spacing w:line="240" w:lineRule="auto"/>
    </w:pPr>
    <w:rPr>
      <w:rFonts w:ascii="Times New Roman" w:eastAsia="Times New Roman" w:hAnsi="Times New Roman"/>
      <w:i/>
      <w:iCs/>
      <w:color w:val="000000"/>
      <w:szCs w:val="20"/>
    </w:rPr>
  </w:style>
  <w:style w:type="character" w:customStyle="1" w:styleId="QuoteChar">
    <w:name w:val="Quote Char"/>
    <w:basedOn w:val="DefaultParagraphFont"/>
    <w:link w:val="Quote"/>
    <w:uiPriority w:val="29"/>
    <w:rsid w:val="00065ACE"/>
    <w:rPr>
      <w:i/>
      <w:iCs/>
      <w:color w:val="000000"/>
      <w:sz w:val="24"/>
      <w:lang w:eastAsia="en-US"/>
    </w:rPr>
  </w:style>
  <w:style w:type="paragraph" w:styleId="IntenseQuote">
    <w:name w:val="Intense Quote"/>
    <w:basedOn w:val="Normal"/>
    <w:next w:val="Normal"/>
    <w:link w:val="IntenseQuoteChar"/>
    <w:uiPriority w:val="30"/>
    <w:qFormat/>
    <w:rsid w:val="00065ACE"/>
    <w:pPr>
      <w:pBdr>
        <w:bottom w:val="single" w:sz="4" w:space="4" w:color="DDDDDD" w:themeColor="accent1"/>
      </w:pBdr>
      <w:spacing w:before="200" w:after="280"/>
      <w:ind w:left="936" w:right="936"/>
    </w:pPr>
    <w:rPr>
      <w:b/>
      <w:bCs/>
      <w:i/>
      <w:iCs/>
      <w:color w:val="4F81BD"/>
    </w:rPr>
  </w:style>
  <w:style w:type="character" w:customStyle="1" w:styleId="IntenseQuoteChar1">
    <w:name w:val="Intense Quote Char1"/>
    <w:basedOn w:val="DefaultParagraphFont"/>
    <w:uiPriority w:val="30"/>
    <w:rsid w:val="00065ACE"/>
    <w:rPr>
      <w:b/>
      <w:bCs/>
      <w:i/>
      <w:iCs/>
      <w:color w:val="DDDDDD" w:themeColor="accent1"/>
    </w:rPr>
  </w:style>
  <w:style w:type="paragraph" w:styleId="ListBullet">
    <w:name w:val="List Bullet"/>
    <w:basedOn w:val="Normal"/>
    <w:uiPriority w:val="99"/>
    <w:semiHidden/>
    <w:unhideWhenUsed/>
    <w:rsid w:val="00065ACE"/>
    <w:pPr>
      <w:numPr>
        <w:numId w:val="87"/>
      </w:numPr>
      <w:contextualSpacing/>
    </w:pPr>
  </w:style>
  <w:style w:type="paragraph" w:styleId="Title">
    <w:name w:val="Title"/>
    <w:basedOn w:val="Normal"/>
    <w:next w:val="Normal"/>
    <w:link w:val="TitleChar"/>
    <w:qFormat/>
    <w:locked/>
    <w:rsid w:val="00065ACE"/>
    <w:pPr>
      <w:pBdr>
        <w:bottom w:val="single" w:sz="8" w:space="4" w:color="DDDDDD" w:themeColor="accent1"/>
      </w:pBdr>
      <w:spacing w:after="300" w:line="240" w:lineRule="auto"/>
      <w:contextualSpacing/>
    </w:pPr>
    <w:rPr>
      <w:rFonts w:cs="Calibri"/>
      <w:b/>
      <w:color w:val="165788"/>
      <w:sz w:val="56"/>
      <w:szCs w:val="56"/>
    </w:rPr>
  </w:style>
  <w:style w:type="character" w:customStyle="1" w:styleId="TitleChar1">
    <w:name w:val="Title Char1"/>
    <w:basedOn w:val="DefaultParagraphFont"/>
    <w:rsid w:val="00065ACE"/>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qFormat/>
    <w:locked/>
    <w:rsid w:val="00065ACE"/>
    <w:pPr>
      <w:numPr>
        <w:ilvl w:val="1"/>
      </w:numPr>
    </w:pPr>
    <w:rPr>
      <w:rFonts w:cs="Calibri"/>
      <w:b/>
      <w:color w:val="165788"/>
      <w:sz w:val="52"/>
      <w:szCs w:val="52"/>
    </w:rPr>
  </w:style>
  <w:style w:type="character" w:customStyle="1" w:styleId="SubtitleChar1">
    <w:name w:val="Subtitle Char1"/>
    <w:basedOn w:val="DefaultParagraphFont"/>
    <w:rsid w:val="00065ACE"/>
    <w:rPr>
      <w:rFonts w:asciiTheme="majorHAnsi" w:eastAsiaTheme="majorEastAsia" w:hAnsiTheme="majorHAnsi" w:cstheme="majorBidi"/>
      <w:i/>
      <w:iCs/>
      <w:color w:val="DDDDDD" w:themeColor="accent1"/>
      <w:spacing w:val="15"/>
    </w:rPr>
  </w:style>
  <w:style w:type="paragraph" w:styleId="Quote">
    <w:name w:val="Quote"/>
    <w:basedOn w:val="Normal"/>
    <w:next w:val="Normal"/>
    <w:link w:val="QuoteChar"/>
    <w:uiPriority w:val="29"/>
    <w:qFormat/>
    <w:rsid w:val="00065ACE"/>
    <w:rPr>
      <w:i/>
      <w:iCs/>
      <w:color w:val="000000"/>
    </w:rPr>
  </w:style>
  <w:style w:type="character" w:customStyle="1" w:styleId="QuoteChar1">
    <w:name w:val="Quote Char1"/>
    <w:basedOn w:val="DefaultParagraphFont"/>
    <w:uiPriority w:val="29"/>
    <w:rsid w:val="00065ACE"/>
    <w:rPr>
      <w:i/>
      <w:iCs/>
      <w:color w:val="000000" w:themeColor="text1"/>
    </w:rPr>
  </w:style>
  <w:style w:type="paragraph" w:styleId="TOC5">
    <w:name w:val="toc 5"/>
    <w:basedOn w:val="Normal"/>
    <w:next w:val="Normal"/>
    <w:autoRedefine/>
    <w:uiPriority w:val="39"/>
    <w:unhideWhenUsed/>
    <w:locked/>
    <w:rsid w:val="00CC47AD"/>
    <w:pPr>
      <w:spacing w:after="100"/>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locked/>
    <w:rsid w:val="00CC47AD"/>
    <w:pPr>
      <w:spacing w:after="100"/>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locked/>
    <w:rsid w:val="00CC47AD"/>
    <w:pPr>
      <w:spacing w:after="100"/>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locked/>
    <w:rsid w:val="00CC47AD"/>
    <w:pPr>
      <w:spacing w:after="100"/>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locked/>
    <w:rsid w:val="00CC47AD"/>
    <w:pPr>
      <w:spacing w:after="100"/>
      <w:ind w:left="1760"/>
    </w:pPr>
    <w:rPr>
      <w:rFonts w:asciiTheme="minorHAnsi" w:eastAsiaTheme="minorEastAsia" w:hAnsiTheme="minorHAnsi" w:cstheme="minorBidi"/>
      <w:sz w:val="22"/>
      <w:szCs w:val="22"/>
      <w:lang w:eastAsia="en-AU"/>
    </w:rPr>
  </w:style>
  <w:style w:type="character" w:customStyle="1" w:styleId="Heading6Char">
    <w:name w:val="Heading 6 Char"/>
    <w:basedOn w:val="DefaultParagraphFont"/>
    <w:link w:val="Heading6"/>
    <w:rsid w:val="00CC47AD"/>
    <w:rPr>
      <w:rFonts w:asciiTheme="majorHAnsi" w:eastAsiaTheme="majorEastAsia" w:hAnsiTheme="majorHAnsi" w:cstheme="majorBidi"/>
      <w:i/>
      <w:iCs/>
      <w:color w:val="6E6E6E"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AU"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iPriority="0" w:unhideWhenUsed="0"/>
    <w:lsdException w:name="annotation text" w:uiPriority="0"/>
    <w:lsdException w:name="header" w:uiPriority="0"/>
    <w:lsdException w:name="caption" w:locked="1" w:uiPriority="0" w:qFormat="1"/>
    <w:lsdException w:name="table of figures" w:uiPriority="0" w:qFormat="1"/>
    <w:lsdException w:name="footnote reference" w:locked="1" w:semiHidden="0" w:uiPriority="0" w:unhideWhenUsed="0"/>
    <w:lsdException w:name="annotation reference" w:uiPriority="0"/>
    <w:lsdException w:name="List Bullet 2"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Plain Text"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67B55"/>
    <w:pPr>
      <w:spacing w:line="276" w:lineRule="auto"/>
    </w:pPr>
  </w:style>
  <w:style w:type="paragraph" w:styleId="Heading1">
    <w:name w:val="heading 1"/>
    <w:basedOn w:val="Normal"/>
    <w:next w:val="Normal"/>
    <w:link w:val="Heading1Char"/>
    <w:qFormat/>
    <w:rsid w:val="00421714"/>
    <w:pPr>
      <w:keepNext/>
      <w:keepLines/>
      <w:spacing w:before="480"/>
      <w:outlineLvl w:val="0"/>
    </w:pPr>
    <w:rPr>
      <w:rFonts w:ascii="Arial" w:eastAsia="Times New Roman" w:hAnsi="Arial"/>
      <w:b/>
      <w:bCs/>
      <w:sz w:val="32"/>
      <w:szCs w:val="28"/>
    </w:rPr>
  </w:style>
  <w:style w:type="paragraph" w:styleId="Heading2">
    <w:name w:val="heading 2"/>
    <w:basedOn w:val="Normal"/>
    <w:next w:val="Normal"/>
    <w:link w:val="Heading2Char"/>
    <w:qFormat/>
    <w:rsid w:val="009A483B"/>
    <w:pPr>
      <w:keepNext/>
      <w:keepLines/>
      <w:spacing w:before="240" w:after="240"/>
      <w:outlineLvl w:val="1"/>
    </w:pPr>
    <w:rPr>
      <w:rFonts w:ascii="Arial" w:eastAsia="Times New Roman" w:hAnsi="Arial"/>
      <w:b/>
      <w:bCs/>
      <w:color w:val="000000"/>
      <w:sz w:val="28"/>
      <w:szCs w:val="26"/>
    </w:rPr>
  </w:style>
  <w:style w:type="paragraph" w:styleId="Heading3">
    <w:name w:val="heading 3"/>
    <w:basedOn w:val="Normal"/>
    <w:next w:val="Normal"/>
    <w:link w:val="Heading3Char"/>
    <w:qFormat/>
    <w:rsid w:val="002C3F70"/>
    <w:pPr>
      <w:keepNext/>
      <w:keepLines/>
      <w:spacing w:before="240" w:after="120"/>
      <w:outlineLvl w:val="2"/>
    </w:pPr>
    <w:rPr>
      <w:rFonts w:asciiTheme="majorHAnsi" w:eastAsia="Times New Roman" w:hAnsiTheme="majorHAnsi"/>
      <w:b/>
      <w:bCs/>
      <w:i/>
      <w:sz w:val="26"/>
    </w:rPr>
  </w:style>
  <w:style w:type="paragraph" w:styleId="Heading4">
    <w:name w:val="heading 4"/>
    <w:basedOn w:val="Normal"/>
    <w:next w:val="Normal"/>
    <w:link w:val="Heading4Char"/>
    <w:unhideWhenUsed/>
    <w:qFormat/>
    <w:locked/>
    <w:rsid w:val="008A6EA4"/>
    <w:pPr>
      <w:keepNext/>
      <w:keepLines/>
      <w:outlineLvl w:val="3"/>
    </w:pPr>
    <w:rPr>
      <w:rFonts w:asciiTheme="majorHAnsi" w:eastAsiaTheme="majorEastAsia" w:hAnsiTheme="majorHAnsi" w:cstheme="majorBidi"/>
      <w:b/>
      <w:bCs/>
      <w:iCs/>
      <w:u w:val="single"/>
    </w:rPr>
  </w:style>
  <w:style w:type="paragraph" w:styleId="Heading5">
    <w:name w:val="heading 5"/>
    <w:basedOn w:val="Normal"/>
    <w:next w:val="Normal"/>
    <w:link w:val="Heading5Char"/>
    <w:unhideWhenUsed/>
    <w:qFormat/>
    <w:locked/>
    <w:rsid w:val="00283935"/>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nhideWhenUsed/>
    <w:qFormat/>
    <w:locked/>
    <w:rsid w:val="00CC47AD"/>
    <w:pPr>
      <w:keepNext/>
      <w:keepLines/>
      <w:spacing w:before="200"/>
      <w:outlineLvl w:val="5"/>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21714"/>
    <w:rPr>
      <w:rFonts w:ascii="Arial" w:hAnsi="Arial" w:cs="Times New Roman"/>
      <w:b/>
      <w:bCs/>
      <w:sz w:val="28"/>
      <w:szCs w:val="28"/>
    </w:rPr>
  </w:style>
  <w:style w:type="character" w:customStyle="1" w:styleId="Heading2Char">
    <w:name w:val="Heading 2 Char"/>
    <w:basedOn w:val="DefaultParagraphFont"/>
    <w:link w:val="Heading2"/>
    <w:locked/>
    <w:rsid w:val="009A483B"/>
    <w:rPr>
      <w:rFonts w:ascii="Arial" w:hAnsi="Arial" w:cs="Times New Roman"/>
      <w:b/>
      <w:bCs/>
      <w:color w:val="000000"/>
      <w:sz w:val="26"/>
      <w:szCs w:val="26"/>
    </w:rPr>
  </w:style>
  <w:style w:type="character" w:customStyle="1" w:styleId="Heading3Char">
    <w:name w:val="Heading 3 Char"/>
    <w:basedOn w:val="DefaultParagraphFont"/>
    <w:link w:val="Heading3"/>
    <w:locked/>
    <w:rsid w:val="002C3F70"/>
    <w:rPr>
      <w:rFonts w:asciiTheme="majorHAnsi" w:eastAsia="Times New Roman" w:hAnsiTheme="majorHAnsi"/>
      <w:b/>
      <w:bCs/>
      <w:i/>
      <w:sz w:val="26"/>
    </w:rPr>
  </w:style>
  <w:style w:type="paragraph" w:customStyle="1" w:styleId="MLWGHeader">
    <w:name w:val="MLWG Header"/>
    <w:basedOn w:val="Normal"/>
    <w:uiPriority w:val="99"/>
    <w:rsid w:val="006255E6"/>
    <w:pPr>
      <w:pBdr>
        <w:bottom w:val="single" w:sz="8" w:space="1" w:color="FFFFFF"/>
      </w:pBdr>
      <w:shd w:val="clear" w:color="auto" w:fill="17365D"/>
      <w:spacing w:line="240" w:lineRule="auto"/>
      <w:jc w:val="right"/>
    </w:pPr>
    <w:rPr>
      <w:rFonts w:eastAsia="Times New Roman"/>
      <w:b/>
      <w:bCs/>
      <w:color w:val="FFFFFF"/>
      <w:szCs w:val="20"/>
      <w:lang w:eastAsia="en-AU"/>
    </w:rPr>
  </w:style>
  <w:style w:type="paragraph" w:customStyle="1" w:styleId="TopLine">
    <w:name w:val="Top Line"/>
    <w:basedOn w:val="Normal"/>
    <w:uiPriority w:val="99"/>
    <w:rsid w:val="00BB43CB"/>
    <w:pPr>
      <w:pBdr>
        <w:bottom w:val="single" w:sz="4" w:space="1" w:color="auto"/>
      </w:pBdr>
      <w:spacing w:after="240"/>
    </w:pPr>
    <w:rPr>
      <w:b/>
    </w:rPr>
  </w:style>
  <w:style w:type="paragraph" w:customStyle="1" w:styleId="Numberedpara">
    <w:name w:val="Numbered para"/>
    <w:basedOn w:val="Normal"/>
    <w:uiPriority w:val="99"/>
    <w:rsid w:val="00BB43CB"/>
    <w:pPr>
      <w:ind w:left="567" w:hanging="567"/>
    </w:pPr>
  </w:style>
  <w:style w:type="paragraph" w:customStyle="1" w:styleId="Dots">
    <w:name w:val="Dots"/>
    <w:basedOn w:val="ListParagraph"/>
    <w:uiPriority w:val="99"/>
    <w:rsid w:val="00BB43CB"/>
    <w:pPr>
      <w:numPr>
        <w:numId w:val="1"/>
      </w:numPr>
    </w:pPr>
  </w:style>
  <w:style w:type="paragraph" w:styleId="ListParagraph">
    <w:name w:val="List Paragraph"/>
    <w:basedOn w:val="Normal"/>
    <w:link w:val="ListParagraphChar"/>
    <w:uiPriority w:val="34"/>
    <w:qFormat/>
    <w:rsid w:val="00BB43CB"/>
    <w:pPr>
      <w:ind w:left="720"/>
      <w:contextualSpacing/>
    </w:pPr>
  </w:style>
  <w:style w:type="paragraph" w:styleId="BalloonText">
    <w:name w:val="Balloon Text"/>
    <w:basedOn w:val="Normal"/>
    <w:link w:val="BalloonTextChar"/>
    <w:rsid w:val="006255E6"/>
    <w:pPr>
      <w:spacing w:line="240" w:lineRule="auto"/>
    </w:pPr>
    <w:rPr>
      <w:rFonts w:ascii="Tahoma" w:hAnsi="Tahoma" w:cs="Tahoma"/>
      <w:sz w:val="16"/>
      <w:szCs w:val="16"/>
    </w:rPr>
  </w:style>
  <w:style w:type="character" w:customStyle="1" w:styleId="BalloonTextChar">
    <w:name w:val="Balloon Text Char"/>
    <w:basedOn w:val="DefaultParagraphFont"/>
    <w:link w:val="BalloonText"/>
    <w:locked/>
    <w:rsid w:val="006255E6"/>
    <w:rPr>
      <w:rFonts w:ascii="Tahoma" w:hAnsi="Tahoma" w:cs="Tahoma"/>
      <w:sz w:val="16"/>
      <w:szCs w:val="16"/>
    </w:rPr>
  </w:style>
  <w:style w:type="paragraph" w:styleId="Header">
    <w:name w:val="header"/>
    <w:basedOn w:val="Normal"/>
    <w:link w:val="HeaderChar"/>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basedOn w:val="DefaultParagraphFont"/>
    <w:link w:val="Header"/>
    <w:locked/>
    <w:rsid w:val="009D48D6"/>
    <w:rPr>
      <w:rFonts w:ascii="Tahoma" w:hAnsi="Tahoma" w:cs="Tahoma"/>
      <w:sz w:val="16"/>
      <w:szCs w:val="16"/>
    </w:rPr>
  </w:style>
  <w:style w:type="paragraph" w:styleId="Footer">
    <w:name w:val="footer"/>
    <w:basedOn w:val="Normal"/>
    <w:link w:val="FooterChar"/>
    <w:uiPriority w:val="99"/>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basedOn w:val="DefaultParagraphFont"/>
    <w:link w:val="Footer"/>
    <w:uiPriority w:val="99"/>
    <w:locked/>
    <w:rsid w:val="009D48D6"/>
    <w:rPr>
      <w:rFonts w:ascii="Tahoma" w:hAnsi="Tahoma" w:cs="Tahoma"/>
      <w:sz w:val="16"/>
      <w:szCs w:val="16"/>
    </w:rPr>
  </w:style>
  <w:style w:type="paragraph" w:customStyle="1" w:styleId="Titlepage">
    <w:name w:val="Title page"/>
    <w:basedOn w:val="Normal"/>
    <w:link w:val="TitlepageChar"/>
    <w:uiPriority w:val="99"/>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pPr>
    <w:rPr>
      <w:rFonts w:ascii="Corbel" w:hAnsi="Corbel" w:cs="Corbel"/>
      <w:color w:val="000000"/>
    </w:rPr>
  </w:style>
  <w:style w:type="character" w:customStyle="1" w:styleId="TitlepageChar">
    <w:name w:val="Title page Char"/>
    <w:basedOn w:val="DefaultParagraphFont"/>
    <w:link w:val="Titlepage"/>
    <w:uiPriority w:val="99"/>
    <w:locked/>
    <w:rsid w:val="009A483B"/>
    <w:rPr>
      <w:rFonts w:ascii="Arial" w:hAnsi="Arial" w:cs="Arial"/>
      <w:b/>
      <w:color w:val="004270"/>
      <w:sz w:val="56"/>
      <w:szCs w:val="56"/>
    </w:rPr>
  </w:style>
  <w:style w:type="paragraph" w:customStyle="1" w:styleId="FromNP">
    <w:name w:val="From NP"/>
    <w:basedOn w:val="Default"/>
    <w:link w:val="FromNPChar"/>
    <w:uiPriority w:val="99"/>
    <w:rsid w:val="009D7F6B"/>
    <w:pPr>
      <w:spacing w:after="195"/>
    </w:pPr>
    <w:rPr>
      <w:sz w:val="23"/>
      <w:szCs w:val="23"/>
    </w:rPr>
  </w:style>
  <w:style w:type="paragraph" w:customStyle="1" w:styleId="TableColumnHeadingCentred">
    <w:name w:val="Table Column Heading Centred"/>
    <w:basedOn w:val="Normal"/>
    <w:uiPriority w:val="99"/>
    <w:rsid w:val="000B6578"/>
    <w:pPr>
      <w:spacing w:before="40" w:after="40" w:line="240" w:lineRule="auto"/>
      <w:jc w:val="center"/>
    </w:pPr>
    <w:rPr>
      <w:rFonts w:ascii="Consolas" w:eastAsia="Times New Roman" w:hAnsi="Consolas"/>
      <w:b/>
      <w:color w:val="3D4B67"/>
      <w:szCs w:val="20"/>
      <w:lang w:eastAsia="en-AU"/>
    </w:rPr>
  </w:style>
  <w:style w:type="character" w:customStyle="1" w:styleId="DefaultChar">
    <w:name w:val="Default Char"/>
    <w:basedOn w:val="DefaultParagraphFont"/>
    <w:link w:val="Default"/>
    <w:uiPriority w:val="99"/>
    <w:locked/>
    <w:rsid w:val="009D7F6B"/>
    <w:rPr>
      <w:rFonts w:ascii="Corbel" w:hAnsi="Corbel" w:cs="Corbel"/>
      <w:color w:val="000000"/>
      <w:sz w:val="24"/>
      <w:szCs w:val="24"/>
      <w:lang w:val="en-AU" w:eastAsia="en-US" w:bidi="ar-SA"/>
    </w:rPr>
  </w:style>
  <w:style w:type="character" w:customStyle="1" w:styleId="FromNPChar">
    <w:name w:val="From NP Char"/>
    <w:basedOn w:val="DefaultChar"/>
    <w:link w:val="FromNP"/>
    <w:uiPriority w:val="99"/>
    <w:locked/>
    <w:rsid w:val="009D7F6B"/>
    <w:rPr>
      <w:rFonts w:ascii="Corbel" w:hAnsi="Corbel" w:cs="Corbel"/>
      <w:color w:val="000000"/>
      <w:sz w:val="24"/>
      <w:szCs w:val="24"/>
      <w:lang w:val="en-AU" w:eastAsia="en-US" w:bidi="ar-SA"/>
    </w:rPr>
  </w:style>
  <w:style w:type="paragraph" w:customStyle="1" w:styleId="TableTextLeft">
    <w:name w:val="Table Text Left"/>
    <w:basedOn w:val="Normal"/>
    <w:uiPriority w:val="99"/>
    <w:rsid w:val="000B6578"/>
    <w:pPr>
      <w:spacing w:before="40" w:after="40" w:line="240" w:lineRule="auto"/>
      <w:jc w:val="both"/>
    </w:pPr>
    <w:rPr>
      <w:rFonts w:ascii="Corbel" w:eastAsia="Times New Roman" w:hAnsi="Corbel"/>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olor w:val="000000"/>
      <w:sz w:val="23"/>
      <w:szCs w:val="20"/>
      <w:lang w:eastAsia="en-AU"/>
    </w:rPr>
  </w:style>
  <w:style w:type="character" w:customStyle="1" w:styleId="NormalnumberedChar">
    <w:name w:val="Normal numbered Char"/>
    <w:basedOn w:val="DefaultParagraphFont"/>
    <w:link w:val="Normalnumbered"/>
    <w:uiPriority w:val="99"/>
    <w:locked/>
    <w:rsid w:val="000B6578"/>
    <w:rPr>
      <w:rFonts w:ascii="Corbel" w:eastAsia="Times New Roman" w:hAnsi="Corbel"/>
      <w:color w:val="000000"/>
      <w:sz w:val="23"/>
      <w:szCs w:val="20"/>
      <w:lang w:eastAsia="en-AU"/>
    </w:rPr>
  </w:style>
  <w:style w:type="table" w:styleId="TableGrid">
    <w:name w:val="Table Grid"/>
    <w:basedOn w:val="TableNormal"/>
    <w:rsid w:val="00AC68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B553AC"/>
    <w:pPr>
      <w:outlineLvl w:val="9"/>
    </w:pPr>
    <w:rPr>
      <w:lang w:val="en-US"/>
    </w:rPr>
  </w:style>
  <w:style w:type="paragraph" w:styleId="TOC2">
    <w:name w:val="toc 2"/>
    <w:basedOn w:val="Normal"/>
    <w:next w:val="Normal"/>
    <w:autoRedefine/>
    <w:uiPriority w:val="39"/>
    <w:rsid w:val="009B0BCC"/>
    <w:pPr>
      <w:tabs>
        <w:tab w:val="left" w:pos="990"/>
        <w:tab w:val="right" w:leader="dot" w:pos="10206"/>
      </w:tabs>
      <w:spacing w:line="240" w:lineRule="auto"/>
      <w:ind w:left="329" w:hanging="329"/>
    </w:pPr>
    <w:rPr>
      <w:rFonts w:cs="Arial"/>
      <w:b/>
    </w:rPr>
  </w:style>
  <w:style w:type="character" w:styleId="Hyperlink">
    <w:name w:val="Hyperlink"/>
    <w:basedOn w:val="DefaultParagraphFont"/>
    <w:uiPriority w:val="99"/>
    <w:rsid w:val="00B553AC"/>
    <w:rPr>
      <w:rFonts w:cs="Times New Roman"/>
      <w:color w:val="0000FF"/>
      <w:u w:val="single"/>
    </w:rPr>
  </w:style>
  <w:style w:type="paragraph" w:styleId="TOC1">
    <w:name w:val="toc 1"/>
    <w:basedOn w:val="Normal"/>
    <w:next w:val="Normal"/>
    <w:autoRedefine/>
    <w:uiPriority w:val="39"/>
    <w:rsid w:val="009B0BCC"/>
    <w:pPr>
      <w:tabs>
        <w:tab w:val="left" w:pos="987"/>
        <w:tab w:val="right" w:leader="dot" w:pos="10206"/>
      </w:tabs>
      <w:spacing w:line="240" w:lineRule="auto"/>
    </w:pPr>
    <w:rPr>
      <w:rFonts w:asciiTheme="majorHAnsi" w:eastAsia="Times New Roman" w:hAnsiTheme="majorHAnsi" w:cs="Arial"/>
      <w:b/>
      <w:noProof/>
      <w:lang w:val="en-US"/>
    </w:rPr>
  </w:style>
  <w:style w:type="paragraph" w:styleId="TOC3">
    <w:name w:val="toc 3"/>
    <w:basedOn w:val="Normal"/>
    <w:next w:val="Normal"/>
    <w:autoRedefine/>
    <w:uiPriority w:val="39"/>
    <w:rsid w:val="009B0BCC"/>
    <w:pPr>
      <w:tabs>
        <w:tab w:val="left" w:pos="987"/>
        <w:tab w:val="right" w:leader="dot" w:pos="10195"/>
      </w:tabs>
      <w:spacing w:line="240" w:lineRule="auto"/>
    </w:pPr>
    <w:rPr>
      <w:rFonts w:eastAsia="Times New Roman"/>
      <w:lang w:val="en-US"/>
    </w:rPr>
  </w:style>
  <w:style w:type="paragraph" w:customStyle="1" w:styleId="Itemnumber">
    <w:name w:val="Item number"/>
    <w:basedOn w:val="Normal"/>
    <w:uiPriority w:val="99"/>
    <w:rsid w:val="0095198F"/>
    <w:pPr>
      <w:spacing w:before="120" w:after="120" w:line="240" w:lineRule="auto"/>
      <w:ind w:left="1440" w:hanging="1440"/>
    </w:pPr>
    <w:rPr>
      <w:rFonts w:eastAsia="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locked/>
    <w:rsid w:val="00AE67DB"/>
    <w:rPr>
      <w:rFonts w:ascii="Times New Roman" w:hAnsi="Times New Roman" w:cs="Times New Roman"/>
      <w:sz w:val="20"/>
      <w:szCs w:val="20"/>
      <w:lang w:eastAsia="en-AU"/>
    </w:rPr>
  </w:style>
  <w:style w:type="character" w:styleId="FootnoteReference">
    <w:name w:val="footnote reference"/>
    <w:basedOn w:val="DefaultParagraphFont"/>
    <w:rsid w:val="00AE67DB"/>
    <w:rPr>
      <w:rFonts w:cs="Times New Roman"/>
      <w:vertAlign w:val="superscript"/>
    </w:rPr>
  </w:style>
  <w:style w:type="paragraph" w:customStyle="1" w:styleId="othertitle">
    <w:name w:val="other title"/>
    <w:basedOn w:val="Heading2"/>
    <w:uiPriority w:val="99"/>
    <w:rsid w:val="00C87393"/>
    <w:pPr>
      <w:spacing w:before="120" w:after="0"/>
    </w:pPr>
  </w:style>
  <w:style w:type="character" w:styleId="Strong">
    <w:name w:val="Strong"/>
    <w:basedOn w:val="DefaultParagraphFont"/>
    <w:qFormat/>
    <w:rsid w:val="001368B0"/>
    <w:rPr>
      <w:rFonts w:cs="Times New Roman"/>
      <w:b/>
      <w:bCs/>
    </w:rPr>
  </w:style>
  <w:style w:type="character" w:styleId="CommentReference">
    <w:name w:val="annotation reference"/>
    <w:basedOn w:val="DefaultParagraphFont"/>
    <w:rsid w:val="00F300BD"/>
    <w:rPr>
      <w:rFonts w:cs="Times New Roman"/>
      <w:sz w:val="16"/>
      <w:szCs w:val="16"/>
    </w:rPr>
  </w:style>
  <w:style w:type="paragraph" w:styleId="CommentText">
    <w:name w:val="annotation text"/>
    <w:basedOn w:val="Normal"/>
    <w:link w:val="CommentTextChar"/>
    <w:rsid w:val="00F300BD"/>
    <w:pPr>
      <w:spacing w:line="240" w:lineRule="auto"/>
    </w:pPr>
    <w:rPr>
      <w:sz w:val="20"/>
      <w:szCs w:val="20"/>
    </w:rPr>
  </w:style>
  <w:style w:type="character" w:customStyle="1" w:styleId="CommentTextChar">
    <w:name w:val="Comment Text Char"/>
    <w:basedOn w:val="DefaultParagraphFont"/>
    <w:link w:val="CommentText"/>
    <w:locked/>
    <w:rsid w:val="00F300BD"/>
    <w:rPr>
      <w:rFonts w:cs="Times New Roman"/>
      <w:sz w:val="20"/>
      <w:szCs w:val="20"/>
    </w:rPr>
  </w:style>
  <w:style w:type="paragraph" w:styleId="CommentSubject">
    <w:name w:val="annotation subject"/>
    <w:basedOn w:val="CommentText"/>
    <w:next w:val="CommentText"/>
    <w:link w:val="CommentSubjectChar"/>
    <w:rsid w:val="00F300BD"/>
    <w:rPr>
      <w:b/>
      <w:bCs/>
    </w:rPr>
  </w:style>
  <w:style w:type="character" w:customStyle="1" w:styleId="CommentSubjectChar">
    <w:name w:val="Comment Subject Char"/>
    <w:basedOn w:val="CommentTextChar"/>
    <w:link w:val="CommentSubject"/>
    <w:locked/>
    <w:rsid w:val="00F300BD"/>
    <w:rPr>
      <w:rFonts w:cs="Times New Roman"/>
      <w:b/>
      <w:bCs/>
      <w:sz w:val="20"/>
      <w:szCs w:val="20"/>
    </w:rPr>
  </w:style>
  <w:style w:type="paragraph" w:styleId="BodyText">
    <w:name w:val="Body Text"/>
    <w:basedOn w:val="Normal"/>
    <w:link w:val="BodyTextChar"/>
    <w:rsid w:val="00646CCE"/>
    <w:pPr>
      <w:spacing w:before="100" w:after="100" w:line="240" w:lineRule="auto"/>
    </w:pPr>
    <w:rPr>
      <w:rFonts w:ascii="Times New Roman" w:hAnsi="Times New Roman"/>
      <w:lang w:eastAsia="en-AU"/>
    </w:rPr>
  </w:style>
  <w:style w:type="character" w:customStyle="1" w:styleId="BodyTextChar">
    <w:name w:val="Body Text Char"/>
    <w:basedOn w:val="DefaultParagraphFont"/>
    <w:link w:val="BodyText"/>
    <w:locked/>
    <w:rsid w:val="00646CCE"/>
    <w:rPr>
      <w:rFonts w:ascii="Times New Roman" w:hAnsi="Times New Roman" w:cs="Times New Roman"/>
      <w:sz w:val="24"/>
      <w:szCs w:val="24"/>
      <w:lang w:eastAsia="en-AU"/>
    </w:rPr>
  </w:style>
  <w:style w:type="character" w:customStyle="1" w:styleId="Emphasis-Underline">
    <w:name w:val="Emphasis - Underline"/>
    <w:basedOn w:val="DefaultParagraphFont"/>
    <w:uiPriority w:val="99"/>
    <w:rsid w:val="00646CCE"/>
    <w:rPr>
      <w:rFonts w:cs="Times New Roman"/>
      <w:u w:val="single"/>
    </w:rPr>
  </w:style>
  <w:style w:type="paragraph" w:styleId="NormalWeb">
    <w:name w:val="Normal (Web)"/>
    <w:basedOn w:val="Normal"/>
    <w:uiPriority w:val="99"/>
    <w:rsid w:val="00B47539"/>
    <w:pPr>
      <w:spacing w:before="100" w:beforeAutospacing="1" w:after="100" w:afterAutospacing="1" w:line="240" w:lineRule="auto"/>
    </w:pPr>
    <w:rPr>
      <w:rFonts w:ascii="Times New Roman" w:eastAsia="Times New Roman" w:hAnsi="Times New Roman"/>
      <w:lang w:eastAsia="en-AU"/>
    </w:rPr>
  </w:style>
  <w:style w:type="paragraph" w:customStyle="1" w:styleId="msolistparagraph0">
    <w:name w:val="msolistparagraph"/>
    <w:basedOn w:val="Normal"/>
    <w:uiPriority w:val="99"/>
    <w:rsid w:val="00A352A0"/>
    <w:pPr>
      <w:spacing w:line="240" w:lineRule="auto"/>
      <w:ind w:left="720"/>
    </w:pPr>
    <w:rPr>
      <w:rFonts w:ascii="Arial" w:hAnsi="Arial" w:cs="Arial"/>
      <w:lang w:eastAsia="en-AU"/>
    </w:rPr>
  </w:style>
  <w:style w:type="paragraph" w:customStyle="1" w:styleId="listparagraph0">
    <w:name w:val="listparagraph"/>
    <w:basedOn w:val="Normal"/>
    <w:uiPriority w:val="99"/>
    <w:rsid w:val="00266D34"/>
    <w:pPr>
      <w:ind w:left="720"/>
    </w:pPr>
    <w:rPr>
      <w:lang w:eastAsia="en-AU"/>
    </w:rPr>
  </w:style>
  <w:style w:type="paragraph" w:customStyle="1" w:styleId="Indent1">
    <w:name w:val="Indent 1"/>
    <w:basedOn w:val="Normal"/>
    <w:rsid w:val="00440619"/>
    <w:pPr>
      <w:spacing w:line="240" w:lineRule="auto"/>
      <w:ind w:left="567"/>
      <w:jc w:val="both"/>
    </w:pPr>
    <w:rPr>
      <w:rFonts w:ascii="Arial" w:eastAsia="Times New Roman" w:hAnsi="Arial"/>
      <w:lang w:eastAsia="en-AU"/>
    </w:rPr>
  </w:style>
  <w:style w:type="paragraph" w:customStyle="1" w:styleId="MAINtab">
    <w:name w:val="MAIN tab"/>
    <w:basedOn w:val="Normal"/>
    <w:autoRedefine/>
    <w:uiPriority w:val="99"/>
    <w:rsid w:val="007E787F"/>
    <w:pPr>
      <w:spacing w:line="240" w:lineRule="auto"/>
      <w:ind w:left="660" w:hanging="660"/>
      <w:jc w:val="both"/>
    </w:pPr>
    <w:rPr>
      <w:rFonts w:ascii="Arial" w:eastAsia="Times New Roman" w:hAnsi="Arial" w:cs="Arial"/>
      <w:b/>
      <w:color w:val="FF0000"/>
      <w:lang w:eastAsia="en-AU"/>
    </w:rPr>
  </w:style>
  <w:style w:type="character" w:customStyle="1" w:styleId="CharChar3">
    <w:name w:val="Char Char3"/>
    <w:basedOn w:val="DefaultParagraphFont"/>
    <w:uiPriority w:val="99"/>
    <w:semiHidden/>
    <w:locked/>
    <w:rsid w:val="000D3C06"/>
    <w:rPr>
      <w:rFonts w:ascii="Times New Roman" w:hAnsi="Times New Roman" w:cs="Times New Roman"/>
      <w:sz w:val="20"/>
      <w:szCs w:val="20"/>
      <w:lang w:eastAsia="en-AU"/>
    </w:rPr>
  </w:style>
  <w:style w:type="paragraph" w:customStyle="1" w:styleId="Pa1">
    <w:name w:val="Pa1"/>
    <w:basedOn w:val="Default"/>
    <w:next w:val="Default"/>
    <w:uiPriority w:val="99"/>
    <w:rsid w:val="00A31E51"/>
    <w:pPr>
      <w:spacing w:line="171" w:lineRule="atLeast"/>
    </w:pPr>
    <w:rPr>
      <w:rFonts w:ascii="Aller Light" w:hAnsi="Aller Light" w:cs="Times New Roman"/>
      <w:color w:val="auto"/>
      <w:lang w:eastAsia="en-AU"/>
    </w:rPr>
  </w:style>
  <w:style w:type="character" w:customStyle="1" w:styleId="CharChar">
    <w:name w:val="Char Char"/>
    <w:basedOn w:val="DefaultParagraphFont"/>
    <w:uiPriority w:val="99"/>
    <w:rsid w:val="00A31E51"/>
    <w:rPr>
      <w:rFonts w:cs="Times New Roman"/>
      <w:sz w:val="24"/>
      <w:szCs w:val="24"/>
    </w:rPr>
  </w:style>
  <w:style w:type="character" w:customStyle="1" w:styleId="st1">
    <w:name w:val="st1"/>
    <w:basedOn w:val="DefaultParagraphFont"/>
    <w:uiPriority w:val="99"/>
    <w:rsid w:val="00A31E51"/>
    <w:rPr>
      <w:rFonts w:cs="Times New Roman"/>
    </w:rPr>
  </w:style>
  <w:style w:type="numbering" w:customStyle="1" w:styleId="Style1">
    <w:name w:val="Style1"/>
    <w:rsid w:val="00B338FA"/>
    <w:pPr>
      <w:numPr>
        <w:numId w:val="13"/>
      </w:numPr>
    </w:pPr>
  </w:style>
  <w:style w:type="character" w:customStyle="1" w:styleId="Heading4Char">
    <w:name w:val="Heading 4 Char"/>
    <w:basedOn w:val="DefaultParagraphFont"/>
    <w:link w:val="Heading4"/>
    <w:rsid w:val="008A6EA4"/>
    <w:rPr>
      <w:rFonts w:asciiTheme="majorHAnsi" w:eastAsiaTheme="majorEastAsia" w:hAnsiTheme="majorHAnsi" w:cstheme="majorBidi"/>
      <w:b/>
      <w:bCs/>
      <w:iCs/>
      <w:u w:val="single"/>
    </w:rPr>
  </w:style>
  <w:style w:type="paragraph" w:styleId="TOC4">
    <w:name w:val="toc 4"/>
    <w:basedOn w:val="Normal"/>
    <w:next w:val="Normal"/>
    <w:autoRedefine/>
    <w:uiPriority w:val="39"/>
    <w:locked/>
    <w:rsid w:val="009B0BCC"/>
    <w:pPr>
      <w:tabs>
        <w:tab w:val="left" w:pos="993"/>
        <w:tab w:val="left" w:pos="1985"/>
        <w:tab w:val="right" w:leader="dot" w:pos="9628"/>
      </w:tabs>
      <w:spacing w:line="240" w:lineRule="auto"/>
      <w:ind w:left="993"/>
      <w:jc w:val="center"/>
    </w:pPr>
  </w:style>
  <w:style w:type="character" w:customStyle="1" w:styleId="Heading5Char">
    <w:name w:val="Heading 5 Char"/>
    <w:basedOn w:val="DefaultParagraphFont"/>
    <w:link w:val="Heading5"/>
    <w:rsid w:val="00283935"/>
    <w:rPr>
      <w:rFonts w:asciiTheme="majorHAnsi" w:eastAsiaTheme="majorEastAsia" w:hAnsiTheme="majorHAnsi" w:cstheme="majorBidi"/>
      <w:color w:val="6E6E6E" w:themeColor="accent1" w:themeShade="7F"/>
      <w:lang w:eastAsia="en-US"/>
    </w:rPr>
  </w:style>
  <w:style w:type="paragraph" w:customStyle="1" w:styleId="boldheadings">
    <w:name w:val="bold headings"/>
    <w:basedOn w:val="Normal"/>
    <w:link w:val="boldheadingsChar"/>
    <w:qFormat/>
    <w:rsid w:val="0020726D"/>
    <w:pPr>
      <w:spacing w:line="240" w:lineRule="auto"/>
    </w:pPr>
    <w:rPr>
      <w:rFonts w:asciiTheme="majorHAnsi" w:hAnsiTheme="majorHAnsi" w:cs="Arial"/>
      <w:b/>
    </w:rPr>
  </w:style>
  <w:style w:type="character" w:customStyle="1" w:styleId="boldheadingsChar">
    <w:name w:val="bold headings Char"/>
    <w:basedOn w:val="DefaultParagraphFont"/>
    <w:link w:val="boldheadings"/>
    <w:rsid w:val="0020726D"/>
    <w:rPr>
      <w:rFonts w:asciiTheme="majorHAnsi" w:hAnsiTheme="majorHAnsi" w:cs="Arial"/>
      <w:b/>
    </w:rPr>
  </w:style>
  <w:style w:type="paragraph" w:styleId="Revision">
    <w:name w:val="Revision"/>
    <w:hidden/>
    <w:uiPriority w:val="99"/>
    <w:semiHidden/>
    <w:rsid w:val="001D29AC"/>
  </w:style>
  <w:style w:type="table" w:customStyle="1" w:styleId="TableGrid1">
    <w:name w:val="Table Grid1"/>
    <w:basedOn w:val="TableNormal"/>
    <w:next w:val="TableGrid"/>
    <w:rsid w:val="00113CD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95A1A"/>
  </w:style>
  <w:style w:type="table" w:customStyle="1" w:styleId="TableGrid2">
    <w:name w:val="Table Grid2"/>
    <w:basedOn w:val="TableNormal"/>
    <w:next w:val="TableGrid"/>
    <w:rsid w:val="00D95A1A"/>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95A1A"/>
    <w:rPr>
      <w:rFonts w:eastAsia="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
    <w:name w:val="Caption1"/>
    <w:basedOn w:val="Normal"/>
    <w:next w:val="Normal"/>
    <w:unhideWhenUsed/>
    <w:qFormat/>
    <w:rsid w:val="00D95A1A"/>
    <w:pPr>
      <w:spacing w:after="200" w:line="240" w:lineRule="auto"/>
    </w:pPr>
    <w:rPr>
      <w:rFonts w:eastAsia="Times New Roman"/>
      <w:b/>
      <w:bCs/>
      <w:color w:val="4F81BD"/>
      <w:sz w:val="18"/>
      <w:szCs w:val="18"/>
      <w:lang w:eastAsia="en-AU"/>
    </w:rPr>
  </w:style>
  <w:style w:type="numbering" w:customStyle="1" w:styleId="NoList2">
    <w:name w:val="No List2"/>
    <w:next w:val="NoList"/>
    <w:uiPriority w:val="99"/>
    <w:semiHidden/>
    <w:unhideWhenUsed/>
    <w:rsid w:val="00065ACE"/>
  </w:style>
  <w:style w:type="paragraph" w:customStyle="1" w:styleId="IntenseQuote1">
    <w:name w:val="Intense Quote1"/>
    <w:basedOn w:val="Normal"/>
    <w:next w:val="Normal"/>
    <w:uiPriority w:val="30"/>
    <w:qFormat/>
    <w:rsid w:val="00065ACE"/>
    <w:pPr>
      <w:pBdr>
        <w:bottom w:val="single" w:sz="4" w:space="4" w:color="4F81BD"/>
      </w:pBdr>
      <w:spacing w:before="200" w:after="280" w:line="240" w:lineRule="auto"/>
      <w:ind w:left="936" w:right="936"/>
    </w:pPr>
    <w:rPr>
      <w:rFonts w:ascii="Times New Roman" w:eastAsia="Times New Roman" w:hAnsi="Times New Roman"/>
      <w:b/>
      <w:bCs/>
      <w:i/>
      <w:iCs/>
      <w:color w:val="4F81BD"/>
      <w:szCs w:val="20"/>
    </w:rPr>
  </w:style>
  <w:style w:type="character" w:customStyle="1" w:styleId="IntenseQuoteChar">
    <w:name w:val="Intense Quote Char"/>
    <w:basedOn w:val="DefaultParagraphFont"/>
    <w:link w:val="IntenseQuote"/>
    <w:uiPriority w:val="30"/>
    <w:rsid w:val="00065ACE"/>
    <w:rPr>
      <w:b/>
      <w:bCs/>
      <w:i/>
      <w:iCs/>
      <w:color w:val="4F81BD"/>
      <w:sz w:val="24"/>
      <w:lang w:eastAsia="en-US"/>
    </w:rPr>
  </w:style>
  <w:style w:type="character" w:styleId="Emphasis">
    <w:name w:val="Emphasis"/>
    <w:basedOn w:val="DefaultParagraphFont"/>
    <w:uiPriority w:val="20"/>
    <w:qFormat/>
    <w:locked/>
    <w:rsid w:val="00065ACE"/>
    <w:rPr>
      <w:i/>
      <w:iCs/>
    </w:rPr>
  </w:style>
  <w:style w:type="paragraph" w:customStyle="1" w:styleId="Ahead">
    <w:name w:val="Ahead"/>
    <w:basedOn w:val="Normal"/>
    <w:qFormat/>
    <w:rsid w:val="00065ACE"/>
    <w:pPr>
      <w:spacing w:after="120" w:line="240" w:lineRule="auto"/>
    </w:pPr>
    <w:rPr>
      <w:rFonts w:ascii="Times New Roman" w:hAnsi="Times New Roman"/>
      <w:b/>
      <w:sz w:val="28"/>
      <w:lang w:val="en-US"/>
    </w:rPr>
  </w:style>
  <w:style w:type="paragraph" w:customStyle="1" w:styleId="text">
    <w:name w:val="text"/>
    <w:basedOn w:val="BodyText"/>
    <w:qFormat/>
    <w:rsid w:val="00065ACE"/>
    <w:pPr>
      <w:spacing w:before="120" w:after="120"/>
      <w:ind w:right="34"/>
    </w:pPr>
    <w:rPr>
      <w:rFonts w:ascii="Calibri" w:eastAsia="Times New Roman" w:hAnsi="Calibri" w:cs="Calibri"/>
      <w:sz w:val="22"/>
      <w:szCs w:val="22"/>
      <w:lang w:val="en-US" w:eastAsia="en-US"/>
    </w:rPr>
  </w:style>
  <w:style w:type="paragraph" w:styleId="NoSpacing">
    <w:name w:val="No Spacing"/>
    <w:uiPriority w:val="1"/>
    <w:qFormat/>
    <w:rsid w:val="00065ACE"/>
    <w:rPr>
      <w:sz w:val="22"/>
      <w:szCs w:val="22"/>
    </w:rPr>
  </w:style>
  <w:style w:type="paragraph" w:customStyle="1" w:styleId="dpReclev2">
    <w:name w:val="dp Rec lev2"/>
    <w:basedOn w:val="Normal"/>
    <w:qFormat/>
    <w:rsid w:val="00065ACE"/>
    <w:pPr>
      <w:numPr>
        <w:numId w:val="89"/>
      </w:numPr>
      <w:tabs>
        <w:tab w:val="clear" w:pos="1070"/>
        <w:tab w:val="right" w:leader="dot" w:pos="9639"/>
      </w:tabs>
      <w:spacing w:after="200" w:line="252" w:lineRule="auto"/>
      <w:ind w:left="360"/>
      <w:contextualSpacing/>
    </w:pPr>
    <w:rPr>
      <w:rFonts w:ascii="Cambria" w:eastAsia="Times New Roman" w:hAnsi="Cambria"/>
      <w:noProof/>
      <w:sz w:val="22"/>
      <w:szCs w:val="22"/>
    </w:rPr>
  </w:style>
  <w:style w:type="paragraph" w:customStyle="1" w:styleId="TOC51">
    <w:name w:val="TOC 51"/>
    <w:basedOn w:val="Normal"/>
    <w:next w:val="Normal"/>
    <w:autoRedefine/>
    <w:rsid w:val="00065ACE"/>
    <w:pPr>
      <w:spacing w:line="240" w:lineRule="auto"/>
      <w:ind w:left="960"/>
    </w:pPr>
    <w:rPr>
      <w:rFonts w:eastAsia="Times New Roman" w:cs="Calibri"/>
      <w:sz w:val="18"/>
      <w:szCs w:val="18"/>
    </w:rPr>
  </w:style>
  <w:style w:type="paragraph" w:customStyle="1" w:styleId="TOC61">
    <w:name w:val="TOC 61"/>
    <w:basedOn w:val="Normal"/>
    <w:next w:val="Normal"/>
    <w:autoRedefine/>
    <w:rsid w:val="00065ACE"/>
    <w:pPr>
      <w:spacing w:line="240" w:lineRule="auto"/>
      <w:ind w:left="1200"/>
    </w:pPr>
    <w:rPr>
      <w:rFonts w:eastAsia="Times New Roman" w:cs="Calibri"/>
      <w:sz w:val="18"/>
      <w:szCs w:val="18"/>
    </w:rPr>
  </w:style>
  <w:style w:type="paragraph" w:customStyle="1" w:styleId="TOC71">
    <w:name w:val="TOC 71"/>
    <w:basedOn w:val="Normal"/>
    <w:next w:val="Normal"/>
    <w:autoRedefine/>
    <w:rsid w:val="00065ACE"/>
    <w:pPr>
      <w:spacing w:line="240" w:lineRule="auto"/>
      <w:ind w:left="1440"/>
    </w:pPr>
    <w:rPr>
      <w:rFonts w:eastAsia="Times New Roman" w:cs="Calibri"/>
      <w:sz w:val="18"/>
      <w:szCs w:val="18"/>
    </w:rPr>
  </w:style>
  <w:style w:type="paragraph" w:customStyle="1" w:styleId="TOC81">
    <w:name w:val="TOC 81"/>
    <w:basedOn w:val="Normal"/>
    <w:next w:val="Normal"/>
    <w:autoRedefine/>
    <w:rsid w:val="00065ACE"/>
    <w:pPr>
      <w:spacing w:line="240" w:lineRule="auto"/>
      <w:ind w:left="1680"/>
    </w:pPr>
    <w:rPr>
      <w:rFonts w:eastAsia="Times New Roman" w:cs="Calibri"/>
      <w:sz w:val="18"/>
      <w:szCs w:val="18"/>
    </w:rPr>
  </w:style>
  <w:style w:type="paragraph" w:customStyle="1" w:styleId="TOC91">
    <w:name w:val="TOC 91"/>
    <w:basedOn w:val="Normal"/>
    <w:next w:val="Normal"/>
    <w:autoRedefine/>
    <w:rsid w:val="00065ACE"/>
    <w:pPr>
      <w:spacing w:line="240" w:lineRule="auto"/>
      <w:ind w:left="1920"/>
    </w:pPr>
    <w:rPr>
      <w:rFonts w:eastAsia="Times New Roman" w:cs="Calibri"/>
      <w:sz w:val="18"/>
      <w:szCs w:val="18"/>
    </w:rPr>
  </w:style>
  <w:style w:type="table" w:customStyle="1" w:styleId="TableGrid3">
    <w:name w:val="Table Grid3"/>
    <w:basedOn w:val="TableNormal"/>
    <w:next w:val="TableGrid"/>
    <w:rsid w:val="00065ACE"/>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1"/>
    <w:basedOn w:val="ListParagraph"/>
    <w:next w:val="ListBullet"/>
    <w:rsid w:val="00065ACE"/>
    <w:pPr>
      <w:numPr>
        <w:numId w:val="90"/>
      </w:numPr>
      <w:spacing w:line="240" w:lineRule="auto"/>
      <w:ind w:left="360"/>
      <w:contextualSpacing w:val="0"/>
    </w:pPr>
    <w:rPr>
      <w:rFonts w:eastAsia="Times New Roman" w:cs="Calibri"/>
      <w:sz w:val="22"/>
      <w:szCs w:val="22"/>
    </w:rPr>
  </w:style>
  <w:style w:type="paragraph" w:styleId="ListBullet2">
    <w:name w:val="List Bullet 2"/>
    <w:basedOn w:val="ListParagraph"/>
    <w:rsid w:val="00065ACE"/>
    <w:pPr>
      <w:framePr w:hSpace="180" w:wrap="around" w:vAnchor="text" w:hAnchor="margin" w:xAlign="center" w:y="14"/>
      <w:numPr>
        <w:numId w:val="91"/>
      </w:numPr>
      <w:tabs>
        <w:tab w:val="left" w:pos="284"/>
      </w:tabs>
      <w:spacing w:line="240" w:lineRule="auto"/>
    </w:pPr>
    <w:rPr>
      <w:rFonts w:eastAsia="Times New Roman" w:cs="Calibri"/>
      <w:sz w:val="20"/>
      <w:szCs w:val="20"/>
    </w:rPr>
  </w:style>
  <w:style w:type="paragraph" w:customStyle="1" w:styleId="Title1">
    <w:name w:val="Title1"/>
    <w:basedOn w:val="Normal"/>
    <w:next w:val="Normal"/>
    <w:qFormat/>
    <w:rsid w:val="00065ACE"/>
    <w:pPr>
      <w:spacing w:line="240" w:lineRule="auto"/>
      <w:jc w:val="right"/>
    </w:pPr>
    <w:rPr>
      <w:rFonts w:eastAsia="Times New Roman" w:cs="Calibri"/>
      <w:b/>
      <w:color w:val="165788"/>
      <w:sz w:val="56"/>
      <w:szCs w:val="56"/>
    </w:rPr>
  </w:style>
  <w:style w:type="character" w:customStyle="1" w:styleId="TitleChar">
    <w:name w:val="Title Char"/>
    <w:basedOn w:val="DefaultParagraphFont"/>
    <w:link w:val="Title"/>
    <w:rsid w:val="00065ACE"/>
    <w:rPr>
      <w:rFonts w:ascii="Calibri" w:hAnsi="Calibri" w:cs="Calibri"/>
      <w:b/>
      <w:color w:val="165788"/>
      <w:sz w:val="56"/>
      <w:szCs w:val="56"/>
      <w:lang w:eastAsia="en-US"/>
    </w:rPr>
  </w:style>
  <w:style w:type="paragraph" w:customStyle="1" w:styleId="Subtitle1">
    <w:name w:val="Subtitle1"/>
    <w:basedOn w:val="Normal"/>
    <w:next w:val="Normal"/>
    <w:qFormat/>
    <w:rsid w:val="00065ACE"/>
    <w:pPr>
      <w:spacing w:line="240" w:lineRule="auto"/>
      <w:jc w:val="right"/>
    </w:pPr>
    <w:rPr>
      <w:rFonts w:eastAsia="Times New Roman" w:cs="Calibri"/>
      <w:b/>
      <w:color w:val="165788"/>
      <w:sz w:val="52"/>
      <w:szCs w:val="52"/>
    </w:rPr>
  </w:style>
  <w:style w:type="character" w:customStyle="1" w:styleId="SubtitleChar">
    <w:name w:val="Subtitle Char"/>
    <w:basedOn w:val="DefaultParagraphFont"/>
    <w:link w:val="Subtitle"/>
    <w:rsid w:val="00065ACE"/>
    <w:rPr>
      <w:rFonts w:ascii="Calibri" w:hAnsi="Calibri" w:cs="Calibri"/>
      <w:b/>
      <w:color w:val="165788"/>
      <w:sz w:val="52"/>
      <w:szCs w:val="52"/>
      <w:lang w:eastAsia="en-US"/>
    </w:rPr>
  </w:style>
  <w:style w:type="paragraph" w:styleId="BodyText2">
    <w:name w:val="Body Text 2"/>
    <w:basedOn w:val="BodyText"/>
    <w:link w:val="BodyText2Char"/>
    <w:rsid w:val="00065ACE"/>
    <w:pPr>
      <w:spacing w:before="0" w:after="120"/>
      <w:ind w:right="34"/>
    </w:pPr>
    <w:rPr>
      <w:rFonts w:ascii="Calibri" w:eastAsia="Times New Roman" w:hAnsi="Calibri" w:cs="Calibri"/>
      <w:sz w:val="22"/>
      <w:szCs w:val="22"/>
      <w:lang w:val="en-US"/>
    </w:rPr>
  </w:style>
  <w:style w:type="character" w:customStyle="1" w:styleId="BodyText2Char">
    <w:name w:val="Body Text 2 Char"/>
    <w:basedOn w:val="DefaultParagraphFont"/>
    <w:link w:val="BodyText2"/>
    <w:rsid w:val="00065ACE"/>
    <w:rPr>
      <w:rFonts w:eastAsia="Times New Roman" w:cs="Calibri"/>
      <w:sz w:val="22"/>
      <w:szCs w:val="22"/>
      <w:lang w:val="en-US" w:eastAsia="en-AU"/>
    </w:rPr>
  </w:style>
  <w:style w:type="paragraph" w:customStyle="1" w:styleId="VersionControl">
    <w:name w:val="Version Control"/>
    <w:basedOn w:val="Normal"/>
    <w:qFormat/>
    <w:rsid w:val="00065ACE"/>
    <w:pPr>
      <w:spacing w:line="240" w:lineRule="auto"/>
      <w:jc w:val="center"/>
    </w:pPr>
    <w:rPr>
      <w:rFonts w:eastAsia="Times New Roman" w:cs="Calibri"/>
      <w:b/>
      <w:szCs w:val="20"/>
      <w:lang w:eastAsia="en-AU"/>
    </w:rPr>
  </w:style>
  <w:style w:type="paragraph" w:styleId="TableofFigures">
    <w:name w:val="table of figures"/>
    <w:basedOn w:val="Normal"/>
    <w:next w:val="text"/>
    <w:qFormat/>
    <w:rsid w:val="00065ACE"/>
    <w:pPr>
      <w:spacing w:line="240" w:lineRule="auto"/>
      <w:jc w:val="center"/>
    </w:pPr>
    <w:rPr>
      <w:rFonts w:eastAsia="Times New Roman" w:cs="Calibri"/>
      <w:color w:val="000000"/>
      <w:sz w:val="20"/>
      <w:szCs w:val="20"/>
    </w:rPr>
  </w:style>
  <w:style w:type="paragraph" w:styleId="PlainText">
    <w:name w:val="Plain Text"/>
    <w:basedOn w:val="Normal"/>
    <w:link w:val="PlainTextChar"/>
    <w:rsid w:val="00065ACE"/>
    <w:pPr>
      <w:framePr w:hSpace="180" w:wrap="around" w:vAnchor="text" w:hAnchor="margin" w:xAlign="center" w:y="14"/>
      <w:spacing w:line="240" w:lineRule="auto"/>
    </w:pPr>
    <w:rPr>
      <w:rFonts w:eastAsia="Times New Roman" w:cs="Calibri"/>
      <w:sz w:val="20"/>
      <w:szCs w:val="20"/>
      <w:lang w:eastAsia="en-AU"/>
    </w:rPr>
  </w:style>
  <w:style w:type="character" w:customStyle="1" w:styleId="PlainTextChar">
    <w:name w:val="Plain Text Char"/>
    <w:basedOn w:val="DefaultParagraphFont"/>
    <w:link w:val="PlainText"/>
    <w:rsid w:val="00065ACE"/>
    <w:rPr>
      <w:rFonts w:eastAsia="Times New Roman" w:cs="Calibri"/>
      <w:sz w:val="20"/>
      <w:szCs w:val="20"/>
      <w:lang w:eastAsia="en-AU"/>
    </w:rPr>
  </w:style>
  <w:style w:type="character" w:customStyle="1" w:styleId="ListParagraphChar">
    <w:name w:val="List Paragraph Char"/>
    <w:basedOn w:val="DefaultParagraphFont"/>
    <w:link w:val="ListParagraph"/>
    <w:uiPriority w:val="34"/>
    <w:locked/>
    <w:rsid w:val="00065ACE"/>
  </w:style>
  <w:style w:type="paragraph" w:customStyle="1" w:styleId="TableColumnHeading">
    <w:name w:val="Table Column Heading"/>
    <w:basedOn w:val="Normal"/>
    <w:qFormat/>
    <w:rsid w:val="00065ACE"/>
    <w:pPr>
      <w:spacing w:line="240" w:lineRule="auto"/>
      <w:jc w:val="center"/>
    </w:pPr>
    <w:rPr>
      <w:rFonts w:eastAsia="Times New Roman" w:cs="Calibri"/>
      <w:b/>
      <w:bCs/>
      <w:sz w:val="22"/>
      <w:szCs w:val="22"/>
      <w:lang w:eastAsia="en-AU"/>
    </w:rPr>
  </w:style>
  <w:style w:type="paragraph" w:customStyle="1" w:styleId="Quote1">
    <w:name w:val="Quote1"/>
    <w:basedOn w:val="Normal"/>
    <w:next w:val="Normal"/>
    <w:uiPriority w:val="29"/>
    <w:qFormat/>
    <w:rsid w:val="00065ACE"/>
    <w:pPr>
      <w:spacing w:line="240" w:lineRule="auto"/>
    </w:pPr>
    <w:rPr>
      <w:rFonts w:ascii="Times New Roman" w:eastAsia="Times New Roman" w:hAnsi="Times New Roman"/>
      <w:i/>
      <w:iCs/>
      <w:color w:val="000000"/>
      <w:szCs w:val="20"/>
    </w:rPr>
  </w:style>
  <w:style w:type="character" w:customStyle="1" w:styleId="QuoteChar">
    <w:name w:val="Quote Char"/>
    <w:basedOn w:val="DefaultParagraphFont"/>
    <w:link w:val="Quote"/>
    <w:uiPriority w:val="29"/>
    <w:rsid w:val="00065ACE"/>
    <w:rPr>
      <w:i/>
      <w:iCs/>
      <w:color w:val="000000"/>
      <w:sz w:val="24"/>
      <w:lang w:eastAsia="en-US"/>
    </w:rPr>
  </w:style>
  <w:style w:type="paragraph" w:styleId="IntenseQuote">
    <w:name w:val="Intense Quote"/>
    <w:basedOn w:val="Normal"/>
    <w:next w:val="Normal"/>
    <w:link w:val="IntenseQuoteChar"/>
    <w:uiPriority w:val="30"/>
    <w:qFormat/>
    <w:rsid w:val="00065ACE"/>
    <w:pPr>
      <w:pBdr>
        <w:bottom w:val="single" w:sz="4" w:space="4" w:color="DDDDDD" w:themeColor="accent1"/>
      </w:pBdr>
      <w:spacing w:before="200" w:after="280"/>
      <w:ind w:left="936" w:right="936"/>
    </w:pPr>
    <w:rPr>
      <w:b/>
      <w:bCs/>
      <w:i/>
      <w:iCs/>
      <w:color w:val="4F81BD"/>
    </w:rPr>
  </w:style>
  <w:style w:type="character" w:customStyle="1" w:styleId="IntenseQuoteChar1">
    <w:name w:val="Intense Quote Char1"/>
    <w:basedOn w:val="DefaultParagraphFont"/>
    <w:uiPriority w:val="30"/>
    <w:rsid w:val="00065ACE"/>
    <w:rPr>
      <w:b/>
      <w:bCs/>
      <w:i/>
      <w:iCs/>
      <w:color w:val="DDDDDD" w:themeColor="accent1"/>
    </w:rPr>
  </w:style>
  <w:style w:type="paragraph" w:styleId="ListBullet">
    <w:name w:val="List Bullet"/>
    <w:basedOn w:val="Normal"/>
    <w:uiPriority w:val="99"/>
    <w:semiHidden/>
    <w:unhideWhenUsed/>
    <w:rsid w:val="00065ACE"/>
    <w:pPr>
      <w:numPr>
        <w:numId w:val="87"/>
      </w:numPr>
      <w:contextualSpacing/>
    </w:pPr>
  </w:style>
  <w:style w:type="paragraph" w:styleId="Title">
    <w:name w:val="Title"/>
    <w:basedOn w:val="Normal"/>
    <w:next w:val="Normal"/>
    <w:link w:val="TitleChar"/>
    <w:qFormat/>
    <w:locked/>
    <w:rsid w:val="00065ACE"/>
    <w:pPr>
      <w:pBdr>
        <w:bottom w:val="single" w:sz="8" w:space="4" w:color="DDDDDD" w:themeColor="accent1"/>
      </w:pBdr>
      <w:spacing w:after="300" w:line="240" w:lineRule="auto"/>
      <w:contextualSpacing/>
    </w:pPr>
    <w:rPr>
      <w:rFonts w:cs="Calibri"/>
      <w:b/>
      <w:color w:val="165788"/>
      <w:sz w:val="56"/>
      <w:szCs w:val="56"/>
    </w:rPr>
  </w:style>
  <w:style w:type="character" w:customStyle="1" w:styleId="TitleChar1">
    <w:name w:val="Title Char1"/>
    <w:basedOn w:val="DefaultParagraphFont"/>
    <w:rsid w:val="00065ACE"/>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qFormat/>
    <w:locked/>
    <w:rsid w:val="00065ACE"/>
    <w:pPr>
      <w:numPr>
        <w:ilvl w:val="1"/>
      </w:numPr>
    </w:pPr>
    <w:rPr>
      <w:rFonts w:cs="Calibri"/>
      <w:b/>
      <w:color w:val="165788"/>
      <w:sz w:val="52"/>
      <w:szCs w:val="52"/>
    </w:rPr>
  </w:style>
  <w:style w:type="character" w:customStyle="1" w:styleId="SubtitleChar1">
    <w:name w:val="Subtitle Char1"/>
    <w:basedOn w:val="DefaultParagraphFont"/>
    <w:rsid w:val="00065ACE"/>
    <w:rPr>
      <w:rFonts w:asciiTheme="majorHAnsi" w:eastAsiaTheme="majorEastAsia" w:hAnsiTheme="majorHAnsi" w:cstheme="majorBidi"/>
      <w:i/>
      <w:iCs/>
      <w:color w:val="DDDDDD" w:themeColor="accent1"/>
      <w:spacing w:val="15"/>
    </w:rPr>
  </w:style>
  <w:style w:type="paragraph" w:styleId="Quote">
    <w:name w:val="Quote"/>
    <w:basedOn w:val="Normal"/>
    <w:next w:val="Normal"/>
    <w:link w:val="QuoteChar"/>
    <w:uiPriority w:val="29"/>
    <w:qFormat/>
    <w:rsid w:val="00065ACE"/>
    <w:rPr>
      <w:i/>
      <w:iCs/>
      <w:color w:val="000000"/>
    </w:rPr>
  </w:style>
  <w:style w:type="character" w:customStyle="1" w:styleId="QuoteChar1">
    <w:name w:val="Quote Char1"/>
    <w:basedOn w:val="DefaultParagraphFont"/>
    <w:uiPriority w:val="29"/>
    <w:rsid w:val="00065ACE"/>
    <w:rPr>
      <w:i/>
      <w:iCs/>
      <w:color w:val="000000" w:themeColor="text1"/>
    </w:rPr>
  </w:style>
  <w:style w:type="paragraph" w:styleId="TOC5">
    <w:name w:val="toc 5"/>
    <w:basedOn w:val="Normal"/>
    <w:next w:val="Normal"/>
    <w:autoRedefine/>
    <w:uiPriority w:val="39"/>
    <w:unhideWhenUsed/>
    <w:locked/>
    <w:rsid w:val="00CC47AD"/>
    <w:pPr>
      <w:spacing w:after="100"/>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locked/>
    <w:rsid w:val="00CC47AD"/>
    <w:pPr>
      <w:spacing w:after="100"/>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locked/>
    <w:rsid w:val="00CC47AD"/>
    <w:pPr>
      <w:spacing w:after="100"/>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locked/>
    <w:rsid w:val="00CC47AD"/>
    <w:pPr>
      <w:spacing w:after="100"/>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locked/>
    <w:rsid w:val="00CC47AD"/>
    <w:pPr>
      <w:spacing w:after="100"/>
      <w:ind w:left="1760"/>
    </w:pPr>
    <w:rPr>
      <w:rFonts w:asciiTheme="minorHAnsi" w:eastAsiaTheme="minorEastAsia" w:hAnsiTheme="minorHAnsi" w:cstheme="minorBidi"/>
      <w:sz w:val="22"/>
      <w:szCs w:val="22"/>
      <w:lang w:eastAsia="en-AU"/>
    </w:rPr>
  </w:style>
  <w:style w:type="character" w:customStyle="1" w:styleId="Heading6Char">
    <w:name w:val="Heading 6 Char"/>
    <w:basedOn w:val="DefaultParagraphFont"/>
    <w:link w:val="Heading6"/>
    <w:rsid w:val="00CC47AD"/>
    <w:rPr>
      <w:rFonts w:asciiTheme="majorHAnsi" w:eastAsiaTheme="majorEastAsia" w:hAnsiTheme="majorHAnsi" w:cstheme="majorBidi"/>
      <w:i/>
      <w:iCs/>
      <w:color w:val="6E6E6E"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0781">
      <w:bodyDiv w:val="1"/>
      <w:marLeft w:val="0"/>
      <w:marRight w:val="0"/>
      <w:marTop w:val="0"/>
      <w:marBottom w:val="0"/>
      <w:divBdr>
        <w:top w:val="none" w:sz="0" w:space="0" w:color="auto"/>
        <w:left w:val="none" w:sz="0" w:space="0" w:color="auto"/>
        <w:bottom w:val="none" w:sz="0" w:space="0" w:color="auto"/>
        <w:right w:val="none" w:sz="0" w:space="0" w:color="auto"/>
      </w:divBdr>
    </w:div>
    <w:div w:id="202595713">
      <w:bodyDiv w:val="1"/>
      <w:marLeft w:val="0"/>
      <w:marRight w:val="0"/>
      <w:marTop w:val="0"/>
      <w:marBottom w:val="0"/>
      <w:divBdr>
        <w:top w:val="none" w:sz="0" w:space="0" w:color="auto"/>
        <w:left w:val="none" w:sz="0" w:space="0" w:color="auto"/>
        <w:bottom w:val="none" w:sz="0" w:space="0" w:color="auto"/>
        <w:right w:val="none" w:sz="0" w:space="0" w:color="auto"/>
      </w:divBdr>
    </w:div>
    <w:div w:id="222371593">
      <w:bodyDiv w:val="1"/>
      <w:marLeft w:val="0"/>
      <w:marRight w:val="0"/>
      <w:marTop w:val="0"/>
      <w:marBottom w:val="0"/>
      <w:divBdr>
        <w:top w:val="none" w:sz="0" w:space="0" w:color="auto"/>
        <w:left w:val="none" w:sz="0" w:space="0" w:color="auto"/>
        <w:bottom w:val="none" w:sz="0" w:space="0" w:color="auto"/>
        <w:right w:val="none" w:sz="0" w:space="0" w:color="auto"/>
      </w:divBdr>
    </w:div>
    <w:div w:id="276328658">
      <w:bodyDiv w:val="1"/>
      <w:marLeft w:val="0"/>
      <w:marRight w:val="0"/>
      <w:marTop w:val="0"/>
      <w:marBottom w:val="0"/>
      <w:divBdr>
        <w:top w:val="none" w:sz="0" w:space="0" w:color="auto"/>
        <w:left w:val="none" w:sz="0" w:space="0" w:color="auto"/>
        <w:bottom w:val="none" w:sz="0" w:space="0" w:color="auto"/>
        <w:right w:val="none" w:sz="0" w:space="0" w:color="auto"/>
      </w:divBdr>
    </w:div>
    <w:div w:id="329871253">
      <w:bodyDiv w:val="1"/>
      <w:marLeft w:val="0"/>
      <w:marRight w:val="0"/>
      <w:marTop w:val="0"/>
      <w:marBottom w:val="0"/>
      <w:divBdr>
        <w:top w:val="none" w:sz="0" w:space="0" w:color="auto"/>
        <w:left w:val="none" w:sz="0" w:space="0" w:color="auto"/>
        <w:bottom w:val="none" w:sz="0" w:space="0" w:color="auto"/>
        <w:right w:val="none" w:sz="0" w:space="0" w:color="auto"/>
      </w:divBdr>
    </w:div>
    <w:div w:id="332149559">
      <w:marLeft w:val="0"/>
      <w:marRight w:val="0"/>
      <w:marTop w:val="0"/>
      <w:marBottom w:val="0"/>
      <w:divBdr>
        <w:top w:val="none" w:sz="0" w:space="0" w:color="auto"/>
        <w:left w:val="none" w:sz="0" w:space="0" w:color="auto"/>
        <w:bottom w:val="none" w:sz="0" w:space="0" w:color="auto"/>
        <w:right w:val="none" w:sz="0" w:space="0" w:color="auto"/>
      </w:divBdr>
      <w:divsChild>
        <w:div w:id="332149558">
          <w:marLeft w:val="0"/>
          <w:marRight w:val="0"/>
          <w:marTop w:val="0"/>
          <w:marBottom w:val="0"/>
          <w:divBdr>
            <w:top w:val="none" w:sz="0" w:space="0" w:color="auto"/>
            <w:left w:val="none" w:sz="0" w:space="0" w:color="auto"/>
            <w:bottom w:val="none" w:sz="0" w:space="0" w:color="auto"/>
            <w:right w:val="none" w:sz="0" w:space="0" w:color="auto"/>
          </w:divBdr>
          <w:divsChild>
            <w:div w:id="332149564">
              <w:marLeft w:val="0"/>
              <w:marRight w:val="0"/>
              <w:marTop w:val="0"/>
              <w:marBottom w:val="0"/>
              <w:divBdr>
                <w:top w:val="none" w:sz="0" w:space="0" w:color="auto"/>
                <w:left w:val="none" w:sz="0" w:space="0" w:color="auto"/>
                <w:bottom w:val="none" w:sz="0" w:space="0" w:color="auto"/>
                <w:right w:val="none" w:sz="0" w:space="0" w:color="auto"/>
              </w:divBdr>
              <w:divsChild>
                <w:div w:id="332149561">
                  <w:marLeft w:val="0"/>
                  <w:marRight w:val="0"/>
                  <w:marTop w:val="0"/>
                  <w:marBottom w:val="0"/>
                  <w:divBdr>
                    <w:top w:val="none" w:sz="0" w:space="0" w:color="auto"/>
                    <w:left w:val="none" w:sz="0" w:space="0" w:color="auto"/>
                    <w:bottom w:val="none" w:sz="0" w:space="0" w:color="auto"/>
                    <w:right w:val="none" w:sz="0" w:space="0" w:color="auto"/>
                  </w:divBdr>
                  <w:divsChild>
                    <w:div w:id="332149565">
                      <w:marLeft w:val="0"/>
                      <w:marRight w:val="0"/>
                      <w:marTop w:val="0"/>
                      <w:marBottom w:val="0"/>
                      <w:divBdr>
                        <w:top w:val="none" w:sz="0" w:space="0" w:color="auto"/>
                        <w:left w:val="none" w:sz="0" w:space="0" w:color="auto"/>
                        <w:bottom w:val="none" w:sz="0" w:space="0" w:color="auto"/>
                        <w:right w:val="none" w:sz="0" w:space="0" w:color="auto"/>
                      </w:divBdr>
                      <w:divsChild>
                        <w:div w:id="3321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9562">
      <w:marLeft w:val="0"/>
      <w:marRight w:val="0"/>
      <w:marTop w:val="0"/>
      <w:marBottom w:val="0"/>
      <w:divBdr>
        <w:top w:val="none" w:sz="0" w:space="0" w:color="auto"/>
        <w:left w:val="none" w:sz="0" w:space="0" w:color="auto"/>
        <w:bottom w:val="none" w:sz="0" w:space="0" w:color="auto"/>
        <w:right w:val="none" w:sz="0" w:space="0" w:color="auto"/>
      </w:divBdr>
    </w:div>
    <w:div w:id="332149563">
      <w:marLeft w:val="0"/>
      <w:marRight w:val="0"/>
      <w:marTop w:val="0"/>
      <w:marBottom w:val="0"/>
      <w:divBdr>
        <w:top w:val="none" w:sz="0" w:space="0" w:color="auto"/>
        <w:left w:val="none" w:sz="0" w:space="0" w:color="auto"/>
        <w:bottom w:val="none" w:sz="0" w:space="0" w:color="auto"/>
        <w:right w:val="none" w:sz="0" w:space="0" w:color="auto"/>
      </w:divBdr>
    </w:div>
    <w:div w:id="332149566">
      <w:marLeft w:val="0"/>
      <w:marRight w:val="0"/>
      <w:marTop w:val="0"/>
      <w:marBottom w:val="0"/>
      <w:divBdr>
        <w:top w:val="none" w:sz="0" w:space="0" w:color="auto"/>
        <w:left w:val="none" w:sz="0" w:space="0" w:color="auto"/>
        <w:bottom w:val="none" w:sz="0" w:space="0" w:color="auto"/>
        <w:right w:val="none" w:sz="0" w:space="0" w:color="auto"/>
      </w:divBdr>
    </w:div>
    <w:div w:id="332149567">
      <w:marLeft w:val="0"/>
      <w:marRight w:val="0"/>
      <w:marTop w:val="0"/>
      <w:marBottom w:val="0"/>
      <w:divBdr>
        <w:top w:val="none" w:sz="0" w:space="0" w:color="auto"/>
        <w:left w:val="none" w:sz="0" w:space="0" w:color="auto"/>
        <w:bottom w:val="none" w:sz="0" w:space="0" w:color="auto"/>
        <w:right w:val="none" w:sz="0" w:space="0" w:color="auto"/>
      </w:divBdr>
    </w:div>
    <w:div w:id="332149568">
      <w:marLeft w:val="0"/>
      <w:marRight w:val="0"/>
      <w:marTop w:val="0"/>
      <w:marBottom w:val="0"/>
      <w:divBdr>
        <w:top w:val="none" w:sz="0" w:space="0" w:color="auto"/>
        <w:left w:val="none" w:sz="0" w:space="0" w:color="auto"/>
        <w:bottom w:val="none" w:sz="0" w:space="0" w:color="auto"/>
        <w:right w:val="none" w:sz="0" w:space="0" w:color="auto"/>
      </w:divBdr>
    </w:div>
    <w:div w:id="332149569">
      <w:marLeft w:val="0"/>
      <w:marRight w:val="0"/>
      <w:marTop w:val="0"/>
      <w:marBottom w:val="0"/>
      <w:divBdr>
        <w:top w:val="none" w:sz="0" w:space="0" w:color="auto"/>
        <w:left w:val="none" w:sz="0" w:space="0" w:color="auto"/>
        <w:bottom w:val="none" w:sz="0" w:space="0" w:color="auto"/>
        <w:right w:val="none" w:sz="0" w:space="0" w:color="auto"/>
      </w:divBdr>
    </w:div>
    <w:div w:id="393896193">
      <w:bodyDiv w:val="1"/>
      <w:marLeft w:val="0"/>
      <w:marRight w:val="0"/>
      <w:marTop w:val="0"/>
      <w:marBottom w:val="0"/>
      <w:divBdr>
        <w:top w:val="none" w:sz="0" w:space="0" w:color="auto"/>
        <w:left w:val="none" w:sz="0" w:space="0" w:color="auto"/>
        <w:bottom w:val="none" w:sz="0" w:space="0" w:color="auto"/>
        <w:right w:val="none" w:sz="0" w:space="0" w:color="auto"/>
      </w:divBdr>
    </w:div>
    <w:div w:id="402487725">
      <w:bodyDiv w:val="1"/>
      <w:marLeft w:val="0"/>
      <w:marRight w:val="0"/>
      <w:marTop w:val="0"/>
      <w:marBottom w:val="0"/>
      <w:divBdr>
        <w:top w:val="none" w:sz="0" w:space="0" w:color="auto"/>
        <w:left w:val="none" w:sz="0" w:space="0" w:color="auto"/>
        <w:bottom w:val="none" w:sz="0" w:space="0" w:color="auto"/>
        <w:right w:val="none" w:sz="0" w:space="0" w:color="auto"/>
      </w:divBdr>
    </w:div>
    <w:div w:id="525682194">
      <w:bodyDiv w:val="1"/>
      <w:marLeft w:val="0"/>
      <w:marRight w:val="0"/>
      <w:marTop w:val="0"/>
      <w:marBottom w:val="0"/>
      <w:divBdr>
        <w:top w:val="none" w:sz="0" w:space="0" w:color="auto"/>
        <w:left w:val="none" w:sz="0" w:space="0" w:color="auto"/>
        <w:bottom w:val="none" w:sz="0" w:space="0" w:color="auto"/>
        <w:right w:val="none" w:sz="0" w:space="0" w:color="auto"/>
      </w:divBdr>
    </w:div>
    <w:div w:id="541862188">
      <w:bodyDiv w:val="1"/>
      <w:marLeft w:val="0"/>
      <w:marRight w:val="0"/>
      <w:marTop w:val="0"/>
      <w:marBottom w:val="0"/>
      <w:divBdr>
        <w:top w:val="none" w:sz="0" w:space="0" w:color="auto"/>
        <w:left w:val="none" w:sz="0" w:space="0" w:color="auto"/>
        <w:bottom w:val="none" w:sz="0" w:space="0" w:color="auto"/>
        <w:right w:val="none" w:sz="0" w:space="0" w:color="auto"/>
      </w:divBdr>
    </w:div>
    <w:div w:id="588541185">
      <w:bodyDiv w:val="1"/>
      <w:marLeft w:val="0"/>
      <w:marRight w:val="0"/>
      <w:marTop w:val="0"/>
      <w:marBottom w:val="0"/>
      <w:divBdr>
        <w:top w:val="none" w:sz="0" w:space="0" w:color="auto"/>
        <w:left w:val="none" w:sz="0" w:space="0" w:color="auto"/>
        <w:bottom w:val="none" w:sz="0" w:space="0" w:color="auto"/>
        <w:right w:val="none" w:sz="0" w:space="0" w:color="auto"/>
      </w:divBdr>
    </w:div>
    <w:div w:id="627785189">
      <w:bodyDiv w:val="1"/>
      <w:marLeft w:val="0"/>
      <w:marRight w:val="0"/>
      <w:marTop w:val="0"/>
      <w:marBottom w:val="0"/>
      <w:divBdr>
        <w:top w:val="none" w:sz="0" w:space="0" w:color="auto"/>
        <w:left w:val="none" w:sz="0" w:space="0" w:color="auto"/>
        <w:bottom w:val="none" w:sz="0" w:space="0" w:color="auto"/>
        <w:right w:val="none" w:sz="0" w:space="0" w:color="auto"/>
      </w:divBdr>
    </w:div>
    <w:div w:id="679281359">
      <w:bodyDiv w:val="1"/>
      <w:marLeft w:val="0"/>
      <w:marRight w:val="0"/>
      <w:marTop w:val="0"/>
      <w:marBottom w:val="0"/>
      <w:divBdr>
        <w:top w:val="none" w:sz="0" w:space="0" w:color="auto"/>
        <w:left w:val="none" w:sz="0" w:space="0" w:color="auto"/>
        <w:bottom w:val="none" w:sz="0" w:space="0" w:color="auto"/>
        <w:right w:val="none" w:sz="0" w:space="0" w:color="auto"/>
      </w:divBdr>
    </w:div>
    <w:div w:id="686369398">
      <w:bodyDiv w:val="1"/>
      <w:marLeft w:val="0"/>
      <w:marRight w:val="0"/>
      <w:marTop w:val="0"/>
      <w:marBottom w:val="0"/>
      <w:divBdr>
        <w:top w:val="none" w:sz="0" w:space="0" w:color="auto"/>
        <w:left w:val="none" w:sz="0" w:space="0" w:color="auto"/>
        <w:bottom w:val="none" w:sz="0" w:space="0" w:color="auto"/>
        <w:right w:val="none" w:sz="0" w:space="0" w:color="auto"/>
      </w:divBdr>
    </w:div>
    <w:div w:id="888734379">
      <w:bodyDiv w:val="1"/>
      <w:marLeft w:val="0"/>
      <w:marRight w:val="0"/>
      <w:marTop w:val="0"/>
      <w:marBottom w:val="0"/>
      <w:divBdr>
        <w:top w:val="none" w:sz="0" w:space="0" w:color="auto"/>
        <w:left w:val="none" w:sz="0" w:space="0" w:color="auto"/>
        <w:bottom w:val="none" w:sz="0" w:space="0" w:color="auto"/>
        <w:right w:val="none" w:sz="0" w:space="0" w:color="auto"/>
      </w:divBdr>
    </w:div>
    <w:div w:id="937444543">
      <w:bodyDiv w:val="1"/>
      <w:marLeft w:val="0"/>
      <w:marRight w:val="0"/>
      <w:marTop w:val="0"/>
      <w:marBottom w:val="0"/>
      <w:divBdr>
        <w:top w:val="none" w:sz="0" w:space="0" w:color="auto"/>
        <w:left w:val="none" w:sz="0" w:space="0" w:color="auto"/>
        <w:bottom w:val="none" w:sz="0" w:space="0" w:color="auto"/>
        <w:right w:val="none" w:sz="0" w:space="0" w:color="auto"/>
      </w:divBdr>
    </w:div>
    <w:div w:id="990518917">
      <w:bodyDiv w:val="1"/>
      <w:marLeft w:val="0"/>
      <w:marRight w:val="0"/>
      <w:marTop w:val="0"/>
      <w:marBottom w:val="0"/>
      <w:divBdr>
        <w:top w:val="none" w:sz="0" w:space="0" w:color="auto"/>
        <w:left w:val="none" w:sz="0" w:space="0" w:color="auto"/>
        <w:bottom w:val="none" w:sz="0" w:space="0" w:color="auto"/>
        <w:right w:val="none" w:sz="0" w:space="0" w:color="auto"/>
      </w:divBdr>
    </w:div>
    <w:div w:id="1000044923">
      <w:bodyDiv w:val="1"/>
      <w:marLeft w:val="0"/>
      <w:marRight w:val="0"/>
      <w:marTop w:val="0"/>
      <w:marBottom w:val="0"/>
      <w:divBdr>
        <w:top w:val="none" w:sz="0" w:space="0" w:color="auto"/>
        <w:left w:val="none" w:sz="0" w:space="0" w:color="auto"/>
        <w:bottom w:val="none" w:sz="0" w:space="0" w:color="auto"/>
        <w:right w:val="none" w:sz="0" w:space="0" w:color="auto"/>
      </w:divBdr>
    </w:div>
    <w:div w:id="1023944795">
      <w:bodyDiv w:val="1"/>
      <w:marLeft w:val="0"/>
      <w:marRight w:val="0"/>
      <w:marTop w:val="0"/>
      <w:marBottom w:val="0"/>
      <w:divBdr>
        <w:top w:val="none" w:sz="0" w:space="0" w:color="auto"/>
        <w:left w:val="none" w:sz="0" w:space="0" w:color="auto"/>
        <w:bottom w:val="none" w:sz="0" w:space="0" w:color="auto"/>
        <w:right w:val="none" w:sz="0" w:space="0" w:color="auto"/>
      </w:divBdr>
    </w:div>
    <w:div w:id="1109162463">
      <w:bodyDiv w:val="1"/>
      <w:marLeft w:val="0"/>
      <w:marRight w:val="0"/>
      <w:marTop w:val="0"/>
      <w:marBottom w:val="0"/>
      <w:divBdr>
        <w:top w:val="none" w:sz="0" w:space="0" w:color="auto"/>
        <w:left w:val="none" w:sz="0" w:space="0" w:color="auto"/>
        <w:bottom w:val="none" w:sz="0" w:space="0" w:color="auto"/>
        <w:right w:val="none" w:sz="0" w:space="0" w:color="auto"/>
      </w:divBdr>
    </w:div>
    <w:div w:id="1183085314">
      <w:bodyDiv w:val="1"/>
      <w:marLeft w:val="0"/>
      <w:marRight w:val="0"/>
      <w:marTop w:val="0"/>
      <w:marBottom w:val="0"/>
      <w:divBdr>
        <w:top w:val="none" w:sz="0" w:space="0" w:color="auto"/>
        <w:left w:val="none" w:sz="0" w:space="0" w:color="auto"/>
        <w:bottom w:val="none" w:sz="0" w:space="0" w:color="auto"/>
        <w:right w:val="none" w:sz="0" w:space="0" w:color="auto"/>
      </w:divBdr>
    </w:div>
    <w:div w:id="1269387427">
      <w:bodyDiv w:val="1"/>
      <w:marLeft w:val="0"/>
      <w:marRight w:val="0"/>
      <w:marTop w:val="0"/>
      <w:marBottom w:val="0"/>
      <w:divBdr>
        <w:top w:val="none" w:sz="0" w:space="0" w:color="auto"/>
        <w:left w:val="none" w:sz="0" w:space="0" w:color="auto"/>
        <w:bottom w:val="none" w:sz="0" w:space="0" w:color="auto"/>
        <w:right w:val="none" w:sz="0" w:space="0" w:color="auto"/>
      </w:divBdr>
    </w:div>
    <w:div w:id="1323772548">
      <w:bodyDiv w:val="1"/>
      <w:marLeft w:val="0"/>
      <w:marRight w:val="0"/>
      <w:marTop w:val="0"/>
      <w:marBottom w:val="0"/>
      <w:divBdr>
        <w:top w:val="none" w:sz="0" w:space="0" w:color="auto"/>
        <w:left w:val="none" w:sz="0" w:space="0" w:color="auto"/>
        <w:bottom w:val="none" w:sz="0" w:space="0" w:color="auto"/>
        <w:right w:val="none" w:sz="0" w:space="0" w:color="auto"/>
      </w:divBdr>
    </w:div>
    <w:div w:id="1333292711">
      <w:bodyDiv w:val="1"/>
      <w:marLeft w:val="0"/>
      <w:marRight w:val="0"/>
      <w:marTop w:val="0"/>
      <w:marBottom w:val="0"/>
      <w:divBdr>
        <w:top w:val="none" w:sz="0" w:space="0" w:color="auto"/>
        <w:left w:val="none" w:sz="0" w:space="0" w:color="auto"/>
        <w:bottom w:val="none" w:sz="0" w:space="0" w:color="auto"/>
        <w:right w:val="none" w:sz="0" w:space="0" w:color="auto"/>
      </w:divBdr>
    </w:div>
    <w:div w:id="1365402700">
      <w:bodyDiv w:val="1"/>
      <w:marLeft w:val="0"/>
      <w:marRight w:val="0"/>
      <w:marTop w:val="0"/>
      <w:marBottom w:val="0"/>
      <w:divBdr>
        <w:top w:val="none" w:sz="0" w:space="0" w:color="auto"/>
        <w:left w:val="none" w:sz="0" w:space="0" w:color="auto"/>
        <w:bottom w:val="none" w:sz="0" w:space="0" w:color="auto"/>
        <w:right w:val="none" w:sz="0" w:space="0" w:color="auto"/>
      </w:divBdr>
    </w:div>
    <w:div w:id="1730348425">
      <w:bodyDiv w:val="1"/>
      <w:marLeft w:val="0"/>
      <w:marRight w:val="0"/>
      <w:marTop w:val="0"/>
      <w:marBottom w:val="0"/>
      <w:divBdr>
        <w:top w:val="none" w:sz="0" w:space="0" w:color="auto"/>
        <w:left w:val="none" w:sz="0" w:space="0" w:color="auto"/>
        <w:bottom w:val="none" w:sz="0" w:space="0" w:color="auto"/>
        <w:right w:val="none" w:sz="0" w:space="0" w:color="auto"/>
      </w:divBdr>
    </w:div>
    <w:div w:id="1822889794">
      <w:bodyDiv w:val="1"/>
      <w:marLeft w:val="0"/>
      <w:marRight w:val="0"/>
      <w:marTop w:val="0"/>
      <w:marBottom w:val="0"/>
      <w:divBdr>
        <w:top w:val="none" w:sz="0" w:space="0" w:color="auto"/>
        <w:left w:val="none" w:sz="0" w:space="0" w:color="auto"/>
        <w:bottom w:val="none" w:sz="0" w:space="0" w:color="auto"/>
        <w:right w:val="none" w:sz="0" w:space="0" w:color="auto"/>
      </w:divBdr>
    </w:div>
    <w:div w:id="1964077316">
      <w:bodyDiv w:val="1"/>
      <w:marLeft w:val="0"/>
      <w:marRight w:val="0"/>
      <w:marTop w:val="0"/>
      <w:marBottom w:val="0"/>
      <w:divBdr>
        <w:top w:val="none" w:sz="0" w:space="0" w:color="auto"/>
        <w:left w:val="none" w:sz="0" w:space="0" w:color="auto"/>
        <w:bottom w:val="none" w:sz="0" w:space="0" w:color="auto"/>
        <w:right w:val="none" w:sz="0" w:space="0" w:color="auto"/>
      </w:divBdr>
    </w:div>
    <w:div w:id="21401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mmunities.wa.gov.au/Youth/youthmentoringreform/pdt/Documents/Demonstrating%20Best%20Practice/Booklet%20-%20Demonstrating%20Best%20Practice%20in%20Youth%20Mentoring.pdf" TargetMode="External"/><Relationship Id="rId26" Type="http://schemas.openxmlformats.org/officeDocument/2006/relationships/chart" Target="charts/chart3.xml"/><Relationship Id="rId39"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hyperlink" Target="http://www.communities.wa.gov.au/Youth/youthmentoringreform/pdt/Documents/Minding%20the%20Match/Link%20to%20Minding%20the%20Match%20-%20elearning%20object.docx" TargetMode="External"/><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hyperlink" Target="http://education.gov.au/school-business-community-partnership-brokers-programme-reports-and-research" TargetMode="External"/><Relationship Id="rId50"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mmunities.wa.gov.au/Youth/youthmentoringreform/Documents/YO43%20Youth%20Mentoring%20booklet%20final.pdf" TargetMode="Externa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hyperlink" Target="http://www.transitions.youth.gov.au" TargetMode="External"/><Relationship Id="rId2" Type="http://schemas.openxmlformats.org/officeDocument/2006/relationships/numbering" Target="numbering.xml"/><Relationship Id="rId16" Type="http://schemas.openxmlformats.org/officeDocument/2006/relationships/hyperlink" Target="http://www.federalfinancialrelations.gov.au/content/national_partnership_agreements/education/school_pathways_program/national_partnership.pdf" TargetMode="External"/><Relationship Id="rId20" Type="http://schemas.openxmlformats.org/officeDocument/2006/relationships/hyperlink" Target="http://www.communities.wa.gov.au/Youth/youthmentoringreform/pdt/Documents/Booklet%20-%20Mentoring%20Newly%20Arrived%20Youth.pdf" TargetMode="External"/><Relationship Id="rId29" Type="http://schemas.openxmlformats.org/officeDocument/2006/relationships/chart" Target="charts/chart6.xml"/><Relationship Id="rId41" Type="http://schemas.openxmlformats.org/officeDocument/2006/relationships/chart" Target="charts/chart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transitions.youth.gov.au" TargetMode="Externa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hyperlink" Target="http://www.transitions.youth.gov.a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ewr.gov.au/Schooling/TradeTrainingCentres/Pages/default.aspx" TargetMode="External"/><Relationship Id="rId23" Type="http://schemas.openxmlformats.org/officeDocument/2006/relationships/footer" Target="footer4.xml"/><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chart" Target="charts/chart22.xml"/><Relationship Id="rId10" Type="http://schemas.openxmlformats.org/officeDocument/2006/relationships/footer" Target="footer1.xml"/><Relationship Id="rId19" Type="http://schemas.openxmlformats.org/officeDocument/2006/relationships/hyperlink" Target="http://youtu.be/r-kE-x2KOgQ" TargetMode="External"/><Relationship Id="rId31" Type="http://schemas.openxmlformats.org/officeDocument/2006/relationships/chart" Target="charts/chart8.xml"/><Relationship Id="rId44" Type="http://schemas.openxmlformats.org/officeDocument/2006/relationships/chart" Target="charts/chart21.xml"/><Relationship Id="rId52"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www.communities.wa.gov.au/Youth/youthmentoringreform/pdt/Documents/Minding%20the%20Match/Minding%20the%20Match%20-%20Trainer%27s%20Manual.pdf"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chart" Target="charts/chart20.xml"/><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E3006849\AppData\Local\Microsoft\Windows\Temporary%20Internet%20Files\Content.Outlook\1KBYQL28\Yuff%20unemployment%20rates.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EPNAS002\50018764\Partnership%20Brokers\9.%20National\Evaluation%20&amp;%20Reporting\Outcomes%20Reporting\6.%20April%202013\ICSEA%20Schools%20Data\Organisation_Client_Details_Partnership_Count%20-%208%20April%202013%20-%20Final%20Version.xls"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EPNAS002\50018764\Partnership%20Brokers\9.%20National\Evaluation%20&amp;%20Reporting\Outcomes%20Reporting\6.%20April%202013\MASTER_Partnerships%20(April13)%20at%202%20April.xlsx" TargetMode="External"/><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FINAL.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PNAS002\50018764\Youth%20Connections\National\Data\State%20and%20national%20reports\WA\WA%202012%20Cube%20Queries%20-%20Draft.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AU"/>
              <a:t>Youth Unemployment Rates as Multiple of Overall Unemployment Rates </a:t>
            </a:r>
          </a:p>
        </c:rich>
      </c:tx>
      <c:layout/>
      <c:overlay val="0"/>
    </c:title>
    <c:autoTitleDeleted val="0"/>
    <c:plotArea>
      <c:layout/>
      <c:lineChart>
        <c:grouping val="standard"/>
        <c:varyColors val="0"/>
        <c:ser>
          <c:idx val="4"/>
          <c:order val="0"/>
          <c:tx>
            <c:strRef>
              <c:f>'[Yuff unemployment rates.xls]Sheet1'!$F$2:$F$3</c:f>
              <c:strCache>
                <c:ptCount val="1"/>
                <c:pt idx="0">
                  <c:v>WA</c:v>
                </c:pt>
              </c:strCache>
            </c:strRef>
          </c:tx>
          <c:spPr>
            <a:ln w="38100">
              <a:solidFill>
                <a:srgbClr val="FF0000"/>
              </a:solidFill>
            </a:ln>
          </c:spPr>
          <c:marker>
            <c:symbol val="none"/>
          </c:marker>
          <c:cat>
            <c:numRef>
              <c:f>'[Yuff unemployment rates.xls]Sheet1'!$A$4:$A$414</c:f>
              <c:numCache>
                <c:formatCode>mmm\-yy</c:formatCode>
                <c:ptCount val="411"/>
                <c:pt idx="0">
                  <c:v>28856</c:v>
                </c:pt>
                <c:pt idx="1">
                  <c:v>28887</c:v>
                </c:pt>
                <c:pt idx="2">
                  <c:v>28915</c:v>
                </c:pt>
                <c:pt idx="3">
                  <c:v>28946</c:v>
                </c:pt>
                <c:pt idx="4">
                  <c:v>28976</c:v>
                </c:pt>
                <c:pt idx="5">
                  <c:v>29007</c:v>
                </c:pt>
                <c:pt idx="6">
                  <c:v>29037</c:v>
                </c:pt>
                <c:pt idx="7">
                  <c:v>29068</c:v>
                </c:pt>
                <c:pt idx="8">
                  <c:v>29099</c:v>
                </c:pt>
                <c:pt idx="9">
                  <c:v>29129</c:v>
                </c:pt>
                <c:pt idx="10">
                  <c:v>29160</c:v>
                </c:pt>
                <c:pt idx="11">
                  <c:v>29190</c:v>
                </c:pt>
                <c:pt idx="12">
                  <c:v>29221</c:v>
                </c:pt>
                <c:pt idx="13">
                  <c:v>29252</c:v>
                </c:pt>
                <c:pt idx="14">
                  <c:v>29281</c:v>
                </c:pt>
                <c:pt idx="15">
                  <c:v>29312</c:v>
                </c:pt>
                <c:pt idx="16">
                  <c:v>29342</c:v>
                </c:pt>
                <c:pt idx="17">
                  <c:v>29373</c:v>
                </c:pt>
                <c:pt idx="18">
                  <c:v>29403</c:v>
                </c:pt>
                <c:pt idx="19">
                  <c:v>29434</c:v>
                </c:pt>
                <c:pt idx="20">
                  <c:v>29465</c:v>
                </c:pt>
                <c:pt idx="21">
                  <c:v>29495</c:v>
                </c:pt>
                <c:pt idx="22">
                  <c:v>29526</c:v>
                </c:pt>
                <c:pt idx="23">
                  <c:v>29556</c:v>
                </c:pt>
                <c:pt idx="24">
                  <c:v>29587</c:v>
                </c:pt>
                <c:pt idx="25">
                  <c:v>29618</c:v>
                </c:pt>
                <c:pt idx="26">
                  <c:v>29646</c:v>
                </c:pt>
                <c:pt idx="27">
                  <c:v>29677</c:v>
                </c:pt>
                <c:pt idx="28">
                  <c:v>29707</c:v>
                </c:pt>
                <c:pt idx="29">
                  <c:v>29738</c:v>
                </c:pt>
                <c:pt idx="30">
                  <c:v>29768</c:v>
                </c:pt>
                <c:pt idx="31">
                  <c:v>29799</c:v>
                </c:pt>
                <c:pt idx="32">
                  <c:v>29830</c:v>
                </c:pt>
                <c:pt idx="33">
                  <c:v>29860</c:v>
                </c:pt>
                <c:pt idx="34">
                  <c:v>29891</c:v>
                </c:pt>
                <c:pt idx="35">
                  <c:v>29921</c:v>
                </c:pt>
                <c:pt idx="36">
                  <c:v>29952</c:v>
                </c:pt>
                <c:pt idx="37">
                  <c:v>29983</c:v>
                </c:pt>
                <c:pt idx="38">
                  <c:v>30011</c:v>
                </c:pt>
                <c:pt idx="39">
                  <c:v>30042</c:v>
                </c:pt>
                <c:pt idx="40">
                  <c:v>30072</c:v>
                </c:pt>
                <c:pt idx="41">
                  <c:v>30103</c:v>
                </c:pt>
                <c:pt idx="42">
                  <c:v>30133</c:v>
                </c:pt>
                <c:pt idx="43">
                  <c:v>30164</c:v>
                </c:pt>
                <c:pt idx="44">
                  <c:v>30195</c:v>
                </c:pt>
                <c:pt idx="45">
                  <c:v>30225</c:v>
                </c:pt>
                <c:pt idx="46">
                  <c:v>30256</c:v>
                </c:pt>
                <c:pt idx="47">
                  <c:v>30286</c:v>
                </c:pt>
                <c:pt idx="48">
                  <c:v>30317</c:v>
                </c:pt>
                <c:pt idx="49">
                  <c:v>30348</c:v>
                </c:pt>
                <c:pt idx="50">
                  <c:v>30376</c:v>
                </c:pt>
                <c:pt idx="51">
                  <c:v>30407</c:v>
                </c:pt>
                <c:pt idx="52">
                  <c:v>30437</c:v>
                </c:pt>
                <c:pt idx="53">
                  <c:v>30468</c:v>
                </c:pt>
                <c:pt idx="54">
                  <c:v>30498</c:v>
                </c:pt>
                <c:pt idx="55">
                  <c:v>30529</c:v>
                </c:pt>
                <c:pt idx="56">
                  <c:v>30560</c:v>
                </c:pt>
                <c:pt idx="57">
                  <c:v>30590</c:v>
                </c:pt>
                <c:pt idx="58">
                  <c:v>30621</c:v>
                </c:pt>
                <c:pt idx="59">
                  <c:v>30651</c:v>
                </c:pt>
                <c:pt idx="60">
                  <c:v>30682</c:v>
                </c:pt>
                <c:pt idx="61">
                  <c:v>30713</c:v>
                </c:pt>
                <c:pt idx="62">
                  <c:v>30742</c:v>
                </c:pt>
                <c:pt idx="63">
                  <c:v>30773</c:v>
                </c:pt>
                <c:pt idx="64">
                  <c:v>30803</c:v>
                </c:pt>
                <c:pt idx="65">
                  <c:v>30834</c:v>
                </c:pt>
                <c:pt idx="66">
                  <c:v>30864</c:v>
                </c:pt>
                <c:pt idx="67">
                  <c:v>30895</c:v>
                </c:pt>
                <c:pt idx="68">
                  <c:v>30926</c:v>
                </c:pt>
                <c:pt idx="69">
                  <c:v>30956</c:v>
                </c:pt>
                <c:pt idx="70">
                  <c:v>30987</c:v>
                </c:pt>
                <c:pt idx="71">
                  <c:v>31017</c:v>
                </c:pt>
                <c:pt idx="72">
                  <c:v>31048</c:v>
                </c:pt>
                <c:pt idx="73">
                  <c:v>31079</c:v>
                </c:pt>
                <c:pt idx="74">
                  <c:v>31107</c:v>
                </c:pt>
                <c:pt idx="75">
                  <c:v>31138</c:v>
                </c:pt>
                <c:pt idx="76">
                  <c:v>31168</c:v>
                </c:pt>
                <c:pt idx="77">
                  <c:v>31199</c:v>
                </c:pt>
                <c:pt idx="78">
                  <c:v>31229</c:v>
                </c:pt>
                <c:pt idx="79">
                  <c:v>31260</c:v>
                </c:pt>
                <c:pt idx="80">
                  <c:v>31291</c:v>
                </c:pt>
                <c:pt idx="81">
                  <c:v>31321</c:v>
                </c:pt>
                <c:pt idx="82">
                  <c:v>31352</c:v>
                </c:pt>
                <c:pt idx="83">
                  <c:v>31382</c:v>
                </c:pt>
                <c:pt idx="84">
                  <c:v>31413</c:v>
                </c:pt>
                <c:pt idx="85">
                  <c:v>31444</c:v>
                </c:pt>
                <c:pt idx="86">
                  <c:v>31472</c:v>
                </c:pt>
                <c:pt idx="87">
                  <c:v>31503</c:v>
                </c:pt>
                <c:pt idx="88">
                  <c:v>31533</c:v>
                </c:pt>
                <c:pt idx="89">
                  <c:v>31564</c:v>
                </c:pt>
                <c:pt idx="90">
                  <c:v>31594</c:v>
                </c:pt>
                <c:pt idx="91">
                  <c:v>31625</c:v>
                </c:pt>
                <c:pt idx="92">
                  <c:v>31656</c:v>
                </c:pt>
                <c:pt idx="93">
                  <c:v>31686</c:v>
                </c:pt>
                <c:pt idx="94">
                  <c:v>31717</c:v>
                </c:pt>
                <c:pt idx="95">
                  <c:v>31747</c:v>
                </c:pt>
                <c:pt idx="96">
                  <c:v>31778</c:v>
                </c:pt>
                <c:pt idx="97">
                  <c:v>31809</c:v>
                </c:pt>
                <c:pt idx="98">
                  <c:v>31837</c:v>
                </c:pt>
                <c:pt idx="99">
                  <c:v>31868</c:v>
                </c:pt>
                <c:pt idx="100">
                  <c:v>31898</c:v>
                </c:pt>
                <c:pt idx="101">
                  <c:v>31929</c:v>
                </c:pt>
                <c:pt idx="102">
                  <c:v>31959</c:v>
                </c:pt>
                <c:pt idx="103">
                  <c:v>31990</c:v>
                </c:pt>
                <c:pt idx="104">
                  <c:v>32021</c:v>
                </c:pt>
                <c:pt idx="105">
                  <c:v>32051</c:v>
                </c:pt>
                <c:pt idx="106">
                  <c:v>32082</c:v>
                </c:pt>
                <c:pt idx="107">
                  <c:v>32112</c:v>
                </c:pt>
                <c:pt idx="108">
                  <c:v>32143</c:v>
                </c:pt>
                <c:pt idx="109">
                  <c:v>32174</c:v>
                </c:pt>
                <c:pt idx="110">
                  <c:v>32203</c:v>
                </c:pt>
                <c:pt idx="111">
                  <c:v>32234</c:v>
                </c:pt>
                <c:pt idx="112">
                  <c:v>32264</c:v>
                </c:pt>
                <c:pt idx="113">
                  <c:v>32295</c:v>
                </c:pt>
                <c:pt idx="114">
                  <c:v>32325</c:v>
                </c:pt>
                <c:pt idx="115">
                  <c:v>32356</c:v>
                </c:pt>
                <c:pt idx="116">
                  <c:v>32387</c:v>
                </c:pt>
                <c:pt idx="117">
                  <c:v>32417</c:v>
                </c:pt>
                <c:pt idx="118">
                  <c:v>32448</c:v>
                </c:pt>
                <c:pt idx="119">
                  <c:v>32478</c:v>
                </c:pt>
                <c:pt idx="120">
                  <c:v>32509</c:v>
                </c:pt>
                <c:pt idx="121">
                  <c:v>32540</c:v>
                </c:pt>
                <c:pt idx="122">
                  <c:v>32568</c:v>
                </c:pt>
                <c:pt idx="123">
                  <c:v>32599</c:v>
                </c:pt>
                <c:pt idx="124">
                  <c:v>32629</c:v>
                </c:pt>
                <c:pt idx="125">
                  <c:v>32660</c:v>
                </c:pt>
                <c:pt idx="126">
                  <c:v>32690</c:v>
                </c:pt>
                <c:pt idx="127">
                  <c:v>32721</c:v>
                </c:pt>
                <c:pt idx="128">
                  <c:v>32752</c:v>
                </c:pt>
                <c:pt idx="129">
                  <c:v>32782</c:v>
                </c:pt>
                <c:pt idx="130">
                  <c:v>32813</c:v>
                </c:pt>
                <c:pt idx="131">
                  <c:v>32843</c:v>
                </c:pt>
                <c:pt idx="132">
                  <c:v>32874</c:v>
                </c:pt>
                <c:pt idx="133">
                  <c:v>32905</c:v>
                </c:pt>
                <c:pt idx="134">
                  <c:v>32933</c:v>
                </c:pt>
                <c:pt idx="135">
                  <c:v>32964</c:v>
                </c:pt>
                <c:pt idx="136">
                  <c:v>32994</c:v>
                </c:pt>
                <c:pt idx="137">
                  <c:v>33025</c:v>
                </c:pt>
                <c:pt idx="138">
                  <c:v>33055</c:v>
                </c:pt>
                <c:pt idx="139">
                  <c:v>33086</c:v>
                </c:pt>
                <c:pt idx="140">
                  <c:v>33117</c:v>
                </c:pt>
                <c:pt idx="141">
                  <c:v>33147</c:v>
                </c:pt>
                <c:pt idx="142">
                  <c:v>33178</c:v>
                </c:pt>
                <c:pt idx="143">
                  <c:v>33208</c:v>
                </c:pt>
                <c:pt idx="144">
                  <c:v>33239</c:v>
                </c:pt>
                <c:pt idx="145">
                  <c:v>33270</c:v>
                </c:pt>
                <c:pt idx="146">
                  <c:v>33298</c:v>
                </c:pt>
                <c:pt idx="147">
                  <c:v>33329</c:v>
                </c:pt>
                <c:pt idx="148">
                  <c:v>33359</c:v>
                </c:pt>
                <c:pt idx="149">
                  <c:v>33390</c:v>
                </c:pt>
                <c:pt idx="150">
                  <c:v>33420</c:v>
                </c:pt>
                <c:pt idx="151">
                  <c:v>33451</c:v>
                </c:pt>
                <c:pt idx="152">
                  <c:v>33482</c:v>
                </c:pt>
                <c:pt idx="153">
                  <c:v>33512</c:v>
                </c:pt>
                <c:pt idx="154">
                  <c:v>33543</c:v>
                </c:pt>
                <c:pt idx="155">
                  <c:v>33573</c:v>
                </c:pt>
                <c:pt idx="156">
                  <c:v>33604</c:v>
                </c:pt>
                <c:pt idx="157">
                  <c:v>33635</c:v>
                </c:pt>
                <c:pt idx="158">
                  <c:v>33664</c:v>
                </c:pt>
                <c:pt idx="159">
                  <c:v>33695</c:v>
                </c:pt>
                <c:pt idx="160">
                  <c:v>33725</c:v>
                </c:pt>
                <c:pt idx="161">
                  <c:v>33756</c:v>
                </c:pt>
                <c:pt idx="162">
                  <c:v>33786</c:v>
                </c:pt>
                <c:pt idx="163">
                  <c:v>33817</c:v>
                </c:pt>
                <c:pt idx="164">
                  <c:v>33848</c:v>
                </c:pt>
                <c:pt idx="165">
                  <c:v>33878</c:v>
                </c:pt>
                <c:pt idx="166">
                  <c:v>33909</c:v>
                </c:pt>
                <c:pt idx="167">
                  <c:v>33939</c:v>
                </c:pt>
                <c:pt idx="168">
                  <c:v>33970</c:v>
                </c:pt>
                <c:pt idx="169">
                  <c:v>34001</c:v>
                </c:pt>
                <c:pt idx="170">
                  <c:v>34029</c:v>
                </c:pt>
                <c:pt idx="171">
                  <c:v>34060</c:v>
                </c:pt>
                <c:pt idx="172">
                  <c:v>34090</c:v>
                </c:pt>
                <c:pt idx="173">
                  <c:v>34121</c:v>
                </c:pt>
                <c:pt idx="174">
                  <c:v>34151</c:v>
                </c:pt>
                <c:pt idx="175">
                  <c:v>34182</c:v>
                </c:pt>
                <c:pt idx="176">
                  <c:v>34213</c:v>
                </c:pt>
                <c:pt idx="177">
                  <c:v>34243</c:v>
                </c:pt>
                <c:pt idx="178">
                  <c:v>34274</c:v>
                </c:pt>
                <c:pt idx="179">
                  <c:v>34304</c:v>
                </c:pt>
                <c:pt idx="180">
                  <c:v>34335</c:v>
                </c:pt>
                <c:pt idx="181">
                  <c:v>34366</c:v>
                </c:pt>
                <c:pt idx="182">
                  <c:v>34394</c:v>
                </c:pt>
                <c:pt idx="183">
                  <c:v>34425</c:v>
                </c:pt>
                <c:pt idx="184">
                  <c:v>34455</c:v>
                </c:pt>
                <c:pt idx="185">
                  <c:v>34486</c:v>
                </c:pt>
                <c:pt idx="186">
                  <c:v>34516</c:v>
                </c:pt>
                <c:pt idx="187">
                  <c:v>34547</c:v>
                </c:pt>
                <c:pt idx="188">
                  <c:v>34578</c:v>
                </c:pt>
                <c:pt idx="189">
                  <c:v>34608</c:v>
                </c:pt>
                <c:pt idx="190">
                  <c:v>34639</c:v>
                </c:pt>
                <c:pt idx="191">
                  <c:v>34669</c:v>
                </c:pt>
                <c:pt idx="192">
                  <c:v>34700</c:v>
                </c:pt>
                <c:pt idx="193">
                  <c:v>34731</c:v>
                </c:pt>
                <c:pt idx="194">
                  <c:v>34759</c:v>
                </c:pt>
                <c:pt idx="195">
                  <c:v>34790</c:v>
                </c:pt>
                <c:pt idx="196">
                  <c:v>34820</c:v>
                </c:pt>
                <c:pt idx="197">
                  <c:v>34851</c:v>
                </c:pt>
                <c:pt idx="198">
                  <c:v>34881</c:v>
                </c:pt>
                <c:pt idx="199">
                  <c:v>34912</c:v>
                </c:pt>
                <c:pt idx="200">
                  <c:v>34943</c:v>
                </c:pt>
                <c:pt idx="201">
                  <c:v>34973</c:v>
                </c:pt>
                <c:pt idx="202">
                  <c:v>35004</c:v>
                </c:pt>
                <c:pt idx="203">
                  <c:v>35034</c:v>
                </c:pt>
                <c:pt idx="204">
                  <c:v>35065</c:v>
                </c:pt>
                <c:pt idx="205">
                  <c:v>35096</c:v>
                </c:pt>
                <c:pt idx="206">
                  <c:v>35125</c:v>
                </c:pt>
                <c:pt idx="207">
                  <c:v>35156</c:v>
                </c:pt>
                <c:pt idx="208">
                  <c:v>35186</c:v>
                </c:pt>
                <c:pt idx="209">
                  <c:v>35217</c:v>
                </c:pt>
                <c:pt idx="210">
                  <c:v>35247</c:v>
                </c:pt>
                <c:pt idx="211">
                  <c:v>35278</c:v>
                </c:pt>
                <c:pt idx="212">
                  <c:v>35309</c:v>
                </c:pt>
                <c:pt idx="213">
                  <c:v>35339</c:v>
                </c:pt>
                <c:pt idx="214">
                  <c:v>35370</c:v>
                </c:pt>
                <c:pt idx="215">
                  <c:v>35400</c:v>
                </c:pt>
                <c:pt idx="216">
                  <c:v>35431</c:v>
                </c:pt>
                <c:pt idx="217">
                  <c:v>35462</c:v>
                </c:pt>
                <c:pt idx="218">
                  <c:v>35490</c:v>
                </c:pt>
                <c:pt idx="219">
                  <c:v>35521</c:v>
                </c:pt>
                <c:pt idx="220">
                  <c:v>35551</c:v>
                </c:pt>
                <c:pt idx="221">
                  <c:v>35582</c:v>
                </c:pt>
                <c:pt idx="222">
                  <c:v>35612</c:v>
                </c:pt>
                <c:pt idx="223">
                  <c:v>35643</c:v>
                </c:pt>
                <c:pt idx="224">
                  <c:v>35674</c:v>
                </c:pt>
                <c:pt idx="225">
                  <c:v>35704</c:v>
                </c:pt>
                <c:pt idx="226">
                  <c:v>35735</c:v>
                </c:pt>
                <c:pt idx="227">
                  <c:v>35765</c:v>
                </c:pt>
                <c:pt idx="228">
                  <c:v>35796</c:v>
                </c:pt>
                <c:pt idx="229">
                  <c:v>35827</c:v>
                </c:pt>
                <c:pt idx="230">
                  <c:v>35855</c:v>
                </c:pt>
                <c:pt idx="231">
                  <c:v>35886</c:v>
                </c:pt>
                <c:pt idx="232">
                  <c:v>35916</c:v>
                </c:pt>
                <c:pt idx="233">
                  <c:v>35947</c:v>
                </c:pt>
                <c:pt idx="234">
                  <c:v>35977</c:v>
                </c:pt>
                <c:pt idx="235">
                  <c:v>36008</c:v>
                </c:pt>
                <c:pt idx="236">
                  <c:v>36039</c:v>
                </c:pt>
                <c:pt idx="237">
                  <c:v>36069</c:v>
                </c:pt>
                <c:pt idx="238">
                  <c:v>36100</c:v>
                </c:pt>
                <c:pt idx="239">
                  <c:v>36130</c:v>
                </c:pt>
                <c:pt idx="240">
                  <c:v>36161</c:v>
                </c:pt>
                <c:pt idx="241">
                  <c:v>36192</c:v>
                </c:pt>
                <c:pt idx="242">
                  <c:v>36220</c:v>
                </c:pt>
                <c:pt idx="243">
                  <c:v>36251</c:v>
                </c:pt>
                <c:pt idx="244">
                  <c:v>36281</c:v>
                </c:pt>
                <c:pt idx="245">
                  <c:v>36312</c:v>
                </c:pt>
                <c:pt idx="246">
                  <c:v>36342</c:v>
                </c:pt>
                <c:pt idx="247">
                  <c:v>36373</c:v>
                </c:pt>
                <c:pt idx="248">
                  <c:v>36404</c:v>
                </c:pt>
                <c:pt idx="249">
                  <c:v>36434</c:v>
                </c:pt>
                <c:pt idx="250">
                  <c:v>36465</c:v>
                </c:pt>
                <c:pt idx="251">
                  <c:v>36495</c:v>
                </c:pt>
                <c:pt idx="252">
                  <c:v>36526</c:v>
                </c:pt>
                <c:pt idx="253">
                  <c:v>36557</c:v>
                </c:pt>
                <c:pt idx="254">
                  <c:v>36586</c:v>
                </c:pt>
                <c:pt idx="255">
                  <c:v>36617</c:v>
                </c:pt>
                <c:pt idx="256">
                  <c:v>36647</c:v>
                </c:pt>
                <c:pt idx="257">
                  <c:v>36678</c:v>
                </c:pt>
                <c:pt idx="258">
                  <c:v>36708</c:v>
                </c:pt>
                <c:pt idx="259">
                  <c:v>36739</c:v>
                </c:pt>
                <c:pt idx="260">
                  <c:v>36770</c:v>
                </c:pt>
                <c:pt idx="261">
                  <c:v>36800</c:v>
                </c:pt>
                <c:pt idx="262">
                  <c:v>36831</c:v>
                </c:pt>
                <c:pt idx="263">
                  <c:v>36861</c:v>
                </c:pt>
                <c:pt idx="264">
                  <c:v>36892</c:v>
                </c:pt>
                <c:pt idx="265">
                  <c:v>36923</c:v>
                </c:pt>
                <c:pt idx="266">
                  <c:v>36951</c:v>
                </c:pt>
                <c:pt idx="267">
                  <c:v>36982</c:v>
                </c:pt>
                <c:pt idx="268">
                  <c:v>37012</c:v>
                </c:pt>
                <c:pt idx="269">
                  <c:v>37043</c:v>
                </c:pt>
                <c:pt idx="270">
                  <c:v>37073</c:v>
                </c:pt>
                <c:pt idx="271">
                  <c:v>37104</c:v>
                </c:pt>
                <c:pt idx="272">
                  <c:v>37135</c:v>
                </c:pt>
                <c:pt idx="273">
                  <c:v>37165</c:v>
                </c:pt>
                <c:pt idx="274">
                  <c:v>37196</c:v>
                </c:pt>
                <c:pt idx="275">
                  <c:v>37226</c:v>
                </c:pt>
                <c:pt idx="276">
                  <c:v>37257</c:v>
                </c:pt>
                <c:pt idx="277">
                  <c:v>37288</c:v>
                </c:pt>
                <c:pt idx="278">
                  <c:v>37316</c:v>
                </c:pt>
                <c:pt idx="279">
                  <c:v>37347</c:v>
                </c:pt>
                <c:pt idx="280">
                  <c:v>37377</c:v>
                </c:pt>
                <c:pt idx="281">
                  <c:v>37408</c:v>
                </c:pt>
                <c:pt idx="282">
                  <c:v>37438</c:v>
                </c:pt>
                <c:pt idx="283">
                  <c:v>37469</c:v>
                </c:pt>
                <c:pt idx="284">
                  <c:v>37500</c:v>
                </c:pt>
                <c:pt idx="285">
                  <c:v>37530</c:v>
                </c:pt>
                <c:pt idx="286">
                  <c:v>37561</c:v>
                </c:pt>
                <c:pt idx="287">
                  <c:v>37591</c:v>
                </c:pt>
                <c:pt idx="288">
                  <c:v>37622</c:v>
                </c:pt>
                <c:pt idx="289">
                  <c:v>37653</c:v>
                </c:pt>
                <c:pt idx="290">
                  <c:v>37681</c:v>
                </c:pt>
                <c:pt idx="291">
                  <c:v>37712</c:v>
                </c:pt>
                <c:pt idx="292">
                  <c:v>37742</c:v>
                </c:pt>
                <c:pt idx="293">
                  <c:v>37773</c:v>
                </c:pt>
                <c:pt idx="294">
                  <c:v>37803</c:v>
                </c:pt>
                <c:pt idx="295">
                  <c:v>37834</c:v>
                </c:pt>
                <c:pt idx="296">
                  <c:v>37865</c:v>
                </c:pt>
                <c:pt idx="297">
                  <c:v>37895</c:v>
                </c:pt>
                <c:pt idx="298">
                  <c:v>37926</c:v>
                </c:pt>
                <c:pt idx="299">
                  <c:v>37956</c:v>
                </c:pt>
                <c:pt idx="300">
                  <c:v>37987</c:v>
                </c:pt>
                <c:pt idx="301">
                  <c:v>38018</c:v>
                </c:pt>
                <c:pt idx="302">
                  <c:v>38047</c:v>
                </c:pt>
                <c:pt idx="303">
                  <c:v>38078</c:v>
                </c:pt>
                <c:pt idx="304">
                  <c:v>38108</c:v>
                </c:pt>
                <c:pt idx="305">
                  <c:v>38139</c:v>
                </c:pt>
                <c:pt idx="306">
                  <c:v>38169</c:v>
                </c:pt>
                <c:pt idx="307">
                  <c:v>38200</c:v>
                </c:pt>
                <c:pt idx="308">
                  <c:v>38231</c:v>
                </c:pt>
                <c:pt idx="309">
                  <c:v>38261</c:v>
                </c:pt>
                <c:pt idx="310">
                  <c:v>38292</c:v>
                </c:pt>
                <c:pt idx="311">
                  <c:v>38322</c:v>
                </c:pt>
                <c:pt idx="312">
                  <c:v>38353</c:v>
                </c:pt>
                <c:pt idx="313">
                  <c:v>38384</c:v>
                </c:pt>
                <c:pt idx="314">
                  <c:v>38412</c:v>
                </c:pt>
                <c:pt idx="315">
                  <c:v>38443</c:v>
                </c:pt>
                <c:pt idx="316">
                  <c:v>38473</c:v>
                </c:pt>
                <c:pt idx="317">
                  <c:v>38504</c:v>
                </c:pt>
                <c:pt idx="318">
                  <c:v>38534</c:v>
                </c:pt>
                <c:pt idx="319">
                  <c:v>38565</c:v>
                </c:pt>
                <c:pt idx="320">
                  <c:v>38596</c:v>
                </c:pt>
                <c:pt idx="321">
                  <c:v>38626</c:v>
                </c:pt>
                <c:pt idx="322">
                  <c:v>38657</c:v>
                </c:pt>
                <c:pt idx="323">
                  <c:v>38687</c:v>
                </c:pt>
                <c:pt idx="324">
                  <c:v>38718</c:v>
                </c:pt>
                <c:pt idx="325">
                  <c:v>38749</c:v>
                </c:pt>
                <c:pt idx="326">
                  <c:v>38777</c:v>
                </c:pt>
                <c:pt idx="327">
                  <c:v>38808</c:v>
                </c:pt>
                <c:pt idx="328">
                  <c:v>38838</c:v>
                </c:pt>
                <c:pt idx="329">
                  <c:v>38869</c:v>
                </c:pt>
                <c:pt idx="330">
                  <c:v>38899</c:v>
                </c:pt>
                <c:pt idx="331">
                  <c:v>38930</c:v>
                </c:pt>
                <c:pt idx="332">
                  <c:v>38961</c:v>
                </c:pt>
                <c:pt idx="333">
                  <c:v>38991</c:v>
                </c:pt>
                <c:pt idx="334">
                  <c:v>39022</c:v>
                </c:pt>
                <c:pt idx="335">
                  <c:v>39052</c:v>
                </c:pt>
                <c:pt idx="336">
                  <c:v>39083</c:v>
                </c:pt>
                <c:pt idx="337">
                  <c:v>39114</c:v>
                </c:pt>
                <c:pt idx="338">
                  <c:v>39142</c:v>
                </c:pt>
                <c:pt idx="339">
                  <c:v>39173</c:v>
                </c:pt>
                <c:pt idx="340">
                  <c:v>39203</c:v>
                </c:pt>
                <c:pt idx="341">
                  <c:v>39234</c:v>
                </c:pt>
                <c:pt idx="342">
                  <c:v>39264</c:v>
                </c:pt>
                <c:pt idx="343">
                  <c:v>39295</c:v>
                </c:pt>
                <c:pt idx="344">
                  <c:v>39326</c:v>
                </c:pt>
                <c:pt idx="345">
                  <c:v>39356</c:v>
                </c:pt>
                <c:pt idx="346">
                  <c:v>39387</c:v>
                </c:pt>
                <c:pt idx="347">
                  <c:v>39417</c:v>
                </c:pt>
                <c:pt idx="348">
                  <c:v>39448</c:v>
                </c:pt>
                <c:pt idx="349">
                  <c:v>39479</c:v>
                </c:pt>
                <c:pt idx="350">
                  <c:v>39508</c:v>
                </c:pt>
                <c:pt idx="351">
                  <c:v>39539</c:v>
                </c:pt>
                <c:pt idx="352">
                  <c:v>39569</c:v>
                </c:pt>
                <c:pt idx="353">
                  <c:v>39600</c:v>
                </c:pt>
                <c:pt idx="354">
                  <c:v>39630</c:v>
                </c:pt>
                <c:pt idx="355">
                  <c:v>39661</c:v>
                </c:pt>
                <c:pt idx="356">
                  <c:v>39692</c:v>
                </c:pt>
                <c:pt idx="357">
                  <c:v>39722</c:v>
                </c:pt>
                <c:pt idx="358">
                  <c:v>39753</c:v>
                </c:pt>
                <c:pt idx="359">
                  <c:v>39783</c:v>
                </c:pt>
                <c:pt idx="360">
                  <c:v>39814</c:v>
                </c:pt>
                <c:pt idx="361">
                  <c:v>39845</c:v>
                </c:pt>
                <c:pt idx="362">
                  <c:v>39873</c:v>
                </c:pt>
                <c:pt idx="363">
                  <c:v>39904</c:v>
                </c:pt>
                <c:pt idx="364">
                  <c:v>39934</c:v>
                </c:pt>
                <c:pt idx="365">
                  <c:v>39965</c:v>
                </c:pt>
                <c:pt idx="366">
                  <c:v>39995</c:v>
                </c:pt>
                <c:pt idx="367">
                  <c:v>40026</c:v>
                </c:pt>
                <c:pt idx="368">
                  <c:v>40057</c:v>
                </c:pt>
                <c:pt idx="369">
                  <c:v>40087</c:v>
                </c:pt>
                <c:pt idx="370">
                  <c:v>40118</c:v>
                </c:pt>
                <c:pt idx="371">
                  <c:v>40148</c:v>
                </c:pt>
                <c:pt idx="372">
                  <c:v>40179</c:v>
                </c:pt>
                <c:pt idx="373">
                  <c:v>40210</c:v>
                </c:pt>
                <c:pt idx="374">
                  <c:v>40238</c:v>
                </c:pt>
                <c:pt idx="375">
                  <c:v>40269</c:v>
                </c:pt>
                <c:pt idx="376">
                  <c:v>40299</c:v>
                </c:pt>
                <c:pt idx="377">
                  <c:v>40330</c:v>
                </c:pt>
                <c:pt idx="378">
                  <c:v>40360</c:v>
                </c:pt>
                <c:pt idx="379">
                  <c:v>40391</c:v>
                </c:pt>
                <c:pt idx="380">
                  <c:v>40422</c:v>
                </c:pt>
                <c:pt idx="381">
                  <c:v>40452</c:v>
                </c:pt>
                <c:pt idx="382">
                  <c:v>40483</c:v>
                </c:pt>
                <c:pt idx="383">
                  <c:v>40513</c:v>
                </c:pt>
                <c:pt idx="384">
                  <c:v>40544</c:v>
                </c:pt>
                <c:pt idx="385">
                  <c:v>40575</c:v>
                </c:pt>
                <c:pt idx="386">
                  <c:v>40603</c:v>
                </c:pt>
                <c:pt idx="387">
                  <c:v>40634</c:v>
                </c:pt>
                <c:pt idx="388">
                  <c:v>40664</c:v>
                </c:pt>
                <c:pt idx="389">
                  <c:v>40695</c:v>
                </c:pt>
                <c:pt idx="390">
                  <c:v>40725</c:v>
                </c:pt>
                <c:pt idx="391">
                  <c:v>40756</c:v>
                </c:pt>
                <c:pt idx="392">
                  <c:v>40787</c:v>
                </c:pt>
                <c:pt idx="393">
                  <c:v>40817</c:v>
                </c:pt>
                <c:pt idx="394">
                  <c:v>40848</c:v>
                </c:pt>
                <c:pt idx="395">
                  <c:v>40878</c:v>
                </c:pt>
                <c:pt idx="396">
                  <c:v>40909</c:v>
                </c:pt>
                <c:pt idx="397">
                  <c:v>40940</c:v>
                </c:pt>
                <c:pt idx="398">
                  <c:v>40969</c:v>
                </c:pt>
                <c:pt idx="399">
                  <c:v>41000</c:v>
                </c:pt>
                <c:pt idx="400">
                  <c:v>41030</c:v>
                </c:pt>
                <c:pt idx="401">
                  <c:v>41061</c:v>
                </c:pt>
                <c:pt idx="402">
                  <c:v>41091</c:v>
                </c:pt>
                <c:pt idx="403">
                  <c:v>41122</c:v>
                </c:pt>
                <c:pt idx="404">
                  <c:v>41153</c:v>
                </c:pt>
                <c:pt idx="405">
                  <c:v>41183</c:v>
                </c:pt>
                <c:pt idx="406">
                  <c:v>41214</c:v>
                </c:pt>
                <c:pt idx="407">
                  <c:v>41244</c:v>
                </c:pt>
                <c:pt idx="408">
                  <c:v>41275</c:v>
                </c:pt>
                <c:pt idx="409">
                  <c:v>41306</c:v>
                </c:pt>
                <c:pt idx="410">
                  <c:v>41334</c:v>
                </c:pt>
              </c:numCache>
            </c:numRef>
          </c:cat>
          <c:val>
            <c:numRef>
              <c:f>'[Yuff unemployment rates.xls]Sheet1'!$F$4:$F$414</c:f>
              <c:numCache>
                <c:formatCode>0.0</c:formatCode>
                <c:ptCount val="411"/>
                <c:pt idx="0">
                  <c:v>2.606858001132967</c:v>
                </c:pt>
                <c:pt idx="1">
                  <c:v>2.5996030068379596</c:v>
                </c:pt>
                <c:pt idx="2">
                  <c:v>2.5945034763840895</c:v>
                </c:pt>
                <c:pt idx="3">
                  <c:v>2.5983090284179298</c:v>
                </c:pt>
                <c:pt idx="4">
                  <c:v>2.5584524306187384</c:v>
                </c:pt>
                <c:pt idx="5">
                  <c:v>2.5369231571631246</c:v>
                </c:pt>
                <c:pt idx="6">
                  <c:v>2.5421656833522999</c:v>
                </c:pt>
                <c:pt idx="7">
                  <c:v>2.5523901394846584</c:v>
                </c:pt>
                <c:pt idx="8">
                  <c:v>2.589986993407777</c:v>
                </c:pt>
                <c:pt idx="9">
                  <c:v>2.6369697118683018</c:v>
                </c:pt>
                <c:pt idx="10">
                  <c:v>2.6707660671832048</c:v>
                </c:pt>
                <c:pt idx="11">
                  <c:v>2.6694018541458977</c:v>
                </c:pt>
                <c:pt idx="12">
                  <c:v>2.6665446484376849</c:v>
                </c:pt>
                <c:pt idx="13">
                  <c:v>2.6605198547225428</c:v>
                </c:pt>
                <c:pt idx="14">
                  <c:v>2.6324200614892961</c:v>
                </c:pt>
                <c:pt idx="15">
                  <c:v>2.6134369554532277</c:v>
                </c:pt>
                <c:pt idx="16">
                  <c:v>2.6402766097860333</c:v>
                </c:pt>
                <c:pt idx="17">
                  <c:v>2.6717459014587583</c:v>
                </c:pt>
                <c:pt idx="18">
                  <c:v>2.6974791131906368</c:v>
                </c:pt>
                <c:pt idx="19">
                  <c:v>2.7284330809413726</c:v>
                </c:pt>
                <c:pt idx="20">
                  <c:v>2.7236648755231938</c:v>
                </c:pt>
                <c:pt idx="21">
                  <c:v>2.7254878641897591</c:v>
                </c:pt>
                <c:pt idx="22">
                  <c:v>2.7187053254055225</c:v>
                </c:pt>
                <c:pt idx="23">
                  <c:v>2.7104278103722366</c:v>
                </c:pt>
                <c:pt idx="24">
                  <c:v>2.7337803939255307</c:v>
                </c:pt>
                <c:pt idx="25">
                  <c:v>2.787262655494851</c:v>
                </c:pt>
                <c:pt idx="26">
                  <c:v>2.7897296809298613</c:v>
                </c:pt>
                <c:pt idx="27">
                  <c:v>2.7907350224578007</c:v>
                </c:pt>
                <c:pt idx="28">
                  <c:v>2.7639222294183532</c:v>
                </c:pt>
                <c:pt idx="29">
                  <c:v>2.7481116602419635</c:v>
                </c:pt>
                <c:pt idx="30">
                  <c:v>2.7372609789801552</c:v>
                </c:pt>
                <c:pt idx="31">
                  <c:v>2.696846258767712</c:v>
                </c:pt>
                <c:pt idx="32">
                  <c:v>2.6828458711523551</c:v>
                </c:pt>
                <c:pt idx="33">
                  <c:v>2.6509442811959887</c:v>
                </c:pt>
                <c:pt idx="34">
                  <c:v>2.6550428500427365</c:v>
                </c:pt>
                <c:pt idx="35">
                  <c:v>2.6382198917588155</c:v>
                </c:pt>
                <c:pt idx="36">
                  <c:v>2.6217285795097958</c:v>
                </c:pt>
                <c:pt idx="37">
                  <c:v>2.6052835175209887</c:v>
                </c:pt>
                <c:pt idx="38">
                  <c:v>2.6512927570544709</c:v>
                </c:pt>
                <c:pt idx="39">
                  <c:v>2.6907314555493564</c:v>
                </c:pt>
                <c:pt idx="40">
                  <c:v>2.7128308936305383</c:v>
                </c:pt>
                <c:pt idx="41">
                  <c:v>2.691239815855635</c:v>
                </c:pt>
                <c:pt idx="42">
                  <c:v>2.6884411137322921</c:v>
                </c:pt>
                <c:pt idx="43">
                  <c:v>2.684305337747054</c:v>
                </c:pt>
                <c:pt idx="44">
                  <c:v>2.6739728231856259</c:v>
                </c:pt>
                <c:pt idx="45">
                  <c:v>2.6468980818070738</c:v>
                </c:pt>
                <c:pt idx="46">
                  <c:v>2.6270254643725077</c:v>
                </c:pt>
                <c:pt idx="47">
                  <c:v>2.6069382260044049</c:v>
                </c:pt>
                <c:pt idx="48">
                  <c:v>2.5813988091366298</c:v>
                </c:pt>
                <c:pt idx="49">
                  <c:v>2.5342671333836773</c:v>
                </c:pt>
                <c:pt idx="50">
                  <c:v>2.5010048258301527</c:v>
                </c:pt>
                <c:pt idx="51">
                  <c:v>2.4510987753233517</c:v>
                </c:pt>
                <c:pt idx="52">
                  <c:v>2.4276398859204775</c:v>
                </c:pt>
                <c:pt idx="53">
                  <c:v>2.4231188689507297</c:v>
                </c:pt>
                <c:pt idx="54">
                  <c:v>2.4151375572690292</c:v>
                </c:pt>
                <c:pt idx="55">
                  <c:v>2.4088369041444637</c:v>
                </c:pt>
                <c:pt idx="56">
                  <c:v>2.427044946045255</c:v>
                </c:pt>
                <c:pt idx="57">
                  <c:v>2.4836055240941226</c:v>
                </c:pt>
                <c:pt idx="58">
                  <c:v>2.5008524807264809</c:v>
                </c:pt>
                <c:pt idx="59">
                  <c:v>2.5408846767239148</c:v>
                </c:pt>
                <c:pt idx="60">
                  <c:v>2.5691767813597464</c:v>
                </c:pt>
                <c:pt idx="61">
                  <c:v>2.5962550539952547</c:v>
                </c:pt>
                <c:pt idx="62">
                  <c:v>2.6113716415093275</c:v>
                </c:pt>
                <c:pt idx="63">
                  <c:v>2.6285976688011563</c:v>
                </c:pt>
                <c:pt idx="64">
                  <c:v>2.6317127794078452</c:v>
                </c:pt>
                <c:pt idx="65">
                  <c:v>2.6158416885586262</c:v>
                </c:pt>
                <c:pt idx="66">
                  <c:v>2.6130187825251903</c:v>
                </c:pt>
                <c:pt idx="67">
                  <c:v>2.6089777143636437</c:v>
                </c:pt>
                <c:pt idx="68">
                  <c:v>2.5427033933239578</c:v>
                </c:pt>
                <c:pt idx="69">
                  <c:v>2.4965742169586074</c:v>
                </c:pt>
                <c:pt idx="70">
                  <c:v>2.4920528936593795</c:v>
                </c:pt>
                <c:pt idx="71">
                  <c:v>2.4675354185137945</c:v>
                </c:pt>
                <c:pt idx="72">
                  <c:v>2.4413407698870389</c:v>
                </c:pt>
                <c:pt idx="73">
                  <c:v>2.4546085730772611</c:v>
                </c:pt>
                <c:pt idx="74">
                  <c:v>2.4541295915868373</c:v>
                </c:pt>
                <c:pt idx="75">
                  <c:v>2.4573182722141018</c:v>
                </c:pt>
                <c:pt idx="76">
                  <c:v>2.4799935256172683</c:v>
                </c:pt>
                <c:pt idx="77">
                  <c:v>2.5146102506960979</c:v>
                </c:pt>
                <c:pt idx="78">
                  <c:v>2.5195179144614945</c:v>
                </c:pt>
                <c:pt idx="79">
                  <c:v>2.5352775873891358</c:v>
                </c:pt>
                <c:pt idx="80">
                  <c:v>2.6013469042465194</c:v>
                </c:pt>
                <c:pt idx="81">
                  <c:v>2.6334660927032907</c:v>
                </c:pt>
                <c:pt idx="82">
                  <c:v>2.6083743966972834</c:v>
                </c:pt>
                <c:pt idx="83">
                  <c:v>2.6083966273443182</c:v>
                </c:pt>
                <c:pt idx="84">
                  <c:v>2.6045840949885437</c:v>
                </c:pt>
                <c:pt idx="85">
                  <c:v>2.5580749043533917</c:v>
                </c:pt>
                <c:pt idx="86">
                  <c:v>2.5307990938307929</c:v>
                </c:pt>
                <c:pt idx="87">
                  <c:v>2.5264306122998348</c:v>
                </c:pt>
                <c:pt idx="88">
                  <c:v>2.5372697422207628</c:v>
                </c:pt>
                <c:pt idx="89">
                  <c:v>2.5472570592064763</c:v>
                </c:pt>
                <c:pt idx="90">
                  <c:v>2.5265046298059337</c:v>
                </c:pt>
                <c:pt idx="91">
                  <c:v>2.4920783375272624</c:v>
                </c:pt>
                <c:pt idx="92">
                  <c:v>2.4776244864098755</c:v>
                </c:pt>
                <c:pt idx="93">
                  <c:v>2.4568778989324547</c:v>
                </c:pt>
                <c:pt idx="94">
                  <c:v>2.4538364225756184</c:v>
                </c:pt>
                <c:pt idx="95">
                  <c:v>2.4460646917137865</c:v>
                </c:pt>
                <c:pt idx="96">
                  <c:v>2.4786514202859484</c:v>
                </c:pt>
                <c:pt idx="97">
                  <c:v>2.536738252357599</c:v>
                </c:pt>
                <c:pt idx="98">
                  <c:v>2.5592041301796997</c:v>
                </c:pt>
                <c:pt idx="99">
                  <c:v>2.5672013242849037</c:v>
                </c:pt>
                <c:pt idx="100">
                  <c:v>2.5376658780567865</c:v>
                </c:pt>
                <c:pt idx="101">
                  <c:v>2.5052343930819023</c:v>
                </c:pt>
                <c:pt idx="102">
                  <c:v>2.5194773914051587</c:v>
                </c:pt>
                <c:pt idx="103">
                  <c:v>2.5364875259369901</c:v>
                </c:pt>
                <c:pt idx="104">
                  <c:v>2.5234833812986799</c:v>
                </c:pt>
                <c:pt idx="105">
                  <c:v>2.5216299543109351</c:v>
                </c:pt>
                <c:pt idx="106">
                  <c:v>2.5284352788496438</c:v>
                </c:pt>
                <c:pt idx="107">
                  <c:v>2.5196129412401911</c:v>
                </c:pt>
                <c:pt idx="108">
                  <c:v>2.4866931200577702</c:v>
                </c:pt>
                <c:pt idx="109">
                  <c:v>2.4304381327834257</c:v>
                </c:pt>
                <c:pt idx="110">
                  <c:v>2.4184412197851901</c:v>
                </c:pt>
                <c:pt idx="111">
                  <c:v>2.3768681318511597</c:v>
                </c:pt>
                <c:pt idx="112">
                  <c:v>2.3619529995652031</c:v>
                </c:pt>
                <c:pt idx="113">
                  <c:v>2.3452621660923887</c:v>
                </c:pt>
                <c:pt idx="114">
                  <c:v>2.3291503484054989</c:v>
                </c:pt>
                <c:pt idx="115">
                  <c:v>2.332060007184201</c:v>
                </c:pt>
                <c:pt idx="116">
                  <c:v>2.333321773706432</c:v>
                </c:pt>
                <c:pt idx="117">
                  <c:v>2.3097115557185206</c:v>
                </c:pt>
                <c:pt idx="118">
                  <c:v>2.3012935613697447</c:v>
                </c:pt>
                <c:pt idx="119">
                  <c:v>2.3058604403356151</c:v>
                </c:pt>
                <c:pt idx="120">
                  <c:v>2.3051342772772321</c:v>
                </c:pt>
                <c:pt idx="121">
                  <c:v>2.3154469298809115</c:v>
                </c:pt>
                <c:pt idx="122">
                  <c:v>2.2898889167212095</c:v>
                </c:pt>
                <c:pt idx="123">
                  <c:v>2.3075619382300054</c:v>
                </c:pt>
                <c:pt idx="124">
                  <c:v>2.3075290387180756</c:v>
                </c:pt>
                <c:pt idx="125">
                  <c:v>2.3436718185270187</c:v>
                </c:pt>
                <c:pt idx="126">
                  <c:v>2.3309031927108559</c:v>
                </c:pt>
                <c:pt idx="127">
                  <c:v>2.3161764790869994</c:v>
                </c:pt>
                <c:pt idx="128">
                  <c:v>2.3311084634180159</c:v>
                </c:pt>
                <c:pt idx="129">
                  <c:v>2.3352559711047753</c:v>
                </c:pt>
                <c:pt idx="130">
                  <c:v>2.316641760917109</c:v>
                </c:pt>
                <c:pt idx="131">
                  <c:v>2.2909544524228611</c:v>
                </c:pt>
                <c:pt idx="132">
                  <c:v>2.2546088062694478</c:v>
                </c:pt>
                <c:pt idx="133">
                  <c:v>2.2489537501305681</c:v>
                </c:pt>
                <c:pt idx="134">
                  <c:v>2.2661242691153731</c:v>
                </c:pt>
                <c:pt idx="135">
                  <c:v>2.2704132596327726</c:v>
                </c:pt>
                <c:pt idx="136">
                  <c:v>2.304915346828833</c:v>
                </c:pt>
                <c:pt idx="137">
                  <c:v>2.3159734110093906</c:v>
                </c:pt>
                <c:pt idx="138">
                  <c:v>2.333071800880663</c:v>
                </c:pt>
                <c:pt idx="139">
                  <c:v>2.3712063498002456</c:v>
                </c:pt>
                <c:pt idx="140">
                  <c:v>2.3502999777505318</c:v>
                </c:pt>
                <c:pt idx="141">
                  <c:v>2.3550790899811536</c:v>
                </c:pt>
                <c:pt idx="142">
                  <c:v>2.3499233234076407</c:v>
                </c:pt>
                <c:pt idx="143">
                  <c:v>2.3853825316875175</c:v>
                </c:pt>
                <c:pt idx="144">
                  <c:v>2.4142800782725304</c:v>
                </c:pt>
                <c:pt idx="145">
                  <c:v>2.4279309328873908</c:v>
                </c:pt>
                <c:pt idx="146">
                  <c:v>2.4354494267084501</c:v>
                </c:pt>
                <c:pt idx="147">
                  <c:v>2.4509706397302957</c:v>
                </c:pt>
                <c:pt idx="148">
                  <c:v>2.4478297406270855</c:v>
                </c:pt>
                <c:pt idx="149">
                  <c:v>2.4601239019185983</c:v>
                </c:pt>
                <c:pt idx="150">
                  <c:v>2.4832997312900238</c:v>
                </c:pt>
                <c:pt idx="151">
                  <c:v>2.4790552915594377</c:v>
                </c:pt>
                <c:pt idx="152">
                  <c:v>2.5093915791015156</c:v>
                </c:pt>
                <c:pt idx="153">
                  <c:v>2.5206960430784005</c:v>
                </c:pt>
                <c:pt idx="154">
                  <c:v>2.5526984924521354</c:v>
                </c:pt>
                <c:pt idx="155">
                  <c:v>2.5524329825754046</c:v>
                </c:pt>
                <c:pt idx="156">
                  <c:v>2.5612563075005705</c:v>
                </c:pt>
                <c:pt idx="157">
                  <c:v>2.6012666561389848</c:v>
                </c:pt>
                <c:pt idx="158">
                  <c:v>2.6145031229982671</c:v>
                </c:pt>
                <c:pt idx="159">
                  <c:v>2.6492290962515308</c:v>
                </c:pt>
                <c:pt idx="160">
                  <c:v>2.6692365983536446</c:v>
                </c:pt>
                <c:pt idx="161">
                  <c:v>2.7043566487401649</c:v>
                </c:pt>
                <c:pt idx="162">
                  <c:v>2.7515402590810392</c:v>
                </c:pt>
                <c:pt idx="163">
                  <c:v>2.7934928806815411</c:v>
                </c:pt>
                <c:pt idx="164">
                  <c:v>2.8389317723654215</c:v>
                </c:pt>
                <c:pt idx="165">
                  <c:v>2.8613755512165118</c:v>
                </c:pt>
                <c:pt idx="166">
                  <c:v>2.8597383820078845</c:v>
                </c:pt>
                <c:pt idx="167">
                  <c:v>2.8423387665631026</c:v>
                </c:pt>
                <c:pt idx="168">
                  <c:v>2.8388467597083977</c:v>
                </c:pt>
                <c:pt idx="169">
                  <c:v>2.8140698230203265</c:v>
                </c:pt>
                <c:pt idx="170">
                  <c:v>2.7994458996974618</c:v>
                </c:pt>
                <c:pt idx="171">
                  <c:v>2.7523174365901126</c:v>
                </c:pt>
                <c:pt idx="172">
                  <c:v>2.7677867333074069</c:v>
                </c:pt>
                <c:pt idx="173">
                  <c:v>2.7344613388527765</c:v>
                </c:pt>
                <c:pt idx="174">
                  <c:v>2.6866923396558642</c:v>
                </c:pt>
                <c:pt idx="175">
                  <c:v>2.6882250196594608</c:v>
                </c:pt>
                <c:pt idx="176">
                  <c:v>2.6505045509723399</c:v>
                </c:pt>
                <c:pt idx="177">
                  <c:v>2.6657577245919537</c:v>
                </c:pt>
                <c:pt idx="178">
                  <c:v>2.7203698459928796</c:v>
                </c:pt>
                <c:pt idx="179">
                  <c:v>2.8049378266897573</c:v>
                </c:pt>
                <c:pt idx="180">
                  <c:v>2.8770153915769741</c:v>
                </c:pt>
                <c:pt idx="181">
                  <c:v>2.8896368297382931</c:v>
                </c:pt>
                <c:pt idx="182">
                  <c:v>2.9328815051411299</c:v>
                </c:pt>
                <c:pt idx="183">
                  <c:v>2.9937605342198612</c:v>
                </c:pt>
                <c:pt idx="184">
                  <c:v>3.0057162620064846</c:v>
                </c:pt>
                <c:pt idx="185">
                  <c:v>3.046964079040301</c:v>
                </c:pt>
                <c:pt idx="186">
                  <c:v>3.0528220889569475</c:v>
                </c:pt>
                <c:pt idx="187">
                  <c:v>3.0080451625975555</c:v>
                </c:pt>
                <c:pt idx="188">
                  <c:v>2.9700617694682356</c:v>
                </c:pt>
                <c:pt idx="189">
                  <c:v>2.8835852450677351</c:v>
                </c:pt>
                <c:pt idx="190">
                  <c:v>2.7970815716573503</c:v>
                </c:pt>
                <c:pt idx="191">
                  <c:v>2.7281641821159908</c:v>
                </c:pt>
                <c:pt idx="192">
                  <c:v>2.6538788327905549</c:v>
                </c:pt>
                <c:pt idx="193">
                  <c:v>2.6342516755328775</c:v>
                </c:pt>
                <c:pt idx="194">
                  <c:v>2.6292883881979598</c:v>
                </c:pt>
                <c:pt idx="195">
                  <c:v>2.5893634956201415</c:v>
                </c:pt>
                <c:pt idx="196">
                  <c:v>2.5231543734427269</c:v>
                </c:pt>
                <c:pt idx="197">
                  <c:v>2.5028075489564632</c:v>
                </c:pt>
                <c:pt idx="198">
                  <c:v>2.5486413694346446</c:v>
                </c:pt>
                <c:pt idx="199">
                  <c:v>2.546875446540565</c:v>
                </c:pt>
                <c:pt idx="200">
                  <c:v>2.5356875453493837</c:v>
                </c:pt>
                <c:pt idx="201">
                  <c:v>2.6114175451913924</c:v>
                </c:pt>
                <c:pt idx="202">
                  <c:v>2.6717134979447259</c:v>
                </c:pt>
                <c:pt idx="203">
                  <c:v>2.7042889012287796</c:v>
                </c:pt>
                <c:pt idx="204">
                  <c:v>2.7032978749278676</c:v>
                </c:pt>
                <c:pt idx="205">
                  <c:v>2.6906183298773967</c:v>
                </c:pt>
                <c:pt idx="206">
                  <c:v>2.6653202860574874</c:v>
                </c:pt>
                <c:pt idx="207">
                  <c:v>2.686529744669734</c:v>
                </c:pt>
                <c:pt idx="208">
                  <c:v>2.7162162463777655</c:v>
                </c:pt>
                <c:pt idx="209">
                  <c:v>2.6886945898210737</c:v>
                </c:pt>
                <c:pt idx="210">
                  <c:v>2.6713153531166896</c:v>
                </c:pt>
                <c:pt idx="211">
                  <c:v>2.6882494522870717</c:v>
                </c:pt>
                <c:pt idx="212">
                  <c:v>2.739253417024476</c:v>
                </c:pt>
                <c:pt idx="213">
                  <c:v>2.7668042917278011</c:v>
                </c:pt>
                <c:pt idx="214">
                  <c:v>2.805522945990345</c:v>
                </c:pt>
                <c:pt idx="215">
                  <c:v>2.8250040339262781</c:v>
                </c:pt>
                <c:pt idx="216">
                  <c:v>2.823768157850358</c:v>
                </c:pt>
                <c:pt idx="217">
                  <c:v>2.8506526465066551</c:v>
                </c:pt>
                <c:pt idx="218">
                  <c:v>2.8956975169952592</c:v>
                </c:pt>
                <c:pt idx="219">
                  <c:v>2.8815786622639878</c:v>
                </c:pt>
                <c:pt idx="220">
                  <c:v>2.8684087762494572</c:v>
                </c:pt>
                <c:pt idx="221">
                  <c:v>2.8607738599780053</c:v>
                </c:pt>
                <c:pt idx="222">
                  <c:v>2.7914120946915113</c:v>
                </c:pt>
                <c:pt idx="223">
                  <c:v>2.761437394287404</c:v>
                </c:pt>
                <c:pt idx="224">
                  <c:v>2.7963820203070817</c:v>
                </c:pt>
                <c:pt idx="225">
                  <c:v>2.7624354916694198</c:v>
                </c:pt>
                <c:pt idx="226">
                  <c:v>2.7511755024930564</c:v>
                </c:pt>
                <c:pt idx="227">
                  <c:v>2.7602776946621743</c:v>
                </c:pt>
                <c:pt idx="228">
                  <c:v>2.8326128844565712</c:v>
                </c:pt>
                <c:pt idx="229">
                  <c:v>2.9155369262252488</c:v>
                </c:pt>
                <c:pt idx="230">
                  <c:v>2.9522001403840572</c:v>
                </c:pt>
                <c:pt idx="231">
                  <c:v>2.9773154096956107</c:v>
                </c:pt>
                <c:pt idx="232">
                  <c:v>3.0551451755315591</c:v>
                </c:pt>
                <c:pt idx="233">
                  <c:v>3.1195114628103799</c:v>
                </c:pt>
                <c:pt idx="234">
                  <c:v>3.2340935285186183</c:v>
                </c:pt>
                <c:pt idx="235">
                  <c:v>3.2982767752415079</c:v>
                </c:pt>
                <c:pt idx="236">
                  <c:v>3.2470975076822444</c:v>
                </c:pt>
                <c:pt idx="237">
                  <c:v>3.2776881806564528</c:v>
                </c:pt>
                <c:pt idx="238">
                  <c:v>3.2617557918781621</c:v>
                </c:pt>
                <c:pt idx="239">
                  <c:v>3.2161711549323124</c:v>
                </c:pt>
                <c:pt idx="240">
                  <c:v>3.1629427023343477</c:v>
                </c:pt>
                <c:pt idx="241">
                  <c:v>3.0794322527700069</c:v>
                </c:pt>
                <c:pt idx="242">
                  <c:v>2.9922441013513272</c:v>
                </c:pt>
                <c:pt idx="243">
                  <c:v>2.9723137674714755</c:v>
                </c:pt>
                <c:pt idx="244">
                  <c:v>2.9675349766526713</c:v>
                </c:pt>
                <c:pt idx="245">
                  <c:v>2.9801419763565171</c:v>
                </c:pt>
                <c:pt idx="246">
                  <c:v>2.9807181570469181</c:v>
                </c:pt>
                <c:pt idx="247">
                  <c:v>2.9978886639671591</c:v>
                </c:pt>
                <c:pt idx="248">
                  <c:v>3.0562439946619353</c:v>
                </c:pt>
                <c:pt idx="249">
                  <c:v>3.0504225845786137</c:v>
                </c:pt>
                <c:pt idx="250">
                  <c:v>3.0410430335989176</c:v>
                </c:pt>
                <c:pt idx="251">
                  <c:v>3.0491814301708215</c:v>
                </c:pt>
                <c:pt idx="252">
                  <c:v>3.045990061276207</c:v>
                </c:pt>
                <c:pt idx="253">
                  <c:v>3.0789944710890822</c:v>
                </c:pt>
                <c:pt idx="254">
                  <c:v>3.1191080518420322</c:v>
                </c:pt>
                <c:pt idx="255">
                  <c:v>3.1891278799681224</c:v>
                </c:pt>
                <c:pt idx="256">
                  <c:v>3.1586860379835824</c:v>
                </c:pt>
                <c:pt idx="257">
                  <c:v>3.0867481261960386</c:v>
                </c:pt>
                <c:pt idx="258">
                  <c:v>3.0142651986725628</c:v>
                </c:pt>
                <c:pt idx="259">
                  <c:v>2.9575210061631885</c:v>
                </c:pt>
                <c:pt idx="260">
                  <c:v>2.9085841367946581</c:v>
                </c:pt>
                <c:pt idx="261">
                  <c:v>2.9068222307467173</c:v>
                </c:pt>
                <c:pt idx="262">
                  <c:v>2.9566371753872294</c:v>
                </c:pt>
                <c:pt idx="263">
                  <c:v>3.0274382852681971</c:v>
                </c:pt>
                <c:pt idx="264">
                  <c:v>3.1012151121539691</c:v>
                </c:pt>
                <c:pt idx="265">
                  <c:v>3.2012782130709767</c:v>
                </c:pt>
                <c:pt idx="266">
                  <c:v>3.2526195787994294</c:v>
                </c:pt>
                <c:pt idx="267">
                  <c:v>3.2281834350776917</c:v>
                </c:pt>
                <c:pt idx="268">
                  <c:v>3.2236005604725659</c:v>
                </c:pt>
                <c:pt idx="269">
                  <c:v>3.2693030729750148</c:v>
                </c:pt>
                <c:pt idx="270">
                  <c:v>3.3044476955322604</c:v>
                </c:pt>
                <c:pt idx="271">
                  <c:v>3.2572705726524092</c:v>
                </c:pt>
                <c:pt idx="272">
                  <c:v>3.2991860343614698</c:v>
                </c:pt>
                <c:pt idx="273">
                  <c:v>3.3248600066603209</c:v>
                </c:pt>
                <c:pt idx="274">
                  <c:v>3.3412983411281449</c:v>
                </c:pt>
                <c:pt idx="275">
                  <c:v>3.2760289397230618</c:v>
                </c:pt>
                <c:pt idx="276">
                  <c:v>3.2126845954430867</c:v>
                </c:pt>
                <c:pt idx="277">
                  <c:v>3.1413657743651866</c:v>
                </c:pt>
                <c:pt idx="278">
                  <c:v>3.1336216152172085</c:v>
                </c:pt>
                <c:pt idx="279">
                  <c:v>3.1259197812059378</c:v>
                </c:pt>
                <c:pt idx="280">
                  <c:v>3.1741647864286495</c:v>
                </c:pt>
                <c:pt idx="281">
                  <c:v>3.1861370266882862</c:v>
                </c:pt>
                <c:pt idx="282">
                  <c:v>3.2256211523418581</c:v>
                </c:pt>
                <c:pt idx="283">
                  <c:v>3.3798768341980181</c:v>
                </c:pt>
                <c:pt idx="284">
                  <c:v>3.3747209602949915</c:v>
                </c:pt>
                <c:pt idx="285">
                  <c:v>3.3229062542402108</c:v>
                </c:pt>
                <c:pt idx="286">
                  <c:v>3.3280471785296677</c:v>
                </c:pt>
                <c:pt idx="287">
                  <c:v>3.3140219240022883</c:v>
                </c:pt>
                <c:pt idx="288">
                  <c:v>3.4114470528563352</c:v>
                </c:pt>
                <c:pt idx="289">
                  <c:v>3.4504841652047302</c:v>
                </c:pt>
                <c:pt idx="290">
                  <c:v>3.5132452736983573</c:v>
                </c:pt>
                <c:pt idx="291">
                  <c:v>3.5726660188401627</c:v>
                </c:pt>
                <c:pt idx="292">
                  <c:v>3.5976973007011352</c:v>
                </c:pt>
                <c:pt idx="293">
                  <c:v>3.6516622678228048</c:v>
                </c:pt>
                <c:pt idx="294">
                  <c:v>3.6483922988371829</c:v>
                </c:pt>
                <c:pt idx="295">
                  <c:v>3.6089360473952383</c:v>
                </c:pt>
                <c:pt idx="296">
                  <c:v>3.5937890261870855</c:v>
                </c:pt>
                <c:pt idx="297">
                  <c:v>3.6442889558023994</c:v>
                </c:pt>
                <c:pt idx="298">
                  <c:v>3.6337077875912729</c:v>
                </c:pt>
                <c:pt idx="299">
                  <c:v>3.7069477273285827</c:v>
                </c:pt>
                <c:pt idx="300">
                  <c:v>3.7614748334281027</c:v>
                </c:pt>
                <c:pt idx="301">
                  <c:v>3.793851883523919</c:v>
                </c:pt>
                <c:pt idx="302">
                  <c:v>3.7343689405718425</c:v>
                </c:pt>
                <c:pt idx="303">
                  <c:v>3.691081651351694</c:v>
                </c:pt>
                <c:pt idx="304">
                  <c:v>3.6150603626069744</c:v>
                </c:pt>
                <c:pt idx="305">
                  <c:v>3.5609304444947503</c:v>
                </c:pt>
                <c:pt idx="306">
                  <c:v>3.5448358160441735</c:v>
                </c:pt>
                <c:pt idx="307">
                  <c:v>3.5476501163886853</c:v>
                </c:pt>
                <c:pt idx="308">
                  <c:v>3.5804372069221633</c:v>
                </c:pt>
                <c:pt idx="309">
                  <c:v>3.601966097898647</c:v>
                </c:pt>
                <c:pt idx="310">
                  <c:v>3.5877337410371077</c:v>
                </c:pt>
                <c:pt idx="311">
                  <c:v>3.5394955564770485</c:v>
                </c:pt>
                <c:pt idx="312">
                  <c:v>3.4222609489899978</c:v>
                </c:pt>
                <c:pt idx="313">
                  <c:v>3.323230631244968</c:v>
                </c:pt>
                <c:pt idx="314">
                  <c:v>3.2223718699810151</c:v>
                </c:pt>
                <c:pt idx="315">
                  <c:v>3.2894163817398336</c:v>
                </c:pt>
                <c:pt idx="316">
                  <c:v>3.331953714013133</c:v>
                </c:pt>
                <c:pt idx="317">
                  <c:v>3.3222512105475093</c:v>
                </c:pt>
                <c:pt idx="318">
                  <c:v>3.2940117410704657</c:v>
                </c:pt>
                <c:pt idx="319">
                  <c:v>3.3091529136916842</c:v>
                </c:pt>
                <c:pt idx="320">
                  <c:v>3.3665953333457419</c:v>
                </c:pt>
                <c:pt idx="321">
                  <c:v>3.5016295887488851</c:v>
                </c:pt>
                <c:pt idx="322">
                  <c:v>3.5743469508950567</c:v>
                </c:pt>
                <c:pt idx="323">
                  <c:v>3.6240541442542891</c:v>
                </c:pt>
                <c:pt idx="324">
                  <c:v>3.5948121931032122</c:v>
                </c:pt>
                <c:pt idx="325">
                  <c:v>3.6271714422027217</c:v>
                </c:pt>
                <c:pt idx="326">
                  <c:v>3.8187135958478851</c:v>
                </c:pt>
                <c:pt idx="327">
                  <c:v>3.7859691586414379</c:v>
                </c:pt>
                <c:pt idx="328">
                  <c:v>3.7914502377765409</c:v>
                </c:pt>
                <c:pt idx="329">
                  <c:v>3.8008830855713884</c:v>
                </c:pt>
                <c:pt idx="330">
                  <c:v>3.8856599802489464</c:v>
                </c:pt>
                <c:pt idx="331">
                  <c:v>3.8469251383832721</c:v>
                </c:pt>
                <c:pt idx="332">
                  <c:v>3.8422112951865635</c:v>
                </c:pt>
                <c:pt idx="333">
                  <c:v>3.6426286930971985</c:v>
                </c:pt>
                <c:pt idx="334">
                  <c:v>3.5341722566109524</c:v>
                </c:pt>
                <c:pt idx="335">
                  <c:v>3.5603555466071088</c:v>
                </c:pt>
                <c:pt idx="336">
                  <c:v>3.6502440714911195</c:v>
                </c:pt>
                <c:pt idx="337">
                  <c:v>3.6277051658653221</c:v>
                </c:pt>
                <c:pt idx="338">
                  <c:v>3.4698151226971201</c:v>
                </c:pt>
                <c:pt idx="339">
                  <c:v>3.4399956626604871</c:v>
                </c:pt>
                <c:pt idx="340">
                  <c:v>3.3804166226139452</c:v>
                </c:pt>
                <c:pt idx="341">
                  <c:v>3.335820705819839</c:v>
                </c:pt>
                <c:pt idx="342">
                  <c:v>3.2481146228281559</c:v>
                </c:pt>
                <c:pt idx="343">
                  <c:v>3.304449343891096</c:v>
                </c:pt>
                <c:pt idx="344">
                  <c:v>3.2031253461149585</c:v>
                </c:pt>
                <c:pt idx="345">
                  <c:v>3.2114652151120344</c:v>
                </c:pt>
                <c:pt idx="346">
                  <c:v>3.2890681984528234</c:v>
                </c:pt>
                <c:pt idx="347">
                  <c:v>3.2822495141761205</c:v>
                </c:pt>
                <c:pt idx="348">
                  <c:v>3.2693757685937146</c:v>
                </c:pt>
                <c:pt idx="349">
                  <c:v>3.2486501359633091</c:v>
                </c:pt>
                <c:pt idx="350">
                  <c:v>3.2952735657956294</c:v>
                </c:pt>
                <c:pt idx="351">
                  <c:v>3.3159869683961465</c:v>
                </c:pt>
                <c:pt idx="352">
                  <c:v>3.3856447579588571</c:v>
                </c:pt>
                <c:pt idx="353">
                  <c:v>3.5354611961378866</c:v>
                </c:pt>
                <c:pt idx="354">
                  <c:v>3.5098330076953159</c:v>
                </c:pt>
                <c:pt idx="355">
                  <c:v>3.396048457259226</c:v>
                </c:pt>
                <c:pt idx="356">
                  <c:v>3.5183192833382466</c:v>
                </c:pt>
                <c:pt idx="357">
                  <c:v>3.5851881888767139</c:v>
                </c:pt>
                <c:pt idx="358">
                  <c:v>3.512566949734937</c:v>
                </c:pt>
                <c:pt idx="359">
                  <c:v>3.4546150471802388</c:v>
                </c:pt>
                <c:pt idx="360">
                  <c:v>3.33289595948087</c:v>
                </c:pt>
                <c:pt idx="361">
                  <c:v>3.2363791304341278</c:v>
                </c:pt>
                <c:pt idx="362">
                  <c:v>3.2799875669584373</c:v>
                </c:pt>
                <c:pt idx="363">
                  <c:v>3.2818639568114207</c:v>
                </c:pt>
                <c:pt idx="364">
                  <c:v>3.2478813280455512</c:v>
                </c:pt>
                <c:pt idx="365">
                  <c:v>3.1704747673459708</c:v>
                </c:pt>
                <c:pt idx="366">
                  <c:v>3.1948374635779522</c:v>
                </c:pt>
                <c:pt idx="367">
                  <c:v>3.1974315426078008</c:v>
                </c:pt>
                <c:pt idx="368">
                  <c:v>3.1278757313990981</c:v>
                </c:pt>
                <c:pt idx="369">
                  <c:v>3.0491911641853013</c:v>
                </c:pt>
                <c:pt idx="370">
                  <c:v>3.0813669419460572</c:v>
                </c:pt>
                <c:pt idx="371">
                  <c:v>3.1150579474389386</c:v>
                </c:pt>
                <c:pt idx="372">
                  <c:v>3.2020678356817016</c:v>
                </c:pt>
                <c:pt idx="373">
                  <c:v>3.280859557581469</c:v>
                </c:pt>
                <c:pt idx="374">
                  <c:v>3.2945824888130582</c:v>
                </c:pt>
                <c:pt idx="375">
                  <c:v>3.4060722834556474</c:v>
                </c:pt>
                <c:pt idx="376">
                  <c:v>3.4589032504143384</c:v>
                </c:pt>
                <c:pt idx="377">
                  <c:v>3.5376342439875779</c:v>
                </c:pt>
                <c:pt idx="378">
                  <c:v>3.6442857022198569</c:v>
                </c:pt>
                <c:pt idx="379">
                  <c:v>3.6446254127950182</c:v>
                </c:pt>
                <c:pt idx="380">
                  <c:v>3.668945109627372</c:v>
                </c:pt>
                <c:pt idx="381">
                  <c:v>3.7644467647257724</c:v>
                </c:pt>
                <c:pt idx="382">
                  <c:v>3.7161897943825997</c:v>
                </c:pt>
                <c:pt idx="383">
                  <c:v>3.7399729312657248</c:v>
                </c:pt>
                <c:pt idx="384">
                  <c:v>3.7443778499915261</c:v>
                </c:pt>
                <c:pt idx="385">
                  <c:v>3.846318721162143</c:v>
                </c:pt>
                <c:pt idx="386">
                  <c:v>3.883319067596986</c:v>
                </c:pt>
                <c:pt idx="387">
                  <c:v>3.8306741456201805</c:v>
                </c:pt>
                <c:pt idx="388">
                  <c:v>3.7874706693748137</c:v>
                </c:pt>
                <c:pt idx="389">
                  <c:v>3.7320139860335728</c:v>
                </c:pt>
                <c:pt idx="390">
                  <c:v>3.8251542207507958</c:v>
                </c:pt>
                <c:pt idx="391">
                  <c:v>3.9266282277816105</c:v>
                </c:pt>
                <c:pt idx="392">
                  <c:v>4.0282491484976193</c:v>
                </c:pt>
                <c:pt idx="393">
                  <c:v>4.0146684906519248</c:v>
                </c:pt>
                <c:pt idx="394">
                  <c:v>4.1004705544830431</c:v>
                </c:pt>
                <c:pt idx="395">
                  <c:v>4.1234672170996998</c:v>
                </c:pt>
                <c:pt idx="396">
                  <c:v>4.2625262383871503</c:v>
                </c:pt>
                <c:pt idx="397">
                  <c:v>4.2782250317788408</c:v>
                </c:pt>
                <c:pt idx="398">
                  <c:v>4.2487330446953724</c:v>
                </c:pt>
                <c:pt idx="399">
                  <c:v>4.1572200765484215</c:v>
                </c:pt>
                <c:pt idx="400">
                  <c:v>4.2498802931641144</c:v>
                </c:pt>
                <c:pt idx="401">
                  <c:v>4.1931429325152392</c:v>
                </c:pt>
                <c:pt idx="402">
                  <c:v>4.1366586618389176</c:v>
                </c:pt>
                <c:pt idx="403">
                  <c:v>4.1597359009104666</c:v>
                </c:pt>
                <c:pt idx="404">
                  <c:v>4.2020802221796512</c:v>
                </c:pt>
                <c:pt idx="405">
                  <c:v>4.2465778292553891</c:v>
                </c:pt>
                <c:pt idx="406">
                  <c:v>4.2132683866839935</c:v>
                </c:pt>
                <c:pt idx="407">
                  <c:v>4.1500762741596304</c:v>
                </c:pt>
                <c:pt idx="408">
                  <c:v>4.0431177093119226</c:v>
                </c:pt>
                <c:pt idx="409">
                  <c:v>4.0086166911405234</c:v>
                </c:pt>
                <c:pt idx="410">
                  <c:v>4.2076269806309394</c:v>
                </c:pt>
              </c:numCache>
            </c:numRef>
          </c:val>
          <c:smooth val="0"/>
        </c:ser>
        <c:ser>
          <c:idx val="6"/>
          <c:order val="1"/>
          <c:tx>
            <c:strRef>
              <c:f>'[Yuff unemployment rates.xls]Sheet1'!$H$2:$H$3</c:f>
              <c:strCache>
                <c:ptCount val="1"/>
                <c:pt idx="0">
                  <c:v>Australia</c:v>
                </c:pt>
              </c:strCache>
            </c:strRef>
          </c:tx>
          <c:spPr>
            <a:ln w="38100">
              <a:solidFill>
                <a:srgbClr val="0070C0"/>
              </a:solidFill>
            </a:ln>
          </c:spPr>
          <c:marker>
            <c:symbol val="none"/>
          </c:marker>
          <c:cat>
            <c:numRef>
              <c:f>'[Yuff unemployment rates.xls]Sheet1'!$A$4:$A$414</c:f>
              <c:numCache>
                <c:formatCode>mmm\-yy</c:formatCode>
                <c:ptCount val="411"/>
                <c:pt idx="0">
                  <c:v>28856</c:v>
                </c:pt>
                <c:pt idx="1">
                  <c:v>28887</c:v>
                </c:pt>
                <c:pt idx="2">
                  <c:v>28915</c:v>
                </c:pt>
                <c:pt idx="3">
                  <c:v>28946</c:v>
                </c:pt>
                <c:pt idx="4">
                  <c:v>28976</c:v>
                </c:pt>
                <c:pt idx="5">
                  <c:v>29007</c:v>
                </c:pt>
                <c:pt idx="6">
                  <c:v>29037</c:v>
                </c:pt>
                <c:pt idx="7">
                  <c:v>29068</c:v>
                </c:pt>
                <c:pt idx="8">
                  <c:v>29099</c:v>
                </c:pt>
                <c:pt idx="9">
                  <c:v>29129</c:v>
                </c:pt>
                <c:pt idx="10">
                  <c:v>29160</c:v>
                </c:pt>
                <c:pt idx="11">
                  <c:v>29190</c:v>
                </c:pt>
                <c:pt idx="12">
                  <c:v>29221</c:v>
                </c:pt>
                <c:pt idx="13">
                  <c:v>29252</c:v>
                </c:pt>
                <c:pt idx="14">
                  <c:v>29281</c:v>
                </c:pt>
                <c:pt idx="15">
                  <c:v>29312</c:v>
                </c:pt>
                <c:pt idx="16">
                  <c:v>29342</c:v>
                </c:pt>
                <c:pt idx="17">
                  <c:v>29373</c:v>
                </c:pt>
                <c:pt idx="18">
                  <c:v>29403</c:v>
                </c:pt>
                <c:pt idx="19">
                  <c:v>29434</c:v>
                </c:pt>
                <c:pt idx="20">
                  <c:v>29465</c:v>
                </c:pt>
                <c:pt idx="21">
                  <c:v>29495</c:v>
                </c:pt>
                <c:pt idx="22">
                  <c:v>29526</c:v>
                </c:pt>
                <c:pt idx="23">
                  <c:v>29556</c:v>
                </c:pt>
                <c:pt idx="24">
                  <c:v>29587</c:v>
                </c:pt>
                <c:pt idx="25">
                  <c:v>29618</c:v>
                </c:pt>
                <c:pt idx="26">
                  <c:v>29646</c:v>
                </c:pt>
                <c:pt idx="27">
                  <c:v>29677</c:v>
                </c:pt>
                <c:pt idx="28">
                  <c:v>29707</c:v>
                </c:pt>
                <c:pt idx="29">
                  <c:v>29738</c:v>
                </c:pt>
                <c:pt idx="30">
                  <c:v>29768</c:v>
                </c:pt>
                <c:pt idx="31">
                  <c:v>29799</c:v>
                </c:pt>
                <c:pt idx="32">
                  <c:v>29830</c:v>
                </c:pt>
                <c:pt idx="33">
                  <c:v>29860</c:v>
                </c:pt>
                <c:pt idx="34">
                  <c:v>29891</c:v>
                </c:pt>
                <c:pt idx="35">
                  <c:v>29921</c:v>
                </c:pt>
                <c:pt idx="36">
                  <c:v>29952</c:v>
                </c:pt>
                <c:pt idx="37">
                  <c:v>29983</c:v>
                </c:pt>
                <c:pt idx="38">
                  <c:v>30011</c:v>
                </c:pt>
                <c:pt idx="39">
                  <c:v>30042</c:v>
                </c:pt>
                <c:pt idx="40">
                  <c:v>30072</c:v>
                </c:pt>
                <c:pt idx="41">
                  <c:v>30103</c:v>
                </c:pt>
                <c:pt idx="42">
                  <c:v>30133</c:v>
                </c:pt>
                <c:pt idx="43">
                  <c:v>30164</c:v>
                </c:pt>
                <c:pt idx="44">
                  <c:v>30195</c:v>
                </c:pt>
                <c:pt idx="45">
                  <c:v>30225</c:v>
                </c:pt>
                <c:pt idx="46">
                  <c:v>30256</c:v>
                </c:pt>
                <c:pt idx="47">
                  <c:v>30286</c:v>
                </c:pt>
                <c:pt idx="48">
                  <c:v>30317</c:v>
                </c:pt>
                <c:pt idx="49">
                  <c:v>30348</c:v>
                </c:pt>
                <c:pt idx="50">
                  <c:v>30376</c:v>
                </c:pt>
                <c:pt idx="51">
                  <c:v>30407</c:v>
                </c:pt>
                <c:pt idx="52">
                  <c:v>30437</c:v>
                </c:pt>
                <c:pt idx="53">
                  <c:v>30468</c:v>
                </c:pt>
                <c:pt idx="54">
                  <c:v>30498</c:v>
                </c:pt>
                <c:pt idx="55">
                  <c:v>30529</c:v>
                </c:pt>
                <c:pt idx="56">
                  <c:v>30560</c:v>
                </c:pt>
                <c:pt idx="57">
                  <c:v>30590</c:v>
                </c:pt>
                <c:pt idx="58">
                  <c:v>30621</c:v>
                </c:pt>
                <c:pt idx="59">
                  <c:v>30651</c:v>
                </c:pt>
                <c:pt idx="60">
                  <c:v>30682</c:v>
                </c:pt>
                <c:pt idx="61">
                  <c:v>30713</c:v>
                </c:pt>
                <c:pt idx="62">
                  <c:v>30742</c:v>
                </c:pt>
                <c:pt idx="63">
                  <c:v>30773</c:v>
                </c:pt>
                <c:pt idx="64">
                  <c:v>30803</c:v>
                </c:pt>
                <c:pt idx="65">
                  <c:v>30834</c:v>
                </c:pt>
                <c:pt idx="66">
                  <c:v>30864</c:v>
                </c:pt>
                <c:pt idx="67">
                  <c:v>30895</c:v>
                </c:pt>
                <c:pt idx="68">
                  <c:v>30926</c:v>
                </c:pt>
                <c:pt idx="69">
                  <c:v>30956</c:v>
                </c:pt>
                <c:pt idx="70">
                  <c:v>30987</c:v>
                </c:pt>
                <c:pt idx="71">
                  <c:v>31017</c:v>
                </c:pt>
                <c:pt idx="72">
                  <c:v>31048</c:v>
                </c:pt>
                <c:pt idx="73">
                  <c:v>31079</c:v>
                </c:pt>
                <c:pt idx="74">
                  <c:v>31107</c:v>
                </c:pt>
                <c:pt idx="75">
                  <c:v>31138</c:v>
                </c:pt>
                <c:pt idx="76">
                  <c:v>31168</c:v>
                </c:pt>
                <c:pt idx="77">
                  <c:v>31199</c:v>
                </c:pt>
                <c:pt idx="78">
                  <c:v>31229</c:v>
                </c:pt>
                <c:pt idx="79">
                  <c:v>31260</c:v>
                </c:pt>
                <c:pt idx="80">
                  <c:v>31291</c:v>
                </c:pt>
                <c:pt idx="81">
                  <c:v>31321</c:v>
                </c:pt>
                <c:pt idx="82">
                  <c:v>31352</c:v>
                </c:pt>
                <c:pt idx="83">
                  <c:v>31382</c:v>
                </c:pt>
                <c:pt idx="84">
                  <c:v>31413</c:v>
                </c:pt>
                <c:pt idx="85">
                  <c:v>31444</c:v>
                </c:pt>
                <c:pt idx="86">
                  <c:v>31472</c:v>
                </c:pt>
                <c:pt idx="87">
                  <c:v>31503</c:v>
                </c:pt>
                <c:pt idx="88">
                  <c:v>31533</c:v>
                </c:pt>
                <c:pt idx="89">
                  <c:v>31564</c:v>
                </c:pt>
                <c:pt idx="90">
                  <c:v>31594</c:v>
                </c:pt>
                <c:pt idx="91">
                  <c:v>31625</c:v>
                </c:pt>
                <c:pt idx="92">
                  <c:v>31656</c:v>
                </c:pt>
                <c:pt idx="93">
                  <c:v>31686</c:v>
                </c:pt>
                <c:pt idx="94">
                  <c:v>31717</c:v>
                </c:pt>
                <c:pt idx="95">
                  <c:v>31747</c:v>
                </c:pt>
                <c:pt idx="96">
                  <c:v>31778</c:v>
                </c:pt>
                <c:pt idx="97">
                  <c:v>31809</c:v>
                </c:pt>
                <c:pt idx="98">
                  <c:v>31837</c:v>
                </c:pt>
                <c:pt idx="99">
                  <c:v>31868</c:v>
                </c:pt>
                <c:pt idx="100">
                  <c:v>31898</c:v>
                </c:pt>
                <c:pt idx="101">
                  <c:v>31929</c:v>
                </c:pt>
                <c:pt idx="102">
                  <c:v>31959</c:v>
                </c:pt>
                <c:pt idx="103">
                  <c:v>31990</c:v>
                </c:pt>
                <c:pt idx="104">
                  <c:v>32021</c:v>
                </c:pt>
                <c:pt idx="105">
                  <c:v>32051</c:v>
                </c:pt>
                <c:pt idx="106">
                  <c:v>32082</c:v>
                </c:pt>
                <c:pt idx="107">
                  <c:v>32112</c:v>
                </c:pt>
                <c:pt idx="108">
                  <c:v>32143</c:v>
                </c:pt>
                <c:pt idx="109">
                  <c:v>32174</c:v>
                </c:pt>
                <c:pt idx="110">
                  <c:v>32203</c:v>
                </c:pt>
                <c:pt idx="111">
                  <c:v>32234</c:v>
                </c:pt>
                <c:pt idx="112">
                  <c:v>32264</c:v>
                </c:pt>
                <c:pt idx="113">
                  <c:v>32295</c:v>
                </c:pt>
                <c:pt idx="114">
                  <c:v>32325</c:v>
                </c:pt>
                <c:pt idx="115">
                  <c:v>32356</c:v>
                </c:pt>
                <c:pt idx="116">
                  <c:v>32387</c:v>
                </c:pt>
                <c:pt idx="117">
                  <c:v>32417</c:v>
                </c:pt>
                <c:pt idx="118">
                  <c:v>32448</c:v>
                </c:pt>
                <c:pt idx="119">
                  <c:v>32478</c:v>
                </c:pt>
                <c:pt idx="120">
                  <c:v>32509</c:v>
                </c:pt>
                <c:pt idx="121">
                  <c:v>32540</c:v>
                </c:pt>
                <c:pt idx="122">
                  <c:v>32568</c:v>
                </c:pt>
                <c:pt idx="123">
                  <c:v>32599</c:v>
                </c:pt>
                <c:pt idx="124">
                  <c:v>32629</c:v>
                </c:pt>
                <c:pt idx="125">
                  <c:v>32660</c:v>
                </c:pt>
                <c:pt idx="126">
                  <c:v>32690</c:v>
                </c:pt>
                <c:pt idx="127">
                  <c:v>32721</c:v>
                </c:pt>
                <c:pt idx="128">
                  <c:v>32752</c:v>
                </c:pt>
                <c:pt idx="129">
                  <c:v>32782</c:v>
                </c:pt>
                <c:pt idx="130">
                  <c:v>32813</c:v>
                </c:pt>
                <c:pt idx="131">
                  <c:v>32843</c:v>
                </c:pt>
                <c:pt idx="132">
                  <c:v>32874</c:v>
                </c:pt>
                <c:pt idx="133">
                  <c:v>32905</c:v>
                </c:pt>
                <c:pt idx="134">
                  <c:v>32933</c:v>
                </c:pt>
                <c:pt idx="135">
                  <c:v>32964</c:v>
                </c:pt>
                <c:pt idx="136">
                  <c:v>32994</c:v>
                </c:pt>
                <c:pt idx="137">
                  <c:v>33025</c:v>
                </c:pt>
                <c:pt idx="138">
                  <c:v>33055</c:v>
                </c:pt>
                <c:pt idx="139">
                  <c:v>33086</c:v>
                </c:pt>
                <c:pt idx="140">
                  <c:v>33117</c:v>
                </c:pt>
                <c:pt idx="141">
                  <c:v>33147</c:v>
                </c:pt>
                <c:pt idx="142">
                  <c:v>33178</c:v>
                </c:pt>
                <c:pt idx="143">
                  <c:v>33208</c:v>
                </c:pt>
                <c:pt idx="144">
                  <c:v>33239</c:v>
                </c:pt>
                <c:pt idx="145">
                  <c:v>33270</c:v>
                </c:pt>
                <c:pt idx="146">
                  <c:v>33298</c:v>
                </c:pt>
                <c:pt idx="147">
                  <c:v>33329</c:v>
                </c:pt>
                <c:pt idx="148">
                  <c:v>33359</c:v>
                </c:pt>
                <c:pt idx="149">
                  <c:v>33390</c:v>
                </c:pt>
                <c:pt idx="150">
                  <c:v>33420</c:v>
                </c:pt>
                <c:pt idx="151">
                  <c:v>33451</c:v>
                </c:pt>
                <c:pt idx="152">
                  <c:v>33482</c:v>
                </c:pt>
                <c:pt idx="153">
                  <c:v>33512</c:v>
                </c:pt>
                <c:pt idx="154">
                  <c:v>33543</c:v>
                </c:pt>
                <c:pt idx="155">
                  <c:v>33573</c:v>
                </c:pt>
                <c:pt idx="156">
                  <c:v>33604</c:v>
                </c:pt>
                <c:pt idx="157">
                  <c:v>33635</c:v>
                </c:pt>
                <c:pt idx="158">
                  <c:v>33664</c:v>
                </c:pt>
                <c:pt idx="159">
                  <c:v>33695</c:v>
                </c:pt>
                <c:pt idx="160">
                  <c:v>33725</c:v>
                </c:pt>
                <c:pt idx="161">
                  <c:v>33756</c:v>
                </c:pt>
                <c:pt idx="162">
                  <c:v>33786</c:v>
                </c:pt>
                <c:pt idx="163">
                  <c:v>33817</c:v>
                </c:pt>
                <c:pt idx="164">
                  <c:v>33848</c:v>
                </c:pt>
                <c:pt idx="165">
                  <c:v>33878</c:v>
                </c:pt>
                <c:pt idx="166">
                  <c:v>33909</c:v>
                </c:pt>
                <c:pt idx="167">
                  <c:v>33939</c:v>
                </c:pt>
                <c:pt idx="168">
                  <c:v>33970</c:v>
                </c:pt>
                <c:pt idx="169">
                  <c:v>34001</c:v>
                </c:pt>
                <c:pt idx="170">
                  <c:v>34029</c:v>
                </c:pt>
                <c:pt idx="171">
                  <c:v>34060</c:v>
                </c:pt>
                <c:pt idx="172">
                  <c:v>34090</c:v>
                </c:pt>
                <c:pt idx="173">
                  <c:v>34121</c:v>
                </c:pt>
                <c:pt idx="174">
                  <c:v>34151</c:v>
                </c:pt>
                <c:pt idx="175">
                  <c:v>34182</c:v>
                </c:pt>
                <c:pt idx="176">
                  <c:v>34213</c:v>
                </c:pt>
                <c:pt idx="177">
                  <c:v>34243</c:v>
                </c:pt>
                <c:pt idx="178">
                  <c:v>34274</c:v>
                </c:pt>
                <c:pt idx="179">
                  <c:v>34304</c:v>
                </c:pt>
                <c:pt idx="180">
                  <c:v>34335</c:v>
                </c:pt>
                <c:pt idx="181">
                  <c:v>34366</c:v>
                </c:pt>
                <c:pt idx="182">
                  <c:v>34394</c:v>
                </c:pt>
                <c:pt idx="183">
                  <c:v>34425</c:v>
                </c:pt>
                <c:pt idx="184">
                  <c:v>34455</c:v>
                </c:pt>
                <c:pt idx="185">
                  <c:v>34486</c:v>
                </c:pt>
                <c:pt idx="186">
                  <c:v>34516</c:v>
                </c:pt>
                <c:pt idx="187">
                  <c:v>34547</c:v>
                </c:pt>
                <c:pt idx="188">
                  <c:v>34578</c:v>
                </c:pt>
                <c:pt idx="189">
                  <c:v>34608</c:v>
                </c:pt>
                <c:pt idx="190">
                  <c:v>34639</c:v>
                </c:pt>
                <c:pt idx="191">
                  <c:v>34669</c:v>
                </c:pt>
                <c:pt idx="192">
                  <c:v>34700</c:v>
                </c:pt>
                <c:pt idx="193">
                  <c:v>34731</c:v>
                </c:pt>
                <c:pt idx="194">
                  <c:v>34759</c:v>
                </c:pt>
                <c:pt idx="195">
                  <c:v>34790</c:v>
                </c:pt>
                <c:pt idx="196">
                  <c:v>34820</c:v>
                </c:pt>
                <c:pt idx="197">
                  <c:v>34851</c:v>
                </c:pt>
                <c:pt idx="198">
                  <c:v>34881</c:v>
                </c:pt>
                <c:pt idx="199">
                  <c:v>34912</c:v>
                </c:pt>
                <c:pt idx="200">
                  <c:v>34943</c:v>
                </c:pt>
                <c:pt idx="201">
                  <c:v>34973</c:v>
                </c:pt>
                <c:pt idx="202">
                  <c:v>35004</c:v>
                </c:pt>
                <c:pt idx="203">
                  <c:v>35034</c:v>
                </c:pt>
                <c:pt idx="204">
                  <c:v>35065</c:v>
                </c:pt>
                <c:pt idx="205">
                  <c:v>35096</c:v>
                </c:pt>
                <c:pt idx="206">
                  <c:v>35125</c:v>
                </c:pt>
                <c:pt idx="207">
                  <c:v>35156</c:v>
                </c:pt>
                <c:pt idx="208">
                  <c:v>35186</c:v>
                </c:pt>
                <c:pt idx="209">
                  <c:v>35217</c:v>
                </c:pt>
                <c:pt idx="210">
                  <c:v>35247</c:v>
                </c:pt>
                <c:pt idx="211">
                  <c:v>35278</c:v>
                </c:pt>
                <c:pt idx="212">
                  <c:v>35309</c:v>
                </c:pt>
                <c:pt idx="213">
                  <c:v>35339</c:v>
                </c:pt>
                <c:pt idx="214">
                  <c:v>35370</c:v>
                </c:pt>
                <c:pt idx="215">
                  <c:v>35400</c:v>
                </c:pt>
                <c:pt idx="216">
                  <c:v>35431</c:v>
                </c:pt>
                <c:pt idx="217">
                  <c:v>35462</c:v>
                </c:pt>
                <c:pt idx="218">
                  <c:v>35490</c:v>
                </c:pt>
                <c:pt idx="219">
                  <c:v>35521</c:v>
                </c:pt>
                <c:pt idx="220">
                  <c:v>35551</c:v>
                </c:pt>
                <c:pt idx="221">
                  <c:v>35582</c:v>
                </c:pt>
                <c:pt idx="222">
                  <c:v>35612</c:v>
                </c:pt>
                <c:pt idx="223">
                  <c:v>35643</c:v>
                </c:pt>
                <c:pt idx="224">
                  <c:v>35674</c:v>
                </c:pt>
                <c:pt idx="225">
                  <c:v>35704</c:v>
                </c:pt>
                <c:pt idx="226">
                  <c:v>35735</c:v>
                </c:pt>
                <c:pt idx="227">
                  <c:v>35765</c:v>
                </c:pt>
                <c:pt idx="228">
                  <c:v>35796</c:v>
                </c:pt>
                <c:pt idx="229">
                  <c:v>35827</c:v>
                </c:pt>
                <c:pt idx="230">
                  <c:v>35855</c:v>
                </c:pt>
                <c:pt idx="231">
                  <c:v>35886</c:v>
                </c:pt>
                <c:pt idx="232">
                  <c:v>35916</c:v>
                </c:pt>
                <c:pt idx="233">
                  <c:v>35947</c:v>
                </c:pt>
                <c:pt idx="234">
                  <c:v>35977</c:v>
                </c:pt>
                <c:pt idx="235">
                  <c:v>36008</c:v>
                </c:pt>
                <c:pt idx="236">
                  <c:v>36039</c:v>
                </c:pt>
                <c:pt idx="237">
                  <c:v>36069</c:v>
                </c:pt>
                <c:pt idx="238">
                  <c:v>36100</c:v>
                </c:pt>
                <c:pt idx="239">
                  <c:v>36130</c:v>
                </c:pt>
                <c:pt idx="240">
                  <c:v>36161</c:v>
                </c:pt>
                <c:pt idx="241">
                  <c:v>36192</c:v>
                </c:pt>
                <c:pt idx="242">
                  <c:v>36220</c:v>
                </c:pt>
                <c:pt idx="243">
                  <c:v>36251</c:v>
                </c:pt>
                <c:pt idx="244">
                  <c:v>36281</c:v>
                </c:pt>
                <c:pt idx="245">
                  <c:v>36312</c:v>
                </c:pt>
                <c:pt idx="246">
                  <c:v>36342</c:v>
                </c:pt>
                <c:pt idx="247">
                  <c:v>36373</c:v>
                </c:pt>
                <c:pt idx="248">
                  <c:v>36404</c:v>
                </c:pt>
                <c:pt idx="249">
                  <c:v>36434</c:v>
                </c:pt>
                <c:pt idx="250">
                  <c:v>36465</c:v>
                </c:pt>
                <c:pt idx="251">
                  <c:v>36495</c:v>
                </c:pt>
                <c:pt idx="252">
                  <c:v>36526</c:v>
                </c:pt>
                <c:pt idx="253">
                  <c:v>36557</c:v>
                </c:pt>
                <c:pt idx="254">
                  <c:v>36586</c:v>
                </c:pt>
                <c:pt idx="255">
                  <c:v>36617</c:v>
                </c:pt>
                <c:pt idx="256">
                  <c:v>36647</c:v>
                </c:pt>
                <c:pt idx="257">
                  <c:v>36678</c:v>
                </c:pt>
                <c:pt idx="258">
                  <c:v>36708</c:v>
                </c:pt>
                <c:pt idx="259">
                  <c:v>36739</c:v>
                </c:pt>
                <c:pt idx="260">
                  <c:v>36770</c:v>
                </c:pt>
                <c:pt idx="261">
                  <c:v>36800</c:v>
                </c:pt>
                <c:pt idx="262">
                  <c:v>36831</c:v>
                </c:pt>
                <c:pt idx="263">
                  <c:v>36861</c:v>
                </c:pt>
                <c:pt idx="264">
                  <c:v>36892</c:v>
                </c:pt>
                <c:pt idx="265">
                  <c:v>36923</c:v>
                </c:pt>
                <c:pt idx="266">
                  <c:v>36951</c:v>
                </c:pt>
                <c:pt idx="267">
                  <c:v>36982</c:v>
                </c:pt>
                <c:pt idx="268">
                  <c:v>37012</c:v>
                </c:pt>
                <c:pt idx="269">
                  <c:v>37043</c:v>
                </c:pt>
                <c:pt idx="270">
                  <c:v>37073</c:v>
                </c:pt>
                <c:pt idx="271">
                  <c:v>37104</c:v>
                </c:pt>
                <c:pt idx="272">
                  <c:v>37135</c:v>
                </c:pt>
                <c:pt idx="273">
                  <c:v>37165</c:v>
                </c:pt>
                <c:pt idx="274">
                  <c:v>37196</c:v>
                </c:pt>
                <c:pt idx="275">
                  <c:v>37226</c:v>
                </c:pt>
                <c:pt idx="276">
                  <c:v>37257</c:v>
                </c:pt>
                <c:pt idx="277">
                  <c:v>37288</c:v>
                </c:pt>
                <c:pt idx="278">
                  <c:v>37316</c:v>
                </c:pt>
                <c:pt idx="279">
                  <c:v>37347</c:v>
                </c:pt>
                <c:pt idx="280">
                  <c:v>37377</c:v>
                </c:pt>
                <c:pt idx="281">
                  <c:v>37408</c:v>
                </c:pt>
                <c:pt idx="282">
                  <c:v>37438</c:v>
                </c:pt>
                <c:pt idx="283">
                  <c:v>37469</c:v>
                </c:pt>
                <c:pt idx="284">
                  <c:v>37500</c:v>
                </c:pt>
                <c:pt idx="285">
                  <c:v>37530</c:v>
                </c:pt>
                <c:pt idx="286">
                  <c:v>37561</c:v>
                </c:pt>
                <c:pt idx="287">
                  <c:v>37591</c:v>
                </c:pt>
                <c:pt idx="288">
                  <c:v>37622</c:v>
                </c:pt>
                <c:pt idx="289">
                  <c:v>37653</c:v>
                </c:pt>
                <c:pt idx="290">
                  <c:v>37681</c:v>
                </c:pt>
                <c:pt idx="291">
                  <c:v>37712</c:v>
                </c:pt>
                <c:pt idx="292">
                  <c:v>37742</c:v>
                </c:pt>
                <c:pt idx="293">
                  <c:v>37773</c:v>
                </c:pt>
                <c:pt idx="294">
                  <c:v>37803</c:v>
                </c:pt>
                <c:pt idx="295">
                  <c:v>37834</c:v>
                </c:pt>
                <c:pt idx="296">
                  <c:v>37865</c:v>
                </c:pt>
                <c:pt idx="297">
                  <c:v>37895</c:v>
                </c:pt>
                <c:pt idx="298">
                  <c:v>37926</c:v>
                </c:pt>
                <c:pt idx="299">
                  <c:v>37956</c:v>
                </c:pt>
                <c:pt idx="300">
                  <c:v>37987</c:v>
                </c:pt>
                <c:pt idx="301">
                  <c:v>38018</c:v>
                </c:pt>
                <c:pt idx="302">
                  <c:v>38047</c:v>
                </c:pt>
                <c:pt idx="303">
                  <c:v>38078</c:v>
                </c:pt>
                <c:pt idx="304">
                  <c:v>38108</c:v>
                </c:pt>
                <c:pt idx="305">
                  <c:v>38139</c:v>
                </c:pt>
                <c:pt idx="306">
                  <c:v>38169</c:v>
                </c:pt>
                <c:pt idx="307">
                  <c:v>38200</c:v>
                </c:pt>
                <c:pt idx="308">
                  <c:v>38231</c:v>
                </c:pt>
                <c:pt idx="309">
                  <c:v>38261</c:v>
                </c:pt>
                <c:pt idx="310">
                  <c:v>38292</c:v>
                </c:pt>
                <c:pt idx="311">
                  <c:v>38322</c:v>
                </c:pt>
                <c:pt idx="312">
                  <c:v>38353</c:v>
                </c:pt>
                <c:pt idx="313">
                  <c:v>38384</c:v>
                </c:pt>
                <c:pt idx="314">
                  <c:v>38412</c:v>
                </c:pt>
                <c:pt idx="315">
                  <c:v>38443</c:v>
                </c:pt>
                <c:pt idx="316">
                  <c:v>38473</c:v>
                </c:pt>
                <c:pt idx="317">
                  <c:v>38504</c:v>
                </c:pt>
                <c:pt idx="318">
                  <c:v>38534</c:v>
                </c:pt>
                <c:pt idx="319">
                  <c:v>38565</c:v>
                </c:pt>
                <c:pt idx="320">
                  <c:v>38596</c:v>
                </c:pt>
                <c:pt idx="321">
                  <c:v>38626</c:v>
                </c:pt>
                <c:pt idx="322">
                  <c:v>38657</c:v>
                </c:pt>
                <c:pt idx="323">
                  <c:v>38687</c:v>
                </c:pt>
                <c:pt idx="324">
                  <c:v>38718</c:v>
                </c:pt>
                <c:pt idx="325">
                  <c:v>38749</c:v>
                </c:pt>
                <c:pt idx="326">
                  <c:v>38777</c:v>
                </c:pt>
                <c:pt idx="327">
                  <c:v>38808</c:v>
                </c:pt>
                <c:pt idx="328">
                  <c:v>38838</c:v>
                </c:pt>
                <c:pt idx="329">
                  <c:v>38869</c:v>
                </c:pt>
                <c:pt idx="330">
                  <c:v>38899</c:v>
                </c:pt>
                <c:pt idx="331">
                  <c:v>38930</c:v>
                </c:pt>
                <c:pt idx="332">
                  <c:v>38961</c:v>
                </c:pt>
                <c:pt idx="333">
                  <c:v>38991</c:v>
                </c:pt>
                <c:pt idx="334">
                  <c:v>39022</c:v>
                </c:pt>
                <c:pt idx="335">
                  <c:v>39052</c:v>
                </c:pt>
                <c:pt idx="336">
                  <c:v>39083</c:v>
                </c:pt>
                <c:pt idx="337">
                  <c:v>39114</c:v>
                </c:pt>
                <c:pt idx="338">
                  <c:v>39142</c:v>
                </c:pt>
                <c:pt idx="339">
                  <c:v>39173</c:v>
                </c:pt>
                <c:pt idx="340">
                  <c:v>39203</c:v>
                </c:pt>
                <c:pt idx="341">
                  <c:v>39234</c:v>
                </c:pt>
                <c:pt idx="342">
                  <c:v>39264</c:v>
                </c:pt>
                <c:pt idx="343">
                  <c:v>39295</c:v>
                </c:pt>
                <c:pt idx="344">
                  <c:v>39326</c:v>
                </c:pt>
                <c:pt idx="345">
                  <c:v>39356</c:v>
                </c:pt>
                <c:pt idx="346">
                  <c:v>39387</c:v>
                </c:pt>
                <c:pt idx="347">
                  <c:v>39417</c:v>
                </c:pt>
                <c:pt idx="348">
                  <c:v>39448</c:v>
                </c:pt>
                <c:pt idx="349">
                  <c:v>39479</c:v>
                </c:pt>
                <c:pt idx="350">
                  <c:v>39508</c:v>
                </c:pt>
                <c:pt idx="351">
                  <c:v>39539</c:v>
                </c:pt>
                <c:pt idx="352">
                  <c:v>39569</c:v>
                </c:pt>
                <c:pt idx="353">
                  <c:v>39600</c:v>
                </c:pt>
                <c:pt idx="354">
                  <c:v>39630</c:v>
                </c:pt>
                <c:pt idx="355">
                  <c:v>39661</c:v>
                </c:pt>
                <c:pt idx="356">
                  <c:v>39692</c:v>
                </c:pt>
                <c:pt idx="357">
                  <c:v>39722</c:v>
                </c:pt>
                <c:pt idx="358">
                  <c:v>39753</c:v>
                </c:pt>
                <c:pt idx="359">
                  <c:v>39783</c:v>
                </c:pt>
                <c:pt idx="360">
                  <c:v>39814</c:v>
                </c:pt>
                <c:pt idx="361">
                  <c:v>39845</c:v>
                </c:pt>
                <c:pt idx="362">
                  <c:v>39873</c:v>
                </c:pt>
                <c:pt idx="363">
                  <c:v>39904</c:v>
                </c:pt>
                <c:pt idx="364">
                  <c:v>39934</c:v>
                </c:pt>
                <c:pt idx="365">
                  <c:v>39965</c:v>
                </c:pt>
                <c:pt idx="366">
                  <c:v>39995</c:v>
                </c:pt>
                <c:pt idx="367">
                  <c:v>40026</c:v>
                </c:pt>
                <c:pt idx="368">
                  <c:v>40057</c:v>
                </c:pt>
                <c:pt idx="369">
                  <c:v>40087</c:v>
                </c:pt>
                <c:pt idx="370">
                  <c:v>40118</c:v>
                </c:pt>
                <c:pt idx="371">
                  <c:v>40148</c:v>
                </c:pt>
                <c:pt idx="372">
                  <c:v>40179</c:v>
                </c:pt>
                <c:pt idx="373">
                  <c:v>40210</c:v>
                </c:pt>
                <c:pt idx="374">
                  <c:v>40238</c:v>
                </c:pt>
                <c:pt idx="375">
                  <c:v>40269</c:v>
                </c:pt>
                <c:pt idx="376">
                  <c:v>40299</c:v>
                </c:pt>
                <c:pt idx="377">
                  <c:v>40330</c:v>
                </c:pt>
                <c:pt idx="378">
                  <c:v>40360</c:v>
                </c:pt>
                <c:pt idx="379">
                  <c:v>40391</c:v>
                </c:pt>
                <c:pt idx="380">
                  <c:v>40422</c:v>
                </c:pt>
                <c:pt idx="381">
                  <c:v>40452</c:v>
                </c:pt>
                <c:pt idx="382">
                  <c:v>40483</c:v>
                </c:pt>
                <c:pt idx="383">
                  <c:v>40513</c:v>
                </c:pt>
                <c:pt idx="384">
                  <c:v>40544</c:v>
                </c:pt>
                <c:pt idx="385">
                  <c:v>40575</c:v>
                </c:pt>
                <c:pt idx="386">
                  <c:v>40603</c:v>
                </c:pt>
                <c:pt idx="387">
                  <c:v>40634</c:v>
                </c:pt>
                <c:pt idx="388">
                  <c:v>40664</c:v>
                </c:pt>
                <c:pt idx="389">
                  <c:v>40695</c:v>
                </c:pt>
                <c:pt idx="390">
                  <c:v>40725</c:v>
                </c:pt>
                <c:pt idx="391">
                  <c:v>40756</c:v>
                </c:pt>
                <c:pt idx="392">
                  <c:v>40787</c:v>
                </c:pt>
                <c:pt idx="393">
                  <c:v>40817</c:v>
                </c:pt>
                <c:pt idx="394">
                  <c:v>40848</c:v>
                </c:pt>
                <c:pt idx="395">
                  <c:v>40878</c:v>
                </c:pt>
                <c:pt idx="396">
                  <c:v>40909</c:v>
                </c:pt>
                <c:pt idx="397">
                  <c:v>40940</c:v>
                </c:pt>
                <c:pt idx="398">
                  <c:v>40969</c:v>
                </c:pt>
                <c:pt idx="399">
                  <c:v>41000</c:v>
                </c:pt>
                <c:pt idx="400">
                  <c:v>41030</c:v>
                </c:pt>
                <c:pt idx="401">
                  <c:v>41061</c:v>
                </c:pt>
                <c:pt idx="402">
                  <c:v>41091</c:v>
                </c:pt>
                <c:pt idx="403">
                  <c:v>41122</c:v>
                </c:pt>
                <c:pt idx="404">
                  <c:v>41153</c:v>
                </c:pt>
                <c:pt idx="405">
                  <c:v>41183</c:v>
                </c:pt>
                <c:pt idx="406">
                  <c:v>41214</c:v>
                </c:pt>
                <c:pt idx="407">
                  <c:v>41244</c:v>
                </c:pt>
                <c:pt idx="408">
                  <c:v>41275</c:v>
                </c:pt>
                <c:pt idx="409">
                  <c:v>41306</c:v>
                </c:pt>
                <c:pt idx="410">
                  <c:v>41334</c:v>
                </c:pt>
              </c:numCache>
            </c:numRef>
          </c:cat>
          <c:val>
            <c:numRef>
              <c:f>'[Yuff unemployment rates.xls]Sheet1'!$H$4:$H$414</c:f>
              <c:numCache>
                <c:formatCode>0.0</c:formatCode>
                <c:ptCount val="411"/>
                <c:pt idx="0">
                  <c:v>2.8602452478259246</c:v>
                </c:pt>
                <c:pt idx="1">
                  <c:v>2.86678693188906</c:v>
                </c:pt>
                <c:pt idx="2">
                  <c:v>2.8800226628453136</c:v>
                </c:pt>
                <c:pt idx="3">
                  <c:v>2.9061157229854579</c:v>
                </c:pt>
                <c:pt idx="4">
                  <c:v>2.9296099965295759</c:v>
                </c:pt>
                <c:pt idx="5">
                  <c:v>2.9564173535260676</c:v>
                </c:pt>
                <c:pt idx="6">
                  <c:v>2.9724957491489858</c:v>
                </c:pt>
                <c:pt idx="7">
                  <c:v>3.0020395048044746</c:v>
                </c:pt>
                <c:pt idx="8">
                  <c:v>3.0200033332639737</c:v>
                </c:pt>
                <c:pt idx="9">
                  <c:v>3.0378733592994314</c:v>
                </c:pt>
                <c:pt idx="10">
                  <c:v>3.0549200866111437</c:v>
                </c:pt>
                <c:pt idx="11">
                  <c:v>3.0506791699967417</c:v>
                </c:pt>
                <c:pt idx="12">
                  <c:v>3.0495893240925436</c:v>
                </c:pt>
                <c:pt idx="13">
                  <c:v>3.0501461478515326</c:v>
                </c:pt>
                <c:pt idx="14">
                  <c:v>3.0369190284204253</c:v>
                </c:pt>
                <c:pt idx="15">
                  <c:v>3.0233048926927069</c:v>
                </c:pt>
                <c:pt idx="16">
                  <c:v>3.0174088301780984</c:v>
                </c:pt>
                <c:pt idx="17">
                  <c:v>3.0083862177432068</c:v>
                </c:pt>
                <c:pt idx="18">
                  <c:v>2.9992353167558701</c:v>
                </c:pt>
                <c:pt idx="19">
                  <c:v>2.9867686057580469</c:v>
                </c:pt>
                <c:pt idx="20">
                  <c:v>2.9804605797747716</c:v>
                </c:pt>
                <c:pt idx="21">
                  <c:v>2.9840233823597124</c:v>
                </c:pt>
                <c:pt idx="22">
                  <c:v>2.9889400619136626</c:v>
                </c:pt>
                <c:pt idx="23">
                  <c:v>2.9873397053823703</c:v>
                </c:pt>
                <c:pt idx="24">
                  <c:v>2.9792087036914134</c:v>
                </c:pt>
                <c:pt idx="25">
                  <c:v>2.9796093320644363</c:v>
                </c:pt>
                <c:pt idx="26">
                  <c:v>2.9723934151819993</c:v>
                </c:pt>
                <c:pt idx="27">
                  <c:v>2.9658924212386442</c:v>
                </c:pt>
                <c:pt idx="28">
                  <c:v>2.9498502302348801</c:v>
                </c:pt>
                <c:pt idx="29">
                  <c:v>2.9377305889205907</c:v>
                </c:pt>
                <c:pt idx="30">
                  <c:v>2.9267631563727021</c:v>
                </c:pt>
                <c:pt idx="31">
                  <c:v>2.9009379241691091</c:v>
                </c:pt>
                <c:pt idx="32">
                  <c:v>2.876933139690522</c:v>
                </c:pt>
                <c:pt idx="33">
                  <c:v>2.8523166588588738</c:v>
                </c:pt>
                <c:pt idx="34">
                  <c:v>2.8369093666150507</c:v>
                </c:pt>
                <c:pt idx="35">
                  <c:v>2.8296253462152885</c:v>
                </c:pt>
                <c:pt idx="36">
                  <c:v>2.8347045751263211</c:v>
                </c:pt>
                <c:pt idx="37">
                  <c:v>2.8265208519463765</c:v>
                </c:pt>
                <c:pt idx="38">
                  <c:v>2.8226795432786673</c:v>
                </c:pt>
                <c:pt idx="39">
                  <c:v>2.8251025141810868</c:v>
                </c:pt>
                <c:pt idx="40">
                  <c:v>2.8309644057670287</c:v>
                </c:pt>
                <c:pt idx="41">
                  <c:v>2.8346655696553933</c:v>
                </c:pt>
                <c:pt idx="42">
                  <c:v>2.8309178092936484</c:v>
                </c:pt>
                <c:pt idx="43">
                  <c:v>2.825925048435737</c:v>
                </c:pt>
                <c:pt idx="44">
                  <c:v>2.813455390264902</c:v>
                </c:pt>
                <c:pt idx="45">
                  <c:v>2.7862346657858081</c:v>
                </c:pt>
                <c:pt idx="46">
                  <c:v>2.7659464235894742</c:v>
                </c:pt>
                <c:pt idx="47">
                  <c:v>2.7395804069652359</c:v>
                </c:pt>
                <c:pt idx="48">
                  <c:v>2.7158106702682412</c:v>
                </c:pt>
                <c:pt idx="49">
                  <c:v>2.6994261541311007</c:v>
                </c:pt>
                <c:pt idx="50">
                  <c:v>2.6914125792189516</c:v>
                </c:pt>
                <c:pt idx="51">
                  <c:v>2.6688576639458663</c:v>
                </c:pt>
                <c:pt idx="52">
                  <c:v>2.6416806704973186</c:v>
                </c:pt>
                <c:pt idx="53">
                  <c:v>2.6244456364648339</c:v>
                </c:pt>
                <c:pt idx="54">
                  <c:v>2.6202882074270391</c:v>
                </c:pt>
                <c:pt idx="55">
                  <c:v>2.6125933497647402</c:v>
                </c:pt>
                <c:pt idx="56">
                  <c:v>2.6104799349360488</c:v>
                </c:pt>
                <c:pt idx="57">
                  <c:v>2.6202562270727392</c:v>
                </c:pt>
                <c:pt idx="58">
                  <c:v>2.6216425775417642</c:v>
                </c:pt>
                <c:pt idx="59">
                  <c:v>2.6399984552322304</c:v>
                </c:pt>
                <c:pt idx="60">
                  <c:v>2.6448658567098176</c:v>
                </c:pt>
                <c:pt idx="61">
                  <c:v>2.6578508931382676</c:v>
                </c:pt>
                <c:pt idx="62">
                  <c:v>2.6644780278523363</c:v>
                </c:pt>
                <c:pt idx="63">
                  <c:v>2.6712574094698573</c:v>
                </c:pt>
                <c:pt idx="64">
                  <c:v>2.6826495288372398</c:v>
                </c:pt>
                <c:pt idx="65">
                  <c:v>2.6913619701164562</c:v>
                </c:pt>
                <c:pt idx="66">
                  <c:v>2.697276856540006</c:v>
                </c:pt>
                <c:pt idx="67">
                  <c:v>2.7137357944590321</c:v>
                </c:pt>
                <c:pt idx="68">
                  <c:v>2.7214970603174282</c:v>
                </c:pt>
                <c:pt idx="69">
                  <c:v>2.7263288621194732</c:v>
                </c:pt>
                <c:pt idx="70">
                  <c:v>2.7427552069612022</c:v>
                </c:pt>
                <c:pt idx="71">
                  <c:v>2.735275109816349</c:v>
                </c:pt>
                <c:pt idx="72">
                  <c:v>2.737692706415551</c:v>
                </c:pt>
                <c:pt idx="73">
                  <c:v>2.7362600407974722</c:v>
                </c:pt>
                <c:pt idx="74">
                  <c:v>2.7339208704494138</c:v>
                </c:pt>
                <c:pt idx="75">
                  <c:v>2.7284682970550995</c:v>
                </c:pt>
                <c:pt idx="76">
                  <c:v>2.7158037901117402</c:v>
                </c:pt>
                <c:pt idx="77">
                  <c:v>2.7097150786248339</c:v>
                </c:pt>
                <c:pt idx="78">
                  <c:v>2.7082677533414166</c:v>
                </c:pt>
                <c:pt idx="79">
                  <c:v>2.6924801942829033</c:v>
                </c:pt>
                <c:pt idx="80">
                  <c:v>2.6867658112559427</c:v>
                </c:pt>
                <c:pt idx="81">
                  <c:v>2.678972647133111</c:v>
                </c:pt>
                <c:pt idx="82">
                  <c:v>2.6583145525658445</c:v>
                </c:pt>
                <c:pt idx="83">
                  <c:v>2.6599279271825758</c:v>
                </c:pt>
                <c:pt idx="84">
                  <c:v>2.660570989252494</c:v>
                </c:pt>
                <c:pt idx="85">
                  <c:v>2.6512700370974551</c:v>
                </c:pt>
                <c:pt idx="86">
                  <c:v>2.6504896309291932</c:v>
                </c:pt>
                <c:pt idx="87">
                  <c:v>2.6666613605707448</c:v>
                </c:pt>
                <c:pt idx="88">
                  <c:v>2.6895724348504588</c:v>
                </c:pt>
                <c:pt idx="89">
                  <c:v>2.7088311133566854</c:v>
                </c:pt>
                <c:pt idx="90">
                  <c:v>2.7084891402884157</c:v>
                </c:pt>
                <c:pt idx="91">
                  <c:v>2.7090957856438682</c:v>
                </c:pt>
                <c:pt idx="92">
                  <c:v>2.7042816536954803</c:v>
                </c:pt>
                <c:pt idx="93">
                  <c:v>2.7090222660293373</c:v>
                </c:pt>
                <c:pt idx="94">
                  <c:v>2.7029191091715168</c:v>
                </c:pt>
                <c:pt idx="95">
                  <c:v>2.6941486624952775</c:v>
                </c:pt>
                <c:pt idx="96">
                  <c:v>2.6799648052414935</c:v>
                </c:pt>
                <c:pt idx="97">
                  <c:v>2.6940391477748067</c:v>
                </c:pt>
                <c:pt idx="98">
                  <c:v>2.6917188608317635</c:v>
                </c:pt>
                <c:pt idx="99">
                  <c:v>2.6896047830302732</c:v>
                </c:pt>
                <c:pt idx="100">
                  <c:v>2.6876466331711475</c:v>
                </c:pt>
                <c:pt idx="101">
                  <c:v>2.6920865817603739</c:v>
                </c:pt>
                <c:pt idx="102">
                  <c:v>2.6868641299098637</c:v>
                </c:pt>
                <c:pt idx="103">
                  <c:v>2.697519763947319</c:v>
                </c:pt>
                <c:pt idx="104">
                  <c:v>2.7049606453530037</c:v>
                </c:pt>
                <c:pt idx="105">
                  <c:v>2.7056420980294069</c:v>
                </c:pt>
                <c:pt idx="106">
                  <c:v>2.7129563640987793</c:v>
                </c:pt>
                <c:pt idx="107">
                  <c:v>2.7180982038758441</c:v>
                </c:pt>
                <c:pt idx="108">
                  <c:v>2.7271700895161395</c:v>
                </c:pt>
                <c:pt idx="109">
                  <c:v>2.7086038001713666</c:v>
                </c:pt>
                <c:pt idx="110">
                  <c:v>2.698924891003923</c:v>
                </c:pt>
                <c:pt idx="111">
                  <c:v>2.6709537090707682</c:v>
                </c:pt>
                <c:pt idx="112">
                  <c:v>2.6581741664166425</c:v>
                </c:pt>
                <c:pt idx="113">
                  <c:v>2.6330388695573634</c:v>
                </c:pt>
                <c:pt idx="114">
                  <c:v>2.6258511526257662</c:v>
                </c:pt>
                <c:pt idx="115">
                  <c:v>2.6090405267648413</c:v>
                </c:pt>
                <c:pt idx="116">
                  <c:v>2.6016459700559533</c:v>
                </c:pt>
                <c:pt idx="117">
                  <c:v>2.5852319367184533</c:v>
                </c:pt>
                <c:pt idx="118">
                  <c:v>2.5732462478975058</c:v>
                </c:pt>
                <c:pt idx="119">
                  <c:v>2.5543115786348198</c:v>
                </c:pt>
                <c:pt idx="120">
                  <c:v>2.5273207419685813</c:v>
                </c:pt>
                <c:pt idx="121">
                  <c:v>2.5233049721817515</c:v>
                </c:pt>
                <c:pt idx="122">
                  <c:v>2.5067074508138512</c:v>
                </c:pt>
                <c:pt idx="123">
                  <c:v>2.5080981334102317</c:v>
                </c:pt>
                <c:pt idx="124">
                  <c:v>2.491277208275172</c:v>
                </c:pt>
                <c:pt idx="125">
                  <c:v>2.4809242296937937</c:v>
                </c:pt>
                <c:pt idx="126">
                  <c:v>2.4640068430788071</c:v>
                </c:pt>
                <c:pt idx="127">
                  <c:v>2.4642012923665395</c:v>
                </c:pt>
                <c:pt idx="128">
                  <c:v>2.4706678231748005</c:v>
                </c:pt>
                <c:pt idx="129">
                  <c:v>2.472530473812053</c:v>
                </c:pt>
                <c:pt idx="130">
                  <c:v>2.4661001879656905</c:v>
                </c:pt>
                <c:pt idx="131">
                  <c:v>2.4675768168776018</c:v>
                </c:pt>
                <c:pt idx="132">
                  <c:v>2.4745089610640276</c:v>
                </c:pt>
                <c:pt idx="133">
                  <c:v>2.4582179384384082</c:v>
                </c:pt>
                <c:pt idx="134">
                  <c:v>2.4745246590072116</c:v>
                </c:pt>
                <c:pt idx="135">
                  <c:v>2.5006485444066318</c:v>
                </c:pt>
                <c:pt idx="136">
                  <c:v>2.5357930794631347</c:v>
                </c:pt>
                <c:pt idx="137">
                  <c:v>2.5598066058246527</c:v>
                </c:pt>
                <c:pt idx="138">
                  <c:v>2.5828820251181788</c:v>
                </c:pt>
                <c:pt idx="139">
                  <c:v>2.603255791304</c:v>
                </c:pt>
                <c:pt idx="140">
                  <c:v>2.6161350212844749</c:v>
                </c:pt>
                <c:pt idx="141">
                  <c:v>2.6221848959099319</c:v>
                </c:pt>
                <c:pt idx="142">
                  <c:v>2.6527996725074741</c:v>
                </c:pt>
                <c:pt idx="143">
                  <c:v>2.6881016385569749</c:v>
                </c:pt>
                <c:pt idx="144">
                  <c:v>2.6971230517936688</c:v>
                </c:pt>
                <c:pt idx="145">
                  <c:v>2.7144541440976364</c:v>
                </c:pt>
                <c:pt idx="146">
                  <c:v>2.7256689541046999</c:v>
                </c:pt>
                <c:pt idx="147">
                  <c:v>2.7221031667981697</c:v>
                </c:pt>
                <c:pt idx="148">
                  <c:v>2.73658628078012</c:v>
                </c:pt>
                <c:pt idx="149">
                  <c:v>2.7597137200374569</c:v>
                </c:pt>
                <c:pt idx="150">
                  <c:v>2.7747741358117315</c:v>
                </c:pt>
                <c:pt idx="151">
                  <c:v>2.7920480199562352</c:v>
                </c:pt>
                <c:pt idx="152">
                  <c:v>2.796159776471824</c:v>
                </c:pt>
                <c:pt idx="153">
                  <c:v>2.8055639769948675</c:v>
                </c:pt>
                <c:pt idx="154">
                  <c:v>2.8170745933423058</c:v>
                </c:pt>
                <c:pt idx="155">
                  <c:v>2.8148734115811291</c:v>
                </c:pt>
                <c:pt idx="156">
                  <c:v>2.8401089844113678</c:v>
                </c:pt>
                <c:pt idx="157">
                  <c:v>2.8771042561454125</c:v>
                </c:pt>
                <c:pt idx="158">
                  <c:v>2.9099588990273939</c:v>
                </c:pt>
                <c:pt idx="159">
                  <c:v>2.9437955036978996</c:v>
                </c:pt>
                <c:pt idx="160">
                  <c:v>2.9695547250875745</c:v>
                </c:pt>
                <c:pt idx="161">
                  <c:v>2.9929196560278926</c:v>
                </c:pt>
                <c:pt idx="162">
                  <c:v>3.0151671123690589</c:v>
                </c:pt>
                <c:pt idx="163">
                  <c:v>3.0332028271774041</c:v>
                </c:pt>
                <c:pt idx="164">
                  <c:v>3.0463105930356429</c:v>
                </c:pt>
                <c:pt idx="165">
                  <c:v>3.0487914292235829</c:v>
                </c:pt>
                <c:pt idx="166">
                  <c:v>3.0490776365182564</c:v>
                </c:pt>
                <c:pt idx="167">
                  <c:v>3.0417410882742466</c:v>
                </c:pt>
                <c:pt idx="168">
                  <c:v>3.0193193759535131</c:v>
                </c:pt>
                <c:pt idx="169">
                  <c:v>3.0023505464310229</c:v>
                </c:pt>
                <c:pt idx="170">
                  <c:v>2.9802331845195966</c:v>
                </c:pt>
                <c:pt idx="171">
                  <c:v>2.9701564959449858</c:v>
                </c:pt>
                <c:pt idx="172">
                  <c:v>2.9479969837608007</c:v>
                </c:pt>
                <c:pt idx="173">
                  <c:v>2.9258803087917631</c:v>
                </c:pt>
                <c:pt idx="174">
                  <c:v>2.9056171911044344</c:v>
                </c:pt>
                <c:pt idx="175">
                  <c:v>2.8911448891794675</c:v>
                </c:pt>
                <c:pt idx="176">
                  <c:v>2.8934621675912306</c:v>
                </c:pt>
                <c:pt idx="177">
                  <c:v>2.8913970642186619</c:v>
                </c:pt>
                <c:pt idx="178">
                  <c:v>2.8856623684329876</c:v>
                </c:pt>
                <c:pt idx="179">
                  <c:v>2.9027488357826101</c:v>
                </c:pt>
                <c:pt idx="180">
                  <c:v>2.9265047110097067</c:v>
                </c:pt>
                <c:pt idx="181">
                  <c:v>2.9430153217035873</c:v>
                </c:pt>
                <c:pt idx="182">
                  <c:v>2.9771818668108398</c:v>
                </c:pt>
                <c:pt idx="183">
                  <c:v>2.9985287629804702</c:v>
                </c:pt>
                <c:pt idx="184">
                  <c:v>3.035818723721222</c:v>
                </c:pt>
                <c:pt idx="185">
                  <c:v>3.0576874415854904</c:v>
                </c:pt>
                <c:pt idx="186">
                  <c:v>3.0666261100691545</c:v>
                </c:pt>
                <c:pt idx="187">
                  <c:v>3.0697407813646795</c:v>
                </c:pt>
                <c:pt idx="188">
                  <c:v>3.0679787312819875</c:v>
                </c:pt>
                <c:pt idx="189">
                  <c:v>3.0818028621203837</c:v>
                </c:pt>
                <c:pt idx="190">
                  <c:v>3.0914933484734712</c:v>
                </c:pt>
                <c:pt idx="191">
                  <c:v>3.0937950762556135</c:v>
                </c:pt>
                <c:pt idx="192">
                  <c:v>3.0893041612856602</c:v>
                </c:pt>
                <c:pt idx="193">
                  <c:v>3.0867958129323103</c:v>
                </c:pt>
                <c:pt idx="194">
                  <c:v>3.0709153263471474</c:v>
                </c:pt>
                <c:pt idx="195">
                  <c:v>3.0694401238551001</c:v>
                </c:pt>
                <c:pt idx="196">
                  <c:v>3.0722835172646739</c:v>
                </c:pt>
                <c:pt idx="197">
                  <c:v>3.0903677443748832</c:v>
                </c:pt>
                <c:pt idx="198">
                  <c:v>3.1267249617036752</c:v>
                </c:pt>
                <c:pt idx="199">
                  <c:v>3.1600042395362657</c:v>
                </c:pt>
                <c:pt idx="200">
                  <c:v>3.1732334660370354</c:v>
                </c:pt>
                <c:pt idx="201">
                  <c:v>3.1908231420421327</c:v>
                </c:pt>
                <c:pt idx="202">
                  <c:v>3.2334160044528479</c:v>
                </c:pt>
                <c:pt idx="203">
                  <c:v>3.254845350170676</c:v>
                </c:pt>
                <c:pt idx="204">
                  <c:v>3.274026850217933</c:v>
                </c:pt>
                <c:pt idx="205">
                  <c:v>3.2784302479515088</c:v>
                </c:pt>
                <c:pt idx="206">
                  <c:v>3.2929350895318543</c:v>
                </c:pt>
                <c:pt idx="207">
                  <c:v>3.2907374862580756</c:v>
                </c:pt>
                <c:pt idx="208">
                  <c:v>3.2897808236427619</c:v>
                </c:pt>
                <c:pt idx="209">
                  <c:v>3.2889201406702222</c:v>
                </c:pt>
                <c:pt idx="210">
                  <c:v>3.2561017439371547</c:v>
                </c:pt>
                <c:pt idx="211">
                  <c:v>3.2382439005386803</c:v>
                </c:pt>
                <c:pt idx="212">
                  <c:v>3.238629800218968</c:v>
                </c:pt>
                <c:pt idx="213">
                  <c:v>3.2436647385468116</c:v>
                </c:pt>
                <c:pt idx="214">
                  <c:v>3.2426889041486024</c:v>
                </c:pt>
                <c:pt idx="215">
                  <c:v>3.2595582199185111</c:v>
                </c:pt>
                <c:pt idx="216">
                  <c:v>3.2505012124878561</c:v>
                </c:pt>
                <c:pt idx="217">
                  <c:v>3.2490189588943337</c:v>
                </c:pt>
                <c:pt idx="218">
                  <c:v>3.2590136912061993</c:v>
                </c:pt>
                <c:pt idx="219">
                  <c:v>3.264767040466237</c:v>
                </c:pt>
                <c:pt idx="220">
                  <c:v>3.2539756672040809</c:v>
                </c:pt>
                <c:pt idx="221">
                  <c:v>3.253835235927574</c:v>
                </c:pt>
                <c:pt idx="222">
                  <c:v>3.2605318280856315</c:v>
                </c:pt>
                <c:pt idx="223">
                  <c:v>3.2579030151615775</c:v>
                </c:pt>
                <c:pt idx="224">
                  <c:v>3.2585073832795</c:v>
                </c:pt>
                <c:pt idx="225">
                  <c:v>3.2626325223379511</c:v>
                </c:pt>
                <c:pt idx="226">
                  <c:v>3.2663505995119726</c:v>
                </c:pt>
                <c:pt idx="227">
                  <c:v>3.266899326688443</c:v>
                </c:pt>
                <c:pt idx="228">
                  <c:v>3.3010632447612558</c:v>
                </c:pt>
                <c:pt idx="229">
                  <c:v>3.3138734679706507</c:v>
                </c:pt>
                <c:pt idx="230">
                  <c:v>3.3403752807381388</c:v>
                </c:pt>
                <c:pt idx="231">
                  <c:v>3.3624724348448165</c:v>
                </c:pt>
                <c:pt idx="232">
                  <c:v>3.3972697681071926</c:v>
                </c:pt>
                <c:pt idx="233">
                  <c:v>3.4110267331466901</c:v>
                </c:pt>
                <c:pt idx="234">
                  <c:v>3.4562113696073906</c:v>
                </c:pt>
                <c:pt idx="235">
                  <c:v>3.4902475656684251</c:v>
                </c:pt>
                <c:pt idx="236">
                  <c:v>3.5235873773864208</c:v>
                </c:pt>
                <c:pt idx="237">
                  <c:v>3.5459000251476183</c:v>
                </c:pt>
                <c:pt idx="238">
                  <c:v>3.5404472642966565</c:v>
                </c:pt>
                <c:pt idx="239">
                  <c:v>3.5299523429037167</c:v>
                </c:pt>
                <c:pt idx="240">
                  <c:v>3.5093019834818113</c:v>
                </c:pt>
                <c:pt idx="241">
                  <c:v>3.5006718627216107</c:v>
                </c:pt>
                <c:pt idx="242">
                  <c:v>3.474733497017862</c:v>
                </c:pt>
                <c:pt idx="243">
                  <c:v>3.462010164281295</c:v>
                </c:pt>
                <c:pt idx="244">
                  <c:v>3.4333820901545375</c:v>
                </c:pt>
                <c:pt idx="245">
                  <c:v>3.4213177761673084</c:v>
                </c:pt>
                <c:pt idx="246">
                  <c:v>3.3809527919257167</c:v>
                </c:pt>
                <c:pt idx="247">
                  <c:v>3.342911984553981</c:v>
                </c:pt>
                <c:pt idx="248">
                  <c:v>3.3065965874945769</c:v>
                </c:pt>
                <c:pt idx="249">
                  <c:v>3.2800570841096346</c:v>
                </c:pt>
                <c:pt idx="250">
                  <c:v>3.2870819048573612</c:v>
                </c:pt>
                <c:pt idx="251">
                  <c:v>3.2922597258309776</c:v>
                </c:pt>
                <c:pt idx="252">
                  <c:v>3.2981953270735866</c:v>
                </c:pt>
                <c:pt idx="253">
                  <c:v>3.3146766781527242</c:v>
                </c:pt>
                <c:pt idx="254">
                  <c:v>3.3147724733074861</c:v>
                </c:pt>
                <c:pt idx="255">
                  <c:v>3.3133426558364163</c:v>
                </c:pt>
                <c:pt idx="256">
                  <c:v>3.3203076865171273</c:v>
                </c:pt>
                <c:pt idx="257">
                  <c:v>3.304850441486233</c:v>
                </c:pt>
                <c:pt idx="258">
                  <c:v>3.3277663283701489</c:v>
                </c:pt>
                <c:pt idx="259">
                  <c:v>3.3454224575922398</c:v>
                </c:pt>
                <c:pt idx="260">
                  <c:v>3.3547477995843127</c:v>
                </c:pt>
                <c:pt idx="261">
                  <c:v>3.3660770968847462</c:v>
                </c:pt>
                <c:pt idx="262">
                  <c:v>3.3716933217162741</c:v>
                </c:pt>
                <c:pt idx="263">
                  <c:v>3.3664397125348757</c:v>
                </c:pt>
                <c:pt idx="264">
                  <c:v>3.3894883586526285</c:v>
                </c:pt>
                <c:pt idx="265">
                  <c:v>3.4412211063371632</c:v>
                </c:pt>
                <c:pt idx="266">
                  <c:v>3.4680383384892992</c:v>
                </c:pt>
                <c:pt idx="267">
                  <c:v>3.4847362690854582</c:v>
                </c:pt>
                <c:pt idx="268">
                  <c:v>3.4894751294613799</c:v>
                </c:pt>
                <c:pt idx="269">
                  <c:v>3.5209672065969499</c:v>
                </c:pt>
                <c:pt idx="270">
                  <c:v>3.5257552389895523</c:v>
                </c:pt>
                <c:pt idx="271">
                  <c:v>3.5298984503662916</c:v>
                </c:pt>
                <c:pt idx="272">
                  <c:v>3.5617160368947123</c:v>
                </c:pt>
                <c:pt idx="273">
                  <c:v>3.5830131462615586</c:v>
                </c:pt>
                <c:pt idx="274">
                  <c:v>3.5941218208347574</c:v>
                </c:pt>
                <c:pt idx="275">
                  <c:v>3.5950068721580632</c:v>
                </c:pt>
                <c:pt idx="276">
                  <c:v>3.5764938947577138</c:v>
                </c:pt>
                <c:pt idx="277">
                  <c:v>3.5585539048034183</c:v>
                </c:pt>
                <c:pt idx="278">
                  <c:v>3.5580175210751444</c:v>
                </c:pt>
                <c:pt idx="279">
                  <c:v>3.5638401234273847</c:v>
                </c:pt>
                <c:pt idx="280">
                  <c:v>3.5689790910602275</c:v>
                </c:pt>
                <c:pt idx="281">
                  <c:v>3.5655317702955664</c:v>
                </c:pt>
                <c:pt idx="282">
                  <c:v>3.5557406935787217</c:v>
                </c:pt>
                <c:pt idx="283">
                  <c:v>3.5648777976958841</c:v>
                </c:pt>
                <c:pt idx="284">
                  <c:v>3.5437090196030656</c:v>
                </c:pt>
                <c:pt idx="285">
                  <c:v>3.5544613772956284</c:v>
                </c:pt>
                <c:pt idx="286">
                  <c:v>3.5568914562957348</c:v>
                </c:pt>
                <c:pt idx="287">
                  <c:v>3.5522327885651062</c:v>
                </c:pt>
                <c:pt idx="288">
                  <c:v>3.5909352338727976</c:v>
                </c:pt>
                <c:pt idx="289">
                  <c:v>3.5949492092781483</c:v>
                </c:pt>
                <c:pt idx="290">
                  <c:v>3.6180754312589607</c:v>
                </c:pt>
                <c:pt idx="291">
                  <c:v>3.6161951795138907</c:v>
                </c:pt>
                <c:pt idx="292">
                  <c:v>3.6105123196013915</c:v>
                </c:pt>
                <c:pt idx="293">
                  <c:v>3.6011816861120272</c:v>
                </c:pt>
                <c:pt idx="294">
                  <c:v>3.5832167092632985</c:v>
                </c:pt>
                <c:pt idx="295">
                  <c:v>3.6042392873195888</c:v>
                </c:pt>
                <c:pt idx="296">
                  <c:v>3.631199474264494</c:v>
                </c:pt>
                <c:pt idx="297">
                  <c:v>3.6198164566777389</c:v>
                </c:pt>
                <c:pt idx="298">
                  <c:v>3.5965913515520116</c:v>
                </c:pt>
                <c:pt idx="299">
                  <c:v>3.6059368661719304</c:v>
                </c:pt>
                <c:pt idx="300">
                  <c:v>3.5915976330353048</c:v>
                </c:pt>
                <c:pt idx="301">
                  <c:v>3.5919471671332523</c:v>
                </c:pt>
                <c:pt idx="302">
                  <c:v>3.6113317541803354</c:v>
                </c:pt>
                <c:pt idx="303">
                  <c:v>3.6084986123843046</c:v>
                </c:pt>
                <c:pt idx="304">
                  <c:v>3.6528051754376625</c:v>
                </c:pt>
                <c:pt idx="305">
                  <c:v>3.6850371512607403</c:v>
                </c:pt>
                <c:pt idx="306">
                  <c:v>3.7340928225253744</c:v>
                </c:pt>
                <c:pt idx="307">
                  <c:v>3.7252389465217814</c:v>
                </c:pt>
                <c:pt idx="308">
                  <c:v>3.7554857131119972</c:v>
                </c:pt>
                <c:pt idx="309">
                  <c:v>3.779379652232115</c:v>
                </c:pt>
                <c:pt idx="310">
                  <c:v>3.8034893756053676</c:v>
                </c:pt>
                <c:pt idx="311">
                  <c:v>3.8561874081426049</c:v>
                </c:pt>
                <c:pt idx="312">
                  <c:v>3.865053746780005</c:v>
                </c:pt>
                <c:pt idx="313">
                  <c:v>3.8871275136059156</c:v>
                </c:pt>
                <c:pt idx="314">
                  <c:v>3.8562994033063571</c:v>
                </c:pt>
                <c:pt idx="315">
                  <c:v>3.8895658432488793</c:v>
                </c:pt>
                <c:pt idx="316">
                  <c:v>3.8842172862086386</c:v>
                </c:pt>
                <c:pt idx="317">
                  <c:v>3.8874775385565394</c:v>
                </c:pt>
                <c:pt idx="318">
                  <c:v>3.8997754496833275</c:v>
                </c:pt>
                <c:pt idx="319">
                  <c:v>3.9278493650799118</c:v>
                </c:pt>
                <c:pt idx="320">
                  <c:v>3.9374081484292551</c:v>
                </c:pt>
                <c:pt idx="321">
                  <c:v>3.9742953482421006</c:v>
                </c:pt>
                <c:pt idx="322">
                  <c:v>3.9809900618039951</c:v>
                </c:pt>
                <c:pt idx="323">
                  <c:v>3.9534466126164847</c:v>
                </c:pt>
                <c:pt idx="324">
                  <c:v>3.9701060481037307</c:v>
                </c:pt>
                <c:pt idx="325">
                  <c:v>3.9504984769920815</c:v>
                </c:pt>
                <c:pt idx="326">
                  <c:v>3.9797904741947097</c:v>
                </c:pt>
                <c:pt idx="327">
                  <c:v>3.9914031439603894</c:v>
                </c:pt>
                <c:pt idx="328">
                  <c:v>4.0256025502226445</c:v>
                </c:pt>
                <c:pt idx="329">
                  <c:v>4.0624002431601287</c:v>
                </c:pt>
                <c:pt idx="330">
                  <c:v>4.0878565017012596</c:v>
                </c:pt>
                <c:pt idx="331">
                  <c:v>4.1129099026700144</c:v>
                </c:pt>
                <c:pt idx="332">
                  <c:v>4.1271493508026511</c:v>
                </c:pt>
                <c:pt idx="333">
                  <c:v>4.0994081324616873</c:v>
                </c:pt>
                <c:pt idx="334">
                  <c:v>4.1280358675284248</c:v>
                </c:pt>
                <c:pt idx="335">
                  <c:v>4.1722260501386303</c:v>
                </c:pt>
                <c:pt idx="336">
                  <c:v>4.2211969420636013</c:v>
                </c:pt>
                <c:pt idx="337">
                  <c:v>4.2646395683642115</c:v>
                </c:pt>
                <c:pt idx="338">
                  <c:v>4.2597401138195243</c:v>
                </c:pt>
                <c:pt idx="339">
                  <c:v>4.2407553941658049</c:v>
                </c:pt>
                <c:pt idx="340">
                  <c:v>4.230464597091574</c:v>
                </c:pt>
                <c:pt idx="341">
                  <c:v>4.2097962441766841</c:v>
                </c:pt>
                <c:pt idx="342">
                  <c:v>4.2058005097722395</c:v>
                </c:pt>
                <c:pt idx="343">
                  <c:v>4.1919724419099866</c:v>
                </c:pt>
                <c:pt idx="344">
                  <c:v>4.171278953057902</c:v>
                </c:pt>
                <c:pt idx="345">
                  <c:v>4.1847302698701982</c:v>
                </c:pt>
                <c:pt idx="346">
                  <c:v>4.2037691794522116</c:v>
                </c:pt>
                <c:pt idx="347">
                  <c:v>4.1800748603313425</c:v>
                </c:pt>
                <c:pt idx="348">
                  <c:v>4.1327812469784559</c:v>
                </c:pt>
                <c:pt idx="349">
                  <c:v>4.1027600015905916</c:v>
                </c:pt>
                <c:pt idx="350">
                  <c:v>4.0740159705406134</c:v>
                </c:pt>
                <c:pt idx="351">
                  <c:v>4.1156467017687337</c:v>
                </c:pt>
                <c:pt idx="352">
                  <c:v>4.0943288743612323</c:v>
                </c:pt>
                <c:pt idx="353">
                  <c:v>4.0873210211874564</c:v>
                </c:pt>
                <c:pt idx="354">
                  <c:v>4.0666145098310116</c:v>
                </c:pt>
                <c:pt idx="355">
                  <c:v>4.0659459373280873</c:v>
                </c:pt>
                <c:pt idx="356">
                  <c:v>4.062469311786101</c:v>
                </c:pt>
                <c:pt idx="357">
                  <c:v>4.0463154111003572</c:v>
                </c:pt>
                <c:pt idx="358">
                  <c:v>3.9807292007804644</c:v>
                </c:pt>
                <c:pt idx="359">
                  <c:v>3.9485085515876528</c:v>
                </c:pt>
                <c:pt idx="360">
                  <c:v>3.9790591812640086</c:v>
                </c:pt>
                <c:pt idx="361">
                  <c:v>4.0431003258791742</c:v>
                </c:pt>
                <c:pt idx="362">
                  <c:v>4.0778931044718911</c:v>
                </c:pt>
                <c:pt idx="363">
                  <c:v>4.068597985799963</c:v>
                </c:pt>
                <c:pt idx="364">
                  <c:v>4.1101961552338002</c:v>
                </c:pt>
                <c:pt idx="365">
                  <c:v>4.1519564081657778</c:v>
                </c:pt>
                <c:pt idx="366">
                  <c:v>4.2118018629687564</c:v>
                </c:pt>
                <c:pt idx="367">
                  <c:v>4.1911524010563364</c:v>
                </c:pt>
                <c:pt idx="368">
                  <c:v>4.2261132504906884</c:v>
                </c:pt>
                <c:pt idx="369">
                  <c:v>4.2410095053066117</c:v>
                </c:pt>
                <c:pt idx="370">
                  <c:v>4.3129480164164677</c:v>
                </c:pt>
                <c:pt idx="371">
                  <c:v>4.3420038807461117</c:v>
                </c:pt>
                <c:pt idx="372">
                  <c:v>4.3500511778554127</c:v>
                </c:pt>
                <c:pt idx="373">
                  <c:v>4.3253678038545713</c:v>
                </c:pt>
                <c:pt idx="374">
                  <c:v>4.3589509680139056</c:v>
                </c:pt>
                <c:pt idx="375">
                  <c:v>4.3848170083117779</c:v>
                </c:pt>
                <c:pt idx="376">
                  <c:v>4.4101171402131811</c:v>
                </c:pt>
                <c:pt idx="377">
                  <c:v>4.4394178540347093</c:v>
                </c:pt>
                <c:pt idx="378">
                  <c:v>4.4440411839087757</c:v>
                </c:pt>
                <c:pt idx="379">
                  <c:v>4.5171058714454739</c:v>
                </c:pt>
                <c:pt idx="380">
                  <c:v>4.4967268769423301</c:v>
                </c:pt>
                <c:pt idx="381">
                  <c:v>4.5183304748108029</c:v>
                </c:pt>
                <c:pt idx="382">
                  <c:v>4.5027066504858517</c:v>
                </c:pt>
                <c:pt idx="383">
                  <c:v>4.5283087694612298</c:v>
                </c:pt>
                <c:pt idx="384">
                  <c:v>4.5481526656742526</c:v>
                </c:pt>
                <c:pt idx="385">
                  <c:v>4.5650420268185279</c:v>
                </c:pt>
                <c:pt idx="386">
                  <c:v>4.5595782718092384</c:v>
                </c:pt>
                <c:pt idx="387">
                  <c:v>4.5813772897215372</c:v>
                </c:pt>
                <c:pt idx="388">
                  <c:v>4.5438984016585069</c:v>
                </c:pt>
                <c:pt idx="389">
                  <c:v>4.5122132198712377</c:v>
                </c:pt>
                <c:pt idx="390">
                  <c:v>4.4964791106795916</c:v>
                </c:pt>
                <c:pt idx="391">
                  <c:v>4.480560294957205</c:v>
                </c:pt>
                <c:pt idx="392">
                  <c:v>4.5146846526112681</c:v>
                </c:pt>
                <c:pt idx="393">
                  <c:v>4.5131754547393017</c:v>
                </c:pt>
                <c:pt idx="394">
                  <c:v>4.5114960576300209</c:v>
                </c:pt>
                <c:pt idx="395">
                  <c:v>4.5507274194237297</c:v>
                </c:pt>
                <c:pt idx="396">
                  <c:v>4.5581851441839909</c:v>
                </c:pt>
                <c:pt idx="397">
                  <c:v>4.5812130384985181</c:v>
                </c:pt>
                <c:pt idx="398">
                  <c:v>4.5957264536318112</c:v>
                </c:pt>
                <c:pt idx="399">
                  <c:v>4.5850595527537736</c:v>
                </c:pt>
                <c:pt idx="400">
                  <c:v>4.6043071312055526</c:v>
                </c:pt>
                <c:pt idx="401">
                  <c:v>4.5788922717429577</c:v>
                </c:pt>
                <c:pt idx="402">
                  <c:v>4.5984885996939395</c:v>
                </c:pt>
                <c:pt idx="403">
                  <c:v>4.6175300830673427</c:v>
                </c:pt>
                <c:pt idx="404">
                  <c:v>4.6167277505353965</c:v>
                </c:pt>
                <c:pt idx="405">
                  <c:v>4.5978968287901774</c:v>
                </c:pt>
                <c:pt idx="406">
                  <c:v>4.596603482315869</c:v>
                </c:pt>
                <c:pt idx="407">
                  <c:v>4.5609743411868804</c:v>
                </c:pt>
                <c:pt idx="408">
                  <c:v>4.5427067002739285</c:v>
                </c:pt>
                <c:pt idx="409">
                  <c:v>4.565767351254272</c:v>
                </c:pt>
                <c:pt idx="410">
                  <c:v>4.5655725289157987</c:v>
                </c:pt>
              </c:numCache>
            </c:numRef>
          </c:val>
          <c:smooth val="0"/>
        </c:ser>
        <c:dLbls>
          <c:showLegendKey val="0"/>
          <c:showVal val="0"/>
          <c:showCatName val="0"/>
          <c:showSerName val="0"/>
          <c:showPercent val="0"/>
          <c:showBubbleSize val="0"/>
        </c:dLbls>
        <c:marker val="1"/>
        <c:smooth val="0"/>
        <c:axId val="140624256"/>
        <c:axId val="140627328"/>
      </c:lineChart>
      <c:dateAx>
        <c:axId val="140624256"/>
        <c:scaling>
          <c:orientation val="minMax"/>
        </c:scaling>
        <c:delete val="0"/>
        <c:axPos val="b"/>
        <c:numFmt formatCode="mmm\-yy" sourceLinked="0"/>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140627328"/>
        <c:crosses val="autoZero"/>
        <c:auto val="1"/>
        <c:lblOffset val="100"/>
        <c:baseTimeUnit val="months"/>
      </c:dateAx>
      <c:valAx>
        <c:axId val="140627328"/>
        <c:scaling>
          <c:orientation val="minMax"/>
          <c:min val="2"/>
        </c:scaling>
        <c:delete val="0"/>
        <c:axPos val="l"/>
        <c:majorGridlines/>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0624256"/>
        <c:crosses val="autoZero"/>
        <c:crossBetween val="between"/>
      </c:valAx>
    </c:plotArea>
    <c:legend>
      <c:legendPos val="b"/>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b="1" i="0" baseline="0">
                <a:effectLst/>
              </a:rPr>
              <a:t>WA - Number of young people achieving outcomes</a:t>
            </a:r>
            <a:endParaRPr lang="en-AU" sz="1400">
              <a:effectLst/>
            </a:endParaRPr>
          </a:p>
        </c:rich>
      </c:tx>
      <c:layout/>
      <c:overlay val="0"/>
    </c:title>
    <c:autoTitleDeleted val="0"/>
    <c:plotArea>
      <c:layout/>
      <c:barChart>
        <c:barDir val="col"/>
        <c:grouping val="clustered"/>
        <c:varyColors val="0"/>
        <c:ser>
          <c:idx val="0"/>
          <c:order val="0"/>
          <c:tx>
            <c:strRef>
              <c:f>Outcomes!$L$2</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Outcomes!$L$3:$L$5</c:f>
              <c:numCache>
                <c:formatCode>0%</c:formatCode>
                <c:ptCount val="3"/>
                <c:pt idx="0">
                  <c:v>0.67431380581728795</c:v>
                </c:pt>
                <c:pt idx="1">
                  <c:v>0.57166853303471443</c:v>
                </c:pt>
                <c:pt idx="2">
                  <c:v>0.5379043940125543</c:v>
                </c:pt>
              </c:numCache>
            </c:numRef>
          </c:val>
        </c:ser>
        <c:ser>
          <c:idx val="1"/>
          <c:order val="1"/>
          <c:tx>
            <c:strRef>
              <c:f>Outcomes!$M$2</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Outcomes!$M$3:$M$5</c:f>
              <c:numCache>
                <c:formatCode>0%</c:formatCode>
                <c:ptCount val="3"/>
                <c:pt idx="0">
                  <c:v>0.77263416632527648</c:v>
                </c:pt>
                <c:pt idx="1">
                  <c:v>0.7071668533034714</c:v>
                </c:pt>
                <c:pt idx="2">
                  <c:v>0.67648478995654271</c:v>
                </c:pt>
              </c:numCache>
            </c:numRef>
          </c:val>
        </c:ser>
        <c:dLbls>
          <c:showLegendKey val="0"/>
          <c:showVal val="0"/>
          <c:showCatName val="0"/>
          <c:showSerName val="0"/>
          <c:showPercent val="0"/>
          <c:showBubbleSize val="0"/>
        </c:dLbls>
        <c:gapWidth val="150"/>
        <c:axId val="83478784"/>
        <c:axId val="83484672"/>
      </c:barChart>
      <c:catAx>
        <c:axId val="83478784"/>
        <c:scaling>
          <c:orientation val="minMax"/>
        </c:scaling>
        <c:delete val="0"/>
        <c:axPos val="b"/>
        <c:majorTickMark val="none"/>
        <c:minorTickMark val="none"/>
        <c:tickLblPos val="nextTo"/>
        <c:crossAx val="83484672"/>
        <c:crosses val="autoZero"/>
        <c:auto val="1"/>
        <c:lblAlgn val="ctr"/>
        <c:lblOffset val="100"/>
        <c:noMultiLvlLbl val="0"/>
      </c:catAx>
      <c:valAx>
        <c:axId val="83484672"/>
        <c:scaling>
          <c:orientation val="minMax"/>
          <c:max val="1"/>
        </c:scaling>
        <c:delete val="0"/>
        <c:axPos val="l"/>
        <c:majorGridlines/>
        <c:numFmt formatCode="0%" sourceLinked="1"/>
        <c:majorTickMark val="none"/>
        <c:minorTickMark val="none"/>
        <c:tickLblPos val="nextTo"/>
        <c:crossAx val="83478784"/>
        <c:crosses val="autoZero"/>
        <c:crossBetween val="between"/>
        <c:minorUnit val="0.2"/>
      </c:valAx>
    </c:plotArea>
    <c:legend>
      <c:legendPos val="r"/>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National - Number of young people achieving outcomes</a:t>
            </a:r>
          </a:p>
        </c:rich>
      </c:tx>
      <c:layout/>
      <c:overlay val="0"/>
    </c:title>
    <c:autoTitleDeleted val="0"/>
    <c:plotArea>
      <c:layout/>
      <c:barChart>
        <c:barDir val="col"/>
        <c:grouping val="clustered"/>
        <c:varyColors val="0"/>
        <c:ser>
          <c:idx val="0"/>
          <c:order val="0"/>
          <c:tx>
            <c:strRef>
              <c:f>Outcomes!$L$9</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Outcomes!$L$10:$L$12</c:f>
              <c:numCache>
                <c:formatCode>0%</c:formatCode>
                <c:ptCount val="3"/>
                <c:pt idx="0">
                  <c:v>0.68454976303317538</c:v>
                </c:pt>
                <c:pt idx="1">
                  <c:v>0.63326074607081995</c:v>
                </c:pt>
                <c:pt idx="2">
                  <c:v>0.54288876591034863</c:v>
                </c:pt>
              </c:numCache>
            </c:numRef>
          </c:val>
        </c:ser>
        <c:ser>
          <c:idx val="1"/>
          <c:order val="1"/>
          <c:tx>
            <c:strRef>
              <c:f>Outcomes!$M$9</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Outcomes!$M$10:$M$12</c:f>
              <c:numCache>
                <c:formatCode>0%</c:formatCode>
                <c:ptCount val="3"/>
                <c:pt idx="0">
                  <c:v>0.7953870458135861</c:v>
                </c:pt>
                <c:pt idx="1">
                  <c:v>0.76888846809316413</c:v>
                </c:pt>
                <c:pt idx="2">
                  <c:v>0.70022561832191055</c:v>
                </c:pt>
              </c:numCache>
            </c:numRef>
          </c:val>
        </c:ser>
        <c:dLbls>
          <c:showLegendKey val="0"/>
          <c:showVal val="0"/>
          <c:showCatName val="0"/>
          <c:showSerName val="0"/>
          <c:showPercent val="0"/>
          <c:showBubbleSize val="0"/>
        </c:dLbls>
        <c:gapWidth val="150"/>
        <c:axId val="84735488"/>
        <c:axId val="84737024"/>
      </c:barChart>
      <c:catAx>
        <c:axId val="84735488"/>
        <c:scaling>
          <c:orientation val="minMax"/>
        </c:scaling>
        <c:delete val="0"/>
        <c:axPos val="b"/>
        <c:numFmt formatCode="0%" sourceLinked="1"/>
        <c:majorTickMark val="none"/>
        <c:minorTickMark val="none"/>
        <c:tickLblPos val="nextTo"/>
        <c:crossAx val="84737024"/>
        <c:crosses val="autoZero"/>
        <c:auto val="1"/>
        <c:lblAlgn val="ctr"/>
        <c:lblOffset val="100"/>
        <c:noMultiLvlLbl val="0"/>
      </c:catAx>
      <c:valAx>
        <c:axId val="84737024"/>
        <c:scaling>
          <c:orientation val="minMax"/>
          <c:max val="1"/>
        </c:scaling>
        <c:delete val="0"/>
        <c:axPos val="l"/>
        <c:majorGridlines/>
        <c:numFmt formatCode="0%" sourceLinked="1"/>
        <c:majorTickMark val="none"/>
        <c:minorTickMark val="none"/>
        <c:tickLblPos val="nextTo"/>
        <c:crossAx val="84735488"/>
        <c:crosses val="autoZero"/>
        <c:crossBetween val="between"/>
        <c:minorUnit val="0.2"/>
      </c:valAx>
    </c:plotArea>
    <c:legend>
      <c:legendPos val="r"/>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 Achieving an outcome (progressive or final) by characteristic</a:t>
            </a:r>
          </a:p>
        </c:rich>
      </c:tx>
      <c:layout/>
      <c:overlay val="0"/>
    </c:title>
    <c:autoTitleDeleted val="0"/>
    <c:plotArea>
      <c:layout>
        <c:manualLayout>
          <c:layoutTarget val="inner"/>
          <c:xMode val="edge"/>
          <c:yMode val="edge"/>
          <c:x val="0.13683340487837459"/>
          <c:y val="0.13410068678776127"/>
          <c:w val="0.74638704594502014"/>
          <c:h val="0.41321586188048121"/>
        </c:manualLayout>
      </c:layout>
      <c:barChart>
        <c:barDir val="col"/>
        <c:grouping val="clustered"/>
        <c:varyColors val="0"/>
        <c:ser>
          <c:idx val="0"/>
          <c:order val="0"/>
          <c:tx>
            <c:strRef>
              <c:f>'Outcomes by Characteristic'!$B$2</c:f>
              <c:strCache>
                <c:ptCount val="1"/>
                <c:pt idx="0">
                  <c:v>WA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Characteristic'!$B$3:$B$12</c:f>
              <c:numCache>
                <c:formatCode>0%</c:formatCode>
                <c:ptCount val="10"/>
                <c:pt idx="0">
                  <c:v>0.72187500000000004</c:v>
                </c:pt>
                <c:pt idx="1">
                  <c:v>0.80132450331125826</c:v>
                </c:pt>
                <c:pt idx="2">
                  <c:v>0.78125</c:v>
                </c:pt>
                <c:pt idx="3">
                  <c:v>0.65280665280665284</c:v>
                </c:pt>
                <c:pt idx="4">
                  <c:v>0.6216216216216216</c:v>
                </c:pt>
                <c:pt idx="5">
                  <c:v>0.66537267080745344</c:v>
                </c:pt>
                <c:pt idx="6">
                  <c:v>0.8666666666666667</c:v>
                </c:pt>
                <c:pt idx="7">
                  <c:v>0.78544061302681989</c:v>
                </c:pt>
                <c:pt idx="8">
                  <c:v>0.79333333333333333</c:v>
                </c:pt>
                <c:pt idx="9">
                  <c:v>0.74438063986874492</c:v>
                </c:pt>
              </c:numCache>
            </c:numRef>
          </c:val>
        </c:ser>
        <c:ser>
          <c:idx val="1"/>
          <c:order val="1"/>
          <c:tx>
            <c:strRef>
              <c:f>'Outcomes by Characteristic'!$C$2</c:f>
              <c:strCache>
                <c:ptCount val="1"/>
                <c:pt idx="0">
                  <c:v>National %</c:v>
                </c:pt>
              </c:strCache>
            </c:strRef>
          </c:tx>
          <c:invertIfNegative val="0"/>
          <c:dLbls>
            <c:dLbl>
              <c:idx val="1"/>
              <c:layout>
                <c:manualLayout>
                  <c:x val="8.5384781137627826E-3"/>
                  <c:y val="8.226496833770372E-3"/>
                </c:manualLayout>
              </c:layout>
              <c:showLegendKey val="0"/>
              <c:showVal val="1"/>
              <c:showCatName val="0"/>
              <c:showSerName val="0"/>
              <c:showPercent val="0"/>
              <c:showBubbleSize val="0"/>
            </c:dLbl>
            <c:dLbl>
              <c:idx val="3"/>
              <c:layout>
                <c:manualLayout>
                  <c:x val="6.4038585853220869E-3"/>
                  <c:y val="0"/>
                </c:manualLayout>
              </c:layout>
              <c:showLegendKey val="0"/>
              <c:showVal val="1"/>
              <c:showCatName val="0"/>
              <c:showSerName val="0"/>
              <c:showPercent val="0"/>
              <c:showBubbleSize val="0"/>
            </c:dLbl>
            <c:dLbl>
              <c:idx val="5"/>
              <c:layout>
                <c:manualLayout>
                  <c:x val="1.0673097642203479E-2"/>
                  <c:y val="0"/>
                </c:manualLayout>
              </c:layout>
              <c:showLegendKey val="0"/>
              <c:showVal val="1"/>
              <c:showCatName val="0"/>
              <c:showSerName val="0"/>
              <c:showPercent val="0"/>
              <c:showBubbleSize val="0"/>
            </c:dLbl>
            <c:dLbl>
              <c:idx val="6"/>
              <c:layout>
                <c:manualLayout>
                  <c:x val="0"/>
                  <c:y val="1.2339745250655548E-2"/>
                </c:manualLayout>
              </c:layout>
              <c:showLegendKey val="0"/>
              <c:showVal val="1"/>
              <c:showCatName val="0"/>
              <c:showSerName val="0"/>
              <c:showPercent val="0"/>
              <c:showBubbleSize val="0"/>
            </c:dLbl>
            <c:dLbl>
              <c:idx val="7"/>
              <c:layout>
                <c:manualLayout>
                  <c:x val="6.4038585853220869E-3"/>
                  <c:y val="2.0566242084425881E-2"/>
                </c:manualLayout>
              </c:layout>
              <c:showLegendKey val="0"/>
              <c:showVal val="1"/>
              <c:showCatName val="0"/>
              <c:showSerName val="0"/>
              <c:showPercent val="0"/>
              <c:showBubbleSize val="0"/>
            </c:dLbl>
            <c:dLbl>
              <c:idx val="8"/>
              <c:layout>
                <c:manualLayout>
                  <c:x val="5.301588123313104E-3"/>
                  <c:y val="2.1282335962357624E-2"/>
                </c:manualLayout>
              </c:layout>
              <c:showLegendKey val="0"/>
              <c:showVal val="1"/>
              <c:showCatName val="0"/>
              <c:showSerName val="0"/>
              <c:showPercent val="0"/>
              <c:showBubbleSize val="0"/>
            </c:dLbl>
            <c:dLbl>
              <c:idx val="9"/>
              <c:layout>
                <c:manualLayout>
                  <c:x val="6.4038585853220869E-3"/>
                  <c:y val="-2.879273891819623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Characteristic'!$C$3:$C$12</c:f>
              <c:numCache>
                <c:formatCode>0%</c:formatCode>
                <c:ptCount val="10"/>
                <c:pt idx="0">
                  <c:v>0.81636271529888549</c:v>
                </c:pt>
                <c:pt idx="1">
                  <c:v>0.8041357783847054</c:v>
                </c:pt>
                <c:pt idx="2">
                  <c:v>0.8565022421524664</c:v>
                </c:pt>
                <c:pt idx="3">
                  <c:v>0.7122912674514098</c:v>
                </c:pt>
                <c:pt idx="4">
                  <c:v>0.72128514056224902</c:v>
                </c:pt>
                <c:pt idx="5">
                  <c:v>0.69984794178342569</c:v>
                </c:pt>
                <c:pt idx="6">
                  <c:v>0.83615819209039544</c:v>
                </c:pt>
                <c:pt idx="7">
                  <c:v>0.78293354305937868</c:v>
                </c:pt>
                <c:pt idx="8">
                  <c:v>0.77741673436230707</c:v>
                </c:pt>
                <c:pt idx="9">
                  <c:v>0.77378384855020366</c:v>
                </c:pt>
              </c:numCache>
            </c:numRef>
          </c:val>
        </c:ser>
        <c:dLbls>
          <c:showLegendKey val="0"/>
          <c:showVal val="0"/>
          <c:showCatName val="0"/>
          <c:showSerName val="0"/>
          <c:showPercent val="0"/>
          <c:showBubbleSize val="0"/>
        </c:dLbls>
        <c:gapWidth val="150"/>
        <c:axId val="84829312"/>
        <c:axId val="84830848"/>
      </c:barChart>
      <c:catAx>
        <c:axId val="84829312"/>
        <c:scaling>
          <c:orientation val="minMax"/>
        </c:scaling>
        <c:delete val="0"/>
        <c:axPos val="b"/>
        <c:majorTickMark val="none"/>
        <c:minorTickMark val="none"/>
        <c:tickLblPos val="nextTo"/>
        <c:crossAx val="84830848"/>
        <c:crosses val="autoZero"/>
        <c:auto val="1"/>
        <c:lblAlgn val="ctr"/>
        <c:lblOffset val="100"/>
        <c:noMultiLvlLbl val="0"/>
      </c:catAx>
      <c:valAx>
        <c:axId val="84830848"/>
        <c:scaling>
          <c:orientation val="minMax"/>
          <c:max val="1"/>
        </c:scaling>
        <c:delete val="0"/>
        <c:axPos val="l"/>
        <c:majorGridlines/>
        <c:numFmt formatCode="0%" sourceLinked="1"/>
        <c:majorTickMark val="none"/>
        <c:minorTickMark val="none"/>
        <c:tickLblPos val="nextTo"/>
        <c:crossAx val="84829312"/>
        <c:crosses val="autoZero"/>
        <c:crossBetween val="between"/>
        <c:majorUnit val="0.2"/>
      </c:valAx>
    </c:plotArea>
    <c:legend>
      <c:legendPos val="r"/>
      <c:layout>
        <c:manualLayout>
          <c:xMode val="edge"/>
          <c:yMode val="edge"/>
          <c:x val="0.87513476680799518"/>
          <c:y val="0.12262506003755076"/>
          <c:w val="0.12256262587111806"/>
          <c:h val="0.19689472415973136"/>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b="1" i="0" baseline="0">
                <a:effectLst/>
              </a:rPr>
              <a:t>% Achieving a final outcome by characteristic</a:t>
            </a:r>
            <a:endParaRPr lang="en-AU" sz="1400">
              <a:effectLst/>
            </a:endParaRPr>
          </a:p>
        </c:rich>
      </c:tx>
      <c:layout>
        <c:manualLayout>
          <c:xMode val="edge"/>
          <c:yMode val="edge"/>
          <c:x val="0.2997125017834531"/>
          <c:y val="3.529883228329625E-2"/>
        </c:manualLayout>
      </c:layout>
      <c:overlay val="0"/>
    </c:title>
    <c:autoTitleDeleted val="0"/>
    <c:plotArea>
      <c:layout>
        <c:manualLayout>
          <c:layoutTarget val="inner"/>
          <c:xMode val="edge"/>
          <c:yMode val="edge"/>
          <c:x val="0.15163712636657095"/>
          <c:y val="0.13502624545246433"/>
          <c:w val="0.70929786842026377"/>
          <c:h val="0.46229336620657352"/>
        </c:manualLayout>
      </c:layout>
      <c:barChart>
        <c:barDir val="col"/>
        <c:grouping val="clustered"/>
        <c:varyColors val="0"/>
        <c:ser>
          <c:idx val="0"/>
          <c:order val="0"/>
          <c:tx>
            <c:strRef>
              <c:f>'Outcomes by Characteristic'!$D$2</c:f>
              <c:strCache>
                <c:ptCount val="1"/>
                <c:pt idx="0">
                  <c:v>WA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Characteristic'!$D$3:$D$12</c:f>
              <c:numCache>
                <c:formatCode>0%</c:formatCode>
                <c:ptCount val="10"/>
                <c:pt idx="0">
                  <c:v>0.49375000000000002</c:v>
                </c:pt>
                <c:pt idx="1">
                  <c:v>0.62251655629139069</c:v>
                </c:pt>
                <c:pt idx="2">
                  <c:v>0.640625</c:v>
                </c:pt>
                <c:pt idx="3">
                  <c:v>0.42758142758142759</c:v>
                </c:pt>
                <c:pt idx="4">
                  <c:v>0.4144144144144144</c:v>
                </c:pt>
                <c:pt idx="5">
                  <c:v>0.45962732919254656</c:v>
                </c:pt>
                <c:pt idx="6">
                  <c:v>0.6</c:v>
                </c:pt>
                <c:pt idx="7">
                  <c:v>0.62739463601532564</c:v>
                </c:pt>
                <c:pt idx="8">
                  <c:v>0.58666666666666667</c:v>
                </c:pt>
                <c:pt idx="9">
                  <c:v>0.58703855619360135</c:v>
                </c:pt>
              </c:numCache>
            </c:numRef>
          </c:val>
        </c:ser>
        <c:ser>
          <c:idx val="1"/>
          <c:order val="1"/>
          <c:tx>
            <c:strRef>
              <c:f>'Outcomes by Characteristic'!$E$2</c:f>
              <c:strCache>
                <c:ptCount val="1"/>
                <c:pt idx="0">
                  <c:v>National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Characteristic'!$E$3:$E$12</c:f>
              <c:numCache>
                <c:formatCode>0%</c:formatCode>
                <c:ptCount val="10"/>
                <c:pt idx="0">
                  <c:v>0.66717325227963531</c:v>
                </c:pt>
                <c:pt idx="1">
                  <c:v>0.61880608661724545</c:v>
                </c:pt>
                <c:pt idx="2">
                  <c:v>0.69730941704035876</c:v>
                </c:pt>
                <c:pt idx="3">
                  <c:v>0.49621177544500228</c:v>
                </c:pt>
                <c:pt idx="4">
                  <c:v>0.46827309236947789</c:v>
                </c:pt>
                <c:pt idx="5">
                  <c:v>0.49959259058069422</c:v>
                </c:pt>
                <c:pt idx="6">
                  <c:v>0.59887005649717517</c:v>
                </c:pt>
                <c:pt idx="7">
                  <c:v>0.59164568911264948</c:v>
                </c:pt>
                <c:pt idx="8">
                  <c:v>0.59496753246753242</c:v>
                </c:pt>
                <c:pt idx="9">
                  <c:v>0.59568894671962747</c:v>
                </c:pt>
              </c:numCache>
            </c:numRef>
          </c:val>
        </c:ser>
        <c:dLbls>
          <c:showLegendKey val="0"/>
          <c:showVal val="0"/>
          <c:showCatName val="0"/>
          <c:showSerName val="0"/>
          <c:showPercent val="0"/>
          <c:showBubbleSize val="0"/>
        </c:dLbls>
        <c:gapWidth val="150"/>
        <c:axId val="89354624"/>
        <c:axId val="89356160"/>
      </c:barChart>
      <c:catAx>
        <c:axId val="89354624"/>
        <c:scaling>
          <c:orientation val="minMax"/>
        </c:scaling>
        <c:delete val="0"/>
        <c:axPos val="b"/>
        <c:majorTickMark val="none"/>
        <c:minorTickMark val="none"/>
        <c:tickLblPos val="nextTo"/>
        <c:crossAx val="89356160"/>
        <c:crosses val="autoZero"/>
        <c:auto val="1"/>
        <c:lblAlgn val="ctr"/>
        <c:lblOffset val="100"/>
        <c:noMultiLvlLbl val="0"/>
      </c:catAx>
      <c:valAx>
        <c:axId val="89356160"/>
        <c:scaling>
          <c:orientation val="minMax"/>
          <c:max val="1"/>
        </c:scaling>
        <c:delete val="0"/>
        <c:axPos val="l"/>
        <c:majorGridlines/>
        <c:numFmt formatCode="0%" sourceLinked="1"/>
        <c:majorTickMark val="none"/>
        <c:minorTickMark val="none"/>
        <c:tickLblPos val="nextTo"/>
        <c:crossAx val="89354624"/>
        <c:crosses val="autoZero"/>
        <c:crossBetween val="between"/>
        <c:majorUnit val="0.2"/>
      </c:valAx>
    </c:plotArea>
    <c:legend>
      <c:legendPos val="r"/>
      <c:layout>
        <c:manualLayout>
          <c:xMode val="edge"/>
          <c:yMode val="edge"/>
          <c:x val="0.85684637643157235"/>
          <c:y val="0.24312291083658194"/>
          <c:w val="0.14315363646723495"/>
          <c:h val="0.14516087453418997"/>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WA - Final Outcomes Achieved</a:t>
            </a:r>
          </a:p>
        </c:rich>
      </c:tx>
      <c:layout>
        <c:manualLayout>
          <c:xMode val="edge"/>
          <c:yMode val="edge"/>
          <c:x val="0.3727940921175979"/>
          <c:y val="2.9477556728339363E-2"/>
        </c:manualLayout>
      </c:layout>
      <c:overlay val="0"/>
    </c:title>
    <c:autoTitleDeleted val="0"/>
    <c:plotArea>
      <c:layout/>
      <c:barChart>
        <c:barDir val="col"/>
        <c:grouping val="clustered"/>
        <c:varyColors val="0"/>
        <c:ser>
          <c:idx val="0"/>
          <c:order val="0"/>
          <c:tx>
            <c:strRef>
              <c:f>'Final outcomes achieved'!$E$2</c:f>
              <c:strCache>
                <c:ptCount val="1"/>
                <c:pt idx="0">
                  <c:v>Total</c:v>
                </c:pt>
              </c:strCache>
            </c:strRef>
          </c:tx>
          <c:invertIfNegative val="0"/>
          <c:dLbls>
            <c:showLegendKey val="0"/>
            <c:showVal val="1"/>
            <c:showCatName val="0"/>
            <c:showSerName val="0"/>
            <c:showPercent val="0"/>
            <c:showBubbleSize val="0"/>
            <c:showLeaderLines val="0"/>
          </c:dLbls>
          <c:cat>
            <c:strRef>
              <c:f>'Final outcomes achieved'!$A$26:$A$32</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achieved'!$E$3:$E$9</c:f>
              <c:numCache>
                <c:formatCode>General</c:formatCode>
                <c:ptCount val="7"/>
                <c:pt idx="0">
                  <c:v>1162</c:v>
                </c:pt>
                <c:pt idx="1">
                  <c:v>1409</c:v>
                </c:pt>
                <c:pt idx="2">
                  <c:v>978</c:v>
                </c:pt>
                <c:pt idx="3">
                  <c:v>1024</c:v>
                </c:pt>
                <c:pt idx="4">
                  <c:v>383</c:v>
                </c:pt>
                <c:pt idx="5">
                  <c:v>907</c:v>
                </c:pt>
                <c:pt idx="6">
                  <c:v>1073</c:v>
                </c:pt>
              </c:numCache>
            </c:numRef>
          </c:val>
        </c:ser>
        <c:dLbls>
          <c:showLegendKey val="0"/>
          <c:showVal val="0"/>
          <c:showCatName val="0"/>
          <c:showSerName val="0"/>
          <c:showPercent val="0"/>
          <c:showBubbleSize val="0"/>
        </c:dLbls>
        <c:gapWidth val="150"/>
        <c:axId val="139200384"/>
        <c:axId val="139201920"/>
      </c:barChart>
      <c:catAx>
        <c:axId val="139200384"/>
        <c:scaling>
          <c:orientation val="minMax"/>
        </c:scaling>
        <c:delete val="0"/>
        <c:axPos val="b"/>
        <c:majorTickMark val="none"/>
        <c:minorTickMark val="none"/>
        <c:tickLblPos val="nextTo"/>
        <c:crossAx val="139201920"/>
        <c:crosses val="autoZero"/>
        <c:auto val="1"/>
        <c:lblAlgn val="ctr"/>
        <c:lblOffset val="100"/>
        <c:noMultiLvlLbl val="0"/>
      </c:catAx>
      <c:valAx>
        <c:axId val="139201920"/>
        <c:scaling>
          <c:orientation val="minMax"/>
        </c:scaling>
        <c:delete val="0"/>
        <c:axPos val="l"/>
        <c:majorGridlines/>
        <c:numFmt formatCode="General" sourceLinked="1"/>
        <c:majorTickMark val="none"/>
        <c:minorTickMark val="none"/>
        <c:tickLblPos val="nextTo"/>
        <c:crossAx val="139200384"/>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National - Final Outcomes</a:t>
            </a:r>
            <a:r>
              <a:rPr lang="en-US" sz="1400" baseline="0"/>
              <a:t> Achieved</a:t>
            </a:r>
            <a:endParaRPr lang="en-US" sz="1400"/>
          </a:p>
        </c:rich>
      </c:tx>
      <c:layout/>
      <c:overlay val="0"/>
    </c:title>
    <c:autoTitleDeleted val="0"/>
    <c:plotArea>
      <c:layout/>
      <c:barChart>
        <c:barDir val="col"/>
        <c:grouping val="clustered"/>
        <c:varyColors val="0"/>
        <c:ser>
          <c:idx val="0"/>
          <c:order val="0"/>
          <c:tx>
            <c:strRef>
              <c:f>'Final outcomes achieved'!$E$12</c:f>
              <c:strCache>
                <c:ptCount val="1"/>
                <c:pt idx="0">
                  <c:v>Total</c:v>
                </c:pt>
              </c:strCache>
            </c:strRef>
          </c:tx>
          <c:invertIfNegative val="0"/>
          <c:dLbls>
            <c:dLbl>
              <c:idx val="6"/>
              <c:layout/>
              <c:tx>
                <c:rich>
                  <a:bodyPr/>
                  <a:lstStyle/>
                  <a:p>
                    <a:r>
                      <a:rPr lang="en-US"/>
                      <a:t>11,460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'Final outcomes achieved'!$A$26:$A$32</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achieved'!$E$13:$E$19</c:f>
              <c:numCache>
                <c:formatCode>General</c:formatCode>
                <c:ptCount val="7"/>
                <c:pt idx="0">
                  <c:v>8484</c:v>
                </c:pt>
                <c:pt idx="1">
                  <c:v>9604</c:v>
                </c:pt>
                <c:pt idx="2">
                  <c:v>7648</c:v>
                </c:pt>
                <c:pt idx="3">
                  <c:v>9380</c:v>
                </c:pt>
                <c:pt idx="4">
                  <c:v>2888</c:v>
                </c:pt>
                <c:pt idx="5">
                  <c:v>8143</c:v>
                </c:pt>
                <c:pt idx="6">
                  <c:v>11460</c:v>
                </c:pt>
              </c:numCache>
            </c:numRef>
          </c:val>
        </c:ser>
        <c:dLbls>
          <c:showLegendKey val="0"/>
          <c:showVal val="0"/>
          <c:showCatName val="0"/>
          <c:showSerName val="0"/>
          <c:showPercent val="0"/>
          <c:showBubbleSize val="0"/>
        </c:dLbls>
        <c:gapWidth val="150"/>
        <c:axId val="139226496"/>
        <c:axId val="139228288"/>
      </c:barChart>
      <c:catAx>
        <c:axId val="139226496"/>
        <c:scaling>
          <c:orientation val="minMax"/>
        </c:scaling>
        <c:delete val="0"/>
        <c:axPos val="b"/>
        <c:majorTickMark val="out"/>
        <c:minorTickMark val="none"/>
        <c:tickLblPos val="nextTo"/>
        <c:crossAx val="139228288"/>
        <c:crosses val="autoZero"/>
        <c:auto val="1"/>
        <c:lblAlgn val="ctr"/>
        <c:lblOffset val="100"/>
        <c:noMultiLvlLbl val="0"/>
      </c:catAx>
      <c:valAx>
        <c:axId val="139228288"/>
        <c:scaling>
          <c:orientation val="minMax"/>
        </c:scaling>
        <c:delete val="0"/>
        <c:axPos val="l"/>
        <c:majorGridlines/>
        <c:numFmt formatCode="General" sourceLinked="1"/>
        <c:majorTickMark val="out"/>
        <c:minorTickMark val="none"/>
        <c:tickLblPos val="nextTo"/>
        <c:crossAx val="139226496"/>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WA - Final outcomes acheived by connection level</a:t>
            </a:r>
          </a:p>
        </c:rich>
      </c:tx>
      <c:layout/>
      <c:overlay val="0"/>
    </c:title>
    <c:autoTitleDeleted val="0"/>
    <c:plotArea>
      <c:layout/>
      <c:barChart>
        <c:barDir val="col"/>
        <c:grouping val="clustered"/>
        <c:varyColors val="0"/>
        <c:ser>
          <c:idx val="0"/>
          <c:order val="0"/>
          <c:tx>
            <c:strRef>
              <c:f>'Final outcomes achieved'!$B$2</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achieved'!$B$3:$B$9</c:f>
              <c:numCache>
                <c:formatCode>General</c:formatCode>
                <c:ptCount val="7"/>
                <c:pt idx="0">
                  <c:v>638</c:v>
                </c:pt>
                <c:pt idx="1">
                  <c:v>1031</c:v>
                </c:pt>
                <c:pt idx="2">
                  <c:v>640</c:v>
                </c:pt>
                <c:pt idx="3">
                  <c:v>500</c:v>
                </c:pt>
                <c:pt idx="4">
                  <c:v>11</c:v>
                </c:pt>
                <c:pt idx="5">
                  <c:v>87</c:v>
                </c:pt>
                <c:pt idx="6">
                  <c:v>13</c:v>
                </c:pt>
              </c:numCache>
            </c:numRef>
          </c:val>
        </c:ser>
        <c:ser>
          <c:idx val="1"/>
          <c:order val="1"/>
          <c:tx>
            <c:strRef>
              <c:f>'Final outcomes achieved'!$C$2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achieved'!$C$3:$C$9</c:f>
              <c:numCache>
                <c:formatCode>General</c:formatCode>
                <c:ptCount val="7"/>
                <c:pt idx="0">
                  <c:v>436</c:v>
                </c:pt>
                <c:pt idx="1">
                  <c:v>337</c:v>
                </c:pt>
                <c:pt idx="2">
                  <c:v>290</c:v>
                </c:pt>
                <c:pt idx="3">
                  <c:v>432</c:v>
                </c:pt>
                <c:pt idx="4">
                  <c:v>150</c:v>
                </c:pt>
                <c:pt idx="5">
                  <c:v>363</c:v>
                </c:pt>
                <c:pt idx="6">
                  <c:v>245</c:v>
                </c:pt>
              </c:numCache>
            </c:numRef>
          </c:val>
        </c:ser>
        <c:ser>
          <c:idx val="2"/>
          <c:order val="2"/>
          <c:tx>
            <c:strRef>
              <c:f>'Final outcomes achieved'!$D$2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achieved'!$D$3:$D$9</c:f>
              <c:numCache>
                <c:formatCode>General</c:formatCode>
                <c:ptCount val="7"/>
                <c:pt idx="0">
                  <c:v>126</c:v>
                </c:pt>
                <c:pt idx="1">
                  <c:v>70</c:v>
                </c:pt>
                <c:pt idx="2">
                  <c:v>83</c:v>
                </c:pt>
                <c:pt idx="3">
                  <c:v>123</c:v>
                </c:pt>
                <c:pt idx="4">
                  <c:v>235</c:v>
                </c:pt>
                <c:pt idx="5">
                  <c:v>487</c:v>
                </c:pt>
                <c:pt idx="6">
                  <c:v>851</c:v>
                </c:pt>
              </c:numCache>
            </c:numRef>
          </c:val>
        </c:ser>
        <c:dLbls>
          <c:showLegendKey val="0"/>
          <c:showVal val="0"/>
          <c:showCatName val="0"/>
          <c:showSerName val="0"/>
          <c:showPercent val="0"/>
          <c:showBubbleSize val="0"/>
        </c:dLbls>
        <c:gapWidth val="150"/>
        <c:axId val="139255168"/>
        <c:axId val="140260480"/>
      </c:barChart>
      <c:catAx>
        <c:axId val="139255168"/>
        <c:scaling>
          <c:orientation val="minMax"/>
        </c:scaling>
        <c:delete val="0"/>
        <c:axPos val="b"/>
        <c:majorTickMark val="none"/>
        <c:minorTickMark val="none"/>
        <c:tickLblPos val="nextTo"/>
        <c:txPr>
          <a:bodyPr/>
          <a:lstStyle/>
          <a:p>
            <a:pPr>
              <a:defRPr sz="800"/>
            </a:pPr>
            <a:endParaRPr lang="en-US"/>
          </a:p>
        </c:txPr>
        <c:crossAx val="140260480"/>
        <c:crosses val="autoZero"/>
        <c:auto val="1"/>
        <c:lblAlgn val="ctr"/>
        <c:lblOffset val="100"/>
        <c:noMultiLvlLbl val="0"/>
      </c:catAx>
      <c:valAx>
        <c:axId val="140260480"/>
        <c:scaling>
          <c:orientation val="minMax"/>
        </c:scaling>
        <c:delete val="0"/>
        <c:axPos val="l"/>
        <c:majorGridlines/>
        <c:numFmt formatCode="General" sourceLinked="1"/>
        <c:majorTickMark val="none"/>
        <c:minorTickMark val="none"/>
        <c:tickLblPos val="nextTo"/>
        <c:crossAx val="13925516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National - Final outcomes achieved by Connection Level</a:t>
            </a:r>
          </a:p>
        </c:rich>
      </c:tx>
      <c:layout>
        <c:manualLayout>
          <c:xMode val="edge"/>
          <c:yMode val="edge"/>
          <c:x val="0.27564197054420553"/>
          <c:y val="2.5898943139584088E-2"/>
        </c:manualLayout>
      </c:layout>
      <c:overlay val="0"/>
    </c:title>
    <c:autoTitleDeleted val="0"/>
    <c:plotArea>
      <c:layout/>
      <c:barChart>
        <c:barDir val="col"/>
        <c:grouping val="clustered"/>
        <c:varyColors val="0"/>
        <c:ser>
          <c:idx val="0"/>
          <c:order val="0"/>
          <c:tx>
            <c:strRef>
              <c:f>'Final outcomes achieved'!$B$12</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achieved'!$B$13:$B$19</c:f>
              <c:numCache>
                <c:formatCode>General</c:formatCode>
                <c:ptCount val="7"/>
                <c:pt idx="0">
                  <c:v>3730</c:v>
                </c:pt>
                <c:pt idx="1">
                  <c:v>5352</c:v>
                </c:pt>
                <c:pt idx="2">
                  <c:v>4335</c:v>
                </c:pt>
                <c:pt idx="3">
                  <c:v>3180</c:v>
                </c:pt>
                <c:pt idx="4">
                  <c:v>54</c:v>
                </c:pt>
                <c:pt idx="5">
                  <c:v>576</c:v>
                </c:pt>
                <c:pt idx="6">
                  <c:v>69</c:v>
                </c:pt>
              </c:numCache>
            </c:numRef>
          </c:val>
        </c:ser>
        <c:ser>
          <c:idx val="1"/>
          <c:order val="1"/>
          <c:tx>
            <c:strRef>
              <c:f>'Final outcomes achieved'!$C$12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achieved'!$C$13:$C$19</c:f>
              <c:numCache>
                <c:formatCode>General</c:formatCode>
                <c:ptCount val="7"/>
                <c:pt idx="0">
                  <c:v>4412</c:v>
                </c:pt>
                <c:pt idx="1">
                  <c:v>4123</c:v>
                </c:pt>
                <c:pt idx="2">
                  <c:v>3153</c:v>
                </c:pt>
                <c:pt idx="3">
                  <c:v>5817</c:v>
                </c:pt>
                <c:pt idx="4">
                  <c:v>1031</c:v>
                </c:pt>
                <c:pt idx="5">
                  <c:v>3566</c:v>
                </c:pt>
                <c:pt idx="6">
                  <c:v>2201</c:v>
                </c:pt>
              </c:numCache>
            </c:numRef>
          </c:val>
        </c:ser>
        <c:ser>
          <c:idx val="2"/>
          <c:order val="2"/>
          <c:tx>
            <c:strRef>
              <c:f>'Final outcomes achieved'!$D$12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achieved'!$D$13:$D$19</c:f>
              <c:numCache>
                <c:formatCode>General</c:formatCode>
                <c:ptCount val="7"/>
                <c:pt idx="0">
                  <c:v>611</c:v>
                </c:pt>
                <c:pt idx="1">
                  <c:v>392</c:v>
                </c:pt>
                <c:pt idx="2">
                  <c:v>405</c:v>
                </c:pt>
                <c:pt idx="3">
                  <c:v>687</c:v>
                </c:pt>
                <c:pt idx="4">
                  <c:v>1903</c:v>
                </c:pt>
                <c:pt idx="5">
                  <c:v>4298</c:v>
                </c:pt>
                <c:pt idx="6">
                  <c:v>9554</c:v>
                </c:pt>
              </c:numCache>
            </c:numRef>
          </c:val>
        </c:ser>
        <c:dLbls>
          <c:showLegendKey val="0"/>
          <c:showVal val="0"/>
          <c:showCatName val="0"/>
          <c:showSerName val="0"/>
          <c:showPercent val="0"/>
          <c:showBubbleSize val="0"/>
        </c:dLbls>
        <c:gapWidth val="150"/>
        <c:axId val="140275072"/>
        <c:axId val="140276864"/>
      </c:barChart>
      <c:catAx>
        <c:axId val="140275072"/>
        <c:scaling>
          <c:orientation val="minMax"/>
        </c:scaling>
        <c:delete val="0"/>
        <c:axPos val="b"/>
        <c:majorTickMark val="none"/>
        <c:minorTickMark val="none"/>
        <c:tickLblPos val="nextTo"/>
        <c:txPr>
          <a:bodyPr/>
          <a:lstStyle/>
          <a:p>
            <a:pPr>
              <a:defRPr sz="800"/>
            </a:pPr>
            <a:endParaRPr lang="en-US"/>
          </a:p>
        </c:txPr>
        <c:crossAx val="140276864"/>
        <c:crosses val="autoZero"/>
        <c:auto val="1"/>
        <c:lblAlgn val="ctr"/>
        <c:lblOffset val="100"/>
        <c:noMultiLvlLbl val="0"/>
      </c:catAx>
      <c:valAx>
        <c:axId val="140276864"/>
        <c:scaling>
          <c:orientation val="minMax"/>
        </c:scaling>
        <c:delete val="0"/>
        <c:axPos val="l"/>
        <c:majorGridlines/>
        <c:numFmt formatCode="General" sourceLinked="1"/>
        <c:majorTickMark val="none"/>
        <c:minorTickMark val="none"/>
        <c:tickLblPos val="nextTo"/>
        <c:crossAx val="14027507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 of total Indigenous participants by state</a:t>
            </a:r>
          </a:p>
        </c:rich>
      </c:tx>
      <c:layout/>
      <c:overlay val="0"/>
    </c:title>
    <c:autoTitleDeleted val="0"/>
    <c:plotArea>
      <c:layout/>
      <c:pieChart>
        <c:varyColors val="1"/>
        <c:ser>
          <c:idx val="0"/>
          <c:order val="0"/>
          <c:dPt>
            <c:idx val="0"/>
            <c:bubble3D val="0"/>
          </c:dPt>
          <c:dPt>
            <c:idx val="1"/>
            <c:bubble3D val="0"/>
          </c:dPt>
          <c:dPt>
            <c:idx val="2"/>
            <c:bubble3D val="0"/>
          </c:dPt>
          <c:dPt>
            <c:idx val="7"/>
            <c:bubble3D val="0"/>
            <c:explosion val="12"/>
          </c:dPt>
          <c:dLbls>
            <c:dLbl>
              <c:idx val="0"/>
              <c:layout>
                <c:manualLayout>
                  <c:x val="1.9497594050743656E-2"/>
                  <c:y val="2.575386410032079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Indigenous!$E$3:$E$10</c:f>
              <c:numCache>
                <c:formatCode>0%</c:formatCode>
                <c:ptCount val="8"/>
                <c:pt idx="0">
                  <c:v>8.8511725522401677E-3</c:v>
                </c:pt>
                <c:pt idx="1">
                  <c:v>0.43963865316178485</c:v>
                </c:pt>
                <c:pt idx="2">
                  <c:v>8.0938041792134319E-2</c:v>
                </c:pt>
                <c:pt idx="3">
                  <c:v>0.20850442558627613</c:v>
                </c:pt>
                <c:pt idx="4">
                  <c:v>4.45296103659093E-2</c:v>
                </c:pt>
                <c:pt idx="5">
                  <c:v>1.7884843507619309E-2</c:v>
                </c:pt>
                <c:pt idx="6">
                  <c:v>6.7980655169267268E-2</c:v>
                </c:pt>
                <c:pt idx="7">
                  <c:v>0.13167259786476868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 of caseload that is Indigenous by state</a:t>
            </a:r>
          </a:p>
        </c:rich>
      </c:tx>
      <c:layout/>
      <c:overlay val="0"/>
    </c:title>
    <c:autoTitleDeleted val="0"/>
    <c:plotArea>
      <c:layout/>
      <c:barChart>
        <c:barDir val="bar"/>
        <c:grouping val="clustered"/>
        <c:varyColors val="0"/>
        <c:ser>
          <c:idx val="0"/>
          <c:order val="0"/>
          <c:tx>
            <c:strRef>
              <c:f>Indigenous!$C$2</c:f>
              <c:strCache>
                <c:ptCount val="1"/>
                <c:pt idx="0">
                  <c:v>% of caseload that is Indigenous</c:v>
                </c:pt>
              </c:strCache>
            </c:strRef>
          </c:tx>
          <c:invertIfNegative val="0"/>
          <c:dLbls>
            <c:showLegendKey val="0"/>
            <c:showVal val="1"/>
            <c:showCatName val="0"/>
            <c:showSerName val="0"/>
            <c:showPercent val="0"/>
            <c:showBubbleSize val="0"/>
            <c:showLeaderLines val="0"/>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Indigenous!$C$3:$C$11</c:f>
              <c:numCache>
                <c:formatCode>0%</c:formatCode>
                <c:ptCount val="9"/>
                <c:pt idx="0">
                  <c:v>0.11200923787528869</c:v>
                </c:pt>
                <c:pt idx="1">
                  <c:v>0.22505605381165919</c:v>
                </c:pt>
                <c:pt idx="2">
                  <c:v>0.77130434782608692</c:v>
                </c:pt>
                <c:pt idx="3">
                  <c:v>0.2115544856957689</c:v>
                </c:pt>
                <c:pt idx="4">
                  <c:v>0.14386792452830188</c:v>
                </c:pt>
                <c:pt idx="5">
                  <c:v>0.11951219512195121</c:v>
                </c:pt>
                <c:pt idx="6">
                  <c:v>5.7000765110941085E-2</c:v>
                </c:pt>
                <c:pt idx="7">
                  <c:v>0.23675143560295325</c:v>
                </c:pt>
                <c:pt idx="8">
                  <c:v>0.18758344459279039</c:v>
                </c:pt>
              </c:numCache>
            </c:numRef>
          </c:val>
        </c:ser>
        <c:dLbls>
          <c:showLegendKey val="0"/>
          <c:showVal val="0"/>
          <c:showCatName val="0"/>
          <c:showSerName val="0"/>
          <c:showPercent val="0"/>
          <c:showBubbleSize val="0"/>
        </c:dLbls>
        <c:gapWidth val="150"/>
        <c:axId val="140575104"/>
        <c:axId val="140576640"/>
      </c:barChart>
      <c:catAx>
        <c:axId val="140575104"/>
        <c:scaling>
          <c:orientation val="minMax"/>
        </c:scaling>
        <c:delete val="0"/>
        <c:axPos val="l"/>
        <c:majorTickMark val="out"/>
        <c:minorTickMark val="none"/>
        <c:tickLblPos val="nextTo"/>
        <c:crossAx val="140576640"/>
        <c:crosses val="autoZero"/>
        <c:auto val="1"/>
        <c:lblAlgn val="ctr"/>
        <c:lblOffset val="100"/>
        <c:noMultiLvlLbl val="0"/>
      </c:catAx>
      <c:valAx>
        <c:axId val="140576640"/>
        <c:scaling>
          <c:orientation val="minMax"/>
        </c:scaling>
        <c:delete val="0"/>
        <c:axPos val="b"/>
        <c:majorGridlines/>
        <c:numFmt formatCode="0%" sourceLinked="1"/>
        <c:majorTickMark val="out"/>
        <c:minorTickMark val="none"/>
        <c:tickLblPos val="nextTo"/>
        <c:crossAx val="14057510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WA - Age of Participants</a:t>
            </a:r>
          </a:p>
        </c:rich>
      </c:tx>
      <c:layout/>
      <c:overlay val="0"/>
    </c:title>
    <c:autoTitleDeleted val="0"/>
    <c:plotArea>
      <c:layout/>
      <c:barChart>
        <c:barDir val="col"/>
        <c:grouping val="clustered"/>
        <c:varyColors val="0"/>
        <c:ser>
          <c:idx val="0"/>
          <c:order val="0"/>
          <c:tx>
            <c:strRef>
              <c:f>'Age profile'!$I$3:$I$4</c:f>
              <c:strCache>
                <c:ptCount val="1"/>
                <c:pt idx="0">
                  <c:v>WA - Age of Participants % Total</c:v>
                </c:pt>
              </c:strCache>
            </c:strRef>
          </c:tx>
          <c:invertIfNegative val="0"/>
          <c:dLbls>
            <c:showLegendKey val="0"/>
            <c:showVal val="1"/>
            <c:showCatName val="0"/>
            <c:showSerName val="0"/>
            <c:showPercent val="0"/>
            <c:showBubbleSize val="0"/>
            <c:showLeaderLines val="0"/>
          </c:dLbls>
          <c:cat>
            <c:numRef>
              <c:f>'Age profile'!$A$5:$A$22</c:f>
              <c:numCache>
                <c:formatCode>General</c:formatCod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numCache>
            </c:numRef>
          </c:cat>
          <c:val>
            <c:numRef>
              <c:f>'Age profile'!$I$5:$I$22</c:f>
              <c:numCache>
                <c:formatCode>0%</c:formatCode>
                <c:ptCount val="18"/>
                <c:pt idx="0">
                  <c:v>0</c:v>
                </c:pt>
                <c:pt idx="1">
                  <c:v>1.6406890894175554E-4</c:v>
                </c:pt>
                <c:pt idx="2">
                  <c:v>1.6406890894175554E-4</c:v>
                </c:pt>
                <c:pt idx="3">
                  <c:v>3.4454470877768664E-3</c:v>
                </c:pt>
                <c:pt idx="4">
                  <c:v>2.4774405250205085E-2</c:v>
                </c:pt>
                <c:pt idx="5">
                  <c:v>0.13699753896636588</c:v>
                </c:pt>
                <c:pt idx="6">
                  <c:v>0.21624282198523379</c:v>
                </c:pt>
                <c:pt idx="7">
                  <c:v>0.24446267432321575</c:v>
                </c:pt>
                <c:pt idx="8">
                  <c:v>0.18999179655455292</c:v>
                </c:pt>
                <c:pt idx="9">
                  <c:v>0.11517637407711238</c:v>
                </c:pt>
                <c:pt idx="10">
                  <c:v>4.036095159967186E-2</c:v>
                </c:pt>
                <c:pt idx="11">
                  <c:v>2.1493027071369974E-2</c:v>
                </c:pt>
                <c:pt idx="12">
                  <c:v>4.5939294503691552E-3</c:v>
                </c:pt>
                <c:pt idx="13">
                  <c:v>8.2034454470877774E-4</c:v>
                </c:pt>
                <c:pt idx="14">
                  <c:v>1.1484823625922888E-3</c:v>
                </c:pt>
                <c:pt idx="15">
                  <c:v>0</c:v>
                </c:pt>
                <c:pt idx="16">
                  <c:v>1.6406890894175554E-4</c:v>
                </c:pt>
                <c:pt idx="17">
                  <c:v>0</c:v>
                </c:pt>
              </c:numCache>
            </c:numRef>
          </c:val>
        </c:ser>
        <c:dLbls>
          <c:showLegendKey val="0"/>
          <c:showVal val="0"/>
          <c:showCatName val="0"/>
          <c:showSerName val="0"/>
          <c:showPercent val="0"/>
          <c:showBubbleSize val="0"/>
        </c:dLbls>
        <c:gapWidth val="150"/>
        <c:axId val="170805504"/>
        <c:axId val="170938368"/>
      </c:barChart>
      <c:catAx>
        <c:axId val="170805504"/>
        <c:scaling>
          <c:orientation val="minMax"/>
        </c:scaling>
        <c:delete val="0"/>
        <c:axPos val="b"/>
        <c:numFmt formatCode="General" sourceLinked="1"/>
        <c:majorTickMark val="out"/>
        <c:minorTickMark val="none"/>
        <c:tickLblPos val="nextTo"/>
        <c:crossAx val="170938368"/>
        <c:crosses val="autoZero"/>
        <c:auto val="1"/>
        <c:lblAlgn val="ctr"/>
        <c:lblOffset val="100"/>
        <c:noMultiLvlLbl val="0"/>
      </c:catAx>
      <c:valAx>
        <c:axId val="170938368"/>
        <c:scaling>
          <c:orientation val="minMax"/>
        </c:scaling>
        <c:delete val="0"/>
        <c:axPos val="l"/>
        <c:majorGridlines/>
        <c:numFmt formatCode="0%" sourceLinked="1"/>
        <c:majorTickMark val="out"/>
        <c:minorTickMark val="none"/>
        <c:tickLblPos val="nextTo"/>
        <c:crossAx val="170805504"/>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 of </a:t>
            </a:r>
            <a:r>
              <a:rPr lang="en-AU" sz="1400" b="1" i="0" u="none" strike="noStrike" baseline="0">
                <a:effectLst/>
              </a:rPr>
              <a:t>Humanitarian Refugee </a:t>
            </a:r>
            <a:r>
              <a:rPr lang="en-AU" sz="1400"/>
              <a:t> participants by state</a:t>
            </a:r>
          </a:p>
        </c:rich>
      </c:tx>
      <c:layout/>
      <c:overlay val="0"/>
    </c:title>
    <c:autoTitleDeleted val="0"/>
    <c:plotArea>
      <c:layout/>
      <c:pieChart>
        <c:varyColors val="1"/>
        <c:ser>
          <c:idx val="0"/>
          <c:order val="0"/>
          <c:dPt>
            <c:idx val="0"/>
            <c:bubble3D val="0"/>
          </c:dPt>
          <c:dPt>
            <c:idx val="1"/>
            <c:bubble3D val="0"/>
          </c:dPt>
          <c:dPt>
            <c:idx val="2"/>
            <c:bubble3D val="0"/>
          </c:dPt>
          <c:dPt>
            <c:idx val="7"/>
            <c:bubble3D val="0"/>
            <c:explosion val="20"/>
          </c:dPt>
          <c:dLbls>
            <c:dLbl>
              <c:idx val="0"/>
              <c:layout>
                <c:manualLayout>
                  <c:x val="2.5739215395130487E-2"/>
                  <c:y val="1.649460484106151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Refugee'!$E$3:$E$10</c:f>
              <c:numCache>
                <c:formatCode>0%</c:formatCode>
                <c:ptCount val="8"/>
                <c:pt idx="0">
                  <c:v>3.6995515695067267E-2</c:v>
                </c:pt>
                <c:pt idx="1">
                  <c:v>0.27690582959641258</c:v>
                </c:pt>
                <c:pt idx="2">
                  <c:v>4.4843049327354259E-3</c:v>
                </c:pt>
                <c:pt idx="3">
                  <c:v>9.417040358744394E-2</c:v>
                </c:pt>
                <c:pt idx="4">
                  <c:v>5.4932735426008968E-2</c:v>
                </c:pt>
                <c:pt idx="5">
                  <c:v>3.2511210762331835E-2</c:v>
                </c:pt>
                <c:pt idx="6">
                  <c:v>0.4282511210762332</c:v>
                </c:pt>
                <c:pt idx="7">
                  <c:v>7.1748878923766815E-2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 of caseload that is Humanitarian</a:t>
            </a:r>
            <a:r>
              <a:rPr lang="en-AU" sz="1400" baseline="0"/>
              <a:t> Refugee </a:t>
            </a:r>
            <a:r>
              <a:rPr lang="en-AU" sz="1400"/>
              <a:t>by state</a:t>
            </a:r>
          </a:p>
        </c:rich>
      </c:tx>
      <c:layout/>
      <c:overlay val="0"/>
    </c:title>
    <c:autoTitleDeleted val="0"/>
    <c:plotArea>
      <c:layout/>
      <c:barChart>
        <c:barDir val="bar"/>
        <c:grouping val="clustered"/>
        <c:varyColors val="0"/>
        <c:ser>
          <c:idx val="0"/>
          <c:order val="0"/>
          <c:tx>
            <c:strRef>
              <c:f>'Humanitarian Refugee'!$C$2</c:f>
              <c:strCache>
                <c:ptCount val="1"/>
                <c:pt idx="0">
                  <c:v>% of caseload that is Indigenous</c:v>
                </c:pt>
              </c:strCache>
            </c:strRef>
          </c:tx>
          <c:invertIfNegative val="0"/>
          <c:dLbls>
            <c:showLegendKey val="0"/>
            <c:showVal val="1"/>
            <c:showCatName val="0"/>
            <c:showSerName val="0"/>
            <c:showPercent val="0"/>
            <c:showBubbleSize val="0"/>
            <c:showLeaderLines val="0"/>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Refugee'!$C$3:$C$11</c:f>
              <c:numCache>
                <c:formatCode>0%</c:formatCode>
                <c:ptCount val="9"/>
                <c:pt idx="0">
                  <c:v>3.8106235565819858E-2</c:v>
                </c:pt>
                <c:pt idx="1">
                  <c:v>1.1537742899850522E-2</c:v>
                </c:pt>
                <c:pt idx="2">
                  <c:v>3.4782608695652175E-3</c:v>
                </c:pt>
                <c:pt idx="3">
                  <c:v>7.7770576798444589E-3</c:v>
                </c:pt>
                <c:pt idx="4">
                  <c:v>1.4445754716981132E-2</c:v>
                </c:pt>
                <c:pt idx="5">
                  <c:v>1.7682926829268291E-2</c:v>
                </c:pt>
                <c:pt idx="6">
                  <c:v>2.9227237949502678E-2</c:v>
                </c:pt>
                <c:pt idx="7">
                  <c:v>1.0500410172272354E-2</c:v>
                </c:pt>
                <c:pt idx="8">
                  <c:v>1.5268220875697512E-2</c:v>
                </c:pt>
              </c:numCache>
            </c:numRef>
          </c:val>
        </c:ser>
        <c:dLbls>
          <c:showLegendKey val="0"/>
          <c:showVal val="0"/>
          <c:showCatName val="0"/>
          <c:showSerName val="0"/>
          <c:showPercent val="0"/>
          <c:showBubbleSize val="0"/>
        </c:dLbls>
        <c:gapWidth val="150"/>
        <c:axId val="140611968"/>
        <c:axId val="140613504"/>
      </c:barChart>
      <c:catAx>
        <c:axId val="140611968"/>
        <c:scaling>
          <c:orientation val="minMax"/>
        </c:scaling>
        <c:delete val="0"/>
        <c:axPos val="l"/>
        <c:majorTickMark val="out"/>
        <c:minorTickMark val="none"/>
        <c:tickLblPos val="nextTo"/>
        <c:crossAx val="140613504"/>
        <c:crosses val="autoZero"/>
        <c:auto val="1"/>
        <c:lblAlgn val="ctr"/>
        <c:lblOffset val="100"/>
        <c:noMultiLvlLbl val="0"/>
      </c:catAx>
      <c:valAx>
        <c:axId val="140613504"/>
        <c:scaling>
          <c:orientation val="minMax"/>
        </c:scaling>
        <c:delete val="0"/>
        <c:axPos val="b"/>
        <c:majorGridlines/>
        <c:numFmt formatCode="0%" sourceLinked="1"/>
        <c:majorTickMark val="out"/>
        <c:minorTickMark val="none"/>
        <c:tickLblPos val="nextTo"/>
        <c:crossAx val="140611968"/>
        <c:crosses val="autoZero"/>
        <c:crossBetween val="between"/>
      </c:valAx>
    </c:plotArea>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'WA Tables'!$M$21</c:f>
          <c:strCache>
            <c:ptCount val="1"/>
            <c:pt idx="0">
              <c:v>Distribution of WA Schools by ICSEA Value</c:v>
            </c:pt>
          </c:strCache>
        </c:strRef>
      </c:tx>
      <c:layout/>
      <c:overlay val="1"/>
      <c:txPr>
        <a:bodyPr/>
        <a:lstStyle/>
        <a:p>
          <a:pPr>
            <a:defRPr/>
          </a:pPr>
          <a:endParaRPr lang="en-US"/>
        </a:p>
      </c:txPr>
    </c:title>
    <c:autoTitleDeleted val="0"/>
    <c:plotArea>
      <c:layout>
        <c:manualLayout>
          <c:layoutTarget val="inner"/>
          <c:xMode val="edge"/>
          <c:yMode val="edge"/>
          <c:x val="8.4672562955056749E-2"/>
          <c:y val="0.13208623613406348"/>
          <c:w val="0.59786248932243913"/>
          <c:h val="0.70690985956807917"/>
        </c:manualLayout>
      </c:layout>
      <c:barChart>
        <c:barDir val="col"/>
        <c:grouping val="clustered"/>
        <c:varyColors val="0"/>
        <c:ser>
          <c:idx val="0"/>
          <c:order val="0"/>
          <c:tx>
            <c:v>Schools in partnerships</c:v>
          </c:tx>
          <c:spPr>
            <a:solidFill>
              <a:srgbClr val="0070C0"/>
            </a:solidFill>
            <a:effectLst>
              <a:outerShdw blurRad="50800" dist="50800" dir="2880000" algn="ctr" rotWithShape="0">
                <a:schemeClr val="tx1">
                  <a:alpha val="63000"/>
                </a:schemeClr>
              </a:outerShdw>
            </a:effectLst>
          </c:spPr>
          <c:invertIfNegative val="0"/>
          <c:dLbls>
            <c:showLegendKey val="0"/>
            <c:showVal val="1"/>
            <c:showCatName val="0"/>
            <c:showSerName val="0"/>
            <c:showPercent val="0"/>
            <c:showBubbleSize val="0"/>
            <c:showLeaderLines val="0"/>
          </c:dLbls>
          <c:cat>
            <c:strRef>
              <c:f>'WA Tables'!$M$15:$P$15</c:f>
              <c:strCache>
                <c:ptCount val="4"/>
                <c:pt idx="0">
                  <c:v>Quarter 1
Disadvantaged</c:v>
                </c:pt>
                <c:pt idx="1">
                  <c:v>Quarter 2</c:v>
                </c:pt>
                <c:pt idx="2">
                  <c:v>Quarter 3</c:v>
                </c:pt>
                <c:pt idx="3">
                  <c:v>Quarter 4
Advantaged</c:v>
                </c:pt>
              </c:strCache>
            </c:strRef>
          </c:cat>
          <c:val>
            <c:numRef>
              <c:f>'WA Tables'!$M$18:$P$18</c:f>
              <c:numCache>
                <c:formatCode>0%</c:formatCode>
                <c:ptCount val="4"/>
                <c:pt idx="0">
                  <c:v>0.45054945054945056</c:v>
                </c:pt>
                <c:pt idx="1">
                  <c:v>0.23076923076923078</c:v>
                </c:pt>
                <c:pt idx="2">
                  <c:v>0.25274725274725274</c:v>
                </c:pt>
                <c:pt idx="3">
                  <c:v>6.5934065934065936E-2</c:v>
                </c:pt>
              </c:numCache>
            </c:numRef>
          </c:val>
        </c:ser>
        <c:ser>
          <c:idx val="1"/>
          <c:order val="1"/>
          <c:tx>
            <c:v>Total schools</c:v>
          </c:tx>
          <c:spPr>
            <a:effectLst>
              <a:outerShdw blurRad="50800" dist="50800" dir="2880000" algn="ctr" rotWithShape="0">
                <a:schemeClr val="tx1">
                  <a:alpha val="63000"/>
                </a:schemeClr>
              </a:outerShdw>
            </a:effectLst>
          </c:spPr>
          <c:invertIfNegative val="0"/>
          <c:dLbls>
            <c:showLegendKey val="0"/>
            <c:showVal val="1"/>
            <c:showCatName val="0"/>
            <c:showSerName val="0"/>
            <c:showPercent val="0"/>
            <c:showBubbleSize val="0"/>
            <c:showLeaderLines val="0"/>
          </c:dLbls>
          <c:cat>
            <c:strRef>
              <c:f>'WA Tables'!$M$15:$P$15</c:f>
              <c:strCache>
                <c:ptCount val="4"/>
                <c:pt idx="0">
                  <c:v>Quarter 1
Disadvantaged</c:v>
                </c:pt>
                <c:pt idx="1">
                  <c:v>Quarter 2</c:v>
                </c:pt>
                <c:pt idx="2">
                  <c:v>Quarter 3</c:v>
                </c:pt>
                <c:pt idx="3">
                  <c:v>Quarter 4
Advantaged</c:v>
                </c:pt>
              </c:strCache>
            </c:strRef>
          </c:cat>
          <c:val>
            <c:numRef>
              <c:f>'WA Tables'!$M$19:$P$19</c:f>
              <c:numCache>
                <c:formatCode>0%</c:formatCode>
                <c:ptCount val="4"/>
                <c:pt idx="0">
                  <c:v>0.28527918781725886</c:v>
                </c:pt>
                <c:pt idx="1">
                  <c:v>0.20609137055837565</c:v>
                </c:pt>
                <c:pt idx="2">
                  <c:v>0.27005076142131978</c:v>
                </c:pt>
                <c:pt idx="3">
                  <c:v>0.23857868020304568</c:v>
                </c:pt>
              </c:numCache>
            </c:numRef>
          </c:val>
        </c:ser>
        <c:dLbls>
          <c:showLegendKey val="0"/>
          <c:showVal val="0"/>
          <c:showCatName val="0"/>
          <c:showSerName val="0"/>
          <c:showPercent val="0"/>
          <c:showBubbleSize val="0"/>
        </c:dLbls>
        <c:gapWidth val="150"/>
        <c:axId val="140638848"/>
        <c:axId val="140730752"/>
      </c:barChart>
      <c:catAx>
        <c:axId val="140638848"/>
        <c:scaling>
          <c:orientation val="minMax"/>
        </c:scaling>
        <c:delete val="0"/>
        <c:axPos val="b"/>
        <c:numFmt formatCode="General" sourceLinked="1"/>
        <c:majorTickMark val="out"/>
        <c:minorTickMark val="none"/>
        <c:tickLblPos val="nextTo"/>
        <c:crossAx val="140730752"/>
        <c:crosses val="autoZero"/>
        <c:auto val="1"/>
        <c:lblAlgn val="ctr"/>
        <c:lblOffset val="100"/>
        <c:noMultiLvlLbl val="0"/>
      </c:catAx>
      <c:valAx>
        <c:axId val="140730752"/>
        <c:scaling>
          <c:orientation val="minMax"/>
        </c:scaling>
        <c:delete val="0"/>
        <c:axPos val="l"/>
        <c:majorGridlines/>
        <c:numFmt formatCode="0%" sourceLinked="1"/>
        <c:majorTickMark val="out"/>
        <c:minorTickMark val="none"/>
        <c:tickLblPos val="nextTo"/>
        <c:crossAx val="140638848"/>
        <c:crosses val="autoZero"/>
        <c:crossBetween val="between"/>
      </c:valAx>
    </c:plotArea>
    <c:legend>
      <c:legendPos val="r"/>
      <c:layout>
        <c:manualLayout>
          <c:xMode val="edge"/>
          <c:yMode val="edge"/>
          <c:x val="0.72106554942009149"/>
          <c:y val="0.2973677850386004"/>
          <c:w val="0.21167314412419569"/>
          <c:h val="0.35350393700787403"/>
        </c:manualLayout>
      </c:layout>
      <c:overlay val="0"/>
      <c:txPr>
        <a:bodyPr/>
        <a:lstStyle/>
        <a:p>
          <a:pPr>
            <a:defRPr sz="1200" baseline="0"/>
          </a:pPr>
          <a:endParaRPr lang="en-US"/>
        </a:p>
      </c:txPr>
    </c:legend>
    <c:plotVisOnly val="1"/>
    <c:dispBlanksAs val="gap"/>
    <c:showDLblsOverMax val="0"/>
  </c:chart>
  <c:spPr>
    <a:ln cap="rnd"/>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636149607683363"/>
          <c:y val="0.17727668656802573"/>
          <c:w val="0.52290301908781001"/>
          <c:h val="0.74095872631306003"/>
        </c:manualLayout>
      </c:layout>
      <c:barChart>
        <c:barDir val="bar"/>
        <c:grouping val="percentStacked"/>
        <c:varyColors val="0"/>
        <c:ser>
          <c:idx val="0"/>
          <c:order val="0"/>
          <c:tx>
            <c:strRef>
              <c:f>National!$N$14</c:f>
              <c:strCache>
                <c:ptCount val="1"/>
                <c:pt idx="0">
                  <c:v>Active</c:v>
                </c:pt>
              </c:strCache>
            </c:strRef>
          </c:tx>
          <c:spPr>
            <a:solidFill>
              <a:schemeClr val="accent2"/>
            </a:solidFill>
            <a:effectLst>
              <a:outerShdw blurRad="50800" dist="38100" dir="2700000" algn="tl" rotWithShape="0">
                <a:prstClr val="black">
                  <a:alpha val="40000"/>
                </a:prstClr>
              </a:outerShdw>
            </a:effectLst>
          </c:spPr>
          <c:invertIfNegative val="0"/>
          <c:cat>
            <c:strRef>
              <c:f>National!$M$15:$M$19</c:f>
              <c:strCache>
                <c:ptCount val="5"/>
                <c:pt idx="0">
                  <c:v>2011 (Apr)</c:v>
                </c:pt>
                <c:pt idx="1">
                  <c:v>2011 (Sept)</c:v>
                </c:pt>
                <c:pt idx="2">
                  <c:v>2012 (Apr)</c:v>
                </c:pt>
                <c:pt idx="3">
                  <c:v>2012 (Sept)</c:v>
                </c:pt>
                <c:pt idx="4">
                  <c:v>2013 (Apr)</c:v>
                </c:pt>
              </c:strCache>
            </c:strRef>
          </c:cat>
          <c:val>
            <c:numRef>
              <c:f>National!$AF$15:$AF$19</c:f>
              <c:numCache>
                <c:formatCode>0%</c:formatCode>
                <c:ptCount val="5"/>
                <c:pt idx="0">
                  <c:v>0.85465116279069764</c:v>
                </c:pt>
                <c:pt idx="1">
                  <c:v>0.8</c:v>
                </c:pt>
                <c:pt idx="2">
                  <c:v>0.7579617834394905</c:v>
                </c:pt>
                <c:pt idx="3">
                  <c:v>0.77325581395348841</c:v>
                </c:pt>
                <c:pt idx="4">
                  <c:v>0.6633663366336634</c:v>
                </c:pt>
              </c:numCache>
            </c:numRef>
          </c:val>
        </c:ser>
        <c:ser>
          <c:idx val="1"/>
          <c:order val="1"/>
          <c:tx>
            <c:strRef>
              <c:f>National!$O$14</c:f>
              <c:strCache>
                <c:ptCount val="1"/>
                <c:pt idx="0">
                  <c:v>Self-sustaining</c:v>
                </c:pt>
              </c:strCache>
            </c:strRef>
          </c:tx>
          <c:spPr>
            <a:solidFill>
              <a:schemeClr val="accent1"/>
            </a:solidFill>
            <a:effectLst>
              <a:outerShdw blurRad="50800" dist="38100" dir="2700000" algn="tl" rotWithShape="0">
                <a:prstClr val="black">
                  <a:alpha val="40000"/>
                </a:prstClr>
              </a:outerShdw>
            </a:effectLst>
          </c:spPr>
          <c:invertIfNegative val="0"/>
          <c:cat>
            <c:strRef>
              <c:f>National!$M$15:$M$19</c:f>
              <c:strCache>
                <c:ptCount val="5"/>
                <c:pt idx="0">
                  <c:v>2011 (Apr)</c:v>
                </c:pt>
                <c:pt idx="1">
                  <c:v>2011 (Sept)</c:v>
                </c:pt>
                <c:pt idx="2">
                  <c:v>2012 (Apr)</c:v>
                </c:pt>
                <c:pt idx="3">
                  <c:v>2012 (Sept)</c:v>
                </c:pt>
                <c:pt idx="4">
                  <c:v>2013 (Apr)</c:v>
                </c:pt>
              </c:strCache>
            </c:strRef>
          </c:cat>
          <c:val>
            <c:numRef>
              <c:f>National!$AG$15:$AG$19</c:f>
              <c:numCache>
                <c:formatCode>0%</c:formatCode>
                <c:ptCount val="5"/>
                <c:pt idx="0">
                  <c:v>0.14534883720930233</c:v>
                </c:pt>
                <c:pt idx="1">
                  <c:v>0.2</c:v>
                </c:pt>
                <c:pt idx="2">
                  <c:v>0.24203821656050956</c:v>
                </c:pt>
                <c:pt idx="3">
                  <c:v>0.22674418604651161</c:v>
                </c:pt>
                <c:pt idx="4">
                  <c:v>0.33663366336633666</c:v>
                </c:pt>
              </c:numCache>
            </c:numRef>
          </c:val>
        </c:ser>
        <c:dLbls>
          <c:showLegendKey val="0"/>
          <c:showVal val="0"/>
          <c:showCatName val="0"/>
          <c:showSerName val="0"/>
          <c:showPercent val="0"/>
          <c:showBubbleSize val="0"/>
        </c:dLbls>
        <c:gapWidth val="150"/>
        <c:overlap val="100"/>
        <c:axId val="141002624"/>
        <c:axId val="141004160"/>
      </c:barChart>
      <c:catAx>
        <c:axId val="141002624"/>
        <c:scaling>
          <c:orientation val="maxMin"/>
        </c:scaling>
        <c:delete val="0"/>
        <c:axPos val="l"/>
        <c:numFmt formatCode="General" sourceLinked="1"/>
        <c:majorTickMark val="out"/>
        <c:minorTickMark val="none"/>
        <c:tickLblPos val="nextTo"/>
        <c:txPr>
          <a:bodyPr/>
          <a:lstStyle/>
          <a:p>
            <a:pPr>
              <a:defRPr sz="900"/>
            </a:pPr>
            <a:endParaRPr lang="en-US"/>
          </a:p>
        </c:txPr>
        <c:crossAx val="141004160"/>
        <c:crosses val="autoZero"/>
        <c:auto val="1"/>
        <c:lblAlgn val="ctr"/>
        <c:lblOffset val="100"/>
        <c:noMultiLvlLbl val="0"/>
      </c:catAx>
      <c:valAx>
        <c:axId val="141004160"/>
        <c:scaling>
          <c:orientation val="minMax"/>
        </c:scaling>
        <c:delete val="0"/>
        <c:axPos val="t"/>
        <c:majorGridlines/>
        <c:numFmt formatCode="0%" sourceLinked="1"/>
        <c:majorTickMark val="out"/>
        <c:minorTickMark val="none"/>
        <c:tickLblPos val="nextTo"/>
        <c:txPr>
          <a:bodyPr/>
          <a:lstStyle/>
          <a:p>
            <a:pPr>
              <a:defRPr sz="900"/>
            </a:pPr>
            <a:endParaRPr lang="en-US"/>
          </a:p>
        </c:txPr>
        <c:crossAx val="141002624"/>
        <c:crosses val="autoZero"/>
        <c:crossBetween val="between"/>
      </c:valAx>
    </c:plotArea>
    <c:legend>
      <c:legendPos val="r"/>
      <c:legendEntry>
        <c:idx val="1"/>
        <c:txPr>
          <a:bodyPr/>
          <a:lstStyle/>
          <a:p>
            <a:pPr>
              <a:defRPr sz="1000"/>
            </a:pPr>
            <a:endParaRPr lang="en-US"/>
          </a:p>
        </c:txPr>
      </c:legendEntry>
      <c:layout>
        <c:manualLayout>
          <c:xMode val="edge"/>
          <c:yMode val="edge"/>
          <c:x val="0.74333192857935015"/>
          <c:y val="0.25677201308740516"/>
          <c:w val="0.25529200399245866"/>
          <c:h val="0.45856398087225397"/>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National - Age of Participants</a:t>
            </a:r>
          </a:p>
        </c:rich>
      </c:tx>
      <c:layout/>
      <c:overlay val="0"/>
    </c:title>
    <c:autoTitleDeleted val="0"/>
    <c:plotArea>
      <c:layout/>
      <c:barChart>
        <c:barDir val="col"/>
        <c:grouping val="clustered"/>
        <c:varyColors val="0"/>
        <c:ser>
          <c:idx val="0"/>
          <c:order val="0"/>
          <c:tx>
            <c:strRef>
              <c:f>'Age profile'!$I$26:$I$27</c:f>
              <c:strCache>
                <c:ptCount val="1"/>
                <c:pt idx="0">
                  <c:v>National - Age of Participants % Total</c:v>
                </c:pt>
              </c:strCache>
            </c:strRef>
          </c:tx>
          <c:invertIfNegative val="0"/>
          <c:dLbls>
            <c:showLegendKey val="0"/>
            <c:showVal val="1"/>
            <c:showCatName val="0"/>
            <c:showSerName val="0"/>
            <c:showPercent val="0"/>
            <c:showBubbleSize val="0"/>
            <c:showLeaderLines val="0"/>
          </c:dLbls>
          <c:cat>
            <c:strRef>
              <c:f>'Age profile'!$A$28:$A$45</c:f>
              <c:strCach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strCache>
            </c:strRef>
          </c:cat>
          <c:val>
            <c:numRef>
              <c:f>'Age profile'!$I$28:$I$45</c:f>
              <c:numCache>
                <c:formatCode>0%</c:formatCode>
                <c:ptCount val="18"/>
                <c:pt idx="0">
                  <c:v>3.0810311184142962E-4</c:v>
                </c:pt>
                <c:pt idx="1">
                  <c:v>1.1125945705384957E-3</c:v>
                </c:pt>
                <c:pt idx="2">
                  <c:v>5.3062202594912873E-3</c:v>
                </c:pt>
                <c:pt idx="3">
                  <c:v>1.6706035397624181E-2</c:v>
                </c:pt>
                <c:pt idx="4">
                  <c:v>3.235082674335011E-2</c:v>
                </c:pt>
                <c:pt idx="5">
                  <c:v>8.3222073876279487E-2</c:v>
                </c:pt>
                <c:pt idx="6">
                  <c:v>0.16949094519187977</c:v>
                </c:pt>
                <c:pt idx="7">
                  <c:v>0.22191982472356303</c:v>
                </c:pt>
                <c:pt idx="8">
                  <c:v>0.2136181575433912</c:v>
                </c:pt>
                <c:pt idx="9">
                  <c:v>0.14968676183629454</c:v>
                </c:pt>
                <c:pt idx="10">
                  <c:v>6.8946629694293243E-2</c:v>
                </c:pt>
                <c:pt idx="11">
                  <c:v>2.9680599774057719E-2</c:v>
                </c:pt>
                <c:pt idx="12">
                  <c:v>5.8197254458936705E-3</c:v>
                </c:pt>
                <c:pt idx="13">
                  <c:v>1.0441272123515113E-3</c:v>
                </c:pt>
                <c:pt idx="14">
                  <c:v>4.7927150730889051E-4</c:v>
                </c:pt>
                <c:pt idx="15">
                  <c:v>1.5405155592071481E-4</c:v>
                </c:pt>
                <c:pt idx="16">
                  <c:v>6.8467358186984352E-5</c:v>
                </c:pt>
                <c:pt idx="17">
                  <c:v>8.5584197733730444E-5</c:v>
                </c:pt>
              </c:numCache>
            </c:numRef>
          </c:val>
        </c:ser>
        <c:dLbls>
          <c:showLegendKey val="0"/>
          <c:showVal val="0"/>
          <c:showCatName val="0"/>
          <c:showSerName val="0"/>
          <c:showPercent val="0"/>
          <c:showBubbleSize val="0"/>
        </c:dLbls>
        <c:gapWidth val="150"/>
        <c:axId val="171370752"/>
        <c:axId val="172052864"/>
      </c:barChart>
      <c:catAx>
        <c:axId val="171370752"/>
        <c:scaling>
          <c:orientation val="minMax"/>
        </c:scaling>
        <c:delete val="0"/>
        <c:axPos val="b"/>
        <c:majorTickMark val="out"/>
        <c:minorTickMark val="none"/>
        <c:tickLblPos val="nextTo"/>
        <c:crossAx val="172052864"/>
        <c:crosses val="autoZero"/>
        <c:auto val="1"/>
        <c:lblAlgn val="ctr"/>
        <c:lblOffset val="100"/>
        <c:noMultiLvlLbl val="0"/>
      </c:catAx>
      <c:valAx>
        <c:axId val="172052864"/>
        <c:scaling>
          <c:orientation val="minMax"/>
        </c:scaling>
        <c:delete val="0"/>
        <c:axPos val="l"/>
        <c:majorGridlines/>
        <c:numFmt formatCode="0%" sourceLinked="1"/>
        <c:majorTickMark val="out"/>
        <c:minorTickMark val="none"/>
        <c:tickLblPos val="nextTo"/>
        <c:crossAx val="17137075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WA - Age profile by Connection Level</a:t>
            </a:r>
          </a:p>
        </c:rich>
      </c:tx>
      <c:layout/>
      <c:overlay val="0"/>
    </c:title>
    <c:autoTitleDeleted val="0"/>
    <c:plotArea>
      <c:layout/>
      <c:barChart>
        <c:barDir val="col"/>
        <c:grouping val="clustered"/>
        <c:varyColors val="0"/>
        <c:ser>
          <c:idx val="0"/>
          <c:order val="0"/>
          <c:tx>
            <c:strRef>
              <c:f>'Age profile'!$A$5</c:f>
              <c:strCache>
                <c:ptCount val="1"/>
                <c:pt idx="0">
                  <c:v>8</c:v>
                </c:pt>
              </c:strCache>
            </c:strRef>
          </c:tx>
          <c:invertIfNegative val="0"/>
          <c:cat>
            <c:strRef>
              <c:f>'Age profile'!$B$4:$D$4</c:f>
              <c:strCache>
                <c:ptCount val="3"/>
                <c:pt idx="0">
                  <c:v>% Level 1</c:v>
                </c:pt>
                <c:pt idx="1">
                  <c:v>% Level 2a</c:v>
                </c:pt>
                <c:pt idx="2">
                  <c:v>% Level 2b</c:v>
                </c:pt>
              </c:strCache>
            </c:strRef>
          </c:cat>
          <c:val>
            <c:numRef>
              <c:f>'Age profile'!$B$5:$D$5</c:f>
              <c:numCache>
                <c:formatCode>0%</c:formatCode>
                <c:ptCount val="3"/>
                <c:pt idx="0">
                  <c:v>0</c:v>
                </c:pt>
                <c:pt idx="1">
                  <c:v>0</c:v>
                </c:pt>
                <c:pt idx="2">
                  <c:v>0</c:v>
                </c:pt>
              </c:numCache>
            </c:numRef>
          </c:val>
        </c:ser>
        <c:ser>
          <c:idx val="1"/>
          <c:order val="1"/>
          <c:tx>
            <c:strRef>
              <c:f>'Age profile'!$A$6</c:f>
              <c:strCache>
                <c:ptCount val="1"/>
                <c:pt idx="0">
                  <c:v>9</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strRef>
              <c:f>'Age profile'!$B$4:$D$4</c:f>
              <c:strCache>
                <c:ptCount val="3"/>
                <c:pt idx="0">
                  <c:v>% Level 1</c:v>
                </c:pt>
                <c:pt idx="1">
                  <c:v>% Level 2a</c:v>
                </c:pt>
                <c:pt idx="2">
                  <c:v>% Level 2b</c:v>
                </c:pt>
              </c:strCache>
            </c:strRef>
          </c:cat>
          <c:val>
            <c:numRef>
              <c:f>'Age profile'!$B$6:$D$6</c:f>
              <c:numCache>
                <c:formatCode>0%</c:formatCode>
                <c:ptCount val="3"/>
                <c:pt idx="0">
                  <c:v>4.0966816878328555E-4</c:v>
                </c:pt>
                <c:pt idx="1">
                  <c:v>0</c:v>
                </c:pt>
                <c:pt idx="2">
                  <c:v>0</c:v>
                </c:pt>
              </c:numCache>
            </c:numRef>
          </c:val>
        </c:ser>
        <c:ser>
          <c:idx val="2"/>
          <c:order val="2"/>
          <c:tx>
            <c:strRef>
              <c:f>'Age profile'!$A$7</c:f>
              <c:strCache>
                <c:ptCount val="1"/>
                <c:pt idx="0">
                  <c:v>10</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profile'!$B$7:$D$7</c:f>
              <c:numCache>
                <c:formatCode>0%</c:formatCode>
                <c:ptCount val="3"/>
                <c:pt idx="0">
                  <c:v>4.0966816878328555E-4</c:v>
                </c:pt>
                <c:pt idx="1">
                  <c:v>0</c:v>
                </c:pt>
                <c:pt idx="2">
                  <c:v>0</c:v>
                </c:pt>
              </c:numCache>
            </c:numRef>
          </c:val>
        </c:ser>
        <c:ser>
          <c:idx val="3"/>
          <c:order val="3"/>
          <c:tx>
            <c:strRef>
              <c:f>'Age profile'!$A$8</c:f>
              <c:strCache>
                <c:ptCount val="1"/>
                <c:pt idx="0">
                  <c:v>11</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profile'!$B$8:$D$8</c:f>
              <c:numCache>
                <c:formatCode>0%</c:formatCode>
                <c:ptCount val="3"/>
                <c:pt idx="0">
                  <c:v>7.3740270380991393E-3</c:v>
                </c:pt>
                <c:pt idx="1">
                  <c:v>1.1204481792717086E-3</c:v>
                </c:pt>
                <c:pt idx="2">
                  <c:v>9.6571704490584255E-4</c:v>
                </c:pt>
              </c:numCache>
            </c:numRef>
          </c:val>
        </c:ser>
        <c:ser>
          <c:idx val="4"/>
          <c:order val="4"/>
          <c:tx>
            <c:strRef>
              <c:f>'Age profile'!$A$9</c:f>
              <c:strCache>
                <c:ptCount val="1"/>
                <c:pt idx="0">
                  <c:v>12</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profile'!$B$9:$D$9</c:f>
              <c:numCache>
                <c:formatCode>0%</c:formatCode>
                <c:ptCount val="3"/>
                <c:pt idx="0">
                  <c:v>4.0557148709545271E-2</c:v>
                </c:pt>
                <c:pt idx="1">
                  <c:v>2.1288515406162466E-2</c:v>
                </c:pt>
                <c:pt idx="2">
                  <c:v>7.2428778367938191E-3</c:v>
                </c:pt>
              </c:numCache>
            </c:numRef>
          </c:val>
        </c:ser>
        <c:ser>
          <c:idx val="5"/>
          <c:order val="5"/>
          <c:tx>
            <c:strRef>
              <c:f>'Age profile'!$A$10</c:f>
              <c:strCache>
                <c:ptCount val="1"/>
                <c:pt idx="0">
                  <c:v>13</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profile'!$B$10:$D$10</c:f>
              <c:numCache>
                <c:formatCode>0%</c:formatCode>
                <c:ptCount val="3"/>
                <c:pt idx="0">
                  <c:v>0.24784924211388776</c:v>
                </c:pt>
                <c:pt idx="1">
                  <c:v>0.11876750700280111</c:v>
                </c:pt>
                <c:pt idx="2">
                  <c:v>3.4765813616610332E-2</c:v>
                </c:pt>
              </c:numCache>
            </c:numRef>
          </c:val>
        </c:ser>
        <c:ser>
          <c:idx val="6"/>
          <c:order val="6"/>
          <c:tx>
            <c:strRef>
              <c:f>'Age profile'!$A$11</c:f>
              <c:strCache>
                <c:ptCount val="1"/>
                <c:pt idx="0">
                  <c:v>14</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profile'!$B$11:$D$11</c:f>
              <c:numCache>
                <c:formatCode>0%</c:formatCode>
                <c:ptCount val="3"/>
                <c:pt idx="0">
                  <c:v>0.31093814010651372</c:v>
                </c:pt>
                <c:pt idx="1">
                  <c:v>0.23529411764705882</c:v>
                </c:pt>
                <c:pt idx="2">
                  <c:v>0.1086431675519073</c:v>
                </c:pt>
              </c:numCache>
            </c:numRef>
          </c:val>
        </c:ser>
        <c:ser>
          <c:idx val="7"/>
          <c:order val="7"/>
          <c:tx>
            <c:strRef>
              <c:f>'Age profile'!$A$12</c:f>
              <c:strCache>
                <c:ptCount val="1"/>
                <c:pt idx="0">
                  <c:v>15</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profile'!$B$12:$D$12</c:f>
              <c:numCache>
                <c:formatCode>0%</c:formatCode>
                <c:ptCount val="3"/>
                <c:pt idx="0">
                  <c:v>0.24416222859483819</c:v>
                </c:pt>
                <c:pt idx="1">
                  <c:v>0.29187675070028013</c:v>
                </c:pt>
                <c:pt idx="2">
                  <c:v>0.2245292129406084</c:v>
                </c:pt>
              </c:numCache>
            </c:numRef>
          </c:val>
        </c:ser>
        <c:ser>
          <c:idx val="8"/>
          <c:order val="8"/>
          <c:tx>
            <c:strRef>
              <c:f>'Age profile'!$A$13</c:f>
              <c:strCache>
                <c:ptCount val="1"/>
                <c:pt idx="0">
                  <c:v>16</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profile'!$B$13:$D$13</c:f>
              <c:numCache>
                <c:formatCode>0%</c:formatCode>
                <c:ptCount val="3"/>
                <c:pt idx="0">
                  <c:v>0.10036870135190495</c:v>
                </c:pt>
                <c:pt idx="1">
                  <c:v>0.21736694677871149</c:v>
                </c:pt>
                <c:pt idx="2">
                  <c:v>0.26219217769193626</c:v>
                </c:pt>
              </c:numCache>
            </c:numRef>
          </c:val>
        </c:ser>
        <c:ser>
          <c:idx val="9"/>
          <c:order val="9"/>
          <c:tx>
            <c:strRef>
              <c:f>'Age profile'!$A$14</c:f>
              <c:strCache>
                <c:ptCount val="1"/>
                <c:pt idx="0">
                  <c:v>17</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profile'!$B$14:$D$14</c:f>
              <c:numCache>
                <c:formatCode>0%</c:formatCode>
                <c:ptCount val="3"/>
                <c:pt idx="0">
                  <c:v>3.9328144203195414E-2</c:v>
                </c:pt>
                <c:pt idx="1">
                  <c:v>8.0112044817927178E-2</c:v>
                </c:pt>
                <c:pt idx="2">
                  <c:v>0.21100917431192662</c:v>
                </c:pt>
              </c:numCache>
            </c:numRef>
          </c:val>
        </c:ser>
        <c:ser>
          <c:idx val="10"/>
          <c:order val="10"/>
          <c:tx>
            <c:strRef>
              <c:f>'Age profile'!$A$15</c:f>
              <c:strCache>
                <c:ptCount val="1"/>
                <c:pt idx="0">
                  <c:v>18</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profile'!$B$15:$D$15</c:f>
              <c:numCache>
                <c:formatCode>0%</c:formatCode>
                <c:ptCount val="3"/>
                <c:pt idx="0">
                  <c:v>6.5546907005325688E-3</c:v>
                </c:pt>
                <c:pt idx="1">
                  <c:v>2.0168067226890758E-2</c:v>
                </c:pt>
                <c:pt idx="2">
                  <c:v>8.7880251086431674E-2</c:v>
                </c:pt>
              </c:numCache>
            </c:numRef>
          </c:val>
        </c:ser>
        <c:ser>
          <c:idx val="11"/>
          <c:order val="11"/>
          <c:tx>
            <c:strRef>
              <c:f>'Age profile'!$A$16</c:f>
              <c:strCache>
                <c:ptCount val="1"/>
                <c:pt idx="0">
                  <c:v>19</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profile'!$B$16:$D$16</c:f>
              <c:numCache>
                <c:formatCode>0%</c:formatCode>
                <c:ptCount val="3"/>
                <c:pt idx="0">
                  <c:v>2.0483408439164277E-3</c:v>
                </c:pt>
                <c:pt idx="1">
                  <c:v>9.5238095238095247E-3</c:v>
                </c:pt>
                <c:pt idx="2">
                  <c:v>4.6354418155480442E-2</c:v>
                </c:pt>
              </c:numCache>
            </c:numRef>
          </c:val>
        </c:ser>
        <c:ser>
          <c:idx val="12"/>
          <c:order val="12"/>
          <c:tx>
            <c:strRef>
              <c:f>'Age profile'!$A$17</c:f>
              <c:strCache>
                <c:ptCount val="1"/>
                <c:pt idx="0">
                  <c:v>20</c:v>
                </c:pt>
              </c:strCache>
            </c:strRef>
          </c:tx>
          <c:invertIfNegative val="0"/>
          <c:cat>
            <c:strRef>
              <c:f>'Age profile'!$B$4:$D$4</c:f>
              <c:strCache>
                <c:ptCount val="3"/>
                <c:pt idx="0">
                  <c:v>% Level 1</c:v>
                </c:pt>
                <c:pt idx="1">
                  <c:v>% Level 2a</c:v>
                </c:pt>
                <c:pt idx="2">
                  <c:v>% Level 2b</c:v>
                </c:pt>
              </c:strCache>
            </c:strRef>
          </c:cat>
          <c:val>
            <c:numRef>
              <c:f>'Age profile'!$B$17:$D$17</c:f>
              <c:numCache>
                <c:formatCode>0%</c:formatCode>
                <c:ptCount val="3"/>
                <c:pt idx="0">
                  <c:v>0</c:v>
                </c:pt>
                <c:pt idx="1">
                  <c:v>1.1204481792717086E-3</c:v>
                </c:pt>
                <c:pt idx="2">
                  <c:v>1.3037180106228875E-2</c:v>
                </c:pt>
              </c:numCache>
            </c:numRef>
          </c:val>
        </c:ser>
        <c:ser>
          <c:idx val="13"/>
          <c:order val="13"/>
          <c:tx>
            <c:strRef>
              <c:f>'Age profile'!$A$18</c:f>
              <c:strCache>
                <c:ptCount val="1"/>
                <c:pt idx="0">
                  <c:v>21</c:v>
                </c:pt>
              </c:strCache>
            </c:strRef>
          </c:tx>
          <c:invertIfNegative val="0"/>
          <c:cat>
            <c:strRef>
              <c:f>'Age profile'!$B$4:$D$4</c:f>
              <c:strCache>
                <c:ptCount val="3"/>
                <c:pt idx="0">
                  <c:v>% Level 1</c:v>
                </c:pt>
                <c:pt idx="1">
                  <c:v>% Level 2a</c:v>
                </c:pt>
                <c:pt idx="2">
                  <c:v>% Level 2b</c:v>
                </c:pt>
              </c:strCache>
            </c:strRef>
          </c:cat>
          <c:val>
            <c:numRef>
              <c:f>'Age profile'!$B$18:$D$18</c:f>
              <c:numCache>
                <c:formatCode>0%</c:formatCode>
                <c:ptCount val="3"/>
                <c:pt idx="0">
                  <c:v>0</c:v>
                </c:pt>
                <c:pt idx="1">
                  <c:v>5.602240896358543E-4</c:v>
                </c:pt>
                <c:pt idx="2">
                  <c:v>1.4485755673587638E-3</c:v>
                </c:pt>
              </c:numCache>
            </c:numRef>
          </c:val>
        </c:ser>
        <c:ser>
          <c:idx val="14"/>
          <c:order val="14"/>
          <c:tx>
            <c:strRef>
              <c:f>'Age profile'!$A$19</c:f>
              <c:strCache>
                <c:ptCount val="1"/>
                <c:pt idx="0">
                  <c:v>22</c:v>
                </c:pt>
              </c:strCache>
            </c:strRef>
          </c:tx>
          <c:invertIfNegative val="0"/>
          <c:cat>
            <c:strRef>
              <c:f>'Age profile'!$B$4:$D$4</c:f>
              <c:strCache>
                <c:ptCount val="3"/>
                <c:pt idx="0">
                  <c:v>% Level 1</c:v>
                </c:pt>
                <c:pt idx="1">
                  <c:v>% Level 2a</c:v>
                </c:pt>
                <c:pt idx="2">
                  <c:v>% Level 2b</c:v>
                </c:pt>
              </c:strCache>
            </c:strRef>
          </c:cat>
          <c:val>
            <c:numRef>
              <c:f>'Age profile'!$B$19:$D$19</c:f>
              <c:numCache>
                <c:formatCode>0%</c:formatCode>
                <c:ptCount val="3"/>
                <c:pt idx="0">
                  <c:v>0</c:v>
                </c:pt>
                <c:pt idx="1">
                  <c:v>2.2408963585434172E-3</c:v>
                </c:pt>
                <c:pt idx="2">
                  <c:v>1.9314340898116851E-3</c:v>
                </c:pt>
              </c:numCache>
            </c:numRef>
          </c:val>
        </c:ser>
        <c:ser>
          <c:idx val="15"/>
          <c:order val="15"/>
          <c:tx>
            <c:strRef>
              <c:f>'Age profile'!$A$20</c:f>
              <c:strCache>
                <c:ptCount val="1"/>
                <c:pt idx="0">
                  <c:v>23</c:v>
                </c:pt>
              </c:strCache>
            </c:strRef>
          </c:tx>
          <c:invertIfNegative val="0"/>
          <c:cat>
            <c:strRef>
              <c:f>'Age profile'!$B$4:$D$4</c:f>
              <c:strCache>
                <c:ptCount val="3"/>
                <c:pt idx="0">
                  <c:v>% Level 1</c:v>
                </c:pt>
                <c:pt idx="1">
                  <c:v>% Level 2a</c:v>
                </c:pt>
                <c:pt idx="2">
                  <c:v>% Level 2b</c:v>
                </c:pt>
              </c:strCache>
            </c:strRef>
          </c:cat>
          <c:val>
            <c:numRef>
              <c:f>'Age profile'!$B$20:$D$20</c:f>
              <c:numCache>
                <c:formatCode>0%</c:formatCode>
                <c:ptCount val="3"/>
                <c:pt idx="0">
                  <c:v>0</c:v>
                </c:pt>
                <c:pt idx="1">
                  <c:v>0</c:v>
                </c:pt>
                <c:pt idx="2">
                  <c:v>0</c:v>
                </c:pt>
              </c:numCache>
            </c:numRef>
          </c:val>
        </c:ser>
        <c:ser>
          <c:idx val="16"/>
          <c:order val="16"/>
          <c:tx>
            <c:strRef>
              <c:f>'Age profile'!$A$21</c:f>
              <c:strCache>
                <c:ptCount val="1"/>
                <c:pt idx="0">
                  <c:v>24</c:v>
                </c:pt>
              </c:strCache>
            </c:strRef>
          </c:tx>
          <c:invertIfNegative val="0"/>
          <c:cat>
            <c:strRef>
              <c:f>'Age profile'!$B$4:$D$4</c:f>
              <c:strCache>
                <c:ptCount val="3"/>
                <c:pt idx="0">
                  <c:v>% Level 1</c:v>
                </c:pt>
                <c:pt idx="1">
                  <c:v>% Level 2a</c:v>
                </c:pt>
                <c:pt idx="2">
                  <c:v>% Level 2b</c:v>
                </c:pt>
              </c:strCache>
            </c:strRef>
          </c:cat>
          <c:val>
            <c:numRef>
              <c:f>'Age profile'!$B$21:$D$21</c:f>
              <c:numCache>
                <c:formatCode>0%</c:formatCode>
                <c:ptCount val="3"/>
                <c:pt idx="0">
                  <c:v>0</c:v>
                </c:pt>
                <c:pt idx="1">
                  <c:v>5.602240896358543E-4</c:v>
                </c:pt>
                <c:pt idx="2">
                  <c:v>0</c:v>
                </c:pt>
              </c:numCache>
            </c:numRef>
          </c:val>
        </c:ser>
        <c:ser>
          <c:idx val="17"/>
          <c:order val="17"/>
          <c:tx>
            <c:strRef>
              <c:f>'Age profile'!$A$22</c:f>
              <c:strCache>
                <c:ptCount val="1"/>
                <c:pt idx="0">
                  <c:v>25</c:v>
                </c:pt>
              </c:strCache>
            </c:strRef>
          </c:tx>
          <c:invertIfNegative val="0"/>
          <c:cat>
            <c:strRef>
              <c:f>'Age profile'!$B$4:$D$4</c:f>
              <c:strCache>
                <c:ptCount val="3"/>
                <c:pt idx="0">
                  <c:v>% Level 1</c:v>
                </c:pt>
                <c:pt idx="1">
                  <c:v>% Level 2a</c:v>
                </c:pt>
                <c:pt idx="2">
                  <c:v>% Level 2b</c:v>
                </c:pt>
              </c:strCache>
            </c:strRef>
          </c:cat>
          <c:val>
            <c:numRef>
              <c:f>'Age profile'!$B$22:$D$22</c:f>
              <c:numCache>
                <c:formatCode>0%</c:formatCode>
                <c:ptCount val="3"/>
                <c:pt idx="0">
                  <c:v>0</c:v>
                </c:pt>
                <c:pt idx="1">
                  <c:v>0</c:v>
                </c:pt>
                <c:pt idx="2">
                  <c:v>0</c:v>
                </c:pt>
              </c:numCache>
            </c:numRef>
          </c:val>
        </c:ser>
        <c:dLbls>
          <c:showLegendKey val="0"/>
          <c:showVal val="0"/>
          <c:showCatName val="0"/>
          <c:showSerName val="0"/>
          <c:showPercent val="0"/>
          <c:showBubbleSize val="0"/>
        </c:dLbls>
        <c:gapWidth val="55"/>
        <c:axId val="184152448"/>
        <c:axId val="184154752"/>
      </c:barChart>
      <c:catAx>
        <c:axId val="184152448"/>
        <c:scaling>
          <c:orientation val="minMax"/>
        </c:scaling>
        <c:delete val="0"/>
        <c:axPos val="b"/>
        <c:numFmt formatCode="General" sourceLinked="1"/>
        <c:majorTickMark val="none"/>
        <c:minorTickMark val="none"/>
        <c:tickLblPos val="nextTo"/>
        <c:crossAx val="184154752"/>
        <c:crosses val="autoZero"/>
        <c:auto val="1"/>
        <c:lblAlgn val="ctr"/>
        <c:lblOffset val="100"/>
        <c:noMultiLvlLbl val="0"/>
      </c:catAx>
      <c:valAx>
        <c:axId val="184154752"/>
        <c:scaling>
          <c:orientation val="minMax"/>
        </c:scaling>
        <c:delete val="0"/>
        <c:axPos val="l"/>
        <c:majorGridlines/>
        <c:numFmt formatCode="0%" sourceLinked="1"/>
        <c:majorTickMark val="none"/>
        <c:minorTickMark val="none"/>
        <c:tickLblPos val="nextTo"/>
        <c:crossAx val="18415244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AU" sz="1400"/>
              <a:t>National - Age profile by Connection Level</a:t>
            </a:r>
          </a:p>
        </c:rich>
      </c:tx>
      <c:layout/>
      <c:overlay val="0"/>
    </c:title>
    <c:autoTitleDeleted val="0"/>
    <c:plotArea>
      <c:layout/>
      <c:barChart>
        <c:barDir val="col"/>
        <c:grouping val="clustered"/>
        <c:varyColors val="0"/>
        <c:ser>
          <c:idx val="0"/>
          <c:order val="0"/>
          <c:tx>
            <c:strRef>
              <c:f>'Age profile'!$A$28</c:f>
              <c:strCache>
                <c:ptCount val="1"/>
                <c:pt idx="0">
                  <c:v>8</c:v>
                </c:pt>
              </c:strCache>
            </c:strRef>
          </c:tx>
          <c:invertIfNegative val="0"/>
          <c:cat>
            <c:strRef>
              <c:f>'Age profile'!$B$27:$D$27</c:f>
              <c:strCache>
                <c:ptCount val="3"/>
                <c:pt idx="0">
                  <c:v>% Level 1</c:v>
                </c:pt>
                <c:pt idx="1">
                  <c:v>% Level 2a</c:v>
                </c:pt>
                <c:pt idx="2">
                  <c:v>% Level 2b</c:v>
                </c:pt>
              </c:strCache>
            </c:strRef>
          </c:cat>
          <c:val>
            <c:numRef>
              <c:f>'Age profile'!$B$28:$D$28</c:f>
              <c:numCache>
                <c:formatCode>0%</c:formatCode>
                <c:ptCount val="3"/>
                <c:pt idx="0">
                  <c:v>8.2143308479716917E-4</c:v>
                </c:pt>
                <c:pt idx="1">
                  <c:v>9.466559378993705E-5</c:v>
                </c:pt>
                <c:pt idx="2">
                  <c:v>8.5113626691633331E-5</c:v>
                </c:pt>
              </c:numCache>
            </c:numRef>
          </c:val>
        </c:ser>
        <c:ser>
          <c:idx val="1"/>
          <c:order val="1"/>
          <c:tx>
            <c:strRef>
              <c:f>'Age profile'!$A$29</c:f>
              <c:strCache>
                <c:ptCount val="1"/>
                <c:pt idx="0">
                  <c:v>9</c:v>
                </c:pt>
              </c:strCache>
            </c:strRef>
          </c:tx>
          <c:invertIfNegative val="0"/>
          <c:cat>
            <c:strRef>
              <c:f>'Age profile'!$B$27:$D$27</c:f>
              <c:strCache>
                <c:ptCount val="3"/>
                <c:pt idx="0">
                  <c:v>% Level 1</c:v>
                </c:pt>
                <c:pt idx="1">
                  <c:v>% Level 2a</c:v>
                </c:pt>
                <c:pt idx="2">
                  <c:v>% Level 2b</c:v>
                </c:pt>
              </c:strCache>
            </c:strRef>
          </c:cat>
          <c:val>
            <c:numRef>
              <c:f>'Age profile'!$B$29:$D$29</c:f>
              <c:numCache>
                <c:formatCode>0%</c:formatCode>
                <c:ptCount val="3"/>
                <c:pt idx="0">
                  <c:v>3.34891949955769E-3</c:v>
                </c:pt>
                <c:pt idx="1">
                  <c:v>4.7332796894968525E-4</c:v>
                </c:pt>
                <c:pt idx="2">
                  <c:v>1.2767044003745E-4</c:v>
                </c:pt>
              </c:numCache>
            </c:numRef>
          </c:val>
        </c:ser>
        <c:ser>
          <c:idx val="2"/>
          <c:order val="2"/>
          <c:tx>
            <c:strRef>
              <c:f>'Age profile'!$A$30</c:f>
              <c:strCache>
                <c:ptCount val="1"/>
                <c:pt idx="0">
                  <c:v>10</c:v>
                </c:pt>
              </c:strCache>
            </c:strRef>
          </c:tx>
          <c:invertIfNegative val="0"/>
          <c:cat>
            <c:strRef>
              <c:f>'Age profile'!$B$27:$D$27</c:f>
              <c:strCache>
                <c:ptCount val="3"/>
                <c:pt idx="0">
                  <c:v>% Level 1</c:v>
                </c:pt>
                <c:pt idx="1">
                  <c:v>% Level 2a</c:v>
                </c:pt>
                <c:pt idx="2">
                  <c:v>% Level 2b</c:v>
                </c:pt>
              </c:strCache>
            </c:strRef>
          </c:cat>
          <c:val>
            <c:numRef>
              <c:f>'Age profile'!$B$30:$D$30</c:f>
              <c:numCache>
                <c:formatCode>0%</c:formatCode>
                <c:ptCount val="3"/>
                <c:pt idx="0">
                  <c:v>1.5038544167825098E-2</c:v>
                </c:pt>
                <c:pt idx="1">
                  <c:v>3.3132957826477968E-3</c:v>
                </c:pt>
                <c:pt idx="2">
                  <c:v>5.5323857349561661E-4</c:v>
                </c:pt>
              </c:numCache>
            </c:numRef>
          </c:val>
        </c:ser>
        <c:ser>
          <c:idx val="3"/>
          <c:order val="3"/>
          <c:tx>
            <c:strRef>
              <c:f>'Age profile'!$A$31</c:f>
              <c:strCache>
                <c:ptCount val="1"/>
                <c:pt idx="0">
                  <c:v>11</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strRef>
              <c:f>'Age profile'!$B$27:$D$27</c:f>
              <c:strCache>
                <c:ptCount val="3"/>
                <c:pt idx="0">
                  <c:v>% Level 1</c:v>
                </c:pt>
                <c:pt idx="1">
                  <c:v>% Level 2a</c:v>
                </c:pt>
                <c:pt idx="2">
                  <c:v>% Level 2b</c:v>
                </c:pt>
              </c:strCache>
            </c:strRef>
          </c:cat>
          <c:val>
            <c:numRef>
              <c:f>'Age profile'!$B$31:$D$31</c:f>
              <c:numCache>
                <c:formatCode>0%</c:formatCode>
                <c:ptCount val="3"/>
                <c:pt idx="0">
                  <c:v>4.7200808795652721E-2</c:v>
                </c:pt>
                <c:pt idx="1">
                  <c:v>1.1265205661002508E-2</c:v>
                </c:pt>
                <c:pt idx="2">
                  <c:v>1.8299429738701167E-3</c:v>
                </c:pt>
              </c:numCache>
            </c:numRef>
          </c:val>
        </c:ser>
        <c:ser>
          <c:idx val="4"/>
          <c:order val="4"/>
          <c:tx>
            <c:strRef>
              <c:f>'Age profile'!$A$32</c:f>
              <c:strCache>
                <c:ptCount val="1"/>
                <c:pt idx="0">
                  <c:v>12</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profile'!$B$32:$D$32</c:f>
              <c:numCache>
                <c:formatCode>0%</c:formatCode>
                <c:ptCount val="3"/>
                <c:pt idx="0">
                  <c:v>7.563503096170858E-2</c:v>
                </c:pt>
                <c:pt idx="1">
                  <c:v>3.0671652387939605E-2</c:v>
                </c:pt>
                <c:pt idx="2">
                  <c:v>6.9367605753681161E-3</c:v>
                </c:pt>
              </c:numCache>
            </c:numRef>
          </c:val>
        </c:ser>
        <c:ser>
          <c:idx val="5"/>
          <c:order val="5"/>
          <c:tx>
            <c:strRef>
              <c:f>'Age profile'!$A$33</c:f>
              <c:strCache>
                <c:ptCount val="1"/>
                <c:pt idx="0">
                  <c:v>13</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profile'!$B$33:$D$33</c:f>
              <c:numCache>
                <c:formatCode>0%</c:formatCode>
                <c:ptCount val="3"/>
                <c:pt idx="0">
                  <c:v>0.1558827246303551</c:v>
                </c:pt>
                <c:pt idx="1">
                  <c:v>9.42869314147773E-2</c:v>
                </c:pt>
                <c:pt idx="2">
                  <c:v>3.0640905608987998E-2</c:v>
                </c:pt>
              </c:numCache>
            </c:numRef>
          </c:val>
        </c:ser>
        <c:ser>
          <c:idx val="6"/>
          <c:order val="6"/>
          <c:tx>
            <c:strRef>
              <c:f>'Age profile'!$A$34</c:f>
              <c:strCache>
                <c:ptCount val="1"/>
                <c:pt idx="0">
                  <c:v>14</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profile'!$B$34:$D$34</c:f>
              <c:numCache>
                <c:formatCode>0%</c:formatCode>
                <c:ptCount val="3"/>
                <c:pt idx="0">
                  <c:v>0.24156451409073676</c:v>
                </c:pt>
                <c:pt idx="1">
                  <c:v>0.21919818242059924</c:v>
                </c:pt>
                <c:pt idx="2">
                  <c:v>9.0901353306664393E-2</c:v>
                </c:pt>
              </c:numCache>
            </c:numRef>
          </c:val>
        </c:ser>
        <c:ser>
          <c:idx val="7"/>
          <c:order val="7"/>
          <c:tx>
            <c:strRef>
              <c:f>'Age profile'!$A$35</c:f>
              <c:strCache>
                <c:ptCount val="1"/>
                <c:pt idx="0">
                  <c:v>15</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profile'!$B$35:$D$35</c:f>
              <c:numCache>
                <c:formatCode>0%</c:formatCode>
                <c:ptCount val="3"/>
                <c:pt idx="0">
                  <c:v>0.24327056742070011</c:v>
                </c:pt>
                <c:pt idx="1">
                  <c:v>0.28546409807355516</c:v>
                </c:pt>
                <c:pt idx="2">
                  <c:v>0.16495020852838541</c:v>
                </c:pt>
              </c:numCache>
            </c:numRef>
          </c:val>
        </c:ser>
        <c:ser>
          <c:idx val="8"/>
          <c:order val="8"/>
          <c:tx>
            <c:strRef>
              <c:f>'Age profile'!$A$36</c:f>
              <c:strCache>
                <c:ptCount val="1"/>
                <c:pt idx="0">
                  <c:v>16</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profile'!$B$36:$D$36</c:f>
              <c:numCache>
                <c:formatCode>0%</c:formatCode>
                <c:ptCount val="3"/>
                <c:pt idx="0">
                  <c:v>0.13578920763300897</c:v>
                </c:pt>
                <c:pt idx="1">
                  <c:v>0.20859563591612629</c:v>
                </c:pt>
                <c:pt idx="2">
                  <c:v>0.26240531109030557</c:v>
                </c:pt>
              </c:numCache>
            </c:numRef>
          </c:val>
        </c:ser>
        <c:ser>
          <c:idx val="9"/>
          <c:order val="9"/>
          <c:tx>
            <c:strRef>
              <c:f>'Age profile'!$A$37</c:f>
              <c:strCache>
                <c:ptCount val="1"/>
                <c:pt idx="0">
                  <c:v>17</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profile'!$B$37:$D$37</c:f>
              <c:numCache>
                <c:formatCode>0%</c:formatCode>
                <c:ptCount val="3"/>
                <c:pt idx="0">
                  <c:v>6.1101984076835585E-2</c:v>
                </c:pt>
                <c:pt idx="1">
                  <c:v>0.10479481232546031</c:v>
                </c:pt>
                <c:pt idx="2">
                  <c:v>0.23533917780236616</c:v>
                </c:pt>
              </c:numCache>
            </c:numRef>
          </c:val>
        </c:ser>
        <c:ser>
          <c:idx val="10"/>
          <c:order val="10"/>
          <c:tx>
            <c:strRef>
              <c:f>'Age profile'!$A$38</c:f>
              <c:strCache>
                <c:ptCount val="1"/>
                <c:pt idx="0">
                  <c:v>18</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profile'!$B$38:$D$38</c:f>
              <c:numCache>
                <c:formatCode>0%</c:formatCode>
                <c:ptCount val="3"/>
                <c:pt idx="0">
                  <c:v>1.5354479969670163E-2</c:v>
                </c:pt>
                <c:pt idx="1">
                  <c:v>3.0387655606569794E-2</c:v>
                </c:pt>
                <c:pt idx="2">
                  <c:v>0.12941526938462847</c:v>
                </c:pt>
              </c:numCache>
            </c:numRef>
          </c:val>
        </c:ser>
        <c:ser>
          <c:idx val="11"/>
          <c:order val="11"/>
          <c:tx>
            <c:strRef>
              <c:f>'Age profile'!$A$39</c:f>
              <c:strCache>
                <c:ptCount val="1"/>
                <c:pt idx="0">
                  <c:v>19</c:v>
                </c:pt>
              </c:strCache>
            </c:strRef>
          </c:tx>
          <c:invertIfNegative val="0"/>
          <c:dLbls>
            <c:dLbl>
              <c:idx val="2"/>
              <c:layout/>
              <c:showLegendKey val="0"/>
              <c:showVal val="1"/>
              <c:showCatName val="0"/>
              <c:showSerName val="0"/>
              <c:showPercent val="0"/>
              <c:showBubbleSize val="0"/>
            </c:dLbl>
            <c:showLegendKey val="0"/>
            <c:showVal val="0"/>
            <c:showCatName val="0"/>
            <c:showSerName val="0"/>
            <c:showPercent val="0"/>
            <c:showBubbleSize val="0"/>
          </c:dLbls>
          <c:cat>
            <c:strRef>
              <c:f>'Age profile'!$B$27:$D$27</c:f>
              <c:strCache>
                <c:ptCount val="3"/>
                <c:pt idx="0">
                  <c:v>% Level 1</c:v>
                </c:pt>
                <c:pt idx="1">
                  <c:v>% Level 2a</c:v>
                </c:pt>
                <c:pt idx="2">
                  <c:v>% Level 2b</c:v>
                </c:pt>
              </c:strCache>
            </c:strRef>
          </c:cat>
          <c:val>
            <c:numRef>
              <c:f>'Age profile'!$B$39:$D$39</c:f>
              <c:numCache>
                <c:formatCode>0%</c:formatCode>
                <c:ptCount val="3"/>
                <c:pt idx="0">
                  <c:v>3.8544167825097942E-3</c:v>
                </c:pt>
                <c:pt idx="1">
                  <c:v>8.6619018317792406E-3</c:v>
                </c:pt>
                <c:pt idx="2">
                  <c:v>6.1494595284705078E-2</c:v>
                </c:pt>
              </c:numCache>
            </c:numRef>
          </c:val>
        </c:ser>
        <c:ser>
          <c:idx val="12"/>
          <c:order val="12"/>
          <c:tx>
            <c:strRef>
              <c:f>'Age profile'!$A$40</c:f>
              <c:strCache>
                <c:ptCount val="1"/>
                <c:pt idx="0">
                  <c:v>20</c:v>
                </c:pt>
              </c:strCache>
            </c:strRef>
          </c:tx>
          <c:invertIfNegative val="0"/>
          <c:cat>
            <c:strRef>
              <c:f>'Age profile'!$B$27:$D$27</c:f>
              <c:strCache>
                <c:ptCount val="3"/>
                <c:pt idx="0">
                  <c:v>% Level 1</c:v>
                </c:pt>
                <c:pt idx="1">
                  <c:v>% Level 2a</c:v>
                </c:pt>
                <c:pt idx="2">
                  <c:v>% Level 2b</c:v>
                </c:pt>
              </c:strCache>
            </c:strRef>
          </c:cat>
          <c:val>
            <c:numRef>
              <c:f>'Age profile'!$B$40:$D$40</c:f>
              <c:numCache>
                <c:formatCode>0%</c:formatCode>
                <c:ptCount val="3"/>
                <c:pt idx="0">
                  <c:v>9.4780740553519521E-4</c:v>
                </c:pt>
                <c:pt idx="1">
                  <c:v>1.893311875798741E-3</c:v>
                </c:pt>
                <c:pt idx="2">
                  <c:v>1.1873350923482849E-2</c:v>
                </c:pt>
              </c:numCache>
            </c:numRef>
          </c:val>
        </c:ser>
        <c:ser>
          <c:idx val="13"/>
          <c:order val="13"/>
          <c:tx>
            <c:strRef>
              <c:f>'Age profile'!$A$41</c:f>
              <c:strCache>
                <c:ptCount val="1"/>
                <c:pt idx="0">
                  <c:v>21</c:v>
                </c:pt>
              </c:strCache>
            </c:strRef>
          </c:tx>
          <c:invertIfNegative val="0"/>
          <c:cat>
            <c:strRef>
              <c:f>'Age profile'!$B$27:$D$27</c:f>
              <c:strCache>
                <c:ptCount val="3"/>
                <c:pt idx="0">
                  <c:v>% Level 1</c:v>
                </c:pt>
                <c:pt idx="1">
                  <c:v>% Level 2a</c:v>
                </c:pt>
                <c:pt idx="2">
                  <c:v>% Level 2b</c:v>
                </c:pt>
              </c:strCache>
            </c:strRef>
          </c:cat>
          <c:val>
            <c:numRef>
              <c:f>'Age profile'!$B$41:$D$41</c:f>
              <c:numCache>
                <c:formatCode>0%</c:formatCode>
                <c:ptCount val="3"/>
                <c:pt idx="0">
                  <c:v>6.3187160369013022E-5</c:v>
                </c:pt>
                <c:pt idx="1">
                  <c:v>4.7332796894968525E-4</c:v>
                </c:pt>
                <c:pt idx="2">
                  <c:v>2.0427270405992E-3</c:v>
                </c:pt>
              </c:numCache>
            </c:numRef>
          </c:val>
        </c:ser>
        <c:ser>
          <c:idx val="14"/>
          <c:order val="14"/>
          <c:tx>
            <c:strRef>
              <c:f>'Age profile'!$A$42</c:f>
              <c:strCache>
                <c:ptCount val="1"/>
                <c:pt idx="0">
                  <c:v>22</c:v>
                </c:pt>
              </c:strCache>
            </c:strRef>
          </c:tx>
          <c:invertIfNegative val="0"/>
          <c:cat>
            <c:strRef>
              <c:f>'Age profile'!$B$27:$D$27</c:f>
              <c:strCache>
                <c:ptCount val="3"/>
                <c:pt idx="0">
                  <c:v>% Level 1</c:v>
                </c:pt>
                <c:pt idx="1">
                  <c:v>% Level 2a</c:v>
                </c:pt>
                <c:pt idx="2">
                  <c:v>% Level 2b</c:v>
                </c:pt>
              </c:strCache>
            </c:strRef>
          </c:cat>
          <c:val>
            <c:numRef>
              <c:f>'Age profile'!$B$42:$D$42</c:f>
              <c:numCache>
                <c:formatCode>0%</c:formatCode>
                <c:ptCount val="3"/>
                <c:pt idx="0">
                  <c:v>6.3187160369013022E-5</c:v>
                </c:pt>
                <c:pt idx="1">
                  <c:v>2.8399678136981115E-4</c:v>
                </c:pt>
                <c:pt idx="2">
                  <c:v>8.5113626691633328E-4</c:v>
                </c:pt>
              </c:numCache>
            </c:numRef>
          </c:val>
        </c:ser>
        <c:ser>
          <c:idx val="15"/>
          <c:order val="15"/>
          <c:tx>
            <c:strRef>
              <c:f>'Age profile'!$A$43</c:f>
              <c:strCache>
                <c:ptCount val="1"/>
                <c:pt idx="0">
                  <c:v>23</c:v>
                </c:pt>
              </c:strCache>
            </c:strRef>
          </c:tx>
          <c:invertIfNegative val="0"/>
          <c:cat>
            <c:strRef>
              <c:f>'Age profile'!$B$27:$D$27</c:f>
              <c:strCache>
                <c:ptCount val="3"/>
                <c:pt idx="0">
                  <c:v>% Level 1</c:v>
                </c:pt>
                <c:pt idx="1">
                  <c:v>% Level 2a</c:v>
                </c:pt>
                <c:pt idx="2">
                  <c:v>% Level 2b</c:v>
                </c:pt>
              </c:strCache>
            </c:strRef>
          </c:cat>
          <c:val>
            <c:numRef>
              <c:f>'Age profile'!$B$43:$D$43</c:f>
              <c:numCache>
                <c:formatCode>0%</c:formatCode>
                <c:ptCount val="3"/>
                <c:pt idx="0">
                  <c:v>0</c:v>
                </c:pt>
                <c:pt idx="1">
                  <c:v>4.7332796894968525E-5</c:v>
                </c:pt>
                <c:pt idx="2">
                  <c:v>3.4045450676653332E-4</c:v>
                </c:pt>
              </c:numCache>
            </c:numRef>
          </c:val>
        </c:ser>
        <c:ser>
          <c:idx val="16"/>
          <c:order val="16"/>
          <c:tx>
            <c:strRef>
              <c:f>'Age profile'!$A$44</c:f>
              <c:strCache>
                <c:ptCount val="1"/>
                <c:pt idx="0">
                  <c:v>24</c:v>
                </c:pt>
              </c:strCache>
            </c:strRef>
          </c:tx>
          <c:invertIfNegative val="0"/>
          <c:cat>
            <c:strRef>
              <c:f>'Age profile'!$B$27:$D$27</c:f>
              <c:strCache>
                <c:ptCount val="3"/>
                <c:pt idx="0">
                  <c:v>% Level 1</c:v>
                </c:pt>
                <c:pt idx="1">
                  <c:v>% Level 2a</c:v>
                </c:pt>
                <c:pt idx="2">
                  <c:v>% Level 2b</c:v>
                </c:pt>
              </c:strCache>
            </c:strRef>
          </c:cat>
          <c:val>
            <c:numRef>
              <c:f>'Age profile'!$B$44:$D$44</c:f>
              <c:numCache>
                <c:formatCode>0%</c:formatCode>
                <c:ptCount val="3"/>
                <c:pt idx="0">
                  <c:v>0</c:v>
                </c:pt>
                <c:pt idx="1">
                  <c:v>4.7332796894968525E-5</c:v>
                </c:pt>
                <c:pt idx="2">
                  <c:v>8.5113626691633331E-5</c:v>
                </c:pt>
              </c:numCache>
            </c:numRef>
          </c:val>
        </c:ser>
        <c:ser>
          <c:idx val="17"/>
          <c:order val="17"/>
          <c:tx>
            <c:strRef>
              <c:f>'Age profile'!$A$45</c:f>
              <c:strCache>
                <c:ptCount val="1"/>
                <c:pt idx="0">
                  <c:v>25</c:v>
                </c:pt>
              </c:strCache>
            </c:strRef>
          </c:tx>
          <c:invertIfNegative val="0"/>
          <c:cat>
            <c:strRef>
              <c:f>'Age profile'!$B$27:$D$27</c:f>
              <c:strCache>
                <c:ptCount val="3"/>
                <c:pt idx="0">
                  <c:v>% Level 1</c:v>
                </c:pt>
                <c:pt idx="1">
                  <c:v>% Level 2a</c:v>
                </c:pt>
                <c:pt idx="2">
                  <c:v>% Level 2b</c:v>
                </c:pt>
              </c:strCache>
            </c:strRef>
          </c:cat>
          <c:val>
            <c:numRef>
              <c:f>'Age profile'!$B$45:$D$45</c:f>
              <c:numCache>
                <c:formatCode>0%</c:formatCode>
                <c:ptCount val="3"/>
                <c:pt idx="0">
                  <c:v>6.3187160369013022E-5</c:v>
                </c:pt>
                <c:pt idx="1">
                  <c:v>4.7332796894968525E-5</c:v>
                </c:pt>
                <c:pt idx="2">
                  <c:v>1.2767044003745E-4</c:v>
                </c:pt>
              </c:numCache>
            </c:numRef>
          </c:val>
        </c:ser>
        <c:dLbls>
          <c:showLegendKey val="0"/>
          <c:showVal val="0"/>
          <c:showCatName val="0"/>
          <c:showSerName val="0"/>
          <c:showPercent val="0"/>
          <c:showBubbleSize val="0"/>
        </c:dLbls>
        <c:gapWidth val="55"/>
        <c:axId val="234007552"/>
        <c:axId val="238392064"/>
      </c:barChart>
      <c:catAx>
        <c:axId val="234007552"/>
        <c:scaling>
          <c:orientation val="minMax"/>
        </c:scaling>
        <c:delete val="0"/>
        <c:axPos val="b"/>
        <c:majorTickMark val="none"/>
        <c:minorTickMark val="none"/>
        <c:tickLblPos val="nextTo"/>
        <c:crossAx val="238392064"/>
        <c:crosses val="autoZero"/>
        <c:auto val="1"/>
        <c:lblAlgn val="ctr"/>
        <c:lblOffset val="100"/>
        <c:noMultiLvlLbl val="0"/>
      </c:catAx>
      <c:valAx>
        <c:axId val="238392064"/>
        <c:scaling>
          <c:orientation val="minMax"/>
        </c:scaling>
        <c:delete val="0"/>
        <c:axPos val="l"/>
        <c:majorGridlines/>
        <c:numFmt formatCode="0%" sourceLinked="1"/>
        <c:majorTickMark val="none"/>
        <c:minorTickMark val="none"/>
        <c:tickLblPos val="nextTo"/>
        <c:crossAx val="23400755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 of Participants who have been identified as having a characteristic</a:t>
            </a:r>
          </a:p>
        </c:rich>
      </c:tx>
      <c:layout/>
      <c:overlay val="0"/>
    </c:title>
    <c:autoTitleDeleted val="0"/>
    <c:plotArea>
      <c:layout/>
      <c:barChart>
        <c:barDir val="bar"/>
        <c:grouping val="clustered"/>
        <c:varyColors val="0"/>
        <c:ser>
          <c:idx val="0"/>
          <c:order val="0"/>
          <c:tx>
            <c:strRef>
              <c:f>Characteristics!$B$2</c:f>
              <c:strCache>
                <c:ptCount val="1"/>
                <c:pt idx="0">
                  <c:v>% WA</c:v>
                </c:pt>
              </c:strCache>
            </c:strRef>
          </c:tx>
          <c:invertIfNegative val="0"/>
          <c:dLbls>
            <c:showLegendKey val="0"/>
            <c:showVal val="1"/>
            <c:showCatName val="0"/>
            <c:showSerName val="0"/>
            <c:showPercent val="0"/>
            <c:showBubbleSize val="0"/>
            <c:showLeaderLines val="0"/>
          </c:dLbls>
          <c:cat>
            <c:strRef>
              <c:f>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Characteristics!$B$3:$B$11</c:f>
              <c:numCache>
                <c:formatCode>0%</c:formatCode>
                <c:ptCount val="9"/>
                <c:pt idx="0">
                  <c:v>5.2502050861361775E-2</c:v>
                </c:pt>
                <c:pt idx="1">
                  <c:v>2.4774405250205085E-2</c:v>
                </c:pt>
                <c:pt idx="2">
                  <c:v>1.0500410172272354E-2</c:v>
                </c:pt>
                <c:pt idx="3">
                  <c:v>0.23675143560295325</c:v>
                </c:pt>
                <c:pt idx="4">
                  <c:v>1.8211648892534866E-2</c:v>
                </c:pt>
                <c:pt idx="5">
                  <c:v>0.21132075471698114</c:v>
                </c:pt>
                <c:pt idx="6">
                  <c:v>2.4610336341263331E-3</c:v>
                </c:pt>
                <c:pt idx="7">
                  <c:v>0.17128794093519278</c:v>
                </c:pt>
                <c:pt idx="8">
                  <c:v>2.461033634126333E-2</c:v>
                </c:pt>
              </c:numCache>
            </c:numRef>
          </c:val>
        </c:ser>
        <c:ser>
          <c:idx val="1"/>
          <c:order val="1"/>
          <c:tx>
            <c:strRef>
              <c:f>Characteristics!$C$2</c:f>
              <c:strCache>
                <c:ptCount val="1"/>
                <c:pt idx="0">
                  <c:v>% National</c:v>
                </c:pt>
              </c:strCache>
            </c:strRef>
          </c:tx>
          <c:invertIfNegative val="0"/>
          <c:dLbls>
            <c:showLegendKey val="0"/>
            <c:showVal val="1"/>
            <c:showCatName val="0"/>
            <c:showSerName val="0"/>
            <c:showPercent val="0"/>
            <c:showBubbleSize val="0"/>
            <c:showLeaderLines val="0"/>
          </c:dLbls>
          <c:cat>
            <c:strRef>
              <c:f>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Characteristics!$C$3:$C$11</c:f>
              <c:numCache>
                <c:formatCode>0%</c:formatCode>
                <c:ptCount val="9"/>
                <c:pt idx="0">
                  <c:v>6.7577282530553562E-2</c:v>
                </c:pt>
                <c:pt idx="1">
                  <c:v>4.3870459758310228E-2</c:v>
                </c:pt>
                <c:pt idx="2">
                  <c:v>1.5268220875697512E-2</c:v>
                </c:pt>
                <c:pt idx="3">
                  <c:v>0.18758344459279039</c:v>
                </c:pt>
                <c:pt idx="4">
                  <c:v>2.1310465235698881E-2</c:v>
                </c:pt>
                <c:pt idx="5">
                  <c:v>0.3151894834137825</c:v>
                </c:pt>
                <c:pt idx="6">
                  <c:v>6.0593611995481151E-3</c:v>
                </c:pt>
                <c:pt idx="7">
                  <c:v>0.21764061483687652</c:v>
                </c:pt>
                <c:pt idx="8">
                  <c:v>2.1070829482044435E-2</c:v>
                </c:pt>
              </c:numCache>
            </c:numRef>
          </c:val>
        </c:ser>
        <c:dLbls>
          <c:showLegendKey val="0"/>
          <c:showVal val="0"/>
          <c:showCatName val="0"/>
          <c:showSerName val="0"/>
          <c:showPercent val="0"/>
          <c:showBubbleSize val="0"/>
        </c:dLbls>
        <c:gapWidth val="150"/>
        <c:axId val="42371328"/>
        <c:axId val="42373120"/>
      </c:barChart>
      <c:catAx>
        <c:axId val="42371328"/>
        <c:scaling>
          <c:orientation val="maxMin"/>
        </c:scaling>
        <c:delete val="0"/>
        <c:axPos val="l"/>
        <c:majorTickMark val="none"/>
        <c:minorTickMark val="none"/>
        <c:tickLblPos val="nextTo"/>
        <c:crossAx val="42373120"/>
        <c:crosses val="autoZero"/>
        <c:auto val="1"/>
        <c:lblAlgn val="ctr"/>
        <c:lblOffset val="100"/>
        <c:noMultiLvlLbl val="0"/>
      </c:catAx>
      <c:valAx>
        <c:axId val="42373120"/>
        <c:scaling>
          <c:orientation val="minMax"/>
        </c:scaling>
        <c:delete val="0"/>
        <c:axPos val="t"/>
        <c:majorGridlines/>
        <c:numFmt formatCode="0%" sourceLinked="1"/>
        <c:majorTickMark val="none"/>
        <c:minorTickMark val="none"/>
        <c:tickLblPos val="nextTo"/>
        <c:crossAx val="4237132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AU" sz="1400"/>
              <a:t>% of participants who have been identified as having</a:t>
            </a:r>
            <a:r>
              <a:rPr lang="en-AU" sz="1400" baseline="0"/>
              <a:t> a barrier</a:t>
            </a:r>
            <a:endParaRPr lang="en-AU" sz="1400"/>
          </a:p>
        </c:rich>
      </c:tx>
      <c:layout/>
      <c:overlay val="0"/>
    </c:title>
    <c:autoTitleDeleted val="0"/>
    <c:plotArea>
      <c:layout/>
      <c:barChart>
        <c:barDir val="bar"/>
        <c:grouping val="clustered"/>
        <c:varyColors val="0"/>
        <c:ser>
          <c:idx val="0"/>
          <c:order val="0"/>
          <c:tx>
            <c:strRef>
              <c:f>Barriers!$T$2</c:f>
              <c:strCache>
                <c:ptCount val="1"/>
                <c:pt idx="0">
                  <c:v>WA</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Barriers!$T$3:$T$29</c:f>
              <c:numCache>
                <c:formatCode>0%</c:formatCode>
                <c:ptCount val="27"/>
                <c:pt idx="0">
                  <c:v>8.3839212469237076E-2</c:v>
                </c:pt>
                <c:pt idx="1">
                  <c:v>0.2088597210828548</c:v>
                </c:pt>
                <c:pt idx="2">
                  <c:v>0.22707136997538965</c:v>
                </c:pt>
                <c:pt idx="3">
                  <c:v>0.47891714520098444</c:v>
                </c:pt>
                <c:pt idx="4">
                  <c:v>0.2328137817883511</c:v>
                </c:pt>
                <c:pt idx="5">
                  <c:v>0.1553732567678425</c:v>
                </c:pt>
                <c:pt idx="6">
                  <c:v>0.13158326497128794</c:v>
                </c:pt>
                <c:pt idx="7">
                  <c:v>2.936833470057424E-2</c:v>
                </c:pt>
                <c:pt idx="8">
                  <c:v>4.3150123051681706E-2</c:v>
                </c:pt>
                <c:pt idx="9">
                  <c:v>0.21312551271534044</c:v>
                </c:pt>
                <c:pt idx="10">
                  <c:v>2.395406070549631E-2</c:v>
                </c:pt>
                <c:pt idx="11">
                  <c:v>3.0352748154224774E-2</c:v>
                </c:pt>
                <c:pt idx="12">
                  <c:v>3.0516817063166529E-2</c:v>
                </c:pt>
                <c:pt idx="13">
                  <c:v>0.25824446267432322</c:v>
                </c:pt>
                <c:pt idx="14">
                  <c:v>5.709598031173093E-2</c:v>
                </c:pt>
                <c:pt idx="15">
                  <c:v>0.41657095980311731</c:v>
                </c:pt>
                <c:pt idx="16">
                  <c:v>0.54175553732567683</c:v>
                </c:pt>
                <c:pt idx="17">
                  <c:v>8.3511074651353573E-2</c:v>
                </c:pt>
                <c:pt idx="18">
                  <c:v>8.4003281378178835E-2</c:v>
                </c:pt>
                <c:pt idx="19">
                  <c:v>3.4126333059885154E-2</c:v>
                </c:pt>
                <c:pt idx="20">
                  <c:v>3.6095159967186222E-2</c:v>
                </c:pt>
                <c:pt idx="21">
                  <c:v>1.1484823625922888E-3</c:v>
                </c:pt>
                <c:pt idx="22">
                  <c:v>0.34930270713699751</c:v>
                </c:pt>
                <c:pt idx="23">
                  <c:v>0.18310090237899918</c:v>
                </c:pt>
                <c:pt idx="24">
                  <c:v>0.1686628383921247</c:v>
                </c:pt>
                <c:pt idx="25">
                  <c:v>4.2657916324856443E-3</c:v>
                </c:pt>
                <c:pt idx="26">
                  <c:v>4.3478260869565216E-2</c:v>
                </c:pt>
              </c:numCache>
            </c:numRef>
          </c:val>
        </c:ser>
        <c:ser>
          <c:idx val="1"/>
          <c:order val="1"/>
          <c:tx>
            <c:strRef>
              <c:f>Barriers!$U$2</c:f>
              <c:strCache>
                <c:ptCount val="1"/>
                <c:pt idx="0">
                  <c:v>National</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Barriers!$U$3:$U$29</c:f>
              <c:numCache>
                <c:formatCode>0%</c:formatCode>
                <c:ptCount val="27"/>
                <c:pt idx="0">
                  <c:v>9.8531023147514038E-2</c:v>
                </c:pt>
                <c:pt idx="1">
                  <c:v>0.18502602383235173</c:v>
                </c:pt>
                <c:pt idx="2">
                  <c:v>0.30057526366251197</c:v>
                </c:pt>
                <c:pt idx="3">
                  <c:v>0.49931516230653333</c:v>
                </c:pt>
                <c:pt idx="4">
                  <c:v>0.2488357759211067</c:v>
                </c:pt>
                <c:pt idx="5">
                  <c:v>0.16204971921654568</c:v>
                </c:pt>
                <c:pt idx="6">
                  <c:v>9.7435282837967402E-2</c:v>
                </c:pt>
                <c:pt idx="7">
                  <c:v>4.5336255307492121E-2</c:v>
                </c:pt>
                <c:pt idx="8">
                  <c:v>4.929119298726202E-2</c:v>
                </c:pt>
                <c:pt idx="9">
                  <c:v>0.28294069305574576</c:v>
                </c:pt>
                <c:pt idx="10">
                  <c:v>1.1162854403506369E-2</c:v>
                </c:pt>
                <c:pt idx="11">
                  <c:v>4.5147924941788799E-2</c:v>
                </c:pt>
                <c:pt idx="12">
                  <c:v>2.9328174222709218E-2</c:v>
                </c:pt>
                <c:pt idx="13">
                  <c:v>0.27506505958087935</c:v>
                </c:pt>
                <c:pt idx="14">
                  <c:v>8.5125325297904397E-2</c:v>
                </c:pt>
                <c:pt idx="15">
                  <c:v>0.48945349952061362</c:v>
                </c:pt>
                <c:pt idx="16">
                  <c:v>0.55559169976715517</c:v>
                </c:pt>
                <c:pt idx="17">
                  <c:v>9.8839200109574032E-2</c:v>
                </c:pt>
                <c:pt idx="18">
                  <c:v>0.13672784550061634</c:v>
                </c:pt>
                <c:pt idx="19">
                  <c:v>3.6621695658129026E-2</c:v>
                </c:pt>
                <c:pt idx="20">
                  <c:v>3.5406108752225725E-2</c:v>
                </c:pt>
                <c:pt idx="21">
                  <c:v>7.5332146281331322E-4</c:v>
                </c:pt>
                <c:pt idx="22">
                  <c:v>0.41704903437885221</c:v>
                </c:pt>
                <c:pt idx="23">
                  <c:v>0.26823380358854954</c:v>
                </c:pt>
                <c:pt idx="24">
                  <c:v>0.1762772222983153</c:v>
                </c:pt>
                <c:pt idx="25">
                  <c:v>4.5884125462265441E-3</c:v>
                </c:pt>
                <c:pt idx="26">
                  <c:v>3.5543076290919053E-2</c:v>
                </c:pt>
              </c:numCache>
            </c:numRef>
          </c:val>
        </c:ser>
        <c:dLbls>
          <c:showLegendKey val="0"/>
          <c:showVal val="0"/>
          <c:showCatName val="0"/>
          <c:showSerName val="0"/>
          <c:showPercent val="0"/>
          <c:showBubbleSize val="0"/>
        </c:dLbls>
        <c:gapWidth val="150"/>
        <c:axId val="44050688"/>
        <c:axId val="44060672"/>
      </c:barChart>
      <c:catAx>
        <c:axId val="44050688"/>
        <c:scaling>
          <c:orientation val="maxMin"/>
        </c:scaling>
        <c:delete val="0"/>
        <c:axPos val="l"/>
        <c:majorTickMark val="none"/>
        <c:minorTickMark val="none"/>
        <c:tickLblPos val="nextTo"/>
        <c:crossAx val="44060672"/>
        <c:crosses val="autoZero"/>
        <c:auto val="1"/>
        <c:lblAlgn val="ctr"/>
        <c:lblOffset val="100"/>
        <c:noMultiLvlLbl val="0"/>
      </c:catAx>
      <c:valAx>
        <c:axId val="44060672"/>
        <c:scaling>
          <c:orientation val="minMax"/>
        </c:scaling>
        <c:delete val="0"/>
        <c:axPos val="t"/>
        <c:majorGridlines/>
        <c:numFmt formatCode="0%" sourceLinked="1"/>
        <c:majorTickMark val="none"/>
        <c:minorTickMark val="none"/>
        <c:tickLblPos val="nextTo"/>
        <c:crossAx val="4405068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AU"/>
              <a:t>WA Participant Barriers</a:t>
            </a:r>
          </a:p>
        </c:rich>
      </c:tx>
      <c:layout>
        <c:manualLayout>
          <c:xMode val="edge"/>
          <c:yMode val="edge"/>
          <c:x val="0.14255271749567888"/>
          <c:y val="1.2537428728851573E-2"/>
        </c:manualLayout>
      </c:layout>
      <c:overlay val="0"/>
    </c:title>
    <c:autoTitleDeleted val="0"/>
    <c:plotArea>
      <c:layout/>
      <c:barChart>
        <c:barDir val="col"/>
        <c:grouping val="percentStacked"/>
        <c:varyColors val="0"/>
        <c:ser>
          <c:idx val="0"/>
          <c:order val="0"/>
          <c:tx>
            <c:strRef>
              <c:f>Barriers!$A$3</c:f>
              <c:strCache>
                <c:ptCount val="1"/>
                <c:pt idx="0">
                  <c:v>Abuse/Domestic Violence issue</c:v>
                </c:pt>
              </c:strCache>
            </c:strRef>
          </c:tx>
          <c:invertIfNegative val="0"/>
          <c:cat>
            <c:strRef>
              <c:f>Barriers!$E$2:$G$2</c:f>
              <c:strCache>
                <c:ptCount val="3"/>
                <c:pt idx="0">
                  <c:v>Level 1</c:v>
                </c:pt>
                <c:pt idx="1">
                  <c:v>Level 2a</c:v>
                </c:pt>
                <c:pt idx="2">
                  <c:v>Level 2b</c:v>
                </c:pt>
              </c:strCache>
            </c:strRef>
          </c:cat>
          <c:val>
            <c:numRef>
              <c:f>Barriers!$E$3:$G$3</c:f>
              <c:numCache>
                <c:formatCode>0%</c:formatCode>
                <c:ptCount val="3"/>
                <c:pt idx="0">
                  <c:v>5.7353543629659977E-2</c:v>
                </c:pt>
                <c:pt idx="1">
                  <c:v>9.4624860022396423E-2</c:v>
                </c:pt>
                <c:pt idx="2">
                  <c:v>0.10478029937228392</c:v>
                </c:pt>
              </c:numCache>
            </c:numRef>
          </c:val>
        </c:ser>
        <c:ser>
          <c:idx val="1"/>
          <c:order val="1"/>
          <c:tx>
            <c:strRef>
              <c:f>Barriers!$A$4</c:f>
              <c:strCache>
                <c:ptCount val="1"/>
                <c:pt idx="0">
                  <c:v>Alcohol and/or drug misuse</c:v>
                </c:pt>
              </c:strCache>
            </c:strRef>
          </c:tx>
          <c:invertIfNegative val="0"/>
          <c:cat>
            <c:strRef>
              <c:f>Barriers!$E$2:$G$2</c:f>
              <c:strCache>
                <c:ptCount val="3"/>
                <c:pt idx="0">
                  <c:v>Level 1</c:v>
                </c:pt>
                <c:pt idx="1">
                  <c:v>Level 2a</c:v>
                </c:pt>
                <c:pt idx="2">
                  <c:v>Level 2b</c:v>
                </c:pt>
              </c:strCache>
            </c:strRef>
          </c:cat>
          <c:val>
            <c:numRef>
              <c:f>Barriers!$E$4:$G$4</c:f>
              <c:numCache>
                <c:formatCode>0%</c:formatCode>
                <c:ptCount val="3"/>
                <c:pt idx="0">
                  <c:v>0.10979106923392053</c:v>
                </c:pt>
                <c:pt idx="1">
                  <c:v>0.24244120940649497</c:v>
                </c:pt>
                <c:pt idx="2">
                  <c:v>0.30613230323515211</c:v>
                </c:pt>
              </c:numCache>
            </c:numRef>
          </c:val>
        </c:ser>
        <c:ser>
          <c:idx val="2"/>
          <c:order val="2"/>
          <c:tx>
            <c:strRef>
              <c:f>Barriers!$A$5</c:f>
              <c:strCache>
                <c:ptCount val="1"/>
                <c:pt idx="0">
                  <c:v>Anger management issues</c:v>
                </c:pt>
              </c:strCache>
            </c:strRef>
          </c:tx>
          <c:invertIfNegative val="0"/>
          <c:cat>
            <c:strRef>
              <c:f>Barriers!$E$2:$G$2</c:f>
              <c:strCache>
                <c:ptCount val="3"/>
                <c:pt idx="0">
                  <c:v>Level 1</c:v>
                </c:pt>
                <c:pt idx="1">
                  <c:v>Level 2a</c:v>
                </c:pt>
                <c:pt idx="2">
                  <c:v>Level 2b</c:v>
                </c:pt>
              </c:strCache>
            </c:strRef>
          </c:cat>
          <c:val>
            <c:numRef>
              <c:f>Barriers!$E$5:$G$5</c:f>
              <c:numCache>
                <c:formatCode>0%</c:formatCode>
                <c:ptCount val="3"/>
                <c:pt idx="0">
                  <c:v>0.22367882015567389</c:v>
                </c:pt>
                <c:pt idx="1">
                  <c:v>0.26539753639417696</c:v>
                </c:pt>
                <c:pt idx="2">
                  <c:v>0.20714630613230323</c:v>
                </c:pt>
              </c:numCache>
            </c:numRef>
          </c:val>
        </c:ser>
        <c:ser>
          <c:idx val="3"/>
          <c:order val="3"/>
          <c:tx>
            <c:strRef>
              <c:f>Barriers!$A$6</c:f>
              <c:strCache>
                <c:ptCount val="1"/>
                <c:pt idx="0">
                  <c:v>Behavioural problems</c:v>
                </c:pt>
              </c:strCache>
            </c:strRef>
          </c:tx>
          <c:invertIfNegative val="0"/>
          <c:cat>
            <c:strRef>
              <c:f>Barriers!$E$2:$G$2</c:f>
              <c:strCache>
                <c:ptCount val="3"/>
                <c:pt idx="0">
                  <c:v>Level 1</c:v>
                </c:pt>
                <c:pt idx="1">
                  <c:v>Level 2a</c:v>
                </c:pt>
                <c:pt idx="2">
                  <c:v>Level 2b</c:v>
                </c:pt>
              </c:strCache>
            </c:strRef>
          </c:cat>
          <c:val>
            <c:numRef>
              <c:f>Barriers!$E$6:$G$6</c:f>
              <c:numCache>
                <c:formatCode>0%</c:formatCode>
                <c:ptCount val="3"/>
                <c:pt idx="0">
                  <c:v>0.52970094223678821</c:v>
                </c:pt>
                <c:pt idx="1">
                  <c:v>0.5207166853303471</c:v>
                </c:pt>
                <c:pt idx="2">
                  <c:v>0.40028971511347178</c:v>
                </c:pt>
              </c:numCache>
            </c:numRef>
          </c:val>
        </c:ser>
        <c:ser>
          <c:idx val="4"/>
          <c:order val="4"/>
          <c:tx>
            <c:strRef>
              <c:f>Barriers!$A$7</c:f>
              <c:strCache>
                <c:ptCount val="1"/>
                <c:pt idx="0">
                  <c:v>Bullying</c:v>
                </c:pt>
              </c:strCache>
            </c:strRef>
          </c:tx>
          <c:invertIfNegative val="0"/>
          <c:cat>
            <c:strRef>
              <c:f>Barriers!$E$2:$G$2</c:f>
              <c:strCache>
                <c:ptCount val="3"/>
                <c:pt idx="0">
                  <c:v>Level 1</c:v>
                </c:pt>
                <c:pt idx="1">
                  <c:v>Level 2a</c:v>
                </c:pt>
                <c:pt idx="2">
                  <c:v>Level 2b</c:v>
                </c:pt>
              </c:strCache>
            </c:strRef>
          </c:cat>
          <c:val>
            <c:numRef>
              <c:f>Barriers!$E$7:$G$7</c:f>
              <c:numCache>
                <c:formatCode>0%</c:formatCode>
                <c:ptCount val="3"/>
                <c:pt idx="0">
                  <c:v>0.25112658746415406</c:v>
                </c:pt>
                <c:pt idx="1">
                  <c:v>0.23012318029115342</c:v>
                </c:pt>
                <c:pt idx="2">
                  <c:v>0.21390632544664415</c:v>
                </c:pt>
              </c:numCache>
            </c:numRef>
          </c:val>
        </c:ser>
        <c:ser>
          <c:idx val="5"/>
          <c:order val="5"/>
          <c:tx>
            <c:strRef>
              <c:f>Barriers!$A$8</c:f>
              <c:strCache>
                <c:ptCount val="1"/>
                <c:pt idx="0">
                  <c:v>Critical life event</c:v>
                </c:pt>
              </c:strCache>
            </c:strRef>
          </c:tx>
          <c:invertIfNegative val="0"/>
          <c:cat>
            <c:strRef>
              <c:f>Barriers!$E$2:$G$2</c:f>
              <c:strCache>
                <c:ptCount val="3"/>
                <c:pt idx="0">
                  <c:v>Level 1</c:v>
                </c:pt>
                <c:pt idx="1">
                  <c:v>Level 2a</c:v>
                </c:pt>
                <c:pt idx="2">
                  <c:v>Level 2b</c:v>
                </c:pt>
              </c:strCache>
            </c:strRef>
          </c:cat>
          <c:val>
            <c:numRef>
              <c:f>Barriers!$E$8:$G$8</c:f>
              <c:numCache>
                <c:formatCode>0%</c:formatCode>
                <c:ptCount val="3"/>
                <c:pt idx="0">
                  <c:v>0.12003277345350266</c:v>
                </c:pt>
                <c:pt idx="1">
                  <c:v>0.16461366181410975</c:v>
                </c:pt>
                <c:pt idx="2">
                  <c:v>0.18686624818928055</c:v>
                </c:pt>
              </c:numCache>
            </c:numRef>
          </c:val>
        </c:ser>
        <c:ser>
          <c:idx val="6"/>
          <c:order val="6"/>
          <c:tx>
            <c:strRef>
              <c:f>Barriers!$A$9</c:f>
              <c:strCache>
                <c:ptCount val="1"/>
                <c:pt idx="0">
                  <c:v>Current or previous Juvenile Justice Orders</c:v>
                </c:pt>
              </c:strCache>
            </c:strRef>
          </c:tx>
          <c:invertIfNegative val="0"/>
          <c:cat>
            <c:strRef>
              <c:f>Barriers!$E$2:$G$2</c:f>
              <c:strCache>
                <c:ptCount val="3"/>
                <c:pt idx="0">
                  <c:v>Level 1</c:v>
                </c:pt>
                <c:pt idx="1">
                  <c:v>Level 2a</c:v>
                </c:pt>
                <c:pt idx="2">
                  <c:v>Level 2b</c:v>
                </c:pt>
              </c:strCache>
            </c:strRef>
          </c:cat>
          <c:val>
            <c:numRef>
              <c:f>Barriers!$E$9:$G$9</c:f>
              <c:numCache>
                <c:formatCode>0%</c:formatCode>
                <c:ptCount val="3"/>
                <c:pt idx="0">
                  <c:v>4.7111839410077835E-2</c:v>
                </c:pt>
                <c:pt idx="1">
                  <c:v>0.14165733482642778</c:v>
                </c:pt>
                <c:pt idx="2">
                  <c:v>0.22356349589570257</c:v>
                </c:pt>
              </c:numCache>
            </c:numRef>
          </c:val>
        </c:ser>
        <c:ser>
          <c:idx val="7"/>
          <c:order val="7"/>
          <c:tx>
            <c:strRef>
              <c:f>Barriers!$A$10</c:f>
              <c:strCache>
                <c:ptCount val="1"/>
                <c:pt idx="0">
                  <c:v>Disability</c:v>
                </c:pt>
              </c:strCache>
            </c:strRef>
          </c:tx>
          <c:invertIfNegative val="0"/>
          <c:cat>
            <c:strRef>
              <c:f>Barriers!$E$2:$G$2</c:f>
              <c:strCache>
                <c:ptCount val="3"/>
                <c:pt idx="0">
                  <c:v>Level 1</c:v>
                </c:pt>
                <c:pt idx="1">
                  <c:v>Level 2a</c:v>
                </c:pt>
                <c:pt idx="2">
                  <c:v>Level 2b</c:v>
                </c:pt>
              </c:strCache>
            </c:strRef>
          </c:cat>
          <c:val>
            <c:numRef>
              <c:f>Barriers!$E$10:$G$10</c:f>
              <c:numCache>
                <c:formatCode>0%</c:formatCode>
                <c:ptCount val="3"/>
                <c:pt idx="0">
                  <c:v>2.5399426464563703E-2</c:v>
                </c:pt>
                <c:pt idx="1">
                  <c:v>2.9115341545352745E-2</c:v>
                </c:pt>
                <c:pt idx="2">
                  <c:v>3.2351521004345726E-2</c:v>
                </c:pt>
              </c:numCache>
            </c:numRef>
          </c:val>
        </c:ser>
        <c:ser>
          <c:idx val="8"/>
          <c:order val="8"/>
          <c:tx>
            <c:strRef>
              <c:f>Barriers!$A$11</c:f>
              <c:strCache>
                <c:ptCount val="1"/>
                <c:pt idx="0">
                  <c:v>Disconnection from cultural heritage</c:v>
                </c:pt>
              </c:strCache>
            </c:strRef>
          </c:tx>
          <c:invertIfNegative val="0"/>
          <c:cat>
            <c:strRef>
              <c:f>Barriers!$E$2:$G$2</c:f>
              <c:strCache>
                <c:ptCount val="3"/>
                <c:pt idx="0">
                  <c:v>Level 1</c:v>
                </c:pt>
                <c:pt idx="1">
                  <c:v>Level 2a</c:v>
                </c:pt>
                <c:pt idx="2">
                  <c:v>Level 2b</c:v>
                </c:pt>
              </c:strCache>
            </c:strRef>
          </c:cat>
          <c:val>
            <c:numRef>
              <c:f>Barriers!$E$11:$G$11</c:f>
              <c:numCache>
                <c:formatCode>0%</c:formatCode>
                <c:ptCount val="3"/>
                <c:pt idx="0">
                  <c:v>3.3183121671446131E-2</c:v>
                </c:pt>
                <c:pt idx="1">
                  <c:v>4.8152295632698766E-2</c:v>
                </c:pt>
                <c:pt idx="2">
                  <c:v>4.8768710767745048E-2</c:v>
                </c:pt>
              </c:numCache>
            </c:numRef>
          </c:val>
        </c:ser>
        <c:ser>
          <c:idx val="9"/>
          <c:order val="9"/>
          <c:tx>
            <c:strRef>
              <c:f>Barriers!$A$12</c:f>
              <c:strCache>
                <c:ptCount val="1"/>
                <c:pt idx="0">
                  <c:v>Financial distress</c:v>
                </c:pt>
              </c:strCache>
            </c:strRef>
          </c:tx>
          <c:invertIfNegative val="0"/>
          <c:cat>
            <c:strRef>
              <c:f>Barriers!$E$2:$G$2</c:f>
              <c:strCache>
                <c:ptCount val="3"/>
                <c:pt idx="0">
                  <c:v>Level 1</c:v>
                </c:pt>
                <c:pt idx="1">
                  <c:v>Level 2a</c:v>
                </c:pt>
                <c:pt idx="2">
                  <c:v>Level 2b</c:v>
                </c:pt>
              </c:strCache>
            </c:strRef>
          </c:cat>
          <c:val>
            <c:numRef>
              <c:f>Barriers!$E$12:$G$12</c:f>
              <c:numCache>
                <c:formatCode>0%</c:formatCode>
                <c:ptCount val="3"/>
                <c:pt idx="0">
                  <c:v>6.3088897992625972E-2</c:v>
                </c:pt>
                <c:pt idx="1">
                  <c:v>0.21444568868980962</c:v>
                </c:pt>
                <c:pt idx="2">
                  <c:v>0.38725253500724288</c:v>
                </c:pt>
              </c:numCache>
            </c:numRef>
          </c:val>
        </c:ser>
        <c:ser>
          <c:idx val="10"/>
          <c:order val="10"/>
          <c:tx>
            <c:strRef>
              <c:f>Barriers!$A$13</c:f>
              <c:strCache>
                <c:ptCount val="1"/>
                <c:pt idx="0">
                  <c:v>Gifted</c:v>
                </c:pt>
              </c:strCache>
            </c:strRef>
          </c:tx>
          <c:invertIfNegative val="0"/>
          <c:cat>
            <c:strRef>
              <c:f>Barriers!$E$2:$G$2</c:f>
              <c:strCache>
                <c:ptCount val="3"/>
                <c:pt idx="0">
                  <c:v>Level 1</c:v>
                </c:pt>
                <c:pt idx="1">
                  <c:v>Level 2a</c:v>
                </c:pt>
                <c:pt idx="2">
                  <c:v>Level 2b</c:v>
                </c:pt>
              </c:strCache>
            </c:strRef>
          </c:cat>
          <c:val>
            <c:numRef>
              <c:f>Barriers!$E$13:$G$13</c:f>
              <c:numCache>
                <c:formatCode>0%</c:formatCode>
                <c:ptCount val="3"/>
                <c:pt idx="0">
                  <c:v>2.2531749283080705E-2</c:v>
                </c:pt>
                <c:pt idx="1">
                  <c:v>2.1276595744680851E-2</c:v>
                </c:pt>
                <c:pt idx="2">
                  <c:v>2.7522935779816515E-2</c:v>
                </c:pt>
              </c:numCache>
            </c:numRef>
          </c:val>
        </c:ser>
        <c:ser>
          <c:idx val="11"/>
          <c:order val="11"/>
          <c:tx>
            <c:strRef>
              <c:f>Barriers!$A$14</c:f>
              <c:strCache>
                <c:ptCount val="1"/>
                <c:pt idx="0">
                  <c:v>Homelessness</c:v>
                </c:pt>
              </c:strCache>
            </c:strRef>
          </c:tx>
          <c:invertIfNegative val="0"/>
          <c:cat>
            <c:strRef>
              <c:f>Barriers!$E$2:$G$2</c:f>
              <c:strCache>
                <c:ptCount val="3"/>
                <c:pt idx="0">
                  <c:v>Level 1</c:v>
                </c:pt>
                <c:pt idx="1">
                  <c:v>Level 2a</c:v>
                </c:pt>
                <c:pt idx="2">
                  <c:v>Level 2b</c:v>
                </c:pt>
              </c:strCache>
            </c:strRef>
          </c:cat>
          <c:val>
            <c:numRef>
              <c:f>Barriers!$E$14:$G$14</c:f>
              <c:numCache>
                <c:formatCode>0%</c:formatCode>
                <c:ptCount val="3"/>
                <c:pt idx="0">
                  <c:v>6.1450225317492835E-3</c:v>
                </c:pt>
                <c:pt idx="1">
                  <c:v>2.5195968645016796E-2</c:v>
                </c:pt>
                <c:pt idx="2">
                  <c:v>6.1323032351521006E-2</c:v>
                </c:pt>
              </c:numCache>
            </c:numRef>
          </c:val>
        </c:ser>
        <c:ser>
          <c:idx val="12"/>
          <c:order val="12"/>
          <c:tx>
            <c:strRef>
              <c:f>Barriers!$A$15</c:f>
              <c:strCache>
                <c:ptCount val="1"/>
                <c:pt idx="0">
                  <c:v>In detention/previously in detention</c:v>
                </c:pt>
              </c:strCache>
            </c:strRef>
          </c:tx>
          <c:invertIfNegative val="0"/>
          <c:cat>
            <c:strRef>
              <c:f>Barriers!$E$2:$G$2</c:f>
              <c:strCache>
                <c:ptCount val="3"/>
                <c:pt idx="0">
                  <c:v>Level 1</c:v>
                </c:pt>
                <c:pt idx="1">
                  <c:v>Level 2a</c:v>
                </c:pt>
                <c:pt idx="2">
                  <c:v>Level 2b</c:v>
                </c:pt>
              </c:strCache>
            </c:strRef>
          </c:cat>
          <c:val>
            <c:numRef>
              <c:f>Barriers!$E$15:$G$15</c:f>
              <c:numCache>
                <c:formatCode>0%</c:formatCode>
                <c:ptCount val="3"/>
                <c:pt idx="0">
                  <c:v>9.8320360507988536E-3</c:v>
                </c:pt>
                <c:pt idx="1">
                  <c:v>1.8477043673012318E-2</c:v>
                </c:pt>
                <c:pt idx="2">
                  <c:v>6.3737324963785605E-2</c:v>
                </c:pt>
              </c:numCache>
            </c:numRef>
          </c:val>
        </c:ser>
        <c:ser>
          <c:idx val="13"/>
          <c:order val="13"/>
          <c:tx>
            <c:strRef>
              <c:f>Barriers!$A$16</c:f>
              <c:strCache>
                <c:ptCount val="1"/>
                <c:pt idx="0">
                  <c:v>Inadequate family support</c:v>
                </c:pt>
              </c:strCache>
            </c:strRef>
          </c:tx>
          <c:invertIfNegative val="0"/>
          <c:cat>
            <c:strRef>
              <c:f>Barriers!$E$2:$G$2</c:f>
              <c:strCache>
                <c:ptCount val="3"/>
                <c:pt idx="0">
                  <c:v>Level 1</c:v>
                </c:pt>
                <c:pt idx="1">
                  <c:v>Level 2a</c:v>
                </c:pt>
                <c:pt idx="2">
                  <c:v>Level 2b</c:v>
                </c:pt>
              </c:strCache>
            </c:strRef>
          </c:cat>
          <c:val>
            <c:numRef>
              <c:f>Barriers!$E$16:$G$16</c:f>
              <c:numCache>
                <c:formatCode>0%</c:formatCode>
                <c:ptCount val="3"/>
                <c:pt idx="0">
                  <c:v>0.13396149119213438</c:v>
                </c:pt>
                <c:pt idx="1">
                  <c:v>0.31298992161254197</c:v>
                </c:pt>
                <c:pt idx="2">
                  <c:v>0.36504104297440848</c:v>
                </c:pt>
              </c:numCache>
            </c:numRef>
          </c:val>
        </c:ser>
        <c:ser>
          <c:idx val="14"/>
          <c:order val="14"/>
          <c:tx>
            <c:strRef>
              <c:f>Barriers!$A$17</c:f>
              <c:strCache>
                <c:ptCount val="1"/>
                <c:pt idx="0">
                  <c:v>Learning Difficulty</c:v>
                </c:pt>
              </c:strCache>
            </c:strRef>
          </c:tx>
          <c:invertIfNegative val="0"/>
          <c:cat>
            <c:strRef>
              <c:f>Barriers!$E$2:$G$2</c:f>
              <c:strCache>
                <c:ptCount val="3"/>
                <c:pt idx="0">
                  <c:v>Level 1</c:v>
                </c:pt>
                <c:pt idx="1">
                  <c:v>Level 2a</c:v>
                </c:pt>
                <c:pt idx="2">
                  <c:v>Level 2b</c:v>
                </c:pt>
              </c:strCache>
            </c:strRef>
          </c:cat>
          <c:val>
            <c:numRef>
              <c:f>Barriers!$E$17:$G$17</c:f>
              <c:numCache>
                <c:formatCode>0%</c:formatCode>
                <c:ptCount val="3"/>
                <c:pt idx="0">
                  <c:v>5.0798852929127405E-2</c:v>
                </c:pt>
                <c:pt idx="1">
                  <c:v>5.5991041433370664E-2</c:v>
                </c:pt>
                <c:pt idx="2">
                  <c:v>6.1805890873973923E-2</c:v>
                </c:pt>
              </c:numCache>
            </c:numRef>
          </c:val>
        </c:ser>
        <c:ser>
          <c:idx val="15"/>
          <c:order val="15"/>
          <c:tx>
            <c:strRef>
              <c:f>Barriers!$A$18</c:f>
              <c:strCache>
                <c:ptCount val="1"/>
                <c:pt idx="0">
                  <c:v>Low literacy and/or numeracy</c:v>
                </c:pt>
              </c:strCache>
            </c:strRef>
          </c:tx>
          <c:invertIfNegative val="0"/>
          <c:cat>
            <c:strRef>
              <c:f>Barriers!$E$2:$G$2</c:f>
              <c:strCache>
                <c:ptCount val="3"/>
                <c:pt idx="0">
                  <c:v>Level 1</c:v>
                </c:pt>
                <c:pt idx="1">
                  <c:v>Level 2a</c:v>
                </c:pt>
                <c:pt idx="2">
                  <c:v>Level 2b</c:v>
                </c:pt>
              </c:strCache>
            </c:strRef>
          </c:cat>
          <c:val>
            <c:numRef>
              <c:f>Barriers!$E$18:$G$18</c:f>
              <c:numCache>
                <c:formatCode>0%</c:formatCode>
                <c:ptCount val="3"/>
                <c:pt idx="0">
                  <c:v>0.34043424825891028</c:v>
                </c:pt>
                <c:pt idx="1">
                  <c:v>0.4339305711086226</c:v>
                </c:pt>
                <c:pt idx="2">
                  <c:v>0.49975857073877356</c:v>
                </c:pt>
              </c:numCache>
            </c:numRef>
          </c:val>
        </c:ser>
        <c:ser>
          <c:idx val="16"/>
          <c:order val="16"/>
          <c:tx>
            <c:strRef>
              <c:f>Barriers!$A$19</c:f>
              <c:strCache>
                <c:ptCount val="1"/>
                <c:pt idx="0">
                  <c:v>Low Self Esteem</c:v>
                </c:pt>
              </c:strCache>
            </c:strRef>
          </c:tx>
          <c:invertIfNegative val="0"/>
          <c:cat>
            <c:strRef>
              <c:f>Barriers!$E$2:$G$2</c:f>
              <c:strCache>
                <c:ptCount val="3"/>
                <c:pt idx="0">
                  <c:v>Level 1</c:v>
                </c:pt>
                <c:pt idx="1">
                  <c:v>Level 2a</c:v>
                </c:pt>
                <c:pt idx="2">
                  <c:v>Level 2b</c:v>
                </c:pt>
              </c:strCache>
            </c:strRef>
          </c:cat>
          <c:val>
            <c:numRef>
              <c:f>Barriers!$E$19:$G$19</c:f>
              <c:numCache>
                <c:formatCode>0%</c:formatCode>
                <c:ptCount val="3"/>
                <c:pt idx="0">
                  <c:v>0.53174928308070468</c:v>
                </c:pt>
                <c:pt idx="1">
                  <c:v>0.55207166853303469</c:v>
                </c:pt>
                <c:pt idx="2">
                  <c:v>0.56446161274746498</c:v>
                </c:pt>
              </c:numCache>
            </c:numRef>
          </c:val>
        </c:ser>
        <c:ser>
          <c:idx val="17"/>
          <c:order val="17"/>
          <c:tx>
            <c:strRef>
              <c:f>Barriers!$A$20</c:f>
              <c:strCache>
                <c:ptCount val="1"/>
                <c:pt idx="0">
                  <c:v>Medical or other health issue</c:v>
                </c:pt>
              </c:strCache>
            </c:strRef>
          </c:tx>
          <c:invertIfNegative val="0"/>
          <c:cat>
            <c:strRef>
              <c:f>Barriers!$E$2:$G$2</c:f>
              <c:strCache>
                <c:ptCount val="3"/>
                <c:pt idx="0">
                  <c:v>Level 1</c:v>
                </c:pt>
                <c:pt idx="1">
                  <c:v>Level 2a</c:v>
                </c:pt>
                <c:pt idx="2">
                  <c:v>Level 2b</c:v>
                </c:pt>
              </c:strCache>
            </c:strRef>
          </c:cat>
          <c:val>
            <c:numRef>
              <c:f>Barriers!$E$20:$G$20</c:f>
              <c:numCache>
                <c:formatCode>0%</c:formatCode>
                <c:ptCount val="3"/>
                <c:pt idx="0">
                  <c:v>6.1450225317492828E-2</c:v>
                </c:pt>
                <c:pt idx="1">
                  <c:v>8.3986562150055996E-2</c:v>
                </c:pt>
                <c:pt idx="2">
                  <c:v>0.10719459198454853</c:v>
                </c:pt>
              </c:numCache>
            </c:numRef>
          </c:val>
        </c:ser>
        <c:ser>
          <c:idx val="18"/>
          <c:order val="18"/>
          <c:tx>
            <c:strRef>
              <c:f>Barriers!$A$21</c:f>
              <c:strCache>
                <c:ptCount val="1"/>
                <c:pt idx="0">
                  <c:v>Negative experience(s) with education and training</c:v>
                </c:pt>
              </c:strCache>
            </c:strRef>
          </c:tx>
          <c:invertIfNegative val="0"/>
          <c:cat>
            <c:strRef>
              <c:f>Barriers!$E$2:$G$2</c:f>
              <c:strCache>
                <c:ptCount val="3"/>
                <c:pt idx="0">
                  <c:v>Level 1</c:v>
                </c:pt>
                <c:pt idx="1">
                  <c:v>Level 2a</c:v>
                </c:pt>
                <c:pt idx="2">
                  <c:v>Level 2b</c:v>
                </c:pt>
              </c:strCache>
            </c:strRef>
          </c:cat>
          <c:val>
            <c:numRef>
              <c:f>Barriers!$E$21:$G$21</c:f>
              <c:numCache>
                <c:formatCode>0%</c:formatCode>
                <c:ptCount val="3"/>
                <c:pt idx="0">
                  <c:v>5.0798852929127405E-2</c:v>
                </c:pt>
                <c:pt idx="1">
                  <c:v>0.10078387458006718</c:v>
                </c:pt>
                <c:pt idx="2">
                  <c:v>0.10333172380492515</c:v>
                </c:pt>
              </c:numCache>
            </c:numRef>
          </c:val>
        </c:ser>
        <c:ser>
          <c:idx val="19"/>
          <c:order val="19"/>
          <c:tx>
            <c:strRef>
              <c:f>Barriers!$A$22</c:f>
              <c:strCache>
                <c:ptCount val="1"/>
                <c:pt idx="0">
                  <c:v>Out of home care</c:v>
                </c:pt>
              </c:strCache>
            </c:strRef>
          </c:tx>
          <c:invertIfNegative val="0"/>
          <c:cat>
            <c:strRef>
              <c:f>Barriers!$E$2:$G$2</c:f>
              <c:strCache>
                <c:ptCount val="3"/>
                <c:pt idx="0">
                  <c:v>Level 1</c:v>
                </c:pt>
                <c:pt idx="1">
                  <c:v>Level 2a</c:v>
                </c:pt>
                <c:pt idx="2">
                  <c:v>Level 2b</c:v>
                </c:pt>
              </c:strCache>
            </c:strRef>
          </c:cat>
          <c:val>
            <c:numRef>
              <c:f>Barriers!$E$22:$G$22</c:f>
              <c:numCache>
                <c:formatCode>0%</c:formatCode>
                <c:ptCount val="3"/>
                <c:pt idx="0">
                  <c:v>3.3183121671446131E-2</c:v>
                </c:pt>
                <c:pt idx="1">
                  <c:v>3.3594624860022397E-2</c:v>
                </c:pt>
                <c:pt idx="2">
                  <c:v>3.3800096571704491E-2</c:v>
                </c:pt>
              </c:numCache>
            </c:numRef>
          </c:val>
        </c:ser>
        <c:ser>
          <c:idx val="20"/>
          <c:order val="20"/>
          <c:tx>
            <c:strRef>
              <c:f>Barriers!$A$23</c:f>
              <c:strCache>
                <c:ptCount val="1"/>
                <c:pt idx="0">
                  <c:v>Parent/Pregnancy</c:v>
                </c:pt>
              </c:strCache>
            </c:strRef>
          </c:tx>
          <c:invertIfNegative val="0"/>
          <c:cat>
            <c:strRef>
              <c:f>Barriers!$E$2:$G$2</c:f>
              <c:strCache>
                <c:ptCount val="3"/>
                <c:pt idx="0">
                  <c:v>Level 1</c:v>
                </c:pt>
                <c:pt idx="1">
                  <c:v>Level 2a</c:v>
                </c:pt>
                <c:pt idx="2">
                  <c:v>Level 2b</c:v>
                </c:pt>
              </c:strCache>
            </c:strRef>
          </c:cat>
          <c:val>
            <c:numRef>
              <c:f>Barriers!$E$23:$G$23</c:f>
              <c:numCache>
                <c:formatCode>0%</c:formatCode>
                <c:ptCount val="3"/>
                <c:pt idx="0">
                  <c:v>7.7836952068824255E-3</c:v>
                </c:pt>
                <c:pt idx="1">
                  <c:v>2.6875699888017916E-2</c:v>
                </c:pt>
                <c:pt idx="2">
                  <c:v>7.7740222114920335E-2</c:v>
                </c:pt>
              </c:numCache>
            </c:numRef>
          </c:val>
        </c:ser>
        <c:ser>
          <c:idx val="21"/>
          <c:order val="21"/>
          <c:tx>
            <c:strRef>
              <c:f>Barriers!$A$24</c:f>
              <c:strCache>
                <c:ptCount val="1"/>
                <c:pt idx="0">
                  <c:v>Petrol sniffing</c:v>
                </c:pt>
              </c:strCache>
            </c:strRef>
          </c:tx>
          <c:invertIfNegative val="0"/>
          <c:cat>
            <c:strRef>
              <c:f>Barriers!$E$2:$G$2</c:f>
              <c:strCache>
                <c:ptCount val="3"/>
                <c:pt idx="0">
                  <c:v>Level 1</c:v>
                </c:pt>
                <c:pt idx="1">
                  <c:v>Level 2a</c:v>
                </c:pt>
                <c:pt idx="2">
                  <c:v>Level 2b</c:v>
                </c:pt>
              </c:strCache>
            </c:strRef>
          </c:cat>
          <c:val>
            <c:numRef>
              <c:f>Barriers!$E$24:$G$24</c:f>
              <c:numCache>
                <c:formatCode>0%</c:formatCode>
                <c:ptCount val="3"/>
                <c:pt idx="0">
                  <c:v>0</c:v>
                </c:pt>
                <c:pt idx="1">
                  <c:v>1.6797312430011197E-3</c:v>
                </c:pt>
                <c:pt idx="2">
                  <c:v>1.9314340898116851E-3</c:v>
                </c:pt>
              </c:numCache>
            </c:numRef>
          </c:val>
        </c:ser>
        <c:ser>
          <c:idx val="22"/>
          <c:order val="22"/>
          <c:tx>
            <c:strRef>
              <c:f>Barriers!$A$25</c:f>
              <c:strCache>
                <c:ptCount val="1"/>
                <c:pt idx="0">
                  <c:v>Socialisation issues</c:v>
                </c:pt>
              </c:strCache>
            </c:strRef>
          </c:tx>
          <c:invertIfNegative val="0"/>
          <c:cat>
            <c:strRef>
              <c:f>Barriers!$E$2:$G$2</c:f>
              <c:strCache>
                <c:ptCount val="3"/>
                <c:pt idx="0">
                  <c:v>Level 1</c:v>
                </c:pt>
                <c:pt idx="1">
                  <c:v>Level 2a</c:v>
                </c:pt>
                <c:pt idx="2">
                  <c:v>Level 2b</c:v>
                </c:pt>
              </c:strCache>
            </c:strRef>
          </c:cat>
          <c:val>
            <c:numRef>
              <c:f>Barriers!$E$25:$G$25</c:f>
              <c:numCache>
                <c:formatCode>0%</c:formatCode>
                <c:ptCount val="3"/>
                <c:pt idx="0">
                  <c:v>0.3490372798033593</c:v>
                </c:pt>
                <c:pt idx="1">
                  <c:v>0.34770436730123178</c:v>
                </c:pt>
                <c:pt idx="2">
                  <c:v>0.34958957025591503</c:v>
                </c:pt>
              </c:numCache>
            </c:numRef>
          </c:val>
        </c:ser>
        <c:ser>
          <c:idx val="23"/>
          <c:order val="23"/>
          <c:tx>
            <c:strRef>
              <c:f>Barriers!$A$26</c:f>
              <c:strCache>
                <c:ptCount val="1"/>
                <c:pt idx="0">
                  <c:v>Suspected or diagnosed mental health issue</c:v>
                </c:pt>
              </c:strCache>
            </c:strRef>
          </c:tx>
          <c:invertIfNegative val="0"/>
          <c:cat>
            <c:strRef>
              <c:f>Barriers!$E$2:$G$2</c:f>
              <c:strCache>
                <c:ptCount val="3"/>
                <c:pt idx="0">
                  <c:v>Level 1</c:v>
                </c:pt>
                <c:pt idx="1">
                  <c:v>Level 2a</c:v>
                </c:pt>
                <c:pt idx="2">
                  <c:v>Level 2b</c:v>
                </c:pt>
              </c:strCache>
            </c:strRef>
          </c:cat>
          <c:val>
            <c:numRef>
              <c:f>Barriers!$E$26:$G$26</c:f>
              <c:numCache>
                <c:formatCode>0%</c:formatCode>
                <c:ptCount val="3"/>
                <c:pt idx="0">
                  <c:v>9.6272019664072103E-2</c:v>
                </c:pt>
                <c:pt idx="1">
                  <c:v>0.22900335946248601</c:v>
                </c:pt>
                <c:pt idx="2">
                  <c:v>0.24674070497344278</c:v>
                </c:pt>
              </c:numCache>
            </c:numRef>
          </c:val>
        </c:ser>
        <c:ser>
          <c:idx val="24"/>
          <c:order val="24"/>
          <c:tx>
            <c:strRef>
              <c:f>Barriers!$A$27</c:f>
              <c:strCache>
                <c:ptCount val="1"/>
                <c:pt idx="0">
                  <c:v>Unstable living arrangements</c:v>
                </c:pt>
              </c:strCache>
            </c:strRef>
          </c:tx>
          <c:invertIfNegative val="0"/>
          <c:cat>
            <c:strRef>
              <c:f>Barriers!$E$2:$G$2</c:f>
              <c:strCache>
                <c:ptCount val="3"/>
                <c:pt idx="0">
                  <c:v>Level 1</c:v>
                </c:pt>
                <c:pt idx="1">
                  <c:v>Level 2a</c:v>
                </c:pt>
                <c:pt idx="2">
                  <c:v>Level 2b</c:v>
                </c:pt>
              </c:strCache>
            </c:strRef>
          </c:cat>
          <c:val>
            <c:numRef>
              <c:f>Barriers!$E$27:$G$27</c:f>
              <c:numCache>
                <c:formatCode>0%</c:formatCode>
                <c:ptCount val="3"/>
                <c:pt idx="0">
                  <c:v>6.7595247849242118E-2</c:v>
                </c:pt>
                <c:pt idx="1">
                  <c:v>0.177491601343785</c:v>
                </c:pt>
                <c:pt idx="2">
                  <c:v>0.28343795267986482</c:v>
                </c:pt>
              </c:numCache>
            </c:numRef>
          </c:val>
        </c:ser>
        <c:ser>
          <c:idx val="25"/>
          <c:order val="25"/>
          <c:tx>
            <c:strRef>
              <c:f>Barriers!$A$28</c:f>
              <c:strCache>
                <c:ptCount val="1"/>
                <c:pt idx="0">
                  <c:v>Volatile substance misuse</c:v>
                </c:pt>
              </c:strCache>
            </c:strRef>
          </c:tx>
          <c:invertIfNegative val="0"/>
          <c:cat>
            <c:strRef>
              <c:f>Barriers!$E$2:$G$2</c:f>
              <c:strCache>
                <c:ptCount val="3"/>
                <c:pt idx="0">
                  <c:v>Level 1</c:v>
                </c:pt>
                <c:pt idx="1">
                  <c:v>Level 2a</c:v>
                </c:pt>
                <c:pt idx="2">
                  <c:v>Level 2b</c:v>
                </c:pt>
              </c:strCache>
            </c:strRef>
          </c:cat>
          <c:val>
            <c:numRef>
              <c:f>Barriers!$E$28:$G$28</c:f>
              <c:numCache>
                <c:formatCode>0%</c:formatCode>
                <c:ptCount val="3"/>
                <c:pt idx="0">
                  <c:v>3.2773453502662844E-3</c:v>
                </c:pt>
                <c:pt idx="1">
                  <c:v>5.5991041433370659E-3</c:v>
                </c:pt>
                <c:pt idx="2">
                  <c:v>3.8628681796233702E-3</c:v>
                </c:pt>
              </c:numCache>
            </c:numRef>
          </c:val>
        </c:ser>
        <c:ser>
          <c:idx val="26"/>
          <c:order val="26"/>
          <c:tx>
            <c:strRef>
              <c:f>Barriers!$A$29</c:f>
              <c:strCache>
                <c:ptCount val="1"/>
                <c:pt idx="0">
                  <c:v>Young Carer responsibilities</c:v>
                </c:pt>
              </c:strCache>
            </c:strRef>
          </c:tx>
          <c:invertIfNegative val="0"/>
          <c:cat>
            <c:strRef>
              <c:f>Barriers!$E$2:$G$2</c:f>
              <c:strCache>
                <c:ptCount val="3"/>
                <c:pt idx="0">
                  <c:v>Level 1</c:v>
                </c:pt>
                <c:pt idx="1">
                  <c:v>Level 2a</c:v>
                </c:pt>
                <c:pt idx="2">
                  <c:v>Level 2b</c:v>
                </c:pt>
              </c:strCache>
            </c:strRef>
          </c:cat>
          <c:val>
            <c:numRef>
              <c:f>Barriers!$E$29:$G$29</c:f>
              <c:numCache>
                <c:formatCode>0%</c:formatCode>
                <c:ptCount val="3"/>
                <c:pt idx="0">
                  <c:v>3.031544448996313E-2</c:v>
                </c:pt>
                <c:pt idx="1">
                  <c:v>5.3191489361702128E-2</c:v>
                </c:pt>
                <c:pt idx="2">
                  <c:v>5.1665861902462577E-2</c:v>
                </c:pt>
              </c:numCache>
            </c:numRef>
          </c:val>
        </c:ser>
        <c:dLbls>
          <c:showLegendKey val="0"/>
          <c:showVal val="0"/>
          <c:showCatName val="0"/>
          <c:showSerName val="0"/>
          <c:showPercent val="0"/>
          <c:showBubbleSize val="0"/>
        </c:dLbls>
        <c:gapWidth val="55"/>
        <c:overlap val="100"/>
        <c:axId val="70009216"/>
        <c:axId val="70010752"/>
      </c:barChart>
      <c:catAx>
        <c:axId val="70009216"/>
        <c:scaling>
          <c:orientation val="minMax"/>
        </c:scaling>
        <c:delete val="0"/>
        <c:axPos val="b"/>
        <c:majorTickMark val="none"/>
        <c:minorTickMark val="none"/>
        <c:tickLblPos val="nextTo"/>
        <c:crossAx val="70010752"/>
        <c:crosses val="autoZero"/>
        <c:auto val="1"/>
        <c:lblAlgn val="ctr"/>
        <c:lblOffset val="100"/>
        <c:noMultiLvlLbl val="0"/>
      </c:catAx>
      <c:valAx>
        <c:axId val="70010752"/>
        <c:scaling>
          <c:orientation val="minMax"/>
        </c:scaling>
        <c:delete val="0"/>
        <c:axPos val="l"/>
        <c:majorGridlines/>
        <c:numFmt formatCode="0%" sourceLinked="1"/>
        <c:majorTickMark val="none"/>
        <c:minorTickMark val="none"/>
        <c:tickLblPos val="nextTo"/>
        <c:crossAx val="70009216"/>
        <c:crosses val="autoZero"/>
        <c:crossBetween val="between"/>
      </c:valAx>
    </c:plotArea>
    <c:legend>
      <c:legendPos val="r"/>
      <c:layout>
        <c:manualLayout>
          <c:xMode val="edge"/>
          <c:yMode val="edge"/>
          <c:x val="0.67181387541637561"/>
          <c:y val="5.4483082011452674E-2"/>
          <c:w val="0.3189816519346787"/>
          <c:h val="0.90780182192789882"/>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AU"/>
              <a:t>National Participant Barriers</a:t>
            </a:r>
          </a:p>
        </c:rich>
      </c:tx>
      <c:layout/>
      <c:overlay val="0"/>
    </c:title>
    <c:autoTitleDeleted val="0"/>
    <c:plotArea>
      <c:layout>
        <c:manualLayout>
          <c:layoutTarget val="inner"/>
          <c:xMode val="edge"/>
          <c:yMode val="edge"/>
          <c:x val="0.10593285214348207"/>
          <c:y val="6.5749842387888696E-2"/>
          <c:w val="0.47269356955380576"/>
          <c:h val="0.89510477206655681"/>
        </c:manualLayout>
      </c:layout>
      <c:barChart>
        <c:barDir val="col"/>
        <c:grouping val="percentStacked"/>
        <c:varyColors val="0"/>
        <c:ser>
          <c:idx val="0"/>
          <c:order val="0"/>
          <c:tx>
            <c:strRef>
              <c:f>Barriers!$J$3</c:f>
              <c:strCache>
                <c:ptCount val="1"/>
                <c:pt idx="0">
                  <c:v>Abuse/Domestic Violence issue</c:v>
                </c:pt>
              </c:strCache>
            </c:strRef>
          </c:tx>
          <c:invertIfNegative val="0"/>
          <c:cat>
            <c:strRef>
              <c:f>Barriers!$K$2:$M$2</c:f>
              <c:strCache>
                <c:ptCount val="3"/>
                <c:pt idx="0">
                  <c:v>Level 1</c:v>
                </c:pt>
                <c:pt idx="1">
                  <c:v>Level 2a</c:v>
                </c:pt>
                <c:pt idx="2">
                  <c:v>Level 2b</c:v>
                </c:pt>
              </c:strCache>
            </c:strRef>
          </c:cat>
          <c:val>
            <c:numRef>
              <c:f>Barriers!$K$3:$M$3</c:f>
              <c:numCache>
                <c:formatCode>General</c:formatCode>
                <c:ptCount val="3"/>
                <c:pt idx="0">
                  <c:v>916</c:v>
                </c:pt>
                <c:pt idx="1">
                  <c:v>2159</c:v>
                </c:pt>
                <c:pt idx="2">
                  <c:v>2829</c:v>
                </c:pt>
              </c:numCache>
            </c:numRef>
          </c:val>
        </c:ser>
        <c:ser>
          <c:idx val="1"/>
          <c:order val="1"/>
          <c:tx>
            <c:strRef>
              <c:f>Barriers!$J$4</c:f>
              <c:strCache>
                <c:ptCount val="1"/>
                <c:pt idx="0">
                  <c:v>Alcohol and/or drug misuse</c:v>
                </c:pt>
              </c:strCache>
            </c:strRef>
          </c:tx>
          <c:invertIfNegative val="0"/>
          <c:cat>
            <c:strRef>
              <c:f>Barriers!$K$2:$M$2</c:f>
              <c:strCache>
                <c:ptCount val="3"/>
                <c:pt idx="0">
                  <c:v>Level 1</c:v>
                </c:pt>
                <c:pt idx="1">
                  <c:v>Level 2a</c:v>
                </c:pt>
                <c:pt idx="2">
                  <c:v>Level 2b</c:v>
                </c:pt>
              </c:strCache>
            </c:strRef>
          </c:cat>
          <c:val>
            <c:numRef>
              <c:f>Barriers!$K$4:$M$4</c:f>
              <c:numCache>
                <c:formatCode>General</c:formatCode>
                <c:ptCount val="3"/>
                <c:pt idx="0">
                  <c:v>1359</c:v>
                </c:pt>
                <c:pt idx="1">
                  <c:v>3749</c:v>
                </c:pt>
                <c:pt idx="2">
                  <c:v>6069</c:v>
                </c:pt>
              </c:numCache>
            </c:numRef>
          </c:val>
        </c:ser>
        <c:ser>
          <c:idx val="2"/>
          <c:order val="2"/>
          <c:tx>
            <c:strRef>
              <c:f>Barriers!$J$5</c:f>
              <c:strCache>
                <c:ptCount val="1"/>
                <c:pt idx="0">
                  <c:v>Anger management issues</c:v>
                </c:pt>
              </c:strCache>
            </c:strRef>
          </c:tx>
          <c:invertIfNegative val="0"/>
          <c:cat>
            <c:strRef>
              <c:f>Barriers!$K$2:$M$2</c:f>
              <c:strCache>
                <c:ptCount val="3"/>
                <c:pt idx="0">
                  <c:v>Level 1</c:v>
                </c:pt>
                <c:pt idx="1">
                  <c:v>Level 2a</c:v>
                </c:pt>
                <c:pt idx="2">
                  <c:v>Level 2b</c:v>
                </c:pt>
              </c:strCache>
            </c:strRef>
          </c:cat>
          <c:val>
            <c:numRef>
              <c:f>Barriers!$K$5:$M$5</c:f>
              <c:numCache>
                <c:formatCode>General</c:formatCode>
                <c:ptCount val="3"/>
                <c:pt idx="0">
                  <c:v>4230</c:v>
                </c:pt>
                <c:pt idx="1">
                  <c:v>7406</c:v>
                </c:pt>
                <c:pt idx="2">
                  <c:v>6621</c:v>
                </c:pt>
              </c:numCache>
            </c:numRef>
          </c:val>
        </c:ser>
        <c:ser>
          <c:idx val="3"/>
          <c:order val="3"/>
          <c:tx>
            <c:strRef>
              <c:f>Barriers!$J$6</c:f>
              <c:strCache>
                <c:ptCount val="1"/>
                <c:pt idx="0">
                  <c:v>Behavioural problems</c:v>
                </c:pt>
              </c:strCache>
            </c:strRef>
          </c:tx>
          <c:invertIfNegative val="0"/>
          <c:cat>
            <c:strRef>
              <c:f>Barriers!$K$2:$M$2</c:f>
              <c:strCache>
                <c:ptCount val="3"/>
                <c:pt idx="0">
                  <c:v>Level 1</c:v>
                </c:pt>
                <c:pt idx="1">
                  <c:v>Level 2a</c:v>
                </c:pt>
                <c:pt idx="2">
                  <c:v>Level 2b</c:v>
                </c:pt>
              </c:strCache>
            </c:strRef>
          </c:cat>
          <c:val>
            <c:numRef>
              <c:f>Barriers!$K$6:$M$6</c:f>
              <c:numCache>
                <c:formatCode>General</c:formatCode>
                <c:ptCount val="3"/>
                <c:pt idx="0">
                  <c:v>8477</c:v>
                </c:pt>
                <c:pt idx="1">
                  <c:v>12439</c:v>
                </c:pt>
                <c:pt idx="2">
                  <c:v>9634</c:v>
                </c:pt>
              </c:numCache>
            </c:numRef>
          </c:val>
        </c:ser>
        <c:ser>
          <c:idx val="4"/>
          <c:order val="4"/>
          <c:tx>
            <c:strRef>
              <c:f>Barriers!$J$7</c:f>
              <c:strCache>
                <c:ptCount val="1"/>
                <c:pt idx="0">
                  <c:v>Bullying</c:v>
                </c:pt>
              </c:strCache>
            </c:strRef>
          </c:tx>
          <c:invertIfNegative val="0"/>
          <c:cat>
            <c:strRef>
              <c:f>Barriers!$K$2:$M$2</c:f>
              <c:strCache>
                <c:ptCount val="3"/>
                <c:pt idx="0">
                  <c:v>Level 1</c:v>
                </c:pt>
                <c:pt idx="1">
                  <c:v>Level 2a</c:v>
                </c:pt>
                <c:pt idx="2">
                  <c:v>Level 2b</c:v>
                </c:pt>
              </c:strCache>
            </c:strRef>
          </c:cat>
          <c:val>
            <c:numRef>
              <c:f>Barriers!$K$7:$M$7</c:f>
              <c:numCache>
                <c:formatCode>General</c:formatCode>
                <c:ptCount val="3"/>
                <c:pt idx="0">
                  <c:v>4399</c:v>
                </c:pt>
                <c:pt idx="1">
                  <c:v>5655</c:v>
                </c:pt>
                <c:pt idx="2">
                  <c:v>4921</c:v>
                </c:pt>
              </c:numCache>
            </c:numRef>
          </c:val>
        </c:ser>
        <c:ser>
          <c:idx val="5"/>
          <c:order val="5"/>
          <c:tx>
            <c:strRef>
              <c:f>Barriers!$J$8</c:f>
              <c:strCache>
                <c:ptCount val="1"/>
                <c:pt idx="0">
                  <c:v>Critical life event</c:v>
                </c:pt>
              </c:strCache>
            </c:strRef>
          </c:tx>
          <c:invertIfNegative val="0"/>
          <c:cat>
            <c:strRef>
              <c:f>Barriers!$K$2:$M$2</c:f>
              <c:strCache>
                <c:ptCount val="3"/>
                <c:pt idx="0">
                  <c:v>Level 1</c:v>
                </c:pt>
                <c:pt idx="1">
                  <c:v>Level 2a</c:v>
                </c:pt>
                <c:pt idx="2">
                  <c:v>Level 2b</c:v>
                </c:pt>
              </c:strCache>
            </c:strRef>
          </c:cat>
          <c:val>
            <c:numRef>
              <c:f>Barriers!$K$8:$M$8</c:f>
              <c:numCache>
                <c:formatCode>General</c:formatCode>
                <c:ptCount val="3"/>
                <c:pt idx="0">
                  <c:v>1925</c:v>
                </c:pt>
                <c:pt idx="1">
                  <c:v>3494</c:v>
                </c:pt>
                <c:pt idx="2">
                  <c:v>4277</c:v>
                </c:pt>
              </c:numCache>
            </c:numRef>
          </c:val>
        </c:ser>
        <c:ser>
          <c:idx val="6"/>
          <c:order val="6"/>
          <c:tx>
            <c:strRef>
              <c:f>Barriers!$J$9</c:f>
              <c:strCache>
                <c:ptCount val="1"/>
                <c:pt idx="0">
                  <c:v>Current or previous Juvenile Justice Orders</c:v>
                </c:pt>
              </c:strCache>
            </c:strRef>
          </c:tx>
          <c:invertIfNegative val="0"/>
          <c:cat>
            <c:strRef>
              <c:f>Barriers!$K$2:$M$2</c:f>
              <c:strCache>
                <c:ptCount val="3"/>
                <c:pt idx="0">
                  <c:v>Level 1</c:v>
                </c:pt>
                <c:pt idx="1">
                  <c:v>Level 2a</c:v>
                </c:pt>
                <c:pt idx="2">
                  <c:v>Level 2b</c:v>
                </c:pt>
              </c:strCache>
            </c:strRef>
          </c:cat>
          <c:val>
            <c:numRef>
              <c:f>Barriers!$K$9:$M$9</c:f>
              <c:numCache>
                <c:formatCode>General</c:formatCode>
                <c:ptCount val="3"/>
                <c:pt idx="0">
                  <c:v>399</c:v>
                </c:pt>
                <c:pt idx="1">
                  <c:v>1528</c:v>
                </c:pt>
                <c:pt idx="2">
                  <c:v>3947</c:v>
                </c:pt>
              </c:numCache>
            </c:numRef>
          </c:val>
        </c:ser>
        <c:ser>
          <c:idx val="7"/>
          <c:order val="7"/>
          <c:tx>
            <c:strRef>
              <c:f>Barriers!$J$10</c:f>
              <c:strCache>
                <c:ptCount val="1"/>
                <c:pt idx="0">
                  <c:v>Disability</c:v>
                </c:pt>
              </c:strCache>
            </c:strRef>
          </c:tx>
          <c:invertIfNegative val="0"/>
          <c:cat>
            <c:strRef>
              <c:f>Barriers!$K$2:$M$2</c:f>
              <c:strCache>
                <c:ptCount val="3"/>
                <c:pt idx="0">
                  <c:v>Level 1</c:v>
                </c:pt>
                <c:pt idx="1">
                  <c:v>Level 2a</c:v>
                </c:pt>
                <c:pt idx="2">
                  <c:v>Level 2b</c:v>
                </c:pt>
              </c:strCache>
            </c:strRef>
          </c:cat>
          <c:val>
            <c:numRef>
              <c:f>Barriers!$K$10:$M$10</c:f>
              <c:numCache>
                <c:formatCode>General</c:formatCode>
                <c:ptCount val="3"/>
                <c:pt idx="0">
                  <c:v>555</c:v>
                </c:pt>
                <c:pt idx="1">
                  <c:v>1011</c:v>
                </c:pt>
                <c:pt idx="2">
                  <c:v>1134</c:v>
                </c:pt>
              </c:numCache>
            </c:numRef>
          </c:val>
        </c:ser>
        <c:ser>
          <c:idx val="8"/>
          <c:order val="8"/>
          <c:tx>
            <c:strRef>
              <c:f>Barriers!$J$11</c:f>
              <c:strCache>
                <c:ptCount val="1"/>
                <c:pt idx="0">
                  <c:v>Disconnection from cultural heritage</c:v>
                </c:pt>
              </c:strCache>
            </c:strRef>
          </c:tx>
          <c:invertIfNegative val="0"/>
          <c:cat>
            <c:strRef>
              <c:f>Barriers!$K$2:$M$2</c:f>
              <c:strCache>
                <c:ptCount val="3"/>
                <c:pt idx="0">
                  <c:v>Level 1</c:v>
                </c:pt>
                <c:pt idx="1">
                  <c:v>Level 2a</c:v>
                </c:pt>
                <c:pt idx="2">
                  <c:v>Level 2b</c:v>
                </c:pt>
              </c:strCache>
            </c:strRef>
          </c:cat>
          <c:val>
            <c:numRef>
              <c:f>Barriers!$K$11:$M$11</c:f>
              <c:numCache>
                <c:formatCode>General</c:formatCode>
                <c:ptCount val="3"/>
                <c:pt idx="0">
                  <c:v>835</c:v>
                </c:pt>
                <c:pt idx="1">
                  <c:v>908</c:v>
                </c:pt>
                <c:pt idx="2">
                  <c:v>1197</c:v>
                </c:pt>
              </c:numCache>
            </c:numRef>
          </c:val>
        </c:ser>
        <c:ser>
          <c:idx val="9"/>
          <c:order val="9"/>
          <c:tx>
            <c:strRef>
              <c:f>Barriers!$J$12</c:f>
              <c:strCache>
                <c:ptCount val="1"/>
                <c:pt idx="0">
                  <c:v>Financial distress</c:v>
                </c:pt>
              </c:strCache>
            </c:strRef>
          </c:tx>
          <c:invertIfNegative val="0"/>
          <c:cat>
            <c:strRef>
              <c:f>Barriers!$K$2:$M$2</c:f>
              <c:strCache>
                <c:ptCount val="3"/>
                <c:pt idx="0">
                  <c:v>Level 1</c:v>
                </c:pt>
                <c:pt idx="1">
                  <c:v>Level 2a</c:v>
                </c:pt>
                <c:pt idx="2">
                  <c:v>Level 2b</c:v>
                </c:pt>
              </c:strCache>
            </c:strRef>
          </c:cat>
          <c:val>
            <c:numRef>
              <c:f>Barriers!$K$12:$M$12</c:f>
              <c:numCache>
                <c:formatCode>General</c:formatCode>
                <c:ptCount val="3"/>
                <c:pt idx="0">
                  <c:v>2284</c:v>
                </c:pt>
                <c:pt idx="1">
                  <c:v>4845</c:v>
                </c:pt>
                <c:pt idx="2">
                  <c:v>9914</c:v>
                </c:pt>
              </c:numCache>
            </c:numRef>
          </c:val>
        </c:ser>
        <c:ser>
          <c:idx val="10"/>
          <c:order val="10"/>
          <c:tx>
            <c:strRef>
              <c:f>Barriers!$J$13</c:f>
              <c:strCache>
                <c:ptCount val="1"/>
                <c:pt idx="0">
                  <c:v>Gifted</c:v>
                </c:pt>
              </c:strCache>
            </c:strRef>
          </c:tx>
          <c:invertIfNegative val="0"/>
          <c:cat>
            <c:strRef>
              <c:f>Barriers!$K$2:$M$2</c:f>
              <c:strCache>
                <c:ptCount val="3"/>
                <c:pt idx="0">
                  <c:v>Level 1</c:v>
                </c:pt>
                <c:pt idx="1">
                  <c:v>Level 2a</c:v>
                </c:pt>
                <c:pt idx="2">
                  <c:v>Level 2b</c:v>
                </c:pt>
              </c:strCache>
            </c:strRef>
          </c:cat>
          <c:val>
            <c:numRef>
              <c:f>Barriers!$K$13:$M$13</c:f>
              <c:numCache>
                <c:formatCode>General</c:formatCode>
                <c:ptCount val="3"/>
                <c:pt idx="0">
                  <c:v>193</c:v>
                </c:pt>
                <c:pt idx="1">
                  <c:v>244</c:v>
                </c:pt>
                <c:pt idx="2">
                  <c:v>224</c:v>
                </c:pt>
              </c:numCache>
            </c:numRef>
          </c:val>
        </c:ser>
        <c:ser>
          <c:idx val="11"/>
          <c:order val="11"/>
          <c:tx>
            <c:strRef>
              <c:f>Barriers!$J$14</c:f>
              <c:strCache>
                <c:ptCount val="1"/>
                <c:pt idx="0">
                  <c:v>Homelessness</c:v>
                </c:pt>
              </c:strCache>
            </c:strRef>
          </c:tx>
          <c:invertIfNegative val="0"/>
          <c:cat>
            <c:strRef>
              <c:f>Barriers!$K$2:$M$2</c:f>
              <c:strCache>
                <c:ptCount val="3"/>
                <c:pt idx="0">
                  <c:v>Level 1</c:v>
                </c:pt>
                <c:pt idx="1">
                  <c:v>Level 2a</c:v>
                </c:pt>
                <c:pt idx="2">
                  <c:v>Level 2b</c:v>
                </c:pt>
              </c:strCache>
            </c:strRef>
          </c:cat>
          <c:val>
            <c:numRef>
              <c:f>Barriers!$K$14:$M$14</c:f>
              <c:numCache>
                <c:formatCode>General</c:formatCode>
                <c:ptCount val="3"/>
                <c:pt idx="0">
                  <c:v>193</c:v>
                </c:pt>
                <c:pt idx="1">
                  <c:v>657</c:v>
                </c:pt>
                <c:pt idx="2">
                  <c:v>1829</c:v>
                </c:pt>
              </c:numCache>
            </c:numRef>
          </c:val>
        </c:ser>
        <c:ser>
          <c:idx val="12"/>
          <c:order val="12"/>
          <c:tx>
            <c:strRef>
              <c:f>Barriers!$J$15</c:f>
              <c:strCache>
                <c:ptCount val="1"/>
                <c:pt idx="0">
                  <c:v>In detention/previously in detention</c:v>
                </c:pt>
              </c:strCache>
            </c:strRef>
          </c:tx>
          <c:invertIfNegative val="0"/>
          <c:cat>
            <c:strRef>
              <c:f>Barriers!$K$2:$M$2</c:f>
              <c:strCache>
                <c:ptCount val="3"/>
                <c:pt idx="0">
                  <c:v>Level 1</c:v>
                </c:pt>
                <c:pt idx="1">
                  <c:v>Level 2a</c:v>
                </c:pt>
                <c:pt idx="2">
                  <c:v>Level 2b</c:v>
                </c:pt>
              </c:strCache>
            </c:strRef>
          </c:cat>
          <c:val>
            <c:numRef>
              <c:f>Barriers!$K$15:$M$15</c:f>
              <c:numCache>
                <c:formatCode>General</c:formatCode>
                <c:ptCount val="3"/>
                <c:pt idx="0">
                  <c:v>175</c:v>
                </c:pt>
                <c:pt idx="1">
                  <c:v>426</c:v>
                </c:pt>
                <c:pt idx="2">
                  <c:v>1138</c:v>
                </c:pt>
              </c:numCache>
            </c:numRef>
          </c:val>
        </c:ser>
        <c:ser>
          <c:idx val="13"/>
          <c:order val="13"/>
          <c:tx>
            <c:strRef>
              <c:f>Barriers!$J$16</c:f>
              <c:strCache>
                <c:ptCount val="1"/>
                <c:pt idx="0">
                  <c:v>Inadequate family support</c:v>
                </c:pt>
              </c:strCache>
            </c:strRef>
          </c:tx>
          <c:invertIfNegative val="0"/>
          <c:cat>
            <c:strRef>
              <c:f>Barriers!$K$2:$M$2</c:f>
              <c:strCache>
                <c:ptCount val="3"/>
                <c:pt idx="0">
                  <c:v>Level 1</c:v>
                </c:pt>
                <c:pt idx="1">
                  <c:v>Level 2a</c:v>
                </c:pt>
                <c:pt idx="2">
                  <c:v>Level 2b</c:v>
                </c:pt>
              </c:strCache>
            </c:strRef>
          </c:cat>
          <c:val>
            <c:numRef>
              <c:f>Barriers!$K$16:$M$16</c:f>
              <c:numCache>
                <c:formatCode>General</c:formatCode>
                <c:ptCount val="3"/>
                <c:pt idx="0">
                  <c:v>2638</c:v>
                </c:pt>
                <c:pt idx="1">
                  <c:v>5419</c:v>
                </c:pt>
                <c:pt idx="2">
                  <c:v>8569</c:v>
                </c:pt>
              </c:numCache>
            </c:numRef>
          </c:val>
        </c:ser>
        <c:ser>
          <c:idx val="14"/>
          <c:order val="14"/>
          <c:tx>
            <c:strRef>
              <c:f>Barriers!$J$17</c:f>
              <c:strCache>
                <c:ptCount val="1"/>
                <c:pt idx="0">
                  <c:v>Learning Difficulty</c:v>
                </c:pt>
              </c:strCache>
            </c:strRef>
          </c:tx>
          <c:invertIfNegative val="0"/>
          <c:cat>
            <c:strRef>
              <c:f>Barriers!$K$2:$M$2</c:f>
              <c:strCache>
                <c:ptCount val="3"/>
                <c:pt idx="0">
                  <c:v>Level 1</c:v>
                </c:pt>
                <c:pt idx="1">
                  <c:v>Level 2a</c:v>
                </c:pt>
                <c:pt idx="2">
                  <c:v>Level 2b</c:v>
                </c:pt>
              </c:strCache>
            </c:strRef>
          </c:cat>
          <c:val>
            <c:numRef>
              <c:f>Barriers!$K$17:$M$17</c:f>
              <c:numCache>
                <c:formatCode>General</c:formatCode>
                <c:ptCount val="3"/>
                <c:pt idx="0">
                  <c:v>1118</c:v>
                </c:pt>
                <c:pt idx="1">
                  <c:v>1862</c:v>
                </c:pt>
                <c:pt idx="2">
                  <c:v>2091</c:v>
                </c:pt>
              </c:numCache>
            </c:numRef>
          </c:val>
        </c:ser>
        <c:ser>
          <c:idx val="15"/>
          <c:order val="15"/>
          <c:tx>
            <c:strRef>
              <c:f>Barriers!$J$18</c:f>
              <c:strCache>
                <c:ptCount val="1"/>
                <c:pt idx="0">
                  <c:v>Low literacy and/or numeracy</c:v>
                </c:pt>
              </c:strCache>
            </c:strRef>
          </c:tx>
          <c:invertIfNegative val="0"/>
          <c:cat>
            <c:strRef>
              <c:f>Barriers!$K$2:$M$2</c:f>
              <c:strCache>
                <c:ptCount val="3"/>
                <c:pt idx="0">
                  <c:v>Level 1</c:v>
                </c:pt>
                <c:pt idx="1">
                  <c:v>Level 2a</c:v>
                </c:pt>
                <c:pt idx="2">
                  <c:v>Level 2b</c:v>
                </c:pt>
              </c:strCache>
            </c:strRef>
          </c:cat>
          <c:val>
            <c:numRef>
              <c:f>Barriers!$K$18:$M$18</c:f>
              <c:numCache>
                <c:formatCode>General</c:formatCode>
                <c:ptCount val="3"/>
                <c:pt idx="0">
                  <c:v>6785</c:v>
                </c:pt>
                <c:pt idx="1">
                  <c:v>10774</c:v>
                </c:pt>
                <c:pt idx="2">
                  <c:v>12255</c:v>
                </c:pt>
              </c:numCache>
            </c:numRef>
          </c:val>
        </c:ser>
        <c:ser>
          <c:idx val="16"/>
          <c:order val="16"/>
          <c:tx>
            <c:strRef>
              <c:f>Barriers!$J$19</c:f>
              <c:strCache>
                <c:ptCount val="1"/>
                <c:pt idx="0">
                  <c:v>Low Self Esteem</c:v>
                </c:pt>
              </c:strCache>
            </c:strRef>
          </c:tx>
          <c:invertIfNegative val="0"/>
          <c:cat>
            <c:strRef>
              <c:f>Barriers!$K$2:$M$2</c:f>
              <c:strCache>
                <c:ptCount val="3"/>
                <c:pt idx="0">
                  <c:v>Level 1</c:v>
                </c:pt>
                <c:pt idx="1">
                  <c:v>Level 2a</c:v>
                </c:pt>
                <c:pt idx="2">
                  <c:v>Level 2b</c:v>
                </c:pt>
              </c:strCache>
            </c:strRef>
          </c:cat>
          <c:val>
            <c:numRef>
              <c:f>Barriers!$K$19:$M$19</c:f>
              <c:numCache>
                <c:formatCode>General</c:formatCode>
                <c:ptCount val="3"/>
                <c:pt idx="0">
                  <c:v>8531</c:v>
                </c:pt>
                <c:pt idx="1">
                  <c:v>12059</c:v>
                </c:pt>
                <c:pt idx="2">
                  <c:v>13174</c:v>
                </c:pt>
              </c:numCache>
            </c:numRef>
          </c:val>
        </c:ser>
        <c:ser>
          <c:idx val="17"/>
          <c:order val="17"/>
          <c:tx>
            <c:strRef>
              <c:f>Barriers!$J$20</c:f>
              <c:strCache>
                <c:ptCount val="1"/>
                <c:pt idx="0">
                  <c:v>Medical or other health issue</c:v>
                </c:pt>
              </c:strCache>
            </c:strRef>
          </c:tx>
          <c:invertIfNegative val="0"/>
          <c:cat>
            <c:strRef>
              <c:f>Barriers!$K$2:$M$2</c:f>
              <c:strCache>
                <c:ptCount val="3"/>
                <c:pt idx="0">
                  <c:v>Level 1</c:v>
                </c:pt>
                <c:pt idx="1">
                  <c:v>Level 2a</c:v>
                </c:pt>
                <c:pt idx="2">
                  <c:v>Level 2b</c:v>
                </c:pt>
              </c:strCache>
            </c:strRef>
          </c:cat>
          <c:val>
            <c:numRef>
              <c:f>Barriers!$K$20:$M$20</c:f>
              <c:numCache>
                <c:formatCode>General</c:formatCode>
                <c:ptCount val="3"/>
                <c:pt idx="0">
                  <c:v>1098</c:v>
                </c:pt>
                <c:pt idx="1">
                  <c:v>2069</c:v>
                </c:pt>
                <c:pt idx="2">
                  <c:v>2725</c:v>
                </c:pt>
              </c:numCache>
            </c:numRef>
          </c:val>
        </c:ser>
        <c:ser>
          <c:idx val="18"/>
          <c:order val="18"/>
          <c:tx>
            <c:strRef>
              <c:f>Barriers!$J$21</c:f>
              <c:strCache>
                <c:ptCount val="1"/>
                <c:pt idx="0">
                  <c:v>Negative experience(s) with education and training</c:v>
                </c:pt>
              </c:strCache>
            </c:strRef>
          </c:tx>
          <c:invertIfNegative val="0"/>
          <c:cat>
            <c:strRef>
              <c:f>Barriers!$K$2:$M$2</c:f>
              <c:strCache>
                <c:ptCount val="3"/>
                <c:pt idx="0">
                  <c:v>Level 1</c:v>
                </c:pt>
                <c:pt idx="1">
                  <c:v>Level 2a</c:v>
                </c:pt>
                <c:pt idx="2">
                  <c:v>Level 2b</c:v>
                </c:pt>
              </c:strCache>
            </c:strRef>
          </c:cat>
          <c:val>
            <c:numRef>
              <c:f>Barriers!$K$21:$M$21</c:f>
              <c:numCache>
                <c:formatCode>General</c:formatCode>
                <c:ptCount val="3"/>
                <c:pt idx="0">
                  <c:v>1591</c:v>
                </c:pt>
                <c:pt idx="1">
                  <c:v>2921</c:v>
                </c:pt>
                <c:pt idx="2">
                  <c:v>3546</c:v>
                </c:pt>
              </c:numCache>
            </c:numRef>
          </c:val>
        </c:ser>
        <c:ser>
          <c:idx val="19"/>
          <c:order val="19"/>
          <c:tx>
            <c:strRef>
              <c:f>Barriers!$J$22</c:f>
              <c:strCache>
                <c:ptCount val="1"/>
                <c:pt idx="0">
                  <c:v>Out of home care</c:v>
                </c:pt>
              </c:strCache>
            </c:strRef>
          </c:tx>
          <c:invertIfNegative val="0"/>
          <c:cat>
            <c:strRef>
              <c:f>Barriers!$K$2:$M$2</c:f>
              <c:strCache>
                <c:ptCount val="3"/>
                <c:pt idx="0">
                  <c:v>Level 1</c:v>
                </c:pt>
                <c:pt idx="1">
                  <c:v>Level 2a</c:v>
                </c:pt>
                <c:pt idx="2">
                  <c:v>Level 2b</c:v>
                </c:pt>
              </c:strCache>
            </c:strRef>
          </c:cat>
          <c:val>
            <c:numRef>
              <c:f>Barriers!$K$22:$M$22</c:f>
              <c:numCache>
                <c:formatCode>General</c:formatCode>
                <c:ptCount val="3"/>
                <c:pt idx="0">
                  <c:v>361</c:v>
                </c:pt>
                <c:pt idx="1">
                  <c:v>657</c:v>
                </c:pt>
                <c:pt idx="2">
                  <c:v>1159</c:v>
                </c:pt>
              </c:numCache>
            </c:numRef>
          </c:val>
        </c:ser>
        <c:ser>
          <c:idx val="20"/>
          <c:order val="20"/>
          <c:tx>
            <c:strRef>
              <c:f>Barriers!$J$23</c:f>
              <c:strCache>
                <c:ptCount val="1"/>
                <c:pt idx="0">
                  <c:v>Parent/Pregnancy</c:v>
                </c:pt>
              </c:strCache>
            </c:strRef>
          </c:tx>
          <c:invertIfNegative val="0"/>
          <c:cat>
            <c:strRef>
              <c:f>Barriers!$K$2:$M$2</c:f>
              <c:strCache>
                <c:ptCount val="3"/>
                <c:pt idx="0">
                  <c:v>Level 1</c:v>
                </c:pt>
                <c:pt idx="1">
                  <c:v>Level 2a</c:v>
                </c:pt>
                <c:pt idx="2">
                  <c:v>Level 2b</c:v>
                </c:pt>
              </c:strCache>
            </c:strRef>
          </c:cat>
          <c:val>
            <c:numRef>
              <c:f>Barriers!$K$23:$M$23</c:f>
              <c:numCache>
                <c:formatCode>General</c:formatCode>
                <c:ptCount val="3"/>
                <c:pt idx="0">
                  <c:v>87</c:v>
                </c:pt>
                <c:pt idx="1">
                  <c:v>341</c:v>
                </c:pt>
                <c:pt idx="2">
                  <c:v>1687</c:v>
                </c:pt>
              </c:numCache>
            </c:numRef>
          </c:val>
        </c:ser>
        <c:ser>
          <c:idx val="21"/>
          <c:order val="21"/>
          <c:tx>
            <c:strRef>
              <c:f>Barriers!$J$24</c:f>
              <c:strCache>
                <c:ptCount val="1"/>
                <c:pt idx="0">
                  <c:v>Petrol sniffing</c:v>
                </c:pt>
              </c:strCache>
            </c:strRef>
          </c:tx>
          <c:invertIfNegative val="0"/>
          <c:cat>
            <c:strRef>
              <c:f>Barriers!$K$2:$M$2</c:f>
              <c:strCache>
                <c:ptCount val="3"/>
                <c:pt idx="0">
                  <c:v>Level 1</c:v>
                </c:pt>
                <c:pt idx="1">
                  <c:v>Level 2a</c:v>
                </c:pt>
                <c:pt idx="2">
                  <c:v>Level 2b</c:v>
                </c:pt>
              </c:strCache>
            </c:strRef>
          </c:cat>
          <c:val>
            <c:numRef>
              <c:f>Barriers!$K$24:$M$24</c:f>
              <c:numCache>
                <c:formatCode>General</c:formatCode>
                <c:ptCount val="3"/>
                <c:pt idx="0">
                  <c:v>3</c:v>
                </c:pt>
                <c:pt idx="1">
                  <c:v>9</c:v>
                </c:pt>
                <c:pt idx="2">
                  <c:v>32</c:v>
                </c:pt>
              </c:numCache>
            </c:numRef>
          </c:val>
        </c:ser>
        <c:ser>
          <c:idx val="22"/>
          <c:order val="22"/>
          <c:tx>
            <c:strRef>
              <c:f>Barriers!$J$25</c:f>
              <c:strCache>
                <c:ptCount val="1"/>
                <c:pt idx="0">
                  <c:v>Socialisation issues</c:v>
                </c:pt>
              </c:strCache>
            </c:strRef>
          </c:tx>
          <c:invertIfNegative val="0"/>
          <c:cat>
            <c:strRef>
              <c:f>Barriers!$K$2:$M$2</c:f>
              <c:strCache>
                <c:ptCount val="3"/>
                <c:pt idx="0">
                  <c:v>Level 1</c:v>
                </c:pt>
                <c:pt idx="1">
                  <c:v>Level 2a</c:v>
                </c:pt>
                <c:pt idx="2">
                  <c:v>Level 2b</c:v>
                </c:pt>
              </c:strCache>
            </c:strRef>
          </c:cat>
          <c:val>
            <c:numRef>
              <c:f>Barriers!$K$25:$M$25</c:f>
              <c:numCache>
                <c:formatCode>General</c:formatCode>
                <c:ptCount val="3"/>
                <c:pt idx="0">
                  <c:v>6060</c:v>
                </c:pt>
                <c:pt idx="1">
                  <c:v>8851</c:v>
                </c:pt>
                <c:pt idx="2">
                  <c:v>10330</c:v>
                </c:pt>
              </c:numCache>
            </c:numRef>
          </c:val>
        </c:ser>
        <c:ser>
          <c:idx val="23"/>
          <c:order val="23"/>
          <c:tx>
            <c:strRef>
              <c:f>Barriers!$J$26</c:f>
              <c:strCache>
                <c:ptCount val="1"/>
                <c:pt idx="0">
                  <c:v>Suspected or diagnosed mental health issue</c:v>
                </c:pt>
              </c:strCache>
            </c:strRef>
          </c:tx>
          <c:invertIfNegative val="0"/>
          <c:cat>
            <c:strRef>
              <c:f>Barriers!$K$2:$M$2</c:f>
              <c:strCache>
                <c:ptCount val="3"/>
                <c:pt idx="0">
                  <c:v>Level 1</c:v>
                </c:pt>
                <c:pt idx="1">
                  <c:v>Level 2a</c:v>
                </c:pt>
                <c:pt idx="2">
                  <c:v>Level 2b</c:v>
                </c:pt>
              </c:strCache>
            </c:strRef>
          </c:cat>
          <c:val>
            <c:numRef>
              <c:f>Barriers!$K$26:$M$26</c:f>
              <c:numCache>
                <c:formatCode>General</c:formatCode>
                <c:ptCount val="3"/>
                <c:pt idx="0">
                  <c:v>2534</c:v>
                </c:pt>
                <c:pt idx="1">
                  <c:v>6165</c:v>
                </c:pt>
                <c:pt idx="2">
                  <c:v>7524</c:v>
                </c:pt>
              </c:numCache>
            </c:numRef>
          </c:val>
        </c:ser>
        <c:ser>
          <c:idx val="24"/>
          <c:order val="24"/>
          <c:tx>
            <c:strRef>
              <c:f>Barriers!$J$27</c:f>
              <c:strCache>
                <c:ptCount val="1"/>
                <c:pt idx="0">
                  <c:v>Unstable living arrangements</c:v>
                </c:pt>
              </c:strCache>
            </c:strRef>
          </c:tx>
          <c:invertIfNegative val="0"/>
          <c:cat>
            <c:strRef>
              <c:f>Barriers!$K$2:$M$2</c:f>
              <c:strCache>
                <c:ptCount val="3"/>
                <c:pt idx="0">
                  <c:v>Level 1</c:v>
                </c:pt>
                <c:pt idx="1">
                  <c:v>Level 2a</c:v>
                </c:pt>
                <c:pt idx="2">
                  <c:v>Level 2b</c:v>
                </c:pt>
              </c:strCache>
            </c:strRef>
          </c:cat>
          <c:val>
            <c:numRef>
              <c:f>Barriers!$K$27:$M$27</c:f>
              <c:numCache>
                <c:formatCode>General</c:formatCode>
                <c:ptCount val="3"/>
                <c:pt idx="0">
                  <c:v>1193</c:v>
                </c:pt>
                <c:pt idx="1">
                  <c:v>3258</c:v>
                </c:pt>
                <c:pt idx="2">
                  <c:v>6161</c:v>
                </c:pt>
              </c:numCache>
            </c:numRef>
          </c:val>
        </c:ser>
        <c:ser>
          <c:idx val="25"/>
          <c:order val="25"/>
          <c:tx>
            <c:strRef>
              <c:f>Barriers!$J$28</c:f>
              <c:strCache>
                <c:ptCount val="1"/>
                <c:pt idx="0">
                  <c:v>Volatile substance misuse</c:v>
                </c:pt>
              </c:strCache>
            </c:strRef>
          </c:tx>
          <c:invertIfNegative val="0"/>
          <c:cat>
            <c:strRef>
              <c:f>Barriers!$K$2:$M$2</c:f>
              <c:strCache>
                <c:ptCount val="3"/>
                <c:pt idx="0">
                  <c:v>Level 1</c:v>
                </c:pt>
                <c:pt idx="1">
                  <c:v>Level 2a</c:v>
                </c:pt>
                <c:pt idx="2">
                  <c:v>Level 2b</c:v>
                </c:pt>
              </c:strCache>
            </c:strRef>
          </c:cat>
          <c:val>
            <c:numRef>
              <c:f>Barriers!$K$28:$M$28</c:f>
              <c:numCache>
                <c:formatCode>General</c:formatCode>
                <c:ptCount val="3"/>
                <c:pt idx="0">
                  <c:v>22</c:v>
                </c:pt>
                <c:pt idx="1">
                  <c:v>71</c:v>
                </c:pt>
                <c:pt idx="2">
                  <c:v>176</c:v>
                </c:pt>
              </c:numCache>
            </c:numRef>
          </c:val>
        </c:ser>
        <c:ser>
          <c:idx val="26"/>
          <c:order val="26"/>
          <c:tx>
            <c:strRef>
              <c:f>Barriers!$J$29</c:f>
              <c:strCache>
                <c:ptCount val="1"/>
                <c:pt idx="0">
                  <c:v>Young Carer responsibilities</c:v>
                </c:pt>
              </c:strCache>
            </c:strRef>
          </c:tx>
          <c:invertIfNegative val="0"/>
          <c:cat>
            <c:strRef>
              <c:f>Barriers!$K$2:$M$2</c:f>
              <c:strCache>
                <c:ptCount val="3"/>
                <c:pt idx="0">
                  <c:v>Level 1</c:v>
                </c:pt>
                <c:pt idx="1">
                  <c:v>Level 2a</c:v>
                </c:pt>
                <c:pt idx="2">
                  <c:v>Level 2b</c:v>
                </c:pt>
              </c:strCache>
            </c:strRef>
          </c:cat>
          <c:val>
            <c:numRef>
              <c:f>Barriers!$K$29:$M$29</c:f>
              <c:numCache>
                <c:formatCode>General</c:formatCode>
                <c:ptCount val="3"/>
                <c:pt idx="0">
                  <c:v>482</c:v>
                </c:pt>
                <c:pt idx="1">
                  <c:v>734</c:v>
                </c:pt>
                <c:pt idx="2">
                  <c:v>920</c:v>
                </c:pt>
              </c:numCache>
            </c:numRef>
          </c:val>
        </c:ser>
        <c:dLbls>
          <c:showLegendKey val="0"/>
          <c:showVal val="0"/>
          <c:showCatName val="0"/>
          <c:showSerName val="0"/>
          <c:showPercent val="0"/>
          <c:showBubbleSize val="0"/>
        </c:dLbls>
        <c:gapWidth val="55"/>
        <c:overlap val="100"/>
        <c:axId val="83467648"/>
        <c:axId val="83469440"/>
      </c:barChart>
      <c:catAx>
        <c:axId val="83467648"/>
        <c:scaling>
          <c:orientation val="minMax"/>
        </c:scaling>
        <c:delete val="0"/>
        <c:axPos val="b"/>
        <c:majorTickMark val="none"/>
        <c:minorTickMark val="none"/>
        <c:tickLblPos val="nextTo"/>
        <c:crossAx val="83469440"/>
        <c:crosses val="autoZero"/>
        <c:auto val="1"/>
        <c:lblAlgn val="ctr"/>
        <c:lblOffset val="100"/>
        <c:noMultiLvlLbl val="0"/>
      </c:catAx>
      <c:valAx>
        <c:axId val="83469440"/>
        <c:scaling>
          <c:orientation val="minMax"/>
        </c:scaling>
        <c:delete val="0"/>
        <c:axPos val="l"/>
        <c:majorGridlines/>
        <c:numFmt formatCode="0%" sourceLinked="1"/>
        <c:majorTickMark val="none"/>
        <c:minorTickMark val="none"/>
        <c:tickLblPos val="nextTo"/>
        <c:crossAx val="83467648"/>
        <c:crosses val="autoZero"/>
        <c:crossBetween val="between"/>
      </c:valAx>
    </c:plotArea>
    <c:legend>
      <c:legendPos val="r"/>
      <c:layout>
        <c:manualLayout>
          <c:xMode val="edge"/>
          <c:yMode val="edge"/>
          <c:x val="0.59924944987937112"/>
          <c:y val="4.9963628106373677E-2"/>
          <c:w val="0.35748468941382328"/>
          <c:h val="0.91721488448914723"/>
        </c:manualLayout>
      </c:layout>
      <c:overlay val="0"/>
      <c:txPr>
        <a:bodyPr/>
        <a:lstStyle/>
        <a:p>
          <a:pPr>
            <a:defRPr spc="-100" baseline="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B882-3109-41DD-9E8F-FCF880C5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52310B30.dotm</Template>
  <TotalTime>471</TotalTime>
  <Pages>84</Pages>
  <Words>27634</Words>
  <Characters>162286</Characters>
  <Application>Microsoft Office Word</Application>
  <DocSecurity>0</DocSecurity>
  <Lines>1352</Lines>
  <Paragraphs>379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Smyth</dc:creator>
  <cp:lastModifiedBy>Michaela Austin</cp:lastModifiedBy>
  <cp:revision>28</cp:revision>
  <cp:lastPrinted>2014-03-31T04:49:00Z</cp:lastPrinted>
  <dcterms:created xsi:type="dcterms:W3CDTF">2013-07-02T07:00:00Z</dcterms:created>
  <dcterms:modified xsi:type="dcterms:W3CDTF">2014-03-31T04:49:00Z</dcterms:modified>
</cp:coreProperties>
</file>