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8DC" w:rsidRDefault="006918DC" w:rsidP="006918DC">
      <w:pPr>
        <w:pStyle w:val="Brief-BODYTEXT"/>
        <w:rPr>
          <w:b/>
        </w:rPr>
      </w:pPr>
      <w:bookmarkStart w:id="0" w:name="_GoBack"/>
      <w:bookmarkEnd w:id="0"/>
      <w:r>
        <w:rPr>
          <w:b/>
        </w:rPr>
        <w:t>Attachment A - Summary of the 2007 Student Statistics</w:t>
      </w:r>
    </w:p>
    <w:p w:rsidR="006918DC" w:rsidRPr="006E742D" w:rsidRDefault="006918DC" w:rsidP="006918DC">
      <w:pPr>
        <w:pStyle w:val="Brief-BODYTEXT"/>
        <w:numPr>
          <w:ilvl w:val="0"/>
          <w:numId w:val="1"/>
        </w:numPr>
        <w:tabs>
          <w:tab w:val="clear" w:pos="720"/>
          <w:tab w:val="num" w:pos="300"/>
        </w:tabs>
        <w:ind w:left="300"/>
      </w:pPr>
      <w:r w:rsidRPr="006E742D">
        <w:t>For 2007, the number of students reported by Private Providers has increased sharply. However, this increase does not reflect a real increase in student numbers at Private Providers but is due to two factors. From 2007 onwards, all accredited Private Providers are required to report on all of their students—not just those receiving FEE-HELP, as was previously the requirement in 2005 and 2006. In addition, the number of accredited Private Providers continues to increase, resulting in the total number of Higher Education Providers increasing from 92 in 2006 to 10</w:t>
      </w:r>
      <w:r>
        <w:t>5</w:t>
      </w:r>
      <w:r w:rsidRPr="006E742D">
        <w:t xml:space="preserve"> in 2007. </w:t>
      </w:r>
    </w:p>
    <w:p w:rsidR="006918DC" w:rsidRPr="006E742D" w:rsidRDefault="006918DC" w:rsidP="006918DC">
      <w:pPr>
        <w:pStyle w:val="Brief-BODYTEXT"/>
        <w:numPr>
          <w:ilvl w:val="0"/>
          <w:numId w:val="1"/>
        </w:numPr>
        <w:tabs>
          <w:tab w:val="clear" w:pos="720"/>
          <w:tab w:val="num" w:pos="300"/>
        </w:tabs>
        <w:ind w:left="300"/>
      </w:pPr>
      <w:r w:rsidRPr="006E742D">
        <w:t xml:space="preserve">For these reasons, the attached analysis of changes between 2006 </w:t>
      </w:r>
      <w:r>
        <w:t xml:space="preserve">and </w:t>
      </w:r>
      <w:r w:rsidRPr="006E742D">
        <w:t xml:space="preserve">2007 includes a separate discussion for Public Universities (Table A). The analysis for Public Universities provides a more accurate measure of changes in student enrolments between the two years than comparisons which include Private Provider numbers. Public Universities represented </w:t>
      </w:r>
      <w:r>
        <w:t xml:space="preserve">976,786 </w:t>
      </w:r>
      <w:r w:rsidRPr="006E742D">
        <w:t xml:space="preserve">students, </w:t>
      </w:r>
      <w:r>
        <w:t>94.8</w:t>
      </w:r>
      <w:r w:rsidRPr="006E742D">
        <w:t xml:space="preserve">% of the higher education student population for 2007. Private Providers and Other Higher Education Providers reported </w:t>
      </w:r>
      <w:r>
        <w:t>53,060</w:t>
      </w:r>
      <w:r w:rsidRPr="006E742D">
        <w:t xml:space="preserve"> students, </w:t>
      </w:r>
      <w:r>
        <w:t>5.2</w:t>
      </w:r>
      <w:r w:rsidRPr="006E742D">
        <w:t xml:space="preserve"> % of the higher education student population. </w:t>
      </w:r>
    </w:p>
    <w:p w:rsidR="006918DC" w:rsidRDefault="006918DC" w:rsidP="006918DC">
      <w:pPr>
        <w:pStyle w:val="Brief-BODYTEXT"/>
        <w:rPr>
          <w:b/>
        </w:rPr>
      </w:pPr>
    </w:p>
    <w:p w:rsidR="006918DC" w:rsidRDefault="006918DC" w:rsidP="006918DC">
      <w:pPr>
        <w:pStyle w:val="Brief-BODYTEXT"/>
        <w:rPr>
          <w:b/>
        </w:rPr>
      </w:pPr>
      <w:r>
        <w:rPr>
          <w:b/>
        </w:rPr>
        <w:t>Student numbers:</w:t>
      </w:r>
    </w:p>
    <w:p w:rsidR="006918DC" w:rsidRDefault="006918DC" w:rsidP="006918DC">
      <w:pPr>
        <w:pStyle w:val="Brief-BODYTEXT"/>
        <w:numPr>
          <w:ilvl w:val="0"/>
          <w:numId w:val="2"/>
        </w:numPr>
        <w:tabs>
          <w:tab w:val="clear" w:pos="720"/>
          <w:tab w:val="num" w:pos="400"/>
        </w:tabs>
        <w:ind w:left="400"/>
      </w:pPr>
      <w:r>
        <w:t>The total number of students reached 1,029,846 in 2007, having increased by 4.7% from 984,061 in 2006. The number of students undertaking study with Public Universities increased by 2.1%, from 956,515 in 2006 to 976,786 in 2007.</w:t>
      </w:r>
    </w:p>
    <w:p w:rsidR="006918DC" w:rsidRDefault="006918DC" w:rsidP="006918DC">
      <w:pPr>
        <w:pStyle w:val="Brief-BODYTEXT"/>
        <w:numPr>
          <w:ilvl w:val="0"/>
          <w:numId w:val="2"/>
        </w:numPr>
        <w:tabs>
          <w:tab w:val="clear" w:pos="720"/>
          <w:tab w:val="num" w:pos="400"/>
        </w:tabs>
        <w:ind w:left="400"/>
      </w:pPr>
      <w:r>
        <w:t>In 2007, 73.5% of reported students were domestic students and the remaining 26.5% were overseas students. The number of domestic students in 2007 was 756,747, up 3.2% from 733,267 in 2006. The number of overseas students increased by 8.9% from 250,794 to 273,099 over the same period.</w:t>
      </w:r>
    </w:p>
    <w:p w:rsidR="006918DC" w:rsidRDefault="006918DC" w:rsidP="006918DC">
      <w:pPr>
        <w:pStyle w:val="Brief-BODYTEXT"/>
        <w:numPr>
          <w:ilvl w:val="0"/>
          <w:numId w:val="2"/>
        </w:numPr>
        <w:tabs>
          <w:tab w:val="clear" w:pos="720"/>
          <w:tab w:val="num" w:pos="400"/>
        </w:tabs>
        <w:ind w:left="400"/>
      </w:pPr>
      <w:r>
        <w:t>The number of domestic students undertaking study with Public Universities increased by 1.7%, from 709,948 in 2006 to 722,372 in 2007. The number of overseas students increased by 3.2%, from 246,567 in 2006 to 254,414 in 2007.</w:t>
      </w:r>
    </w:p>
    <w:p w:rsidR="006918DC" w:rsidRDefault="006918DC" w:rsidP="006918DC">
      <w:pPr>
        <w:pStyle w:val="Brief-BODYTEXT"/>
        <w:rPr>
          <w:b/>
        </w:rPr>
      </w:pPr>
    </w:p>
    <w:p w:rsidR="006918DC" w:rsidRDefault="006918DC" w:rsidP="006918DC">
      <w:pPr>
        <w:pStyle w:val="Brief-BODYTEXT"/>
        <w:rPr>
          <w:b/>
        </w:rPr>
      </w:pPr>
      <w:r>
        <w:rPr>
          <w:b/>
        </w:rPr>
        <w:t>Commencing student numbers:</w:t>
      </w:r>
    </w:p>
    <w:p w:rsidR="006918DC" w:rsidRDefault="006918DC" w:rsidP="006918DC">
      <w:pPr>
        <w:pStyle w:val="Brief-BODYTEXT"/>
        <w:numPr>
          <w:ilvl w:val="0"/>
          <w:numId w:val="3"/>
        </w:numPr>
        <w:tabs>
          <w:tab w:val="clear" w:pos="720"/>
          <w:tab w:val="num" w:pos="400"/>
        </w:tabs>
        <w:ind w:left="400"/>
      </w:pPr>
      <w:r>
        <w:t xml:space="preserve">The number of commencing students in 2007 was 408,334, having increased by 7.0% from 381,699 in 2006. The number of commencing students undertaking study with Public Universities increased by 3.3% from 367,094 in 2006 to 379,299 in 2007. </w:t>
      </w:r>
    </w:p>
    <w:p w:rsidR="006918DC" w:rsidRDefault="006918DC" w:rsidP="006918DC">
      <w:pPr>
        <w:pStyle w:val="Brief-BODYTEXT"/>
        <w:numPr>
          <w:ilvl w:val="0"/>
          <w:numId w:val="3"/>
        </w:numPr>
        <w:tabs>
          <w:tab w:val="clear" w:pos="720"/>
          <w:tab w:val="num" w:pos="400"/>
        </w:tabs>
        <w:ind w:left="400"/>
      </w:pPr>
      <w:r>
        <w:t xml:space="preserve">Of the 408,334 commencing students in 2007, 69.0% were domestic students and 31.0% were overseas students. </w:t>
      </w:r>
    </w:p>
    <w:p w:rsidR="006918DC" w:rsidRDefault="006918DC" w:rsidP="006918DC">
      <w:pPr>
        <w:pStyle w:val="Brief-BODYTEXT"/>
        <w:numPr>
          <w:ilvl w:val="0"/>
          <w:numId w:val="3"/>
        </w:numPr>
        <w:tabs>
          <w:tab w:val="clear" w:pos="720"/>
          <w:tab w:val="num" w:pos="400"/>
        </w:tabs>
        <w:ind w:left="400"/>
      </w:pPr>
      <w:r>
        <w:t>The number of commencing domestic students increased by 4.2% from 270,236 in 2006 to 281,625 in 2007. The number of commencing overseas students increased by 13.7% from 111,463 to 126,709 over the same period. The number of commencing domestic students undertaking study with Public Universities increased by 2.4% from 258,302 in 2006 to 264,575 in 2007, while commencing overseas student numbers increased by 5.5% across the same period (from 108,792 to 114,724).</w:t>
      </w:r>
    </w:p>
    <w:p w:rsidR="006918DC" w:rsidRDefault="006918DC" w:rsidP="006918DC">
      <w:pPr>
        <w:pStyle w:val="Brief-BODYTEXT"/>
        <w:numPr>
          <w:ilvl w:val="0"/>
          <w:numId w:val="3"/>
        </w:numPr>
        <w:tabs>
          <w:tab w:val="clear" w:pos="720"/>
          <w:tab w:val="num" w:pos="400"/>
        </w:tabs>
        <w:ind w:left="400"/>
      </w:pPr>
      <w:r>
        <w:t xml:space="preserve">Males represented 44.4% (181,109) of all commencing students in 2007, while 55.6% were females (227,225). </w:t>
      </w:r>
    </w:p>
    <w:p w:rsidR="006918DC" w:rsidRDefault="006918DC" w:rsidP="006918DC">
      <w:pPr>
        <w:pStyle w:val="Brief-BODYTEXT"/>
        <w:tabs>
          <w:tab w:val="num" w:pos="400"/>
        </w:tabs>
        <w:ind w:left="400"/>
        <w:rPr>
          <w:b/>
        </w:rPr>
      </w:pPr>
    </w:p>
    <w:p w:rsidR="006918DC" w:rsidRDefault="006918DC" w:rsidP="006918DC">
      <w:pPr>
        <w:pStyle w:val="Brief-BODYTEXT"/>
        <w:rPr>
          <w:b/>
        </w:rPr>
      </w:pPr>
      <w:r>
        <w:rPr>
          <w:b/>
        </w:rPr>
        <w:t>Indigenous student numbers:</w:t>
      </w:r>
    </w:p>
    <w:p w:rsidR="006918DC" w:rsidRDefault="006918DC" w:rsidP="006918DC">
      <w:pPr>
        <w:pStyle w:val="Brief-BODYTEXT"/>
        <w:numPr>
          <w:ilvl w:val="0"/>
          <w:numId w:val="4"/>
        </w:numPr>
        <w:tabs>
          <w:tab w:val="clear" w:pos="720"/>
          <w:tab w:val="num" w:pos="400"/>
        </w:tabs>
        <w:ind w:left="400"/>
      </w:pPr>
      <w:r>
        <w:t xml:space="preserve">Aboriginal and Torres Strait Islander students represented less than one percent (0.9%) (9,370) of all students in 2007. The number of Aboriginal and Torres Straight Islander students reported by Public Universities increased by 5.4% from 8,739 in 2006 to 9,215 in 2007. The number of Aboriginal and Torres Strait Islander students commencing at Public Universities increased by 4.2% from 3,792 to 3,953 for the same period. </w:t>
      </w:r>
    </w:p>
    <w:p w:rsidR="006918DC" w:rsidRDefault="006918DC" w:rsidP="006918DC">
      <w:pPr>
        <w:pStyle w:val="Brief-BODYTEXT"/>
        <w:rPr>
          <w:b/>
        </w:rPr>
      </w:pPr>
    </w:p>
    <w:p w:rsidR="006918DC" w:rsidRDefault="006918DC" w:rsidP="006918DC">
      <w:pPr>
        <w:pStyle w:val="Brief-BODYTEXT"/>
        <w:rPr>
          <w:b/>
        </w:rPr>
      </w:pPr>
      <w:r>
        <w:rPr>
          <w:b/>
        </w:rPr>
        <w:t>National Priority Areas and medicine:</w:t>
      </w:r>
    </w:p>
    <w:p w:rsidR="006918DC" w:rsidRDefault="006918DC" w:rsidP="006918DC">
      <w:pPr>
        <w:pStyle w:val="Brief-BODYTEXT"/>
        <w:numPr>
          <w:ilvl w:val="0"/>
          <w:numId w:val="5"/>
        </w:numPr>
        <w:tabs>
          <w:tab w:val="clear" w:pos="720"/>
          <w:tab w:val="num" w:pos="400"/>
        </w:tabs>
        <w:ind w:left="400"/>
      </w:pPr>
      <w:r>
        <w:t xml:space="preserve">The number of students commencing courses leading to Provisional Registration as a Medical Practitioner increased substantially by </w:t>
      </w:r>
      <w:r w:rsidR="006624AC">
        <w:t>21.8</w:t>
      </w:r>
      <w:r>
        <w:t>%, from 2,565 in 2006 to 3,</w:t>
      </w:r>
      <w:r w:rsidR="006624AC">
        <w:t>124</w:t>
      </w:r>
      <w:r>
        <w:t xml:space="preserve"> in 2007. There were also increases in the number of students commencing courses leading to Initial Registration as Nurses (up 11.6%, from 12,036 in 2006 to 13,434 in 2007), and in the number of students commencing courses providing Initial Teacher Training (up 4.0% from 25,155 to 26,159).</w:t>
      </w:r>
    </w:p>
    <w:p w:rsidR="006918DC" w:rsidRDefault="006918DC" w:rsidP="006918DC">
      <w:pPr>
        <w:pStyle w:val="Brief-BODYTEXT"/>
        <w:numPr>
          <w:ilvl w:val="0"/>
          <w:numId w:val="5"/>
        </w:numPr>
        <w:tabs>
          <w:tab w:val="clear" w:pos="720"/>
          <w:tab w:val="num" w:pos="400"/>
        </w:tabs>
        <w:ind w:left="400"/>
      </w:pPr>
      <w:r>
        <w:t xml:space="preserve">Over the same period, the number of commencing students at Public Universities undertaking courses leading to Provisional Registration as a Medical Practitioner increased substantially by </w:t>
      </w:r>
      <w:r w:rsidR="006624AC">
        <w:t>23.0</w:t>
      </w:r>
      <w:r>
        <w:t>% (from 2,396 to 2,</w:t>
      </w:r>
      <w:r w:rsidR="006624AC">
        <w:t>946</w:t>
      </w:r>
      <w:r>
        <w:t>). Students commencing in courses leading to Initial Registration as Nurses also increased by 11.2% (from 11,764 to 13,078), while students commencing in courses providing Initial Teacher Training increased by 3.9% (from 24,022 to 24,948).</w:t>
      </w:r>
    </w:p>
    <w:p w:rsidR="006918DC" w:rsidRDefault="006918DC" w:rsidP="006918DC">
      <w:pPr>
        <w:pStyle w:val="Brief-BODYTEXT"/>
        <w:rPr>
          <w:b/>
        </w:rPr>
      </w:pPr>
    </w:p>
    <w:p w:rsidR="006918DC" w:rsidRDefault="006918DC" w:rsidP="006918DC">
      <w:pPr>
        <w:pStyle w:val="Brief-BODYTEXT"/>
        <w:rPr>
          <w:b/>
        </w:rPr>
      </w:pPr>
      <w:r>
        <w:rPr>
          <w:b/>
        </w:rPr>
        <w:t>Field of Education:</w:t>
      </w:r>
    </w:p>
    <w:p w:rsidR="006918DC" w:rsidRPr="00503C0E" w:rsidRDefault="006918DC" w:rsidP="006918DC">
      <w:pPr>
        <w:pStyle w:val="Brief-BODYTEXT"/>
        <w:numPr>
          <w:ilvl w:val="0"/>
          <w:numId w:val="6"/>
        </w:numPr>
        <w:tabs>
          <w:tab w:val="clear" w:pos="720"/>
          <w:tab w:val="num" w:pos="400"/>
        </w:tabs>
        <w:ind w:left="400"/>
      </w:pPr>
      <w:r>
        <w:t xml:space="preserve">A comparison of commencing students at Public Universities by broad field of education shows strong increases between 2006 and 2007 in Health (up 9.9%), Engineering and Related Technologies (up 8.7%), and Architecture and Building (up 8.3%). There were also modest increases in the fields of Management and Commerce (up 4.4%), Agriculture, Environmental and Related Studies (up 3.8%), Natural and Physical Sciences (up 3.1%), Creative Arts (2.6%) and Society and Culture (0.7%). The number of commencing students in the field of Information Technology declined by 4.0%, a much smaller decrease than in the period between 2004 and 2006 when the decreases were </w:t>
      </w:r>
      <w:r w:rsidRPr="00503C0E">
        <w:t>between 10 and 20%.</w:t>
      </w:r>
      <w:r>
        <w:t xml:space="preserve"> There was also a small decrease in the number of students commencing courses </w:t>
      </w:r>
      <w:r w:rsidRPr="00503C0E">
        <w:t>in Education (down 0.4%).</w:t>
      </w:r>
    </w:p>
    <w:p w:rsidR="006918DC" w:rsidRPr="00503C0E" w:rsidRDefault="006918DC" w:rsidP="006918DC">
      <w:pPr>
        <w:pStyle w:val="Brief-BODYTEXT"/>
        <w:numPr>
          <w:ilvl w:val="0"/>
          <w:numId w:val="6"/>
        </w:numPr>
        <w:tabs>
          <w:tab w:val="clear" w:pos="720"/>
          <w:tab w:val="num" w:pos="400"/>
        </w:tabs>
        <w:ind w:left="400"/>
      </w:pPr>
      <w:r w:rsidRPr="00503C0E">
        <w:t>The substantial increase in the number of commencements in the field of En</w:t>
      </w:r>
      <w:r>
        <w:t>gineering and Related Technologies</w:t>
      </w:r>
      <w:r w:rsidRPr="00503C0E">
        <w:t xml:space="preserve"> is a change from previous years—between 2005 and 2006 there was a small increase of 1.4% in the number of commencements while between 2003 and 2005 the numbers declined each year. The increase in 2007 is due partly to an extra 510 Commonwealth supported places offered in 2007. An extra 560 places will be offered in 2008.</w:t>
      </w:r>
    </w:p>
    <w:p w:rsidR="006918DC" w:rsidRDefault="006918DC" w:rsidP="006918DC"/>
    <w:p w:rsidR="00FD16BC" w:rsidRDefault="00FD16BC" w:rsidP="00E65DE5"/>
    <w:sectPr w:rsidR="00FD16BC">
      <w:headerReference w:type="first" r:id="rId8"/>
      <w:pgSz w:w="11907" w:h="16840" w:code="9"/>
      <w:pgMar w:top="357" w:right="709" w:bottom="244" w:left="567" w:header="0" w:footer="2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535" w:rsidRDefault="00675535">
      <w:r>
        <w:separator/>
      </w:r>
    </w:p>
  </w:endnote>
  <w:endnote w:type="continuationSeparator" w:id="0">
    <w:p w:rsidR="00675535" w:rsidRDefault="0067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535" w:rsidRDefault="00675535">
      <w:r>
        <w:separator/>
      </w:r>
    </w:p>
  </w:footnote>
  <w:footnote w:type="continuationSeparator" w:id="0">
    <w:p w:rsidR="00675535" w:rsidRDefault="00675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8DC" w:rsidRDefault="006918DC">
    <w:pPr>
      <w:pStyle w:val="Header"/>
      <w:tabs>
        <w:tab w:val="left" w:pos="10206"/>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37BE"/>
    <w:multiLevelType w:val="hybridMultilevel"/>
    <w:tmpl w:val="B0401582"/>
    <w:lvl w:ilvl="0" w:tplc="0C090001">
      <w:start w:val="1"/>
      <w:numFmt w:val="bullet"/>
      <w:lvlText w:val=""/>
      <w:lvlJc w:val="left"/>
      <w:pPr>
        <w:tabs>
          <w:tab w:val="num" w:pos="720"/>
        </w:tabs>
        <w:ind w:left="720" w:hanging="360"/>
      </w:pPr>
      <w:rPr>
        <w:rFonts w:ascii="Symbol" w:hAnsi="Symbol" w:hint="default"/>
      </w:rPr>
    </w:lvl>
    <w:lvl w:ilvl="1" w:tplc="E7C2B36C" w:tentative="1">
      <w:start w:val="1"/>
      <w:numFmt w:val="lowerLetter"/>
      <w:lvlText w:val="%2."/>
      <w:lvlJc w:val="left"/>
      <w:pPr>
        <w:tabs>
          <w:tab w:val="num" w:pos="1080"/>
        </w:tabs>
        <w:ind w:left="1080" w:hanging="360"/>
      </w:pPr>
      <w:rPr>
        <w:rFonts w:cs="Times New Roman"/>
      </w:rPr>
    </w:lvl>
    <w:lvl w:ilvl="2" w:tplc="A8B49C94" w:tentative="1">
      <w:start w:val="1"/>
      <w:numFmt w:val="lowerRoman"/>
      <w:lvlText w:val="%3."/>
      <w:lvlJc w:val="right"/>
      <w:pPr>
        <w:tabs>
          <w:tab w:val="num" w:pos="1800"/>
        </w:tabs>
        <w:ind w:left="1800" w:hanging="180"/>
      </w:pPr>
      <w:rPr>
        <w:rFonts w:cs="Times New Roman"/>
      </w:rPr>
    </w:lvl>
    <w:lvl w:ilvl="3" w:tplc="755CD12C" w:tentative="1">
      <w:start w:val="1"/>
      <w:numFmt w:val="decimal"/>
      <w:lvlText w:val="%4."/>
      <w:lvlJc w:val="left"/>
      <w:pPr>
        <w:tabs>
          <w:tab w:val="num" w:pos="2520"/>
        </w:tabs>
        <w:ind w:left="2520" w:hanging="360"/>
      </w:pPr>
      <w:rPr>
        <w:rFonts w:cs="Times New Roman"/>
      </w:rPr>
    </w:lvl>
    <w:lvl w:ilvl="4" w:tplc="FF9E0C7C" w:tentative="1">
      <w:start w:val="1"/>
      <w:numFmt w:val="lowerLetter"/>
      <w:lvlText w:val="%5."/>
      <w:lvlJc w:val="left"/>
      <w:pPr>
        <w:tabs>
          <w:tab w:val="num" w:pos="3240"/>
        </w:tabs>
        <w:ind w:left="3240" w:hanging="360"/>
      </w:pPr>
      <w:rPr>
        <w:rFonts w:cs="Times New Roman"/>
      </w:rPr>
    </w:lvl>
    <w:lvl w:ilvl="5" w:tplc="473414A6" w:tentative="1">
      <w:start w:val="1"/>
      <w:numFmt w:val="lowerRoman"/>
      <w:lvlText w:val="%6."/>
      <w:lvlJc w:val="right"/>
      <w:pPr>
        <w:tabs>
          <w:tab w:val="num" w:pos="3960"/>
        </w:tabs>
        <w:ind w:left="3960" w:hanging="180"/>
      </w:pPr>
      <w:rPr>
        <w:rFonts w:cs="Times New Roman"/>
      </w:rPr>
    </w:lvl>
    <w:lvl w:ilvl="6" w:tplc="6B4000EE" w:tentative="1">
      <w:start w:val="1"/>
      <w:numFmt w:val="decimal"/>
      <w:lvlText w:val="%7."/>
      <w:lvlJc w:val="left"/>
      <w:pPr>
        <w:tabs>
          <w:tab w:val="num" w:pos="4680"/>
        </w:tabs>
        <w:ind w:left="4680" w:hanging="360"/>
      </w:pPr>
      <w:rPr>
        <w:rFonts w:cs="Times New Roman"/>
      </w:rPr>
    </w:lvl>
    <w:lvl w:ilvl="7" w:tplc="F1000F42" w:tentative="1">
      <w:start w:val="1"/>
      <w:numFmt w:val="lowerLetter"/>
      <w:lvlText w:val="%8."/>
      <w:lvlJc w:val="left"/>
      <w:pPr>
        <w:tabs>
          <w:tab w:val="num" w:pos="5400"/>
        </w:tabs>
        <w:ind w:left="5400" w:hanging="360"/>
      </w:pPr>
      <w:rPr>
        <w:rFonts w:cs="Times New Roman"/>
      </w:rPr>
    </w:lvl>
    <w:lvl w:ilvl="8" w:tplc="D28A8BAC" w:tentative="1">
      <w:start w:val="1"/>
      <w:numFmt w:val="lowerRoman"/>
      <w:lvlText w:val="%9."/>
      <w:lvlJc w:val="right"/>
      <w:pPr>
        <w:tabs>
          <w:tab w:val="num" w:pos="6120"/>
        </w:tabs>
        <w:ind w:left="6120" w:hanging="180"/>
      </w:pPr>
      <w:rPr>
        <w:rFonts w:cs="Times New Roman"/>
      </w:rPr>
    </w:lvl>
  </w:abstractNum>
  <w:abstractNum w:abstractNumId="1">
    <w:nsid w:val="1CC31311"/>
    <w:multiLevelType w:val="hybridMultilevel"/>
    <w:tmpl w:val="93D869EC"/>
    <w:lvl w:ilvl="0" w:tplc="0C090001">
      <w:start w:val="1"/>
      <w:numFmt w:val="bullet"/>
      <w:lvlText w:val=""/>
      <w:lvlJc w:val="left"/>
      <w:pPr>
        <w:tabs>
          <w:tab w:val="num" w:pos="720"/>
        </w:tabs>
        <w:ind w:left="720" w:hanging="360"/>
      </w:pPr>
      <w:rPr>
        <w:rFonts w:ascii="Symbol" w:hAnsi="Symbol" w:hint="default"/>
      </w:rPr>
    </w:lvl>
    <w:lvl w:ilvl="1" w:tplc="986CE8C6" w:tentative="1">
      <w:start w:val="1"/>
      <w:numFmt w:val="lowerLetter"/>
      <w:lvlText w:val="%2."/>
      <w:lvlJc w:val="left"/>
      <w:pPr>
        <w:tabs>
          <w:tab w:val="num" w:pos="1080"/>
        </w:tabs>
        <w:ind w:left="1080" w:hanging="360"/>
      </w:pPr>
      <w:rPr>
        <w:rFonts w:cs="Times New Roman"/>
      </w:rPr>
    </w:lvl>
    <w:lvl w:ilvl="2" w:tplc="AA7E311E" w:tentative="1">
      <w:start w:val="1"/>
      <w:numFmt w:val="lowerRoman"/>
      <w:lvlText w:val="%3."/>
      <w:lvlJc w:val="right"/>
      <w:pPr>
        <w:tabs>
          <w:tab w:val="num" w:pos="1800"/>
        </w:tabs>
        <w:ind w:left="1800" w:hanging="180"/>
      </w:pPr>
      <w:rPr>
        <w:rFonts w:cs="Times New Roman"/>
      </w:rPr>
    </w:lvl>
    <w:lvl w:ilvl="3" w:tplc="C3F05F90" w:tentative="1">
      <w:start w:val="1"/>
      <w:numFmt w:val="decimal"/>
      <w:lvlText w:val="%4."/>
      <w:lvlJc w:val="left"/>
      <w:pPr>
        <w:tabs>
          <w:tab w:val="num" w:pos="2520"/>
        </w:tabs>
        <w:ind w:left="2520" w:hanging="360"/>
      </w:pPr>
      <w:rPr>
        <w:rFonts w:cs="Times New Roman"/>
      </w:rPr>
    </w:lvl>
    <w:lvl w:ilvl="4" w:tplc="9CBEA9C2" w:tentative="1">
      <w:start w:val="1"/>
      <w:numFmt w:val="lowerLetter"/>
      <w:lvlText w:val="%5."/>
      <w:lvlJc w:val="left"/>
      <w:pPr>
        <w:tabs>
          <w:tab w:val="num" w:pos="3240"/>
        </w:tabs>
        <w:ind w:left="3240" w:hanging="360"/>
      </w:pPr>
      <w:rPr>
        <w:rFonts w:cs="Times New Roman"/>
      </w:rPr>
    </w:lvl>
    <w:lvl w:ilvl="5" w:tplc="E43C53E0" w:tentative="1">
      <w:start w:val="1"/>
      <w:numFmt w:val="lowerRoman"/>
      <w:lvlText w:val="%6."/>
      <w:lvlJc w:val="right"/>
      <w:pPr>
        <w:tabs>
          <w:tab w:val="num" w:pos="3960"/>
        </w:tabs>
        <w:ind w:left="3960" w:hanging="180"/>
      </w:pPr>
      <w:rPr>
        <w:rFonts w:cs="Times New Roman"/>
      </w:rPr>
    </w:lvl>
    <w:lvl w:ilvl="6" w:tplc="4BB83E80" w:tentative="1">
      <w:start w:val="1"/>
      <w:numFmt w:val="decimal"/>
      <w:lvlText w:val="%7."/>
      <w:lvlJc w:val="left"/>
      <w:pPr>
        <w:tabs>
          <w:tab w:val="num" w:pos="4680"/>
        </w:tabs>
        <w:ind w:left="4680" w:hanging="360"/>
      </w:pPr>
      <w:rPr>
        <w:rFonts w:cs="Times New Roman"/>
      </w:rPr>
    </w:lvl>
    <w:lvl w:ilvl="7" w:tplc="1B0CF98E" w:tentative="1">
      <w:start w:val="1"/>
      <w:numFmt w:val="lowerLetter"/>
      <w:lvlText w:val="%8."/>
      <w:lvlJc w:val="left"/>
      <w:pPr>
        <w:tabs>
          <w:tab w:val="num" w:pos="5400"/>
        </w:tabs>
        <w:ind w:left="5400" w:hanging="360"/>
      </w:pPr>
      <w:rPr>
        <w:rFonts w:cs="Times New Roman"/>
      </w:rPr>
    </w:lvl>
    <w:lvl w:ilvl="8" w:tplc="6AAA56C0" w:tentative="1">
      <w:start w:val="1"/>
      <w:numFmt w:val="lowerRoman"/>
      <w:lvlText w:val="%9."/>
      <w:lvlJc w:val="right"/>
      <w:pPr>
        <w:tabs>
          <w:tab w:val="num" w:pos="6120"/>
        </w:tabs>
        <w:ind w:left="6120" w:hanging="180"/>
      </w:pPr>
      <w:rPr>
        <w:rFonts w:cs="Times New Roman"/>
      </w:rPr>
    </w:lvl>
  </w:abstractNum>
  <w:abstractNum w:abstractNumId="2">
    <w:nsid w:val="2E791452"/>
    <w:multiLevelType w:val="hybridMultilevel"/>
    <w:tmpl w:val="C22A70FE"/>
    <w:lvl w:ilvl="0" w:tplc="0C090001">
      <w:start w:val="1"/>
      <w:numFmt w:val="bullet"/>
      <w:lvlText w:val=""/>
      <w:lvlJc w:val="left"/>
      <w:pPr>
        <w:tabs>
          <w:tab w:val="num" w:pos="720"/>
        </w:tabs>
        <w:ind w:left="720" w:hanging="360"/>
      </w:pPr>
      <w:rPr>
        <w:rFonts w:ascii="Symbol" w:hAnsi="Symbol" w:hint="default"/>
      </w:rPr>
    </w:lvl>
    <w:lvl w:ilvl="1" w:tplc="C600724E" w:tentative="1">
      <w:start w:val="1"/>
      <w:numFmt w:val="lowerLetter"/>
      <w:lvlText w:val="%2."/>
      <w:lvlJc w:val="left"/>
      <w:pPr>
        <w:tabs>
          <w:tab w:val="num" w:pos="1080"/>
        </w:tabs>
        <w:ind w:left="1080" w:hanging="360"/>
      </w:pPr>
      <w:rPr>
        <w:rFonts w:cs="Times New Roman"/>
      </w:rPr>
    </w:lvl>
    <w:lvl w:ilvl="2" w:tplc="782A402E" w:tentative="1">
      <w:start w:val="1"/>
      <w:numFmt w:val="lowerRoman"/>
      <w:lvlText w:val="%3."/>
      <w:lvlJc w:val="right"/>
      <w:pPr>
        <w:tabs>
          <w:tab w:val="num" w:pos="1800"/>
        </w:tabs>
        <w:ind w:left="1800" w:hanging="180"/>
      </w:pPr>
      <w:rPr>
        <w:rFonts w:cs="Times New Roman"/>
      </w:rPr>
    </w:lvl>
    <w:lvl w:ilvl="3" w:tplc="8EDAAEA4" w:tentative="1">
      <w:start w:val="1"/>
      <w:numFmt w:val="decimal"/>
      <w:lvlText w:val="%4."/>
      <w:lvlJc w:val="left"/>
      <w:pPr>
        <w:tabs>
          <w:tab w:val="num" w:pos="2520"/>
        </w:tabs>
        <w:ind w:left="2520" w:hanging="360"/>
      </w:pPr>
      <w:rPr>
        <w:rFonts w:cs="Times New Roman"/>
      </w:rPr>
    </w:lvl>
    <w:lvl w:ilvl="4" w:tplc="43CE9C3A" w:tentative="1">
      <w:start w:val="1"/>
      <w:numFmt w:val="lowerLetter"/>
      <w:lvlText w:val="%5."/>
      <w:lvlJc w:val="left"/>
      <w:pPr>
        <w:tabs>
          <w:tab w:val="num" w:pos="3240"/>
        </w:tabs>
        <w:ind w:left="3240" w:hanging="360"/>
      </w:pPr>
      <w:rPr>
        <w:rFonts w:cs="Times New Roman"/>
      </w:rPr>
    </w:lvl>
    <w:lvl w:ilvl="5" w:tplc="DDC21C46" w:tentative="1">
      <w:start w:val="1"/>
      <w:numFmt w:val="lowerRoman"/>
      <w:lvlText w:val="%6."/>
      <w:lvlJc w:val="right"/>
      <w:pPr>
        <w:tabs>
          <w:tab w:val="num" w:pos="3960"/>
        </w:tabs>
        <w:ind w:left="3960" w:hanging="180"/>
      </w:pPr>
      <w:rPr>
        <w:rFonts w:cs="Times New Roman"/>
      </w:rPr>
    </w:lvl>
    <w:lvl w:ilvl="6" w:tplc="F5D0D70A" w:tentative="1">
      <w:start w:val="1"/>
      <w:numFmt w:val="decimal"/>
      <w:lvlText w:val="%7."/>
      <w:lvlJc w:val="left"/>
      <w:pPr>
        <w:tabs>
          <w:tab w:val="num" w:pos="4680"/>
        </w:tabs>
        <w:ind w:left="4680" w:hanging="360"/>
      </w:pPr>
      <w:rPr>
        <w:rFonts w:cs="Times New Roman"/>
      </w:rPr>
    </w:lvl>
    <w:lvl w:ilvl="7" w:tplc="1A187398" w:tentative="1">
      <w:start w:val="1"/>
      <w:numFmt w:val="lowerLetter"/>
      <w:lvlText w:val="%8."/>
      <w:lvlJc w:val="left"/>
      <w:pPr>
        <w:tabs>
          <w:tab w:val="num" w:pos="5400"/>
        </w:tabs>
        <w:ind w:left="5400" w:hanging="360"/>
      </w:pPr>
      <w:rPr>
        <w:rFonts w:cs="Times New Roman"/>
      </w:rPr>
    </w:lvl>
    <w:lvl w:ilvl="8" w:tplc="2DCC474C" w:tentative="1">
      <w:start w:val="1"/>
      <w:numFmt w:val="lowerRoman"/>
      <w:lvlText w:val="%9."/>
      <w:lvlJc w:val="right"/>
      <w:pPr>
        <w:tabs>
          <w:tab w:val="num" w:pos="6120"/>
        </w:tabs>
        <w:ind w:left="6120" w:hanging="180"/>
      </w:pPr>
      <w:rPr>
        <w:rFonts w:cs="Times New Roman"/>
      </w:rPr>
    </w:lvl>
  </w:abstractNum>
  <w:abstractNum w:abstractNumId="3">
    <w:nsid w:val="3A3E2151"/>
    <w:multiLevelType w:val="hybridMultilevel"/>
    <w:tmpl w:val="19AE9106"/>
    <w:lvl w:ilvl="0" w:tplc="0C090001">
      <w:start w:val="1"/>
      <w:numFmt w:val="bullet"/>
      <w:lvlText w:val=""/>
      <w:lvlJc w:val="left"/>
      <w:pPr>
        <w:tabs>
          <w:tab w:val="num" w:pos="720"/>
        </w:tabs>
        <w:ind w:left="720" w:hanging="360"/>
      </w:pPr>
      <w:rPr>
        <w:rFonts w:ascii="Symbol" w:hAnsi="Symbol" w:hint="default"/>
      </w:rPr>
    </w:lvl>
    <w:lvl w:ilvl="1" w:tplc="1A524336" w:tentative="1">
      <w:start w:val="1"/>
      <w:numFmt w:val="lowerLetter"/>
      <w:lvlText w:val="%2."/>
      <w:lvlJc w:val="left"/>
      <w:pPr>
        <w:tabs>
          <w:tab w:val="num" w:pos="1080"/>
        </w:tabs>
        <w:ind w:left="1080" w:hanging="360"/>
      </w:pPr>
      <w:rPr>
        <w:rFonts w:cs="Times New Roman"/>
      </w:rPr>
    </w:lvl>
    <w:lvl w:ilvl="2" w:tplc="E1B8D126" w:tentative="1">
      <w:start w:val="1"/>
      <w:numFmt w:val="lowerRoman"/>
      <w:lvlText w:val="%3."/>
      <w:lvlJc w:val="right"/>
      <w:pPr>
        <w:tabs>
          <w:tab w:val="num" w:pos="1800"/>
        </w:tabs>
        <w:ind w:left="1800" w:hanging="180"/>
      </w:pPr>
      <w:rPr>
        <w:rFonts w:cs="Times New Roman"/>
      </w:rPr>
    </w:lvl>
    <w:lvl w:ilvl="3" w:tplc="29447E60" w:tentative="1">
      <w:start w:val="1"/>
      <w:numFmt w:val="decimal"/>
      <w:lvlText w:val="%4."/>
      <w:lvlJc w:val="left"/>
      <w:pPr>
        <w:tabs>
          <w:tab w:val="num" w:pos="2520"/>
        </w:tabs>
        <w:ind w:left="2520" w:hanging="360"/>
      </w:pPr>
      <w:rPr>
        <w:rFonts w:cs="Times New Roman"/>
      </w:rPr>
    </w:lvl>
    <w:lvl w:ilvl="4" w:tplc="92F8C64A" w:tentative="1">
      <w:start w:val="1"/>
      <w:numFmt w:val="lowerLetter"/>
      <w:lvlText w:val="%5."/>
      <w:lvlJc w:val="left"/>
      <w:pPr>
        <w:tabs>
          <w:tab w:val="num" w:pos="3240"/>
        </w:tabs>
        <w:ind w:left="3240" w:hanging="360"/>
      </w:pPr>
      <w:rPr>
        <w:rFonts w:cs="Times New Roman"/>
      </w:rPr>
    </w:lvl>
    <w:lvl w:ilvl="5" w:tplc="9E1E78F8" w:tentative="1">
      <w:start w:val="1"/>
      <w:numFmt w:val="lowerRoman"/>
      <w:lvlText w:val="%6."/>
      <w:lvlJc w:val="right"/>
      <w:pPr>
        <w:tabs>
          <w:tab w:val="num" w:pos="3960"/>
        </w:tabs>
        <w:ind w:left="3960" w:hanging="180"/>
      </w:pPr>
      <w:rPr>
        <w:rFonts w:cs="Times New Roman"/>
      </w:rPr>
    </w:lvl>
    <w:lvl w:ilvl="6" w:tplc="5F54812E" w:tentative="1">
      <w:start w:val="1"/>
      <w:numFmt w:val="decimal"/>
      <w:lvlText w:val="%7."/>
      <w:lvlJc w:val="left"/>
      <w:pPr>
        <w:tabs>
          <w:tab w:val="num" w:pos="4680"/>
        </w:tabs>
        <w:ind w:left="4680" w:hanging="360"/>
      </w:pPr>
      <w:rPr>
        <w:rFonts w:cs="Times New Roman"/>
      </w:rPr>
    </w:lvl>
    <w:lvl w:ilvl="7" w:tplc="61F69468" w:tentative="1">
      <w:start w:val="1"/>
      <w:numFmt w:val="lowerLetter"/>
      <w:lvlText w:val="%8."/>
      <w:lvlJc w:val="left"/>
      <w:pPr>
        <w:tabs>
          <w:tab w:val="num" w:pos="5400"/>
        </w:tabs>
        <w:ind w:left="5400" w:hanging="360"/>
      </w:pPr>
      <w:rPr>
        <w:rFonts w:cs="Times New Roman"/>
      </w:rPr>
    </w:lvl>
    <w:lvl w:ilvl="8" w:tplc="01E40458" w:tentative="1">
      <w:start w:val="1"/>
      <w:numFmt w:val="lowerRoman"/>
      <w:lvlText w:val="%9."/>
      <w:lvlJc w:val="right"/>
      <w:pPr>
        <w:tabs>
          <w:tab w:val="num" w:pos="6120"/>
        </w:tabs>
        <w:ind w:left="6120" w:hanging="180"/>
      </w:pPr>
      <w:rPr>
        <w:rFonts w:cs="Times New Roman"/>
      </w:rPr>
    </w:lvl>
  </w:abstractNum>
  <w:abstractNum w:abstractNumId="4">
    <w:nsid w:val="4B7E583A"/>
    <w:multiLevelType w:val="hybridMultilevel"/>
    <w:tmpl w:val="D7CC62D0"/>
    <w:lvl w:ilvl="0" w:tplc="0C090001">
      <w:start w:val="1"/>
      <w:numFmt w:val="bullet"/>
      <w:lvlText w:val=""/>
      <w:lvlJc w:val="left"/>
      <w:pPr>
        <w:tabs>
          <w:tab w:val="num" w:pos="720"/>
        </w:tabs>
        <w:ind w:left="720" w:hanging="360"/>
      </w:pPr>
      <w:rPr>
        <w:rFonts w:ascii="Symbol" w:hAnsi="Symbol" w:hint="default"/>
      </w:rPr>
    </w:lvl>
    <w:lvl w:ilvl="1" w:tplc="F68A9BFE" w:tentative="1">
      <w:start w:val="1"/>
      <w:numFmt w:val="lowerLetter"/>
      <w:lvlText w:val="%2."/>
      <w:lvlJc w:val="left"/>
      <w:pPr>
        <w:tabs>
          <w:tab w:val="num" w:pos="1080"/>
        </w:tabs>
        <w:ind w:left="1080" w:hanging="360"/>
      </w:pPr>
      <w:rPr>
        <w:rFonts w:cs="Times New Roman"/>
      </w:rPr>
    </w:lvl>
    <w:lvl w:ilvl="2" w:tplc="E4B0DCA6" w:tentative="1">
      <w:start w:val="1"/>
      <w:numFmt w:val="lowerRoman"/>
      <w:lvlText w:val="%3."/>
      <w:lvlJc w:val="right"/>
      <w:pPr>
        <w:tabs>
          <w:tab w:val="num" w:pos="1800"/>
        </w:tabs>
        <w:ind w:left="1800" w:hanging="180"/>
      </w:pPr>
      <w:rPr>
        <w:rFonts w:cs="Times New Roman"/>
      </w:rPr>
    </w:lvl>
    <w:lvl w:ilvl="3" w:tplc="60C62304" w:tentative="1">
      <w:start w:val="1"/>
      <w:numFmt w:val="decimal"/>
      <w:lvlText w:val="%4."/>
      <w:lvlJc w:val="left"/>
      <w:pPr>
        <w:tabs>
          <w:tab w:val="num" w:pos="2520"/>
        </w:tabs>
        <w:ind w:left="2520" w:hanging="360"/>
      </w:pPr>
      <w:rPr>
        <w:rFonts w:cs="Times New Roman"/>
      </w:rPr>
    </w:lvl>
    <w:lvl w:ilvl="4" w:tplc="DD8AABD2" w:tentative="1">
      <w:start w:val="1"/>
      <w:numFmt w:val="lowerLetter"/>
      <w:lvlText w:val="%5."/>
      <w:lvlJc w:val="left"/>
      <w:pPr>
        <w:tabs>
          <w:tab w:val="num" w:pos="3240"/>
        </w:tabs>
        <w:ind w:left="3240" w:hanging="360"/>
      </w:pPr>
      <w:rPr>
        <w:rFonts w:cs="Times New Roman"/>
      </w:rPr>
    </w:lvl>
    <w:lvl w:ilvl="5" w:tplc="4C9C6868" w:tentative="1">
      <w:start w:val="1"/>
      <w:numFmt w:val="lowerRoman"/>
      <w:lvlText w:val="%6."/>
      <w:lvlJc w:val="right"/>
      <w:pPr>
        <w:tabs>
          <w:tab w:val="num" w:pos="3960"/>
        </w:tabs>
        <w:ind w:left="3960" w:hanging="180"/>
      </w:pPr>
      <w:rPr>
        <w:rFonts w:cs="Times New Roman"/>
      </w:rPr>
    </w:lvl>
    <w:lvl w:ilvl="6" w:tplc="E452B184" w:tentative="1">
      <w:start w:val="1"/>
      <w:numFmt w:val="decimal"/>
      <w:lvlText w:val="%7."/>
      <w:lvlJc w:val="left"/>
      <w:pPr>
        <w:tabs>
          <w:tab w:val="num" w:pos="4680"/>
        </w:tabs>
        <w:ind w:left="4680" w:hanging="360"/>
      </w:pPr>
      <w:rPr>
        <w:rFonts w:cs="Times New Roman"/>
      </w:rPr>
    </w:lvl>
    <w:lvl w:ilvl="7" w:tplc="A3F469F6" w:tentative="1">
      <w:start w:val="1"/>
      <w:numFmt w:val="lowerLetter"/>
      <w:lvlText w:val="%8."/>
      <w:lvlJc w:val="left"/>
      <w:pPr>
        <w:tabs>
          <w:tab w:val="num" w:pos="5400"/>
        </w:tabs>
        <w:ind w:left="5400" w:hanging="360"/>
      </w:pPr>
      <w:rPr>
        <w:rFonts w:cs="Times New Roman"/>
      </w:rPr>
    </w:lvl>
    <w:lvl w:ilvl="8" w:tplc="8B245E86" w:tentative="1">
      <w:start w:val="1"/>
      <w:numFmt w:val="lowerRoman"/>
      <w:lvlText w:val="%9."/>
      <w:lvlJc w:val="right"/>
      <w:pPr>
        <w:tabs>
          <w:tab w:val="num" w:pos="6120"/>
        </w:tabs>
        <w:ind w:left="6120" w:hanging="180"/>
      </w:pPr>
      <w:rPr>
        <w:rFonts w:cs="Times New Roman"/>
      </w:rPr>
    </w:lvl>
  </w:abstractNum>
  <w:abstractNum w:abstractNumId="5">
    <w:nsid w:val="5EAD5B7F"/>
    <w:multiLevelType w:val="hybridMultilevel"/>
    <w:tmpl w:val="C8CA7E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6918DC"/>
    <w:rsid w:val="00001719"/>
    <w:rsid w:val="00005298"/>
    <w:rsid w:val="000060BF"/>
    <w:rsid w:val="000071CF"/>
    <w:rsid w:val="00011A47"/>
    <w:rsid w:val="00014FC6"/>
    <w:rsid w:val="000169C1"/>
    <w:rsid w:val="000272B8"/>
    <w:rsid w:val="00035011"/>
    <w:rsid w:val="000470F9"/>
    <w:rsid w:val="000635DA"/>
    <w:rsid w:val="00065BE3"/>
    <w:rsid w:val="000715A8"/>
    <w:rsid w:val="00076E7B"/>
    <w:rsid w:val="00077309"/>
    <w:rsid w:val="0009194E"/>
    <w:rsid w:val="00092620"/>
    <w:rsid w:val="000A56A6"/>
    <w:rsid w:val="000A5B8A"/>
    <w:rsid w:val="000B00C4"/>
    <w:rsid w:val="000B0115"/>
    <w:rsid w:val="000C400B"/>
    <w:rsid w:val="000E0616"/>
    <w:rsid w:val="000E111B"/>
    <w:rsid w:val="000F061D"/>
    <w:rsid w:val="000F6FDF"/>
    <w:rsid w:val="00100FFE"/>
    <w:rsid w:val="0010584B"/>
    <w:rsid w:val="00111B6C"/>
    <w:rsid w:val="00122BAA"/>
    <w:rsid w:val="00124469"/>
    <w:rsid w:val="001244AA"/>
    <w:rsid w:val="00132E68"/>
    <w:rsid w:val="00140AB3"/>
    <w:rsid w:val="00151B85"/>
    <w:rsid w:val="00153795"/>
    <w:rsid w:val="00156EA3"/>
    <w:rsid w:val="00160F0C"/>
    <w:rsid w:val="00170947"/>
    <w:rsid w:val="00175A9B"/>
    <w:rsid w:val="00175B51"/>
    <w:rsid w:val="001907D4"/>
    <w:rsid w:val="001924AA"/>
    <w:rsid w:val="00193CEC"/>
    <w:rsid w:val="00195D73"/>
    <w:rsid w:val="00197089"/>
    <w:rsid w:val="00197830"/>
    <w:rsid w:val="001A1411"/>
    <w:rsid w:val="001A2840"/>
    <w:rsid w:val="001A370A"/>
    <w:rsid w:val="001B3F21"/>
    <w:rsid w:val="001C0359"/>
    <w:rsid w:val="001C2A2A"/>
    <w:rsid w:val="001C5273"/>
    <w:rsid w:val="001C6C51"/>
    <w:rsid w:val="001C70F0"/>
    <w:rsid w:val="001C7326"/>
    <w:rsid w:val="001D3028"/>
    <w:rsid w:val="001D5979"/>
    <w:rsid w:val="001D7CE2"/>
    <w:rsid w:val="001E2E29"/>
    <w:rsid w:val="001F7899"/>
    <w:rsid w:val="00213340"/>
    <w:rsid w:val="002139E6"/>
    <w:rsid w:val="00214321"/>
    <w:rsid w:val="0021624A"/>
    <w:rsid w:val="0022316D"/>
    <w:rsid w:val="00233791"/>
    <w:rsid w:val="002438AD"/>
    <w:rsid w:val="00245A8E"/>
    <w:rsid w:val="0024767C"/>
    <w:rsid w:val="00247DBC"/>
    <w:rsid w:val="00254AEF"/>
    <w:rsid w:val="0026766C"/>
    <w:rsid w:val="00275E01"/>
    <w:rsid w:val="00277D33"/>
    <w:rsid w:val="00282F6D"/>
    <w:rsid w:val="002852F4"/>
    <w:rsid w:val="00291359"/>
    <w:rsid w:val="00292DAD"/>
    <w:rsid w:val="00297423"/>
    <w:rsid w:val="002A3700"/>
    <w:rsid w:val="002A5635"/>
    <w:rsid w:val="002A76CC"/>
    <w:rsid w:val="002B2DAB"/>
    <w:rsid w:val="002B7AB3"/>
    <w:rsid w:val="002C1A6F"/>
    <w:rsid w:val="002C6676"/>
    <w:rsid w:val="002C7CAF"/>
    <w:rsid w:val="002E26A9"/>
    <w:rsid w:val="002F4038"/>
    <w:rsid w:val="002F408F"/>
    <w:rsid w:val="0030284D"/>
    <w:rsid w:val="00303ED4"/>
    <w:rsid w:val="003072B9"/>
    <w:rsid w:val="0033251C"/>
    <w:rsid w:val="00341EE0"/>
    <w:rsid w:val="00352DFC"/>
    <w:rsid w:val="00357036"/>
    <w:rsid w:val="0035743E"/>
    <w:rsid w:val="0036286E"/>
    <w:rsid w:val="00363EAB"/>
    <w:rsid w:val="00380496"/>
    <w:rsid w:val="003818A2"/>
    <w:rsid w:val="0038620C"/>
    <w:rsid w:val="003A3853"/>
    <w:rsid w:val="003A6473"/>
    <w:rsid w:val="003A72A3"/>
    <w:rsid w:val="003B5BC7"/>
    <w:rsid w:val="003C0D34"/>
    <w:rsid w:val="003C2F3D"/>
    <w:rsid w:val="003D1538"/>
    <w:rsid w:val="003D2011"/>
    <w:rsid w:val="003D7432"/>
    <w:rsid w:val="003D7852"/>
    <w:rsid w:val="003E1372"/>
    <w:rsid w:val="003E16B5"/>
    <w:rsid w:val="003E19AE"/>
    <w:rsid w:val="003E4384"/>
    <w:rsid w:val="003E58C5"/>
    <w:rsid w:val="003E756C"/>
    <w:rsid w:val="003F24A9"/>
    <w:rsid w:val="003F25B3"/>
    <w:rsid w:val="003F4583"/>
    <w:rsid w:val="00400BCD"/>
    <w:rsid w:val="00404AA6"/>
    <w:rsid w:val="004151E6"/>
    <w:rsid w:val="00425F00"/>
    <w:rsid w:val="0044187B"/>
    <w:rsid w:val="00442583"/>
    <w:rsid w:val="004444A0"/>
    <w:rsid w:val="00445168"/>
    <w:rsid w:val="004464CA"/>
    <w:rsid w:val="00446A3F"/>
    <w:rsid w:val="004479E8"/>
    <w:rsid w:val="00450DBF"/>
    <w:rsid w:val="00453206"/>
    <w:rsid w:val="00453712"/>
    <w:rsid w:val="004548AC"/>
    <w:rsid w:val="00471431"/>
    <w:rsid w:val="00484F4B"/>
    <w:rsid w:val="00485C61"/>
    <w:rsid w:val="004925AB"/>
    <w:rsid w:val="00493DC3"/>
    <w:rsid w:val="00496CB3"/>
    <w:rsid w:val="004A221A"/>
    <w:rsid w:val="004A5516"/>
    <w:rsid w:val="004A5EF2"/>
    <w:rsid w:val="004B41CD"/>
    <w:rsid w:val="004C477D"/>
    <w:rsid w:val="004D2CB1"/>
    <w:rsid w:val="004D7547"/>
    <w:rsid w:val="004D7B92"/>
    <w:rsid w:val="004E3EFC"/>
    <w:rsid w:val="004E78B9"/>
    <w:rsid w:val="004F07F3"/>
    <w:rsid w:val="004F5D62"/>
    <w:rsid w:val="004F6024"/>
    <w:rsid w:val="00501CF0"/>
    <w:rsid w:val="00503C0E"/>
    <w:rsid w:val="00506BEB"/>
    <w:rsid w:val="00513B0F"/>
    <w:rsid w:val="00516E1C"/>
    <w:rsid w:val="0051782B"/>
    <w:rsid w:val="00521823"/>
    <w:rsid w:val="00527CEC"/>
    <w:rsid w:val="005341A9"/>
    <w:rsid w:val="00536A81"/>
    <w:rsid w:val="00542A88"/>
    <w:rsid w:val="00542AD9"/>
    <w:rsid w:val="00545043"/>
    <w:rsid w:val="00545A0C"/>
    <w:rsid w:val="005515CF"/>
    <w:rsid w:val="00551C0C"/>
    <w:rsid w:val="00566CDE"/>
    <w:rsid w:val="005671A3"/>
    <w:rsid w:val="00570290"/>
    <w:rsid w:val="005754F4"/>
    <w:rsid w:val="005823A9"/>
    <w:rsid w:val="005855A7"/>
    <w:rsid w:val="005A0062"/>
    <w:rsid w:val="005A0989"/>
    <w:rsid w:val="005A43B3"/>
    <w:rsid w:val="005A646F"/>
    <w:rsid w:val="005A7713"/>
    <w:rsid w:val="005B3C1A"/>
    <w:rsid w:val="005C261C"/>
    <w:rsid w:val="005C3AF5"/>
    <w:rsid w:val="005C6D65"/>
    <w:rsid w:val="005C701A"/>
    <w:rsid w:val="005C7E79"/>
    <w:rsid w:val="005D0051"/>
    <w:rsid w:val="005D236C"/>
    <w:rsid w:val="005D4C69"/>
    <w:rsid w:val="005E0CD0"/>
    <w:rsid w:val="005E2A24"/>
    <w:rsid w:val="005E49C2"/>
    <w:rsid w:val="005E54CD"/>
    <w:rsid w:val="005E6D18"/>
    <w:rsid w:val="00611357"/>
    <w:rsid w:val="006227D5"/>
    <w:rsid w:val="006243EB"/>
    <w:rsid w:val="0063767E"/>
    <w:rsid w:val="0064317B"/>
    <w:rsid w:val="00647CE3"/>
    <w:rsid w:val="00650086"/>
    <w:rsid w:val="006624AC"/>
    <w:rsid w:val="00662C17"/>
    <w:rsid w:val="006657D4"/>
    <w:rsid w:val="00671294"/>
    <w:rsid w:val="006731BB"/>
    <w:rsid w:val="006752DE"/>
    <w:rsid w:val="00675535"/>
    <w:rsid w:val="0067721B"/>
    <w:rsid w:val="006831A7"/>
    <w:rsid w:val="006918DC"/>
    <w:rsid w:val="00697512"/>
    <w:rsid w:val="006B7C43"/>
    <w:rsid w:val="006C0745"/>
    <w:rsid w:val="006C0838"/>
    <w:rsid w:val="006C2B96"/>
    <w:rsid w:val="006C6668"/>
    <w:rsid w:val="006C7A9C"/>
    <w:rsid w:val="006C7B07"/>
    <w:rsid w:val="006E1E6F"/>
    <w:rsid w:val="006E3054"/>
    <w:rsid w:val="006E6557"/>
    <w:rsid w:val="006E742D"/>
    <w:rsid w:val="006E7CC2"/>
    <w:rsid w:val="006F16D7"/>
    <w:rsid w:val="006F55A6"/>
    <w:rsid w:val="00712E26"/>
    <w:rsid w:val="00713782"/>
    <w:rsid w:val="0071678C"/>
    <w:rsid w:val="00720096"/>
    <w:rsid w:val="00723A54"/>
    <w:rsid w:val="00724D89"/>
    <w:rsid w:val="00735A91"/>
    <w:rsid w:val="00737AB0"/>
    <w:rsid w:val="00737DD5"/>
    <w:rsid w:val="00740C5F"/>
    <w:rsid w:val="007440AA"/>
    <w:rsid w:val="007450BF"/>
    <w:rsid w:val="00746238"/>
    <w:rsid w:val="00751C17"/>
    <w:rsid w:val="00754FB5"/>
    <w:rsid w:val="007558A3"/>
    <w:rsid w:val="00760AEE"/>
    <w:rsid w:val="007632C6"/>
    <w:rsid w:val="00772F43"/>
    <w:rsid w:val="00785B9E"/>
    <w:rsid w:val="007A4F14"/>
    <w:rsid w:val="007B4896"/>
    <w:rsid w:val="007B6674"/>
    <w:rsid w:val="007D30D1"/>
    <w:rsid w:val="007D34F6"/>
    <w:rsid w:val="007D5D7D"/>
    <w:rsid w:val="007D6BA0"/>
    <w:rsid w:val="00804790"/>
    <w:rsid w:val="00813F56"/>
    <w:rsid w:val="00814238"/>
    <w:rsid w:val="00821521"/>
    <w:rsid w:val="008237B3"/>
    <w:rsid w:val="008254D2"/>
    <w:rsid w:val="008439DA"/>
    <w:rsid w:val="00845732"/>
    <w:rsid w:val="00851210"/>
    <w:rsid w:val="008518D2"/>
    <w:rsid w:val="00855956"/>
    <w:rsid w:val="00862197"/>
    <w:rsid w:val="008709D1"/>
    <w:rsid w:val="00870E9D"/>
    <w:rsid w:val="008729F2"/>
    <w:rsid w:val="008842A7"/>
    <w:rsid w:val="008977EA"/>
    <w:rsid w:val="008A069D"/>
    <w:rsid w:val="008A7594"/>
    <w:rsid w:val="008B23F9"/>
    <w:rsid w:val="008C15F7"/>
    <w:rsid w:val="008C18FF"/>
    <w:rsid w:val="008C4FF9"/>
    <w:rsid w:val="008C53C9"/>
    <w:rsid w:val="008D241F"/>
    <w:rsid w:val="008D38C7"/>
    <w:rsid w:val="008E2AAB"/>
    <w:rsid w:val="008E3481"/>
    <w:rsid w:val="008E7F6F"/>
    <w:rsid w:val="008F394E"/>
    <w:rsid w:val="008F3C2C"/>
    <w:rsid w:val="00910BD7"/>
    <w:rsid w:val="0091409A"/>
    <w:rsid w:val="00933A38"/>
    <w:rsid w:val="00937A5E"/>
    <w:rsid w:val="00937C9B"/>
    <w:rsid w:val="009532A8"/>
    <w:rsid w:val="00953FAF"/>
    <w:rsid w:val="00956DE4"/>
    <w:rsid w:val="00960D15"/>
    <w:rsid w:val="00966D9E"/>
    <w:rsid w:val="00967727"/>
    <w:rsid w:val="00967933"/>
    <w:rsid w:val="00972EA6"/>
    <w:rsid w:val="00973F71"/>
    <w:rsid w:val="009741F3"/>
    <w:rsid w:val="0097661F"/>
    <w:rsid w:val="00977863"/>
    <w:rsid w:val="00977A7D"/>
    <w:rsid w:val="00991360"/>
    <w:rsid w:val="00993DC5"/>
    <w:rsid w:val="009944C8"/>
    <w:rsid w:val="009A3DB7"/>
    <w:rsid w:val="009A424F"/>
    <w:rsid w:val="009A4BC0"/>
    <w:rsid w:val="009B2171"/>
    <w:rsid w:val="009B58AF"/>
    <w:rsid w:val="009B66AF"/>
    <w:rsid w:val="009D1285"/>
    <w:rsid w:val="009E44D5"/>
    <w:rsid w:val="009E5BC4"/>
    <w:rsid w:val="009E613B"/>
    <w:rsid w:val="009F00DE"/>
    <w:rsid w:val="009F0640"/>
    <w:rsid w:val="009F1CCA"/>
    <w:rsid w:val="009F388F"/>
    <w:rsid w:val="00A044A9"/>
    <w:rsid w:val="00A0691E"/>
    <w:rsid w:val="00A079D3"/>
    <w:rsid w:val="00A11BEE"/>
    <w:rsid w:val="00A2784F"/>
    <w:rsid w:val="00A3581B"/>
    <w:rsid w:val="00A35BAC"/>
    <w:rsid w:val="00A40E25"/>
    <w:rsid w:val="00A4141B"/>
    <w:rsid w:val="00A45B93"/>
    <w:rsid w:val="00A50137"/>
    <w:rsid w:val="00A538A0"/>
    <w:rsid w:val="00A53EC5"/>
    <w:rsid w:val="00A54FE5"/>
    <w:rsid w:val="00A5503A"/>
    <w:rsid w:val="00A55057"/>
    <w:rsid w:val="00A57CB4"/>
    <w:rsid w:val="00A6356D"/>
    <w:rsid w:val="00A6512A"/>
    <w:rsid w:val="00A65C50"/>
    <w:rsid w:val="00A80A33"/>
    <w:rsid w:val="00A82297"/>
    <w:rsid w:val="00A870AE"/>
    <w:rsid w:val="00A92294"/>
    <w:rsid w:val="00AB2A66"/>
    <w:rsid w:val="00AB4AB0"/>
    <w:rsid w:val="00AC749D"/>
    <w:rsid w:val="00AD2B44"/>
    <w:rsid w:val="00AD491E"/>
    <w:rsid w:val="00AE1FC7"/>
    <w:rsid w:val="00AE218D"/>
    <w:rsid w:val="00AE47DE"/>
    <w:rsid w:val="00AE5DDA"/>
    <w:rsid w:val="00AF4291"/>
    <w:rsid w:val="00AF63EC"/>
    <w:rsid w:val="00B14D76"/>
    <w:rsid w:val="00B22988"/>
    <w:rsid w:val="00B2357C"/>
    <w:rsid w:val="00B2439B"/>
    <w:rsid w:val="00B252F2"/>
    <w:rsid w:val="00B4288D"/>
    <w:rsid w:val="00B4410E"/>
    <w:rsid w:val="00B46E89"/>
    <w:rsid w:val="00B6071F"/>
    <w:rsid w:val="00B63E10"/>
    <w:rsid w:val="00B64463"/>
    <w:rsid w:val="00B6719E"/>
    <w:rsid w:val="00B67354"/>
    <w:rsid w:val="00B70B98"/>
    <w:rsid w:val="00B73E20"/>
    <w:rsid w:val="00B767D0"/>
    <w:rsid w:val="00B8737D"/>
    <w:rsid w:val="00B96567"/>
    <w:rsid w:val="00BB355A"/>
    <w:rsid w:val="00BD05F9"/>
    <w:rsid w:val="00BD4B3D"/>
    <w:rsid w:val="00BD5C62"/>
    <w:rsid w:val="00BE09F8"/>
    <w:rsid w:val="00BE179A"/>
    <w:rsid w:val="00BE5D90"/>
    <w:rsid w:val="00BF1083"/>
    <w:rsid w:val="00BF7290"/>
    <w:rsid w:val="00C0547B"/>
    <w:rsid w:val="00C05C3B"/>
    <w:rsid w:val="00C0696D"/>
    <w:rsid w:val="00C10EEE"/>
    <w:rsid w:val="00C233A0"/>
    <w:rsid w:val="00C27AB3"/>
    <w:rsid w:val="00C27E1E"/>
    <w:rsid w:val="00C30C3B"/>
    <w:rsid w:val="00C44258"/>
    <w:rsid w:val="00C466B3"/>
    <w:rsid w:val="00C55ECE"/>
    <w:rsid w:val="00C60126"/>
    <w:rsid w:val="00C66C89"/>
    <w:rsid w:val="00C80746"/>
    <w:rsid w:val="00C808B9"/>
    <w:rsid w:val="00C844BA"/>
    <w:rsid w:val="00C90B6B"/>
    <w:rsid w:val="00CA677D"/>
    <w:rsid w:val="00CB1031"/>
    <w:rsid w:val="00CB182F"/>
    <w:rsid w:val="00CC138C"/>
    <w:rsid w:val="00CD2DAB"/>
    <w:rsid w:val="00CD5D7F"/>
    <w:rsid w:val="00CD7B56"/>
    <w:rsid w:val="00CE2DC3"/>
    <w:rsid w:val="00CE4F20"/>
    <w:rsid w:val="00CF7C3C"/>
    <w:rsid w:val="00D0689D"/>
    <w:rsid w:val="00D10C31"/>
    <w:rsid w:val="00D13306"/>
    <w:rsid w:val="00D15B6C"/>
    <w:rsid w:val="00D17E6F"/>
    <w:rsid w:val="00D22504"/>
    <w:rsid w:val="00D23BD4"/>
    <w:rsid w:val="00D32966"/>
    <w:rsid w:val="00D33D7E"/>
    <w:rsid w:val="00D34D93"/>
    <w:rsid w:val="00D365AE"/>
    <w:rsid w:val="00D435DA"/>
    <w:rsid w:val="00D45430"/>
    <w:rsid w:val="00D47DF4"/>
    <w:rsid w:val="00D51F69"/>
    <w:rsid w:val="00D53405"/>
    <w:rsid w:val="00D624E5"/>
    <w:rsid w:val="00D721B8"/>
    <w:rsid w:val="00D75299"/>
    <w:rsid w:val="00D91809"/>
    <w:rsid w:val="00D930AB"/>
    <w:rsid w:val="00D946E1"/>
    <w:rsid w:val="00DA549C"/>
    <w:rsid w:val="00DB3801"/>
    <w:rsid w:val="00DC4516"/>
    <w:rsid w:val="00DC6940"/>
    <w:rsid w:val="00DD0D83"/>
    <w:rsid w:val="00DE0A1C"/>
    <w:rsid w:val="00DE326B"/>
    <w:rsid w:val="00DE5F5A"/>
    <w:rsid w:val="00DE74BB"/>
    <w:rsid w:val="00DF0304"/>
    <w:rsid w:val="00DF322F"/>
    <w:rsid w:val="00DF550D"/>
    <w:rsid w:val="00DF6C1A"/>
    <w:rsid w:val="00E04C9E"/>
    <w:rsid w:val="00E17799"/>
    <w:rsid w:val="00E35BB4"/>
    <w:rsid w:val="00E36958"/>
    <w:rsid w:val="00E3725B"/>
    <w:rsid w:val="00E40F21"/>
    <w:rsid w:val="00E56FBF"/>
    <w:rsid w:val="00E624E3"/>
    <w:rsid w:val="00E62708"/>
    <w:rsid w:val="00E635CF"/>
    <w:rsid w:val="00E6376D"/>
    <w:rsid w:val="00E63AD4"/>
    <w:rsid w:val="00E63E12"/>
    <w:rsid w:val="00E65DE5"/>
    <w:rsid w:val="00E660E2"/>
    <w:rsid w:val="00E73CE2"/>
    <w:rsid w:val="00E95E7D"/>
    <w:rsid w:val="00E975D8"/>
    <w:rsid w:val="00EA330C"/>
    <w:rsid w:val="00EA46C9"/>
    <w:rsid w:val="00EA645F"/>
    <w:rsid w:val="00EB1510"/>
    <w:rsid w:val="00EB23B6"/>
    <w:rsid w:val="00EB3532"/>
    <w:rsid w:val="00EB5130"/>
    <w:rsid w:val="00EB5FC4"/>
    <w:rsid w:val="00EB6A7D"/>
    <w:rsid w:val="00EC5AC8"/>
    <w:rsid w:val="00EC780B"/>
    <w:rsid w:val="00ED290C"/>
    <w:rsid w:val="00EF527A"/>
    <w:rsid w:val="00EF6887"/>
    <w:rsid w:val="00F0217B"/>
    <w:rsid w:val="00F02E95"/>
    <w:rsid w:val="00F06D2A"/>
    <w:rsid w:val="00F10F50"/>
    <w:rsid w:val="00F211A0"/>
    <w:rsid w:val="00F22880"/>
    <w:rsid w:val="00F25111"/>
    <w:rsid w:val="00F272CF"/>
    <w:rsid w:val="00F35B11"/>
    <w:rsid w:val="00F46696"/>
    <w:rsid w:val="00F46AD8"/>
    <w:rsid w:val="00F47A94"/>
    <w:rsid w:val="00F51D67"/>
    <w:rsid w:val="00F54BD9"/>
    <w:rsid w:val="00F57B96"/>
    <w:rsid w:val="00F6500F"/>
    <w:rsid w:val="00F70457"/>
    <w:rsid w:val="00F70BB2"/>
    <w:rsid w:val="00F73A85"/>
    <w:rsid w:val="00F808E3"/>
    <w:rsid w:val="00F82247"/>
    <w:rsid w:val="00F93557"/>
    <w:rsid w:val="00FA6479"/>
    <w:rsid w:val="00FB086B"/>
    <w:rsid w:val="00FB23D5"/>
    <w:rsid w:val="00FB2903"/>
    <w:rsid w:val="00FB41FC"/>
    <w:rsid w:val="00FB5CDC"/>
    <w:rsid w:val="00FB5DDF"/>
    <w:rsid w:val="00FD16BC"/>
    <w:rsid w:val="00FD25ED"/>
    <w:rsid w:val="00FD31F6"/>
    <w:rsid w:val="00FD3A68"/>
    <w:rsid w:val="00FE0213"/>
    <w:rsid w:val="00FF2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8DC"/>
    <w:pPr>
      <w:spacing w:after="0" w:line="240" w:lineRule="auto"/>
    </w:pPr>
    <w:rPr>
      <w:rFonts w:ascii="Arial" w:hAnsi="Arial"/>
      <w:szCs w:val="20"/>
      <w:lang w:eastAsia="en-US"/>
    </w:rPr>
  </w:style>
  <w:style w:type="paragraph" w:styleId="Heading1">
    <w:name w:val="heading 1"/>
    <w:basedOn w:val="Normal"/>
    <w:next w:val="Normal"/>
    <w:link w:val="Heading1Char"/>
    <w:uiPriority w:val="99"/>
    <w:qFormat/>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9"/>
    <w:qFormat/>
    <w:rsid w:val="00FD16BC"/>
    <w:pPr>
      <w:keepNext/>
      <w:spacing w:before="240" w:after="60"/>
      <w:outlineLvl w:val="1"/>
    </w:pPr>
    <w:rPr>
      <w:rFonts w:cs="Arial"/>
      <w:b/>
      <w:bCs/>
      <w:iCs/>
      <w:sz w:val="26"/>
      <w:szCs w:val="28"/>
    </w:rPr>
  </w:style>
  <w:style w:type="paragraph" w:styleId="Heading3">
    <w:name w:val="heading 3"/>
    <w:basedOn w:val="Normal"/>
    <w:next w:val="Normal"/>
    <w:link w:val="Heading3Char"/>
    <w:uiPriority w:val="99"/>
    <w:qFormat/>
    <w:rsid w:val="00FD16BC"/>
    <w:pPr>
      <w:keepNext/>
      <w:spacing w:before="240" w:after="60"/>
      <w:outlineLvl w:val="2"/>
    </w:pPr>
    <w:rPr>
      <w:rFonts w:cs="Arial"/>
      <w:b/>
      <w:bCs/>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paragraph" w:styleId="Header">
    <w:name w:val="header"/>
    <w:basedOn w:val="Normal"/>
    <w:link w:val="HeaderChar"/>
    <w:uiPriority w:val="99"/>
    <w:rsid w:val="006918DC"/>
    <w:pPr>
      <w:tabs>
        <w:tab w:val="center" w:pos="4153"/>
        <w:tab w:val="right" w:pos="8306"/>
      </w:tabs>
    </w:pPr>
  </w:style>
  <w:style w:type="character" w:customStyle="1" w:styleId="HeaderChar">
    <w:name w:val="Header Char"/>
    <w:basedOn w:val="DefaultParagraphFont"/>
    <w:link w:val="Header"/>
    <w:uiPriority w:val="99"/>
    <w:semiHidden/>
    <w:rPr>
      <w:rFonts w:ascii="Arial" w:hAnsi="Arial"/>
      <w:szCs w:val="20"/>
      <w:lang w:eastAsia="en-US"/>
    </w:rPr>
  </w:style>
  <w:style w:type="paragraph" w:customStyle="1" w:styleId="Brief-BODYTEXT">
    <w:name w:val="Brief - BODY TEXT"/>
    <w:basedOn w:val="Normal"/>
    <w:uiPriority w:val="99"/>
    <w:rsid w:val="006918DC"/>
    <w:pPr>
      <w:spacing w:line="234" w:lineRule="exac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8DC"/>
    <w:pPr>
      <w:spacing w:after="0" w:line="240" w:lineRule="auto"/>
    </w:pPr>
    <w:rPr>
      <w:rFonts w:ascii="Arial" w:hAnsi="Arial"/>
      <w:szCs w:val="20"/>
      <w:lang w:eastAsia="en-US"/>
    </w:rPr>
  </w:style>
  <w:style w:type="paragraph" w:styleId="Heading1">
    <w:name w:val="heading 1"/>
    <w:basedOn w:val="Normal"/>
    <w:next w:val="Normal"/>
    <w:link w:val="Heading1Char"/>
    <w:uiPriority w:val="99"/>
    <w:qFormat/>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9"/>
    <w:qFormat/>
    <w:rsid w:val="00FD16BC"/>
    <w:pPr>
      <w:keepNext/>
      <w:spacing w:before="240" w:after="60"/>
      <w:outlineLvl w:val="1"/>
    </w:pPr>
    <w:rPr>
      <w:rFonts w:cs="Arial"/>
      <w:b/>
      <w:bCs/>
      <w:iCs/>
      <w:sz w:val="26"/>
      <w:szCs w:val="28"/>
    </w:rPr>
  </w:style>
  <w:style w:type="paragraph" w:styleId="Heading3">
    <w:name w:val="heading 3"/>
    <w:basedOn w:val="Normal"/>
    <w:next w:val="Normal"/>
    <w:link w:val="Heading3Char"/>
    <w:uiPriority w:val="99"/>
    <w:qFormat/>
    <w:rsid w:val="00FD16BC"/>
    <w:pPr>
      <w:keepNext/>
      <w:spacing w:before="240" w:after="60"/>
      <w:outlineLvl w:val="2"/>
    </w:pPr>
    <w:rPr>
      <w:rFonts w:cs="Arial"/>
      <w:b/>
      <w:bCs/>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paragraph" w:styleId="Header">
    <w:name w:val="header"/>
    <w:basedOn w:val="Normal"/>
    <w:link w:val="HeaderChar"/>
    <w:uiPriority w:val="99"/>
    <w:rsid w:val="006918DC"/>
    <w:pPr>
      <w:tabs>
        <w:tab w:val="center" w:pos="4153"/>
        <w:tab w:val="right" w:pos="8306"/>
      </w:tabs>
    </w:pPr>
  </w:style>
  <w:style w:type="character" w:customStyle="1" w:styleId="HeaderChar">
    <w:name w:val="Header Char"/>
    <w:basedOn w:val="DefaultParagraphFont"/>
    <w:link w:val="Header"/>
    <w:uiPriority w:val="99"/>
    <w:semiHidden/>
    <w:rPr>
      <w:rFonts w:ascii="Arial" w:hAnsi="Arial"/>
      <w:szCs w:val="20"/>
      <w:lang w:eastAsia="en-US"/>
    </w:rPr>
  </w:style>
  <w:style w:type="paragraph" w:customStyle="1" w:styleId="Brief-BODYTEXT">
    <w:name w:val="Brief - BODY TEXT"/>
    <w:basedOn w:val="Normal"/>
    <w:uiPriority w:val="99"/>
    <w:rsid w:val="006918DC"/>
    <w:pPr>
      <w:spacing w:line="234" w:lineRule="exac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ECCAAC01.dotm</Template>
  <TotalTime>1</TotalTime>
  <Pages>1</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Attachment A - Summary of the 2007 Student Statistics</vt:lpstr>
    </vt:vector>
  </TitlesOfParts>
  <Company>Department of Education, Science and Training</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 Summary of the 2007 Student Statistics</dc:title>
  <dc:creator>Emily Viner</dc:creator>
  <cp:lastModifiedBy>Glenn L'Huillier</cp:lastModifiedBy>
  <cp:revision>2</cp:revision>
  <dcterms:created xsi:type="dcterms:W3CDTF">2013-12-18T22:21:00Z</dcterms:created>
  <dcterms:modified xsi:type="dcterms:W3CDTF">2013-12-18T22:21:00Z</dcterms:modified>
</cp:coreProperties>
</file>