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FF584" w14:textId="77777777" w:rsidR="00AB1E9A" w:rsidRPr="00AB1E9A" w:rsidRDefault="00AB1E9A" w:rsidP="00AB1E9A">
      <w:pPr>
        <w:rPr>
          <w:b/>
          <w:u w:val="single"/>
        </w:rPr>
      </w:pPr>
    </w:p>
    <w:p w14:paraId="274A9382"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7309B1CC"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55F6DB90"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7A521846"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3A7A2406"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7AC4D7E9"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6C9C0EC3"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39EF3844"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294E520F"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3CAEDC9F"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1B528B11"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48ADD3B5" w14:textId="70818845" w:rsidR="00AB1E9A" w:rsidRPr="00BC1BFD" w:rsidRDefault="00AB364B"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000000" w:themeColor="text1"/>
          <w:spacing w:val="5"/>
          <w:kern w:val="28"/>
          <w:sz w:val="32"/>
          <w:szCs w:val="32"/>
        </w:rPr>
      </w:pPr>
      <w:r w:rsidRPr="00BC1BFD">
        <w:rPr>
          <w:rFonts w:asciiTheme="majorHAnsi" w:eastAsiaTheme="majorEastAsia" w:hAnsiTheme="majorHAnsi" w:cstheme="majorBidi"/>
          <w:b/>
          <w:color w:val="000000" w:themeColor="text1"/>
          <w:spacing w:val="5"/>
          <w:kern w:val="28"/>
          <w:sz w:val="32"/>
          <w:szCs w:val="32"/>
        </w:rPr>
        <w:t>Non-G</w:t>
      </w:r>
      <w:r w:rsidR="00AB1E9A" w:rsidRPr="00BC1BFD">
        <w:rPr>
          <w:rFonts w:asciiTheme="majorHAnsi" w:eastAsiaTheme="majorEastAsia" w:hAnsiTheme="majorHAnsi" w:cstheme="majorBidi"/>
          <w:b/>
          <w:color w:val="000000" w:themeColor="text1"/>
          <w:spacing w:val="5"/>
          <w:kern w:val="28"/>
          <w:sz w:val="32"/>
          <w:szCs w:val="32"/>
        </w:rPr>
        <w:t xml:space="preserve">overnment Reform Support </w:t>
      </w:r>
      <w:r w:rsidR="00794142" w:rsidRPr="00BC1BFD">
        <w:rPr>
          <w:rFonts w:asciiTheme="majorHAnsi" w:eastAsiaTheme="majorEastAsia" w:hAnsiTheme="majorHAnsi" w:cstheme="majorBidi"/>
          <w:b/>
          <w:color w:val="000000" w:themeColor="text1"/>
          <w:spacing w:val="5"/>
          <w:kern w:val="28"/>
          <w:sz w:val="32"/>
          <w:szCs w:val="32"/>
        </w:rPr>
        <w:t>Annual Report</w:t>
      </w:r>
      <w:r w:rsidR="00AB1E9A" w:rsidRPr="00BC1BFD">
        <w:rPr>
          <w:rFonts w:asciiTheme="majorHAnsi" w:eastAsiaTheme="majorEastAsia" w:hAnsiTheme="majorHAnsi" w:cstheme="majorBidi"/>
          <w:b/>
          <w:color w:val="000000" w:themeColor="text1"/>
          <w:spacing w:val="5"/>
          <w:kern w:val="28"/>
          <w:sz w:val="32"/>
          <w:szCs w:val="32"/>
        </w:rPr>
        <w:br/>
      </w:r>
    </w:p>
    <w:p w14:paraId="4F9F9A00" w14:textId="77777777" w:rsidR="00AB1E9A" w:rsidRPr="00BC1BFD"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000000" w:themeColor="text1"/>
          <w:spacing w:val="5"/>
          <w:kern w:val="28"/>
          <w:sz w:val="32"/>
          <w:szCs w:val="32"/>
        </w:rPr>
      </w:pPr>
    </w:p>
    <w:p w14:paraId="38E3C446" w14:textId="77777777" w:rsidR="00AB1E9A" w:rsidRPr="00BC1BFD" w:rsidRDefault="00AB1E9A" w:rsidP="00AB1E9A">
      <w:pPr>
        <w:spacing w:after="240" w:line="300" w:lineRule="exact"/>
        <w:ind w:left="709" w:hanging="709"/>
        <w:rPr>
          <w:rFonts w:ascii="Calibri" w:eastAsia="Times New Roman" w:hAnsi="Calibri" w:cs="Times New Roman"/>
          <w:color w:val="000000" w:themeColor="text1"/>
          <w:szCs w:val="24"/>
        </w:rPr>
      </w:pPr>
    </w:p>
    <w:p w14:paraId="14ED75D8" w14:textId="77777777" w:rsidR="00AB1E9A" w:rsidRPr="00BC1BFD"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000000" w:themeColor="text1"/>
          <w:spacing w:val="5"/>
          <w:kern w:val="28"/>
          <w:sz w:val="40"/>
          <w:szCs w:val="40"/>
        </w:rPr>
      </w:pPr>
    </w:p>
    <w:p w14:paraId="74CE8CB9" w14:textId="6771DA09" w:rsidR="00AB1E9A" w:rsidRPr="00BC1BFD" w:rsidRDefault="00A05226"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000000" w:themeColor="text1"/>
          <w:spacing w:val="5"/>
          <w:kern w:val="28"/>
          <w:sz w:val="36"/>
          <w:szCs w:val="36"/>
        </w:rPr>
      </w:pPr>
      <w:r w:rsidRPr="00BC1BFD">
        <w:rPr>
          <w:rFonts w:asciiTheme="majorHAnsi" w:eastAsiaTheme="majorEastAsia" w:hAnsiTheme="majorHAnsi" w:cstheme="majorBidi"/>
          <w:b/>
          <w:color w:val="000000" w:themeColor="text1"/>
          <w:spacing w:val="5"/>
          <w:kern w:val="28"/>
          <w:sz w:val="36"/>
          <w:szCs w:val="36"/>
        </w:rPr>
        <w:t>202</w:t>
      </w:r>
      <w:r w:rsidR="00E63447" w:rsidRPr="00BC1BFD">
        <w:rPr>
          <w:rFonts w:asciiTheme="majorHAnsi" w:eastAsiaTheme="majorEastAsia" w:hAnsiTheme="majorHAnsi" w:cstheme="majorBidi"/>
          <w:b/>
          <w:color w:val="000000" w:themeColor="text1"/>
          <w:spacing w:val="5"/>
          <w:kern w:val="28"/>
          <w:sz w:val="36"/>
          <w:szCs w:val="36"/>
        </w:rPr>
        <w:t>3</w:t>
      </w:r>
    </w:p>
    <w:p w14:paraId="32F98A52" w14:textId="77777777" w:rsidR="00AB1E9A" w:rsidRPr="00BC1BFD"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000000" w:themeColor="text1"/>
          <w:spacing w:val="5"/>
          <w:kern w:val="28"/>
          <w:sz w:val="36"/>
          <w:szCs w:val="36"/>
        </w:rPr>
      </w:pPr>
    </w:p>
    <w:p w14:paraId="2A3C4208" w14:textId="77777777" w:rsidR="00AB1E9A" w:rsidRPr="00BC1BFD" w:rsidRDefault="00AB1E9A" w:rsidP="00AB1E9A">
      <w:pPr>
        <w:pBdr>
          <w:bottom w:val="single" w:sz="8" w:space="4" w:color="4F81BD" w:themeColor="accent1"/>
        </w:pBdr>
        <w:spacing w:after="300" w:line="300" w:lineRule="exact"/>
        <w:contextualSpacing/>
        <w:rPr>
          <w:rFonts w:asciiTheme="majorHAnsi" w:eastAsiaTheme="majorEastAsia" w:hAnsiTheme="majorHAnsi" w:cstheme="majorBidi"/>
          <w:b/>
          <w:color w:val="000000" w:themeColor="text1"/>
          <w:spacing w:val="5"/>
          <w:kern w:val="28"/>
          <w:sz w:val="36"/>
          <w:szCs w:val="36"/>
        </w:rPr>
      </w:pPr>
    </w:p>
    <w:p w14:paraId="64BE095E" w14:textId="77777777" w:rsidR="00AB1E9A" w:rsidRPr="00BC1BFD"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color w:val="000000" w:themeColor="text1"/>
          <w:spacing w:val="5"/>
          <w:kern w:val="28"/>
          <w:sz w:val="52"/>
          <w:szCs w:val="52"/>
        </w:rPr>
      </w:pPr>
    </w:p>
    <w:p w14:paraId="697A3A88" w14:textId="77777777" w:rsidR="00AB1E9A" w:rsidRPr="00BC1BFD" w:rsidRDefault="00AB1E9A" w:rsidP="00AB1E9A">
      <w:pPr>
        <w:spacing w:after="240" w:line="300" w:lineRule="exact"/>
        <w:ind w:left="709" w:hanging="709"/>
        <w:rPr>
          <w:rFonts w:ascii="Calibri" w:eastAsia="Times New Roman" w:hAnsi="Calibri" w:cs="Times New Roman"/>
          <w:color w:val="000000" w:themeColor="text1"/>
          <w:szCs w:val="24"/>
        </w:rPr>
      </w:pPr>
    </w:p>
    <w:p w14:paraId="3A048C6E" w14:textId="507B4C26" w:rsidR="00AB1E9A" w:rsidRPr="00BC1BFD" w:rsidRDefault="00C11B02"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000000" w:themeColor="text1"/>
          <w:spacing w:val="5"/>
          <w:kern w:val="28"/>
          <w:sz w:val="32"/>
          <w:szCs w:val="32"/>
        </w:rPr>
      </w:pPr>
      <w:r w:rsidRPr="00BC1BFD">
        <w:rPr>
          <w:rFonts w:asciiTheme="majorHAnsi" w:eastAsiaTheme="majorEastAsia" w:hAnsiTheme="majorHAnsi" w:cstheme="majorBidi"/>
          <w:b/>
          <w:color w:val="000000" w:themeColor="text1"/>
          <w:spacing w:val="5"/>
          <w:kern w:val="28"/>
          <w:sz w:val="32"/>
          <w:szCs w:val="32"/>
        </w:rPr>
        <w:t>Catholic Education Archdiocese of Canberra &amp; Goulburn</w:t>
      </w:r>
    </w:p>
    <w:p w14:paraId="25253BA7" w14:textId="77777777" w:rsidR="00C11B02" w:rsidRPr="00BC1BFD" w:rsidRDefault="00C11B02"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000000" w:themeColor="text1"/>
          <w:spacing w:val="5"/>
          <w:kern w:val="28"/>
          <w:sz w:val="32"/>
          <w:szCs w:val="32"/>
        </w:rPr>
      </w:pPr>
    </w:p>
    <w:p w14:paraId="5B8C1B8B" w14:textId="77777777" w:rsidR="00AB1E9A" w:rsidRPr="00BC1BFD" w:rsidRDefault="00AB1E9A" w:rsidP="00AB1E9A">
      <w:pPr>
        <w:spacing w:after="240" w:line="300" w:lineRule="exact"/>
        <w:ind w:left="709" w:hanging="709"/>
        <w:rPr>
          <w:rFonts w:ascii="Calibri" w:eastAsia="Times New Roman" w:hAnsi="Calibri" w:cs="Times New Roman"/>
          <w:color w:val="000000" w:themeColor="text1"/>
          <w:szCs w:val="24"/>
        </w:rPr>
      </w:pPr>
    </w:p>
    <w:p w14:paraId="29099D8E" w14:textId="77777777" w:rsidR="00AB1E9A" w:rsidRPr="00AB1E9A" w:rsidRDefault="00AB1E9A" w:rsidP="00AB1E9A">
      <w:pPr>
        <w:jc w:val="center"/>
        <w:rPr>
          <w:b/>
          <w:u w:val="single"/>
        </w:rPr>
      </w:pPr>
    </w:p>
    <w:p w14:paraId="510F9D08" w14:textId="77777777" w:rsidR="001A19ED" w:rsidRDefault="001A19ED" w:rsidP="00AB1E9A">
      <w:pPr>
        <w:rPr>
          <w:b/>
          <w:u w:val="single"/>
        </w:rPr>
        <w:sectPr w:rsidR="001A19ED" w:rsidSect="002E15FC">
          <w:pgSz w:w="11906" w:h="16838"/>
          <w:pgMar w:top="1134" w:right="1134" w:bottom="1418" w:left="1418" w:header="708" w:footer="708" w:gutter="0"/>
          <w:cols w:space="708"/>
          <w:docGrid w:linePitch="360"/>
        </w:sectPr>
      </w:pPr>
    </w:p>
    <w:p w14:paraId="76C7773D" w14:textId="71D253FB" w:rsidR="007C0253" w:rsidRPr="005C0D5C" w:rsidRDefault="007C0253" w:rsidP="001A19ED">
      <w:pPr>
        <w:rPr>
          <w:color w:val="000000" w:themeColor="text1"/>
          <w:u w:val="single"/>
        </w:rPr>
      </w:pPr>
      <w:r w:rsidRPr="005C0D5C">
        <w:rPr>
          <w:b/>
          <w:color w:val="000000" w:themeColor="text1"/>
          <w:u w:val="single"/>
        </w:rPr>
        <w:lastRenderedPageBreak/>
        <w:t>Executive Summary</w:t>
      </w:r>
      <w:r w:rsidR="002A42DD" w:rsidRPr="005C0D5C">
        <w:rPr>
          <w:b/>
          <w:color w:val="000000" w:themeColor="text1"/>
          <w:u w:val="single"/>
        </w:rPr>
        <w:t xml:space="preserve"> </w:t>
      </w:r>
    </w:p>
    <w:p w14:paraId="5DA540C7" w14:textId="334EB891" w:rsidR="00252339" w:rsidRPr="005C0D5C" w:rsidRDefault="00252339" w:rsidP="00423852">
      <w:pPr>
        <w:spacing w:after="240" w:line="240" w:lineRule="auto"/>
        <w:rPr>
          <w:color w:val="000000" w:themeColor="text1"/>
        </w:rPr>
      </w:pPr>
      <w:r w:rsidRPr="005C0D5C">
        <w:rPr>
          <w:color w:val="000000" w:themeColor="text1"/>
        </w:rPr>
        <w:t>Catholic Education Archdiocese of Canberra and Goulburn (CECG) comprises 29 systemic schools across the Australian Capital Territory (ACT) and educates approximately 14,000 students. CECG aspires to be a high value education system that builds Catholic learning communities of hope, joy and wonder where all are welcome and inspired to grow to their potential.</w:t>
      </w:r>
    </w:p>
    <w:p w14:paraId="27B3095B" w14:textId="142EFED0" w:rsidR="00252339" w:rsidRPr="005C0D5C" w:rsidRDefault="00252339" w:rsidP="00423852">
      <w:pPr>
        <w:spacing w:after="240" w:line="240" w:lineRule="auto"/>
        <w:rPr>
          <w:color w:val="000000" w:themeColor="text1"/>
        </w:rPr>
      </w:pPr>
      <w:r w:rsidRPr="005C0D5C">
        <w:rPr>
          <w:color w:val="000000" w:themeColor="text1"/>
        </w:rPr>
        <w:t xml:space="preserve">CECG is highly committed to supporting the National Reform Agenda at both a national and territory level. Recognising the importance of the reform agenda, CECG continues to fund </w:t>
      </w:r>
      <w:proofErr w:type="gramStart"/>
      <w:r w:rsidRPr="005C0D5C">
        <w:rPr>
          <w:color w:val="000000" w:themeColor="text1"/>
        </w:rPr>
        <w:t>a number of</w:t>
      </w:r>
      <w:proofErr w:type="gramEnd"/>
      <w:r w:rsidRPr="005C0D5C">
        <w:rPr>
          <w:color w:val="000000" w:themeColor="text1"/>
        </w:rPr>
        <w:t xml:space="preserve"> activities from its own resources as well as accessing funding from the Non-Government School Reform Support Fund. Specifically, CECG is contributing to the priorities of Nationally Consistent Collection of Data for Students with a Disability, NAPLAN and financial governance.</w:t>
      </w:r>
    </w:p>
    <w:p w14:paraId="2D4B91D5" w14:textId="4DE8F33F" w:rsidR="00252339" w:rsidRPr="005C0D5C" w:rsidRDefault="00252339" w:rsidP="00423852">
      <w:pPr>
        <w:spacing w:after="240" w:line="240" w:lineRule="auto"/>
        <w:rPr>
          <w:b/>
          <w:bCs/>
          <w:color w:val="000000" w:themeColor="text1"/>
        </w:rPr>
      </w:pPr>
      <w:r w:rsidRPr="005C0D5C">
        <w:rPr>
          <w:b/>
          <w:bCs/>
          <w:color w:val="000000" w:themeColor="text1"/>
        </w:rPr>
        <w:t>Nationally Consistent Collection of Data</w:t>
      </w:r>
    </w:p>
    <w:p w14:paraId="2688DC15" w14:textId="2D62AB64" w:rsidR="00252339" w:rsidRPr="005C0D5C" w:rsidRDefault="00252339" w:rsidP="00423852">
      <w:pPr>
        <w:spacing w:after="240" w:line="240" w:lineRule="auto"/>
        <w:rPr>
          <w:color w:val="000000" w:themeColor="text1"/>
        </w:rPr>
      </w:pPr>
      <w:r w:rsidRPr="005C0D5C">
        <w:rPr>
          <w:color w:val="000000" w:themeColor="text1"/>
        </w:rPr>
        <w:t>CECG has continued to employ NCCD Officers, to provide release time for teaching and learning support officers for training at our 29 ACT schools. This support is being funded through other mechanisms within our System.</w:t>
      </w:r>
    </w:p>
    <w:p w14:paraId="6B6FD091" w14:textId="77777777" w:rsidR="00252339" w:rsidRPr="005C0D5C" w:rsidRDefault="00252339" w:rsidP="00423852">
      <w:pPr>
        <w:spacing w:after="240" w:line="240" w:lineRule="auto"/>
        <w:rPr>
          <w:b/>
          <w:bCs/>
          <w:color w:val="000000" w:themeColor="text1"/>
        </w:rPr>
      </w:pPr>
      <w:r w:rsidRPr="005C0D5C">
        <w:rPr>
          <w:b/>
          <w:bCs/>
          <w:color w:val="000000" w:themeColor="text1"/>
        </w:rPr>
        <w:t xml:space="preserve">NAPLAN and continued system wide approach to teaching and learning </w:t>
      </w:r>
    </w:p>
    <w:p w14:paraId="03662E44" w14:textId="7DF55D9E" w:rsidR="00851609" w:rsidRPr="005C0D5C" w:rsidRDefault="00851609" w:rsidP="00423852">
      <w:pPr>
        <w:spacing w:after="240" w:line="240" w:lineRule="auto"/>
        <w:rPr>
          <w:color w:val="000000" w:themeColor="text1"/>
        </w:rPr>
      </w:pPr>
      <w:r w:rsidRPr="005C0D5C">
        <w:rPr>
          <w:color w:val="000000" w:themeColor="text1"/>
        </w:rPr>
        <w:t xml:space="preserve">CECG continue to make a significant investment through professional learning and training for our teachers on curriculum, pedagogy and assessment. The Catalyst program is focusing on evidenced-based, high impact teaching practices to significantly improve student learning across our system. In 2023, CECG collaborated with Ochre Education to develop a comprehensive K-6 </w:t>
      </w:r>
      <w:r w:rsidR="00176B94" w:rsidRPr="005C0D5C">
        <w:rPr>
          <w:color w:val="000000" w:themeColor="text1"/>
        </w:rPr>
        <w:t>m</w:t>
      </w:r>
      <w:r w:rsidRPr="005C0D5C">
        <w:rPr>
          <w:color w:val="000000" w:themeColor="text1"/>
        </w:rPr>
        <w:t>athematics resource suite mapped to V9.0 of the Australian Curriculum.</w:t>
      </w:r>
    </w:p>
    <w:p w14:paraId="56205815" w14:textId="550F7F50" w:rsidR="00851609" w:rsidRPr="005C0D5C" w:rsidRDefault="00851609" w:rsidP="00423852">
      <w:pPr>
        <w:spacing w:after="240" w:line="240" w:lineRule="auto"/>
        <w:rPr>
          <w:color w:val="000000" w:themeColor="text1"/>
          <w:highlight w:val="yellow"/>
        </w:rPr>
      </w:pPr>
      <w:r w:rsidRPr="005C0D5C">
        <w:rPr>
          <w:color w:val="000000" w:themeColor="text1"/>
        </w:rPr>
        <w:t xml:space="preserve">This suite of resources </w:t>
      </w:r>
      <w:proofErr w:type="gramStart"/>
      <w:r w:rsidRPr="005C0D5C">
        <w:rPr>
          <w:color w:val="000000" w:themeColor="text1"/>
        </w:rPr>
        <w:t>were</w:t>
      </w:r>
      <w:proofErr w:type="gramEnd"/>
      <w:r w:rsidRPr="005C0D5C">
        <w:rPr>
          <w:color w:val="000000" w:themeColor="text1"/>
        </w:rPr>
        <w:t xml:space="preserve"> developed in conjunction with educators with extensive experience in curriculum development, design and leadership. The mathematics resource suite supports teachers by reducing their planning and programming workload whilst ensuring that they have access to high quality instructional materials.</w:t>
      </w:r>
      <w:r w:rsidR="00176B94" w:rsidRPr="005C0D5C">
        <w:rPr>
          <w:color w:val="000000" w:themeColor="text1"/>
        </w:rPr>
        <w:t xml:space="preserve"> Feedback from teachers and leaders has been overwhelmingly positive and they report that they are able to focus on responding to the needs of their students more fully by focusing on teaching delivery and assessment rather than investing enormous amounts of time into lesson and resource creation.</w:t>
      </w:r>
    </w:p>
    <w:p w14:paraId="6C293816" w14:textId="77777777" w:rsidR="00252339" w:rsidRPr="005C0D5C" w:rsidRDefault="00252339" w:rsidP="00423852">
      <w:pPr>
        <w:spacing w:after="240" w:line="240" w:lineRule="auto"/>
        <w:rPr>
          <w:color w:val="000000" w:themeColor="text1"/>
        </w:rPr>
      </w:pPr>
      <w:r w:rsidRPr="005C0D5C">
        <w:rPr>
          <w:color w:val="000000" w:themeColor="text1"/>
        </w:rPr>
        <w:t>This project is being funded through other mechanisms within our System.</w:t>
      </w:r>
    </w:p>
    <w:p w14:paraId="04598FF8" w14:textId="77777777" w:rsidR="00252339" w:rsidRPr="005C0D5C" w:rsidRDefault="00252339" w:rsidP="00252339">
      <w:pPr>
        <w:spacing w:after="240" w:line="259" w:lineRule="auto"/>
        <w:rPr>
          <w:b/>
          <w:bCs/>
          <w:color w:val="000000" w:themeColor="text1"/>
        </w:rPr>
      </w:pPr>
      <w:r w:rsidRPr="005C0D5C">
        <w:rPr>
          <w:b/>
          <w:bCs/>
          <w:color w:val="000000" w:themeColor="text1"/>
        </w:rPr>
        <w:t>Improving Governance and Financial Management Practices</w:t>
      </w:r>
    </w:p>
    <w:p w14:paraId="7AF4C6D3" w14:textId="1F3CF534" w:rsidR="00252339" w:rsidRPr="005C0D5C" w:rsidRDefault="00252339" w:rsidP="00423852">
      <w:pPr>
        <w:spacing w:after="240" w:line="240" w:lineRule="auto"/>
        <w:rPr>
          <w:color w:val="000000" w:themeColor="text1"/>
        </w:rPr>
      </w:pPr>
      <w:r w:rsidRPr="005C0D5C">
        <w:rPr>
          <w:color w:val="000000" w:themeColor="text1"/>
        </w:rPr>
        <w:t>Throu</w:t>
      </w:r>
      <w:r w:rsidR="00352604" w:rsidRPr="005C0D5C">
        <w:rPr>
          <w:color w:val="000000" w:themeColor="text1"/>
        </w:rPr>
        <w:t>gh</w:t>
      </w:r>
      <w:r w:rsidRPr="005C0D5C">
        <w:rPr>
          <w:color w:val="000000" w:themeColor="text1"/>
        </w:rPr>
        <w:t>out 2023, CECG migrated all ACT schools and colleges onto</w:t>
      </w:r>
      <w:r w:rsidR="00352604" w:rsidRPr="005C0D5C">
        <w:rPr>
          <w:color w:val="000000" w:themeColor="text1"/>
        </w:rPr>
        <w:t xml:space="preserve"> its enterprise financial management system (TechnologyOne). The transaction data which existed in the legacy school based finance system (MAZE) </w:t>
      </w:r>
      <w:r w:rsidR="00035FE6" w:rsidRPr="005C0D5C">
        <w:rPr>
          <w:color w:val="000000" w:themeColor="text1"/>
        </w:rPr>
        <w:t>was integrated into TechnologyOne</w:t>
      </w:r>
      <w:r w:rsidR="00352604" w:rsidRPr="005C0D5C">
        <w:rPr>
          <w:color w:val="000000" w:themeColor="text1"/>
        </w:rPr>
        <w:t xml:space="preserve"> </w:t>
      </w:r>
      <w:r w:rsidR="00035FE6" w:rsidRPr="005C0D5C">
        <w:rPr>
          <w:color w:val="000000" w:themeColor="text1"/>
        </w:rPr>
        <w:t xml:space="preserve">providing improved financial data across the ‘system’. TechnologyOne has </w:t>
      </w:r>
      <w:r w:rsidRPr="005C0D5C">
        <w:rPr>
          <w:color w:val="000000" w:themeColor="text1"/>
        </w:rPr>
        <w:t>improv</w:t>
      </w:r>
      <w:r w:rsidR="00035FE6" w:rsidRPr="005C0D5C">
        <w:rPr>
          <w:color w:val="000000" w:themeColor="text1"/>
        </w:rPr>
        <w:t>ed the financial</w:t>
      </w:r>
      <w:r w:rsidRPr="005C0D5C">
        <w:rPr>
          <w:color w:val="000000" w:themeColor="text1"/>
        </w:rPr>
        <w:t xml:space="preserve"> </w:t>
      </w:r>
      <w:r w:rsidR="00035FE6" w:rsidRPr="005C0D5C">
        <w:rPr>
          <w:color w:val="000000" w:themeColor="text1"/>
        </w:rPr>
        <w:t xml:space="preserve">management and </w:t>
      </w:r>
      <w:r w:rsidRPr="005C0D5C">
        <w:rPr>
          <w:color w:val="000000" w:themeColor="text1"/>
        </w:rPr>
        <w:t xml:space="preserve">governance practices in our system of schools to strengthen financial viability, improve business decision making and </w:t>
      </w:r>
      <w:r w:rsidR="00C70614" w:rsidRPr="005C0D5C">
        <w:rPr>
          <w:color w:val="000000" w:themeColor="text1"/>
        </w:rPr>
        <w:t>strengthen the financial control framework</w:t>
      </w:r>
      <w:r w:rsidRPr="005C0D5C">
        <w:rPr>
          <w:color w:val="000000" w:themeColor="text1"/>
        </w:rPr>
        <w:t>.</w:t>
      </w:r>
    </w:p>
    <w:p w14:paraId="1B7C9387" w14:textId="0097873D" w:rsidR="00252339" w:rsidRPr="005C0D5C" w:rsidRDefault="00035FE6" w:rsidP="00423852">
      <w:pPr>
        <w:spacing w:after="240" w:line="240" w:lineRule="auto"/>
        <w:rPr>
          <w:color w:val="000000" w:themeColor="text1"/>
        </w:rPr>
      </w:pPr>
      <w:r w:rsidRPr="005C0D5C">
        <w:rPr>
          <w:color w:val="000000" w:themeColor="text1"/>
        </w:rPr>
        <w:t xml:space="preserve">Training was rolled out across all schools and guidance provided on financial data capture and </w:t>
      </w:r>
      <w:r w:rsidR="00DF25FD" w:rsidRPr="005C0D5C">
        <w:rPr>
          <w:color w:val="000000" w:themeColor="text1"/>
        </w:rPr>
        <w:t xml:space="preserve">the revised ‘procure to pay’ process. Financial administrative duties were centralised and standardised and the FY2023 financial statements produced </w:t>
      </w:r>
      <w:r w:rsidR="00851609" w:rsidRPr="005C0D5C">
        <w:rPr>
          <w:color w:val="000000" w:themeColor="text1"/>
        </w:rPr>
        <w:t xml:space="preserve">utilising </w:t>
      </w:r>
      <w:r w:rsidR="00DF25FD" w:rsidRPr="005C0D5C">
        <w:rPr>
          <w:color w:val="000000" w:themeColor="text1"/>
        </w:rPr>
        <w:t>the TechnologyOne data.</w:t>
      </w:r>
    </w:p>
    <w:p w14:paraId="47E627F7" w14:textId="19B6DE5D" w:rsidR="00423852" w:rsidRDefault="00423852">
      <w:pPr>
        <w:rPr>
          <w:b/>
          <w:color w:val="000000" w:themeColor="text1"/>
          <w:u w:val="single"/>
        </w:rPr>
      </w:pPr>
      <w:r>
        <w:rPr>
          <w:b/>
          <w:color w:val="000000" w:themeColor="text1"/>
          <w:u w:val="single"/>
        </w:rPr>
        <w:br w:type="page"/>
      </w:r>
    </w:p>
    <w:p w14:paraId="1348F82D" w14:textId="43AFBCAE" w:rsidR="002A42DD" w:rsidRPr="005C0D5C" w:rsidRDefault="007C0253">
      <w:pPr>
        <w:rPr>
          <w:b/>
          <w:color w:val="000000" w:themeColor="text1"/>
          <w:u w:val="single"/>
        </w:rPr>
      </w:pPr>
      <w:r w:rsidRPr="005C0D5C">
        <w:rPr>
          <w:b/>
          <w:color w:val="000000" w:themeColor="text1"/>
          <w:u w:val="single"/>
        </w:rPr>
        <w:lastRenderedPageBreak/>
        <w:t xml:space="preserve">Progress against </w:t>
      </w:r>
      <w:r w:rsidR="002A42DD" w:rsidRPr="005C0D5C">
        <w:rPr>
          <w:b/>
          <w:color w:val="000000" w:themeColor="text1"/>
          <w:u w:val="single"/>
        </w:rPr>
        <w:t>s</w:t>
      </w:r>
      <w:r w:rsidRPr="005C0D5C">
        <w:rPr>
          <w:b/>
          <w:color w:val="000000" w:themeColor="text1"/>
          <w:u w:val="single"/>
        </w:rPr>
        <w:t xml:space="preserve">trategic </w:t>
      </w:r>
      <w:r w:rsidR="002A42DD" w:rsidRPr="005C0D5C">
        <w:rPr>
          <w:b/>
          <w:color w:val="000000" w:themeColor="text1"/>
          <w:u w:val="single"/>
        </w:rPr>
        <w:t>p</w:t>
      </w:r>
      <w:r w:rsidRPr="005C0D5C">
        <w:rPr>
          <w:b/>
          <w:color w:val="000000" w:themeColor="text1"/>
          <w:u w:val="single"/>
        </w:rPr>
        <w:t>lan</w:t>
      </w:r>
    </w:p>
    <w:p w14:paraId="079C8C1F" w14:textId="77777777" w:rsidR="00C40163" w:rsidRPr="005C0D5C" w:rsidRDefault="00C40163" w:rsidP="00C40163">
      <w:pPr>
        <w:spacing w:after="240" w:line="259" w:lineRule="auto"/>
        <w:rPr>
          <w:b/>
          <w:bCs/>
          <w:color w:val="000000" w:themeColor="text1"/>
        </w:rPr>
      </w:pPr>
      <w:r w:rsidRPr="005C0D5C">
        <w:rPr>
          <w:b/>
          <w:bCs/>
          <w:color w:val="000000" w:themeColor="text1"/>
        </w:rPr>
        <w:t>Nationally Consistent Collection of Data</w:t>
      </w:r>
    </w:p>
    <w:p w14:paraId="5967446B" w14:textId="502BDD3E" w:rsidR="00DF072B" w:rsidRPr="005C0D5C" w:rsidRDefault="00240AAC" w:rsidP="00423852">
      <w:pPr>
        <w:spacing w:line="240" w:lineRule="auto"/>
        <w:rPr>
          <w:color w:val="000000" w:themeColor="text1"/>
        </w:rPr>
      </w:pPr>
      <w:r w:rsidRPr="005C0D5C">
        <w:rPr>
          <w:color w:val="000000" w:themeColor="text1"/>
        </w:rPr>
        <w:t xml:space="preserve">The NCCD team has developed a suite of resources focussed on the Disability Standards for Education and Disability Discrimination Act. Professional learning is provided for classroom support teachers </w:t>
      </w:r>
      <w:r w:rsidR="0052726E" w:rsidRPr="005C0D5C">
        <w:rPr>
          <w:color w:val="000000" w:themeColor="text1"/>
        </w:rPr>
        <w:t xml:space="preserve">(CST) </w:t>
      </w:r>
      <w:r w:rsidRPr="005C0D5C">
        <w:rPr>
          <w:color w:val="000000" w:themeColor="text1"/>
        </w:rPr>
        <w:t>during classroom support teacher network days which are held each term. The NCCD team facilitates regular training to ensure that support teachers have current information about the NCCD process and expectations for evidence collection for Students with Disability (SWD). The training focuses on preparation for the August Census</w:t>
      </w:r>
      <w:proofErr w:type="gramStart"/>
      <w:r w:rsidRPr="005C0D5C">
        <w:rPr>
          <w:color w:val="000000" w:themeColor="text1"/>
        </w:rPr>
        <w:t xml:space="preserve"> and in particular</w:t>
      </w:r>
      <w:proofErr w:type="gramEnd"/>
      <w:r w:rsidRPr="005C0D5C">
        <w:rPr>
          <w:color w:val="000000" w:themeColor="text1"/>
        </w:rPr>
        <w:t xml:space="preserve"> the NCCD data collection about SWD. Evaluations (of CSTs and NCCD officers) are conducted after each meeting to ensure that schools NCCD needs are being met</w:t>
      </w:r>
      <w:r w:rsidR="0052726E" w:rsidRPr="005C0D5C">
        <w:rPr>
          <w:color w:val="000000" w:themeColor="text1"/>
        </w:rPr>
        <w:t>.</w:t>
      </w:r>
    </w:p>
    <w:p w14:paraId="113464CF" w14:textId="3DD36233" w:rsidR="00DF072B" w:rsidRPr="005C0D5C" w:rsidRDefault="00D03216" w:rsidP="00423852">
      <w:pPr>
        <w:spacing w:line="240" w:lineRule="auto"/>
        <w:rPr>
          <w:color w:val="000000" w:themeColor="text1"/>
        </w:rPr>
      </w:pPr>
      <w:r w:rsidRPr="005C0D5C">
        <w:rPr>
          <w:color w:val="000000" w:themeColor="text1"/>
        </w:rPr>
        <w:t>The NCCD team f</w:t>
      </w:r>
      <w:r w:rsidR="00DF072B" w:rsidRPr="005C0D5C">
        <w:rPr>
          <w:color w:val="000000" w:themeColor="text1"/>
        </w:rPr>
        <w:t>acilitat</w:t>
      </w:r>
      <w:r w:rsidRPr="005C0D5C">
        <w:rPr>
          <w:color w:val="000000" w:themeColor="text1"/>
        </w:rPr>
        <w:t>ed information meeting</w:t>
      </w:r>
      <w:r w:rsidR="0052726E" w:rsidRPr="005C0D5C">
        <w:rPr>
          <w:color w:val="000000" w:themeColor="text1"/>
        </w:rPr>
        <w:t>s</w:t>
      </w:r>
      <w:r w:rsidRPr="005C0D5C">
        <w:rPr>
          <w:color w:val="000000" w:themeColor="text1"/>
        </w:rPr>
        <w:t xml:space="preserve"> with </w:t>
      </w:r>
      <w:r w:rsidR="00DF072B" w:rsidRPr="005C0D5C">
        <w:rPr>
          <w:color w:val="000000" w:themeColor="text1"/>
        </w:rPr>
        <w:t xml:space="preserve">staff </w:t>
      </w:r>
      <w:r w:rsidRPr="005C0D5C">
        <w:rPr>
          <w:color w:val="000000" w:themeColor="text1"/>
        </w:rPr>
        <w:t xml:space="preserve">when </w:t>
      </w:r>
      <w:r w:rsidR="00DF072B" w:rsidRPr="005C0D5C">
        <w:rPr>
          <w:color w:val="000000" w:themeColor="text1"/>
        </w:rPr>
        <w:t>requested by individual schools</w:t>
      </w:r>
      <w:r w:rsidRPr="005C0D5C">
        <w:rPr>
          <w:color w:val="000000" w:themeColor="text1"/>
        </w:rPr>
        <w:t>. The t</w:t>
      </w:r>
      <w:r w:rsidR="00DF072B" w:rsidRPr="005C0D5C">
        <w:rPr>
          <w:color w:val="000000" w:themeColor="text1"/>
        </w:rPr>
        <w:t>opics include Evidence collection, Moderation, Disability Standards for Education, Understanding Categories of Disability, Writing a Personalised Plan (PP) with an NCCD lens</w:t>
      </w:r>
      <w:r w:rsidRPr="005C0D5C">
        <w:rPr>
          <w:color w:val="000000" w:themeColor="text1"/>
        </w:rPr>
        <w:t xml:space="preserve"> and G</w:t>
      </w:r>
      <w:r w:rsidR="00DF072B" w:rsidRPr="005C0D5C">
        <w:rPr>
          <w:color w:val="000000" w:themeColor="text1"/>
        </w:rPr>
        <w:t>oal setting for PPs.</w:t>
      </w:r>
    </w:p>
    <w:p w14:paraId="7B3C7079" w14:textId="716B1930" w:rsidR="0052726E" w:rsidRPr="005C0D5C" w:rsidRDefault="0052726E" w:rsidP="00423852">
      <w:pPr>
        <w:spacing w:line="240" w:lineRule="auto"/>
        <w:rPr>
          <w:color w:val="000000" w:themeColor="text1"/>
        </w:rPr>
      </w:pPr>
      <w:r w:rsidRPr="005C0D5C">
        <w:rPr>
          <w:color w:val="000000" w:themeColor="text1"/>
        </w:rPr>
        <w:t xml:space="preserve">The NCCD team provide one on one support </w:t>
      </w:r>
      <w:r w:rsidR="00C40163" w:rsidRPr="005C0D5C">
        <w:rPr>
          <w:color w:val="000000" w:themeColor="text1"/>
        </w:rPr>
        <w:t xml:space="preserve">for teachers to write PP’s. </w:t>
      </w:r>
      <w:r w:rsidRPr="005C0D5C">
        <w:rPr>
          <w:color w:val="000000" w:themeColor="text1"/>
        </w:rPr>
        <w:t xml:space="preserve">NCCD officers assist with </w:t>
      </w:r>
      <w:r w:rsidR="00C40163" w:rsidRPr="005C0D5C">
        <w:rPr>
          <w:color w:val="000000" w:themeColor="text1"/>
        </w:rPr>
        <w:t xml:space="preserve">the </w:t>
      </w:r>
      <w:r w:rsidRPr="005C0D5C">
        <w:rPr>
          <w:color w:val="000000" w:themeColor="text1"/>
        </w:rPr>
        <w:t>moderation processes in many CECG schools during Term 2 each year through visits to schools to work side by side with teachers to guide the moderation of SWD who have PPs.</w:t>
      </w:r>
    </w:p>
    <w:p w14:paraId="490C3683" w14:textId="66CDA740" w:rsidR="00240AAC" w:rsidRPr="005C0D5C" w:rsidRDefault="00240AAC" w:rsidP="00423852">
      <w:pPr>
        <w:spacing w:line="240" w:lineRule="auto"/>
        <w:rPr>
          <w:color w:val="000000" w:themeColor="text1"/>
        </w:rPr>
      </w:pPr>
      <w:r w:rsidRPr="005C0D5C">
        <w:rPr>
          <w:color w:val="000000" w:themeColor="text1"/>
        </w:rPr>
        <w:t xml:space="preserve">The team have regular meetings between classroom support teachers and school NCCD teams. The team utilise checklists for visits to standardise the support provided across all CECG schools. The team also organised relief teaching support for schools to fulfil their obligations for </w:t>
      </w:r>
      <w:proofErr w:type="gramStart"/>
      <w:r w:rsidRPr="005C0D5C">
        <w:rPr>
          <w:color w:val="000000" w:themeColor="text1"/>
        </w:rPr>
        <w:t>making adjustments</w:t>
      </w:r>
      <w:proofErr w:type="gramEnd"/>
      <w:r w:rsidRPr="005C0D5C">
        <w:rPr>
          <w:color w:val="000000" w:themeColor="text1"/>
        </w:rPr>
        <w:t xml:space="preserve"> for </w:t>
      </w:r>
      <w:r w:rsidR="00C40163" w:rsidRPr="005C0D5C">
        <w:rPr>
          <w:color w:val="000000" w:themeColor="text1"/>
        </w:rPr>
        <w:t>SWD</w:t>
      </w:r>
      <w:r w:rsidRPr="005C0D5C">
        <w:rPr>
          <w:color w:val="000000" w:themeColor="text1"/>
        </w:rPr>
        <w:t xml:space="preserve"> and for evidence collection for NCCD.</w:t>
      </w:r>
    </w:p>
    <w:p w14:paraId="7A9628AC" w14:textId="1C98D580" w:rsidR="00056E58" w:rsidRPr="005C0D5C" w:rsidRDefault="00056E58" w:rsidP="00423852">
      <w:pPr>
        <w:spacing w:line="240" w:lineRule="auto"/>
        <w:rPr>
          <w:color w:val="000000" w:themeColor="text1"/>
        </w:rPr>
      </w:pPr>
      <w:r w:rsidRPr="005C0D5C">
        <w:rPr>
          <w:color w:val="000000" w:themeColor="text1"/>
        </w:rPr>
        <w:t>No funding was provided for these activities under the NGSRF.</w:t>
      </w:r>
    </w:p>
    <w:p w14:paraId="4DA5F0EB" w14:textId="77777777" w:rsidR="00C40163" w:rsidRPr="005C0D5C" w:rsidRDefault="00C40163" w:rsidP="00423852">
      <w:pPr>
        <w:spacing w:after="240" w:line="240" w:lineRule="auto"/>
        <w:rPr>
          <w:b/>
          <w:bCs/>
          <w:color w:val="000000" w:themeColor="text1"/>
        </w:rPr>
      </w:pPr>
      <w:r w:rsidRPr="005C0D5C">
        <w:rPr>
          <w:b/>
          <w:bCs/>
          <w:color w:val="000000" w:themeColor="text1"/>
        </w:rPr>
        <w:t xml:space="preserve">NAPLAN and continued system wide approach to teaching and learning </w:t>
      </w:r>
    </w:p>
    <w:p w14:paraId="4209314D" w14:textId="2869ED68" w:rsidR="00851609" w:rsidRPr="005C0D5C" w:rsidRDefault="00176B94" w:rsidP="00423852">
      <w:pPr>
        <w:spacing w:after="120" w:line="240" w:lineRule="auto"/>
        <w:rPr>
          <w:color w:val="000000" w:themeColor="text1"/>
        </w:rPr>
      </w:pPr>
      <w:r w:rsidRPr="005C0D5C">
        <w:rPr>
          <w:color w:val="000000" w:themeColor="text1"/>
        </w:rPr>
        <w:t xml:space="preserve">In collaboration with Ochre Education, CECG developed a comprehensive K-6 Mathematics resource suite </w:t>
      </w:r>
      <w:r w:rsidR="00851609" w:rsidRPr="005C0D5C">
        <w:rPr>
          <w:color w:val="000000" w:themeColor="text1"/>
        </w:rPr>
        <w:t>that includes for each year level:</w:t>
      </w:r>
    </w:p>
    <w:p w14:paraId="75B53BF9" w14:textId="77777777" w:rsidR="00851609" w:rsidRPr="005C0D5C" w:rsidRDefault="00851609" w:rsidP="00423852">
      <w:pPr>
        <w:pStyle w:val="ListParagraph"/>
        <w:numPr>
          <w:ilvl w:val="0"/>
          <w:numId w:val="11"/>
        </w:numPr>
        <w:spacing w:after="240" w:line="240" w:lineRule="auto"/>
        <w:rPr>
          <w:color w:val="000000" w:themeColor="text1"/>
        </w:rPr>
      </w:pPr>
      <w:r w:rsidRPr="005C0D5C">
        <w:rPr>
          <w:color w:val="000000" w:themeColor="text1"/>
        </w:rPr>
        <w:t xml:space="preserve">A curriculum map that tracks concept development, lesson and topic spacing for the year and answers FAQs for teachers. </w:t>
      </w:r>
    </w:p>
    <w:p w14:paraId="44CAB9F7" w14:textId="77777777" w:rsidR="00851609" w:rsidRPr="005C0D5C" w:rsidRDefault="00851609" w:rsidP="00423852">
      <w:pPr>
        <w:pStyle w:val="ListParagraph"/>
        <w:numPr>
          <w:ilvl w:val="0"/>
          <w:numId w:val="11"/>
        </w:numPr>
        <w:spacing w:after="240" w:line="240" w:lineRule="auto"/>
        <w:rPr>
          <w:color w:val="000000" w:themeColor="text1"/>
        </w:rPr>
      </w:pPr>
      <w:r w:rsidRPr="005C0D5C">
        <w:rPr>
          <w:color w:val="000000" w:themeColor="text1"/>
        </w:rPr>
        <w:t>A scope and sequence which organises the maths curriculum into daily lessons and reviews content on a cyclical basis according to cognitive load theory.</w:t>
      </w:r>
    </w:p>
    <w:p w14:paraId="304D11F9" w14:textId="77777777" w:rsidR="00851609" w:rsidRPr="005C0D5C" w:rsidRDefault="00851609" w:rsidP="00423852">
      <w:pPr>
        <w:pStyle w:val="ListParagraph"/>
        <w:numPr>
          <w:ilvl w:val="0"/>
          <w:numId w:val="11"/>
        </w:numPr>
        <w:spacing w:after="240" w:line="240" w:lineRule="auto"/>
        <w:rPr>
          <w:color w:val="000000" w:themeColor="text1"/>
        </w:rPr>
      </w:pPr>
      <w:r w:rsidRPr="005C0D5C">
        <w:rPr>
          <w:color w:val="000000" w:themeColor="text1"/>
        </w:rPr>
        <w:t>Comprehensive teaching resources to support the daily lessons including explicit teacher lessons, daily review slide decks, independent student tasks and re-teaching resources. Assessment samples are also provided.</w:t>
      </w:r>
    </w:p>
    <w:p w14:paraId="17B73DC0" w14:textId="0029B4BF" w:rsidR="00851609" w:rsidRPr="005C0D5C" w:rsidRDefault="00851609" w:rsidP="00423852">
      <w:pPr>
        <w:pStyle w:val="ListParagraph"/>
        <w:numPr>
          <w:ilvl w:val="0"/>
          <w:numId w:val="11"/>
        </w:numPr>
        <w:spacing w:after="120" w:line="240" w:lineRule="auto"/>
        <w:ind w:left="714" w:hanging="357"/>
        <w:rPr>
          <w:color w:val="000000" w:themeColor="text1"/>
        </w:rPr>
      </w:pPr>
      <w:r w:rsidRPr="005C0D5C">
        <w:rPr>
          <w:color w:val="000000" w:themeColor="text1"/>
        </w:rPr>
        <w:t>Lesson detail documents that explain each key mathematic concept in detail and provides additional teacher guidance to support teachers to understand vital knowledge and skills and possible student misconceptions.</w:t>
      </w:r>
    </w:p>
    <w:p w14:paraId="37FB62C7" w14:textId="34B23E66" w:rsidR="00851609" w:rsidRPr="005C0D5C" w:rsidRDefault="00176B94" w:rsidP="00423852">
      <w:pPr>
        <w:spacing w:line="240" w:lineRule="auto"/>
        <w:rPr>
          <w:color w:val="000000" w:themeColor="text1"/>
        </w:rPr>
      </w:pPr>
      <w:r w:rsidRPr="005C0D5C">
        <w:rPr>
          <w:color w:val="000000" w:themeColor="text1"/>
        </w:rPr>
        <w:t xml:space="preserve">The </w:t>
      </w:r>
      <w:r w:rsidR="00326844" w:rsidRPr="005C0D5C">
        <w:rPr>
          <w:color w:val="000000" w:themeColor="text1"/>
        </w:rPr>
        <w:t>outcome of the rollout of these resources has</w:t>
      </w:r>
      <w:r w:rsidRPr="005C0D5C">
        <w:rPr>
          <w:color w:val="000000" w:themeColor="text1"/>
        </w:rPr>
        <w:t xml:space="preserve"> delivered detailed Curriculum maps for K-6, trained over 50 CECG teachers in the instructional approach and lesson delivery and developed nearly 700 lessons across K-6 </w:t>
      </w:r>
      <w:r w:rsidR="00326844" w:rsidRPr="005C0D5C">
        <w:rPr>
          <w:color w:val="000000" w:themeColor="text1"/>
        </w:rPr>
        <w:t>m</w:t>
      </w:r>
      <w:r w:rsidRPr="005C0D5C">
        <w:rPr>
          <w:color w:val="000000" w:themeColor="text1"/>
        </w:rPr>
        <w:t>ath</w:t>
      </w:r>
      <w:r w:rsidR="00326844" w:rsidRPr="005C0D5C">
        <w:rPr>
          <w:color w:val="000000" w:themeColor="text1"/>
        </w:rPr>
        <w:t>ematics</w:t>
      </w:r>
      <w:r w:rsidRPr="005C0D5C">
        <w:rPr>
          <w:color w:val="000000" w:themeColor="text1"/>
        </w:rPr>
        <w:t>.</w:t>
      </w:r>
      <w:r w:rsidR="00326844" w:rsidRPr="005C0D5C">
        <w:rPr>
          <w:color w:val="000000" w:themeColor="text1"/>
        </w:rPr>
        <w:t xml:space="preserve"> </w:t>
      </w:r>
      <w:r w:rsidRPr="005C0D5C">
        <w:rPr>
          <w:color w:val="000000" w:themeColor="text1"/>
        </w:rPr>
        <w:t>Early implementation and feedback from teachers indicate up to 6 hours saved per week in developing resources</w:t>
      </w:r>
      <w:r w:rsidR="00326844" w:rsidRPr="005C0D5C">
        <w:rPr>
          <w:color w:val="000000" w:themeColor="text1"/>
        </w:rPr>
        <w:t xml:space="preserve"> </w:t>
      </w:r>
      <w:r w:rsidRPr="005C0D5C">
        <w:rPr>
          <w:color w:val="000000" w:themeColor="text1"/>
        </w:rPr>
        <w:t xml:space="preserve">which provides teachers more time to focus on teaching and supporting </w:t>
      </w:r>
      <w:r w:rsidR="00326844" w:rsidRPr="005C0D5C">
        <w:rPr>
          <w:color w:val="000000" w:themeColor="text1"/>
        </w:rPr>
        <w:t>students’</w:t>
      </w:r>
      <w:r w:rsidRPr="005C0D5C">
        <w:rPr>
          <w:color w:val="000000" w:themeColor="text1"/>
        </w:rPr>
        <w:t xml:space="preserve"> needs.</w:t>
      </w:r>
    </w:p>
    <w:p w14:paraId="065DC0E7" w14:textId="77777777" w:rsidR="00056E58" w:rsidRDefault="00056E58" w:rsidP="00423852">
      <w:pPr>
        <w:spacing w:line="240" w:lineRule="auto"/>
        <w:rPr>
          <w:color w:val="000000" w:themeColor="text1"/>
        </w:rPr>
      </w:pPr>
      <w:r w:rsidRPr="005C0D5C">
        <w:rPr>
          <w:color w:val="000000" w:themeColor="text1"/>
        </w:rPr>
        <w:t>No funding was provided for these activities under the NGSRF.</w:t>
      </w:r>
    </w:p>
    <w:p w14:paraId="34663C36" w14:textId="5120A481" w:rsidR="00423852" w:rsidRDefault="00423852">
      <w:pPr>
        <w:rPr>
          <w:color w:val="000000" w:themeColor="text1"/>
        </w:rPr>
      </w:pPr>
      <w:r>
        <w:rPr>
          <w:color w:val="000000" w:themeColor="text1"/>
        </w:rPr>
        <w:br w:type="page"/>
      </w:r>
    </w:p>
    <w:p w14:paraId="199039D7" w14:textId="77777777" w:rsidR="00C40163" w:rsidRPr="005C0D5C" w:rsidRDefault="00C40163" w:rsidP="00C40163">
      <w:pPr>
        <w:spacing w:after="240" w:line="259" w:lineRule="auto"/>
        <w:rPr>
          <w:b/>
          <w:bCs/>
          <w:color w:val="000000" w:themeColor="text1"/>
        </w:rPr>
      </w:pPr>
      <w:r w:rsidRPr="005C0D5C">
        <w:rPr>
          <w:b/>
          <w:bCs/>
          <w:color w:val="000000" w:themeColor="text1"/>
        </w:rPr>
        <w:lastRenderedPageBreak/>
        <w:t>Improving Governance and Financial Management Practices</w:t>
      </w:r>
    </w:p>
    <w:p w14:paraId="2DA1839D" w14:textId="5A127789" w:rsidR="00C40163" w:rsidRPr="005C0D5C" w:rsidRDefault="00C40163" w:rsidP="00423852">
      <w:pPr>
        <w:spacing w:after="240" w:line="240" w:lineRule="auto"/>
        <w:rPr>
          <w:color w:val="000000" w:themeColor="text1"/>
        </w:rPr>
      </w:pPr>
      <w:r w:rsidRPr="005C0D5C">
        <w:rPr>
          <w:color w:val="000000" w:themeColor="text1"/>
        </w:rPr>
        <w:t xml:space="preserve">Over 2023, CECG migrated all ACT schools and colleges from the legacy school based finance system (MAZE) onto its enterprise financial management system (TechnologyOne). The transactional data was integrated into TechnologyOne providing improved financial data across the whole ‘system’. TechnologyOne has </w:t>
      </w:r>
      <w:r w:rsidR="00056E58" w:rsidRPr="005C0D5C">
        <w:rPr>
          <w:color w:val="000000" w:themeColor="text1"/>
        </w:rPr>
        <w:t xml:space="preserve">allowed CECG to produce consolidated financial statements and provided schools with standardised financial information </w:t>
      </w:r>
      <w:r w:rsidR="00E36C44" w:rsidRPr="005C0D5C">
        <w:rPr>
          <w:color w:val="000000" w:themeColor="text1"/>
        </w:rPr>
        <w:t>to manage the schools</w:t>
      </w:r>
      <w:r w:rsidR="00582B01" w:rsidRPr="005C0D5C">
        <w:rPr>
          <w:color w:val="000000" w:themeColor="text1"/>
        </w:rPr>
        <w:t>’</w:t>
      </w:r>
      <w:r w:rsidR="00E36C44" w:rsidRPr="005C0D5C">
        <w:rPr>
          <w:color w:val="000000" w:themeColor="text1"/>
        </w:rPr>
        <w:t xml:space="preserve"> educational capacity.</w:t>
      </w:r>
    </w:p>
    <w:p w14:paraId="7C79A635" w14:textId="7878DC68" w:rsidR="00E36C44" w:rsidRPr="005C0D5C" w:rsidRDefault="00E36C44" w:rsidP="00423852">
      <w:pPr>
        <w:spacing w:after="240" w:line="240" w:lineRule="auto"/>
        <w:rPr>
          <w:color w:val="000000" w:themeColor="text1"/>
        </w:rPr>
      </w:pPr>
      <w:r w:rsidRPr="005C0D5C">
        <w:rPr>
          <w:color w:val="000000" w:themeColor="text1"/>
        </w:rPr>
        <w:t xml:space="preserve">The use of TechnologyOne has lifted the compliance </w:t>
      </w:r>
      <w:r w:rsidR="00582B01" w:rsidRPr="005C0D5C">
        <w:rPr>
          <w:color w:val="000000" w:themeColor="text1"/>
        </w:rPr>
        <w:t>and reconciliation requirements from the schools.  It has provided visibility across the system to improve debtor management and the financial oversight across schools and service support areas.</w:t>
      </w:r>
    </w:p>
    <w:p w14:paraId="50B87008" w14:textId="1180B065" w:rsidR="005A76BC" w:rsidRPr="005C0D5C" w:rsidRDefault="005A76BC" w:rsidP="00423852">
      <w:pPr>
        <w:spacing w:after="240" w:line="240" w:lineRule="auto"/>
        <w:rPr>
          <w:color w:val="000000" w:themeColor="text1"/>
        </w:rPr>
      </w:pPr>
      <w:r w:rsidRPr="005C0D5C">
        <w:rPr>
          <w:color w:val="000000" w:themeColor="text1"/>
        </w:rPr>
        <w:t xml:space="preserve">The planned rollout timeframe was achieved with all schools migrated by November 2023 with further enhancements identified to provide more detailed financial reporting and insights to schools and service areas. Additional development is planned to centralise and consolidate </w:t>
      </w:r>
      <w:r w:rsidR="001623C4" w:rsidRPr="005C0D5C">
        <w:rPr>
          <w:color w:val="000000" w:themeColor="text1"/>
        </w:rPr>
        <w:t xml:space="preserve">tuition billing and </w:t>
      </w:r>
      <w:r w:rsidRPr="005C0D5C">
        <w:rPr>
          <w:color w:val="000000" w:themeColor="text1"/>
        </w:rPr>
        <w:t>debtor management</w:t>
      </w:r>
      <w:r w:rsidR="001623C4" w:rsidRPr="005C0D5C">
        <w:rPr>
          <w:color w:val="000000" w:themeColor="text1"/>
        </w:rPr>
        <w:t xml:space="preserve"> across the system.</w:t>
      </w:r>
    </w:p>
    <w:p w14:paraId="106B38E7" w14:textId="0DA67588" w:rsidR="002A42DD" w:rsidRPr="005C0D5C" w:rsidRDefault="002A42DD" w:rsidP="00423852">
      <w:pPr>
        <w:spacing w:line="240" w:lineRule="auto"/>
        <w:rPr>
          <w:b/>
          <w:color w:val="000000" w:themeColor="text1"/>
          <w:u w:val="single"/>
        </w:rPr>
      </w:pPr>
      <w:r w:rsidRPr="005C0D5C">
        <w:rPr>
          <w:b/>
          <w:color w:val="000000" w:themeColor="text1"/>
          <w:u w:val="single"/>
        </w:rPr>
        <w:t>Relationship with state and territory government</w:t>
      </w:r>
    </w:p>
    <w:p w14:paraId="39664032" w14:textId="10FBBC34" w:rsidR="002D115C" w:rsidRDefault="002D115C" w:rsidP="00423852">
      <w:pPr>
        <w:spacing w:line="240" w:lineRule="auto"/>
        <w:rPr>
          <w:color w:val="000000" w:themeColor="text1"/>
        </w:rPr>
      </w:pPr>
      <w:r w:rsidRPr="005C0D5C">
        <w:rPr>
          <w:color w:val="000000" w:themeColor="text1"/>
        </w:rPr>
        <w:t>Throughout the year, CECG met regularly with the Education Directorate and Australian Independent Schools ACT. The three agencies undertook collaborative activities undertaken throughout 2023 and involved regularly sharing resources, information and ideas across sectors which had the benefit of strengthening the relationship between them.</w:t>
      </w:r>
    </w:p>
    <w:p w14:paraId="34B4CF44" w14:textId="77777777" w:rsidR="008930F0" w:rsidRDefault="008930F0" w:rsidP="00423852">
      <w:pPr>
        <w:spacing w:line="240" w:lineRule="auto"/>
        <w:rPr>
          <w:color w:val="000000" w:themeColor="text1"/>
        </w:rPr>
      </w:pPr>
    </w:p>
    <w:p w14:paraId="02E3113D" w14:textId="77777777" w:rsidR="00432719" w:rsidRDefault="00432719" w:rsidP="00AB1E9A">
      <w:pPr>
        <w:rPr>
          <w:color w:val="000000" w:themeColor="text1"/>
        </w:rPr>
      </w:pPr>
    </w:p>
    <w:p w14:paraId="4595F340" w14:textId="2E476831" w:rsidR="00432719" w:rsidRPr="005C0D5C" w:rsidRDefault="00432719" w:rsidP="00AB1E9A">
      <w:pPr>
        <w:rPr>
          <w:color w:val="000000" w:themeColor="text1"/>
        </w:rPr>
        <w:sectPr w:rsidR="00432719" w:rsidRPr="005C0D5C" w:rsidSect="007F45FC">
          <w:pgSz w:w="11906" w:h="16838"/>
          <w:pgMar w:top="1134" w:right="1134" w:bottom="1418" w:left="1418" w:header="708" w:footer="708" w:gutter="0"/>
          <w:cols w:space="708"/>
          <w:docGrid w:linePitch="360"/>
        </w:sectPr>
      </w:pPr>
    </w:p>
    <w:p w14:paraId="7CD67CE2" w14:textId="77777777" w:rsidR="007456E6" w:rsidRPr="005C0D5C" w:rsidRDefault="007456E6" w:rsidP="007456E6">
      <w:pPr>
        <w:jc w:val="center"/>
        <w:rPr>
          <w:b/>
          <w:color w:val="000000" w:themeColor="text1"/>
          <w:u w:val="single"/>
        </w:rPr>
      </w:pPr>
      <w:r w:rsidRPr="005C0D5C">
        <w:rPr>
          <w:b/>
          <w:color w:val="000000" w:themeColor="text1"/>
          <w:u w:val="single"/>
        </w:rPr>
        <w:lastRenderedPageBreak/>
        <w:t>Project Report</w:t>
      </w:r>
    </w:p>
    <w:p w14:paraId="4B81EB34" w14:textId="77777777" w:rsidR="007456E6" w:rsidRPr="005C0D5C" w:rsidRDefault="007456E6" w:rsidP="007456E6">
      <w:pPr>
        <w:rPr>
          <w:b/>
          <w:color w:val="000000" w:themeColor="text1"/>
          <w:u w:val="single"/>
        </w:rPr>
      </w:pPr>
      <w:r w:rsidRPr="005C0D5C">
        <w:rPr>
          <w:b/>
          <w:color w:val="000000" w:themeColor="text1"/>
          <w:u w:val="single"/>
        </w:rPr>
        <w:t>Strategic Plan linkages:</w:t>
      </w:r>
    </w:p>
    <w:p w14:paraId="52290288" w14:textId="77777777" w:rsidR="007456E6" w:rsidRPr="005C0D5C" w:rsidRDefault="007456E6" w:rsidP="007456E6">
      <w:pPr>
        <w:spacing w:line="240" w:lineRule="auto"/>
        <w:rPr>
          <w:color w:val="000000" w:themeColor="text1"/>
        </w:rPr>
      </w:pPr>
      <w:r w:rsidRPr="005C0D5C">
        <w:rPr>
          <w:color w:val="000000" w:themeColor="text1"/>
        </w:rPr>
        <w:t>CECG has achieved the Finance Transformation project under 2023 NGRSF workplan by meeting the expected outcomes of successfully migrating all schools into TechnologyOne. The project is expected to extend to further enhance the capabilities the system provides.</w:t>
      </w:r>
    </w:p>
    <w:p w14:paraId="160BFB02" w14:textId="576C7D8C" w:rsidR="00B35511" w:rsidRDefault="00A35DC7" w:rsidP="00C7030A">
      <w:pPr>
        <w:pStyle w:val="ListParagraph"/>
        <w:spacing w:after="120"/>
        <w:ind w:left="425"/>
        <w:contextualSpacing w:val="0"/>
        <w:jc w:val="center"/>
        <w:rPr>
          <w:b/>
          <w:sz w:val="24"/>
          <w:szCs w:val="24"/>
          <w:u w:val="single"/>
        </w:rPr>
      </w:pPr>
      <w:r w:rsidRPr="00072B4B">
        <w:rPr>
          <w:b/>
          <w:sz w:val="24"/>
          <w:szCs w:val="24"/>
          <w:u w:val="single"/>
        </w:rPr>
        <w:t xml:space="preserve">Summary of </w:t>
      </w:r>
      <w:r w:rsidR="006A7606" w:rsidRPr="00072B4B">
        <w:rPr>
          <w:b/>
          <w:sz w:val="24"/>
          <w:szCs w:val="24"/>
          <w:u w:val="single"/>
        </w:rPr>
        <w:t>202</w:t>
      </w:r>
      <w:r w:rsidR="00E63447">
        <w:rPr>
          <w:b/>
          <w:sz w:val="24"/>
          <w:szCs w:val="24"/>
          <w:u w:val="single"/>
        </w:rPr>
        <w:t>3</w:t>
      </w:r>
      <w:r w:rsidRPr="00072B4B">
        <w:rPr>
          <w:b/>
          <w:sz w:val="24"/>
          <w:szCs w:val="24"/>
          <w:u w:val="single"/>
        </w:rPr>
        <w:t xml:space="preserve"> achievement</w:t>
      </w:r>
      <w:r w:rsidR="006A7606" w:rsidRPr="00072B4B">
        <w:rPr>
          <w:b/>
          <w:sz w:val="24"/>
          <w:szCs w:val="24"/>
          <w:u w:val="single"/>
        </w:rPr>
        <w:t>s</w:t>
      </w:r>
    </w:p>
    <w:tbl>
      <w:tblPr>
        <w:tblStyle w:val="TableGrid"/>
        <w:tblW w:w="15286" w:type="dxa"/>
        <w:tblLook w:val="04A0" w:firstRow="1" w:lastRow="0" w:firstColumn="1" w:lastColumn="0" w:noHBand="0" w:noVBand="1"/>
      </w:tblPr>
      <w:tblGrid>
        <w:gridCol w:w="2529"/>
        <w:gridCol w:w="2835"/>
        <w:gridCol w:w="2948"/>
        <w:gridCol w:w="4139"/>
        <w:gridCol w:w="2835"/>
      </w:tblGrid>
      <w:tr w:rsidR="007456E6" w:rsidRPr="00B02887" w14:paraId="65EB2FDA" w14:textId="77777777" w:rsidTr="00D01CA1">
        <w:trPr>
          <w:tblHeader/>
        </w:trPr>
        <w:tc>
          <w:tcPr>
            <w:tcW w:w="2529" w:type="dxa"/>
            <w:shd w:val="clear" w:color="auto" w:fill="auto"/>
            <w:vAlign w:val="center"/>
          </w:tcPr>
          <w:p w14:paraId="5F837CA9" w14:textId="77777777" w:rsidR="007456E6" w:rsidRPr="00B02887" w:rsidRDefault="007456E6" w:rsidP="00C351F2">
            <w:pPr>
              <w:pStyle w:val="ListParagraph"/>
              <w:numPr>
                <w:ilvl w:val="0"/>
                <w:numId w:val="10"/>
              </w:numPr>
              <w:spacing w:after="120"/>
              <w:ind w:left="357" w:hanging="357"/>
              <w:rPr>
                <w:b/>
                <w:shd w:val="clear" w:color="auto" w:fill="FFFFFF" w:themeFill="background1"/>
              </w:rPr>
            </w:pPr>
            <w:r w:rsidRPr="00B02887">
              <w:rPr>
                <w:b/>
                <w:shd w:val="clear" w:color="auto" w:fill="FFFFFF" w:themeFill="background1"/>
              </w:rPr>
              <w:t>Project title</w:t>
            </w:r>
          </w:p>
        </w:tc>
        <w:tc>
          <w:tcPr>
            <w:tcW w:w="2835" w:type="dxa"/>
            <w:shd w:val="clear" w:color="auto" w:fill="auto"/>
            <w:vAlign w:val="center"/>
          </w:tcPr>
          <w:p w14:paraId="525238C8" w14:textId="77777777" w:rsidR="007456E6" w:rsidRPr="00B02887" w:rsidRDefault="007456E6" w:rsidP="00C351F2">
            <w:pPr>
              <w:pStyle w:val="ListParagraph"/>
              <w:numPr>
                <w:ilvl w:val="0"/>
                <w:numId w:val="10"/>
              </w:numPr>
              <w:spacing w:after="120"/>
              <w:ind w:left="357" w:hanging="357"/>
              <w:rPr>
                <w:b/>
                <w:shd w:val="clear" w:color="auto" w:fill="FFFFFF" w:themeFill="background1"/>
              </w:rPr>
            </w:pPr>
            <w:r w:rsidRPr="00B02887">
              <w:rPr>
                <w:b/>
                <w:shd w:val="clear" w:color="auto" w:fill="FFFFFF" w:themeFill="background1"/>
              </w:rPr>
              <w:t>Project description and activities</w:t>
            </w:r>
          </w:p>
        </w:tc>
        <w:tc>
          <w:tcPr>
            <w:tcW w:w="2948" w:type="dxa"/>
            <w:shd w:val="clear" w:color="auto" w:fill="auto"/>
            <w:vAlign w:val="center"/>
          </w:tcPr>
          <w:p w14:paraId="3759453F" w14:textId="77777777" w:rsidR="007456E6" w:rsidRPr="00B02887" w:rsidRDefault="007456E6" w:rsidP="00C351F2">
            <w:pPr>
              <w:pStyle w:val="ListParagraph"/>
              <w:numPr>
                <w:ilvl w:val="0"/>
                <w:numId w:val="10"/>
              </w:numPr>
              <w:spacing w:after="120"/>
              <w:ind w:left="357" w:hanging="357"/>
              <w:rPr>
                <w:b/>
                <w:shd w:val="clear" w:color="auto" w:fill="FFFFFF" w:themeFill="background1"/>
              </w:rPr>
            </w:pPr>
            <w:r w:rsidRPr="00B02887">
              <w:rPr>
                <w:b/>
                <w:shd w:val="clear" w:color="auto" w:fill="FFFFFF" w:themeFill="background1"/>
              </w:rPr>
              <w:t>Expected outcomes / Overall achievements</w:t>
            </w:r>
          </w:p>
          <w:p w14:paraId="76C24DA3" w14:textId="77777777" w:rsidR="007456E6" w:rsidRPr="00B02887" w:rsidRDefault="007456E6" w:rsidP="00C351F2">
            <w:pPr>
              <w:pStyle w:val="ListParagraph"/>
              <w:spacing w:after="120"/>
              <w:ind w:left="357"/>
              <w:rPr>
                <w:b/>
                <w:shd w:val="clear" w:color="auto" w:fill="FFFFFF" w:themeFill="background1"/>
              </w:rPr>
            </w:pPr>
            <w:r w:rsidRPr="00B02887">
              <w:rPr>
                <w:b/>
                <w:shd w:val="clear" w:color="auto" w:fill="FFFFFF" w:themeFill="background1"/>
              </w:rPr>
              <w:t>Achieved or Not achieved</w:t>
            </w:r>
          </w:p>
        </w:tc>
        <w:tc>
          <w:tcPr>
            <w:tcW w:w="4139" w:type="dxa"/>
            <w:shd w:val="clear" w:color="auto" w:fill="auto"/>
            <w:vAlign w:val="center"/>
          </w:tcPr>
          <w:p w14:paraId="1729588F" w14:textId="77777777" w:rsidR="007456E6" w:rsidRPr="00B02887" w:rsidRDefault="007456E6" w:rsidP="00C351F2">
            <w:pPr>
              <w:pStyle w:val="ListParagraph"/>
              <w:numPr>
                <w:ilvl w:val="0"/>
                <w:numId w:val="10"/>
              </w:numPr>
              <w:spacing w:after="120"/>
              <w:ind w:left="357" w:hanging="357"/>
              <w:rPr>
                <w:b/>
                <w:shd w:val="clear" w:color="auto" w:fill="FFFFFF" w:themeFill="background1"/>
              </w:rPr>
            </w:pPr>
            <w:r w:rsidRPr="00B02887">
              <w:rPr>
                <w:b/>
              </w:rPr>
              <w:t>Indicators of success</w:t>
            </w:r>
          </w:p>
        </w:tc>
        <w:tc>
          <w:tcPr>
            <w:tcW w:w="2835" w:type="dxa"/>
            <w:shd w:val="clear" w:color="auto" w:fill="auto"/>
            <w:vAlign w:val="center"/>
          </w:tcPr>
          <w:p w14:paraId="2837209F" w14:textId="77777777" w:rsidR="007456E6" w:rsidRPr="00B02887" w:rsidRDefault="007456E6" w:rsidP="00C351F2">
            <w:pPr>
              <w:pStyle w:val="ListParagraph"/>
              <w:numPr>
                <w:ilvl w:val="0"/>
                <w:numId w:val="10"/>
              </w:numPr>
              <w:ind w:left="357" w:hanging="357"/>
              <w:rPr>
                <w:b/>
                <w:shd w:val="clear" w:color="auto" w:fill="FFFFFF" w:themeFill="background1"/>
              </w:rPr>
            </w:pPr>
            <w:r w:rsidRPr="00B02887">
              <w:rPr>
                <w:b/>
              </w:rPr>
              <w:t>List any additional or variations of Activities undertaken/Achieved outcomes</w:t>
            </w:r>
          </w:p>
        </w:tc>
      </w:tr>
      <w:tr w:rsidR="00A55A30" w:rsidRPr="00B02887" w14:paraId="20E4D6DB" w14:textId="77777777" w:rsidTr="003D5A6A">
        <w:tc>
          <w:tcPr>
            <w:tcW w:w="2529" w:type="dxa"/>
            <w:shd w:val="clear" w:color="auto" w:fill="auto"/>
          </w:tcPr>
          <w:p w14:paraId="1C3ECACD" w14:textId="5BE35D5B" w:rsidR="00A55A30" w:rsidRPr="00A55A30" w:rsidRDefault="00A55A30" w:rsidP="00A55A30">
            <w:pPr>
              <w:spacing w:after="120"/>
              <w:rPr>
                <w:b/>
                <w:shd w:val="clear" w:color="auto" w:fill="FFFFFF" w:themeFill="background1"/>
              </w:rPr>
            </w:pPr>
            <w:r w:rsidRPr="00B02887">
              <w:rPr>
                <w:rFonts w:ascii="Calibri" w:hAnsi="Calibri" w:cs="Calibri"/>
                <w:b/>
                <w:iCs/>
              </w:rPr>
              <w:t>Nationally Consistent Collection of Data on School Students with Disability</w:t>
            </w:r>
          </w:p>
        </w:tc>
        <w:tc>
          <w:tcPr>
            <w:tcW w:w="2835" w:type="dxa"/>
            <w:shd w:val="clear" w:color="auto" w:fill="auto"/>
          </w:tcPr>
          <w:p w14:paraId="3C81637F" w14:textId="77777777" w:rsidR="00A55A30" w:rsidRPr="00B02887" w:rsidRDefault="00A55A30" w:rsidP="00A55A30">
            <w:pPr>
              <w:spacing w:before="120" w:after="60"/>
              <w:rPr>
                <w:rFonts w:ascii="Calibri" w:hAnsi="Calibri" w:cs="Calibri"/>
                <w:bCs/>
                <w:iCs/>
                <w:lang w:val="en-GB"/>
              </w:rPr>
            </w:pPr>
            <w:r w:rsidRPr="00B02887">
              <w:rPr>
                <w:rFonts w:ascii="Calibri" w:hAnsi="Calibri" w:cs="Calibri"/>
                <w:bCs/>
                <w:iCs/>
                <w:lang w:val="en-GB"/>
              </w:rPr>
              <w:t>Upskill teachers understanding of disability, Disability Discrimination Act (DDA) and Disability Standards of Education (DSE).</w:t>
            </w:r>
          </w:p>
          <w:p w14:paraId="4AD2C724" w14:textId="77777777" w:rsidR="00A55A30" w:rsidRPr="00B02887" w:rsidRDefault="00A55A30" w:rsidP="00A55A30">
            <w:pPr>
              <w:spacing w:before="120" w:after="60"/>
              <w:rPr>
                <w:rFonts w:ascii="Calibri" w:hAnsi="Calibri" w:cs="Calibri"/>
                <w:bCs/>
                <w:iCs/>
                <w:lang w:val="en-GB"/>
              </w:rPr>
            </w:pPr>
            <w:r w:rsidRPr="00B02887">
              <w:rPr>
                <w:rFonts w:ascii="Calibri" w:hAnsi="Calibri" w:cs="Calibri"/>
                <w:bCs/>
                <w:iCs/>
                <w:lang w:val="en-GB"/>
              </w:rPr>
              <w:t>Maintain quality of information captured through accurate levels of adjustment, up-to-date personalised plans that are implemented and regularly updated in consultation with parents and teachers.</w:t>
            </w:r>
          </w:p>
          <w:p w14:paraId="132E9F46" w14:textId="77777777" w:rsidR="00A55A30" w:rsidRPr="00B02887" w:rsidRDefault="00A55A30" w:rsidP="00A55A30">
            <w:pPr>
              <w:spacing w:before="120" w:after="60"/>
              <w:rPr>
                <w:rFonts w:ascii="Calibri" w:hAnsi="Calibri" w:cs="Calibri"/>
                <w:bCs/>
                <w:iCs/>
                <w:lang w:val="en-GB"/>
              </w:rPr>
            </w:pPr>
            <w:r w:rsidRPr="00B02887">
              <w:rPr>
                <w:rFonts w:ascii="Calibri" w:hAnsi="Calibri" w:cs="Calibri"/>
                <w:bCs/>
                <w:iCs/>
                <w:lang w:val="en-GB"/>
              </w:rPr>
              <w:t>Maintain required evidence in a central repository to enable all teachers involved with the student’s development to access information easily as well as withstand any audit.</w:t>
            </w:r>
          </w:p>
          <w:p w14:paraId="7B256202" w14:textId="77777777" w:rsidR="00D01CA1" w:rsidRDefault="00D01CA1" w:rsidP="00A55A30">
            <w:pPr>
              <w:spacing w:after="120"/>
              <w:rPr>
                <w:rFonts w:ascii="Calibri" w:hAnsi="Calibri" w:cs="Calibri"/>
                <w:bCs/>
                <w:iCs/>
                <w:lang w:val="en-GB"/>
              </w:rPr>
            </w:pPr>
          </w:p>
          <w:p w14:paraId="2FF6E6AD" w14:textId="069E1F5A" w:rsidR="00A55A30" w:rsidRPr="00A55A30" w:rsidRDefault="00A55A30" w:rsidP="00A55A30">
            <w:pPr>
              <w:spacing w:after="120"/>
              <w:rPr>
                <w:b/>
                <w:shd w:val="clear" w:color="auto" w:fill="FFFFFF" w:themeFill="background1"/>
              </w:rPr>
            </w:pPr>
            <w:r w:rsidRPr="00B02887">
              <w:rPr>
                <w:rFonts w:ascii="Calibri" w:hAnsi="Calibri" w:cs="Calibri"/>
                <w:bCs/>
                <w:iCs/>
                <w:lang w:val="en-GB"/>
              </w:rPr>
              <w:lastRenderedPageBreak/>
              <w:t>Develop a whole school approach in Secondary schools for Personalised Plans.</w:t>
            </w:r>
          </w:p>
        </w:tc>
        <w:tc>
          <w:tcPr>
            <w:tcW w:w="2948" w:type="dxa"/>
            <w:shd w:val="clear" w:color="auto" w:fill="auto"/>
          </w:tcPr>
          <w:p w14:paraId="02EA383B" w14:textId="77777777" w:rsidR="00A55A30" w:rsidRPr="00B02887" w:rsidRDefault="00A55A30" w:rsidP="00A55A30">
            <w:pPr>
              <w:spacing w:before="120" w:after="60"/>
              <w:rPr>
                <w:rFonts w:ascii="Calibri" w:hAnsi="Calibri" w:cs="Calibri"/>
                <w:iCs/>
              </w:rPr>
            </w:pPr>
            <w:r w:rsidRPr="00B02887">
              <w:rPr>
                <w:rFonts w:ascii="Calibri" w:hAnsi="Calibri" w:cs="Calibri"/>
                <w:iCs/>
              </w:rPr>
              <w:lastRenderedPageBreak/>
              <w:t>CECG has robust systems and processes to manage all NCCD aspects</w:t>
            </w:r>
          </w:p>
          <w:p w14:paraId="6E7BCF20" w14:textId="77777777" w:rsidR="00A55A30" w:rsidRPr="00B02887" w:rsidRDefault="00A55A30" w:rsidP="00A55A30">
            <w:pPr>
              <w:spacing w:before="120" w:after="60"/>
              <w:rPr>
                <w:rFonts w:ascii="Calibri" w:hAnsi="Calibri" w:cs="Calibri"/>
                <w:b/>
              </w:rPr>
            </w:pPr>
            <w:r w:rsidRPr="00B02887">
              <w:rPr>
                <w:rFonts w:ascii="Calibri" w:hAnsi="Calibri" w:cs="Calibri"/>
                <w:b/>
              </w:rPr>
              <w:t>100% Achieved</w:t>
            </w:r>
          </w:p>
          <w:p w14:paraId="2DFC4A46" w14:textId="77777777" w:rsidR="00A55A30" w:rsidRPr="00A55A30" w:rsidRDefault="00A55A30" w:rsidP="00A55A30">
            <w:pPr>
              <w:spacing w:after="120"/>
              <w:rPr>
                <w:b/>
                <w:shd w:val="clear" w:color="auto" w:fill="FFFFFF" w:themeFill="background1"/>
              </w:rPr>
            </w:pPr>
          </w:p>
        </w:tc>
        <w:tc>
          <w:tcPr>
            <w:tcW w:w="4139" w:type="dxa"/>
            <w:shd w:val="clear" w:color="auto" w:fill="auto"/>
          </w:tcPr>
          <w:p w14:paraId="1EC5F877" w14:textId="77777777" w:rsidR="00A55A30" w:rsidRPr="00B02887" w:rsidRDefault="00A55A30" w:rsidP="00A55A30">
            <w:pPr>
              <w:spacing w:before="60" w:after="60"/>
              <w:rPr>
                <w:rFonts w:ascii="Calibri" w:hAnsi="Calibri" w:cs="Calibri"/>
                <w:iCs/>
              </w:rPr>
            </w:pPr>
            <w:r w:rsidRPr="00B02887">
              <w:rPr>
                <w:rFonts w:ascii="Calibri" w:hAnsi="Calibri" w:cs="Calibri"/>
                <w:iCs/>
              </w:rPr>
              <w:t xml:space="preserve">100% of teachers have completed the new DSE online modules </w:t>
            </w:r>
          </w:p>
          <w:p w14:paraId="2BD99EC2" w14:textId="77777777" w:rsidR="00A55A30" w:rsidRPr="00B02887" w:rsidRDefault="00A55A30" w:rsidP="00A55A30">
            <w:pPr>
              <w:pStyle w:val="ListParagraph"/>
              <w:spacing w:after="60"/>
              <w:ind w:left="0"/>
              <w:rPr>
                <w:rFonts w:ascii="Calibri" w:hAnsi="Calibri" w:cs="Calibri"/>
                <w:b/>
              </w:rPr>
            </w:pPr>
            <w:r w:rsidRPr="00B02887">
              <w:rPr>
                <w:rFonts w:ascii="Calibri" w:hAnsi="Calibri" w:cs="Calibri"/>
                <w:b/>
              </w:rPr>
              <w:t>100% Achieved</w:t>
            </w:r>
          </w:p>
          <w:p w14:paraId="56AC54CA" w14:textId="77777777" w:rsidR="00A55A30" w:rsidRPr="00B02887" w:rsidRDefault="00A55A30" w:rsidP="00A55A30">
            <w:pPr>
              <w:spacing w:before="60" w:after="60"/>
              <w:rPr>
                <w:rFonts w:ascii="Calibri" w:hAnsi="Calibri" w:cs="Calibri"/>
                <w:iCs/>
              </w:rPr>
            </w:pPr>
            <w:r w:rsidRPr="00B02887">
              <w:rPr>
                <w:rFonts w:ascii="Calibri" w:hAnsi="Calibri" w:cs="Calibri"/>
                <w:iCs/>
              </w:rPr>
              <w:t xml:space="preserve">100% of students have evidence to support their disability category in the NCCD data collection </w:t>
            </w:r>
          </w:p>
          <w:p w14:paraId="2C3D9AD5" w14:textId="77777777" w:rsidR="00A55A30" w:rsidRPr="00B02887" w:rsidRDefault="00A55A30" w:rsidP="00A55A30">
            <w:pPr>
              <w:pStyle w:val="ListParagraph"/>
              <w:spacing w:after="60"/>
              <w:ind w:left="0"/>
              <w:rPr>
                <w:rFonts w:ascii="Calibri" w:hAnsi="Calibri" w:cs="Calibri"/>
                <w:b/>
              </w:rPr>
            </w:pPr>
            <w:r w:rsidRPr="00B02887">
              <w:rPr>
                <w:rFonts w:ascii="Calibri" w:hAnsi="Calibri" w:cs="Calibri"/>
                <w:b/>
              </w:rPr>
              <w:t>100% Achieved</w:t>
            </w:r>
          </w:p>
          <w:p w14:paraId="5269A1DD" w14:textId="77777777" w:rsidR="00A55A30" w:rsidRPr="00B02887" w:rsidRDefault="00A55A30" w:rsidP="00A55A30">
            <w:pPr>
              <w:spacing w:before="60" w:after="60"/>
              <w:rPr>
                <w:rFonts w:ascii="Calibri" w:hAnsi="Calibri" w:cs="Calibri"/>
                <w:iCs/>
              </w:rPr>
            </w:pPr>
            <w:r w:rsidRPr="00B02887">
              <w:rPr>
                <w:rFonts w:ascii="Calibri" w:hAnsi="Calibri" w:cs="Calibri"/>
                <w:iCs/>
              </w:rPr>
              <w:t xml:space="preserve">100% of Personalised Plans are sent home to parents </w:t>
            </w:r>
          </w:p>
          <w:p w14:paraId="397375E0" w14:textId="77777777" w:rsidR="00A55A30" w:rsidRPr="00B02887" w:rsidRDefault="00A55A30" w:rsidP="00A55A30">
            <w:pPr>
              <w:pStyle w:val="ListParagraph"/>
              <w:spacing w:after="60"/>
              <w:ind w:left="0"/>
              <w:rPr>
                <w:rFonts w:ascii="Calibri" w:hAnsi="Calibri" w:cs="Calibri"/>
                <w:b/>
              </w:rPr>
            </w:pPr>
            <w:r w:rsidRPr="00B02887">
              <w:rPr>
                <w:rFonts w:ascii="Calibri" w:hAnsi="Calibri" w:cs="Calibri"/>
                <w:b/>
              </w:rPr>
              <w:t>100% Achieved</w:t>
            </w:r>
          </w:p>
          <w:p w14:paraId="1D7DDD02" w14:textId="77777777" w:rsidR="00A55A30" w:rsidRPr="00B02887" w:rsidRDefault="00A55A30" w:rsidP="00A55A30">
            <w:pPr>
              <w:spacing w:before="60" w:after="60"/>
              <w:rPr>
                <w:rFonts w:ascii="Calibri" w:hAnsi="Calibri" w:cs="Calibri"/>
                <w:iCs/>
              </w:rPr>
            </w:pPr>
            <w:r w:rsidRPr="00B02887">
              <w:rPr>
                <w:rFonts w:ascii="Calibri" w:hAnsi="Calibri" w:cs="Calibri"/>
                <w:iCs/>
              </w:rPr>
              <w:t xml:space="preserve">100% of schools have moderated within school teams to determine levels of adjustment </w:t>
            </w:r>
          </w:p>
          <w:p w14:paraId="009445E9" w14:textId="77777777" w:rsidR="00A55A30" w:rsidRPr="00B02887" w:rsidRDefault="00A55A30" w:rsidP="00A55A30">
            <w:pPr>
              <w:pStyle w:val="ListParagraph"/>
              <w:spacing w:after="60"/>
              <w:ind w:left="0"/>
              <w:rPr>
                <w:rFonts w:ascii="Calibri" w:hAnsi="Calibri" w:cs="Calibri"/>
                <w:b/>
              </w:rPr>
            </w:pPr>
            <w:r w:rsidRPr="00B02887">
              <w:rPr>
                <w:rFonts w:ascii="Calibri" w:hAnsi="Calibri" w:cs="Calibri"/>
                <w:b/>
              </w:rPr>
              <w:t>100% Achieved</w:t>
            </w:r>
          </w:p>
          <w:p w14:paraId="534AA740" w14:textId="77777777" w:rsidR="00A55A30" w:rsidRPr="00B02887" w:rsidRDefault="00A55A30" w:rsidP="00A55A30">
            <w:pPr>
              <w:spacing w:before="60" w:after="60"/>
              <w:rPr>
                <w:rFonts w:ascii="Calibri" w:hAnsi="Calibri" w:cs="Calibri"/>
                <w:iCs/>
              </w:rPr>
            </w:pPr>
            <w:r w:rsidRPr="00B02887">
              <w:rPr>
                <w:rFonts w:ascii="Calibri" w:hAnsi="Calibri" w:cs="Calibri"/>
                <w:iCs/>
              </w:rPr>
              <w:t xml:space="preserve">100% of students have sufficient evidence </w:t>
            </w:r>
          </w:p>
          <w:p w14:paraId="71FF3783" w14:textId="77777777" w:rsidR="00A55A30" w:rsidRPr="00B02887" w:rsidRDefault="00A55A30" w:rsidP="00A55A30">
            <w:pPr>
              <w:pStyle w:val="ListParagraph"/>
              <w:spacing w:after="60"/>
              <w:ind w:left="0"/>
              <w:rPr>
                <w:rFonts w:ascii="Calibri" w:hAnsi="Calibri" w:cs="Calibri"/>
                <w:b/>
              </w:rPr>
            </w:pPr>
            <w:r w:rsidRPr="00B02887">
              <w:rPr>
                <w:rFonts w:ascii="Calibri" w:hAnsi="Calibri" w:cs="Calibri"/>
                <w:b/>
              </w:rPr>
              <w:t>100% Achieved</w:t>
            </w:r>
          </w:p>
          <w:p w14:paraId="67018C28" w14:textId="77777777" w:rsidR="00A55A30" w:rsidRPr="00B02887" w:rsidRDefault="00A55A30" w:rsidP="00A55A30">
            <w:pPr>
              <w:spacing w:before="60" w:after="60"/>
              <w:rPr>
                <w:rFonts w:ascii="Calibri" w:hAnsi="Calibri" w:cs="Calibri"/>
                <w:iCs/>
              </w:rPr>
            </w:pPr>
            <w:r w:rsidRPr="00B02887">
              <w:rPr>
                <w:rFonts w:ascii="Calibri" w:hAnsi="Calibri" w:cs="Calibri"/>
                <w:iCs/>
              </w:rPr>
              <w:t>100% of schools have a whole-school approach where:</w:t>
            </w:r>
          </w:p>
          <w:p w14:paraId="416AC634" w14:textId="77777777" w:rsidR="00A55A30" w:rsidRPr="00B02887" w:rsidRDefault="00A55A30" w:rsidP="00A55A30">
            <w:pPr>
              <w:pStyle w:val="ListParagraph"/>
              <w:numPr>
                <w:ilvl w:val="0"/>
                <w:numId w:val="11"/>
              </w:numPr>
              <w:spacing w:before="60" w:after="60"/>
              <w:ind w:left="369" w:hanging="290"/>
              <w:rPr>
                <w:rFonts w:ascii="Calibri" w:hAnsi="Calibri" w:cs="Calibri"/>
                <w:bCs/>
                <w:iCs/>
              </w:rPr>
            </w:pPr>
            <w:r w:rsidRPr="00B02887">
              <w:rPr>
                <w:rFonts w:ascii="Calibri" w:hAnsi="Calibri" w:cs="Calibri"/>
                <w:bCs/>
                <w:iCs/>
              </w:rPr>
              <w:t>NCCD team roles within the school are clearly defined.</w:t>
            </w:r>
          </w:p>
          <w:p w14:paraId="38429368" w14:textId="77777777" w:rsidR="00A55A30" w:rsidRPr="00B02887" w:rsidRDefault="00A55A30" w:rsidP="00A55A30">
            <w:pPr>
              <w:pStyle w:val="ListParagraph"/>
              <w:numPr>
                <w:ilvl w:val="0"/>
                <w:numId w:val="11"/>
              </w:numPr>
              <w:spacing w:before="60" w:after="60"/>
              <w:ind w:left="369" w:hanging="290"/>
              <w:rPr>
                <w:rFonts w:ascii="Calibri" w:hAnsi="Calibri" w:cs="Calibri"/>
                <w:bCs/>
                <w:iCs/>
              </w:rPr>
            </w:pPr>
            <w:r w:rsidRPr="00B02887">
              <w:rPr>
                <w:rFonts w:ascii="Calibri" w:hAnsi="Calibri" w:cs="Calibri"/>
                <w:bCs/>
                <w:iCs/>
              </w:rPr>
              <w:t>Numerous staff are responsible for Personalised Plans.</w:t>
            </w:r>
          </w:p>
          <w:p w14:paraId="6D1DC070" w14:textId="77777777" w:rsidR="00A55A30" w:rsidRPr="00B02887" w:rsidRDefault="00A55A30" w:rsidP="00A55A30">
            <w:pPr>
              <w:pStyle w:val="ListParagraph"/>
              <w:numPr>
                <w:ilvl w:val="0"/>
                <w:numId w:val="11"/>
              </w:numPr>
              <w:spacing w:before="60" w:after="60"/>
              <w:ind w:left="369" w:hanging="290"/>
              <w:rPr>
                <w:rFonts w:ascii="Calibri" w:hAnsi="Calibri" w:cs="Calibri"/>
                <w:iCs/>
              </w:rPr>
            </w:pPr>
            <w:r w:rsidRPr="00B02887">
              <w:rPr>
                <w:rFonts w:ascii="Calibri" w:hAnsi="Calibri" w:cs="Calibri"/>
                <w:bCs/>
                <w:iCs/>
              </w:rPr>
              <w:lastRenderedPageBreak/>
              <w:t>School specific processes in completing Personalised plans, meetings with parents, entering adjustments, moderation, etc. have been clearly defined and are being reliably enacted.</w:t>
            </w:r>
          </w:p>
          <w:p w14:paraId="296C89B7" w14:textId="77777777" w:rsidR="00A55A30" w:rsidRPr="00B02887" w:rsidRDefault="00A55A30" w:rsidP="00A55A30">
            <w:pPr>
              <w:pStyle w:val="ListParagraph"/>
              <w:spacing w:after="60"/>
              <w:ind w:left="0"/>
              <w:rPr>
                <w:rFonts w:ascii="Calibri" w:hAnsi="Calibri" w:cs="Calibri"/>
                <w:b/>
              </w:rPr>
            </w:pPr>
            <w:r w:rsidRPr="00B02887">
              <w:rPr>
                <w:rFonts w:ascii="Calibri" w:hAnsi="Calibri" w:cs="Calibri"/>
                <w:b/>
              </w:rPr>
              <w:t>100% Achieved</w:t>
            </w:r>
          </w:p>
          <w:p w14:paraId="42BA2796" w14:textId="77777777" w:rsidR="00A55A30" w:rsidRPr="00A55A30" w:rsidRDefault="00A55A30" w:rsidP="00A55A30">
            <w:pPr>
              <w:spacing w:after="120"/>
              <w:rPr>
                <w:b/>
              </w:rPr>
            </w:pPr>
          </w:p>
        </w:tc>
        <w:tc>
          <w:tcPr>
            <w:tcW w:w="2835" w:type="dxa"/>
            <w:shd w:val="clear" w:color="auto" w:fill="auto"/>
            <w:vAlign w:val="center"/>
          </w:tcPr>
          <w:p w14:paraId="7A8D7C42" w14:textId="77777777" w:rsidR="00A55A30" w:rsidRPr="00A55A30" w:rsidRDefault="00A55A30" w:rsidP="00A55A30">
            <w:pPr>
              <w:rPr>
                <w:b/>
              </w:rPr>
            </w:pPr>
          </w:p>
        </w:tc>
      </w:tr>
      <w:tr w:rsidR="00A55A30" w:rsidRPr="00B02887" w14:paraId="31FF88FD" w14:textId="77777777" w:rsidTr="003D5A6A">
        <w:tc>
          <w:tcPr>
            <w:tcW w:w="2529" w:type="dxa"/>
            <w:shd w:val="clear" w:color="auto" w:fill="auto"/>
          </w:tcPr>
          <w:p w14:paraId="17F8EBDA" w14:textId="441F99A7" w:rsidR="00A55A30" w:rsidRPr="00B02887" w:rsidRDefault="00A55A30" w:rsidP="00A55A30">
            <w:pPr>
              <w:spacing w:after="120"/>
              <w:rPr>
                <w:rFonts w:ascii="Calibri" w:hAnsi="Calibri" w:cs="Calibri"/>
                <w:b/>
                <w:iCs/>
              </w:rPr>
            </w:pPr>
            <w:r w:rsidRPr="00B02887">
              <w:rPr>
                <w:rFonts w:ascii="Calibri" w:hAnsi="Calibri" w:cs="Calibri"/>
                <w:b/>
                <w:iCs/>
              </w:rPr>
              <w:t>Nationally Consistent Collection of Data on School Students with Disability</w:t>
            </w:r>
          </w:p>
        </w:tc>
        <w:tc>
          <w:tcPr>
            <w:tcW w:w="2835" w:type="dxa"/>
            <w:shd w:val="clear" w:color="auto" w:fill="auto"/>
          </w:tcPr>
          <w:p w14:paraId="0B566626" w14:textId="77777777" w:rsidR="00A55A30" w:rsidRPr="00B02887" w:rsidRDefault="00A55A30" w:rsidP="00A55A30">
            <w:pPr>
              <w:spacing w:before="120" w:after="60"/>
              <w:rPr>
                <w:rFonts w:ascii="Calibri" w:hAnsi="Calibri" w:cs="Calibri"/>
                <w:bCs/>
                <w:iCs/>
                <w:lang w:val="en-GB"/>
              </w:rPr>
            </w:pPr>
            <w:r w:rsidRPr="00B02887">
              <w:rPr>
                <w:rFonts w:ascii="Calibri" w:hAnsi="Calibri" w:cs="Calibri"/>
                <w:bCs/>
                <w:iCs/>
                <w:lang w:val="en-GB"/>
              </w:rPr>
              <w:t>Upskill teachers understanding of disability, Disability Discrimination Act (DDA) and Disability Standards of Education (DSE).</w:t>
            </w:r>
          </w:p>
          <w:p w14:paraId="0C99886A" w14:textId="77777777" w:rsidR="00A55A30" w:rsidRPr="00B02887" w:rsidRDefault="00A55A30" w:rsidP="00A55A30">
            <w:pPr>
              <w:spacing w:before="120" w:after="60"/>
              <w:rPr>
                <w:rFonts w:ascii="Calibri" w:hAnsi="Calibri" w:cs="Calibri"/>
                <w:bCs/>
                <w:iCs/>
                <w:lang w:val="en-GB"/>
              </w:rPr>
            </w:pPr>
            <w:r w:rsidRPr="00B02887">
              <w:rPr>
                <w:rFonts w:ascii="Calibri" w:hAnsi="Calibri" w:cs="Calibri"/>
                <w:bCs/>
                <w:iCs/>
                <w:lang w:val="en-GB"/>
              </w:rPr>
              <w:t>Maintain quality of information captured through accurate levels of adjustment, up-to-date personalised plans that are implemented and regularly updated in consultation with parents and teachers.</w:t>
            </w:r>
          </w:p>
          <w:p w14:paraId="7912FE5B" w14:textId="77777777" w:rsidR="00A55A30" w:rsidRPr="00B02887" w:rsidRDefault="00A55A30" w:rsidP="00A55A30">
            <w:pPr>
              <w:spacing w:before="120" w:after="60"/>
              <w:rPr>
                <w:rFonts w:ascii="Calibri" w:hAnsi="Calibri" w:cs="Calibri"/>
                <w:bCs/>
                <w:iCs/>
                <w:lang w:val="en-GB"/>
              </w:rPr>
            </w:pPr>
            <w:r w:rsidRPr="00B02887">
              <w:rPr>
                <w:rFonts w:ascii="Calibri" w:hAnsi="Calibri" w:cs="Calibri"/>
                <w:bCs/>
                <w:iCs/>
                <w:lang w:val="en-GB"/>
              </w:rPr>
              <w:t>Maintain required evidence in a central repository to enable all teachers involved with the student’s development to access information easily as well as withstand any audit.</w:t>
            </w:r>
          </w:p>
          <w:p w14:paraId="511ABD88" w14:textId="77777777" w:rsidR="00D01CA1" w:rsidRDefault="00D01CA1" w:rsidP="00A55A30">
            <w:pPr>
              <w:spacing w:before="120" w:after="60"/>
              <w:rPr>
                <w:rFonts w:ascii="Calibri" w:hAnsi="Calibri" w:cs="Calibri"/>
                <w:bCs/>
                <w:iCs/>
                <w:lang w:val="en-GB"/>
              </w:rPr>
            </w:pPr>
          </w:p>
          <w:p w14:paraId="437CC0E5" w14:textId="642DEE45" w:rsidR="00A55A30" w:rsidRPr="00B02887" w:rsidRDefault="00A55A30" w:rsidP="00A55A30">
            <w:pPr>
              <w:spacing w:before="120" w:after="60"/>
              <w:rPr>
                <w:rFonts w:ascii="Calibri" w:hAnsi="Calibri" w:cs="Calibri"/>
                <w:bCs/>
                <w:iCs/>
                <w:lang w:val="en-GB"/>
              </w:rPr>
            </w:pPr>
            <w:r w:rsidRPr="00B02887">
              <w:rPr>
                <w:rFonts w:ascii="Calibri" w:hAnsi="Calibri" w:cs="Calibri"/>
                <w:bCs/>
                <w:iCs/>
                <w:lang w:val="en-GB"/>
              </w:rPr>
              <w:lastRenderedPageBreak/>
              <w:t>Develop a whole school approach in Secondary schools for Personalised Plans.</w:t>
            </w:r>
          </w:p>
        </w:tc>
        <w:tc>
          <w:tcPr>
            <w:tcW w:w="2948" w:type="dxa"/>
            <w:shd w:val="clear" w:color="auto" w:fill="auto"/>
          </w:tcPr>
          <w:p w14:paraId="7DA51542" w14:textId="77777777" w:rsidR="00A55A30" w:rsidRPr="00B02887" w:rsidRDefault="00A55A30" w:rsidP="00A55A30">
            <w:pPr>
              <w:spacing w:before="120" w:after="60"/>
              <w:rPr>
                <w:rFonts w:ascii="Calibri" w:hAnsi="Calibri" w:cs="Calibri"/>
                <w:iCs/>
              </w:rPr>
            </w:pPr>
            <w:r w:rsidRPr="00B02887">
              <w:rPr>
                <w:rFonts w:ascii="Calibri" w:hAnsi="Calibri" w:cs="Calibri"/>
                <w:iCs/>
              </w:rPr>
              <w:lastRenderedPageBreak/>
              <w:t>CECG has robust systems and processes to manage all NCCD aspects</w:t>
            </w:r>
          </w:p>
          <w:p w14:paraId="412D8268" w14:textId="77777777" w:rsidR="00A55A30" w:rsidRPr="00B02887" w:rsidRDefault="00A55A30" w:rsidP="00A55A30">
            <w:pPr>
              <w:spacing w:before="120" w:after="60"/>
              <w:rPr>
                <w:rFonts w:ascii="Calibri" w:hAnsi="Calibri" w:cs="Calibri"/>
                <w:b/>
              </w:rPr>
            </w:pPr>
            <w:r w:rsidRPr="00B02887">
              <w:rPr>
                <w:rFonts w:ascii="Calibri" w:hAnsi="Calibri" w:cs="Calibri"/>
                <w:b/>
              </w:rPr>
              <w:t>100% Achieved</w:t>
            </w:r>
          </w:p>
          <w:p w14:paraId="2400DB99" w14:textId="77777777" w:rsidR="00A55A30" w:rsidRPr="00B02887" w:rsidRDefault="00A55A30" w:rsidP="00A55A30">
            <w:pPr>
              <w:spacing w:before="120" w:after="60"/>
              <w:rPr>
                <w:rFonts w:ascii="Calibri" w:hAnsi="Calibri" w:cs="Calibri"/>
                <w:iCs/>
              </w:rPr>
            </w:pPr>
          </w:p>
        </w:tc>
        <w:tc>
          <w:tcPr>
            <w:tcW w:w="4139" w:type="dxa"/>
            <w:shd w:val="clear" w:color="auto" w:fill="auto"/>
          </w:tcPr>
          <w:p w14:paraId="09F0AC52" w14:textId="77777777" w:rsidR="00A55A30" w:rsidRPr="00B02887" w:rsidRDefault="00A55A30" w:rsidP="00A55A30">
            <w:pPr>
              <w:spacing w:before="60" w:after="60"/>
              <w:rPr>
                <w:rFonts w:ascii="Calibri" w:hAnsi="Calibri" w:cs="Calibri"/>
                <w:iCs/>
              </w:rPr>
            </w:pPr>
            <w:r w:rsidRPr="00B02887">
              <w:rPr>
                <w:rFonts w:ascii="Calibri" w:hAnsi="Calibri" w:cs="Calibri"/>
                <w:iCs/>
              </w:rPr>
              <w:t xml:space="preserve">100% of teachers have completed the new DSE online modules </w:t>
            </w:r>
          </w:p>
          <w:p w14:paraId="710F85C6" w14:textId="77777777" w:rsidR="00A55A30" w:rsidRPr="00B02887" w:rsidRDefault="00A55A30" w:rsidP="00A55A30">
            <w:pPr>
              <w:pStyle w:val="ListParagraph"/>
              <w:spacing w:after="60"/>
              <w:ind w:left="0"/>
              <w:rPr>
                <w:rFonts w:ascii="Calibri" w:hAnsi="Calibri" w:cs="Calibri"/>
                <w:b/>
              </w:rPr>
            </w:pPr>
            <w:r w:rsidRPr="00B02887">
              <w:rPr>
                <w:rFonts w:ascii="Calibri" w:hAnsi="Calibri" w:cs="Calibri"/>
                <w:b/>
              </w:rPr>
              <w:t>100% Achieved</w:t>
            </w:r>
          </w:p>
          <w:p w14:paraId="7B8C01C6" w14:textId="77777777" w:rsidR="00A55A30" w:rsidRPr="00B02887" w:rsidRDefault="00A55A30" w:rsidP="00A55A30">
            <w:pPr>
              <w:spacing w:before="60" w:after="60"/>
              <w:rPr>
                <w:rFonts w:ascii="Calibri" w:hAnsi="Calibri" w:cs="Calibri"/>
                <w:iCs/>
              </w:rPr>
            </w:pPr>
            <w:r w:rsidRPr="00B02887">
              <w:rPr>
                <w:rFonts w:ascii="Calibri" w:hAnsi="Calibri" w:cs="Calibri"/>
                <w:iCs/>
              </w:rPr>
              <w:t xml:space="preserve">100% of students have evidence to support their disability category in the NCCD data collection </w:t>
            </w:r>
          </w:p>
          <w:p w14:paraId="452D0B15" w14:textId="77777777" w:rsidR="00A55A30" w:rsidRPr="00B02887" w:rsidRDefault="00A55A30" w:rsidP="00A55A30">
            <w:pPr>
              <w:pStyle w:val="ListParagraph"/>
              <w:spacing w:after="60"/>
              <w:ind w:left="0"/>
              <w:rPr>
                <w:rFonts w:ascii="Calibri" w:hAnsi="Calibri" w:cs="Calibri"/>
                <w:b/>
              </w:rPr>
            </w:pPr>
            <w:r w:rsidRPr="00B02887">
              <w:rPr>
                <w:rFonts w:ascii="Calibri" w:hAnsi="Calibri" w:cs="Calibri"/>
                <w:b/>
              </w:rPr>
              <w:t>100% Achieved</w:t>
            </w:r>
          </w:p>
          <w:p w14:paraId="6C0EEBBC" w14:textId="77777777" w:rsidR="00A55A30" w:rsidRPr="00B02887" w:rsidRDefault="00A55A30" w:rsidP="00A55A30">
            <w:pPr>
              <w:spacing w:before="60" w:after="60"/>
              <w:rPr>
                <w:rFonts w:ascii="Calibri" w:hAnsi="Calibri" w:cs="Calibri"/>
                <w:iCs/>
              </w:rPr>
            </w:pPr>
            <w:r w:rsidRPr="00B02887">
              <w:rPr>
                <w:rFonts w:ascii="Calibri" w:hAnsi="Calibri" w:cs="Calibri"/>
                <w:iCs/>
              </w:rPr>
              <w:t xml:space="preserve">100% of Personalised Plans are sent home to parents </w:t>
            </w:r>
          </w:p>
          <w:p w14:paraId="1376739A" w14:textId="77777777" w:rsidR="00A55A30" w:rsidRPr="00B02887" w:rsidRDefault="00A55A30" w:rsidP="00A55A30">
            <w:pPr>
              <w:pStyle w:val="ListParagraph"/>
              <w:spacing w:after="60"/>
              <w:ind w:left="0"/>
              <w:rPr>
                <w:rFonts w:ascii="Calibri" w:hAnsi="Calibri" w:cs="Calibri"/>
                <w:b/>
              </w:rPr>
            </w:pPr>
            <w:r w:rsidRPr="00B02887">
              <w:rPr>
                <w:rFonts w:ascii="Calibri" w:hAnsi="Calibri" w:cs="Calibri"/>
                <w:b/>
              </w:rPr>
              <w:t>100% Achieved</w:t>
            </w:r>
          </w:p>
          <w:p w14:paraId="423D886D" w14:textId="77777777" w:rsidR="00A55A30" w:rsidRPr="00B02887" w:rsidRDefault="00A55A30" w:rsidP="00A55A30">
            <w:pPr>
              <w:spacing w:before="60" w:after="60"/>
              <w:rPr>
                <w:rFonts w:ascii="Calibri" w:hAnsi="Calibri" w:cs="Calibri"/>
                <w:iCs/>
              </w:rPr>
            </w:pPr>
            <w:r w:rsidRPr="00B02887">
              <w:rPr>
                <w:rFonts w:ascii="Calibri" w:hAnsi="Calibri" w:cs="Calibri"/>
                <w:iCs/>
              </w:rPr>
              <w:t xml:space="preserve">100% of schools have moderated within school teams to determine levels of adjustment </w:t>
            </w:r>
          </w:p>
          <w:p w14:paraId="4DA7A140" w14:textId="77777777" w:rsidR="00A55A30" w:rsidRPr="00B02887" w:rsidRDefault="00A55A30" w:rsidP="00A55A30">
            <w:pPr>
              <w:pStyle w:val="ListParagraph"/>
              <w:spacing w:after="60"/>
              <w:ind w:left="0"/>
              <w:rPr>
                <w:rFonts w:ascii="Calibri" w:hAnsi="Calibri" w:cs="Calibri"/>
                <w:b/>
              </w:rPr>
            </w:pPr>
            <w:r w:rsidRPr="00B02887">
              <w:rPr>
                <w:rFonts w:ascii="Calibri" w:hAnsi="Calibri" w:cs="Calibri"/>
                <w:b/>
              </w:rPr>
              <w:t>100% Achieved</w:t>
            </w:r>
          </w:p>
          <w:p w14:paraId="32E2046B" w14:textId="77777777" w:rsidR="00A55A30" w:rsidRPr="00B02887" w:rsidRDefault="00A55A30" w:rsidP="00A55A30">
            <w:pPr>
              <w:spacing w:before="60" w:after="60"/>
              <w:rPr>
                <w:rFonts w:ascii="Calibri" w:hAnsi="Calibri" w:cs="Calibri"/>
                <w:iCs/>
              </w:rPr>
            </w:pPr>
            <w:r w:rsidRPr="00B02887">
              <w:rPr>
                <w:rFonts w:ascii="Calibri" w:hAnsi="Calibri" w:cs="Calibri"/>
                <w:iCs/>
              </w:rPr>
              <w:t xml:space="preserve">100% of students have sufficient evidence </w:t>
            </w:r>
          </w:p>
          <w:p w14:paraId="23D0537E" w14:textId="77777777" w:rsidR="00A55A30" w:rsidRPr="00B02887" w:rsidRDefault="00A55A30" w:rsidP="00A55A30">
            <w:pPr>
              <w:pStyle w:val="ListParagraph"/>
              <w:spacing w:after="60"/>
              <w:ind w:left="0"/>
              <w:rPr>
                <w:rFonts w:ascii="Calibri" w:hAnsi="Calibri" w:cs="Calibri"/>
                <w:b/>
              </w:rPr>
            </w:pPr>
            <w:r w:rsidRPr="00B02887">
              <w:rPr>
                <w:rFonts w:ascii="Calibri" w:hAnsi="Calibri" w:cs="Calibri"/>
                <w:b/>
              </w:rPr>
              <w:t>100% Achieved</w:t>
            </w:r>
          </w:p>
          <w:p w14:paraId="0A1FBB5B" w14:textId="77777777" w:rsidR="00A55A30" w:rsidRPr="00B02887" w:rsidRDefault="00A55A30" w:rsidP="00A55A30">
            <w:pPr>
              <w:spacing w:before="60" w:after="60"/>
              <w:rPr>
                <w:rFonts w:ascii="Calibri" w:hAnsi="Calibri" w:cs="Calibri"/>
                <w:iCs/>
              </w:rPr>
            </w:pPr>
            <w:r w:rsidRPr="00B02887">
              <w:rPr>
                <w:rFonts w:ascii="Calibri" w:hAnsi="Calibri" w:cs="Calibri"/>
                <w:iCs/>
              </w:rPr>
              <w:t>100% of schools have a whole-school approach where:</w:t>
            </w:r>
          </w:p>
          <w:p w14:paraId="7E633678" w14:textId="77777777" w:rsidR="00A55A30" w:rsidRPr="00B02887" w:rsidRDefault="00A55A30" w:rsidP="00A55A30">
            <w:pPr>
              <w:pStyle w:val="ListParagraph"/>
              <w:numPr>
                <w:ilvl w:val="0"/>
                <w:numId w:val="11"/>
              </w:numPr>
              <w:spacing w:before="60" w:after="60"/>
              <w:ind w:left="369" w:hanging="290"/>
              <w:rPr>
                <w:rFonts w:ascii="Calibri" w:hAnsi="Calibri" w:cs="Calibri"/>
                <w:bCs/>
                <w:iCs/>
              </w:rPr>
            </w:pPr>
            <w:r w:rsidRPr="00B02887">
              <w:rPr>
                <w:rFonts w:ascii="Calibri" w:hAnsi="Calibri" w:cs="Calibri"/>
                <w:bCs/>
                <w:iCs/>
              </w:rPr>
              <w:t>NCCD team roles within the school are clearly defined.</w:t>
            </w:r>
          </w:p>
          <w:p w14:paraId="3F2DA470" w14:textId="77777777" w:rsidR="00A55A30" w:rsidRPr="00B02887" w:rsidRDefault="00A55A30" w:rsidP="00A55A30">
            <w:pPr>
              <w:pStyle w:val="ListParagraph"/>
              <w:numPr>
                <w:ilvl w:val="0"/>
                <w:numId w:val="11"/>
              </w:numPr>
              <w:spacing w:before="60" w:after="60"/>
              <w:ind w:left="369" w:hanging="290"/>
              <w:rPr>
                <w:rFonts w:ascii="Calibri" w:hAnsi="Calibri" w:cs="Calibri"/>
                <w:bCs/>
                <w:iCs/>
              </w:rPr>
            </w:pPr>
            <w:r w:rsidRPr="00B02887">
              <w:rPr>
                <w:rFonts w:ascii="Calibri" w:hAnsi="Calibri" w:cs="Calibri"/>
                <w:bCs/>
                <w:iCs/>
              </w:rPr>
              <w:t>Numerous staff are responsible for Personalised Plans.</w:t>
            </w:r>
          </w:p>
          <w:p w14:paraId="550A267E" w14:textId="77777777" w:rsidR="00A55A30" w:rsidRPr="00B02887" w:rsidRDefault="00A55A30" w:rsidP="00D01CA1">
            <w:pPr>
              <w:pStyle w:val="ListParagraph"/>
              <w:numPr>
                <w:ilvl w:val="0"/>
                <w:numId w:val="11"/>
              </w:numPr>
              <w:spacing w:before="60" w:after="60"/>
              <w:ind w:left="368" w:hanging="289"/>
              <w:contextualSpacing w:val="0"/>
              <w:rPr>
                <w:rFonts w:ascii="Calibri" w:hAnsi="Calibri" w:cs="Calibri"/>
                <w:iCs/>
              </w:rPr>
            </w:pPr>
            <w:r w:rsidRPr="00B02887">
              <w:rPr>
                <w:rFonts w:ascii="Calibri" w:hAnsi="Calibri" w:cs="Calibri"/>
                <w:bCs/>
                <w:iCs/>
              </w:rPr>
              <w:lastRenderedPageBreak/>
              <w:t>School specific processes in completing Personalised plans, meetings with parents, entering adjustments, moderation, etc. have been clearly defined and are being reliably enacted.</w:t>
            </w:r>
          </w:p>
          <w:p w14:paraId="01738665" w14:textId="77777777" w:rsidR="00A55A30" w:rsidRPr="00B02887" w:rsidRDefault="00A55A30" w:rsidP="00A55A30">
            <w:pPr>
              <w:pStyle w:val="ListParagraph"/>
              <w:spacing w:after="60"/>
              <w:ind w:left="0"/>
              <w:rPr>
                <w:rFonts w:ascii="Calibri" w:hAnsi="Calibri" w:cs="Calibri"/>
                <w:b/>
              </w:rPr>
            </w:pPr>
            <w:r w:rsidRPr="00B02887">
              <w:rPr>
                <w:rFonts w:ascii="Calibri" w:hAnsi="Calibri" w:cs="Calibri"/>
                <w:b/>
              </w:rPr>
              <w:t>100% Achieved</w:t>
            </w:r>
          </w:p>
          <w:p w14:paraId="4FF53E38" w14:textId="77777777" w:rsidR="00A55A30" w:rsidRPr="00B02887" w:rsidRDefault="00A55A30" w:rsidP="00A55A30">
            <w:pPr>
              <w:spacing w:before="60" w:after="60"/>
              <w:rPr>
                <w:rFonts w:ascii="Calibri" w:hAnsi="Calibri" w:cs="Calibri"/>
                <w:iCs/>
              </w:rPr>
            </w:pPr>
          </w:p>
        </w:tc>
        <w:tc>
          <w:tcPr>
            <w:tcW w:w="2835" w:type="dxa"/>
            <w:shd w:val="clear" w:color="auto" w:fill="auto"/>
            <w:vAlign w:val="center"/>
          </w:tcPr>
          <w:p w14:paraId="0E60C8AF" w14:textId="77777777" w:rsidR="00A55A30" w:rsidRPr="00A55A30" w:rsidRDefault="00A55A30" w:rsidP="00A55A30">
            <w:pPr>
              <w:rPr>
                <w:b/>
              </w:rPr>
            </w:pPr>
          </w:p>
        </w:tc>
      </w:tr>
      <w:tr w:rsidR="00F52531" w:rsidRPr="00B02887" w14:paraId="39C7DF8B" w14:textId="77777777" w:rsidTr="00C351F2">
        <w:trPr>
          <w:cantSplit/>
          <w:tblHeader/>
        </w:trPr>
        <w:tc>
          <w:tcPr>
            <w:tcW w:w="2529" w:type="dxa"/>
            <w:shd w:val="clear" w:color="auto" w:fill="auto"/>
          </w:tcPr>
          <w:p w14:paraId="0A97B1F7" w14:textId="0182A511" w:rsidR="00F52531" w:rsidRPr="00B02887" w:rsidRDefault="00F52531" w:rsidP="00F52531">
            <w:pPr>
              <w:pStyle w:val="ListParagraph"/>
              <w:spacing w:after="60"/>
              <w:ind w:left="0"/>
              <w:rPr>
                <w:bCs/>
                <w:shd w:val="clear" w:color="auto" w:fill="FFFFFF" w:themeFill="background1"/>
              </w:rPr>
            </w:pPr>
            <w:bookmarkStart w:id="0" w:name="_Hlk179277236"/>
            <w:r w:rsidRPr="00B02887">
              <w:rPr>
                <w:rFonts w:ascii="Calibri" w:hAnsi="Calibri" w:cs="Calibri"/>
                <w:b/>
                <w:iCs/>
              </w:rPr>
              <w:t>System-wide curriculum resources project</w:t>
            </w:r>
          </w:p>
        </w:tc>
        <w:tc>
          <w:tcPr>
            <w:tcW w:w="2835" w:type="dxa"/>
            <w:shd w:val="clear" w:color="auto" w:fill="auto"/>
          </w:tcPr>
          <w:p w14:paraId="17490297" w14:textId="0C0323D8" w:rsidR="00F52531" w:rsidRPr="00B02887" w:rsidRDefault="00F52531" w:rsidP="00F52531">
            <w:pPr>
              <w:pStyle w:val="ListParagraph"/>
              <w:spacing w:after="60"/>
              <w:ind w:left="0"/>
              <w:rPr>
                <w:bCs/>
                <w:shd w:val="clear" w:color="auto" w:fill="FFFFFF" w:themeFill="background1"/>
              </w:rPr>
            </w:pPr>
            <w:r w:rsidRPr="00B02887">
              <w:rPr>
                <w:rFonts w:ascii="Calibri" w:hAnsi="Calibri" w:cs="Calibri"/>
                <w:bCs/>
                <w:iCs/>
                <w:lang w:val="en-GB"/>
              </w:rPr>
              <w:t>Working with an external partner, Ochre Education, to develop and deliver a series of rigorously designed lessons that are aligned to CCEG K-6 Scope and Sequence documents</w:t>
            </w:r>
          </w:p>
        </w:tc>
        <w:tc>
          <w:tcPr>
            <w:tcW w:w="2948" w:type="dxa"/>
            <w:shd w:val="clear" w:color="auto" w:fill="auto"/>
          </w:tcPr>
          <w:p w14:paraId="6F82BE74" w14:textId="77777777" w:rsidR="00F52531" w:rsidRPr="00B02887" w:rsidRDefault="00F52531" w:rsidP="00F52531">
            <w:pPr>
              <w:spacing w:before="120" w:after="60"/>
              <w:rPr>
                <w:rFonts w:ascii="Calibri" w:hAnsi="Calibri" w:cs="Calibri"/>
                <w:bCs/>
                <w:iCs/>
              </w:rPr>
            </w:pPr>
            <w:r w:rsidRPr="00B02887">
              <w:rPr>
                <w:rFonts w:ascii="Calibri" w:hAnsi="Calibri" w:cs="Calibri"/>
                <w:bCs/>
                <w:iCs/>
              </w:rPr>
              <w:t>The development of a system wide pool of high quality resources available for all teachers and schools to use.</w:t>
            </w:r>
          </w:p>
          <w:p w14:paraId="05D15B32" w14:textId="77777777" w:rsidR="00F52531" w:rsidRPr="00B02887" w:rsidRDefault="00F52531" w:rsidP="00F52531">
            <w:pPr>
              <w:spacing w:before="120" w:after="60"/>
              <w:rPr>
                <w:rFonts w:ascii="Calibri" w:hAnsi="Calibri" w:cs="Calibri"/>
                <w:b/>
              </w:rPr>
            </w:pPr>
            <w:r w:rsidRPr="00B02887">
              <w:rPr>
                <w:rFonts w:ascii="Calibri" w:hAnsi="Calibri" w:cs="Calibri"/>
                <w:b/>
              </w:rPr>
              <w:t>100% Achieved</w:t>
            </w:r>
          </w:p>
          <w:p w14:paraId="4BA45060" w14:textId="77777777" w:rsidR="00F52531" w:rsidRPr="00B02887" w:rsidRDefault="00F52531" w:rsidP="00F52531">
            <w:pPr>
              <w:spacing w:before="120" w:after="60"/>
              <w:rPr>
                <w:rFonts w:ascii="Calibri" w:hAnsi="Calibri" w:cs="Calibri"/>
                <w:b/>
              </w:rPr>
            </w:pPr>
          </w:p>
          <w:p w14:paraId="79AC4A17" w14:textId="77777777" w:rsidR="00F52531" w:rsidRPr="00B02887" w:rsidRDefault="00F52531" w:rsidP="00F52531">
            <w:pPr>
              <w:spacing w:before="120" w:after="60" w:line="276" w:lineRule="auto"/>
              <w:rPr>
                <w:rFonts w:ascii="Calibri" w:hAnsi="Calibri" w:cs="Calibri"/>
                <w:bCs/>
                <w:iCs/>
              </w:rPr>
            </w:pPr>
            <w:r w:rsidRPr="00B02887">
              <w:rPr>
                <w:rFonts w:ascii="Calibri" w:hAnsi="Calibri" w:cs="Calibri"/>
                <w:bCs/>
                <w:iCs/>
              </w:rPr>
              <w:t>Increased teacher capacity and confidence to teach effectively across K-6.</w:t>
            </w:r>
          </w:p>
          <w:p w14:paraId="61A33EAD" w14:textId="77777777" w:rsidR="00F52531" w:rsidRPr="00B02887" w:rsidRDefault="00F52531" w:rsidP="00F52531">
            <w:pPr>
              <w:spacing w:before="120" w:after="60"/>
              <w:rPr>
                <w:rFonts w:ascii="Calibri" w:hAnsi="Calibri" w:cs="Calibri"/>
                <w:b/>
              </w:rPr>
            </w:pPr>
            <w:r w:rsidRPr="00B02887">
              <w:rPr>
                <w:rFonts w:ascii="Calibri" w:hAnsi="Calibri" w:cs="Calibri"/>
                <w:b/>
              </w:rPr>
              <w:t>100% Achieved</w:t>
            </w:r>
          </w:p>
          <w:p w14:paraId="4EA86975" w14:textId="77777777" w:rsidR="00F52531" w:rsidRPr="00B02887" w:rsidRDefault="00F52531" w:rsidP="00F52531">
            <w:pPr>
              <w:spacing w:before="120" w:after="60"/>
              <w:rPr>
                <w:rFonts w:ascii="Calibri" w:hAnsi="Calibri" w:cs="Calibri"/>
                <w:b/>
              </w:rPr>
            </w:pPr>
          </w:p>
          <w:p w14:paraId="2DE29BF3" w14:textId="77777777" w:rsidR="00F52531" w:rsidRPr="00B02887" w:rsidRDefault="00F52531" w:rsidP="00F52531">
            <w:pPr>
              <w:spacing w:before="120" w:after="60"/>
              <w:rPr>
                <w:rFonts w:ascii="Calibri" w:hAnsi="Calibri" w:cs="Calibri"/>
                <w:bCs/>
                <w:iCs/>
              </w:rPr>
            </w:pPr>
            <w:r w:rsidRPr="00B02887">
              <w:rPr>
                <w:rFonts w:ascii="Calibri" w:hAnsi="Calibri" w:cs="Calibri"/>
                <w:bCs/>
                <w:iCs/>
              </w:rPr>
              <w:t xml:space="preserve">The provision of appropriate professional learning to teachers to ensure effective delivery of the curriculum resources in the classroom </w:t>
            </w:r>
          </w:p>
          <w:p w14:paraId="6F9AFBE7" w14:textId="69858913" w:rsidR="00F52531" w:rsidRPr="00B02887" w:rsidRDefault="00F52531" w:rsidP="00F52531">
            <w:pPr>
              <w:pStyle w:val="ListParagraph"/>
              <w:spacing w:after="60"/>
              <w:ind w:left="0"/>
              <w:rPr>
                <w:bCs/>
                <w:shd w:val="clear" w:color="auto" w:fill="FFFFFF" w:themeFill="background1"/>
              </w:rPr>
            </w:pPr>
            <w:r w:rsidRPr="00B02887">
              <w:rPr>
                <w:rFonts w:ascii="Calibri" w:hAnsi="Calibri" w:cs="Calibri"/>
                <w:b/>
              </w:rPr>
              <w:t>100% Achieved</w:t>
            </w:r>
          </w:p>
        </w:tc>
        <w:tc>
          <w:tcPr>
            <w:tcW w:w="4139" w:type="dxa"/>
            <w:shd w:val="clear" w:color="auto" w:fill="auto"/>
          </w:tcPr>
          <w:p w14:paraId="42E888E6" w14:textId="77777777" w:rsidR="00F52531" w:rsidRPr="00B02887" w:rsidRDefault="00F52531" w:rsidP="00F52531">
            <w:pPr>
              <w:spacing w:before="60" w:after="60"/>
              <w:rPr>
                <w:rFonts w:ascii="Calibri" w:hAnsi="Calibri" w:cs="Calibri"/>
                <w:iCs/>
              </w:rPr>
            </w:pPr>
            <w:r w:rsidRPr="00B02887">
              <w:rPr>
                <w:rFonts w:ascii="Calibri" w:hAnsi="Calibri" w:cs="Calibri"/>
                <w:iCs/>
              </w:rPr>
              <w:t>K-6 resources identified, successfully delivered and made available to all schools in the system.</w:t>
            </w:r>
          </w:p>
          <w:p w14:paraId="6DD8C814" w14:textId="77777777" w:rsidR="00F52531" w:rsidRPr="00B02887" w:rsidRDefault="00F52531" w:rsidP="00F52531">
            <w:pPr>
              <w:spacing w:before="120" w:after="60"/>
              <w:rPr>
                <w:rFonts w:ascii="Calibri" w:hAnsi="Calibri" w:cs="Calibri"/>
                <w:b/>
              </w:rPr>
            </w:pPr>
            <w:r w:rsidRPr="00B02887">
              <w:rPr>
                <w:rFonts w:ascii="Calibri" w:hAnsi="Calibri" w:cs="Calibri"/>
                <w:b/>
              </w:rPr>
              <w:t>100% Achieved</w:t>
            </w:r>
          </w:p>
          <w:p w14:paraId="36DC78C9" w14:textId="77777777" w:rsidR="00F52531" w:rsidRPr="00B02887" w:rsidRDefault="00F52531" w:rsidP="00F52531">
            <w:pPr>
              <w:pStyle w:val="ListParagraph"/>
              <w:spacing w:after="60"/>
              <w:ind w:left="0"/>
              <w:rPr>
                <w:bCs/>
              </w:rPr>
            </w:pPr>
          </w:p>
        </w:tc>
        <w:tc>
          <w:tcPr>
            <w:tcW w:w="2835" w:type="dxa"/>
            <w:shd w:val="clear" w:color="auto" w:fill="auto"/>
          </w:tcPr>
          <w:p w14:paraId="30809004" w14:textId="77777777" w:rsidR="00F52531" w:rsidRPr="00B02887" w:rsidRDefault="00F52531" w:rsidP="00F52531">
            <w:pPr>
              <w:pStyle w:val="ListParagraph"/>
              <w:spacing w:after="60"/>
              <w:ind w:left="0"/>
              <w:contextualSpacing w:val="0"/>
              <w:rPr>
                <w:rFonts w:ascii="Calibri" w:hAnsi="Calibri" w:cs="Calibri"/>
                <w:bCs/>
                <w:iCs/>
              </w:rPr>
            </w:pPr>
            <w:r w:rsidRPr="00B02887">
              <w:rPr>
                <w:rFonts w:ascii="Calibri" w:hAnsi="Calibri" w:cs="Calibri"/>
                <w:bCs/>
                <w:iCs/>
              </w:rPr>
              <w:t>Developed nearly 700 lessons across K-6 Mathematics.</w:t>
            </w:r>
          </w:p>
          <w:p w14:paraId="4F21C0E5" w14:textId="77777777" w:rsidR="00F52531" w:rsidRPr="00B02887" w:rsidRDefault="00F52531" w:rsidP="00F52531">
            <w:pPr>
              <w:pStyle w:val="ListParagraph"/>
              <w:spacing w:after="60"/>
              <w:ind w:left="0"/>
              <w:contextualSpacing w:val="0"/>
              <w:rPr>
                <w:rFonts w:ascii="Calibri" w:hAnsi="Calibri" w:cs="Calibri"/>
                <w:iCs/>
              </w:rPr>
            </w:pPr>
            <w:r w:rsidRPr="00B02887">
              <w:rPr>
                <w:rFonts w:ascii="Calibri" w:hAnsi="Calibri" w:cs="Calibri"/>
                <w:iCs/>
              </w:rPr>
              <w:t>Trained over 50 CECG teachers in the instructional approach and lesson delivery.</w:t>
            </w:r>
          </w:p>
          <w:p w14:paraId="43128D69" w14:textId="5CF1EA0E" w:rsidR="00F52531" w:rsidRPr="00B02887" w:rsidRDefault="00F52531" w:rsidP="00F52531">
            <w:pPr>
              <w:pStyle w:val="ListParagraph"/>
              <w:spacing w:after="60"/>
              <w:ind w:left="0"/>
              <w:rPr>
                <w:bCs/>
              </w:rPr>
            </w:pPr>
            <w:r w:rsidRPr="00B02887">
              <w:rPr>
                <w:rFonts w:ascii="Calibri" w:hAnsi="Calibri" w:cs="Calibri"/>
                <w:iCs/>
              </w:rPr>
              <w:t>Early implementation and feedback from teachers indicate up to 6 hours saved per week in developing resources.</w:t>
            </w:r>
          </w:p>
        </w:tc>
      </w:tr>
      <w:bookmarkEnd w:id="0"/>
      <w:tr w:rsidR="00F52531" w:rsidRPr="00B02887" w14:paraId="4E03D3B5" w14:textId="77777777" w:rsidTr="00C351F2">
        <w:trPr>
          <w:cantSplit/>
          <w:tblHeader/>
        </w:trPr>
        <w:tc>
          <w:tcPr>
            <w:tcW w:w="2529" w:type="dxa"/>
            <w:shd w:val="clear" w:color="auto" w:fill="auto"/>
          </w:tcPr>
          <w:p w14:paraId="43D7AEA3" w14:textId="6F133E33" w:rsidR="00F52531" w:rsidRPr="00B02887" w:rsidRDefault="00F52531" w:rsidP="00F52531">
            <w:pPr>
              <w:pStyle w:val="ListParagraph"/>
              <w:spacing w:after="60"/>
              <w:ind w:left="0"/>
              <w:rPr>
                <w:bCs/>
                <w:shd w:val="clear" w:color="auto" w:fill="FFFFFF" w:themeFill="background1"/>
              </w:rPr>
            </w:pPr>
            <w:r w:rsidRPr="00B02887">
              <w:rPr>
                <w:rFonts w:ascii="Calibri" w:hAnsi="Calibri" w:cs="Calibri"/>
                <w:b/>
                <w:iCs/>
              </w:rPr>
              <w:lastRenderedPageBreak/>
              <w:t>Improving governance and financial management</w:t>
            </w:r>
          </w:p>
        </w:tc>
        <w:tc>
          <w:tcPr>
            <w:tcW w:w="2835" w:type="dxa"/>
            <w:shd w:val="clear" w:color="auto" w:fill="auto"/>
          </w:tcPr>
          <w:p w14:paraId="504628C8" w14:textId="77777777" w:rsidR="00F52531" w:rsidRPr="00B02887" w:rsidRDefault="00F52531" w:rsidP="00F52531">
            <w:pPr>
              <w:spacing w:before="120" w:after="60"/>
              <w:rPr>
                <w:rFonts w:ascii="Calibri" w:hAnsi="Calibri" w:cs="Calibri"/>
                <w:bCs/>
                <w:iCs/>
                <w:lang w:val="en-GB"/>
              </w:rPr>
            </w:pPr>
            <w:r w:rsidRPr="00B02887">
              <w:rPr>
                <w:rFonts w:ascii="Calibri" w:hAnsi="Calibri" w:cs="Calibri"/>
                <w:bCs/>
                <w:iCs/>
                <w:lang w:val="en-GB"/>
              </w:rPr>
              <w:t>This project will implement a new modern cloud-based financial management system (</w:t>
            </w:r>
            <w:proofErr w:type="spellStart"/>
            <w:r w:rsidRPr="00B02887">
              <w:rPr>
                <w:rFonts w:ascii="Calibri" w:hAnsi="Calibri" w:cs="Calibri"/>
                <w:bCs/>
                <w:iCs/>
                <w:lang w:val="en-GB"/>
              </w:rPr>
              <w:t>TechnologyOne</w:t>
            </w:r>
            <w:proofErr w:type="spellEnd"/>
            <w:r w:rsidRPr="00B02887">
              <w:rPr>
                <w:rFonts w:ascii="Calibri" w:hAnsi="Calibri" w:cs="Calibri"/>
                <w:bCs/>
                <w:iCs/>
                <w:lang w:val="en-GB"/>
              </w:rPr>
              <w:t>) across all 56 schools in CECG.</w:t>
            </w:r>
          </w:p>
          <w:p w14:paraId="44538692" w14:textId="2E975D0B" w:rsidR="00F52531" w:rsidRPr="00B02887" w:rsidRDefault="00F52531" w:rsidP="00F52531">
            <w:pPr>
              <w:pStyle w:val="ListParagraph"/>
              <w:spacing w:after="60"/>
              <w:ind w:left="0"/>
              <w:rPr>
                <w:bCs/>
                <w:shd w:val="clear" w:color="auto" w:fill="FFFFFF" w:themeFill="background1"/>
              </w:rPr>
            </w:pPr>
            <w:proofErr w:type="spellStart"/>
            <w:r w:rsidRPr="00B02887">
              <w:rPr>
                <w:rFonts w:ascii="Calibri" w:hAnsi="Calibri" w:cs="Calibri"/>
                <w:bCs/>
                <w:iCs/>
                <w:lang w:val="en-GB"/>
              </w:rPr>
              <w:t>TechnologyOne</w:t>
            </w:r>
            <w:proofErr w:type="spellEnd"/>
            <w:r w:rsidRPr="00B02887">
              <w:rPr>
                <w:rFonts w:ascii="Calibri" w:hAnsi="Calibri" w:cs="Calibri"/>
                <w:bCs/>
                <w:iCs/>
                <w:lang w:val="en-GB"/>
              </w:rPr>
              <w:t xml:space="preserve"> will replace the existing financial management system in these 29 schools (MAZE) which is at end of its life.</w:t>
            </w:r>
          </w:p>
        </w:tc>
        <w:tc>
          <w:tcPr>
            <w:tcW w:w="2948" w:type="dxa"/>
            <w:shd w:val="clear" w:color="auto" w:fill="auto"/>
          </w:tcPr>
          <w:p w14:paraId="7FD94768" w14:textId="77777777" w:rsidR="00F52531" w:rsidRPr="00B02887" w:rsidRDefault="00F52531" w:rsidP="00F52531">
            <w:pPr>
              <w:spacing w:before="120" w:after="60"/>
              <w:rPr>
                <w:rFonts w:ascii="Calibri" w:hAnsi="Calibri" w:cs="Calibri"/>
                <w:b/>
                <w:iCs/>
              </w:rPr>
            </w:pPr>
            <w:r w:rsidRPr="00B02887">
              <w:rPr>
                <w:rFonts w:ascii="Calibri" w:hAnsi="Calibri" w:cs="Calibri"/>
                <w:b/>
                <w:iCs/>
              </w:rPr>
              <w:t>Automated accurate and timely reporting:</w:t>
            </w:r>
          </w:p>
          <w:p w14:paraId="4D956DDF" w14:textId="77777777" w:rsidR="00F52531" w:rsidRPr="00B02887" w:rsidRDefault="00F52531" w:rsidP="00F52531">
            <w:pPr>
              <w:spacing w:before="60" w:after="60"/>
              <w:rPr>
                <w:rFonts w:ascii="Calibri" w:hAnsi="Calibri" w:cs="Calibri"/>
                <w:bCs/>
                <w:iCs/>
              </w:rPr>
            </w:pPr>
            <w:r w:rsidRPr="00B02887">
              <w:rPr>
                <w:rFonts w:ascii="Calibri" w:hAnsi="Calibri" w:cs="Calibri"/>
                <w:bCs/>
                <w:iCs/>
              </w:rPr>
              <w:t>Statement of financial position.</w:t>
            </w:r>
          </w:p>
          <w:p w14:paraId="78A4DF0C" w14:textId="77777777" w:rsidR="00F52531" w:rsidRPr="00B02887" w:rsidRDefault="00F52531" w:rsidP="00F52531">
            <w:pPr>
              <w:pStyle w:val="ListParagraph"/>
              <w:numPr>
                <w:ilvl w:val="0"/>
                <w:numId w:val="11"/>
              </w:numPr>
              <w:spacing w:before="120" w:after="60"/>
              <w:ind w:left="357" w:hanging="357"/>
              <w:rPr>
                <w:rFonts w:ascii="Calibri" w:hAnsi="Calibri" w:cs="Calibri"/>
                <w:bCs/>
                <w:iCs/>
              </w:rPr>
            </w:pPr>
            <w:r w:rsidRPr="00B02887">
              <w:rPr>
                <w:rFonts w:ascii="Calibri" w:hAnsi="Calibri" w:cs="Calibri"/>
                <w:bCs/>
                <w:iCs/>
              </w:rPr>
              <w:t>Budget vs Actuals.</w:t>
            </w:r>
          </w:p>
          <w:p w14:paraId="680DC3CC" w14:textId="77777777" w:rsidR="00F52531" w:rsidRPr="00B02887" w:rsidRDefault="00F52531" w:rsidP="00F52531">
            <w:pPr>
              <w:spacing w:before="60" w:after="60"/>
              <w:rPr>
                <w:rFonts w:ascii="Calibri" w:hAnsi="Calibri" w:cs="Calibri"/>
                <w:bCs/>
                <w:iCs/>
              </w:rPr>
            </w:pPr>
            <w:r w:rsidRPr="00B02887">
              <w:rPr>
                <w:rFonts w:ascii="Calibri" w:hAnsi="Calibri" w:cs="Calibri"/>
                <w:bCs/>
                <w:iCs/>
              </w:rPr>
              <w:t>Accounts Payable.</w:t>
            </w:r>
          </w:p>
          <w:p w14:paraId="731D4D70" w14:textId="77777777" w:rsidR="00F52531" w:rsidRPr="00B02887" w:rsidRDefault="00F52531" w:rsidP="00F52531">
            <w:pPr>
              <w:pStyle w:val="ListParagraph"/>
              <w:numPr>
                <w:ilvl w:val="0"/>
                <w:numId w:val="11"/>
              </w:numPr>
              <w:spacing w:before="60" w:after="60"/>
              <w:ind w:left="357" w:hanging="357"/>
              <w:rPr>
                <w:rFonts w:ascii="Calibri" w:hAnsi="Calibri" w:cs="Calibri"/>
                <w:bCs/>
                <w:iCs/>
              </w:rPr>
            </w:pPr>
            <w:r w:rsidRPr="00B02887">
              <w:rPr>
                <w:rFonts w:ascii="Calibri" w:hAnsi="Calibri" w:cs="Calibri"/>
                <w:bCs/>
                <w:iCs/>
              </w:rPr>
              <w:t>AP aged debtors</w:t>
            </w:r>
          </w:p>
          <w:p w14:paraId="4630A3D8" w14:textId="77777777" w:rsidR="00F52531" w:rsidRPr="00B02887" w:rsidRDefault="00F52531" w:rsidP="00F52531">
            <w:pPr>
              <w:pStyle w:val="ListParagraph"/>
              <w:numPr>
                <w:ilvl w:val="0"/>
                <w:numId w:val="11"/>
              </w:numPr>
              <w:spacing w:before="60" w:after="60"/>
              <w:ind w:left="357" w:hanging="357"/>
              <w:rPr>
                <w:rFonts w:ascii="Calibri" w:hAnsi="Calibri" w:cs="Calibri"/>
                <w:bCs/>
                <w:iCs/>
              </w:rPr>
            </w:pPr>
            <w:r w:rsidRPr="00B02887">
              <w:rPr>
                <w:rFonts w:ascii="Calibri" w:hAnsi="Calibri" w:cs="Calibri"/>
                <w:bCs/>
                <w:iCs/>
              </w:rPr>
              <w:t>Payments due</w:t>
            </w:r>
          </w:p>
          <w:p w14:paraId="530A6D82" w14:textId="77777777" w:rsidR="00F52531" w:rsidRPr="00B02887" w:rsidRDefault="00F52531" w:rsidP="00F52531">
            <w:pPr>
              <w:pStyle w:val="ListParagraph"/>
              <w:numPr>
                <w:ilvl w:val="0"/>
                <w:numId w:val="11"/>
              </w:numPr>
              <w:spacing w:before="60" w:after="60"/>
              <w:ind w:left="357" w:hanging="357"/>
              <w:rPr>
                <w:rFonts w:ascii="Calibri" w:hAnsi="Calibri" w:cs="Calibri"/>
                <w:bCs/>
                <w:iCs/>
              </w:rPr>
            </w:pPr>
            <w:r w:rsidRPr="00B02887">
              <w:rPr>
                <w:rFonts w:ascii="Calibri" w:hAnsi="Calibri" w:cs="Calibri"/>
                <w:bCs/>
                <w:iCs/>
              </w:rPr>
              <w:t>Accounts in credit</w:t>
            </w:r>
          </w:p>
          <w:p w14:paraId="5217FE79" w14:textId="77777777" w:rsidR="00F52531" w:rsidRPr="00B02887" w:rsidRDefault="00F52531" w:rsidP="00F52531">
            <w:pPr>
              <w:pStyle w:val="ListParagraph"/>
              <w:numPr>
                <w:ilvl w:val="0"/>
                <w:numId w:val="11"/>
              </w:numPr>
              <w:spacing w:before="60" w:after="60"/>
              <w:ind w:left="357" w:hanging="357"/>
              <w:rPr>
                <w:rFonts w:ascii="Calibri" w:hAnsi="Calibri" w:cs="Calibri"/>
                <w:bCs/>
                <w:iCs/>
              </w:rPr>
            </w:pPr>
            <w:r w:rsidRPr="00B02887">
              <w:rPr>
                <w:rFonts w:ascii="Calibri" w:hAnsi="Calibri" w:cs="Calibri"/>
                <w:bCs/>
                <w:iCs/>
              </w:rPr>
              <w:t>Unapplied credits</w:t>
            </w:r>
          </w:p>
          <w:p w14:paraId="7D8A5786" w14:textId="77777777" w:rsidR="00F52531" w:rsidRPr="00B02887" w:rsidRDefault="00F52531" w:rsidP="00F52531">
            <w:pPr>
              <w:pStyle w:val="ListParagraph"/>
              <w:numPr>
                <w:ilvl w:val="0"/>
                <w:numId w:val="11"/>
              </w:numPr>
              <w:spacing w:before="60" w:after="60"/>
              <w:ind w:left="357" w:hanging="357"/>
              <w:rPr>
                <w:rFonts w:ascii="Calibri" w:hAnsi="Calibri" w:cs="Calibri"/>
                <w:bCs/>
                <w:iCs/>
              </w:rPr>
            </w:pPr>
            <w:r w:rsidRPr="00B02887">
              <w:rPr>
                <w:rFonts w:ascii="Calibri" w:hAnsi="Calibri" w:cs="Calibri"/>
                <w:bCs/>
                <w:iCs/>
              </w:rPr>
              <w:t>Transaction summary</w:t>
            </w:r>
          </w:p>
          <w:p w14:paraId="3F4C9B47" w14:textId="77777777" w:rsidR="00F52531" w:rsidRPr="00B02887" w:rsidRDefault="00F52531" w:rsidP="00F52531">
            <w:pPr>
              <w:spacing w:before="60" w:after="60"/>
              <w:rPr>
                <w:rFonts w:ascii="Calibri" w:hAnsi="Calibri" w:cs="Calibri"/>
                <w:bCs/>
                <w:iCs/>
              </w:rPr>
            </w:pPr>
            <w:r w:rsidRPr="00B02887">
              <w:rPr>
                <w:rFonts w:ascii="Calibri" w:hAnsi="Calibri" w:cs="Calibri"/>
                <w:bCs/>
                <w:iCs/>
              </w:rPr>
              <w:t>Closely watched numbers.</w:t>
            </w:r>
          </w:p>
          <w:p w14:paraId="78EDC656" w14:textId="77777777" w:rsidR="00F52531" w:rsidRPr="00B02887" w:rsidRDefault="00F52531" w:rsidP="00F52531">
            <w:pPr>
              <w:pStyle w:val="ListParagraph"/>
              <w:numPr>
                <w:ilvl w:val="0"/>
                <w:numId w:val="11"/>
              </w:numPr>
              <w:spacing w:before="60" w:after="60"/>
              <w:ind w:left="357" w:hanging="357"/>
              <w:rPr>
                <w:rFonts w:ascii="Calibri" w:hAnsi="Calibri" w:cs="Calibri"/>
                <w:bCs/>
                <w:iCs/>
              </w:rPr>
            </w:pPr>
            <w:r w:rsidRPr="00B02887">
              <w:rPr>
                <w:rFonts w:ascii="Calibri" w:hAnsi="Calibri" w:cs="Calibri"/>
                <w:bCs/>
                <w:iCs/>
              </w:rPr>
              <w:t>Cash balance</w:t>
            </w:r>
          </w:p>
          <w:p w14:paraId="54DEBF63" w14:textId="77777777" w:rsidR="00F52531" w:rsidRPr="00B02887" w:rsidRDefault="00F52531" w:rsidP="00F52531">
            <w:pPr>
              <w:pStyle w:val="ListParagraph"/>
              <w:numPr>
                <w:ilvl w:val="0"/>
                <w:numId w:val="11"/>
              </w:numPr>
              <w:spacing w:before="60" w:after="60"/>
              <w:ind w:left="357" w:hanging="357"/>
              <w:rPr>
                <w:rFonts w:ascii="Calibri" w:hAnsi="Calibri" w:cs="Calibri"/>
                <w:bCs/>
                <w:iCs/>
              </w:rPr>
            </w:pPr>
            <w:r w:rsidRPr="00B02887">
              <w:rPr>
                <w:rFonts w:ascii="Calibri" w:hAnsi="Calibri" w:cs="Calibri"/>
                <w:bCs/>
                <w:iCs/>
              </w:rPr>
              <w:t>Enrolments</w:t>
            </w:r>
          </w:p>
          <w:p w14:paraId="00611368" w14:textId="77777777" w:rsidR="00F52531" w:rsidRPr="00B02887" w:rsidRDefault="00F52531" w:rsidP="00F52531">
            <w:pPr>
              <w:pStyle w:val="ListParagraph"/>
              <w:numPr>
                <w:ilvl w:val="0"/>
                <w:numId w:val="11"/>
              </w:numPr>
              <w:spacing w:before="60" w:after="60"/>
              <w:ind w:left="357" w:hanging="357"/>
              <w:rPr>
                <w:rFonts w:ascii="Calibri" w:hAnsi="Calibri" w:cs="Calibri"/>
                <w:bCs/>
                <w:iCs/>
              </w:rPr>
            </w:pPr>
            <w:r w:rsidRPr="00B02887">
              <w:rPr>
                <w:rFonts w:ascii="Calibri" w:hAnsi="Calibri" w:cs="Calibri"/>
                <w:bCs/>
                <w:iCs/>
              </w:rPr>
              <w:t>FTE</w:t>
            </w:r>
          </w:p>
          <w:p w14:paraId="2732397A" w14:textId="77777777" w:rsidR="00F52531" w:rsidRPr="00B02887" w:rsidRDefault="00F52531" w:rsidP="00F52531">
            <w:pPr>
              <w:spacing w:before="120" w:after="60"/>
              <w:rPr>
                <w:rFonts w:ascii="Calibri" w:hAnsi="Calibri" w:cs="Calibri"/>
                <w:b/>
              </w:rPr>
            </w:pPr>
            <w:r w:rsidRPr="00B02887">
              <w:rPr>
                <w:rFonts w:ascii="Calibri" w:hAnsi="Calibri" w:cs="Calibri"/>
                <w:b/>
              </w:rPr>
              <w:t>75% Achieved</w:t>
            </w:r>
          </w:p>
          <w:p w14:paraId="4CD3B5BE" w14:textId="77777777" w:rsidR="00F52531" w:rsidRPr="00B02887" w:rsidRDefault="00F52531" w:rsidP="00F52531">
            <w:pPr>
              <w:spacing w:before="60" w:after="60"/>
              <w:rPr>
                <w:rFonts w:ascii="Calibri" w:hAnsi="Calibri" w:cs="Calibri"/>
                <w:bCs/>
                <w:iCs/>
              </w:rPr>
            </w:pPr>
            <w:r w:rsidRPr="00B02887">
              <w:rPr>
                <w:rFonts w:ascii="Calibri" w:hAnsi="Calibri" w:cs="Calibri"/>
                <w:bCs/>
                <w:iCs/>
              </w:rPr>
              <w:t>Remediation of manual financial processes:</w:t>
            </w:r>
          </w:p>
          <w:p w14:paraId="70F019A1" w14:textId="77777777" w:rsidR="00F52531" w:rsidRPr="00B02887" w:rsidRDefault="00F52531" w:rsidP="00F52531">
            <w:pPr>
              <w:pStyle w:val="ListParagraph"/>
              <w:numPr>
                <w:ilvl w:val="0"/>
                <w:numId w:val="11"/>
              </w:numPr>
              <w:spacing w:before="60" w:after="60"/>
              <w:ind w:left="357" w:hanging="357"/>
              <w:rPr>
                <w:rFonts w:ascii="Calibri" w:hAnsi="Calibri" w:cs="Calibri"/>
                <w:bCs/>
                <w:iCs/>
              </w:rPr>
            </w:pPr>
            <w:r w:rsidRPr="00B02887">
              <w:rPr>
                <w:rFonts w:ascii="Calibri" w:hAnsi="Calibri" w:cs="Calibri"/>
                <w:bCs/>
                <w:iCs/>
              </w:rPr>
              <w:t>Bank reconciliations.</w:t>
            </w:r>
          </w:p>
          <w:p w14:paraId="46142D00" w14:textId="77777777" w:rsidR="00F52531" w:rsidRPr="00B02887" w:rsidRDefault="00F52531" w:rsidP="00F52531">
            <w:pPr>
              <w:pStyle w:val="ListParagraph"/>
              <w:numPr>
                <w:ilvl w:val="0"/>
                <w:numId w:val="11"/>
              </w:numPr>
              <w:spacing w:before="60" w:after="60"/>
              <w:ind w:left="357" w:hanging="357"/>
              <w:rPr>
                <w:rFonts w:ascii="Calibri" w:hAnsi="Calibri" w:cs="Calibri"/>
                <w:bCs/>
                <w:iCs/>
              </w:rPr>
            </w:pPr>
            <w:r w:rsidRPr="00B02887">
              <w:rPr>
                <w:rFonts w:ascii="Calibri" w:hAnsi="Calibri" w:cs="Calibri"/>
                <w:bCs/>
                <w:iCs/>
              </w:rPr>
              <w:t>BAS returns.</w:t>
            </w:r>
          </w:p>
          <w:p w14:paraId="0F0F280D" w14:textId="77777777" w:rsidR="00F52531" w:rsidRPr="00B02887" w:rsidRDefault="00F52531" w:rsidP="00F52531">
            <w:pPr>
              <w:spacing w:before="120" w:after="60"/>
              <w:rPr>
                <w:rFonts w:ascii="Calibri" w:hAnsi="Calibri" w:cs="Calibri"/>
                <w:b/>
              </w:rPr>
            </w:pPr>
            <w:r w:rsidRPr="00B02887">
              <w:rPr>
                <w:rFonts w:ascii="Calibri" w:hAnsi="Calibri" w:cs="Calibri"/>
                <w:b/>
              </w:rPr>
              <w:t>100% Achieved</w:t>
            </w:r>
          </w:p>
          <w:p w14:paraId="53804666" w14:textId="77777777" w:rsidR="00F52531" w:rsidRPr="00B02887" w:rsidRDefault="00F52531" w:rsidP="00F52531">
            <w:pPr>
              <w:spacing w:before="60" w:after="60"/>
              <w:rPr>
                <w:rFonts w:ascii="Calibri" w:hAnsi="Calibri" w:cs="Calibri"/>
                <w:bCs/>
                <w:iCs/>
              </w:rPr>
            </w:pPr>
            <w:r w:rsidRPr="00B02887">
              <w:rPr>
                <w:rFonts w:ascii="Calibri" w:hAnsi="Calibri" w:cs="Calibri"/>
                <w:bCs/>
                <w:iCs/>
              </w:rPr>
              <w:t xml:space="preserve">Improved billing and debt management processes: </w:t>
            </w:r>
          </w:p>
          <w:p w14:paraId="7B19A26C" w14:textId="77777777" w:rsidR="00F52531" w:rsidRPr="00B02887" w:rsidRDefault="00F52531" w:rsidP="00F52531">
            <w:pPr>
              <w:pStyle w:val="ListParagraph"/>
              <w:numPr>
                <w:ilvl w:val="0"/>
                <w:numId w:val="11"/>
              </w:numPr>
              <w:spacing w:before="60" w:after="60"/>
              <w:ind w:left="357" w:hanging="357"/>
              <w:rPr>
                <w:rFonts w:ascii="Calibri" w:hAnsi="Calibri" w:cs="Calibri"/>
                <w:bCs/>
                <w:iCs/>
              </w:rPr>
            </w:pPr>
            <w:r w:rsidRPr="00B02887">
              <w:rPr>
                <w:rFonts w:ascii="Calibri" w:hAnsi="Calibri" w:cs="Calibri"/>
                <w:bCs/>
                <w:iCs/>
              </w:rPr>
              <w:t>AR aged analysis</w:t>
            </w:r>
          </w:p>
          <w:p w14:paraId="2179149A" w14:textId="77777777" w:rsidR="00F52531" w:rsidRPr="00B02887" w:rsidRDefault="00F52531" w:rsidP="00F52531">
            <w:pPr>
              <w:pStyle w:val="ListParagraph"/>
              <w:numPr>
                <w:ilvl w:val="0"/>
                <w:numId w:val="11"/>
              </w:numPr>
              <w:spacing w:before="60" w:after="60"/>
              <w:ind w:left="357" w:hanging="357"/>
              <w:rPr>
                <w:rFonts w:ascii="Calibri" w:hAnsi="Calibri" w:cs="Calibri"/>
                <w:iCs/>
              </w:rPr>
            </w:pPr>
            <w:r w:rsidRPr="00B02887">
              <w:rPr>
                <w:rFonts w:ascii="Calibri" w:hAnsi="Calibri" w:cs="Calibri"/>
                <w:bCs/>
                <w:iCs/>
              </w:rPr>
              <w:t>Debtor arrangements and management</w:t>
            </w:r>
          </w:p>
          <w:p w14:paraId="1A043A8E" w14:textId="3D182C17" w:rsidR="00F52531" w:rsidRPr="00B02887" w:rsidRDefault="00F52531" w:rsidP="00F52531">
            <w:pPr>
              <w:pStyle w:val="ListParagraph"/>
              <w:spacing w:after="60"/>
              <w:ind w:left="0"/>
              <w:rPr>
                <w:bCs/>
                <w:shd w:val="clear" w:color="auto" w:fill="FFFFFF" w:themeFill="background1"/>
              </w:rPr>
            </w:pPr>
            <w:r w:rsidRPr="00B02887">
              <w:rPr>
                <w:rFonts w:ascii="Calibri" w:hAnsi="Calibri" w:cs="Calibri"/>
                <w:b/>
              </w:rPr>
              <w:t xml:space="preserve">30% Achieved </w:t>
            </w:r>
          </w:p>
        </w:tc>
        <w:tc>
          <w:tcPr>
            <w:tcW w:w="4139" w:type="dxa"/>
            <w:shd w:val="clear" w:color="auto" w:fill="auto"/>
          </w:tcPr>
          <w:p w14:paraId="63604785" w14:textId="77777777" w:rsidR="00F52531" w:rsidRPr="00B02887" w:rsidRDefault="00F52531" w:rsidP="00F52531">
            <w:pPr>
              <w:spacing w:after="60"/>
              <w:rPr>
                <w:rFonts w:ascii="Calibri" w:hAnsi="Calibri" w:cs="Calibri"/>
                <w:iCs/>
              </w:rPr>
            </w:pPr>
            <w:r w:rsidRPr="00B02887">
              <w:rPr>
                <w:rFonts w:ascii="Calibri" w:hAnsi="Calibri" w:cs="Calibri"/>
                <w:iCs/>
              </w:rPr>
              <w:t>Successful implementation of TechnologyOne to 29 schools completed on schedule and on budget.</w:t>
            </w:r>
          </w:p>
          <w:p w14:paraId="7FA498FF" w14:textId="77777777" w:rsidR="00F52531" w:rsidRPr="00B02887" w:rsidRDefault="00F52531" w:rsidP="00F52531">
            <w:pPr>
              <w:spacing w:before="120" w:after="60"/>
              <w:rPr>
                <w:rFonts w:ascii="Calibri" w:hAnsi="Calibri" w:cs="Calibri"/>
                <w:b/>
              </w:rPr>
            </w:pPr>
            <w:r w:rsidRPr="00B02887">
              <w:rPr>
                <w:rFonts w:ascii="Calibri" w:hAnsi="Calibri" w:cs="Calibri"/>
                <w:b/>
              </w:rPr>
              <w:t>100% Achieved</w:t>
            </w:r>
          </w:p>
          <w:p w14:paraId="688E6D1D" w14:textId="77777777" w:rsidR="00F52531" w:rsidRPr="00B02887" w:rsidRDefault="00F52531" w:rsidP="00F52531">
            <w:pPr>
              <w:spacing w:before="60" w:after="60"/>
              <w:rPr>
                <w:rFonts w:ascii="Calibri" w:hAnsi="Calibri" w:cs="Calibri"/>
                <w:iCs/>
              </w:rPr>
            </w:pPr>
            <w:r w:rsidRPr="00B02887">
              <w:rPr>
                <w:rFonts w:ascii="Calibri" w:hAnsi="Calibri" w:cs="Calibri"/>
                <w:iCs/>
              </w:rPr>
              <w:t>Planned financial and operational metric reporting delivered to schools at cut-over to TechnologyOne.</w:t>
            </w:r>
          </w:p>
          <w:p w14:paraId="3AFCE2C1" w14:textId="77777777" w:rsidR="00F52531" w:rsidRPr="00B02887" w:rsidRDefault="00F52531" w:rsidP="00F52531">
            <w:pPr>
              <w:spacing w:before="120" w:after="60"/>
              <w:rPr>
                <w:rFonts w:ascii="Calibri" w:hAnsi="Calibri" w:cs="Calibri"/>
                <w:b/>
              </w:rPr>
            </w:pPr>
            <w:r w:rsidRPr="00B02887">
              <w:rPr>
                <w:rFonts w:ascii="Calibri" w:hAnsi="Calibri" w:cs="Calibri"/>
                <w:b/>
              </w:rPr>
              <w:t>100% Achieved</w:t>
            </w:r>
          </w:p>
          <w:p w14:paraId="1293CB33" w14:textId="77777777" w:rsidR="00F52531" w:rsidRPr="00B02887" w:rsidRDefault="00F52531" w:rsidP="00F52531">
            <w:pPr>
              <w:spacing w:before="60" w:after="60"/>
              <w:rPr>
                <w:rFonts w:ascii="Calibri" w:hAnsi="Calibri" w:cs="Calibri"/>
                <w:iCs/>
              </w:rPr>
            </w:pPr>
            <w:r w:rsidRPr="00B02887">
              <w:rPr>
                <w:rFonts w:ascii="Calibri" w:hAnsi="Calibri" w:cs="Calibri"/>
                <w:iCs/>
              </w:rPr>
              <w:t xml:space="preserve">Administrative burden in schools lifted with reconciliations and compliance reporting performed by head office Finance team </w:t>
            </w:r>
            <w:proofErr w:type="spellStart"/>
            <w:r w:rsidRPr="00B02887">
              <w:rPr>
                <w:rFonts w:ascii="Calibri" w:hAnsi="Calibri" w:cs="Calibri"/>
                <w:iCs/>
              </w:rPr>
              <w:t>viaTechnologyOne</w:t>
            </w:r>
            <w:proofErr w:type="spellEnd"/>
            <w:r w:rsidRPr="00B02887">
              <w:rPr>
                <w:rFonts w:ascii="Calibri" w:hAnsi="Calibri" w:cs="Calibri"/>
                <w:iCs/>
              </w:rPr>
              <w:t>.</w:t>
            </w:r>
          </w:p>
          <w:p w14:paraId="4AE72923" w14:textId="77777777" w:rsidR="00F52531" w:rsidRPr="00B02887" w:rsidRDefault="00F52531" w:rsidP="00F52531">
            <w:pPr>
              <w:spacing w:before="120" w:after="60"/>
              <w:rPr>
                <w:rFonts w:ascii="Calibri" w:hAnsi="Calibri" w:cs="Calibri"/>
                <w:b/>
              </w:rPr>
            </w:pPr>
            <w:r w:rsidRPr="00B02887">
              <w:rPr>
                <w:rFonts w:ascii="Calibri" w:hAnsi="Calibri" w:cs="Calibri"/>
                <w:b/>
              </w:rPr>
              <w:t>75% Achieved</w:t>
            </w:r>
          </w:p>
          <w:p w14:paraId="2121F3BE" w14:textId="77777777" w:rsidR="00F52531" w:rsidRPr="00B02887" w:rsidRDefault="00F52531" w:rsidP="00F52531">
            <w:pPr>
              <w:spacing w:before="60" w:after="60"/>
              <w:rPr>
                <w:rFonts w:ascii="Calibri" w:hAnsi="Calibri" w:cs="Calibri"/>
                <w:iCs/>
              </w:rPr>
            </w:pPr>
            <w:r w:rsidRPr="00B02887">
              <w:rPr>
                <w:rFonts w:ascii="Calibri" w:hAnsi="Calibri" w:cs="Calibri"/>
                <w:iCs/>
              </w:rPr>
              <w:t>Principals have significantly improved information to better manage the financials of the Schools</w:t>
            </w:r>
          </w:p>
          <w:p w14:paraId="2E907333" w14:textId="77777777" w:rsidR="00F52531" w:rsidRPr="00B02887" w:rsidRDefault="00F52531" w:rsidP="00F52531">
            <w:pPr>
              <w:spacing w:before="120" w:after="60"/>
              <w:rPr>
                <w:rFonts w:ascii="Calibri" w:hAnsi="Calibri" w:cs="Calibri"/>
                <w:b/>
              </w:rPr>
            </w:pPr>
            <w:r w:rsidRPr="00B02887">
              <w:rPr>
                <w:rFonts w:ascii="Calibri" w:hAnsi="Calibri" w:cs="Calibri"/>
                <w:b/>
              </w:rPr>
              <w:t>100% Achieved</w:t>
            </w:r>
          </w:p>
          <w:p w14:paraId="76A047B0" w14:textId="77777777" w:rsidR="00F52531" w:rsidRPr="00B02887" w:rsidRDefault="00F52531" w:rsidP="00F52531">
            <w:pPr>
              <w:spacing w:before="60" w:after="60"/>
              <w:rPr>
                <w:rFonts w:ascii="Calibri" w:hAnsi="Calibri" w:cs="Calibri"/>
                <w:bCs/>
                <w:iCs/>
              </w:rPr>
            </w:pPr>
            <w:r w:rsidRPr="00B02887">
              <w:rPr>
                <w:rFonts w:ascii="Calibri" w:hAnsi="Calibri" w:cs="Calibri"/>
                <w:bCs/>
                <w:iCs/>
              </w:rPr>
              <w:t>CECG has improved oversight of the financial operations across all Schools and Service Areas.</w:t>
            </w:r>
          </w:p>
          <w:p w14:paraId="7DEB14CF" w14:textId="77777777" w:rsidR="00F52531" w:rsidRPr="00B02887" w:rsidRDefault="00F52531" w:rsidP="00F52531">
            <w:pPr>
              <w:spacing w:before="120" w:after="60"/>
              <w:rPr>
                <w:rFonts w:ascii="Calibri" w:hAnsi="Calibri" w:cs="Calibri"/>
                <w:b/>
              </w:rPr>
            </w:pPr>
            <w:r w:rsidRPr="00B02887">
              <w:rPr>
                <w:rFonts w:ascii="Calibri" w:hAnsi="Calibri" w:cs="Calibri"/>
                <w:b/>
              </w:rPr>
              <w:t>80% Achieved</w:t>
            </w:r>
          </w:p>
          <w:p w14:paraId="3E8A3C5D" w14:textId="77777777" w:rsidR="00F52531" w:rsidRPr="00B02887" w:rsidRDefault="00F52531" w:rsidP="00F52531">
            <w:pPr>
              <w:pStyle w:val="ListParagraph"/>
              <w:spacing w:after="60"/>
              <w:ind w:left="0"/>
              <w:rPr>
                <w:bCs/>
              </w:rPr>
            </w:pPr>
          </w:p>
          <w:p w14:paraId="583A9CAB" w14:textId="77777777" w:rsidR="00F52531" w:rsidRPr="00B02887" w:rsidRDefault="00F52531" w:rsidP="00F52531">
            <w:pPr>
              <w:pStyle w:val="ListParagraph"/>
              <w:spacing w:after="60"/>
              <w:ind w:left="0"/>
              <w:rPr>
                <w:bCs/>
              </w:rPr>
            </w:pPr>
          </w:p>
          <w:p w14:paraId="73AA27AA" w14:textId="77777777" w:rsidR="00F52531" w:rsidRPr="00B02887" w:rsidRDefault="00F52531" w:rsidP="00F52531">
            <w:pPr>
              <w:pStyle w:val="ListParagraph"/>
              <w:spacing w:after="60"/>
              <w:ind w:left="0"/>
              <w:rPr>
                <w:bCs/>
              </w:rPr>
            </w:pPr>
          </w:p>
        </w:tc>
        <w:tc>
          <w:tcPr>
            <w:tcW w:w="2835" w:type="dxa"/>
            <w:shd w:val="clear" w:color="auto" w:fill="auto"/>
          </w:tcPr>
          <w:p w14:paraId="5B9920A4" w14:textId="77777777" w:rsidR="00F52531" w:rsidRPr="00B02887" w:rsidRDefault="00F52531" w:rsidP="00F52531">
            <w:pPr>
              <w:pStyle w:val="ListParagraph"/>
              <w:spacing w:after="60"/>
              <w:ind w:left="0"/>
              <w:contextualSpacing w:val="0"/>
              <w:rPr>
                <w:rFonts w:ascii="Calibri" w:hAnsi="Calibri" w:cs="Calibri"/>
                <w:iCs/>
              </w:rPr>
            </w:pPr>
          </w:p>
          <w:p w14:paraId="1C860939" w14:textId="77777777" w:rsidR="00F52531" w:rsidRPr="00B02887" w:rsidRDefault="00F52531" w:rsidP="00F52531">
            <w:pPr>
              <w:pStyle w:val="ListParagraph"/>
              <w:spacing w:after="60"/>
              <w:ind w:left="0"/>
              <w:contextualSpacing w:val="0"/>
              <w:rPr>
                <w:rFonts w:ascii="Calibri" w:hAnsi="Calibri" w:cs="Calibri"/>
                <w:iCs/>
              </w:rPr>
            </w:pPr>
          </w:p>
          <w:p w14:paraId="5D1C9AC9" w14:textId="77777777" w:rsidR="00F52531" w:rsidRPr="00B02887" w:rsidRDefault="00F52531" w:rsidP="00F52531">
            <w:pPr>
              <w:pStyle w:val="ListParagraph"/>
              <w:spacing w:after="60"/>
              <w:ind w:left="0"/>
              <w:contextualSpacing w:val="0"/>
              <w:rPr>
                <w:rFonts w:ascii="Calibri" w:hAnsi="Calibri" w:cs="Calibri"/>
                <w:iCs/>
              </w:rPr>
            </w:pPr>
          </w:p>
          <w:p w14:paraId="2D6AEB03" w14:textId="77777777" w:rsidR="00F52531" w:rsidRPr="00B02887" w:rsidRDefault="00F52531" w:rsidP="00F52531">
            <w:pPr>
              <w:pStyle w:val="ListParagraph"/>
              <w:spacing w:after="60"/>
              <w:ind w:left="0"/>
              <w:contextualSpacing w:val="0"/>
              <w:rPr>
                <w:rFonts w:ascii="Calibri" w:hAnsi="Calibri" w:cs="Calibri"/>
                <w:iCs/>
              </w:rPr>
            </w:pPr>
          </w:p>
          <w:p w14:paraId="79C68B55" w14:textId="77777777" w:rsidR="00F52531" w:rsidRPr="00B02887" w:rsidRDefault="00F52531" w:rsidP="00F52531">
            <w:pPr>
              <w:pStyle w:val="ListParagraph"/>
              <w:spacing w:after="60"/>
              <w:ind w:left="0"/>
              <w:contextualSpacing w:val="0"/>
              <w:rPr>
                <w:rFonts w:ascii="Calibri" w:hAnsi="Calibri" w:cs="Calibri"/>
                <w:iCs/>
              </w:rPr>
            </w:pPr>
          </w:p>
          <w:p w14:paraId="50DC3364" w14:textId="77777777" w:rsidR="00F52531" w:rsidRPr="00B02887" w:rsidRDefault="00F52531" w:rsidP="00F52531">
            <w:pPr>
              <w:pStyle w:val="ListParagraph"/>
              <w:spacing w:after="60"/>
              <w:ind w:left="0"/>
              <w:contextualSpacing w:val="0"/>
              <w:rPr>
                <w:rFonts w:ascii="Calibri" w:hAnsi="Calibri" w:cs="Calibri"/>
                <w:iCs/>
              </w:rPr>
            </w:pPr>
          </w:p>
          <w:p w14:paraId="2AAC5261" w14:textId="77777777" w:rsidR="00F52531" w:rsidRPr="00B02887" w:rsidRDefault="00F52531" w:rsidP="00F52531">
            <w:pPr>
              <w:pStyle w:val="ListParagraph"/>
              <w:spacing w:after="60"/>
              <w:ind w:left="0"/>
              <w:contextualSpacing w:val="0"/>
              <w:rPr>
                <w:rFonts w:ascii="Calibri" w:hAnsi="Calibri" w:cs="Calibri"/>
                <w:iCs/>
              </w:rPr>
            </w:pPr>
          </w:p>
          <w:p w14:paraId="2FE11EEB" w14:textId="77777777" w:rsidR="00F52531" w:rsidRPr="00B02887" w:rsidRDefault="00F52531" w:rsidP="00F52531">
            <w:pPr>
              <w:pStyle w:val="ListParagraph"/>
              <w:spacing w:after="60"/>
              <w:ind w:left="0"/>
              <w:contextualSpacing w:val="0"/>
              <w:rPr>
                <w:rFonts w:ascii="Calibri" w:hAnsi="Calibri" w:cs="Calibri"/>
                <w:iCs/>
              </w:rPr>
            </w:pPr>
          </w:p>
          <w:p w14:paraId="6A6BE261" w14:textId="77777777" w:rsidR="00F52531" w:rsidRPr="00B02887" w:rsidRDefault="00F52531" w:rsidP="00F52531">
            <w:pPr>
              <w:pStyle w:val="ListParagraph"/>
              <w:spacing w:after="60"/>
              <w:ind w:left="0"/>
              <w:contextualSpacing w:val="0"/>
              <w:rPr>
                <w:rFonts w:ascii="Calibri" w:hAnsi="Calibri" w:cs="Calibri"/>
                <w:iCs/>
              </w:rPr>
            </w:pPr>
          </w:p>
          <w:p w14:paraId="47D8883E" w14:textId="77777777" w:rsidR="00F52531" w:rsidRPr="00B02887" w:rsidRDefault="00F52531" w:rsidP="00F52531">
            <w:pPr>
              <w:pStyle w:val="ListParagraph"/>
              <w:spacing w:after="60"/>
              <w:ind w:left="0"/>
              <w:contextualSpacing w:val="0"/>
              <w:rPr>
                <w:rFonts w:ascii="Calibri" w:hAnsi="Calibri" w:cs="Calibri"/>
                <w:iCs/>
              </w:rPr>
            </w:pPr>
            <w:r w:rsidRPr="00B02887">
              <w:rPr>
                <w:rFonts w:ascii="Calibri" w:hAnsi="Calibri" w:cs="Calibri"/>
                <w:iCs/>
              </w:rPr>
              <w:t>Further work required with schools around data capture to assist with regulatory reporting and grant acquittals</w:t>
            </w:r>
          </w:p>
          <w:p w14:paraId="58EF86AB" w14:textId="77777777" w:rsidR="00F52531" w:rsidRPr="00B02887" w:rsidRDefault="00F52531" w:rsidP="00F52531">
            <w:pPr>
              <w:pStyle w:val="ListParagraph"/>
              <w:spacing w:after="60"/>
              <w:ind w:left="0"/>
              <w:contextualSpacing w:val="0"/>
              <w:rPr>
                <w:rFonts w:ascii="Calibri" w:hAnsi="Calibri" w:cs="Calibri"/>
                <w:iCs/>
              </w:rPr>
            </w:pPr>
            <w:r w:rsidRPr="00B02887">
              <w:rPr>
                <w:rFonts w:ascii="Calibri" w:hAnsi="Calibri" w:cs="Calibri"/>
                <w:iCs/>
              </w:rPr>
              <w:t>Further work to enhance school and service area level reporting, feedback sought from Principals on financial data presented. Increased input and alignment of budget data.</w:t>
            </w:r>
          </w:p>
          <w:p w14:paraId="2FA7A8CF" w14:textId="780E2748" w:rsidR="00F52531" w:rsidRPr="00B02887" w:rsidRDefault="00F52531" w:rsidP="00F52531">
            <w:pPr>
              <w:pStyle w:val="ListParagraph"/>
              <w:spacing w:after="60"/>
              <w:ind w:left="0"/>
              <w:rPr>
                <w:bCs/>
              </w:rPr>
            </w:pPr>
            <w:r w:rsidRPr="00B02887">
              <w:rPr>
                <w:rFonts w:ascii="Calibri" w:hAnsi="Calibri" w:cs="Calibri"/>
                <w:iCs/>
              </w:rPr>
              <w:t>Additional work on centralising debtor management and tuition billing to be implemented.</w:t>
            </w:r>
          </w:p>
        </w:tc>
      </w:tr>
    </w:tbl>
    <w:p w14:paraId="130D59C4" w14:textId="77777777" w:rsidR="007456E6" w:rsidRDefault="007456E6" w:rsidP="007456E6">
      <w:pPr>
        <w:rPr>
          <w:b/>
          <w:u w:val="single"/>
        </w:rPr>
      </w:pPr>
      <w:r>
        <w:rPr>
          <w:b/>
          <w:u w:val="single"/>
        </w:rPr>
        <w:br w:type="page"/>
      </w:r>
    </w:p>
    <w:p w14:paraId="764F32E3" w14:textId="77777777" w:rsidR="008121FF" w:rsidRDefault="008121FF">
      <w:pPr>
        <w:rPr>
          <w:b/>
          <w:u w:val="single"/>
        </w:rPr>
      </w:pPr>
    </w:p>
    <w:p w14:paraId="0995BE9C" w14:textId="29EDA039" w:rsidR="00434F6D" w:rsidRDefault="00434F6D" w:rsidP="00434F6D">
      <w:pPr>
        <w:jc w:val="center"/>
        <w:rPr>
          <w:b/>
          <w:u w:val="single"/>
        </w:rPr>
      </w:pPr>
      <w:r>
        <w:rPr>
          <w:b/>
          <w:u w:val="single"/>
        </w:rPr>
        <w:t>2023 Budget Expenditure</w:t>
      </w:r>
    </w:p>
    <w:tbl>
      <w:tblPr>
        <w:tblStyle w:val="TableGrid"/>
        <w:tblW w:w="0" w:type="auto"/>
        <w:tblInd w:w="704" w:type="dxa"/>
        <w:tblLook w:val="04A0" w:firstRow="1" w:lastRow="0" w:firstColumn="1" w:lastColumn="0" w:noHBand="0" w:noVBand="1"/>
      </w:tblPr>
      <w:tblGrid>
        <w:gridCol w:w="9497"/>
        <w:gridCol w:w="2977"/>
      </w:tblGrid>
      <w:tr w:rsidR="00CE1D84" w:rsidRPr="000B20A6" w14:paraId="002D4021" w14:textId="77777777" w:rsidTr="00B22104">
        <w:trPr>
          <w:trHeight w:val="20"/>
        </w:trPr>
        <w:tc>
          <w:tcPr>
            <w:tcW w:w="9497" w:type="dxa"/>
          </w:tcPr>
          <w:p w14:paraId="1447B09D" w14:textId="77777777" w:rsidR="00CE1D84" w:rsidRPr="000B20A6" w:rsidRDefault="00CE1D84" w:rsidP="00B22104">
            <w:pPr>
              <w:jc w:val="center"/>
              <w:rPr>
                <w:rFonts w:ascii="Calibri" w:hAnsi="Calibri" w:cs="Calibri"/>
                <w:b/>
              </w:rPr>
            </w:pPr>
            <w:r w:rsidRPr="000B20A6">
              <w:rPr>
                <w:rFonts w:ascii="Calibri" w:hAnsi="Calibri" w:cs="Calibri"/>
                <w:b/>
              </w:rPr>
              <w:t>Project Activities</w:t>
            </w:r>
          </w:p>
        </w:tc>
        <w:tc>
          <w:tcPr>
            <w:tcW w:w="2977" w:type="dxa"/>
          </w:tcPr>
          <w:p w14:paraId="1D4F2438" w14:textId="77777777" w:rsidR="00CE1D84" w:rsidRPr="000B20A6" w:rsidRDefault="00CE1D84" w:rsidP="00B22104">
            <w:pPr>
              <w:jc w:val="center"/>
              <w:rPr>
                <w:rFonts w:ascii="Calibri" w:hAnsi="Calibri" w:cs="Calibri"/>
                <w:b/>
              </w:rPr>
            </w:pPr>
            <w:r w:rsidRPr="000B20A6">
              <w:rPr>
                <w:rFonts w:ascii="Calibri" w:hAnsi="Calibri" w:cs="Calibri"/>
                <w:b/>
              </w:rPr>
              <w:t>Reform Support Funding</w:t>
            </w:r>
          </w:p>
        </w:tc>
      </w:tr>
      <w:tr w:rsidR="00CE1D84" w:rsidRPr="000B20A6" w14:paraId="152A1C0A" w14:textId="77777777" w:rsidTr="00B22104">
        <w:trPr>
          <w:trHeight w:val="20"/>
        </w:trPr>
        <w:tc>
          <w:tcPr>
            <w:tcW w:w="9497" w:type="dxa"/>
          </w:tcPr>
          <w:p w14:paraId="6301E5E9" w14:textId="77777777" w:rsidR="00CE1D84" w:rsidRPr="000B20A6" w:rsidRDefault="00CE1D84" w:rsidP="00B22104">
            <w:pPr>
              <w:jc w:val="center"/>
              <w:rPr>
                <w:rFonts w:ascii="Calibri" w:hAnsi="Calibri" w:cs="Calibri"/>
                <w:b/>
              </w:rPr>
            </w:pPr>
            <w:r>
              <w:rPr>
                <w:rFonts w:ascii="Calibri" w:hAnsi="Calibri" w:cs="Calibri"/>
                <w:b/>
              </w:rPr>
              <w:t>NCCD</w:t>
            </w:r>
          </w:p>
        </w:tc>
        <w:tc>
          <w:tcPr>
            <w:tcW w:w="2977" w:type="dxa"/>
          </w:tcPr>
          <w:p w14:paraId="5ADE1720" w14:textId="77777777" w:rsidR="00CE1D84" w:rsidRPr="000B20A6" w:rsidRDefault="00CE1D84" w:rsidP="00B22104">
            <w:pPr>
              <w:jc w:val="right"/>
              <w:rPr>
                <w:rFonts w:ascii="Calibri" w:hAnsi="Calibri" w:cs="Calibri"/>
                <w:b/>
              </w:rPr>
            </w:pPr>
          </w:p>
        </w:tc>
      </w:tr>
      <w:tr w:rsidR="00CE1D84" w:rsidRPr="000B20A6" w14:paraId="4424808B" w14:textId="77777777" w:rsidTr="00B22104">
        <w:trPr>
          <w:trHeight w:val="20"/>
        </w:trPr>
        <w:tc>
          <w:tcPr>
            <w:tcW w:w="9497" w:type="dxa"/>
          </w:tcPr>
          <w:p w14:paraId="0B827750" w14:textId="54F484A4" w:rsidR="00CE1D84" w:rsidRPr="001E4DD9" w:rsidRDefault="00CE1D84" w:rsidP="00B22104">
            <w:pPr>
              <w:rPr>
                <w:rFonts w:ascii="Calibri" w:hAnsi="Calibri" w:cs="Calibri"/>
                <w:bCs/>
              </w:rPr>
            </w:pPr>
            <w:r w:rsidRPr="00CE1D84">
              <w:rPr>
                <w:rFonts w:ascii="Calibri" w:hAnsi="Calibri" w:cs="Calibri"/>
                <w:bCs/>
              </w:rPr>
              <w:t>NCCD Officer</w:t>
            </w:r>
          </w:p>
        </w:tc>
        <w:tc>
          <w:tcPr>
            <w:tcW w:w="2977" w:type="dxa"/>
          </w:tcPr>
          <w:p w14:paraId="2727FD13" w14:textId="39E8E7D7" w:rsidR="00CE1D84" w:rsidRPr="000B20A6" w:rsidRDefault="00CE1D84" w:rsidP="00B22104">
            <w:pPr>
              <w:jc w:val="right"/>
              <w:rPr>
                <w:rFonts w:ascii="Calibri" w:hAnsi="Calibri" w:cs="Calibri"/>
                <w:bCs/>
              </w:rPr>
            </w:pPr>
            <w:r w:rsidRPr="00693D4D">
              <w:rPr>
                <w:rFonts w:ascii="Calibri" w:hAnsi="Calibri" w:cs="Calibri"/>
                <w:bCs/>
              </w:rPr>
              <w:t>$</w:t>
            </w:r>
            <w:r>
              <w:rPr>
                <w:rFonts w:ascii="Calibri" w:hAnsi="Calibri" w:cs="Calibri"/>
                <w:bCs/>
              </w:rPr>
              <w:t>0</w:t>
            </w:r>
          </w:p>
        </w:tc>
      </w:tr>
      <w:tr w:rsidR="00CE1D84" w:rsidRPr="001E4DD9" w14:paraId="5CF4FCB5" w14:textId="77777777" w:rsidTr="00B22104">
        <w:trPr>
          <w:trHeight w:val="20"/>
        </w:trPr>
        <w:tc>
          <w:tcPr>
            <w:tcW w:w="9497" w:type="dxa"/>
          </w:tcPr>
          <w:p w14:paraId="476428A4" w14:textId="77777777" w:rsidR="00CE1D84" w:rsidRPr="00663248" w:rsidRDefault="00CE1D84" w:rsidP="00B22104">
            <w:pPr>
              <w:jc w:val="center"/>
              <w:rPr>
                <w:rFonts w:ascii="Calibri" w:hAnsi="Calibri" w:cs="Calibri"/>
                <w:bCs/>
              </w:rPr>
            </w:pPr>
            <w:r w:rsidRPr="00B64E75">
              <w:rPr>
                <w:rFonts w:ascii="Calibri" w:hAnsi="Calibri" w:cs="Calibri"/>
                <w:b/>
              </w:rPr>
              <w:t>NAPLAN Online</w:t>
            </w:r>
          </w:p>
        </w:tc>
        <w:tc>
          <w:tcPr>
            <w:tcW w:w="2977" w:type="dxa"/>
          </w:tcPr>
          <w:p w14:paraId="6877F4BE" w14:textId="77777777" w:rsidR="00CE1D84" w:rsidRPr="001E4DD9" w:rsidRDefault="00CE1D84" w:rsidP="00B22104">
            <w:pPr>
              <w:jc w:val="right"/>
              <w:rPr>
                <w:rFonts w:ascii="Calibri" w:hAnsi="Calibri" w:cs="Calibri"/>
                <w:bCs/>
              </w:rPr>
            </w:pPr>
          </w:p>
        </w:tc>
      </w:tr>
      <w:tr w:rsidR="00CE1D84" w:rsidRPr="000B20A6" w14:paraId="5D3A25BB" w14:textId="77777777" w:rsidTr="00B22104">
        <w:trPr>
          <w:trHeight w:val="20"/>
        </w:trPr>
        <w:tc>
          <w:tcPr>
            <w:tcW w:w="9497" w:type="dxa"/>
          </w:tcPr>
          <w:p w14:paraId="3D8F83DF" w14:textId="38D44A00" w:rsidR="00CE1D84" w:rsidRPr="00021C0F" w:rsidRDefault="00195C98" w:rsidP="00B22104">
            <w:pPr>
              <w:rPr>
                <w:rFonts w:ascii="Calibri" w:hAnsi="Calibri" w:cs="Calibri"/>
                <w:bCs/>
              </w:rPr>
            </w:pPr>
            <w:r w:rsidRPr="00195C98">
              <w:rPr>
                <w:rFonts w:ascii="Calibri" w:hAnsi="Calibri" w:cs="Calibri"/>
                <w:bCs/>
              </w:rPr>
              <w:t>Ochre Education - develop and deliver a series of rigorously designed lessons that are aligned to CCEG K-6 Scope and Sequence documents</w:t>
            </w:r>
          </w:p>
        </w:tc>
        <w:tc>
          <w:tcPr>
            <w:tcW w:w="2977" w:type="dxa"/>
          </w:tcPr>
          <w:p w14:paraId="45C2CCDD" w14:textId="668ED694" w:rsidR="00CE1D84" w:rsidRPr="000B20A6" w:rsidRDefault="00CE1D84" w:rsidP="00B22104">
            <w:pPr>
              <w:jc w:val="right"/>
              <w:rPr>
                <w:rFonts w:ascii="Calibri" w:hAnsi="Calibri" w:cs="Calibri"/>
                <w:bCs/>
              </w:rPr>
            </w:pPr>
            <w:r w:rsidRPr="00021C0F">
              <w:rPr>
                <w:rFonts w:ascii="Calibri" w:hAnsi="Calibri" w:cs="Calibri"/>
                <w:bCs/>
              </w:rPr>
              <w:t>$</w:t>
            </w:r>
            <w:r w:rsidR="00195C98">
              <w:rPr>
                <w:rFonts w:ascii="Calibri" w:hAnsi="Calibri" w:cs="Calibri"/>
                <w:bCs/>
              </w:rPr>
              <w:t>0</w:t>
            </w:r>
          </w:p>
        </w:tc>
      </w:tr>
      <w:tr w:rsidR="00CE1D84" w:rsidRPr="000B20A6" w14:paraId="25763FE1" w14:textId="77777777" w:rsidTr="00B22104">
        <w:trPr>
          <w:trHeight w:val="20"/>
        </w:trPr>
        <w:tc>
          <w:tcPr>
            <w:tcW w:w="9497" w:type="dxa"/>
          </w:tcPr>
          <w:p w14:paraId="1AC662E8" w14:textId="77777777" w:rsidR="00CE1D84" w:rsidRPr="000B20A6" w:rsidRDefault="00CE1D84" w:rsidP="00B22104">
            <w:pPr>
              <w:jc w:val="center"/>
              <w:rPr>
                <w:rFonts w:ascii="Calibri" w:hAnsi="Calibri" w:cs="Calibri"/>
                <w:b/>
              </w:rPr>
            </w:pPr>
            <w:r w:rsidRPr="008C31E5">
              <w:rPr>
                <w:rFonts w:ascii="Calibri" w:hAnsi="Calibri" w:cs="Calibri"/>
                <w:b/>
              </w:rPr>
              <w:t>Improving governance</w:t>
            </w:r>
            <w:r>
              <w:rPr>
                <w:rFonts w:ascii="Calibri" w:hAnsi="Calibri" w:cs="Calibri"/>
                <w:b/>
              </w:rPr>
              <w:t xml:space="preserve"> </w:t>
            </w:r>
            <w:r w:rsidRPr="008C31E5">
              <w:rPr>
                <w:rFonts w:ascii="Calibri" w:hAnsi="Calibri" w:cs="Calibri"/>
                <w:b/>
              </w:rPr>
              <w:t>and financial</w:t>
            </w:r>
            <w:r>
              <w:rPr>
                <w:rFonts w:ascii="Calibri" w:hAnsi="Calibri" w:cs="Calibri"/>
                <w:b/>
              </w:rPr>
              <w:t xml:space="preserve"> </w:t>
            </w:r>
            <w:r w:rsidRPr="008C31E5">
              <w:rPr>
                <w:rFonts w:ascii="Calibri" w:hAnsi="Calibri" w:cs="Calibri"/>
                <w:b/>
              </w:rPr>
              <w:t>management</w:t>
            </w:r>
          </w:p>
        </w:tc>
        <w:tc>
          <w:tcPr>
            <w:tcW w:w="2977" w:type="dxa"/>
          </w:tcPr>
          <w:p w14:paraId="47CD2E4E" w14:textId="77777777" w:rsidR="00CE1D84" w:rsidRPr="000B20A6" w:rsidRDefault="00CE1D84" w:rsidP="00B22104">
            <w:pPr>
              <w:jc w:val="right"/>
              <w:rPr>
                <w:rFonts w:ascii="Calibri" w:hAnsi="Calibri" w:cs="Calibri"/>
                <w:b/>
              </w:rPr>
            </w:pPr>
          </w:p>
        </w:tc>
      </w:tr>
      <w:tr w:rsidR="00CE1D84" w:rsidRPr="00B159B9" w14:paraId="678563AA" w14:textId="77777777" w:rsidTr="00B22104">
        <w:trPr>
          <w:trHeight w:val="20"/>
        </w:trPr>
        <w:tc>
          <w:tcPr>
            <w:tcW w:w="9497" w:type="dxa"/>
          </w:tcPr>
          <w:p w14:paraId="447D5089" w14:textId="0E6F645B" w:rsidR="00CE1D84" w:rsidRPr="00C52213" w:rsidRDefault="00195C98" w:rsidP="00B22104">
            <w:pPr>
              <w:rPr>
                <w:rFonts w:ascii="Calibri" w:hAnsi="Calibri" w:cs="Calibri"/>
                <w:bCs/>
              </w:rPr>
            </w:pPr>
            <w:r w:rsidRPr="00195C98">
              <w:rPr>
                <w:rFonts w:ascii="Calibri" w:hAnsi="Calibri" w:cs="Calibri"/>
                <w:bCs/>
              </w:rPr>
              <w:t>Finance Transformation Project Team (12 FTE)</w:t>
            </w:r>
          </w:p>
        </w:tc>
        <w:tc>
          <w:tcPr>
            <w:tcW w:w="2977" w:type="dxa"/>
          </w:tcPr>
          <w:p w14:paraId="168781A5" w14:textId="287855B7" w:rsidR="00CE1D84" w:rsidRPr="00B159B9" w:rsidRDefault="00CE1D84" w:rsidP="00B22104">
            <w:pPr>
              <w:jc w:val="right"/>
              <w:rPr>
                <w:rFonts w:ascii="Calibri" w:hAnsi="Calibri" w:cs="Calibri"/>
                <w:bCs/>
              </w:rPr>
            </w:pPr>
            <w:r w:rsidRPr="00AE4A2F">
              <w:rPr>
                <w:rFonts w:ascii="Calibri" w:hAnsi="Calibri" w:cs="Calibri"/>
                <w:bCs/>
              </w:rPr>
              <w:t>$4</w:t>
            </w:r>
            <w:r w:rsidR="00195C98">
              <w:rPr>
                <w:rFonts w:ascii="Calibri" w:hAnsi="Calibri" w:cs="Calibri"/>
                <w:bCs/>
              </w:rPr>
              <w:t>98</w:t>
            </w:r>
            <w:r w:rsidRPr="00AE4A2F">
              <w:rPr>
                <w:rFonts w:ascii="Calibri" w:hAnsi="Calibri" w:cs="Calibri"/>
                <w:bCs/>
              </w:rPr>
              <w:t>,</w:t>
            </w:r>
            <w:r w:rsidR="00195C98">
              <w:rPr>
                <w:rFonts w:ascii="Calibri" w:hAnsi="Calibri" w:cs="Calibri"/>
                <w:bCs/>
              </w:rPr>
              <w:t>00</w:t>
            </w:r>
            <w:r w:rsidRPr="00AE4A2F">
              <w:rPr>
                <w:rFonts w:ascii="Calibri" w:hAnsi="Calibri" w:cs="Calibri"/>
                <w:bCs/>
              </w:rPr>
              <w:t>0</w:t>
            </w:r>
          </w:p>
        </w:tc>
      </w:tr>
      <w:tr w:rsidR="00CE1D84" w:rsidRPr="00FD013D" w14:paraId="09B2B769" w14:textId="77777777" w:rsidTr="00B22104">
        <w:trPr>
          <w:trHeight w:val="20"/>
        </w:trPr>
        <w:tc>
          <w:tcPr>
            <w:tcW w:w="9497" w:type="dxa"/>
            <w:vAlign w:val="bottom"/>
          </w:tcPr>
          <w:p w14:paraId="034D70F7" w14:textId="55C1F06A" w:rsidR="00CE1D84" w:rsidRPr="00217A73" w:rsidRDefault="00195C98" w:rsidP="00B22104">
            <w:pPr>
              <w:jc w:val="center"/>
              <w:rPr>
                <w:rFonts w:ascii="Calibri" w:hAnsi="Calibri" w:cs="Calibri"/>
                <w:b/>
              </w:rPr>
            </w:pPr>
            <w:r>
              <w:rPr>
                <w:rFonts w:ascii="Calibri" w:hAnsi="Calibri" w:cs="Calibri"/>
                <w:b/>
              </w:rPr>
              <w:t>Administration of Projects</w:t>
            </w:r>
          </w:p>
          <w:p w14:paraId="4CF35F0A" w14:textId="77777777" w:rsidR="00CE1D84" w:rsidRPr="000D277C" w:rsidRDefault="00CE1D84" w:rsidP="00B22104">
            <w:pPr>
              <w:rPr>
                <w:rFonts w:ascii="Calibri" w:hAnsi="Calibri" w:cs="Calibri"/>
                <w:bCs/>
              </w:rPr>
            </w:pPr>
          </w:p>
        </w:tc>
        <w:tc>
          <w:tcPr>
            <w:tcW w:w="2977" w:type="dxa"/>
          </w:tcPr>
          <w:p w14:paraId="2F91DC07" w14:textId="7F8BD66E" w:rsidR="00CE1D84" w:rsidRPr="00FD013D" w:rsidRDefault="00F52DF6" w:rsidP="00B22104">
            <w:pPr>
              <w:jc w:val="right"/>
              <w:rPr>
                <w:rFonts w:ascii="Calibri" w:hAnsi="Calibri" w:cs="Calibri"/>
                <w:bCs/>
              </w:rPr>
            </w:pPr>
            <w:r>
              <w:rPr>
                <w:rFonts w:ascii="Calibri" w:hAnsi="Calibri" w:cs="Calibri"/>
                <w:bCs/>
              </w:rPr>
              <w:t>$0</w:t>
            </w:r>
          </w:p>
        </w:tc>
      </w:tr>
      <w:tr w:rsidR="00CE1D84" w:rsidRPr="00BF4209" w14:paraId="167D1E85" w14:textId="77777777" w:rsidTr="00B22104">
        <w:trPr>
          <w:trHeight w:val="20"/>
        </w:trPr>
        <w:tc>
          <w:tcPr>
            <w:tcW w:w="9497" w:type="dxa"/>
          </w:tcPr>
          <w:p w14:paraId="2832F9D5" w14:textId="0B2A0581" w:rsidR="00CE1D84" w:rsidRPr="00F52DF6" w:rsidRDefault="00F52DF6" w:rsidP="00F52DF6">
            <w:pPr>
              <w:jc w:val="right"/>
              <w:rPr>
                <w:rFonts w:ascii="Calibri" w:hAnsi="Calibri" w:cs="Calibri"/>
                <w:b/>
              </w:rPr>
            </w:pPr>
            <w:r w:rsidRPr="00F52DF6">
              <w:rPr>
                <w:rFonts w:ascii="Calibri" w:hAnsi="Calibri" w:cs="Calibri"/>
                <w:b/>
              </w:rPr>
              <w:t>TOTAL</w:t>
            </w:r>
          </w:p>
        </w:tc>
        <w:tc>
          <w:tcPr>
            <w:tcW w:w="2977" w:type="dxa"/>
          </w:tcPr>
          <w:p w14:paraId="46A72D2E" w14:textId="0882A24E" w:rsidR="00CE1D84" w:rsidRPr="00F52DF6" w:rsidRDefault="00F52DF6" w:rsidP="00B22104">
            <w:pPr>
              <w:jc w:val="right"/>
              <w:rPr>
                <w:rFonts w:ascii="Calibri" w:hAnsi="Calibri" w:cs="Calibri"/>
                <w:b/>
              </w:rPr>
            </w:pPr>
            <w:r w:rsidRPr="00F52DF6">
              <w:rPr>
                <w:rFonts w:ascii="Calibri" w:hAnsi="Calibri" w:cs="Calibri"/>
                <w:b/>
              </w:rPr>
              <w:t>$498,000</w:t>
            </w:r>
          </w:p>
        </w:tc>
      </w:tr>
    </w:tbl>
    <w:p w14:paraId="557B0E2F" w14:textId="77777777" w:rsidR="00434F6D" w:rsidRPr="00406355" w:rsidRDefault="00434F6D">
      <w:pPr>
        <w:rPr>
          <w:b/>
          <w:u w:val="single"/>
        </w:rPr>
      </w:pPr>
    </w:p>
    <w:sectPr w:rsidR="00434F6D" w:rsidRPr="00406355" w:rsidSect="0027475C">
      <w:pgSz w:w="16838" w:h="11906" w:orient="landscape" w:code="9"/>
      <w:pgMar w:top="567" w:right="964"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85694" w14:textId="77777777" w:rsidR="00104363" w:rsidRDefault="00104363" w:rsidP="00AB1E9A">
      <w:pPr>
        <w:spacing w:after="0" w:line="240" w:lineRule="auto"/>
      </w:pPr>
      <w:r>
        <w:separator/>
      </w:r>
    </w:p>
  </w:endnote>
  <w:endnote w:type="continuationSeparator" w:id="0">
    <w:p w14:paraId="081F16AA" w14:textId="77777777" w:rsidR="00104363" w:rsidRDefault="00104363" w:rsidP="00AB1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13AD9" w14:textId="77777777" w:rsidR="00104363" w:rsidRDefault="00104363" w:rsidP="00AB1E9A">
      <w:pPr>
        <w:spacing w:after="0" w:line="240" w:lineRule="auto"/>
      </w:pPr>
      <w:r>
        <w:separator/>
      </w:r>
    </w:p>
  </w:footnote>
  <w:footnote w:type="continuationSeparator" w:id="0">
    <w:p w14:paraId="782CFA47" w14:textId="77777777" w:rsidR="00104363" w:rsidRDefault="00104363" w:rsidP="00AB1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0AF2"/>
    <w:multiLevelType w:val="hybridMultilevel"/>
    <w:tmpl w:val="BAF04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8070B5"/>
    <w:multiLevelType w:val="hybridMultilevel"/>
    <w:tmpl w:val="526C7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404FB"/>
    <w:multiLevelType w:val="hybridMultilevel"/>
    <w:tmpl w:val="0B0045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E73C3B"/>
    <w:multiLevelType w:val="hybridMultilevel"/>
    <w:tmpl w:val="6D3C2426"/>
    <w:lvl w:ilvl="0" w:tplc="BC9AFF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D0152E"/>
    <w:multiLevelType w:val="hybridMultilevel"/>
    <w:tmpl w:val="5C78DFC6"/>
    <w:lvl w:ilvl="0" w:tplc="45D8FB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6618E8"/>
    <w:multiLevelType w:val="hybridMultilevel"/>
    <w:tmpl w:val="3BCA1E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E1077E5"/>
    <w:multiLevelType w:val="hybridMultilevel"/>
    <w:tmpl w:val="D862D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111BA1"/>
    <w:multiLevelType w:val="hybridMultilevel"/>
    <w:tmpl w:val="6BE4A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F54085"/>
    <w:multiLevelType w:val="hybridMultilevel"/>
    <w:tmpl w:val="F0882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70033E"/>
    <w:multiLevelType w:val="hybridMultilevel"/>
    <w:tmpl w:val="F53491F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B637F8F"/>
    <w:multiLevelType w:val="hybridMultilevel"/>
    <w:tmpl w:val="4736378A"/>
    <w:lvl w:ilvl="0" w:tplc="2234858E">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B22E6A"/>
    <w:multiLevelType w:val="hybridMultilevel"/>
    <w:tmpl w:val="3BCA1E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8E36EB0"/>
    <w:multiLevelType w:val="hybridMultilevel"/>
    <w:tmpl w:val="C2D4F494"/>
    <w:lvl w:ilvl="0" w:tplc="5B043EBC">
      <w:start w:val="1"/>
      <w:numFmt w:val="decimal"/>
      <w:lvlText w:val="(%1)"/>
      <w:lvlJc w:val="righ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E001B7B"/>
    <w:multiLevelType w:val="hybridMultilevel"/>
    <w:tmpl w:val="3BCA1E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1DA5D3B"/>
    <w:multiLevelType w:val="hybridMultilevel"/>
    <w:tmpl w:val="9F0AB100"/>
    <w:lvl w:ilvl="0" w:tplc="9E70BA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C626211"/>
    <w:multiLevelType w:val="hybridMultilevel"/>
    <w:tmpl w:val="FA66DD30"/>
    <w:lvl w:ilvl="0" w:tplc="A01A91F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5F18FE"/>
    <w:multiLevelType w:val="hybridMultilevel"/>
    <w:tmpl w:val="3BCA1E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DF776FA"/>
    <w:multiLevelType w:val="hybridMultilevel"/>
    <w:tmpl w:val="3BCA1E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EC34424"/>
    <w:multiLevelType w:val="hybridMultilevel"/>
    <w:tmpl w:val="F35A7A6A"/>
    <w:lvl w:ilvl="0" w:tplc="0C090001">
      <w:start w:val="1"/>
      <w:numFmt w:val="bullet"/>
      <w:lvlText w:val=""/>
      <w:lvlJc w:val="left"/>
      <w:pPr>
        <w:ind w:left="1080" w:hanging="72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29972515">
    <w:abstractNumId w:val="18"/>
  </w:num>
  <w:num w:numId="2" w16cid:durableId="1883247702">
    <w:abstractNumId w:val="10"/>
  </w:num>
  <w:num w:numId="3" w16cid:durableId="983702822">
    <w:abstractNumId w:val="14"/>
  </w:num>
  <w:num w:numId="4" w16cid:durableId="2051227866">
    <w:abstractNumId w:val="2"/>
  </w:num>
  <w:num w:numId="5" w16cid:durableId="162474321">
    <w:abstractNumId w:val="12"/>
  </w:num>
  <w:num w:numId="6" w16cid:durableId="1197741314">
    <w:abstractNumId w:val="3"/>
  </w:num>
  <w:num w:numId="7" w16cid:durableId="655571384">
    <w:abstractNumId w:val="4"/>
  </w:num>
  <w:num w:numId="8" w16cid:durableId="51471271">
    <w:abstractNumId w:val="13"/>
  </w:num>
  <w:num w:numId="9" w16cid:durableId="1798570195">
    <w:abstractNumId w:val="7"/>
  </w:num>
  <w:num w:numId="10" w16cid:durableId="1433672686">
    <w:abstractNumId w:val="17"/>
  </w:num>
  <w:num w:numId="11" w16cid:durableId="1804468763">
    <w:abstractNumId w:val="0"/>
  </w:num>
  <w:num w:numId="12" w16cid:durableId="1958676266">
    <w:abstractNumId w:val="16"/>
  </w:num>
  <w:num w:numId="13" w16cid:durableId="63456822">
    <w:abstractNumId w:val="9"/>
  </w:num>
  <w:num w:numId="14" w16cid:durableId="522743415">
    <w:abstractNumId w:val="8"/>
  </w:num>
  <w:num w:numId="15" w16cid:durableId="1381595297">
    <w:abstractNumId w:val="1"/>
  </w:num>
  <w:num w:numId="16" w16cid:durableId="551044537">
    <w:abstractNumId w:val="6"/>
  </w:num>
  <w:num w:numId="17" w16cid:durableId="1236940995">
    <w:abstractNumId w:val="15"/>
  </w:num>
  <w:num w:numId="18" w16cid:durableId="855772782">
    <w:abstractNumId w:val="5"/>
  </w:num>
  <w:num w:numId="19" w16cid:durableId="1355956186">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A"/>
    <w:rsid w:val="000115EF"/>
    <w:rsid w:val="000136CB"/>
    <w:rsid w:val="00034E6D"/>
    <w:rsid w:val="00035FE6"/>
    <w:rsid w:val="00041801"/>
    <w:rsid w:val="00044C21"/>
    <w:rsid w:val="00054063"/>
    <w:rsid w:val="00055B9D"/>
    <w:rsid w:val="00056E58"/>
    <w:rsid w:val="00064B2B"/>
    <w:rsid w:val="000670AB"/>
    <w:rsid w:val="00072B4B"/>
    <w:rsid w:val="000A4203"/>
    <w:rsid w:val="000B0D08"/>
    <w:rsid w:val="000B2878"/>
    <w:rsid w:val="000C2646"/>
    <w:rsid w:val="000D158C"/>
    <w:rsid w:val="000D4D7C"/>
    <w:rsid w:val="000D71BC"/>
    <w:rsid w:val="000E3C8B"/>
    <w:rsid w:val="000E6CD1"/>
    <w:rsid w:val="000F0369"/>
    <w:rsid w:val="00104363"/>
    <w:rsid w:val="00125DD0"/>
    <w:rsid w:val="00140D60"/>
    <w:rsid w:val="00157364"/>
    <w:rsid w:val="00161D85"/>
    <w:rsid w:val="001623C4"/>
    <w:rsid w:val="00176B94"/>
    <w:rsid w:val="0018493C"/>
    <w:rsid w:val="00195C98"/>
    <w:rsid w:val="00196170"/>
    <w:rsid w:val="001A19ED"/>
    <w:rsid w:val="001C6359"/>
    <w:rsid w:val="001D42F9"/>
    <w:rsid w:val="001D5AD3"/>
    <w:rsid w:val="001E13FA"/>
    <w:rsid w:val="00227448"/>
    <w:rsid w:val="00240AAC"/>
    <w:rsid w:val="00252339"/>
    <w:rsid w:val="00252C2E"/>
    <w:rsid w:val="00257386"/>
    <w:rsid w:val="002608F5"/>
    <w:rsid w:val="002703BC"/>
    <w:rsid w:val="0027475C"/>
    <w:rsid w:val="00280D27"/>
    <w:rsid w:val="002A42DD"/>
    <w:rsid w:val="002C05CA"/>
    <w:rsid w:val="002C6E50"/>
    <w:rsid w:val="002D115C"/>
    <w:rsid w:val="002D262A"/>
    <w:rsid w:val="002D35E0"/>
    <w:rsid w:val="002E15FC"/>
    <w:rsid w:val="002E2BBC"/>
    <w:rsid w:val="002E7184"/>
    <w:rsid w:val="002F2871"/>
    <w:rsid w:val="003148A4"/>
    <w:rsid w:val="00316C08"/>
    <w:rsid w:val="0032659E"/>
    <w:rsid w:val="00326844"/>
    <w:rsid w:val="00340EF2"/>
    <w:rsid w:val="003458A0"/>
    <w:rsid w:val="00352604"/>
    <w:rsid w:val="00356CBE"/>
    <w:rsid w:val="00356F32"/>
    <w:rsid w:val="0036391B"/>
    <w:rsid w:val="003737C9"/>
    <w:rsid w:val="00373D5C"/>
    <w:rsid w:val="0038418A"/>
    <w:rsid w:val="003A0ED2"/>
    <w:rsid w:val="003B0D3E"/>
    <w:rsid w:val="003C1725"/>
    <w:rsid w:val="003C338A"/>
    <w:rsid w:val="003D2158"/>
    <w:rsid w:val="003D6368"/>
    <w:rsid w:val="003E0E31"/>
    <w:rsid w:val="003F40DA"/>
    <w:rsid w:val="00404D5B"/>
    <w:rsid w:val="00406355"/>
    <w:rsid w:val="00416438"/>
    <w:rsid w:val="00421CCD"/>
    <w:rsid w:val="00423852"/>
    <w:rsid w:val="00432719"/>
    <w:rsid w:val="00434F6D"/>
    <w:rsid w:val="00460AD7"/>
    <w:rsid w:val="004648C6"/>
    <w:rsid w:val="004C7CC6"/>
    <w:rsid w:val="004D3039"/>
    <w:rsid w:val="004E5EE2"/>
    <w:rsid w:val="004E63B6"/>
    <w:rsid w:val="004F4A29"/>
    <w:rsid w:val="00501A7A"/>
    <w:rsid w:val="00521088"/>
    <w:rsid w:val="0052726E"/>
    <w:rsid w:val="00582B01"/>
    <w:rsid w:val="00585E39"/>
    <w:rsid w:val="005A126F"/>
    <w:rsid w:val="005A6B0B"/>
    <w:rsid w:val="005A76BC"/>
    <w:rsid w:val="005B03C2"/>
    <w:rsid w:val="005B07CC"/>
    <w:rsid w:val="005C081F"/>
    <w:rsid w:val="005C0D5C"/>
    <w:rsid w:val="005C5F83"/>
    <w:rsid w:val="005E211F"/>
    <w:rsid w:val="00606368"/>
    <w:rsid w:val="00621B91"/>
    <w:rsid w:val="00621CC1"/>
    <w:rsid w:val="006224AD"/>
    <w:rsid w:val="0063034A"/>
    <w:rsid w:val="0063302C"/>
    <w:rsid w:val="006332BC"/>
    <w:rsid w:val="00640A32"/>
    <w:rsid w:val="00656950"/>
    <w:rsid w:val="006611E4"/>
    <w:rsid w:val="006867FB"/>
    <w:rsid w:val="00687A98"/>
    <w:rsid w:val="00696078"/>
    <w:rsid w:val="006A0B35"/>
    <w:rsid w:val="006A24D2"/>
    <w:rsid w:val="006A72D4"/>
    <w:rsid w:val="006A7606"/>
    <w:rsid w:val="006B011C"/>
    <w:rsid w:val="006C5836"/>
    <w:rsid w:val="006C7A6D"/>
    <w:rsid w:val="006C7B37"/>
    <w:rsid w:val="006D0DE1"/>
    <w:rsid w:val="006E2C87"/>
    <w:rsid w:val="006E4EE5"/>
    <w:rsid w:val="006F3A33"/>
    <w:rsid w:val="006F7DF0"/>
    <w:rsid w:val="00706FF4"/>
    <w:rsid w:val="00711226"/>
    <w:rsid w:val="0071602C"/>
    <w:rsid w:val="0071724D"/>
    <w:rsid w:val="00724107"/>
    <w:rsid w:val="007456E6"/>
    <w:rsid w:val="00793941"/>
    <w:rsid w:val="00794142"/>
    <w:rsid w:val="00797E4B"/>
    <w:rsid w:val="007C0253"/>
    <w:rsid w:val="007C11E2"/>
    <w:rsid w:val="007D0F10"/>
    <w:rsid w:val="007D69A7"/>
    <w:rsid w:val="007F45FC"/>
    <w:rsid w:val="008006E9"/>
    <w:rsid w:val="008121FF"/>
    <w:rsid w:val="008200C5"/>
    <w:rsid w:val="008245D0"/>
    <w:rsid w:val="00827687"/>
    <w:rsid w:val="00851609"/>
    <w:rsid w:val="00851816"/>
    <w:rsid w:val="00856355"/>
    <w:rsid w:val="00867635"/>
    <w:rsid w:val="00867EB1"/>
    <w:rsid w:val="0087273C"/>
    <w:rsid w:val="00877A69"/>
    <w:rsid w:val="00886B7B"/>
    <w:rsid w:val="008930F0"/>
    <w:rsid w:val="008D153E"/>
    <w:rsid w:val="008D551A"/>
    <w:rsid w:val="008E7743"/>
    <w:rsid w:val="008F7F0C"/>
    <w:rsid w:val="00912398"/>
    <w:rsid w:val="009363C8"/>
    <w:rsid w:val="00953789"/>
    <w:rsid w:val="009549B6"/>
    <w:rsid w:val="00957473"/>
    <w:rsid w:val="00967889"/>
    <w:rsid w:val="00990641"/>
    <w:rsid w:val="009A2498"/>
    <w:rsid w:val="009B43DF"/>
    <w:rsid w:val="009B55E2"/>
    <w:rsid w:val="009C79E0"/>
    <w:rsid w:val="009D04C7"/>
    <w:rsid w:val="009F601D"/>
    <w:rsid w:val="00A0390E"/>
    <w:rsid w:val="00A05226"/>
    <w:rsid w:val="00A16EB6"/>
    <w:rsid w:val="00A35DC7"/>
    <w:rsid w:val="00A42A81"/>
    <w:rsid w:val="00A458C2"/>
    <w:rsid w:val="00A55A30"/>
    <w:rsid w:val="00A60A6C"/>
    <w:rsid w:val="00A61DAC"/>
    <w:rsid w:val="00A6491E"/>
    <w:rsid w:val="00A72536"/>
    <w:rsid w:val="00A971EB"/>
    <w:rsid w:val="00AB1E9A"/>
    <w:rsid w:val="00AB364B"/>
    <w:rsid w:val="00AC1066"/>
    <w:rsid w:val="00AC4241"/>
    <w:rsid w:val="00AD44D8"/>
    <w:rsid w:val="00AD5EEE"/>
    <w:rsid w:val="00AD6040"/>
    <w:rsid w:val="00AD72C1"/>
    <w:rsid w:val="00AE7CD2"/>
    <w:rsid w:val="00B02887"/>
    <w:rsid w:val="00B0709C"/>
    <w:rsid w:val="00B265A7"/>
    <w:rsid w:val="00B30C12"/>
    <w:rsid w:val="00B35511"/>
    <w:rsid w:val="00B35910"/>
    <w:rsid w:val="00B45419"/>
    <w:rsid w:val="00B57906"/>
    <w:rsid w:val="00B64FC4"/>
    <w:rsid w:val="00B700A7"/>
    <w:rsid w:val="00B85CA6"/>
    <w:rsid w:val="00B90534"/>
    <w:rsid w:val="00B92FEA"/>
    <w:rsid w:val="00BA31C8"/>
    <w:rsid w:val="00BB476A"/>
    <w:rsid w:val="00BC1BFD"/>
    <w:rsid w:val="00BC7EE3"/>
    <w:rsid w:val="00BD0F9C"/>
    <w:rsid w:val="00BD5831"/>
    <w:rsid w:val="00BE0DFE"/>
    <w:rsid w:val="00BF6CBF"/>
    <w:rsid w:val="00C02803"/>
    <w:rsid w:val="00C11B02"/>
    <w:rsid w:val="00C128F4"/>
    <w:rsid w:val="00C158A4"/>
    <w:rsid w:val="00C3276B"/>
    <w:rsid w:val="00C40163"/>
    <w:rsid w:val="00C61639"/>
    <w:rsid w:val="00C65A03"/>
    <w:rsid w:val="00C7030A"/>
    <w:rsid w:val="00C70614"/>
    <w:rsid w:val="00CC0709"/>
    <w:rsid w:val="00CC1018"/>
    <w:rsid w:val="00CD4BC4"/>
    <w:rsid w:val="00CD7AD2"/>
    <w:rsid w:val="00CE1D84"/>
    <w:rsid w:val="00CE252A"/>
    <w:rsid w:val="00CE722E"/>
    <w:rsid w:val="00CF18D2"/>
    <w:rsid w:val="00CF2311"/>
    <w:rsid w:val="00CF6507"/>
    <w:rsid w:val="00D01CA1"/>
    <w:rsid w:val="00D03216"/>
    <w:rsid w:val="00D30FA5"/>
    <w:rsid w:val="00D55539"/>
    <w:rsid w:val="00D557CE"/>
    <w:rsid w:val="00D71130"/>
    <w:rsid w:val="00D768B1"/>
    <w:rsid w:val="00D815A8"/>
    <w:rsid w:val="00D97D65"/>
    <w:rsid w:val="00DD2A8E"/>
    <w:rsid w:val="00DD6C72"/>
    <w:rsid w:val="00DD74FE"/>
    <w:rsid w:val="00DF072B"/>
    <w:rsid w:val="00DF25FD"/>
    <w:rsid w:val="00E151D2"/>
    <w:rsid w:val="00E24FE9"/>
    <w:rsid w:val="00E36C44"/>
    <w:rsid w:val="00E63447"/>
    <w:rsid w:val="00E72B25"/>
    <w:rsid w:val="00E843A7"/>
    <w:rsid w:val="00E97D1B"/>
    <w:rsid w:val="00EA1A4A"/>
    <w:rsid w:val="00EB442C"/>
    <w:rsid w:val="00ED1F4A"/>
    <w:rsid w:val="00ED387E"/>
    <w:rsid w:val="00F012D8"/>
    <w:rsid w:val="00F1440A"/>
    <w:rsid w:val="00F20F46"/>
    <w:rsid w:val="00F47ED8"/>
    <w:rsid w:val="00F52531"/>
    <w:rsid w:val="00F52DF6"/>
    <w:rsid w:val="00F80210"/>
    <w:rsid w:val="00F90DE3"/>
    <w:rsid w:val="00FA53E0"/>
    <w:rsid w:val="00FD458D"/>
    <w:rsid w:val="00FD6CD8"/>
    <w:rsid w:val="00FF6F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BEE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0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34"/>
    <w:qFormat/>
    <w:rsid w:val="00AB1E9A"/>
    <w:pPr>
      <w:ind w:left="720"/>
      <w:contextualSpacing/>
    </w:pPr>
  </w:style>
  <w:style w:type="table" w:styleId="TableGrid">
    <w:name w:val="Table Grid"/>
    <w:basedOn w:val="TableNormal"/>
    <w:uiPriority w:val="3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34"/>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semiHidden/>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semiHidden/>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semiHidden/>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table" w:customStyle="1" w:styleId="TableGrid2">
    <w:name w:val="Table Grid2"/>
    <w:basedOn w:val="TableNormal"/>
    <w:next w:val="TableGrid"/>
    <w:uiPriority w:val="39"/>
    <w:rsid w:val="00356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42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40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E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D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26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5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15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51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A61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3C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054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6599">
      <w:bodyDiv w:val="1"/>
      <w:marLeft w:val="0"/>
      <w:marRight w:val="0"/>
      <w:marTop w:val="0"/>
      <w:marBottom w:val="0"/>
      <w:divBdr>
        <w:top w:val="none" w:sz="0" w:space="0" w:color="auto"/>
        <w:left w:val="none" w:sz="0" w:space="0" w:color="auto"/>
        <w:bottom w:val="none" w:sz="0" w:space="0" w:color="auto"/>
        <w:right w:val="none" w:sz="0" w:space="0" w:color="auto"/>
      </w:divBdr>
    </w:div>
    <w:div w:id="45567363">
      <w:bodyDiv w:val="1"/>
      <w:marLeft w:val="0"/>
      <w:marRight w:val="0"/>
      <w:marTop w:val="0"/>
      <w:marBottom w:val="0"/>
      <w:divBdr>
        <w:top w:val="none" w:sz="0" w:space="0" w:color="auto"/>
        <w:left w:val="none" w:sz="0" w:space="0" w:color="auto"/>
        <w:bottom w:val="none" w:sz="0" w:space="0" w:color="auto"/>
        <w:right w:val="none" w:sz="0" w:space="0" w:color="auto"/>
      </w:divBdr>
    </w:div>
    <w:div w:id="1123109179">
      <w:bodyDiv w:val="1"/>
      <w:marLeft w:val="0"/>
      <w:marRight w:val="0"/>
      <w:marTop w:val="0"/>
      <w:marBottom w:val="0"/>
      <w:divBdr>
        <w:top w:val="none" w:sz="0" w:space="0" w:color="auto"/>
        <w:left w:val="none" w:sz="0" w:space="0" w:color="auto"/>
        <w:bottom w:val="none" w:sz="0" w:space="0" w:color="auto"/>
        <w:right w:val="none" w:sz="0" w:space="0" w:color="auto"/>
      </w:divBdr>
    </w:div>
    <w:div w:id="1676304755">
      <w:bodyDiv w:val="1"/>
      <w:marLeft w:val="0"/>
      <w:marRight w:val="0"/>
      <w:marTop w:val="0"/>
      <w:marBottom w:val="0"/>
      <w:divBdr>
        <w:top w:val="none" w:sz="0" w:space="0" w:color="auto"/>
        <w:left w:val="none" w:sz="0" w:space="0" w:color="auto"/>
        <w:bottom w:val="none" w:sz="0" w:space="0" w:color="auto"/>
        <w:right w:val="none" w:sz="0" w:space="0" w:color="auto"/>
      </w:divBdr>
    </w:div>
    <w:div w:id="1696035303">
      <w:bodyDiv w:val="1"/>
      <w:marLeft w:val="0"/>
      <w:marRight w:val="0"/>
      <w:marTop w:val="0"/>
      <w:marBottom w:val="0"/>
      <w:divBdr>
        <w:top w:val="none" w:sz="0" w:space="0" w:color="auto"/>
        <w:left w:val="none" w:sz="0" w:space="0" w:color="auto"/>
        <w:bottom w:val="none" w:sz="0" w:space="0" w:color="auto"/>
        <w:right w:val="none" w:sz="0" w:space="0" w:color="auto"/>
      </w:divBdr>
    </w:div>
    <w:div w:id="210418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r0 xmlns="811bef87-b317-4239-89d2-1f3b6fba6559" xsi:nil="true"/>
    <Additionalnotes xmlns="811bef87-b317-4239-89d2-1f3b6fba6559" xsi:nil="true"/>
    <lcf76f155ced4ddcb4097134ff3c332f xmlns="811bef87-b317-4239-89d2-1f3b6fba6559">
      <Terms xmlns="http://schemas.microsoft.com/office/infopath/2007/PartnerControls"/>
    </lcf76f155ced4ddcb4097134ff3c332f>
    <TaxCatchAll xmlns="ae7c9846-b409-431d-9ec7-76b30568bf7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C6DC4A76C44E4B9C98E6677AE0C2DE" ma:contentTypeVersion="20" ma:contentTypeDescription="Create a new document." ma:contentTypeScope="" ma:versionID="1149febd10b802eab154f72a04537402">
  <xsd:schema xmlns:xsd="http://www.w3.org/2001/XMLSchema" xmlns:xs="http://www.w3.org/2001/XMLSchema" xmlns:p="http://schemas.microsoft.com/office/2006/metadata/properties" xmlns:ns2="811bef87-b317-4239-89d2-1f3b6fba6559" xmlns:ns3="ae7c9846-b409-431d-9ec7-76b30568bf70" targetNamespace="http://schemas.microsoft.com/office/2006/metadata/properties" ma:root="true" ma:fieldsID="f85b0d185fd127d17816938b352570d5" ns2:_="" ns3:_="">
    <xsd:import namespace="811bef87-b317-4239-89d2-1f3b6fba6559"/>
    <xsd:import namespace="ae7c9846-b409-431d-9ec7-76b30568bf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Additionalnotes" minOccurs="0"/>
                <xsd:element ref="ns2:MediaServiceSearchPropertie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bef87-b317-4239-89d2-1f3b6fba6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Additionalnotes" ma:index="25" nillable="true" ma:displayName="Additional notes" ma:description="Notes to keep in mind when viewing files" ma:format="Dropdown" ma:internalName="Additionalnotes">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order0" ma:index="27" nillable="true" ma:displayName="order"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7c9846-b409-431d-9ec7-76b30568bf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1ec40b-55dd-4397-9dc6-069321927268}" ma:internalName="TaxCatchAll" ma:showField="CatchAllData" ma:web="ae7c9846-b409-431d-9ec7-76b30568b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E0731-25A8-4AD4-A848-589FDAA9F558}">
  <ds:schemaRefs>
    <ds:schemaRef ds:uri="http://schemas.microsoft.com/office/2006/metadata/properties"/>
    <ds:schemaRef ds:uri="http://schemas.microsoft.com/office/infopath/2007/PartnerControls"/>
    <ds:schemaRef ds:uri="811bef87-b317-4239-89d2-1f3b6fba6559"/>
    <ds:schemaRef ds:uri="ae7c9846-b409-431d-9ec7-76b30568bf70"/>
  </ds:schemaRefs>
</ds:datastoreItem>
</file>

<file path=customXml/itemProps2.xml><?xml version="1.0" encoding="utf-8"?>
<ds:datastoreItem xmlns:ds="http://schemas.openxmlformats.org/officeDocument/2006/customXml" ds:itemID="{AA2E697E-3CD7-492A-931E-4EDC8AB71CF1}">
  <ds:schemaRefs>
    <ds:schemaRef ds:uri="http://schemas.openxmlformats.org/officeDocument/2006/bibliography"/>
  </ds:schemaRefs>
</ds:datastoreItem>
</file>

<file path=customXml/itemProps3.xml><?xml version="1.0" encoding="utf-8"?>
<ds:datastoreItem xmlns:ds="http://schemas.openxmlformats.org/officeDocument/2006/customXml" ds:itemID="{44FD830B-DE5C-48DB-90C6-E68D9CAA3AA1}">
  <ds:schemaRefs>
    <ds:schemaRef ds:uri="http://schemas.microsoft.com/sharepoint/v3/contenttype/forms"/>
  </ds:schemaRefs>
</ds:datastoreItem>
</file>

<file path=customXml/itemProps4.xml><?xml version="1.0" encoding="utf-8"?>
<ds:datastoreItem xmlns:ds="http://schemas.openxmlformats.org/officeDocument/2006/customXml" ds:itemID="{B21489AC-0016-462A-B948-44DA206F8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bef87-b317-4239-89d2-1f3b6fba6559"/>
    <ds:schemaRef ds:uri="ae7c9846-b409-431d-9ec7-76b30568b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2023 NGRSF Annual Report CEO Canberra and Goulburn</vt:lpstr>
    </vt:vector>
  </TitlesOfParts>
  <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NGRSF Annual Report CEO Canberra and Goulburn</dc:title>
  <dc:subject/>
  <dc:creator/>
  <cp:keywords>2023 Non Government Reform Support Fund Annual Report Catholic Education Office Canberra and Goulburn, 2023 Non Government Reform Support Fund Annual Report, Non Government Reform Support Fund Annual Report, 2023 NGRSF Annual Report CEO Canberra and Goulburn, 2023 NGRSF Annual Report, NGRSF Annual Report</cp:keywords>
  <dc:description/>
  <cp:lastModifiedBy/>
  <cp:revision>1</cp:revision>
  <dcterms:created xsi:type="dcterms:W3CDTF">2024-10-30T22:35:00Z</dcterms:created>
  <dcterms:modified xsi:type="dcterms:W3CDTF">2024-10-30T22:35:00Z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2024-10-07T23:22:11Z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1d64cecc-1179-4c86-aead-f9a7bfe6d43e</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0x0101001CC6DC4A76C44E4B9C98E6677AE0C2DE</vt:lpwstr>
  </property>
</Properties>
</file>