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4EEC" w14:textId="7C26469F" w:rsidR="00107DD5" w:rsidRDefault="00221D8F" w:rsidP="00CA4815">
      <w:r w:rsidRPr="00CA4815">
        <w:rPr>
          <w:b/>
          <w:bCs/>
          <w:noProof/>
        </w:rPr>
        <w:drawing>
          <wp:anchor distT="0" distB="0" distL="114300" distR="114300" simplePos="0" relativeHeight="251658241" behindDoc="1" locked="1" layoutInCell="1" allowOverlap="1" wp14:anchorId="4A1B45CD" wp14:editId="6674D784">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3F200D7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noProof/>
          <w:lang w:eastAsia="en-AU"/>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78CF62E0" w:rsidR="00221D8F" w:rsidRPr="009D347E" w:rsidRDefault="00526F8E" w:rsidP="009D347E">
          <w:pPr>
            <w:pStyle w:val="Title"/>
          </w:pPr>
          <w:r>
            <w:rPr>
              <w:noProof/>
              <w:lang w:eastAsia="en-AU"/>
            </w:rPr>
            <w:t>Final</w:t>
          </w:r>
          <w:r w:rsidR="00743A6C">
            <w:rPr>
              <w:noProof/>
              <w:lang w:eastAsia="en-AU"/>
            </w:rPr>
            <w:t xml:space="preserve"> Higher Education Research Data Collection specifications for the collection of 2024 data</w:t>
          </w:r>
        </w:p>
      </w:sdtContent>
    </w:sdt>
    <w:bookmarkEnd w:id="0" w:displacedByCustomXml="prev"/>
    <w:bookmarkEnd w:id="1" w:displacedByCustomXml="prev"/>
    <w:p w14:paraId="21C1556E" w14:textId="0BBC707C" w:rsidR="0017134D" w:rsidRDefault="00526F8E" w:rsidP="00EB4C2F">
      <w:pPr>
        <w:pStyle w:val="Subtitle"/>
      </w:pPr>
      <w:r>
        <w:t>Decem</w:t>
      </w:r>
      <w:r w:rsidR="00C657B8">
        <w:t>ber 2024</w:t>
      </w:r>
    </w:p>
    <w:p w14:paraId="0600EC06" w14:textId="77777777" w:rsidR="00107D87" w:rsidRDefault="00107D87">
      <w:pPr>
        <w:sectPr w:rsidR="00107D87" w:rsidSect="00221D8F">
          <w:footerReference w:type="default" r:id="rId14"/>
          <w:pgSz w:w="11906" w:h="16838"/>
          <w:pgMar w:top="1814" w:right="1440" w:bottom="1440" w:left="1440" w:header="709" w:footer="709" w:gutter="0"/>
          <w:cols w:space="708"/>
          <w:docGrid w:linePitch="360"/>
        </w:sectPr>
      </w:pPr>
    </w:p>
    <w:p w14:paraId="133D74A3" w14:textId="77777777" w:rsidR="00304C54" w:rsidRDefault="00304C54" w:rsidP="00304C54">
      <w:pPr>
        <w:spacing w:before="10000"/>
      </w:pPr>
      <w:r>
        <w:rPr>
          <w:noProof/>
        </w:rPr>
        <w:lastRenderedPageBreak/>
        <w:drawing>
          <wp:inline distT="0" distB="0" distL="0" distR="0" wp14:anchorId="4839AF99" wp14:editId="230A86F9">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3643" cy="295275"/>
                    </a:xfrm>
                    <a:prstGeom prst="rect">
                      <a:avLst/>
                    </a:prstGeom>
                  </pic:spPr>
                </pic:pic>
              </a:graphicData>
            </a:graphic>
          </wp:inline>
        </w:drawing>
      </w:r>
    </w:p>
    <w:p w14:paraId="56919909" w14:textId="7933815D" w:rsidR="0017134D" w:rsidRDefault="0017134D" w:rsidP="00304C54">
      <w:pPr>
        <w:spacing w:before="240"/>
      </w:pPr>
      <w:r>
        <w:t xml:space="preserve">With the exception of the Commonwealth Coat of Arms, the Department’s logo, any material protected by a trade mark and where otherwise noted all material presented in this document is provided under a </w:t>
      </w:r>
      <w:hyperlink r:id="rId16"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2AA8C7E3" w14:textId="316427D4" w:rsidR="0017134D" w:rsidRDefault="0017134D" w:rsidP="0017134D">
      <w:r>
        <w:t xml:space="preserve">The details of the relevant licence conditions are available on the Creative Commons website (accessible using the links provided) as is the full legal code for the </w:t>
      </w:r>
      <w:hyperlink r:id="rId17"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28090C3C" w14:textId="0E94698C" w:rsidR="0017134D" w:rsidRDefault="0017134D" w:rsidP="0017134D">
      <w:r>
        <w:t xml:space="preserve">The document must be attributed as the </w:t>
      </w:r>
      <w:r w:rsidR="00526F8E">
        <w:t>Final</w:t>
      </w:r>
      <w:r w:rsidR="009D347E">
        <w:t xml:space="preserve"> HERDC specifications for the collection of </w:t>
      </w:r>
      <w:r w:rsidR="002219F1">
        <w:t xml:space="preserve">2024 </w:t>
      </w:r>
      <w:r w:rsidR="009D347E">
        <w:t>data</w:t>
      </w:r>
      <w:r>
        <w:t>.</w:t>
      </w:r>
    </w:p>
    <w:p w14:paraId="6B9F8CC3" w14:textId="77777777" w:rsidR="00107D87" w:rsidRDefault="00107D87" w:rsidP="0017134D">
      <w:pPr>
        <w:sectPr w:rsidR="00107D87">
          <w:pgSz w:w="11906" w:h="16838"/>
          <w:pgMar w:top="1440" w:right="1440" w:bottom="1440" w:left="1440" w:header="708" w:footer="708" w:gutter="0"/>
          <w:cols w:space="708"/>
          <w:docGrid w:linePitch="360"/>
        </w:sectPr>
      </w:pPr>
    </w:p>
    <w:p w14:paraId="4CCE29C4" w14:textId="35452D8F" w:rsidR="00AF1F18" w:rsidRPr="009D347E" w:rsidRDefault="00AF1F18" w:rsidP="009D347E">
      <w:pPr>
        <w:rPr>
          <w:b/>
          <w:bCs/>
          <w:sz w:val="32"/>
          <w:szCs w:val="32"/>
        </w:rPr>
      </w:pPr>
      <w:r w:rsidRPr="009D347E">
        <w:rPr>
          <w:b/>
          <w:bCs/>
          <w:sz w:val="32"/>
          <w:szCs w:val="32"/>
        </w:rPr>
        <w:lastRenderedPageBreak/>
        <w:t>Contents</w:t>
      </w:r>
    </w:p>
    <w:p w14:paraId="2D5B25E6" w14:textId="60BEB497" w:rsidR="00001BFF" w:rsidRDefault="00BF4492">
      <w:pPr>
        <w:pStyle w:val="TOC1"/>
        <w:rPr>
          <w:rFonts w:eastAsiaTheme="minorEastAsia"/>
          <w:noProof/>
          <w:kern w:val="2"/>
          <w:sz w:val="24"/>
          <w:szCs w:val="24"/>
          <w:lang w:eastAsia="en-AU"/>
          <w14:ligatures w14:val="standardContextual"/>
        </w:rPr>
      </w:pPr>
      <w:r>
        <w:fldChar w:fldCharType="begin"/>
      </w:r>
      <w:r>
        <w:instrText xml:space="preserve"> TOC \o "1-1" \h \z \t "Heading 2,2,Heading 3,3,Caption 1 Tree,3" </w:instrText>
      </w:r>
      <w:r>
        <w:fldChar w:fldCharType="separate"/>
      </w:r>
      <w:hyperlink w:anchor="_Toc185251805" w:history="1">
        <w:r w:rsidR="00001BFF" w:rsidRPr="008A0DDD">
          <w:rPr>
            <w:rStyle w:val="Hyperlink"/>
            <w:noProof/>
          </w:rPr>
          <w:t>1</w:t>
        </w:r>
        <w:r w:rsidR="00001BFF">
          <w:rPr>
            <w:rFonts w:eastAsiaTheme="minorEastAsia"/>
            <w:noProof/>
            <w:kern w:val="2"/>
            <w:sz w:val="24"/>
            <w:szCs w:val="24"/>
            <w:lang w:eastAsia="en-AU"/>
            <w14:ligatures w14:val="standardContextual"/>
          </w:rPr>
          <w:tab/>
        </w:r>
        <w:r w:rsidR="00001BFF" w:rsidRPr="008A0DDD">
          <w:rPr>
            <w:rStyle w:val="Hyperlink"/>
            <w:noProof/>
          </w:rPr>
          <w:t>Higher Education Research Data Collection (HERDC) specifications – updates to note</w:t>
        </w:r>
        <w:r w:rsidR="00001BFF">
          <w:rPr>
            <w:noProof/>
            <w:webHidden/>
          </w:rPr>
          <w:tab/>
        </w:r>
        <w:r w:rsidR="00001BFF">
          <w:rPr>
            <w:noProof/>
            <w:webHidden/>
          </w:rPr>
          <w:fldChar w:fldCharType="begin"/>
        </w:r>
        <w:r w:rsidR="00001BFF">
          <w:rPr>
            <w:noProof/>
            <w:webHidden/>
          </w:rPr>
          <w:instrText xml:space="preserve"> PAGEREF _Toc185251805 \h </w:instrText>
        </w:r>
        <w:r w:rsidR="00001BFF">
          <w:rPr>
            <w:noProof/>
            <w:webHidden/>
          </w:rPr>
        </w:r>
        <w:r w:rsidR="00001BFF">
          <w:rPr>
            <w:noProof/>
            <w:webHidden/>
          </w:rPr>
          <w:fldChar w:fldCharType="separate"/>
        </w:r>
        <w:r w:rsidR="00A62805">
          <w:rPr>
            <w:noProof/>
            <w:webHidden/>
          </w:rPr>
          <w:t>5</w:t>
        </w:r>
        <w:r w:rsidR="00001BFF">
          <w:rPr>
            <w:noProof/>
            <w:webHidden/>
          </w:rPr>
          <w:fldChar w:fldCharType="end"/>
        </w:r>
      </w:hyperlink>
    </w:p>
    <w:p w14:paraId="1CC9C1DF" w14:textId="11A06007" w:rsidR="00001BFF" w:rsidRDefault="00001BFF">
      <w:pPr>
        <w:pStyle w:val="TOC1"/>
        <w:rPr>
          <w:rFonts w:eastAsiaTheme="minorEastAsia"/>
          <w:noProof/>
          <w:kern w:val="2"/>
          <w:sz w:val="24"/>
          <w:szCs w:val="24"/>
          <w:lang w:eastAsia="en-AU"/>
          <w14:ligatures w14:val="standardContextual"/>
        </w:rPr>
      </w:pPr>
      <w:hyperlink w:anchor="_Toc185251806" w:history="1">
        <w:r w:rsidRPr="008A0DDD">
          <w:rPr>
            <w:rStyle w:val="Hyperlink"/>
            <w:noProof/>
          </w:rPr>
          <w:t>2</w:t>
        </w:r>
        <w:r>
          <w:rPr>
            <w:rFonts w:eastAsiaTheme="minorEastAsia"/>
            <w:noProof/>
            <w:kern w:val="2"/>
            <w:sz w:val="24"/>
            <w:szCs w:val="24"/>
            <w:lang w:eastAsia="en-AU"/>
            <w14:ligatures w14:val="standardContextual"/>
          </w:rPr>
          <w:tab/>
        </w:r>
        <w:r w:rsidRPr="008A0DDD">
          <w:rPr>
            <w:rStyle w:val="Hyperlink"/>
            <w:noProof/>
          </w:rPr>
          <w:t>Introduction</w:t>
        </w:r>
        <w:r>
          <w:rPr>
            <w:noProof/>
            <w:webHidden/>
          </w:rPr>
          <w:tab/>
        </w:r>
        <w:r>
          <w:rPr>
            <w:noProof/>
            <w:webHidden/>
          </w:rPr>
          <w:fldChar w:fldCharType="begin"/>
        </w:r>
        <w:r>
          <w:rPr>
            <w:noProof/>
            <w:webHidden/>
          </w:rPr>
          <w:instrText xml:space="preserve"> PAGEREF _Toc185251806 \h </w:instrText>
        </w:r>
        <w:r>
          <w:rPr>
            <w:noProof/>
            <w:webHidden/>
          </w:rPr>
        </w:r>
        <w:r>
          <w:rPr>
            <w:noProof/>
            <w:webHidden/>
          </w:rPr>
          <w:fldChar w:fldCharType="separate"/>
        </w:r>
        <w:r w:rsidR="00A62805">
          <w:rPr>
            <w:noProof/>
            <w:webHidden/>
          </w:rPr>
          <w:t>7</w:t>
        </w:r>
        <w:r>
          <w:rPr>
            <w:noProof/>
            <w:webHidden/>
          </w:rPr>
          <w:fldChar w:fldCharType="end"/>
        </w:r>
      </w:hyperlink>
    </w:p>
    <w:p w14:paraId="031F4F46" w14:textId="55F62165" w:rsidR="00001BFF" w:rsidRDefault="00001BFF">
      <w:pPr>
        <w:pStyle w:val="TOC2"/>
        <w:tabs>
          <w:tab w:val="left" w:pos="880"/>
          <w:tab w:val="right" w:leader="dot" w:pos="9016"/>
        </w:tabs>
        <w:rPr>
          <w:rFonts w:eastAsiaTheme="minorEastAsia"/>
          <w:noProof/>
          <w:kern w:val="2"/>
          <w:sz w:val="24"/>
          <w:szCs w:val="24"/>
          <w:lang w:eastAsia="en-AU"/>
          <w14:ligatures w14:val="standardContextual"/>
        </w:rPr>
      </w:pPr>
      <w:hyperlink w:anchor="_Toc185251807" w:history="1">
        <w:r w:rsidRPr="008A0DDD">
          <w:rPr>
            <w:rStyle w:val="Hyperlink"/>
            <w:noProof/>
          </w:rPr>
          <w:t>2.1</w:t>
        </w:r>
        <w:r>
          <w:rPr>
            <w:rFonts w:eastAsiaTheme="minorEastAsia"/>
            <w:noProof/>
            <w:kern w:val="2"/>
            <w:sz w:val="24"/>
            <w:szCs w:val="24"/>
            <w:lang w:eastAsia="en-AU"/>
            <w14:ligatures w14:val="standardContextual"/>
          </w:rPr>
          <w:tab/>
        </w:r>
        <w:r w:rsidRPr="008A0DDD">
          <w:rPr>
            <w:rStyle w:val="Hyperlink"/>
            <w:noProof/>
          </w:rPr>
          <w:t>Purpose</w:t>
        </w:r>
        <w:r>
          <w:rPr>
            <w:noProof/>
            <w:webHidden/>
          </w:rPr>
          <w:tab/>
        </w:r>
        <w:r>
          <w:rPr>
            <w:noProof/>
            <w:webHidden/>
          </w:rPr>
          <w:fldChar w:fldCharType="begin"/>
        </w:r>
        <w:r>
          <w:rPr>
            <w:noProof/>
            <w:webHidden/>
          </w:rPr>
          <w:instrText xml:space="preserve"> PAGEREF _Toc185251807 \h </w:instrText>
        </w:r>
        <w:r>
          <w:rPr>
            <w:noProof/>
            <w:webHidden/>
          </w:rPr>
        </w:r>
        <w:r>
          <w:rPr>
            <w:noProof/>
            <w:webHidden/>
          </w:rPr>
          <w:fldChar w:fldCharType="separate"/>
        </w:r>
        <w:r w:rsidR="00A62805">
          <w:rPr>
            <w:noProof/>
            <w:webHidden/>
          </w:rPr>
          <w:t>7</w:t>
        </w:r>
        <w:r>
          <w:rPr>
            <w:noProof/>
            <w:webHidden/>
          </w:rPr>
          <w:fldChar w:fldCharType="end"/>
        </w:r>
      </w:hyperlink>
    </w:p>
    <w:p w14:paraId="6330D9F0" w14:textId="7078BAC1" w:rsidR="00001BFF" w:rsidRDefault="00001BFF">
      <w:pPr>
        <w:pStyle w:val="TOC2"/>
        <w:tabs>
          <w:tab w:val="left" w:pos="880"/>
          <w:tab w:val="right" w:leader="dot" w:pos="9016"/>
        </w:tabs>
        <w:rPr>
          <w:rFonts w:eastAsiaTheme="minorEastAsia"/>
          <w:noProof/>
          <w:kern w:val="2"/>
          <w:sz w:val="24"/>
          <w:szCs w:val="24"/>
          <w:lang w:eastAsia="en-AU"/>
          <w14:ligatures w14:val="standardContextual"/>
        </w:rPr>
      </w:pPr>
      <w:hyperlink w:anchor="_Toc185251808" w:history="1">
        <w:r w:rsidRPr="008A0DDD">
          <w:rPr>
            <w:rStyle w:val="Hyperlink"/>
            <w:noProof/>
          </w:rPr>
          <w:t>2.2</w:t>
        </w:r>
        <w:r>
          <w:rPr>
            <w:rFonts w:eastAsiaTheme="minorEastAsia"/>
            <w:noProof/>
            <w:kern w:val="2"/>
            <w:sz w:val="24"/>
            <w:szCs w:val="24"/>
            <w:lang w:eastAsia="en-AU"/>
            <w14:ligatures w14:val="standardContextual"/>
          </w:rPr>
          <w:tab/>
        </w:r>
        <w:r w:rsidRPr="008A0DDD">
          <w:rPr>
            <w:rStyle w:val="Hyperlink"/>
            <w:noProof/>
          </w:rPr>
          <w:t>Use of data</w:t>
        </w:r>
        <w:r>
          <w:rPr>
            <w:noProof/>
            <w:webHidden/>
          </w:rPr>
          <w:tab/>
        </w:r>
        <w:r>
          <w:rPr>
            <w:noProof/>
            <w:webHidden/>
          </w:rPr>
          <w:fldChar w:fldCharType="begin"/>
        </w:r>
        <w:r>
          <w:rPr>
            <w:noProof/>
            <w:webHidden/>
          </w:rPr>
          <w:instrText xml:space="preserve"> PAGEREF _Toc185251808 \h </w:instrText>
        </w:r>
        <w:r>
          <w:rPr>
            <w:noProof/>
            <w:webHidden/>
          </w:rPr>
        </w:r>
        <w:r>
          <w:rPr>
            <w:noProof/>
            <w:webHidden/>
          </w:rPr>
          <w:fldChar w:fldCharType="separate"/>
        </w:r>
        <w:r w:rsidR="00A62805">
          <w:rPr>
            <w:noProof/>
            <w:webHidden/>
          </w:rPr>
          <w:t>7</w:t>
        </w:r>
        <w:r>
          <w:rPr>
            <w:noProof/>
            <w:webHidden/>
          </w:rPr>
          <w:fldChar w:fldCharType="end"/>
        </w:r>
      </w:hyperlink>
    </w:p>
    <w:p w14:paraId="6425BE27" w14:textId="6807A024" w:rsidR="00001BFF" w:rsidRDefault="00001BFF">
      <w:pPr>
        <w:pStyle w:val="TOC2"/>
        <w:tabs>
          <w:tab w:val="left" w:pos="880"/>
          <w:tab w:val="right" w:leader="dot" w:pos="9016"/>
        </w:tabs>
        <w:rPr>
          <w:rFonts w:eastAsiaTheme="minorEastAsia"/>
          <w:noProof/>
          <w:kern w:val="2"/>
          <w:sz w:val="24"/>
          <w:szCs w:val="24"/>
          <w:lang w:eastAsia="en-AU"/>
          <w14:ligatures w14:val="standardContextual"/>
        </w:rPr>
      </w:pPr>
      <w:hyperlink w:anchor="_Toc185251809" w:history="1">
        <w:r w:rsidRPr="008A0DDD">
          <w:rPr>
            <w:rStyle w:val="Hyperlink"/>
            <w:noProof/>
          </w:rPr>
          <w:t>2.3</w:t>
        </w:r>
        <w:r>
          <w:rPr>
            <w:rFonts w:eastAsiaTheme="minorEastAsia"/>
            <w:noProof/>
            <w:kern w:val="2"/>
            <w:sz w:val="24"/>
            <w:szCs w:val="24"/>
            <w:lang w:eastAsia="en-AU"/>
            <w14:ligatures w14:val="standardContextual"/>
          </w:rPr>
          <w:tab/>
        </w:r>
        <w:r w:rsidRPr="008A0DDD">
          <w:rPr>
            <w:rStyle w:val="Hyperlink"/>
            <w:noProof/>
          </w:rPr>
          <w:t>Use of funding</w:t>
        </w:r>
        <w:r>
          <w:rPr>
            <w:noProof/>
            <w:webHidden/>
          </w:rPr>
          <w:tab/>
        </w:r>
        <w:r>
          <w:rPr>
            <w:noProof/>
            <w:webHidden/>
          </w:rPr>
          <w:fldChar w:fldCharType="begin"/>
        </w:r>
        <w:r>
          <w:rPr>
            <w:noProof/>
            <w:webHidden/>
          </w:rPr>
          <w:instrText xml:space="preserve"> PAGEREF _Toc185251809 \h </w:instrText>
        </w:r>
        <w:r>
          <w:rPr>
            <w:noProof/>
            <w:webHidden/>
          </w:rPr>
        </w:r>
        <w:r>
          <w:rPr>
            <w:noProof/>
            <w:webHidden/>
          </w:rPr>
          <w:fldChar w:fldCharType="separate"/>
        </w:r>
        <w:r w:rsidR="00A62805">
          <w:rPr>
            <w:noProof/>
            <w:webHidden/>
          </w:rPr>
          <w:t>7</w:t>
        </w:r>
        <w:r>
          <w:rPr>
            <w:noProof/>
            <w:webHidden/>
          </w:rPr>
          <w:fldChar w:fldCharType="end"/>
        </w:r>
      </w:hyperlink>
    </w:p>
    <w:p w14:paraId="16FCD994" w14:textId="5626C346" w:rsidR="00001BFF" w:rsidRDefault="00001BFF">
      <w:pPr>
        <w:pStyle w:val="TOC2"/>
        <w:tabs>
          <w:tab w:val="left" w:pos="880"/>
          <w:tab w:val="right" w:leader="dot" w:pos="9016"/>
        </w:tabs>
        <w:rPr>
          <w:rFonts w:eastAsiaTheme="minorEastAsia"/>
          <w:noProof/>
          <w:kern w:val="2"/>
          <w:sz w:val="24"/>
          <w:szCs w:val="24"/>
          <w:lang w:eastAsia="en-AU"/>
          <w14:ligatures w14:val="standardContextual"/>
        </w:rPr>
      </w:pPr>
      <w:hyperlink w:anchor="_Toc185251810" w:history="1">
        <w:r w:rsidRPr="008A0DDD">
          <w:rPr>
            <w:rStyle w:val="Hyperlink"/>
            <w:noProof/>
          </w:rPr>
          <w:t>2.4</w:t>
        </w:r>
        <w:r>
          <w:rPr>
            <w:rFonts w:eastAsiaTheme="minorEastAsia"/>
            <w:noProof/>
            <w:kern w:val="2"/>
            <w:sz w:val="24"/>
            <w:szCs w:val="24"/>
            <w:lang w:eastAsia="en-AU"/>
            <w14:ligatures w14:val="standardContextual"/>
          </w:rPr>
          <w:tab/>
        </w:r>
        <w:r w:rsidRPr="008A0DDD">
          <w:rPr>
            <w:rStyle w:val="Hyperlink"/>
            <w:noProof/>
          </w:rPr>
          <w:t>Information to be submitted</w:t>
        </w:r>
        <w:r>
          <w:rPr>
            <w:noProof/>
            <w:webHidden/>
          </w:rPr>
          <w:tab/>
        </w:r>
        <w:r>
          <w:rPr>
            <w:noProof/>
            <w:webHidden/>
          </w:rPr>
          <w:fldChar w:fldCharType="begin"/>
        </w:r>
        <w:r>
          <w:rPr>
            <w:noProof/>
            <w:webHidden/>
          </w:rPr>
          <w:instrText xml:space="preserve"> PAGEREF _Toc185251810 \h </w:instrText>
        </w:r>
        <w:r>
          <w:rPr>
            <w:noProof/>
            <w:webHidden/>
          </w:rPr>
        </w:r>
        <w:r>
          <w:rPr>
            <w:noProof/>
            <w:webHidden/>
          </w:rPr>
          <w:fldChar w:fldCharType="separate"/>
        </w:r>
        <w:r w:rsidR="00A62805">
          <w:rPr>
            <w:noProof/>
            <w:webHidden/>
          </w:rPr>
          <w:t>8</w:t>
        </w:r>
        <w:r>
          <w:rPr>
            <w:noProof/>
            <w:webHidden/>
          </w:rPr>
          <w:fldChar w:fldCharType="end"/>
        </w:r>
      </w:hyperlink>
    </w:p>
    <w:p w14:paraId="7D33BC75" w14:textId="2A1B30A5" w:rsidR="00001BFF" w:rsidRDefault="00001BFF">
      <w:pPr>
        <w:pStyle w:val="TOC3"/>
        <w:tabs>
          <w:tab w:val="left" w:pos="1200"/>
          <w:tab w:val="right" w:leader="dot" w:pos="9016"/>
        </w:tabs>
        <w:rPr>
          <w:rFonts w:eastAsiaTheme="minorEastAsia"/>
          <w:noProof/>
          <w:kern w:val="2"/>
          <w:sz w:val="24"/>
          <w:szCs w:val="24"/>
          <w:lang w:eastAsia="en-AU"/>
          <w14:ligatures w14:val="standardContextual"/>
        </w:rPr>
      </w:pPr>
      <w:hyperlink w:anchor="_Toc185251811" w:history="1">
        <w:r w:rsidRPr="008A0DDD">
          <w:rPr>
            <w:rStyle w:val="Hyperlink"/>
            <w:noProof/>
          </w:rPr>
          <w:t>2.4.1</w:t>
        </w:r>
        <w:r>
          <w:rPr>
            <w:rFonts w:eastAsiaTheme="minorEastAsia"/>
            <w:noProof/>
            <w:kern w:val="2"/>
            <w:sz w:val="24"/>
            <w:szCs w:val="24"/>
            <w:lang w:eastAsia="en-AU"/>
            <w14:ligatures w14:val="standardContextual"/>
          </w:rPr>
          <w:tab/>
        </w:r>
        <w:r w:rsidRPr="008A0DDD">
          <w:rPr>
            <w:rStyle w:val="Hyperlink"/>
            <w:noProof/>
          </w:rPr>
          <w:t>R&amp;D income return</w:t>
        </w:r>
        <w:r>
          <w:rPr>
            <w:noProof/>
            <w:webHidden/>
          </w:rPr>
          <w:tab/>
        </w:r>
        <w:r>
          <w:rPr>
            <w:noProof/>
            <w:webHidden/>
          </w:rPr>
          <w:fldChar w:fldCharType="begin"/>
        </w:r>
        <w:r>
          <w:rPr>
            <w:noProof/>
            <w:webHidden/>
          </w:rPr>
          <w:instrText xml:space="preserve"> PAGEREF _Toc185251811 \h </w:instrText>
        </w:r>
        <w:r>
          <w:rPr>
            <w:noProof/>
            <w:webHidden/>
          </w:rPr>
        </w:r>
        <w:r>
          <w:rPr>
            <w:noProof/>
            <w:webHidden/>
          </w:rPr>
          <w:fldChar w:fldCharType="separate"/>
        </w:r>
        <w:r w:rsidR="00A62805">
          <w:rPr>
            <w:noProof/>
            <w:webHidden/>
          </w:rPr>
          <w:t>8</w:t>
        </w:r>
        <w:r>
          <w:rPr>
            <w:noProof/>
            <w:webHidden/>
          </w:rPr>
          <w:fldChar w:fldCharType="end"/>
        </w:r>
      </w:hyperlink>
    </w:p>
    <w:p w14:paraId="44D1CF76" w14:textId="7947310C" w:rsidR="00001BFF" w:rsidRDefault="00001BFF">
      <w:pPr>
        <w:pStyle w:val="TOC3"/>
        <w:tabs>
          <w:tab w:val="left" w:pos="1200"/>
          <w:tab w:val="right" w:leader="dot" w:pos="9016"/>
        </w:tabs>
        <w:rPr>
          <w:rFonts w:eastAsiaTheme="minorEastAsia"/>
          <w:noProof/>
          <w:kern w:val="2"/>
          <w:sz w:val="24"/>
          <w:szCs w:val="24"/>
          <w:lang w:eastAsia="en-AU"/>
          <w14:ligatures w14:val="standardContextual"/>
        </w:rPr>
      </w:pPr>
      <w:hyperlink w:anchor="_Toc185251812" w:history="1">
        <w:r w:rsidRPr="008A0DDD">
          <w:rPr>
            <w:rStyle w:val="Hyperlink"/>
            <w:noProof/>
          </w:rPr>
          <w:t>2.4.2</w:t>
        </w:r>
        <w:r>
          <w:rPr>
            <w:rFonts w:eastAsiaTheme="minorEastAsia"/>
            <w:noProof/>
            <w:kern w:val="2"/>
            <w:sz w:val="24"/>
            <w:szCs w:val="24"/>
            <w:lang w:eastAsia="en-AU"/>
            <w14:ligatures w14:val="standardContextual"/>
          </w:rPr>
          <w:tab/>
        </w:r>
        <w:r w:rsidRPr="008A0DDD">
          <w:rPr>
            <w:rStyle w:val="Hyperlink"/>
            <w:noProof/>
          </w:rPr>
          <w:t>Vice-Chancellor certification</w:t>
        </w:r>
        <w:r>
          <w:rPr>
            <w:noProof/>
            <w:webHidden/>
          </w:rPr>
          <w:tab/>
        </w:r>
        <w:r>
          <w:rPr>
            <w:noProof/>
            <w:webHidden/>
          </w:rPr>
          <w:fldChar w:fldCharType="begin"/>
        </w:r>
        <w:r>
          <w:rPr>
            <w:noProof/>
            <w:webHidden/>
          </w:rPr>
          <w:instrText xml:space="preserve"> PAGEREF _Toc185251812 \h </w:instrText>
        </w:r>
        <w:r>
          <w:rPr>
            <w:noProof/>
            <w:webHidden/>
          </w:rPr>
        </w:r>
        <w:r>
          <w:rPr>
            <w:noProof/>
            <w:webHidden/>
          </w:rPr>
          <w:fldChar w:fldCharType="separate"/>
        </w:r>
        <w:r w:rsidR="00A62805">
          <w:rPr>
            <w:noProof/>
            <w:webHidden/>
          </w:rPr>
          <w:t>8</w:t>
        </w:r>
        <w:r>
          <w:rPr>
            <w:noProof/>
            <w:webHidden/>
          </w:rPr>
          <w:fldChar w:fldCharType="end"/>
        </w:r>
      </w:hyperlink>
    </w:p>
    <w:p w14:paraId="4010BE8E" w14:textId="76BAD3A1" w:rsidR="00001BFF" w:rsidRDefault="00001BFF">
      <w:pPr>
        <w:pStyle w:val="TOC3"/>
        <w:tabs>
          <w:tab w:val="left" w:pos="1200"/>
          <w:tab w:val="right" w:leader="dot" w:pos="9016"/>
        </w:tabs>
        <w:rPr>
          <w:rFonts w:eastAsiaTheme="minorEastAsia"/>
          <w:noProof/>
          <w:kern w:val="2"/>
          <w:sz w:val="24"/>
          <w:szCs w:val="24"/>
          <w:lang w:eastAsia="en-AU"/>
          <w14:ligatures w14:val="standardContextual"/>
        </w:rPr>
      </w:pPr>
      <w:hyperlink w:anchor="_Toc185251813" w:history="1">
        <w:r w:rsidRPr="008A0DDD">
          <w:rPr>
            <w:rStyle w:val="Hyperlink"/>
            <w:noProof/>
          </w:rPr>
          <w:t>2.4.3</w:t>
        </w:r>
        <w:r>
          <w:rPr>
            <w:rFonts w:eastAsiaTheme="minorEastAsia"/>
            <w:noProof/>
            <w:kern w:val="2"/>
            <w:sz w:val="24"/>
            <w:szCs w:val="24"/>
            <w:lang w:eastAsia="en-AU"/>
            <w14:ligatures w14:val="standardContextual"/>
          </w:rPr>
          <w:tab/>
        </w:r>
        <w:r w:rsidRPr="008A0DDD">
          <w:rPr>
            <w:rStyle w:val="Hyperlink"/>
            <w:noProof/>
          </w:rPr>
          <w:t>Audit report</w:t>
        </w:r>
        <w:r>
          <w:rPr>
            <w:noProof/>
            <w:webHidden/>
          </w:rPr>
          <w:tab/>
        </w:r>
        <w:r>
          <w:rPr>
            <w:noProof/>
            <w:webHidden/>
          </w:rPr>
          <w:fldChar w:fldCharType="begin"/>
        </w:r>
        <w:r>
          <w:rPr>
            <w:noProof/>
            <w:webHidden/>
          </w:rPr>
          <w:instrText xml:space="preserve"> PAGEREF _Toc185251813 \h </w:instrText>
        </w:r>
        <w:r>
          <w:rPr>
            <w:noProof/>
            <w:webHidden/>
          </w:rPr>
        </w:r>
        <w:r>
          <w:rPr>
            <w:noProof/>
            <w:webHidden/>
          </w:rPr>
          <w:fldChar w:fldCharType="separate"/>
        </w:r>
        <w:r w:rsidR="00A62805">
          <w:rPr>
            <w:noProof/>
            <w:webHidden/>
          </w:rPr>
          <w:t>8</w:t>
        </w:r>
        <w:r>
          <w:rPr>
            <w:noProof/>
            <w:webHidden/>
          </w:rPr>
          <w:fldChar w:fldCharType="end"/>
        </w:r>
      </w:hyperlink>
    </w:p>
    <w:p w14:paraId="5D6B1B83" w14:textId="0B709EC8" w:rsidR="00001BFF" w:rsidRDefault="00001BFF">
      <w:pPr>
        <w:pStyle w:val="TOC2"/>
        <w:tabs>
          <w:tab w:val="left" w:pos="880"/>
          <w:tab w:val="right" w:leader="dot" w:pos="9016"/>
        </w:tabs>
        <w:rPr>
          <w:rFonts w:eastAsiaTheme="minorEastAsia"/>
          <w:noProof/>
          <w:kern w:val="2"/>
          <w:sz w:val="24"/>
          <w:szCs w:val="24"/>
          <w:lang w:eastAsia="en-AU"/>
          <w14:ligatures w14:val="standardContextual"/>
        </w:rPr>
      </w:pPr>
      <w:hyperlink w:anchor="_Toc185251814" w:history="1">
        <w:r w:rsidRPr="008A0DDD">
          <w:rPr>
            <w:rStyle w:val="Hyperlink"/>
            <w:noProof/>
          </w:rPr>
          <w:t>2.5</w:t>
        </w:r>
        <w:r>
          <w:rPr>
            <w:rFonts w:eastAsiaTheme="minorEastAsia"/>
            <w:noProof/>
            <w:kern w:val="2"/>
            <w:sz w:val="24"/>
            <w:szCs w:val="24"/>
            <w:lang w:eastAsia="en-AU"/>
            <w14:ligatures w14:val="standardContextual"/>
          </w:rPr>
          <w:tab/>
        </w:r>
        <w:r w:rsidRPr="008A0DDD">
          <w:rPr>
            <w:rStyle w:val="Hyperlink"/>
            <w:noProof/>
          </w:rPr>
          <w:t>Related documents</w:t>
        </w:r>
        <w:r>
          <w:rPr>
            <w:noProof/>
            <w:webHidden/>
          </w:rPr>
          <w:tab/>
        </w:r>
        <w:r>
          <w:rPr>
            <w:noProof/>
            <w:webHidden/>
          </w:rPr>
          <w:fldChar w:fldCharType="begin"/>
        </w:r>
        <w:r>
          <w:rPr>
            <w:noProof/>
            <w:webHidden/>
          </w:rPr>
          <w:instrText xml:space="preserve"> PAGEREF _Toc185251814 \h </w:instrText>
        </w:r>
        <w:r>
          <w:rPr>
            <w:noProof/>
            <w:webHidden/>
          </w:rPr>
        </w:r>
        <w:r>
          <w:rPr>
            <w:noProof/>
            <w:webHidden/>
          </w:rPr>
          <w:fldChar w:fldCharType="separate"/>
        </w:r>
        <w:r w:rsidR="00A62805">
          <w:rPr>
            <w:noProof/>
            <w:webHidden/>
          </w:rPr>
          <w:t>8</w:t>
        </w:r>
        <w:r>
          <w:rPr>
            <w:noProof/>
            <w:webHidden/>
          </w:rPr>
          <w:fldChar w:fldCharType="end"/>
        </w:r>
      </w:hyperlink>
    </w:p>
    <w:p w14:paraId="710B46D4" w14:textId="51AAEE55" w:rsidR="00001BFF" w:rsidRDefault="00001BFF">
      <w:pPr>
        <w:pStyle w:val="TOC2"/>
        <w:tabs>
          <w:tab w:val="left" w:pos="880"/>
          <w:tab w:val="right" w:leader="dot" w:pos="9016"/>
        </w:tabs>
        <w:rPr>
          <w:rFonts w:eastAsiaTheme="minorEastAsia"/>
          <w:noProof/>
          <w:kern w:val="2"/>
          <w:sz w:val="24"/>
          <w:szCs w:val="24"/>
          <w:lang w:eastAsia="en-AU"/>
          <w14:ligatures w14:val="standardContextual"/>
        </w:rPr>
      </w:pPr>
      <w:hyperlink w:anchor="_Toc185251815" w:history="1">
        <w:r w:rsidRPr="008A0DDD">
          <w:rPr>
            <w:rStyle w:val="Hyperlink"/>
            <w:noProof/>
          </w:rPr>
          <w:t>2.6</w:t>
        </w:r>
        <w:r>
          <w:rPr>
            <w:rFonts w:eastAsiaTheme="minorEastAsia"/>
            <w:noProof/>
            <w:kern w:val="2"/>
            <w:sz w:val="24"/>
            <w:szCs w:val="24"/>
            <w:lang w:eastAsia="en-AU"/>
            <w14:ligatures w14:val="standardContextual"/>
          </w:rPr>
          <w:tab/>
        </w:r>
        <w:r w:rsidRPr="008A0DDD">
          <w:rPr>
            <w:rStyle w:val="Hyperlink"/>
            <w:noProof/>
          </w:rPr>
          <w:t>Freedom of Information Act 1982</w:t>
        </w:r>
        <w:r>
          <w:rPr>
            <w:noProof/>
            <w:webHidden/>
          </w:rPr>
          <w:tab/>
        </w:r>
        <w:r>
          <w:rPr>
            <w:noProof/>
            <w:webHidden/>
          </w:rPr>
          <w:fldChar w:fldCharType="begin"/>
        </w:r>
        <w:r>
          <w:rPr>
            <w:noProof/>
            <w:webHidden/>
          </w:rPr>
          <w:instrText xml:space="preserve"> PAGEREF _Toc185251815 \h </w:instrText>
        </w:r>
        <w:r>
          <w:rPr>
            <w:noProof/>
            <w:webHidden/>
          </w:rPr>
        </w:r>
        <w:r>
          <w:rPr>
            <w:noProof/>
            <w:webHidden/>
          </w:rPr>
          <w:fldChar w:fldCharType="separate"/>
        </w:r>
        <w:r w:rsidR="00A62805">
          <w:rPr>
            <w:noProof/>
            <w:webHidden/>
          </w:rPr>
          <w:t>9</w:t>
        </w:r>
        <w:r>
          <w:rPr>
            <w:noProof/>
            <w:webHidden/>
          </w:rPr>
          <w:fldChar w:fldCharType="end"/>
        </w:r>
      </w:hyperlink>
    </w:p>
    <w:p w14:paraId="58A935D7" w14:textId="2429AEEE" w:rsidR="00001BFF" w:rsidRDefault="00001BFF">
      <w:pPr>
        <w:pStyle w:val="TOC2"/>
        <w:tabs>
          <w:tab w:val="left" w:pos="880"/>
          <w:tab w:val="right" w:leader="dot" w:pos="9016"/>
        </w:tabs>
        <w:rPr>
          <w:rFonts w:eastAsiaTheme="minorEastAsia"/>
          <w:noProof/>
          <w:kern w:val="2"/>
          <w:sz w:val="24"/>
          <w:szCs w:val="24"/>
          <w:lang w:eastAsia="en-AU"/>
          <w14:ligatures w14:val="standardContextual"/>
        </w:rPr>
      </w:pPr>
      <w:hyperlink w:anchor="_Toc185251816" w:history="1">
        <w:r w:rsidRPr="008A0DDD">
          <w:rPr>
            <w:rStyle w:val="Hyperlink"/>
            <w:noProof/>
          </w:rPr>
          <w:t>2.7</w:t>
        </w:r>
        <w:r>
          <w:rPr>
            <w:rFonts w:eastAsiaTheme="minorEastAsia"/>
            <w:noProof/>
            <w:kern w:val="2"/>
            <w:sz w:val="24"/>
            <w:szCs w:val="24"/>
            <w:lang w:eastAsia="en-AU"/>
            <w14:ligatures w14:val="standardContextual"/>
          </w:rPr>
          <w:tab/>
        </w:r>
        <w:r w:rsidRPr="008A0DDD">
          <w:rPr>
            <w:rStyle w:val="Hyperlink"/>
            <w:noProof/>
          </w:rPr>
          <w:t>Verification material</w:t>
        </w:r>
        <w:r>
          <w:rPr>
            <w:noProof/>
            <w:webHidden/>
          </w:rPr>
          <w:tab/>
        </w:r>
        <w:r>
          <w:rPr>
            <w:noProof/>
            <w:webHidden/>
          </w:rPr>
          <w:fldChar w:fldCharType="begin"/>
        </w:r>
        <w:r>
          <w:rPr>
            <w:noProof/>
            <w:webHidden/>
          </w:rPr>
          <w:instrText xml:space="preserve"> PAGEREF _Toc185251816 \h </w:instrText>
        </w:r>
        <w:r>
          <w:rPr>
            <w:noProof/>
            <w:webHidden/>
          </w:rPr>
        </w:r>
        <w:r>
          <w:rPr>
            <w:noProof/>
            <w:webHidden/>
          </w:rPr>
          <w:fldChar w:fldCharType="separate"/>
        </w:r>
        <w:r w:rsidR="00A62805">
          <w:rPr>
            <w:noProof/>
            <w:webHidden/>
          </w:rPr>
          <w:t>9</w:t>
        </w:r>
        <w:r>
          <w:rPr>
            <w:noProof/>
            <w:webHidden/>
          </w:rPr>
          <w:fldChar w:fldCharType="end"/>
        </w:r>
      </w:hyperlink>
    </w:p>
    <w:p w14:paraId="6E8358A3" w14:textId="27EDD6C6" w:rsidR="00001BFF" w:rsidRDefault="00001BFF">
      <w:pPr>
        <w:pStyle w:val="TOC2"/>
        <w:tabs>
          <w:tab w:val="left" w:pos="880"/>
          <w:tab w:val="right" w:leader="dot" w:pos="9016"/>
        </w:tabs>
        <w:rPr>
          <w:rFonts w:eastAsiaTheme="minorEastAsia"/>
          <w:noProof/>
          <w:kern w:val="2"/>
          <w:sz w:val="24"/>
          <w:szCs w:val="24"/>
          <w:lang w:eastAsia="en-AU"/>
          <w14:ligatures w14:val="standardContextual"/>
        </w:rPr>
      </w:pPr>
      <w:hyperlink w:anchor="_Toc185251817" w:history="1">
        <w:r w:rsidRPr="008A0DDD">
          <w:rPr>
            <w:rStyle w:val="Hyperlink"/>
            <w:noProof/>
          </w:rPr>
          <w:t>2.8</w:t>
        </w:r>
        <w:r>
          <w:rPr>
            <w:rFonts w:eastAsiaTheme="minorEastAsia"/>
            <w:noProof/>
            <w:kern w:val="2"/>
            <w:sz w:val="24"/>
            <w:szCs w:val="24"/>
            <w:lang w:eastAsia="en-AU"/>
            <w14:ligatures w14:val="standardContextual"/>
          </w:rPr>
          <w:tab/>
        </w:r>
        <w:r w:rsidRPr="008A0DDD">
          <w:rPr>
            <w:rStyle w:val="Hyperlink"/>
            <w:noProof/>
          </w:rPr>
          <w:t>Contact details</w:t>
        </w:r>
        <w:r>
          <w:rPr>
            <w:noProof/>
            <w:webHidden/>
          </w:rPr>
          <w:tab/>
        </w:r>
        <w:r>
          <w:rPr>
            <w:noProof/>
            <w:webHidden/>
          </w:rPr>
          <w:fldChar w:fldCharType="begin"/>
        </w:r>
        <w:r>
          <w:rPr>
            <w:noProof/>
            <w:webHidden/>
          </w:rPr>
          <w:instrText xml:space="preserve"> PAGEREF _Toc185251817 \h </w:instrText>
        </w:r>
        <w:r>
          <w:rPr>
            <w:noProof/>
            <w:webHidden/>
          </w:rPr>
        </w:r>
        <w:r>
          <w:rPr>
            <w:noProof/>
            <w:webHidden/>
          </w:rPr>
          <w:fldChar w:fldCharType="separate"/>
        </w:r>
        <w:r w:rsidR="00A62805">
          <w:rPr>
            <w:noProof/>
            <w:webHidden/>
          </w:rPr>
          <w:t>9</w:t>
        </w:r>
        <w:r>
          <w:rPr>
            <w:noProof/>
            <w:webHidden/>
          </w:rPr>
          <w:fldChar w:fldCharType="end"/>
        </w:r>
      </w:hyperlink>
    </w:p>
    <w:p w14:paraId="3FEC55C2" w14:textId="5F30669F" w:rsidR="00001BFF" w:rsidRDefault="00001BFF">
      <w:pPr>
        <w:pStyle w:val="TOC1"/>
        <w:rPr>
          <w:rFonts w:eastAsiaTheme="minorEastAsia"/>
          <w:noProof/>
          <w:kern w:val="2"/>
          <w:sz w:val="24"/>
          <w:szCs w:val="24"/>
          <w:lang w:eastAsia="en-AU"/>
          <w14:ligatures w14:val="standardContextual"/>
        </w:rPr>
      </w:pPr>
      <w:hyperlink w:anchor="_Toc185251818" w:history="1">
        <w:r w:rsidRPr="008A0DDD">
          <w:rPr>
            <w:rStyle w:val="Hyperlink"/>
            <w:noProof/>
          </w:rPr>
          <w:t>3</w:t>
        </w:r>
        <w:r>
          <w:rPr>
            <w:rFonts w:eastAsiaTheme="minorEastAsia"/>
            <w:noProof/>
            <w:kern w:val="2"/>
            <w:sz w:val="24"/>
            <w:szCs w:val="24"/>
            <w:lang w:eastAsia="en-AU"/>
            <w14:ligatures w14:val="standardContextual"/>
          </w:rPr>
          <w:tab/>
        </w:r>
        <w:r w:rsidRPr="008A0DDD">
          <w:rPr>
            <w:rStyle w:val="Hyperlink"/>
            <w:noProof/>
          </w:rPr>
          <w:t>Definition of research and experimental development</w:t>
        </w:r>
        <w:r>
          <w:rPr>
            <w:noProof/>
            <w:webHidden/>
          </w:rPr>
          <w:tab/>
        </w:r>
        <w:r>
          <w:rPr>
            <w:noProof/>
            <w:webHidden/>
          </w:rPr>
          <w:fldChar w:fldCharType="begin"/>
        </w:r>
        <w:r>
          <w:rPr>
            <w:noProof/>
            <w:webHidden/>
          </w:rPr>
          <w:instrText xml:space="preserve"> PAGEREF _Toc185251818 \h </w:instrText>
        </w:r>
        <w:r>
          <w:rPr>
            <w:noProof/>
            <w:webHidden/>
          </w:rPr>
        </w:r>
        <w:r>
          <w:rPr>
            <w:noProof/>
            <w:webHidden/>
          </w:rPr>
          <w:fldChar w:fldCharType="separate"/>
        </w:r>
        <w:r w:rsidR="00A62805">
          <w:rPr>
            <w:noProof/>
            <w:webHidden/>
          </w:rPr>
          <w:t>10</w:t>
        </w:r>
        <w:r>
          <w:rPr>
            <w:noProof/>
            <w:webHidden/>
          </w:rPr>
          <w:fldChar w:fldCharType="end"/>
        </w:r>
      </w:hyperlink>
    </w:p>
    <w:p w14:paraId="68A2C6B8" w14:textId="002FDE0C" w:rsidR="00001BFF" w:rsidRDefault="00001BFF">
      <w:pPr>
        <w:pStyle w:val="TOC2"/>
        <w:tabs>
          <w:tab w:val="left" w:pos="880"/>
          <w:tab w:val="right" w:leader="dot" w:pos="9016"/>
        </w:tabs>
        <w:rPr>
          <w:rFonts w:eastAsiaTheme="minorEastAsia"/>
          <w:noProof/>
          <w:kern w:val="2"/>
          <w:sz w:val="24"/>
          <w:szCs w:val="24"/>
          <w:lang w:eastAsia="en-AU"/>
          <w14:ligatures w14:val="standardContextual"/>
        </w:rPr>
      </w:pPr>
      <w:hyperlink w:anchor="_Toc185251819" w:history="1">
        <w:r w:rsidRPr="008A0DDD">
          <w:rPr>
            <w:rStyle w:val="Hyperlink"/>
            <w:noProof/>
          </w:rPr>
          <w:t>3.1</w:t>
        </w:r>
        <w:r>
          <w:rPr>
            <w:rFonts w:eastAsiaTheme="minorEastAsia"/>
            <w:noProof/>
            <w:kern w:val="2"/>
            <w:sz w:val="24"/>
            <w:szCs w:val="24"/>
            <w:lang w:eastAsia="en-AU"/>
            <w14:ligatures w14:val="standardContextual"/>
          </w:rPr>
          <w:tab/>
        </w:r>
        <w:r w:rsidRPr="008A0DDD">
          <w:rPr>
            <w:rStyle w:val="Hyperlink"/>
            <w:noProof/>
          </w:rPr>
          <w:t>Inclusions and exclusions</w:t>
        </w:r>
        <w:r>
          <w:rPr>
            <w:noProof/>
            <w:webHidden/>
          </w:rPr>
          <w:tab/>
        </w:r>
        <w:r>
          <w:rPr>
            <w:noProof/>
            <w:webHidden/>
          </w:rPr>
          <w:fldChar w:fldCharType="begin"/>
        </w:r>
        <w:r>
          <w:rPr>
            <w:noProof/>
            <w:webHidden/>
          </w:rPr>
          <w:instrText xml:space="preserve"> PAGEREF _Toc185251819 \h </w:instrText>
        </w:r>
        <w:r>
          <w:rPr>
            <w:noProof/>
            <w:webHidden/>
          </w:rPr>
        </w:r>
        <w:r>
          <w:rPr>
            <w:noProof/>
            <w:webHidden/>
          </w:rPr>
          <w:fldChar w:fldCharType="separate"/>
        </w:r>
        <w:r w:rsidR="00A62805">
          <w:rPr>
            <w:noProof/>
            <w:webHidden/>
          </w:rPr>
          <w:t>11</w:t>
        </w:r>
        <w:r>
          <w:rPr>
            <w:noProof/>
            <w:webHidden/>
          </w:rPr>
          <w:fldChar w:fldCharType="end"/>
        </w:r>
      </w:hyperlink>
    </w:p>
    <w:p w14:paraId="47AE797A" w14:textId="32CC6B2E" w:rsidR="00001BFF" w:rsidRDefault="00001BFF">
      <w:pPr>
        <w:pStyle w:val="TOC3"/>
        <w:tabs>
          <w:tab w:val="left" w:pos="1200"/>
          <w:tab w:val="right" w:leader="dot" w:pos="9016"/>
        </w:tabs>
        <w:rPr>
          <w:rFonts w:eastAsiaTheme="minorEastAsia"/>
          <w:noProof/>
          <w:kern w:val="2"/>
          <w:sz w:val="24"/>
          <w:szCs w:val="24"/>
          <w:lang w:eastAsia="en-AU"/>
          <w14:ligatures w14:val="standardContextual"/>
        </w:rPr>
      </w:pPr>
      <w:hyperlink w:anchor="_Toc185251820" w:history="1">
        <w:r w:rsidRPr="008A0DDD">
          <w:rPr>
            <w:rStyle w:val="Hyperlink"/>
            <w:noProof/>
          </w:rPr>
          <w:t>3.1.1</w:t>
        </w:r>
        <w:r>
          <w:rPr>
            <w:rFonts w:eastAsiaTheme="minorEastAsia"/>
            <w:noProof/>
            <w:kern w:val="2"/>
            <w:sz w:val="24"/>
            <w:szCs w:val="24"/>
            <w:lang w:eastAsia="en-AU"/>
            <w14:ligatures w14:val="standardContextual"/>
          </w:rPr>
          <w:tab/>
        </w:r>
        <w:r w:rsidRPr="008A0DDD">
          <w:rPr>
            <w:rStyle w:val="Hyperlink"/>
            <w:noProof/>
          </w:rPr>
          <w:t>Examples of activities that meet the definition of R&amp;D include:</w:t>
        </w:r>
        <w:r>
          <w:rPr>
            <w:noProof/>
            <w:webHidden/>
          </w:rPr>
          <w:tab/>
        </w:r>
        <w:r>
          <w:rPr>
            <w:noProof/>
            <w:webHidden/>
          </w:rPr>
          <w:fldChar w:fldCharType="begin"/>
        </w:r>
        <w:r>
          <w:rPr>
            <w:noProof/>
            <w:webHidden/>
          </w:rPr>
          <w:instrText xml:space="preserve"> PAGEREF _Toc185251820 \h </w:instrText>
        </w:r>
        <w:r>
          <w:rPr>
            <w:noProof/>
            <w:webHidden/>
          </w:rPr>
        </w:r>
        <w:r>
          <w:rPr>
            <w:noProof/>
            <w:webHidden/>
          </w:rPr>
          <w:fldChar w:fldCharType="separate"/>
        </w:r>
        <w:r w:rsidR="00A62805">
          <w:rPr>
            <w:noProof/>
            <w:webHidden/>
          </w:rPr>
          <w:t>11</w:t>
        </w:r>
        <w:r>
          <w:rPr>
            <w:noProof/>
            <w:webHidden/>
          </w:rPr>
          <w:fldChar w:fldCharType="end"/>
        </w:r>
      </w:hyperlink>
    </w:p>
    <w:p w14:paraId="0B772819" w14:textId="7DCDEC42" w:rsidR="00001BFF" w:rsidRDefault="00001BFF">
      <w:pPr>
        <w:pStyle w:val="TOC3"/>
        <w:tabs>
          <w:tab w:val="left" w:pos="1200"/>
          <w:tab w:val="right" w:leader="dot" w:pos="9016"/>
        </w:tabs>
        <w:rPr>
          <w:rFonts w:eastAsiaTheme="minorEastAsia"/>
          <w:noProof/>
          <w:kern w:val="2"/>
          <w:sz w:val="24"/>
          <w:szCs w:val="24"/>
          <w:lang w:eastAsia="en-AU"/>
          <w14:ligatures w14:val="standardContextual"/>
        </w:rPr>
      </w:pPr>
      <w:hyperlink w:anchor="_Toc185251821" w:history="1">
        <w:r w:rsidRPr="008A0DDD">
          <w:rPr>
            <w:rStyle w:val="Hyperlink"/>
            <w:noProof/>
          </w:rPr>
          <w:t>3.1.2</w:t>
        </w:r>
        <w:r>
          <w:rPr>
            <w:rFonts w:eastAsiaTheme="minorEastAsia"/>
            <w:noProof/>
            <w:kern w:val="2"/>
            <w:sz w:val="24"/>
            <w:szCs w:val="24"/>
            <w:lang w:eastAsia="en-AU"/>
            <w14:ligatures w14:val="standardContextual"/>
          </w:rPr>
          <w:tab/>
        </w:r>
        <w:r w:rsidRPr="008A0DDD">
          <w:rPr>
            <w:rStyle w:val="Hyperlink"/>
            <w:noProof/>
          </w:rPr>
          <w:t>Examples of activities that do not meet the definition of R&amp;D include:</w:t>
        </w:r>
        <w:r>
          <w:rPr>
            <w:noProof/>
            <w:webHidden/>
          </w:rPr>
          <w:tab/>
        </w:r>
        <w:r>
          <w:rPr>
            <w:noProof/>
            <w:webHidden/>
          </w:rPr>
          <w:fldChar w:fldCharType="begin"/>
        </w:r>
        <w:r>
          <w:rPr>
            <w:noProof/>
            <w:webHidden/>
          </w:rPr>
          <w:instrText xml:space="preserve"> PAGEREF _Toc185251821 \h </w:instrText>
        </w:r>
        <w:r>
          <w:rPr>
            <w:noProof/>
            <w:webHidden/>
          </w:rPr>
        </w:r>
        <w:r>
          <w:rPr>
            <w:noProof/>
            <w:webHidden/>
          </w:rPr>
          <w:fldChar w:fldCharType="separate"/>
        </w:r>
        <w:r w:rsidR="00A62805">
          <w:rPr>
            <w:noProof/>
            <w:webHidden/>
          </w:rPr>
          <w:t>11</w:t>
        </w:r>
        <w:r>
          <w:rPr>
            <w:noProof/>
            <w:webHidden/>
          </w:rPr>
          <w:fldChar w:fldCharType="end"/>
        </w:r>
      </w:hyperlink>
    </w:p>
    <w:p w14:paraId="7549F456" w14:textId="3B184B98" w:rsidR="00001BFF" w:rsidRDefault="00001BFF">
      <w:pPr>
        <w:pStyle w:val="TOC1"/>
        <w:rPr>
          <w:rFonts w:eastAsiaTheme="minorEastAsia"/>
          <w:noProof/>
          <w:kern w:val="2"/>
          <w:sz w:val="24"/>
          <w:szCs w:val="24"/>
          <w:lang w:eastAsia="en-AU"/>
          <w14:ligatures w14:val="standardContextual"/>
        </w:rPr>
      </w:pPr>
      <w:hyperlink w:anchor="_Toc185251822" w:history="1">
        <w:r w:rsidRPr="008A0DDD">
          <w:rPr>
            <w:rStyle w:val="Hyperlink"/>
            <w:noProof/>
          </w:rPr>
          <w:t>4</w:t>
        </w:r>
        <w:r>
          <w:rPr>
            <w:rFonts w:eastAsiaTheme="minorEastAsia"/>
            <w:noProof/>
            <w:kern w:val="2"/>
            <w:sz w:val="24"/>
            <w:szCs w:val="24"/>
            <w:lang w:eastAsia="en-AU"/>
            <w14:ligatures w14:val="standardContextual"/>
          </w:rPr>
          <w:tab/>
        </w:r>
        <w:r w:rsidRPr="008A0DDD">
          <w:rPr>
            <w:rStyle w:val="Hyperlink"/>
            <w:noProof/>
          </w:rPr>
          <w:t>Categories 1 to 4 R&amp;D income requirements</w:t>
        </w:r>
        <w:r>
          <w:rPr>
            <w:noProof/>
            <w:webHidden/>
          </w:rPr>
          <w:tab/>
        </w:r>
        <w:r>
          <w:rPr>
            <w:noProof/>
            <w:webHidden/>
          </w:rPr>
          <w:fldChar w:fldCharType="begin"/>
        </w:r>
        <w:r>
          <w:rPr>
            <w:noProof/>
            <w:webHidden/>
          </w:rPr>
          <w:instrText xml:space="preserve"> PAGEREF _Toc185251822 \h </w:instrText>
        </w:r>
        <w:r>
          <w:rPr>
            <w:noProof/>
            <w:webHidden/>
          </w:rPr>
        </w:r>
        <w:r>
          <w:rPr>
            <w:noProof/>
            <w:webHidden/>
          </w:rPr>
          <w:fldChar w:fldCharType="separate"/>
        </w:r>
        <w:r w:rsidR="00A62805">
          <w:rPr>
            <w:noProof/>
            <w:webHidden/>
          </w:rPr>
          <w:t>13</w:t>
        </w:r>
        <w:r>
          <w:rPr>
            <w:noProof/>
            <w:webHidden/>
          </w:rPr>
          <w:fldChar w:fldCharType="end"/>
        </w:r>
      </w:hyperlink>
    </w:p>
    <w:p w14:paraId="312F7C5B" w14:textId="0C30076D" w:rsidR="00001BFF" w:rsidRDefault="00001BFF">
      <w:pPr>
        <w:pStyle w:val="TOC2"/>
        <w:tabs>
          <w:tab w:val="left" w:pos="880"/>
          <w:tab w:val="right" w:leader="dot" w:pos="9016"/>
        </w:tabs>
        <w:rPr>
          <w:rFonts w:eastAsiaTheme="minorEastAsia"/>
          <w:noProof/>
          <w:kern w:val="2"/>
          <w:sz w:val="24"/>
          <w:szCs w:val="24"/>
          <w:lang w:eastAsia="en-AU"/>
          <w14:ligatures w14:val="standardContextual"/>
        </w:rPr>
      </w:pPr>
      <w:hyperlink w:anchor="_Toc185251823" w:history="1">
        <w:r w:rsidRPr="008A0DDD">
          <w:rPr>
            <w:rStyle w:val="Hyperlink"/>
            <w:noProof/>
          </w:rPr>
          <w:t>4.1</w:t>
        </w:r>
        <w:r>
          <w:rPr>
            <w:rFonts w:eastAsiaTheme="minorEastAsia"/>
            <w:noProof/>
            <w:kern w:val="2"/>
            <w:sz w:val="24"/>
            <w:szCs w:val="24"/>
            <w:lang w:eastAsia="en-AU"/>
            <w14:ligatures w14:val="standardContextual"/>
          </w:rPr>
          <w:tab/>
        </w:r>
        <w:r w:rsidRPr="008A0DDD">
          <w:rPr>
            <w:rStyle w:val="Hyperlink"/>
            <w:noProof/>
          </w:rPr>
          <w:t>General requirements</w:t>
        </w:r>
        <w:r>
          <w:rPr>
            <w:noProof/>
            <w:webHidden/>
          </w:rPr>
          <w:tab/>
        </w:r>
        <w:r>
          <w:rPr>
            <w:noProof/>
            <w:webHidden/>
          </w:rPr>
          <w:fldChar w:fldCharType="begin"/>
        </w:r>
        <w:r>
          <w:rPr>
            <w:noProof/>
            <w:webHidden/>
          </w:rPr>
          <w:instrText xml:space="preserve"> PAGEREF _Toc185251823 \h </w:instrText>
        </w:r>
        <w:r>
          <w:rPr>
            <w:noProof/>
            <w:webHidden/>
          </w:rPr>
        </w:r>
        <w:r>
          <w:rPr>
            <w:noProof/>
            <w:webHidden/>
          </w:rPr>
          <w:fldChar w:fldCharType="separate"/>
        </w:r>
        <w:r w:rsidR="00A62805">
          <w:rPr>
            <w:noProof/>
            <w:webHidden/>
          </w:rPr>
          <w:t>13</w:t>
        </w:r>
        <w:r>
          <w:rPr>
            <w:noProof/>
            <w:webHidden/>
          </w:rPr>
          <w:fldChar w:fldCharType="end"/>
        </w:r>
      </w:hyperlink>
    </w:p>
    <w:p w14:paraId="05C2854E" w14:textId="036DD31B" w:rsidR="00001BFF" w:rsidRDefault="00001BFF">
      <w:pPr>
        <w:pStyle w:val="TOC2"/>
        <w:tabs>
          <w:tab w:val="left" w:pos="880"/>
          <w:tab w:val="right" w:leader="dot" w:pos="9016"/>
        </w:tabs>
        <w:rPr>
          <w:rFonts w:eastAsiaTheme="minorEastAsia"/>
          <w:noProof/>
          <w:kern w:val="2"/>
          <w:sz w:val="24"/>
          <w:szCs w:val="24"/>
          <w:lang w:eastAsia="en-AU"/>
          <w14:ligatures w14:val="standardContextual"/>
        </w:rPr>
      </w:pPr>
      <w:hyperlink w:anchor="_Toc185251824" w:history="1">
        <w:r w:rsidRPr="008A0DDD">
          <w:rPr>
            <w:rStyle w:val="Hyperlink"/>
            <w:rFonts w:eastAsia="Times New Roman"/>
            <w:noProof/>
          </w:rPr>
          <w:t>4.2</w:t>
        </w:r>
        <w:r>
          <w:rPr>
            <w:rFonts w:eastAsiaTheme="minorEastAsia"/>
            <w:noProof/>
            <w:kern w:val="2"/>
            <w:sz w:val="24"/>
            <w:szCs w:val="24"/>
            <w:lang w:eastAsia="en-AU"/>
            <w14:ligatures w14:val="standardContextual"/>
          </w:rPr>
          <w:tab/>
        </w:r>
        <w:r w:rsidRPr="008A0DDD">
          <w:rPr>
            <w:rStyle w:val="Hyperlink"/>
            <w:rFonts w:eastAsia="Times New Roman"/>
            <w:noProof/>
          </w:rPr>
          <w:t>Inclusions and exclusions</w:t>
        </w:r>
        <w:r>
          <w:rPr>
            <w:noProof/>
            <w:webHidden/>
          </w:rPr>
          <w:tab/>
        </w:r>
        <w:r>
          <w:rPr>
            <w:noProof/>
            <w:webHidden/>
          </w:rPr>
          <w:fldChar w:fldCharType="begin"/>
        </w:r>
        <w:r>
          <w:rPr>
            <w:noProof/>
            <w:webHidden/>
          </w:rPr>
          <w:instrText xml:space="preserve"> PAGEREF _Toc185251824 \h </w:instrText>
        </w:r>
        <w:r>
          <w:rPr>
            <w:noProof/>
            <w:webHidden/>
          </w:rPr>
        </w:r>
        <w:r>
          <w:rPr>
            <w:noProof/>
            <w:webHidden/>
          </w:rPr>
          <w:fldChar w:fldCharType="separate"/>
        </w:r>
        <w:r w:rsidR="00A62805">
          <w:rPr>
            <w:noProof/>
            <w:webHidden/>
          </w:rPr>
          <w:t>13</w:t>
        </w:r>
        <w:r>
          <w:rPr>
            <w:noProof/>
            <w:webHidden/>
          </w:rPr>
          <w:fldChar w:fldCharType="end"/>
        </w:r>
      </w:hyperlink>
    </w:p>
    <w:p w14:paraId="1280B770" w14:textId="1E1600E0" w:rsidR="00001BFF" w:rsidRDefault="00001BFF">
      <w:pPr>
        <w:pStyle w:val="TOC3"/>
        <w:tabs>
          <w:tab w:val="left" w:pos="1200"/>
          <w:tab w:val="right" w:leader="dot" w:pos="9016"/>
        </w:tabs>
        <w:rPr>
          <w:rFonts w:eastAsiaTheme="minorEastAsia"/>
          <w:noProof/>
          <w:kern w:val="2"/>
          <w:sz w:val="24"/>
          <w:szCs w:val="24"/>
          <w:lang w:eastAsia="en-AU"/>
          <w14:ligatures w14:val="standardContextual"/>
        </w:rPr>
      </w:pPr>
      <w:hyperlink w:anchor="_Toc185251825" w:history="1">
        <w:r w:rsidRPr="008A0DDD">
          <w:rPr>
            <w:rStyle w:val="Hyperlink"/>
            <w:rFonts w:eastAsia="Times New Roman"/>
            <w:noProof/>
          </w:rPr>
          <w:t>4.2.1</w:t>
        </w:r>
        <w:r>
          <w:rPr>
            <w:rFonts w:eastAsiaTheme="minorEastAsia"/>
            <w:noProof/>
            <w:kern w:val="2"/>
            <w:sz w:val="24"/>
            <w:szCs w:val="24"/>
            <w:lang w:eastAsia="en-AU"/>
            <w14:ligatures w14:val="standardContextual"/>
          </w:rPr>
          <w:tab/>
        </w:r>
        <w:r w:rsidRPr="008A0DDD">
          <w:rPr>
            <w:rStyle w:val="Hyperlink"/>
            <w:rFonts w:eastAsia="Times New Roman"/>
            <w:noProof/>
          </w:rPr>
          <w:t>Net receipted income that can be included in the R&amp;D income return comprises:</w:t>
        </w:r>
        <w:r>
          <w:rPr>
            <w:noProof/>
            <w:webHidden/>
          </w:rPr>
          <w:tab/>
        </w:r>
        <w:r>
          <w:rPr>
            <w:noProof/>
            <w:webHidden/>
          </w:rPr>
          <w:fldChar w:fldCharType="begin"/>
        </w:r>
        <w:r>
          <w:rPr>
            <w:noProof/>
            <w:webHidden/>
          </w:rPr>
          <w:instrText xml:space="preserve"> PAGEREF _Toc185251825 \h </w:instrText>
        </w:r>
        <w:r>
          <w:rPr>
            <w:noProof/>
            <w:webHidden/>
          </w:rPr>
        </w:r>
        <w:r>
          <w:rPr>
            <w:noProof/>
            <w:webHidden/>
          </w:rPr>
          <w:fldChar w:fldCharType="separate"/>
        </w:r>
        <w:r w:rsidR="00A62805">
          <w:rPr>
            <w:noProof/>
            <w:webHidden/>
          </w:rPr>
          <w:t>13</w:t>
        </w:r>
        <w:r>
          <w:rPr>
            <w:noProof/>
            <w:webHidden/>
          </w:rPr>
          <w:fldChar w:fldCharType="end"/>
        </w:r>
      </w:hyperlink>
    </w:p>
    <w:p w14:paraId="6F09FCB5" w14:textId="3B36D8DF" w:rsidR="00001BFF" w:rsidRDefault="00001BFF">
      <w:pPr>
        <w:pStyle w:val="TOC3"/>
        <w:tabs>
          <w:tab w:val="left" w:pos="1200"/>
          <w:tab w:val="right" w:leader="dot" w:pos="9016"/>
        </w:tabs>
        <w:rPr>
          <w:rFonts w:eastAsiaTheme="minorEastAsia"/>
          <w:noProof/>
          <w:kern w:val="2"/>
          <w:sz w:val="24"/>
          <w:szCs w:val="24"/>
          <w:lang w:eastAsia="en-AU"/>
          <w14:ligatures w14:val="standardContextual"/>
        </w:rPr>
      </w:pPr>
      <w:hyperlink w:anchor="_Toc185251826" w:history="1">
        <w:r w:rsidRPr="008A0DDD">
          <w:rPr>
            <w:rStyle w:val="Hyperlink"/>
            <w:rFonts w:eastAsia="Times New Roman"/>
            <w:noProof/>
          </w:rPr>
          <w:t>4.2.2</w:t>
        </w:r>
        <w:r>
          <w:rPr>
            <w:rFonts w:eastAsiaTheme="minorEastAsia"/>
            <w:noProof/>
            <w:kern w:val="2"/>
            <w:sz w:val="24"/>
            <w:szCs w:val="24"/>
            <w:lang w:eastAsia="en-AU"/>
            <w14:ligatures w14:val="standardContextual"/>
          </w:rPr>
          <w:tab/>
        </w:r>
        <w:r w:rsidRPr="008A0DDD">
          <w:rPr>
            <w:rStyle w:val="Hyperlink"/>
            <w:rFonts w:eastAsia="Times New Roman"/>
            <w:noProof/>
          </w:rPr>
          <w:t>R&amp;D income that is excluded in the R&amp;D income return comprises:</w:t>
        </w:r>
        <w:r>
          <w:rPr>
            <w:noProof/>
            <w:webHidden/>
          </w:rPr>
          <w:tab/>
        </w:r>
        <w:r>
          <w:rPr>
            <w:noProof/>
            <w:webHidden/>
          </w:rPr>
          <w:fldChar w:fldCharType="begin"/>
        </w:r>
        <w:r>
          <w:rPr>
            <w:noProof/>
            <w:webHidden/>
          </w:rPr>
          <w:instrText xml:space="preserve"> PAGEREF _Toc185251826 \h </w:instrText>
        </w:r>
        <w:r>
          <w:rPr>
            <w:noProof/>
            <w:webHidden/>
          </w:rPr>
        </w:r>
        <w:r>
          <w:rPr>
            <w:noProof/>
            <w:webHidden/>
          </w:rPr>
          <w:fldChar w:fldCharType="separate"/>
        </w:r>
        <w:r w:rsidR="00A62805">
          <w:rPr>
            <w:noProof/>
            <w:webHidden/>
          </w:rPr>
          <w:t>14</w:t>
        </w:r>
        <w:r>
          <w:rPr>
            <w:noProof/>
            <w:webHidden/>
          </w:rPr>
          <w:fldChar w:fldCharType="end"/>
        </w:r>
      </w:hyperlink>
    </w:p>
    <w:p w14:paraId="6D308E5B" w14:textId="79968BA7" w:rsidR="00001BFF" w:rsidRDefault="00001BFF">
      <w:pPr>
        <w:pStyle w:val="TOC2"/>
        <w:tabs>
          <w:tab w:val="left" w:pos="880"/>
          <w:tab w:val="right" w:leader="dot" w:pos="9016"/>
        </w:tabs>
        <w:rPr>
          <w:rFonts w:eastAsiaTheme="minorEastAsia"/>
          <w:noProof/>
          <w:kern w:val="2"/>
          <w:sz w:val="24"/>
          <w:szCs w:val="24"/>
          <w:lang w:eastAsia="en-AU"/>
          <w14:ligatures w14:val="standardContextual"/>
        </w:rPr>
      </w:pPr>
      <w:hyperlink w:anchor="_Toc185251827" w:history="1">
        <w:r w:rsidRPr="008A0DDD">
          <w:rPr>
            <w:rStyle w:val="Hyperlink"/>
            <w:rFonts w:eastAsia="Times New Roman"/>
            <w:noProof/>
          </w:rPr>
          <w:t>4.3</w:t>
        </w:r>
        <w:r>
          <w:rPr>
            <w:rFonts w:eastAsiaTheme="minorEastAsia"/>
            <w:noProof/>
            <w:kern w:val="2"/>
            <w:sz w:val="24"/>
            <w:szCs w:val="24"/>
            <w:lang w:eastAsia="en-AU"/>
            <w14:ligatures w14:val="standardContextual"/>
          </w:rPr>
          <w:tab/>
        </w:r>
        <w:r w:rsidRPr="008A0DDD">
          <w:rPr>
            <w:rStyle w:val="Hyperlink"/>
            <w:rFonts w:eastAsia="Times New Roman"/>
            <w:noProof/>
          </w:rPr>
          <w:t>Income involving other parties</w:t>
        </w:r>
        <w:r>
          <w:rPr>
            <w:noProof/>
            <w:webHidden/>
          </w:rPr>
          <w:tab/>
        </w:r>
        <w:r>
          <w:rPr>
            <w:noProof/>
            <w:webHidden/>
          </w:rPr>
          <w:fldChar w:fldCharType="begin"/>
        </w:r>
        <w:r>
          <w:rPr>
            <w:noProof/>
            <w:webHidden/>
          </w:rPr>
          <w:instrText xml:space="preserve"> PAGEREF _Toc185251827 \h </w:instrText>
        </w:r>
        <w:r>
          <w:rPr>
            <w:noProof/>
            <w:webHidden/>
          </w:rPr>
        </w:r>
        <w:r>
          <w:rPr>
            <w:noProof/>
            <w:webHidden/>
          </w:rPr>
          <w:fldChar w:fldCharType="separate"/>
        </w:r>
        <w:r w:rsidR="00A62805">
          <w:rPr>
            <w:noProof/>
            <w:webHidden/>
          </w:rPr>
          <w:t>15</w:t>
        </w:r>
        <w:r>
          <w:rPr>
            <w:noProof/>
            <w:webHidden/>
          </w:rPr>
          <w:fldChar w:fldCharType="end"/>
        </w:r>
      </w:hyperlink>
    </w:p>
    <w:p w14:paraId="7AD23AC2" w14:textId="6D0AF550" w:rsidR="00001BFF" w:rsidRDefault="00001BFF">
      <w:pPr>
        <w:pStyle w:val="TOC3"/>
        <w:tabs>
          <w:tab w:val="left" w:pos="1200"/>
          <w:tab w:val="right" w:leader="dot" w:pos="9016"/>
        </w:tabs>
        <w:rPr>
          <w:rFonts w:eastAsiaTheme="minorEastAsia"/>
          <w:noProof/>
          <w:kern w:val="2"/>
          <w:sz w:val="24"/>
          <w:szCs w:val="24"/>
          <w:lang w:eastAsia="en-AU"/>
          <w14:ligatures w14:val="standardContextual"/>
        </w:rPr>
      </w:pPr>
      <w:hyperlink w:anchor="_Toc185251828" w:history="1">
        <w:r w:rsidRPr="008A0DDD">
          <w:rPr>
            <w:rStyle w:val="Hyperlink"/>
            <w:rFonts w:eastAsia="Times New Roman"/>
            <w:noProof/>
          </w:rPr>
          <w:t>4.3.1</w:t>
        </w:r>
        <w:r>
          <w:rPr>
            <w:rFonts w:eastAsiaTheme="minorEastAsia"/>
            <w:noProof/>
            <w:kern w:val="2"/>
            <w:sz w:val="24"/>
            <w:szCs w:val="24"/>
            <w:lang w:eastAsia="en-AU"/>
            <w14:ligatures w14:val="standardContextual"/>
          </w:rPr>
          <w:tab/>
        </w:r>
        <w:r w:rsidRPr="008A0DDD">
          <w:rPr>
            <w:rStyle w:val="Hyperlink"/>
            <w:rFonts w:eastAsia="Times New Roman"/>
            <w:noProof/>
          </w:rPr>
          <w:t>Eligible third-party income</w:t>
        </w:r>
        <w:r>
          <w:rPr>
            <w:noProof/>
            <w:webHidden/>
          </w:rPr>
          <w:tab/>
        </w:r>
        <w:r>
          <w:rPr>
            <w:noProof/>
            <w:webHidden/>
          </w:rPr>
          <w:fldChar w:fldCharType="begin"/>
        </w:r>
        <w:r>
          <w:rPr>
            <w:noProof/>
            <w:webHidden/>
          </w:rPr>
          <w:instrText xml:space="preserve"> PAGEREF _Toc185251828 \h </w:instrText>
        </w:r>
        <w:r>
          <w:rPr>
            <w:noProof/>
            <w:webHidden/>
          </w:rPr>
        </w:r>
        <w:r>
          <w:rPr>
            <w:noProof/>
            <w:webHidden/>
          </w:rPr>
          <w:fldChar w:fldCharType="separate"/>
        </w:r>
        <w:r w:rsidR="00A62805">
          <w:rPr>
            <w:noProof/>
            <w:webHidden/>
          </w:rPr>
          <w:t>16</w:t>
        </w:r>
        <w:r>
          <w:rPr>
            <w:noProof/>
            <w:webHidden/>
          </w:rPr>
          <w:fldChar w:fldCharType="end"/>
        </w:r>
      </w:hyperlink>
    </w:p>
    <w:p w14:paraId="6E250E7F" w14:textId="24549525" w:rsidR="00001BFF" w:rsidRDefault="00001BFF">
      <w:pPr>
        <w:pStyle w:val="TOC3"/>
        <w:tabs>
          <w:tab w:val="left" w:pos="1200"/>
          <w:tab w:val="right" w:leader="dot" w:pos="9016"/>
        </w:tabs>
        <w:rPr>
          <w:rFonts w:eastAsiaTheme="minorEastAsia"/>
          <w:noProof/>
          <w:kern w:val="2"/>
          <w:sz w:val="24"/>
          <w:szCs w:val="24"/>
          <w:lang w:eastAsia="en-AU"/>
          <w14:ligatures w14:val="standardContextual"/>
        </w:rPr>
      </w:pPr>
      <w:hyperlink w:anchor="_Toc185251829" w:history="1">
        <w:r w:rsidRPr="008A0DDD">
          <w:rPr>
            <w:rStyle w:val="Hyperlink"/>
            <w:noProof/>
          </w:rPr>
          <w:t>4.3.2</w:t>
        </w:r>
        <w:r>
          <w:rPr>
            <w:rFonts w:eastAsiaTheme="minorEastAsia"/>
            <w:noProof/>
            <w:kern w:val="2"/>
            <w:sz w:val="24"/>
            <w:szCs w:val="24"/>
            <w:lang w:eastAsia="en-AU"/>
            <w14:ligatures w14:val="standardContextual"/>
          </w:rPr>
          <w:tab/>
        </w:r>
        <w:r w:rsidRPr="008A0DDD">
          <w:rPr>
            <w:rStyle w:val="Hyperlink"/>
            <w:noProof/>
          </w:rPr>
          <w:t>Ineligible third-party income</w:t>
        </w:r>
        <w:r>
          <w:rPr>
            <w:noProof/>
            <w:webHidden/>
          </w:rPr>
          <w:tab/>
        </w:r>
        <w:r>
          <w:rPr>
            <w:noProof/>
            <w:webHidden/>
          </w:rPr>
          <w:fldChar w:fldCharType="begin"/>
        </w:r>
        <w:r>
          <w:rPr>
            <w:noProof/>
            <w:webHidden/>
          </w:rPr>
          <w:instrText xml:space="preserve"> PAGEREF _Toc185251829 \h </w:instrText>
        </w:r>
        <w:r>
          <w:rPr>
            <w:noProof/>
            <w:webHidden/>
          </w:rPr>
        </w:r>
        <w:r>
          <w:rPr>
            <w:noProof/>
            <w:webHidden/>
          </w:rPr>
          <w:fldChar w:fldCharType="separate"/>
        </w:r>
        <w:r w:rsidR="00A62805">
          <w:rPr>
            <w:noProof/>
            <w:webHidden/>
          </w:rPr>
          <w:t>17</w:t>
        </w:r>
        <w:r>
          <w:rPr>
            <w:noProof/>
            <w:webHidden/>
          </w:rPr>
          <w:fldChar w:fldCharType="end"/>
        </w:r>
      </w:hyperlink>
    </w:p>
    <w:p w14:paraId="1EAA1F3E" w14:textId="4BCD10C1" w:rsidR="00001BFF" w:rsidRDefault="00001BFF">
      <w:pPr>
        <w:pStyle w:val="TOC2"/>
        <w:tabs>
          <w:tab w:val="left" w:pos="880"/>
          <w:tab w:val="right" w:leader="dot" w:pos="9016"/>
        </w:tabs>
        <w:rPr>
          <w:rFonts w:eastAsiaTheme="minorEastAsia"/>
          <w:noProof/>
          <w:kern w:val="2"/>
          <w:sz w:val="24"/>
          <w:szCs w:val="24"/>
          <w:lang w:eastAsia="en-AU"/>
          <w14:ligatures w14:val="standardContextual"/>
        </w:rPr>
      </w:pPr>
      <w:hyperlink w:anchor="_Toc185251830" w:history="1">
        <w:r w:rsidRPr="008A0DDD">
          <w:rPr>
            <w:rStyle w:val="Hyperlink"/>
            <w:noProof/>
          </w:rPr>
          <w:t>4.4</w:t>
        </w:r>
        <w:r>
          <w:rPr>
            <w:rFonts w:eastAsiaTheme="minorEastAsia"/>
            <w:noProof/>
            <w:kern w:val="2"/>
            <w:sz w:val="24"/>
            <w:szCs w:val="24"/>
            <w:lang w:eastAsia="en-AU"/>
            <w14:ligatures w14:val="standardContextual"/>
          </w:rPr>
          <w:tab/>
        </w:r>
        <w:r w:rsidRPr="008A0DDD">
          <w:rPr>
            <w:rStyle w:val="Hyperlink"/>
            <w:noProof/>
          </w:rPr>
          <w:t>Transfers</w:t>
        </w:r>
        <w:r>
          <w:rPr>
            <w:noProof/>
            <w:webHidden/>
          </w:rPr>
          <w:tab/>
        </w:r>
        <w:r>
          <w:rPr>
            <w:noProof/>
            <w:webHidden/>
          </w:rPr>
          <w:fldChar w:fldCharType="begin"/>
        </w:r>
        <w:r>
          <w:rPr>
            <w:noProof/>
            <w:webHidden/>
          </w:rPr>
          <w:instrText xml:space="preserve"> PAGEREF _Toc185251830 \h </w:instrText>
        </w:r>
        <w:r>
          <w:rPr>
            <w:noProof/>
            <w:webHidden/>
          </w:rPr>
        </w:r>
        <w:r>
          <w:rPr>
            <w:noProof/>
            <w:webHidden/>
          </w:rPr>
          <w:fldChar w:fldCharType="separate"/>
        </w:r>
        <w:r w:rsidR="00A62805">
          <w:rPr>
            <w:noProof/>
            <w:webHidden/>
          </w:rPr>
          <w:t>17</w:t>
        </w:r>
        <w:r>
          <w:rPr>
            <w:noProof/>
            <w:webHidden/>
          </w:rPr>
          <w:fldChar w:fldCharType="end"/>
        </w:r>
      </w:hyperlink>
    </w:p>
    <w:p w14:paraId="7F7D3FCC" w14:textId="0747CDFA" w:rsidR="00001BFF" w:rsidRDefault="00001BFF">
      <w:pPr>
        <w:pStyle w:val="TOC2"/>
        <w:tabs>
          <w:tab w:val="left" w:pos="880"/>
          <w:tab w:val="right" w:leader="dot" w:pos="9016"/>
        </w:tabs>
        <w:rPr>
          <w:rFonts w:eastAsiaTheme="minorEastAsia"/>
          <w:noProof/>
          <w:kern w:val="2"/>
          <w:sz w:val="24"/>
          <w:szCs w:val="24"/>
          <w:lang w:eastAsia="en-AU"/>
          <w14:ligatures w14:val="standardContextual"/>
        </w:rPr>
      </w:pPr>
      <w:hyperlink w:anchor="_Toc185251831" w:history="1">
        <w:r w:rsidRPr="008A0DDD">
          <w:rPr>
            <w:rStyle w:val="Hyperlink"/>
            <w:noProof/>
          </w:rPr>
          <w:t>4.5</w:t>
        </w:r>
        <w:r>
          <w:rPr>
            <w:rFonts w:eastAsiaTheme="minorEastAsia"/>
            <w:noProof/>
            <w:kern w:val="2"/>
            <w:sz w:val="24"/>
            <w:szCs w:val="24"/>
            <w:lang w:eastAsia="en-AU"/>
            <w14:ligatures w14:val="standardContextual"/>
          </w:rPr>
          <w:tab/>
        </w:r>
        <w:r w:rsidRPr="008A0DDD">
          <w:rPr>
            <w:rStyle w:val="Hyperlink"/>
            <w:noProof/>
          </w:rPr>
          <w:t>Refunds</w:t>
        </w:r>
        <w:r>
          <w:rPr>
            <w:noProof/>
            <w:webHidden/>
          </w:rPr>
          <w:tab/>
        </w:r>
        <w:r>
          <w:rPr>
            <w:noProof/>
            <w:webHidden/>
          </w:rPr>
          <w:fldChar w:fldCharType="begin"/>
        </w:r>
        <w:r>
          <w:rPr>
            <w:noProof/>
            <w:webHidden/>
          </w:rPr>
          <w:instrText xml:space="preserve"> PAGEREF _Toc185251831 \h </w:instrText>
        </w:r>
        <w:r>
          <w:rPr>
            <w:noProof/>
            <w:webHidden/>
          </w:rPr>
        </w:r>
        <w:r>
          <w:rPr>
            <w:noProof/>
            <w:webHidden/>
          </w:rPr>
          <w:fldChar w:fldCharType="separate"/>
        </w:r>
        <w:r w:rsidR="00A62805">
          <w:rPr>
            <w:noProof/>
            <w:webHidden/>
          </w:rPr>
          <w:t>17</w:t>
        </w:r>
        <w:r>
          <w:rPr>
            <w:noProof/>
            <w:webHidden/>
          </w:rPr>
          <w:fldChar w:fldCharType="end"/>
        </w:r>
      </w:hyperlink>
    </w:p>
    <w:p w14:paraId="030570BF" w14:textId="1CCA7AD3" w:rsidR="00001BFF" w:rsidRDefault="00001BFF">
      <w:pPr>
        <w:pStyle w:val="TOC2"/>
        <w:tabs>
          <w:tab w:val="left" w:pos="880"/>
          <w:tab w:val="right" w:leader="dot" w:pos="9016"/>
        </w:tabs>
        <w:rPr>
          <w:rFonts w:eastAsiaTheme="minorEastAsia"/>
          <w:noProof/>
          <w:kern w:val="2"/>
          <w:sz w:val="24"/>
          <w:szCs w:val="24"/>
          <w:lang w:eastAsia="en-AU"/>
          <w14:ligatures w14:val="standardContextual"/>
        </w:rPr>
      </w:pPr>
      <w:hyperlink w:anchor="_Toc185251832" w:history="1">
        <w:r w:rsidRPr="008A0DDD">
          <w:rPr>
            <w:rStyle w:val="Hyperlink"/>
            <w:noProof/>
          </w:rPr>
          <w:t>4.6</w:t>
        </w:r>
        <w:r>
          <w:rPr>
            <w:rFonts w:eastAsiaTheme="minorEastAsia"/>
            <w:noProof/>
            <w:kern w:val="2"/>
            <w:sz w:val="24"/>
            <w:szCs w:val="24"/>
            <w:lang w:eastAsia="en-AU"/>
            <w14:ligatures w14:val="standardContextual"/>
          </w:rPr>
          <w:tab/>
        </w:r>
        <w:r w:rsidRPr="008A0DDD">
          <w:rPr>
            <w:rStyle w:val="Hyperlink"/>
            <w:noProof/>
          </w:rPr>
          <w:t>CRCs that are no longer operational</w:t>
        </w:r>
        <w:r>
          <w:rPr>
            <w:noProof/>
            <w:webHidden/>
          </w:rPr>
          <w:tab/>
        </w:r>
        <w:r>
          <w:rPr>
            <w:noProof/>
            <w:webHidden/>
          </w:rPr>
          <w:fldChar w:fldCharType="begin"/>
        </w:r>
        <w:r>
          <w:rPr>
            <w:noProof/>
            <w:webHidden/>
          </w:rPr>
          <w:instrText xml:space="preserve"> PAGEREF _Toc185251832 \h </w:instrText>
        </w:r>
        <w:r>
          <w:rPr>
            <w:noProof/>
            <w:webHidden/>
          </w:rPr>
        </w:r>
        <w:r>
          <w:rPr>
            <w:noProof/>
            <w:webHidden/>
          </w:rPr>
          <w:fldChar w:fldCharType="separate"/>
        </w:r>
        <w:r w:rsidR="00A62805">
          <w:rPr>
            <w:noProof/>
            <w:webHidden/>
          </w:rPr>
          <w:t>17</w:t>
        </w:r>
        <w:r>
          <w:rPr>
            <w:noProof/>
            <w:webHidden/>
          </w:rPr>
          <w:fldChar w:fldCharType="end"/>
        </w:r>
      </w:hyperlink>
    </w:p>
    <w:p w14:paraId="02C2F7C7" w14:textId="2E2F1776" w:rsidR="00001BFF" w:rsidRDefault="00001BFF">
      <w:pPr>
        <w:pStyle w:val="TOC1"/>
        <w:rPr>
          <w:rFonts w:eastAsiaTheme="minorEastAsia"/>
          <w:noProof/>
          <w:kern w:val="2"/>
          <w:sz w:val="24"/>
          <w:szCs w:val="24"/>
          <w:lang w:eastAsia="en-AU"/>
          <w14:ligatures w14:val="standardContextual"/>
        </w:rPr>
      </w:pPr>
      <w:hyperlink w:anchor="_Toc185251833" w:history="1">
        <w:r w:rsidRPr="008A0DDD">
          <w:rPr>
            <w:rStyle w:val="Hyperlink"/>
            <w:noProof/>
          </w:rPr>
          <w:t>5</w:t>
        </w:r>
        <w:r>
          <w:rPr>
            <w:rFonts w:eastAsiaTheme="minorEastAsia"/>
            <w:noProof/>
            <w:kern w:val="2"/>
            <w:sz w:val="24"/>
            <w:szCs w:val="24"/>
            <w:lang w:eastAsia="en-AU"/>
            <w14:ligatures w14:val="standardContextual"/>
          </w:rPr>
          <w:tab/>
        </w:r>
        <w:r w:rsidRPr="008A0DDD">
          <w:rPr>
            <w:rStyle w:val="Hyperlink"/>
            <w:noProof/>
          </w:rPr>
          <w:t>R&amp;D income categories</w:t>
        </w:r>
        <w:r>
          <w:rPr>
            <w:noProof/>
            <w:webHidden/>
          </w:rPr>
          <w:tab/>
        </w:r>
        <w:r>
          <w:rPr>
            <w:noProof/>
            <w:webHidden/>
          </w:rPr>
          <w:fldChar w:fldCharType="begin"/>
        </w:r>
        <w:r>
          <w:rPr>
            <w:noProof/>
            <w:webHidden/>
          </w:rPr>
          <w:instrText xml:space="preserve"> PAGEREF _Toc185251833 \h </w:instrText>
        </w:r>
        <w:r>
          <w:rPr>
            <w:noProof/>
            <w:webHidden/>
          </w:rPr>
        </w:r>
        <w:r>
          <w:rPr>
            <w:noProof/>
            <w:webHidden/>
          </w:rPr>
          <w:fldChar w:fldCharType="separate"/>
        </w:r>
        <w:r w:rsidR="00A62805">
          <w:rPr>
            <w:noProof/>
            <w:webHidden/>
          </w:rPr>
          <w:t>18</w:t>
        </w:r>
        <w:r>
          <w:rPr>
            <w:noProof/>
            <w:webHidden/>
          </w:rPr>
          <w:fldChar w:fldCharType="end"/>
        </w:r>
      </w:hyperlink>
    </w:p>
    <w:p w14:paraId="0CA83D1A" w14:textId="29053ABC" w:rsidR="00001BFF" w:rsidRDefault="00001BFF">
      <w:pPr>
        <w:pStyle w:val="TOC2"/>
        <w:tabs>
          <w:tab w:val="left" w:pos="880"/>
          <w:tab w:val="right" w:leader="dot" w:pos="9016"/>
        </w:tabs>
        <w:rPr>
          <w:rFonts w:eastAsiaTheme="minorEastAsia"/>
          <w:noProof/>
          <w:kern w:val="2"/>
          <w:sz w:val="24"/>
          <w:szCs w:val="24"/>
          <w:lang w:eastAsia="en-AU"/>
          <w14:ligatures w14:val="standardContextual"/>
        </w:rPr>
      </w:pPr>
      <w:hyperlink w:anchor="_Toc185251834" w:history="1">
        <w:r w:rsidRPr="008A0DDD">
          <w:rPr>
            <w:rStyle w:val="Hyperlink"/>
            <w:noProof/>
          </w:rPr>
          <w:t>5.1</w:t>
        </w:r>
        <w:r>
          <w:rPr>
            <w:rFonts w:eastAsiaTheme="minorEastAsia"/>
            <w:noProof/>
            <w:kern w:val="2"/>
            <w:sz w:val="24"/>
            <w:szCs w:val="24"/>
            <w:lang w:eastAsia="en-AU"/>
            <w14:ligatures w14:val="standardContextual"/>
          </w:rPr>
          <w:tab/>
        </w:r>
        <w:r w:rsidRPr="008A0DDD">
          <w:rPr>
            <w:rStyle w:val="Hyperlink"/>
            <w:noProof/>
          </w:rPr>
          <w:t>Category 1: Australian competitive grant R&amp;D income</w:t>
        </w:r>
        <w:r>
          <w:rPr>
            <w:noProof/>
            <w:webHidden/>
          </w:rPr>
          <w:tab/>
        </w:r>
        <w:r>
          <w:rPr>
            <w:noProof/>
            <w:webHidden/>
          </w:rPr>
          <w:fldChar w:fldCharType="begin"/>
        </w:r>
        <w:r>
          <w:rPr>
            <w:noProof/>
            <w:webHidden/>
          </w:rPr>
          <w:instrText xml:space="preserve"> PAGEREF _Toc185251834 \h </w:instrText>
        </w:r>
        <w:r>
          <w:rPr>
            <w:noProof/>
            <w:webHidden/>
          </w:rPr>
        </w:r>
        <w:r>
          <w:rPr>
            <w:noProof/>
            <w:webHidden/>
          </w:rPr>
          <w:fldChar w:fldCharType="separate"/>
        </w:r>
        <w:r w:rsidR="00A62805">
          <w:rPr>
            <w:noProof/>
            <w:webHidden/>
          </w:rPr>
          <w:t>19</w:t>
        </w:r>
        <w:r>
          <w:rPr>
            <w:noProof/>
            <w:webHidden/>
          </w:rPr>
          <w:fldChar w:fldCharType="end"/>
        </w:r>
      </w:hyperlink>
    </w:p>
    <w:p w14:paraId="2D3CD493" w14:textId="657F3742" w:rsidR="00001BFF" w:rsidRDefault="00001BFF">
      <w:pPr>
        <w:pStyle w:val="TOC3"/>
        <w:tabs>
          <w:tab w:val="right" w:leader="dot" w:pos="9016"/>
        </w:tabs>
        <w:rPr>
          <w:rFonts w:eastAsiaTheme="minorEastAsia"/>
          <w:noProof/>
          <w:kern w:val="2"/>
          <w:sz w:val="24"/>
          <w:szCs w:val="24"/>
          <w:lang w:eastAsia="en-AU"/>
          <w14:ligatures w14:val="standardContextual"/>
        </w:rPr>
      </w:pPr>
      <w:hyperlink w:anchor="_Toc185251835" w:history="1">
        <w:r w:rsidRPr="008A0DDD">
          <w:rPr>
            <w:rStyle w:val="Hyperlink"/>
            <w:noProof/>
          </w:rPr>
          <w:t>Figure 1: Decision tree to determine Category 1 Australian competitive grant R&amp;D income</w:t>
        </w:r>
        <w:r>
          <w:rPr>
            <w:noProof/>
            <w:webHidden/>
          </w:rPr>
          <w:tab/>
        </w:r>
        <w:r>
          <w:rPr>
            <w:noProof/>
            <w:webHidden/>
          </w:rPr>
          <w:fldChar w:fldCharType="begin"/>
        </w:r>
        <w:r>
          <w:rPr>
            <w:noProof/>
            <w:webHidden/>
          </w:rPr>
          <w:instrText xml:space="preserve"> PAGEREF _Toc185251835 \h </w:instrText>
        </w:r>
        <w:r>
          <w:rPr>
            <w:noProof/>
            <w:webHidden/>
          </w:rPr>
        </w:r>
        <w:r>
          <w:rPr>
            <w:noProof/>
            <w:webHidden/>
          </w:rPr>
          <w:fldChar w:fldCharType="separate"/>
        </w:r>
        <w:r w:rsidR="00A62805">
          <w:rPr>
            <w:noProof/>
            <w:webHidden/>
          </w:rPr>
          <w:t>20</w:t>
        </w:r>
        <w:r>
          <w:rPr>
            <w:noProof/>
            <w:webHidden/>
          </w:rPr>
          <w:fldChar w:fldCharType="end"/>
        </w:r>
      </w:hyperlink>
    </w:p>
    <w:p w14:paraId="11B3DE38" w14:textId="79F104F6" w:rsidR="00001BFF" w:rsidRDefault="00001BFF">
      <w:pPr>
        <w:pStyle w:val="TOC3"/>
        <w:tabs>
          <w:tab w:val="left" w:pos="1200"/>
          <w:tab w:val="right" w:leader="dot" w:pos="9016"/>
        </w:tabs>
        <w:rPr>
          <w:rFonts w:eastAsiaTheme="minorEastAsia"/>
          <w:noProof/>
          <w:kern w:val="2"/>
          <w:sz w:val="24"/>
          <w:szCs w:val="24"/>
          <w:lang w:eastAsia="en-AU"/>
          <w14:ligatures w14:val="standardContextual"/>
        </w:rPr>
      </w:pPr>
      <w:hyperlink w:anchor="_Toc185251836" w:history="1">
        <w:r w:rsidRPr="008A0DDD">
          <w:rPr>
            <w:rStyle w:val="Hyperlink"/>
            <w:noProof/>
          </w:rPr>
          <w:t>5.1.1</w:t>
        </w:r>
        <w:r>
          <w:rPr>
            <w:rFonts w:eastAsiaTheme="minorEastAsia"/>
            <w:noProof/>
            <w:kern w:val="2"/>
            <w:sz w:val="24"/>
            <w:szCs w:val="24"/>
            <w:lang w:eastAsia="en-AU"/>
            <w14:ligatures w14:val="standardContextual"/>
          </w:rPr>
          <w:tab/>
        </w:r>
        <w:r w:rsidRPr="008A0DDD">
          <w:rPr>
            <w:rStyle w:val="Hyperlink"/>
            <w:noProof/>
          </w:rPr>
          <w:t>Definition of terms associated with decision tree</w:t>
        </w:r>
        <w:r>
          <w:rPr>
            <w:noProof/>
            <w:webHidden/>
          </w:rPr>
          <w:tab/>
        </w:r>
        <w:r>
          <w:rPr>
            <w:noProof/>
            <w:webHidden/>
          </w:rPr>
          <w:fldChar w:fldCharType="begin"/>
        </w:r>
        <w:r>
          <w:rPr>
            <w:noProof/>
            <w:webHidden/>
          </w:rPr>
          <w:instrText xml:space="preserve"> PAGEREF _Toc185251836 \h </w:instrText>
        </w:r>
        <w:r>
          <w:rPr>
            <w:noProof/>
            <w:webHidden/>
          </w:rPr>
        </w:r>
        <w:r>
          <w:rPr>
            <w:noProof/>
            <w:webHidden/>
          </w:rPr>
          <w:fldChar w:fldCharType="separate"/>
        </w:r>
        <w:r w:rsidR="00A62805">
          <w:rPr>
            <w:noProof/>
            <w:webHidden/>
          </w:rPr>
          <w:t>21</w:t>
        </w:r>
        <w:r>
          <w:rPr>
            <w:noProof/>
            <w:webHidden/>
          </w:rPr>
          <w:fldChar w:fldCharType="end"/>
        </w:r>
      </w:hyperlink>
    </w:p>
    <w:p w14:paraId="3C60D14D" w14:textId="0E54F32B" w:rsidR="00001BFF" w:rsidRDefault="00001BFF">
      <w:pPr>
        <w:pStyle w:val="TOC2"/>
        <w:tabs>
          <w:tab w:val="left" w:pos="880"/>
          <w:tab w:val="right" w:leader="dot" w:pos="9016"/>
        </w:tabs>
        <w:rPr>
          <w:rFonts w:eastAsiaTheme="minorEastAsia"/>
          <w:noProof/>
          <w:kern w:val="2"/>
          <w:sz w:val="24"/>
          <w:szCs w:val="24"/>
          <w:lang w:eastAsia="en-AU"/>
          <w14:ligatures w14:val="standardContextual"/>
        </w:rPr>
      </w:pPr>
      <w:hyperlink w:anchor="_Toc185251837" w:history="1">
        <w:r w:rsidRPr="008A0DDD">
          <w:rPr>
            <w:rStyle w:val="Hyperlink"/>
            <w:noProof/>
          </w:rPr>
          <w:t>5.2</w:t>
        </w:r>
        <w:r>
          <w:rPr>
            <w:rFonts w:eastAsiaTheme="minorEastAsia"/>
            <w:noProof/>
            <w:kern w:val="2"/>
            <w:sz w:val="24"/>
            <w:szCs w:val="24"/>
            <w:lang w:eastAsia="en-AU"/>
            <w14:ligatures w14:val="standardContextual"/>
          </w:rPr>
          <w:tab/>
        </w:r>
        <w:r w:rsidRPr="008A0DDD">
          <w:rPr>
            <w:rStyle w:val="Hyperlink"/>
            <w:noProof/>
          </w:rPr>
          <w:t>Category 2: other public sector R&amp;D income</w:t>
        </w:r>
        <w:r>
          <w:rPr>
            <w:noProof/>
            <w:webHidden/>
          </w:rPr>
          <w:tab/>
        </w:r>
        <w:r>
          <w:rPr>
            <w:noProof/>
            <w:webHidden/>
          </w:rPr>
          <w:fldChar w:fldCharType="begin"/>
        </w:r>
        <w:r>
          <w:rPr>
            <w:noProof/>
            <w:webHidden/>
          </w:rPr>
          <w:instrText xml:space="preserve"> PAGEREF _Toc185251837 \h </w:instrText>
        </w:r>
        <w:r>
          <w:rPr>
            <w:noProof/>
            <w:webHidden/>
          </w:rPr>
        </w:r>
        <w:r>
          <w:rPr>
            <w:noProof/>
            <w:webHidden/>
          </w:rPr>
          <w:fldChar w:fldCharType="separate"/>
        </w:r>
        <w:r w:rsidR="00A62805">
          <w:rPr>
            <w:noProof/>
            <w:webHidden/>
          </w:rPr>
          <w:t>22</w:t>
        </w:r>
        <w:r>
          <w:rPr>
            <w:noProof/>
            <w:webHidden/>
          </w:rPr>
          <w:fldChar w:fldCharType="end"/>
        </w:r>
      </w:hyperlink>
    </w:p>
    <w:p w14:paraId="694A5155" w14:textId="10E14720" w:rsidR="00001BFF" w:rsidRDefault="00001BFF">
      <w:pPr>
        <w:pStyle w:val="TOC3"/>
        <w:tabs>
          <w:tab w:val="left" w:pos="1200"/>
          <w:tab w:val="right" w:leader="dot" w:pos="9016"/>
        </w:tabs>
        <w:rPr>
          <w:rFonts w:eastAsiaTheme="minorEastAsia"/>
          <w:noProof/>
          <w:kern w:val="2"/>
          <w:sz w:val="24"/>
          <w:szCs w:val="24"/>
          <w:lang w:eastAsia="en-AU"/>
          <w14:ligatures w14:val="standardContextual"/>
        </w:rPr>
      </w:pPr>
      <w:hyperlink w:anchor="_Toc185251838" w:history="1">
        <w:r w:rsidRPr="008A0DDD">
          <w:rPr>
            <w:rStyle w:val="Hyperlink"/>
            <w:noProof/>
          </w:rPr>
          <w:t>5.2.1</w:t>
        </w:r>
        <w:r>
          <w:rPr>
            <w:rFonts w:eastAsiaTheme="minorEastAsia"/>
            <w:noProof/>
            <w:kern w:val="2"/>
            <w:sz w:val="24"/>
            <w:szCs w:val="24"/>
            <w:lang w:eastAsia="en-AU"/>
            <w14:ligatures w14:val="standardContextual"/>
          </w:rPr>
          <w:tab/>
        </w:r>
        <w:r w:rsidRPr="008A0DDD">
          <w:rPr>
            <w:rStyle w:val="Hyperlink"/>
            <w:noProof/>
          </w:rPr>
          <w:t>Commonwealth government</w:t>
        </w:r>
        <w:r>
          <w:rPr>
            <w:noProof/>
            <w:webHidden/>
          </w:rPr>
          <w:tab/>
        </w:r>
        <w:r>
          <w:rPr>
            <w:noProof/>
            <w:webHidden/>
          </w:rPr>
          <w:fldChar w:fldCharType="begin"/>
        </w:r>
        <w:r>
          <w:rPr>
            <w:noProof/>
            <w:webHidden/>
          </w:rPr>
          <w:instrText xml:space="preserve"> PAGEREF _Toc185251838 \h </w:instrText>
        </w:r>
        <w:r>
          <w:rPr>
            <w:noProof/>
            <w:webHidden/>
          </w:rPr>
        </w:r>
        <w:r>
          <w:rPr>
            <w:noProof/>
            <w:webHidden/>
          </w:rPr>
          <w:fldChar w:fldCharType="separate"/>
        </w:r>
        <w:r w:rsidR="00A62805">
          <w:rPr>
            <w:noProof/>
            <w:webHidden/>
          </w:rPr>
          <w:t>23</w:t>
        </w:r>
        <w:r>
          <w:rPr>
            <w:noProof/>
            <w:webHidden/>
          </w:rPr>
          <w:fldChar w:fldCharType="end"/>
        </w:r>
      </w:hyperlink>
    </w:p>
    <w:p w14:paraId="631F2C54" w14:textId="1304EAF8" w:rsidR="00001BFF" w:rsidRDefault="00001BFF">
      <w:pPr>
        <w:pStyle w:val="TOC3"/>
        <w:tabs>
          <w:tab w:val="left" w:pos="1200"/>
          <w:tab w:val="right" w:leader="dot" w:pos="9016"/>
        </w:tabs>
        <w:rPr>
          <w:rFonts w:eastAsiaTheme="minorEastAsia"/>
          <w:noProof/>
          <w:kern w:val="2"/>
          <w:sz w:val="24"/>
          <w:szCs w:val="24"/>
          <w:lang w:eastAsia="en-AU"/>
          <w14:ligatures w14:val="standardContextual"/>
        </w:rPr>
      </w:pPr>
      <w:hyperlink w:anchor="_Toc185251839" w:history="1">
        <w:r w:rsidRPr="008A0DDD">
          <w:rPr>
            <w:rStyle w:val="Hyperlink"/>
            <w:noProof/>
          </w:rPr>
          <w:t>5.2.2</w:t>
        </w:r>
        <w:r>
          <w:rPr>
            <w:rFonts w:eastAsiaTheme="minorEastAsia"/>
            <w:noProof/>
            <w:kern w:val="2"/>
            <w:sz w:val="24"/>
            <w:szCs w:val="24"/>
            <w:lang w:eastAsia="en-AU"/>
            <w14:ligatures w14:val="standardContextual"/>
          </w:rPr>
          <w:tab/>
        </w:r>
        <w:r w:rsidRPr="008A0DDD">
          <w:rPr>
            <w:rStyle w:val="Hyperlink"/>
            <w:noProof/>
          </w:rPr>
          <w:t>State/territory/local government R&amp;D</w:t>
        </w:r>
        <w:r>
          <w:rPr>
            <w:noProof/>
            <w:webHidden/>
          </w:rPr>
          <w:tab/>
        </w:r>
        <w:r>
          <w:rPr>
            <w:noProof/>
            <w:webHidden/>
          </w:rPr>
          <w:fldChar w:fldCharType="begin"/>
        </w:r>
        <w:r>
          <w:rPr>
            <w:noProof/>
            <w:webHidden/>
          </w:rPr>
          <w:instrText xml:space="preserve"> PAGEREF _Toc185251839 \h </w:instrText>
        </w:r>
        <w:r>
          <w:rPr>
            <w:noProof/>
            <w:webHidden/>
          </w:rPr>
        </w:r>
        <w:r>
          <w:rPr>
            <w:noProof/>
            <w:webHidden/>
          </w:rPr>
          <w:fldChar w:fldCharType="separate"/>
        </w:r>
        <w:r w:rsidR="00A62805">
          <w:rPr>
            <w:noProof/>
            <w:webHidden/>
          </w:rPr>
          <w:t>23</w:t>
        </w:r>
        <w:r>
          <w:rPr>
            <w:noProof/>
            <w:webHidden/>
          </w:rPr>
          <w:fldChar w:fldCharType="end"/>
        </w:r>
      </w:hyperlink>
    </w:p>
    <w:p w14:paraId="3DF4756C" w14:textId="0797C221" w:rsidR="00001BFF" w:rsidRDefault="00001BFF">
      <w:pPr>
        <w:pStyle w:val="TOC2"/>
        <w:tabs>
          <w:tab w:val="left" w:pos="880"/>
          <w:tab w:val="right" w:leader="dot" w:pos="9016"/>
        </w:tabs>
        <w:rPr>
          <w:rFonts w:eastAsiaTheme="minorEastAsia"/>
          <w:noProof/>
          <w:kern w:val="2"/>
          <w:sz w:val="24"/>
          <w:szCs w:val="24"/>
          <w:lang w:eastAsia="en-AU"/>
          <w14:ligatures w14:val="standardContextual"/>
        </w:rPr>
      </w:pPr>
      <w:hyperlink w:anchor="_Toc185251840" w:history="1">
        <w:r w:rsidRPr="008A0DDD">
          <w:rPr>
            <w:rStyle w:val="Hyperlink"/>
            <w:noProof/>
          </w:rPr>
          <w:t>5.3</w:t>
        </w:r>
        <w:r>
          <w:rPr>
            <w:rFonts w:eastAsiaTheme="minorEastAsia"/>
            <w:noProof/>
            <w:kern w:val="2"/>
            <w:sz w:val="24"/>
            <w:szCs w:val="24"/>
            <w:lang w:eastAsia="en-AU"/>
            <w14:ligatures w14:val="standardContextual"/>
          </w:rPr>
          <w:tab/>
        </w:r>
        <w:r w:rsidRPr="008A0DDD">
          <w:rPr>
            <w:rStyle w:val="Hyperlink"/>
            <w:noProof/>
          </w:rPr>
          <w:t>Category 3: Industry and other R&amp;D income</w:t>
        </w:r>
        <w:r>
          <w:rPr>
            <w:noProof/>
            <w:webHidden/>
          </w:rPr>
          <w:tab/>
        </w:r>
        <w:r>
          <w:rPr>
            <w:noProof/>
            <w:webHidden/>
          </w:rPr>
          <w:fldChar w:fldCharType="begin"/>
        </w:r>
        <w:r>
          <w:rPr>
            <w:noProof/>
            <w:webHidden/>
          </w:rPr>
          <w:instrText xml:space="preserve"> PAGEREF _Toc185251840 \h </w:instrText>
        </w:r>
        <w:r>
          <w:rPr>
            <w:noProof/>
            <w:webHidden/>
          </w:rPr>
        </w:r>
        <w:r>
          <w:rPr>
            <w:noProof/>
            <w:webHidden/>
          </w:rPr>
          <w:fldChar w:fldCharType="separate"/>
        </w:r>
        <w:r w:rsidR="00A62805">
          <w:rPr>
            <w:noProof/>
            <w:webHidden/>
          </w:rPr>
          <w:t>24</w:t>
        </w:r>
        <w:r>
          <w:rPr>
            <w:noProof/>
            <w:webHidden/>
          </w:rPr>
          <w:fldChar w:fldCharType="end"/>
        </w:r>
      </w:hyperlink>
    </w:p>
    <w:p w14:paraId="66498114" w14:textId="4F2195FC" w:rsidR="00001BFF" w:rsidRDefault="00001BFF">
      <w:pPr>
        <w:pStyle w:val="TOC3"/>
        <w:tabs>
          <w:tab w:val="left" w:pos="1200"/>
          <w:tab w:val="right" w:leader="dot" w:pos="9016"/>
        </w:tabs>
        <w:rPr>
          <w:rFonts w:eastAsiaTheme="minorEastAsia"/>
          <w:noProof/>
          <w:kern w:val="2"/>
          <w:sz w:val="24"/>
          <w:szCs w:val="24"/>
          <w:lang w:eastAsia="en-AU"/>
          <w14:ligatures w14:val="standardContextual"/>
        </w:rPr>
      </w:pPr>
      <w:hyperlink w:anchor="_Toc185251841" w:history="1">
        <w:r w:rsidRPr="008A0DDD">
          <w:rPr>
            <w:rStyle w:val="Hyperlink"/>
            <w:noProof/>
          </w:rPr>
          <w:t>5.3.1</w:t>
        </w:r>
        <w:r>
          <w:rPr>
            <w:rFonts w:eastAsiaTheme="minorEastAsia"/>
            <w:noProof/>
            <w:kern w:val="2"/>
            <w:sz w:val="24"/>
            <w:szCs w:val="24"/>
            <w:lang w:eastAsia="en-AU"/>
            <w14:ligatures w14:val="standardContextual"/>
          </w:rPr>
          <w:tab/>
        </w:r>
        <w:r w:rsidRPr="008A0DDD">
          <w:rPr>
            <w:rStyle w:val="Hyperlink"/>
            <w:noProof/>
          </w:rPr>
          <w:t>Australian private sector</w:t>
        </w:r>
        <w:r>
          <w:rPr>
            <w:noProof/>
            <w:webHidden/>
          </w:rPr>
          <w:tab/>
        </w:r>
        <w:r>
          <w:rPr>
            <w:noProof/>
            <w:webHidden/>
          </w:rPr>
          <w:fldChar w:fldCharType="begin"/>
        </w:r>
        <w:r>
          <w:rPr>
            <w:noProof/>
            <w:webHidden/>
          </w:rPr>
          <w:instrText xml:space="preserve"> PAGEREF _Toc185251841 \h </w:instrText>
        </w:r>
        <w:r>
          <w:rPr>
            <w:noProof/>
            <w:webHidden/>
          </w:rPr>
        </w:r>
        <w:r>
          <w:rPr>
            <w:noProof/>
            <w:webHidden/>
          </w:rPr>
          <w:fldChar w:fldCharType="separate"/>
        </w:r>
        <w:r w:rsidR="00A62805">
          <w:rPr>
            <w:noProof/>
            <w:webHidden/>
          </w:rPr>
          <w:t>24</w:t>
        </w:r>
        <w:r>
          <w:rPr>
            <w:noProof/>
            <w:webHidden/>
          </w:rPr>
          <w:fldChar w:fldCharType="end"/>
        </w:r>
      </w:hyperlink>
    </w:p>
    <w:p w14:paraId="2CE9DC18" w14:textId="19BB1027" w:rsidR="00001BFF" w:rsidRDefault="00001BFF">
      <w:pPr>
        <w:pStyle w:val="TOC3"/>
        <w:tabs>
          <w:tab w:val="left" w:pos="1200"/>
          <w:tab w:val="right" w:leader="dot" w:pos="9016"/>
        </w:tabs>
        <w:rPr>
          <w:rFonts w:eastAsiaTheme="minorEastAsia"/>
          <w:noProof/>
          <w:kern w:val="2"/>
          <w:sz w:val="24"/>
          <w:szCs w:val="24"/>
          <w:lang w:eastAsia="en-AU"/>
          <w14:ligatures w14:val="standardContextual"/>
        </w:rPr>
      </w:pPr>
      <w:hyperlink w:anchor="_Toc185251842" w:history="1">
        <w:r w:rsidRPr="008A0DDD">
          <w:rPr>
            <w:rStyle w:val="Hyperlink"/>
            <w:noProof/>
          </w:rPr>
          <w:t>5.3.2</w:t>
        </w:r>
        <w:r>
          <w:rPr>
            <w:rFonts w:eastAsiaTheme="minorEastAsia"/>
            <w:noProof/>
            <w:kern w:val="2"/>
            <w:sz w:val="24"/>
            <w:szCs w:val="24"/>
            <w:lang w:eastAsia="en-AU"/>
            <w14:ligatures w14:val="standardContextual"/>
          </w:rPr>
          <w:tab/>
        </w:r>
        <w:r w:rsidRPr="008A0DDD">
          <w:rPr>
            <w:rStyle w:val="Hyperlink"/>
            <w:noProof/>
          </w:rPr>
          <w:t>International private sector</w:t>
        </w:r>
        <w:r>
          <w:rPr>
            <w:noProof/>
            <w:webHidden/>
          </w:rPr>
          <w:tab/>
        </w:r>
        <w:r>
          <w:rPr>
            <w:noProof/>
            <w:webHidden/>
          </w:rPr>
          <w:fldChar w:fldCharType="begin"/>
        </w:r>
        <w:r>
          <w:rPr>
            <w:noProof/>
            <w:webHidden/>
          </w:rPr>
          <w:instrText xml:space="preserve"> PAGEREF _Toc185251842 \h </w:instrText>
        </w:r>
        <w:r>
          <w:rPr>
            <w:noProof/>
            <w:webHidden/>
          </w:rPr>
        </w:r>
        <w:r>
          <w:rPr>
            <w:noProof/>
            <w:webHidden/>
          </w:rPr>
          <w:fldChar w:fldCharType="separate"/>
        </w:r>
        <w:r w:rsidR="00A62805">
          <w:rPr>
            <w:noProof/>
            <w:webHidden/>
          </w:rPr>
          <w:t>25</w:t>
        </w:r>
        <w:r>
          <w:rPr>
            <w:noProof/>
            <w:webHidden/>
          </w:rPr>
          <w:fldChar w:fldCharType="end"/>
        </w:r>
      </w:hyperlink>
    </w:p>
    <w:p w14:paraId="22AD59EA" w14:textId="730DB9C3" w:rsidR="00001BFF" w:rsidRDefault="00001BFF">
      <w:pPr>
        <w:pStyle w:val="TOC3"/>
        <w:tabs>
          <w:tab w:val="left" w:pos="1200"/>
          <w:tab w:val="right" w:leader="dot" w:pos="9016"/>
        </w:tabs>
        <w:rPr>
          <w:rFonts w:eastAsiaTheme="minorEastAsia"/>
          <w:noProof/>
          <w:kern w:val="2"/>
          <w:sz w:val="24"/>
          <w:szCs w:val="24"/>
          <w:lang w:eastAsia="en-AU"/>
          <w14:ligatures w14:val="standardContextual"/>
        </w:rPr>
      </w:pPr>
      <w:hyperlink w:anchor="_Toc185251843" w:history="1">
        <w:r w:rsidRPr="008A0DDD">
          <w:rPr>
            <w:rStyle w:val="Hyperlink"/>
            <w:noProof/>
          </w:rPr>
          <w:t>5.3.3</w:t>
        </w:r>
        <w:r>
          <w:rPr>
            <w:rFonts w:eastAsiaTheme="minorEastAsia"/>
            <w:noProof/>
            <w:kern w:val="2"/>
            <w:sz w:val="24"/>
            <w:szCs w:val="24"/>
            <w:lang w:eastAsia="en-AU"/>
            <w14:ligatures w14:val="standardContextual"/>
          </w:rPr>
          <w:tab/>
        </w:r>
        <w:r w:rsidRPr="008A0DDD">
          <w:rPr>
            <w:rStyle w:val="Hyperlink"/>
            <w:noProof/>
          </w:rPr>
          <w:t>International government</w:t>
        </w:r>
        <w:r>
          <w:rPr>
            <w:noProof/>
            <w:webHidden/>
          </w:rPr>
          <w:tab/>
        </w:r>
        <w:r>
          <w:rPr>
            <w:noProof/>
            <w:webHidden/>
          </w:rPr>
          <w:fldChar w:fldCharType="begin"/>
        </w:r>
        <w:r>
          <w:rPr>
            <w:noProof/>
            <w:webHidden/>
          </w:rPr>
          <w:instrText xml:space="preserve"> PAGEREF _Toc185251843 \h </w:instrText>
        </w:r>
        <w:r>
          <w:rPr>
            <w:noProof/>
            <w:webHidden/>
          </w:rPr>
        </w:r>
        <w:r>
          <w:rPr>
            <w:noProof/>
            <w:webHidden/>
          </w:rPr>
          <w:fldChar w:fldCharType="separate"/>
        </w:r>
        <w:r w:rsidR="00A62805">
          <w:rPr>
            <w:noProof/>
            <w:webHidden/>
          </w:rPr>
          <w:t>26</w:t>
        </w:r>
        <w:r>
          <w:rPr>
            <w:noProof/>
            <w:webHidden/>
          </w:rPr>
          <w:fldChar w:fldCharType="end"/>
        </w:r>
      </w:hyperlink>
    </w:p>
    <w:p w14:paraId="6F5F2DA3" w14:textId="3A818167" w:rsidR="00001BFF" w:rsidRDefault="00001BFF">
      <w:pPr>
        <w:pStyle w:val="TOC2"/>
        <w:tabs>
          <w:tab w:val="left" w:pos="880"/>
          <w:tab w:val="right" w:leader="dot" w:pos="9016"/>
        </w:tabs>
        <w:rPr>
          <w:rFonts w:eastAsiaTheme="minorEastAsia"/>
          <w:noProof/>
          <w:kern w:val="2"/>
          <w:sz w:val="24"/>
          <w:szCs w:val="24"/>
          <w:lang w:eastAsia="en-AU"/>
          <w14:ligatures w14:val="standardContextual"/>
        </w:rPr>
      </w:pPr>
      <w:hyperlink w:anchor="_Toc185251844" w:history="1">
        <w:r w:rsidRPr="008A0DDD">
          <w:rPr>
            <w:rStyle w:val="Hyperlink"/>
            <w:noProof/>
          </w:rPr>
          <w:t>5.4</w:t>
        </w:r>
        <w:r>
          <w:rPr>
            <w:rFonts w:eastAsiaTheme="minorEastAsia"/>
            <w:noProof/>
            <w:kern w:val="2"/>
            <w:sz w:val="24"/>
            <w:szCs w:val="24"/>
            <w:lang w:eastAsia="en-AU"/>
            <w14:ligatures w14:val="standardContextual"/>
          </w:rPr>
          <w:tab/>
        </w:r>
        <w:r w:rsidRPr="008A0DDD">
          <w:rPr>
            <w:rStyle w:val="Hyperlink"/>
            <w:noProof/>
          </w:rPr>
          <w:t>Category 4: CRC R&amp;D income</w:t>
        </w:r>
        <w:r>
          <w:rPr>
            <w:noProof/>
            <w:webHidden/>
          </w:rPr>
          <w:tab/>
        </w:r>
        <w:r>
          <w:rPr>
            <w:noProof/>
            <w:webHidden/>
          </w:rPr>
          <w:fldChar w:fldCharType="begin"/>
        </w:r>
        <w:r>
          <w:rPr>
            <w:noProof/>
            <w:webHidden/>
          </w:rPr>
          <w:instrText xml:space="preserve"> PAGEREF _Toc185251844 \h </w:instrText>
        </w:r>
        <w:r>
          <w:rPr>
            <w:noProof/>
            <w:webHidden/>
          </w:rPr>
        </w:r>
        <w:r>
          <w:rPr>
            <w:noProof/>
            <w:webHidden/>
          </w:rPr>
          <w:fldChar w:fldCharType="separate"/>
        </w:r>
        <w:r w:rsidR="00A62805">
          <w:rPr>
            <w:noProof/>
            <w:webHidden/>
          </w:rPr>
          <w:t>26</w:t>
        </w:r>
        <w:r>
          <w:rPr>
            <w:noProof/>
            <w:webHidden/>
          </w:rPr>
          <w:fldChar w:fldCharType="end"/>
        </w:r>
      </w:hyperlink>
    </w:p>
    <w:p w14:paraId="3166B8EE" w14:textId="6F3EA4C1" w:rsidR="00001BFF" w:rsidRDefault="00001BFF">
      <w:pPr>
        <w:pStyle w:val="TOC3"/>
        <w:tabs>
          <w:tab w:val="left" w:pos="1200"/>
          <w:tab w:val="right" w:leader="dot" w:pos="9016"/>
        </w:tabs>
        <w:rPr>
          <w:rFonts w:eastAsiaTheme="minorEastAsia"/>
          <w:noProof/>
          <w:kern w:val="2"/>
          <w:sz w:val="24"/>
          <w:szCs w:val="24"/>
          <w:lang w:eastAsia="en-AU"/>
          <w14:ligatures w14:val="standardContextual"/>
        </w:rPr>
      </w:pPr>
      <w:hyperlink w:anchor="_Toc185251845" w:history="1">
        <w:r w:rsidRPr="008A0DDD">
          <w:rPr>
            <w:rStyle w:val="Hyperlink"/>
            <w:noProof/>
          </w:rPr>
          <w:t>5.4.1</w:t>
        </w:r>
        <w:r>
          <w:rPr>
            <w:rFonts w:eastAsiaTheme="minorEastAsia"/>
            <w:noProof/>
            <w:kern w:val="2"/>
            <w:sz w:val="24"/>
            <w:szCs w:val="24"/>
            <w:lang w:eastAsia="en-AU"/>
            <w14:ligatures w14:val="standardContextual"/>
          </w:rPr>
          <w:tab/>
        </w:r>
        <w:r w:rsidRPr="008A0DDD">
          <w:rPr>
            <w:rStyle w:val="Hyperlink"/>
            <w:noProof/>
          </w:rPr>
          <w:t>Breakdown by source category</w:t>
        </w:r>
        <w:r>
          <w:rPr>
            <w:noProof/>
            <w:webHidden/>
          </w:rPr>
          <w:tab/>
        </w:r>
        <w:r>
          <w:rPr>
            <w:noProof/>
            <w:webHidden/>
          </w:rPr>
          <w:fldChar w:fldCharType="begin"/>
        </w:r>
        <w:r>
          <w:rPr>
            <w:noProof/>
            <w:webHidden/>
          </w:rPr>
          <w:instrText xml:space="preserve"> PAGEREF _Toc185251845 \h </w:instrText>
        </w:r>
        <w:r>
          <w:rPr>
            <w:noProof/>
            <w:webHidden/>
          </w:rPr>
        </w:r>
        <w:r>
          <w:rPr>
            <w:noProof/>
            <w:webHidden/>
          </w:rPr>
          <w:fldChar w:fldCharType="separate"/>
        </w:r>
        <w:r w:rsidR="00A62805">
          <w:rPr>
            <w:noProof/>
            <w:webHidden/>
          </w:rPr>
          <w:t>27</w:t>
        </w:r>
        <w:r>
          <w:rPr>
            <w:noProof/>
            <w:webHidden/>
          </w:rPr>
          <w:fldChar w:fldCharType="end"/>
        </w:r>
      </w:hyperlink>
    </w:p>
    <w:p w14:paraId="4CD15FE5" w14:textId="22AD570F" w:rsidR="00001BFF" w:rsidRDefault="00001BFF">
      <w:pPr>
        <w:pStyle w:val="TOC1"/>
        <w:rPr>
          <w:rFonts w:eastAsiaTheme="minorEastAsia"/>
          <w:noProof/>
          <w:kern w:val="2"/>
          <w:sz w:val="24"/>
          <w:szCs w:val="24"/>
          <w:lang w:eastAsia="en-AU"/>
          <w14:ligatures w14:val="standardContextual"/>
        </w:rPr>
      </w:pPr>
      <w:hyperlink w:anchor="_Toc185251846" w:history="1">
        <w:r w:rsidRPr="008A0DDD">
          <w:rPr>
            <w:rStyle w:val="Hyperlink"/>
            <w:bCs/>
            <w:noProof/>
          </w:rPr>
          <w:t>6</w:t>
        </w:r>
        <w:r>
          <w:rPr>
            <w:rFonts w:eastAsiaTheme="minorEastAsia"/>
            <w:noProof/>
            <w:kern w:val="2"/>
            <w:sz w:val="24"/>
            <w:szCs w:val="24"/>
            <w:lang w:eastAsia="en-AU"/>
            <w14:ligatures w14:val="standardContextual"/>
          </w:rPr>
          <w:tab/>
        </w:r>
        <w:r w:rsidRPr="008A0DDD">
          <w:rPr>
            <w:rStyle w:val="Hyperlink"/>
            <w:noProof/>
          </w:rPr>
          <w:t>Acronyms</w:t>
        </w:r>
        <w:r>
          <w:rPr>
            <w:noProof/>
            <w:webHidden/>
          </w:rPr>
          <w:tab/>
        </w:r>
        <w:r>
          <w:rPr>
            <w:noProof/>
            <w:webHidden/>
          </w:rPr>
          <w:fldChar w:fldCharType="begin"/>
        </w:r>
        <w:r>
          <w:rPr>
            <w:noProof/>
            <w:webHidden/>
          </w:rPr>
          <w:instrText xml:space="preserve"> PAGEREF _Toc185251846 \h </w:instrText>
        </w:r>
        <w:r>
          <w:rPr>
            <w:noProof/>
            <w:webHidden/>
          </w:rPr>
        </w:r>
        <w:r>
          <w:rPr>
            <w:noProof/>
            <w:webHidden/>
          </w:rPr>
          <w:fldChar w:fldCharType="separate"/>
        </w:r>
        <w:r w:rsidR="00A62805">
          <w:rPr>
            <w:noProof/>
            <w:webHidden/>
          </w:rPr>
          <w:t>28</w:t>
        </w:r>
        <w:r>
          <w:rPr>
            <w:noProof/>
            <w:webHidden/>
          </w:rPr>
          <w:fldChar w:fldCharType="end"/>
        </w:r>
      </w:hyperlink>
    </w:p>
    <w:p w14:paraId="1758C171" w14:textId="45AD59F3" w:rsidR="00001BFF" w:rsidRDefault="00001BFF">
      <w:pPr>
        <w:pStyle w:val="TOC1"/>
        <w:rPr>
          <w:rFonts w:eastAsiaTheme="minorEastAsia"/>
          <w:noProof/>
          <w:kern w:val="2"/>
          <w:sz w:val="24"/>
          <w:szCs w:val="24"/>
          <w:lang w:eastAsia="en-AU"/>
          <w14:ligatures w14:val="standardContextual"/>
        </w:rPr>
      </w:pPr>
      <w:hyperlink w:anchor="_Toc185251847" w:history="1">
        <w:r w:rsidRPr="008A0DDD">
          <w:rPr>
            <w:rStyle w:val="Hyperlink"/>
            <w:noProof/>
          </w:rPr>
          <w:t>7</w:t>
        </w:r>
        <w:r>
          <w:rPr>
            <w:rFonts w:eastAsiaTheme="minorEastAsia"/>
            <w:noProof/>
            <w:kern w:val="2"/>
            <w:sz w:val="24"/>
            <w:szCs w:val="24"/>
            <w:lang w:eastAsia="en-AU"/>
            <w14:ligatures w14:val="standardContextual"/>
          </w:rPr>
          <w:tab/>
        </w:r>
        <w:r w:rsidRPr="008A0DDD">
          <w:rPr>
            <w:rStyle w:val="Hyperlink"/>
            <w:noProof/>
          </w:rPr>
          <w:t>List of R&amp;D income sub-categories</w:t>
        </w:r>
        <w:r>
          <w:rPr>
            <w:noProof/>
            <w:webHidden/>
          </w:rPr>
          <w:tab/>
        </w:r>
        <w:r>
          <w:rPr>
            <w:noProof/>
            <w:webHidden/>
          </w:rPr>
          <w:fldChar w:fldCharType="begin"/>
        </w:r>
        <w:r>
          <w:rPr>
            <w:noProof/>
            <w:webHidden/>
          </w:rPr>
          <w:instrText xml:space="preserve"> PAGEREF _Toc185251847 \h </w:instrText>
        </w:r>
        <w:r>
          <w:rPr>
            <w:noProof/>
            <w:webHidden/>
          </w:rPr>
        </w:r>
        <w:r>
          <w:rPr>
            <w:noProof/>
            <w:webHidden/>
          </w:rPr>
          <w:fldChar w:fldCharType="separate"/>
        </w:r>
        <w:r w:rsidR="00A62805">
          <w:rPr>
            <w:noProof/>
            <w:webHidden/>
          </w:rPr>
          <w:t>29</w:t>
        </w:r>
        <w:r>
          <w:rPr>
            <w:noProof/>
            <w:webHidden/>
          </w:rPr>
          <w:fldChar w:fldCharType="end"/>
        </w:r>
      </w:hyperlink>
    </w:p>
    <w:p w14:paraId="24DE2967" w14:textId="4301B915" w:rsidR="0017134D" w:rsidRDefault="00BF4492">
      <w:r>
        <w:fldChar w:fldCharType="end"/>
      </w:r>
      <w:r w:rsidR="0017134D">
        <w:br w:type="page"/>
      </w:r>
    </w:p>
    <w:p w14:paraId="6EFD4559" w14:textId="557F3B6A" w:rsidR="009D347E" w:rsidRDefault="00902C2B" w:rsidP="00C069CD">
      <w:pPr>
        <w:pStyle w:val="Heading1"/>
        <w:spacing w:line="240" w:lineRule="auto"/>
        <w:ind w:left="284" w:hanging="284"/>
        <w:rPr>
          <w:color w:val="000000"/>
        </w:rPr>
      </w:pPr>
      <w:bookmarkStart w:id="2" w:name="_Toc185251805"/>
      <w:r>
        <w:rPr>
          <w:color w:val="000000"/>
        </w:rPr>
        <w:lastRenderedPageBreak/>
        <w:t>H</w:t>
      </w:r>
      <w:r w:rsidR="007A7217">
        <w:rPr>
          <w:color w:val="000000"/>
        </w:rPr>
        <w:t xml:space="preserve">igher Education Research Data Collection (HERDC) </w:t>
      </w:r>
      <w:r w:rsidR="00511FD9">
        <w:rPr>
          <w:color w:val="000000"/>
        </w:rPr>
        <w:t>s</w:t>
      </w:r>
      <w:r>
        <w:rPr>
          <w:color w:val="000000"/>
        </w:rPr>
        <w:t>pecifications – updates to note</w:t>
      </w:r>
      <w:bookmarkEnd w:id="2"/>
    </w:p>
    <w:p w14:paraId="4F3C177C" w14:textId="77777777" w:rsidR="00511FD9" w:rsidRDefault="00C657B8" w:rsidP="00DA0D03">
      <w:pPr>
        <w:rPr>
          <w:rFonts w:ascii="Calibri" w:eastAsia="Calibri" w:hAnsi="Calibri" w:cs="Arial"/>
        </w:rPr>
      </w:pPr>
      <w:r w:rsidRPr="00511FD9">
        <w:rPr>
          <w:rFonts w:ascii="Calibri" w:eastAsia="Calibri" w:hAnsi="Calibri" w:cs="Arial"/>
        </w:rPr>
        <w:t xml:space="preserve">No changes have been made to </w:t>
      </w:r>
      <w:r w:rsidR="00763CBD" w:rsidRPr="00511FD9">
        <w:rPr>
          <w:rFonts w:ascii="Calibri" w:eastAsia="Calibri" w:hAnsi="Calibri" w:cs="Arial"/>
        </w:rPr>
        <w:t>HERDC</w:t>
      </w:r>
      <w:r w:rsidRPr="00511FD9">
        <w:rPr>
          <w:rFonts w:ascii="Calibri" w:eastAsia="Calibri" w:hAnsi="Calibri" w:cs="Arial"/>
        </w:rPr>
        <w:t xml:space="preserve"> reporting requirements from the previous year. </w:t>
      </w:r>
    </w:p>
    <w:p w14:paraId="2DA97446" w14:textId="7346E5DD" w:rsidR="00F02E6F" w:rsidRPr="00511FD9" w:rsidRDefault="00C657B8" w:rsidP="00DA0D03">
      <w:pPr>
        <w:rPr>
          <w:rFonts w:ascii="Calibri" w:eastAsia="Calibri" w:hAnsi="Calibri" w:cs="Arial"/>
        </w:rPr>
      </w:pPr>
      <w:r w:rsidRPr="00511FD9">
        <w:rPr>
          <w:rFonts w:ascii="Calibri" w:eastAsia="Calibri" w:hAnsi="Calibri" w:cs="Arial"/>
        </w:rPr>
        <w:t>The f</w:t>
      </w:r>
      <w:r w:rsidR="00A250EF" w:rsidRPr="00511FD9">
        <w:rPr>
          <w:rFonts w:ascii="Calibri" w:eastAsia="Calibri" w:hAnsi="Calibri" w:cs="Arial"/>
        </w:rPr>
        <w:t xml:space="preserve">ollowing changes </w:t>
      </w:r>
      <w:r w:rsidR="00763CBD" w:rsidRPr="00511FD9">
        <w:rPr>
          <w:rFonts w:ascii="Calibri" w:eastAsia="Calibri" w:hAnsi="Calibri" w:cs="Arial"/>
        </w:rPr>
        <w:t xml:space="preserve">to the </w:t>
      </w:r>
      <w:r w:rsidR="00526F8E">
        <w:rPr>
          <w:rFonts w:ascii="Calibri" w:eastAsia="Calibri" w:hAnsi="Calibri" w:cs="Arial"/>
        </w:rPr>
        <w:t>final</w:t>
      </w:r>
      <w:r w:rsidR="00763CBD" w:rsidRPr="00511FD9">
        <w:rPr>
          <w:rFonts w:ascii="Calibri" w:eastAsia="Calibri" w:hAnsi="Calibri" w:cs="Arial"/>
        </w:rPr>
        <w:t xml:space="preserve"> 2024 specifications </w:t>
      </w:r>
      <w:r w:rsidR="00A250EF" w:rsidRPr="00511FD9">
        <w:rPr>
          <w:rFonts w:ascii="Calibri" w:eastAsia="Calibri" w:hAnsi="Calibri" w:cs="Arial"/>
        </w:rPr>
        <w:t>have been made to</w:t>
      </w:r>
      <w:r w:rsidRPr="00511FD9">
        <w:rPr>
          <w:rFonts w:ascii="Calibri" w:eastAsia="Calibri" w:hAnsi="Calibri" w:cs="Arial"/>
        </w:rPr>
        <w:t xml:space="preserve"> improve accessibility</w:t>
      </w:r>
      <w:r w:rsidR="00574024" w:rsidRPr="00511FD9">
        <w:rPr>
          <w:rFonts w:ascii="Calibri" w:eastAsia="Calibri" w:hAnsi="Calibri" w:cs="Arial"/>
        </w:rPr>
        <w:t xml:space="preserve"> and </w:t>
      </w:r>
      <w:r w:rsidR="00010DAE" w:rsidRPr="00511FD9">
        <w:rPr>
          <w:rFonts w:ascii="Calibri" w:eastAsia="Calibri" w:hAnsi="Calibri" w:cs="Arial"/>
        </w:rPr>
        <w:t>clarity</w:t>
      </w:r>
      <w:r w:rsidRPr="00511FD9">
        <w:rPr>
          <w:rFonts w:ascii="Calibri" w:eastAsia="Calibri" w:hAnsi="Calibri" w:cs="Arial"/>
        </w:rPr>
        <w:t>:</w:t>
      </w:r>
      <w:r w:rsidR="00A250EF" w:rsidRPr="00511FD9">
        <w:rPr>
          <w:rFonts w:ascii="Calibri" w:eastAsia="Calibri" w:hAnsi="Calibri" w:cs="Arial"/>
        </w:rPr>
        <w:t xml:space="preserve"> </w:t>
      </w:r>
    </w:p>
    <w:p w14:paraId="00797C47" w14:textId="4C850B67" w:rsidR="00C657B8" w:rsidRPr="00535546" w:rsidRDefault="00C657B8" w:rsidP="00535546">
      <w:pPr>
        <w:pStyle w:val="Heading2-NoTOC"/>
      </w:pPr>
      <w:bookmarkStart w:id="3" w:name="_Hlk178772931"/>
      <w:r w:rsidRPr="00535546">
        <w:t xml:space="preserve">HERDC </w:t>
      </w:r>
      <w:r w:rsidR="00511FD9" w:rsidRPr="00535546">
        <w:t>s</w:t>
      </w:r>
      <w:r w:rsidRPr="00535546">
        <w:t>pecifications – updates to note</w:t>
      </w:r>
    </w:p>
    <w:p w14:paraId="770B7074" w14:textId="4DA12872" w:rsidR="00C657B8" w:rsidRDefault="00C657B8" w:rsidP="00254AA2">
      <w:r>
        <w:t xml:space="preserve">Moved </w:t>
      </w:r>
      <w:r w:rsidR="00B81B97">
        <w:t>from</w:t>
      </w:r>
      <w:r w:rsidR="00147EAF">
        <w:t xml:space="preserve"> </w:t>
      </w:r>
      <w:r w:rsidR="000D397B">
        <w:t>s</w:t>
      </w:r>
      <w:r w:rsidR="00147EAF">
        <w:t>ection 2</w:t>
      </w:r>
      <w:r w:rsidR="00B81B97">
        <w:rPr>
          <w:b/>
          <w:bCs/>
        </w:rPr>
        <w:t xml:space="preserve"> </w:t>
      </w:r>
      <w:r w:rsidR="003A54BB">
        <w:t xml:space="preserve">to </w:t>
      </w:r>
      <w:r w:rsidR="000D397B">
        <w:rPr>
          <w:b/>
          <w:bCs/>
        </w:rPr>
        <w:t>s</w:t>
      </w:r>
      <w:r w:rsidR="003A54BB" w:rsidRPr="00DA0D03">
        <w:rPr>
          <w:b/>
          <w:bCs/>
        </w:rPr>
        <w:t>ection 1</w:t>
      </w:r>
      <w:r w:rsidR="003A54BB">
        <w:t>.</w:t>
      </w:r>
    </w:p>
    <w:p w14:paraId="2501F673" w14:textId="44268865" w:rsidR="00C657B8" w:rsidRDefault="00C657B8" w:rsidP="00535546">
      <w:pPr>
        <w:pStyle w:val="Heading2-NoTOC"/>
        <w:rPr>
          <w:bCs/>
        </w:rPr>
      </w:pPr>
      <w:r>
        <w:t>Introduction</w:t>
      </w:r>
    </w:p>
    <w:p w14:paraId="092AD367" w14:textId="27B6F572" w:rsidR="00C657B8" w:rsidRDefault="00C657B8" w:rsidP="00254AA2">
      <w:r>
        <w:t xml:space="preserve">Moved </w:t>
      </w:r>
      <w:r w:rsidR="00B81B97">
        <w:t xml:space="preserve">from </w:t>
      </w:r>
      <w:r w:rsidR="000D397B">
        <w:t>s</w:t>
      </w:r>
      <w:r w:rsidR="00B81B97" w:rsidRPr="00DA0D03">
        <w:t>ection 1</w:t>
      </w:r>
      <w:r w:rsidR="00B81B97">
        <w:rPr>
          <w:b/>
          <w:bCs/>
        </w:rPr>
        <w:t xml:space="preserve"> </w:t>
      </w:r>
      <w:r>
        <w:t xml:space="preserve">to </w:t>
      </w:r>
      <w:r w:rsidR="000D397B">
        <w:rPr>
          <w:b/>
          <w:bCs/>
        </w:rPr>
        <w:t>s</w:t>
      </w:r>
      <w:r w:rsidRPr="00DA0D03">
        <w:rPr>
          <w:b/>
          <w:bCs/>
        </w:rPr>
        <w:t>ection 2</w:t>
      </w:r>
      <w:r>
        <w:t xml:space="preserve"> to accommodate </w:t>
      </w:r>
      <w:r w:rsidR="003A54BB">
        <w:t xml:space="preserve">moving ‘HERDC </w:t>
      </w:r>
      <w:r w:rsidR="00511FD9">
        <w:t>s</w:t>
      </w:r>
      <w:r w:rsidR="003A54BB">
        <w:t>pecifications – updates to note’ to the start of the document</w:t>
      </w:r>
      <w:r w:rsidR="00611947">
        <w:t>.</w:t>
      </w:r>
      <w:r w:rsidR="003A54BB">
        <w:t xml:space="preserve"> </w:t>
      </w:r>
    </w:p>
    <w:p w14:paraId="6CC01E24" w14:textId="0CEE3DF9" w:rsidR="004C1779" w:rsidRDefault="00E2185F" w:rsidP="00535546">
      <w:pPr>
        <w:pStyle w:val="Heading2-NoTOC"/>
      </w:pPr>
      <w:r>
        <w:t>Use of data</w:t>
      </w:r>
    </w:p>
    <w:p w14:paraId="21513F4B" w14:textId="6EA98CE3" w:rsidR="004C1779" w:rsidRPr="00380B0C" w:rsidRDefault="003855DF" w:rsidP="004C1779">
      <w:r>
        <w:t xml:space="preserve">A minor amendment has been made to </w:t>
      </w:r>
      <w:r w:rsidR="000D397B">
        <w:rPr>
          <w:b/>
          <w:bCs/>
        </w:rPr>
        <w:t>s</w:t>
      </w:r>
      <w:r w:rsidR="004C1779" w:rsidRPr="00DA0D03">
        <w:rPr>
          <w:b/>
          <w:bCs/>
        </w:rPr>
        <w:t>ection</w:t>
      </w:r>
      <w:r w:rsidR="004C1779">
        <w:rPr>
          <w:b/>
          <w:bCs/>
        </w:rPr>
        <w:t xml:space="preserve"> 2.2</w:t>
      </w:r>
      <w:r w:rsidR="004C1779">
        <w:t xml:space="preserve"> </w:t>
      </w:r>
      <w:r w:rsidR="0058566D" w:rsidRPr="00DD7A8A">
        <w:t xml:space="preserve">(formerly 1.2) </w:t>
      </w:r>
      <w:r w:rsidR="004C1779">
        <w:t xml:space="preserve">to reflect </w:t>
      </w:r>
      <w:r w:rsidR="004C1779" w:rsidRPr="004C1779">
        <w:t xml:space="preserve">that preliminary HERDC data </w:t>
      </w:r>
      <w:r w:rsidR="00942082">
        <w:t xml:space="preserve">may </w:t>
      </w:r>
      <w:r w:rsidR="004C1779" w:rsidRPr="004C1779">
        <w:t>be shared with Knowledge Commercialisation Austral</w:t>
      </w:r>
      <w:r w:rsidR="00BE6C39">
        <w:t>as</w:t>
      </w:r>
      <w:r w:rsidR="004C1779" w:rsidRPr="004C1779">
        <w:t xml:space="preserve">ia </w:t>
      </w:r>
      <w:r w:rsidR="001B1129">
        <w:t xml:space="preserve">(KCA) </w:t>
      </w:r>
      <w:r w:rsidR="00244563" w:rsidRPr="002A37D9">
        <w:rPr>
          <w:rFonts w:ascii="Calibri" w:eastAsia="Calibri" w:hAnsi="Calibri" w:cs="Arial"/>
        </w:rPr>
        <w:t xml:space="preserve">to assist </w:t>
      </w:r>
      <w:r w:rsidR="00244563">
        <w:rPr>
          <w:rFonts w:ascii="Calibri" w:eastAsia="Calibri" w:hAnsi="Calibri" w:cs="Arial"/>
        </w:rPr>
        <w:t xml:space="preserve">with its </w:t>
      </w:r>
      <w:r w:rsidR="00942082">
        <w:rPr>
          <w:rFonts w:ascii="Calibri" w:eastAsia="Calibri" w:hAnsi="Calibri" w:cs="Arial"/>
        </w:rPr>
        <w:t xml:space="preserve">Survey of Commercialisation Outcomes from Public Research (SCOPR) </w:t>
      </w:r>
      <w:r w:rsidR="00244563">
        <w:rPr>
          <w:rFonts w:ascii="Calibri" w:eastAsia="Calibri" w:hAnsi="Calibri" w:cs="Arial"/>
        </w:rPr>
        <w:t>data collection, validation and/or reporting processes</w:t>
      </w:r>
      <w:r w:rsidR="00942082">
        <w:rPr>
          <w:rFonts w:ascii="Calibri" w:eastAsia="Calibri" w:hAnsi="Calibri" w:cs="Arial"/>
        </w:rPr>
        <w:t>,</w:t>
      </w:r>
      <w:r w:rsidR="004C1779">
        <w:t xml:space="preserve"> rather than </w:t>
      </w:r>
      <w:r>
        <w:t xml:space="preserve">to </w:t>
      </w:r>
      <w:r w:rsidR="004C1779" w:rsidRPr="004C1779">
        <w:t>assist HEPs in submitting data</w:t>
      </w:r>
      <w:r w:rsidR="005009AE">
        <w:t xml:space="preserve"> </w:t>
      </w:r>
      <w:r>
        <w:t xml:space="preserve">to SCOPR. </w:t>
      </w:r>
    </w:p>
    <w:p w14:paraId="4423697C" w14:textId="5DAC28E6" w:rsidR="003A54BB" w:rsidRDefault="003A54BB" w:rsidP="00535546">
      <w:pPr>
        <w:pStyle w:val="Heading2-NoTOC"/>
      </w:pPr>
      <w:r>
        <w:t xml:space="preserve">Materials </w:t>
      </w:r>
      <w:r w:rsidR="00511FD9">
        <w:t>r</w:t>
      </w:r>
      <w:r>
        <w:t xml:space="preserve">equired </w:t>
      </w:r>
    </w:p>
    <w:p w14:paraId="67FAE81F" w14:textId="15DE6AE6" w:rsidR="005E5B5C" w:rsidRDefault="00B26C25">
      <w:r>
        <w:t>The t</w:t>
      </w:r>
      <w:r w:rsidR="003A54BB">
        <w:t xml:space="preserve">able has been </w:t>
      </w:r>
      <w:r w:rsidR="005376E7">
        <w:t xml:space="preserve">reworded and </w:t>
      </w:r>
      <w:r w:rsidR="003A54BB">
        <w:t xml:space="preserve">moved from </w:t>
      </w:r>
      <w:r w:rsidR="000D397B">
        <w:t>s</w:t>
      </w:r>
      <w:r w:rsidR="003A54BB" w:rsidRPr="00147EAF">
        <w:t>ection 1.5</w:t>
      </w:r>
      <w:r w:rsidR="003A54BB">
        <w:t xml:space="preserve"> to </w:t>
      </w:r>
      <w:r w:rsidR="000D397B">
        <w:rPr>
          <w:b/>
          <w:bCs/>
        </w:rPr>
        <w:t>s</w:t>
      </w:r>
      <w:r w:rsidR="003A54BB" w:rsidRPr="00DA0D03">
        <w:rPr>
          <w:b/>
          <w:bCs/>
        </w:rPr>
        <w:t>ection 2.4</w:t>
      </w:r>
      <w:r>
        <w:rPr>
          <w:b/>
          <w:bCs/>
        </w:rPr>
        <w:t>.</w:t>
      </w:r>
    </w:p>
    <w:p w14:paraId="516E33A5" w14:textId="03DCB1A1" w:rsidR="00770D3C" w:rsidRDefault="00770D3C" w:rsidP="00535546">
      <w:pPr>
        <w:pStyle w:val="Heading2-NoTOC"/>
      </w:pPr>
      <w:r>
        <w:t xml:space="preserve">Inclusions and </w:t>
      </w:r>
      <w:r w:rsidR="00511FD9">
        <w:t>e</w:t>
      </w:r>
      <w:r>
        <w:t>xclusions on an income return</w:t>
      </w:r>
    </w:p>
    <w:p w14:paraId="0BC02919" w14:textId="6F341B8B" w:rsidR="00770D3C" w:rsidRDefault="00770D3C" w:rsidP="00770D3C">
      <w:pPr>
        <w:spacing w:after="160"/>
      </w:pPr>
      <w:r w:rsidRPr="00075D35">
        <w:rPr>
          <w:b/>
          <w:bCs/>
        </w:rPr>
        <w:t>Section 4.2.1</w:t>
      </w:r>
      <w:r w:rsidRPr="00DA0D03">
        <w:rPr>
          <w:b/>
          <w:bCs/>
        </w:rPr>
        <w:t xml:space="preserve"> (a)</w:t>
      </w:r>
      <w:r>
        <w:t xml:space="preserve"> has been </w:t>
      </w:r>
      <w:r w:rsidR="00F80D24">
        <w:t xml:space="preserve">restructured into parts (a) and (b) </w:t>
      </w:r>
      <w:r>
        <w:t>to improve clarity</w:t>
      </w:r>
      <w:r w:rsidR="00252BFA">
        <w:t xml:space="preserve"> around n</w:t>
      </w:r>
      <w:r w:rsidR="00252BFA" w:rsidRPr="00F327A2">
        <w:t>on-Commonwealth Government top-ups</w:t>
      </w:r>
      <w:r w:rsidR="00252BFA">
        <w:t>.</w:t>
      </w:r>
    </w:p>
    <w:p w14:paraId="028CFCDD" w14:textId="730F69F6" w:rsidR="00DF38E5" w:rsidRPr="00C93593" w:rsidRDefault="00DF38E5" w:rsidP="00535546">
      <w:pPr>
        <w:pStyle w:val="Heading2-NoTOC"/>
        <w:rPr>
          <w:bCs/>
        </w:rPr>
      </w:pPr>
      <w:r w:rsidRPr="00C93593">
        <w:t xml:space="preserve">Subsidiaries and </w:t>
      </w:r>
      <w:r w:rsidR="00511FD9">
        <w:t>a</w:t>
      </w:r>
      <w:r w:rsidRPr="00C93593">
        <w:t>ffiliates</w:t>
      </w:r>
    </w:p>
    <w:p w14:paraId="5C877D71" w14:textId="6577F0D7" w:rsidR="00DF38E5" w:rsidRDefault="00DF38E5" w:rsidP="00DF38E5">
      <w:bookmarkStart w:id="4" w:name="_Hlk178773031"/>
      <w:r w:rsidRPr="00C93593">
        <w:t>The paragraph about eligibility of subsidiaries and affiliates as research</w:t>
      </w:r>
      <w:r w:rsidR="00763A1A" w:rsidRPr="00C93593">
        <w:t xml:space="preserve"> </w:t>
      </w:r>
      <w:r w:rsidRPr="00C93593">
        <w:t>end</w:t>
      </w:r>
      <w:r w:rsidR="00763A1A" w:rsidRPr="00C93593">
        <w:t>-</w:t>
      </w:r>
      <w:r w:rsidRPr="00C93593">
        <w:t>users for the Research</w:t>
      </w:r>
      <w:r w:rsidR="00C41395">
        <w:t> </w:t>
      </w:r>
      <w:r w:rsidRPr="00C93593">
        <w:t xml:space="preserve">Training Program (RTP) industry internship weighting has been moved </w:t>
      </w:r>
      <w:r w:rsidR="00D22576" w:rsidRPr="00C93593">
        <w:t xml:space="preserve">from </w:t>
      </w:r>
      <w:r w:rsidR="000D397B">
        <w:t>s</w:t>
      </w:r>
      <w:r w:rsidR="00D22576" w:rsidRPr="00C93593">
        <w:t xml:space="preserve">ection 4.3 </w:t>
      </w:r>
      <w:r w:rsidRPr="00C93593">
        <w:t>to</w:t>
      </w:r>
      <w:r w:rsidR="00D22576" w:rsidRPr="00C93593">
        <w:t xml:space="preserve"> </w:t>
      </w:r>
      <w:r w:rsidR="000D397B">
        <w:rPr>
          <w:b/>
          <w:bCs/>
        </w:rPr>
        <w:t>s</w:t>
      </w:r>
      <w:r w:rsidR="00770D3C" w:rsidRPr="00DA0D03">
        <w:rPr>
          <w:b/>
          <w:bCs/>
        </w:rPr>
        <w:t>ection</w:t>
      </w:r>
      <w:r w:rsidR="00CE03DE">
        <w:rPr>
          <w:b/>
          <w:bCs/>
        </w:rPr>
        <w:t> </w:t>
      </w:r>
      <w:r w:rsidRPr="00DA0D03">
        <w:rPr>
          <w:b/>
          <w:bCs/>
        </w:rPr>
        <w:t>4.3.1</w:t>
      </w:r>
      <w:r w:rsidRPr="00C93593">
        <w:t xml:space="preserve"> </w:t>
      </w:r>
      <w:r w:rsidR="00CE03DE">
        <w:t xml:space="preserve">into a note and reworded </w:t>
      </w:r>
      <w:r w:rsidRPr="00C93593">
        <w:t xml:space="preserve">to make it clearer that it </w:t>
      </w:r>
      <w:bookmarkStart w:id="5" w:name="_Hlk179548204"/>
      <w:r w:rsidR="00E70AAA" w:rsidRPr="00DA0D03">
        <w:t xml:space="preserve">refers to </w:t>
      </w:r>
      <w:r w:rsidR="00C202DB" w:rsidRPr="00C93593">
        <w:t xml:space="preserve">the definition of </w:t>
      </w:r>
      <w:r w:rsidR="003771B7" w:rsidRPr="00C93593">
        <w:t xml:space="preserve">research </w:t>
      </w:r>
      <w:r w:rsidR="00C202DB" w:rsidRPr="00C93593">
        <w:t xml:space="preserve">end-user </w:t>
      </w:r>
      <w:r w:rsidR="00C93593" w:rsidRPr="00DA0D03">
        <w:t xml:space="preserve">used for the purposes of the eligible RTP </w:t>
      </w:r>
      <w:r w:rsidR="00C41395">
        <w:t xml:space="preserve">PhD </w:t>
      </w:r>
      <w:r w:rsidR="00C93593" w:rsidRPr="00DA0D03">
        <w:t>industry internship weighting in the</w:t>
      </w:r>
      <w:r w:rsidR="0088196F">
        <w:t xml:space="preserve"> RTP funding formula</w:t>
      </w:r>
      <w:r w:rsidR="00C93593" w:rsidRPr="00DA0D03">
        <w:t xml:space="preserve"> </w:t>
      </w:r>
      <w:r w:rsidR="00D44A0A">
        <w:t xml:space="preserve">set out in the </w:t>
      </w:r>
      <w:hyperlink r:id="rId18" w:history="1">
        <w:r w:rsidR="00C93593" w:rsidRPr="00511FD9">
          <w:rPr>
            <w:rStyle w:val="Hyperlink"/>
          </w:rPr>
          <w:t xml:space="preserve">Commonwealth Scholarship Guidelines </w:t>
        </w:r>
        <w:r w:rsidR="00511FD9">
          <w:rPr>
            <w:rStyle w:val="Hyperlink"/>
          </w:rPr>
          <w:t xml:space="preserve">(Research) </w:t>
        </w:r>
        <w:r w:rsidR="00C93593" w:rsidRPr="00511FD9">
          <w:rPr>
            <w:rStyle w:val="Hyperlink"/>
          </w:rPr>
          <w:t>2017</w:t>
        </w:r>
      </w:hyperlink>
      <w:bookmarkEnd w:id="5"/>
      <w:r w:rsidR="0039778B" w:rsidRPr="00511FD9">
        <w:t xml:space="preserve"> and</w:t>
      </w:r>
      <w:r w:rsidR="0039778B" w:rsidRPr="00DA0D03">
        <w:t xml:space="preserve"> defined on the </w:t>
      </w:r>
      <w:hyperlink r:id="rId19" w:history="1">
        <w:r w:rsidR="00511FD9" w:rsidRPr="00511FD9">
          <w:rPr>
            <w:rStyle w:val="Hyperlink"/>
          </w:rPr>
          <w:t>Tertiary Collection of Student Information</w:t>
        </w:r>
      </w:hyperlink>
      <w:r w:rsidR="00511FD9">
        <w:t xml:space="preserve"> </w:t>
      </w:r>
      <w:r w:rsidR="008D4B40">
        <w:t xml:space="preserve">(TSCI) </w:t>
      </w:r>
      <w:r w:rsidR="00511FD9" w:rsidRPr="00511FD9">
        <w:t>webpage.</w:t>
      </w:r>
    </w:p>
    <w:p w14:paraId="501094FA" w14:textId="5B86A012" w:rsidR="00544ED8" w:rsidRPr="00C93593" w:rsidRDefault="00544ED8" w:rsidP="00544ED8">
      <w:pPr>
        <w:pStyle w:val="Heading2-NoTOC"/>
        <w:rPr>
          <w:bCs/>
        </w:rPr>
      </w:pPr>
      <w:r>
        <w:t>Shared income</w:t>
      </w:r>
      <w:r w:rsidR="00EC1BF7" w:rsidRPr="00EC1BF7">
        <w:rPr>
          <w:rFonts w:eastAsiaTheme="minorHAnsi" w:cstheme="minorBidi"/>
          <w:b w:val="0"/>
          <w:color w:val="auto"/>
        </w:rPr>
        <w:t xml:space="preserve"> </w:t>
      </w:r>
    </w:p>
    <w:p w14:paraId="66F671A2" w14:textId="2596A20A" w:rsidR="00544ED8" w:rsidRDefault="00544ED8" w:rsidP="00DF38E5">
      <w:r>
        <w:t xml:space="preserve">The example of shared income in </w:t>
      </w:r>
      <w:r>
        <w:rPr>
          <w:b/>
          <w:bCs/>
        </w:rPr>
        <w:t xml:space="preserve">section 4.3.1 </w:t>
      </w:r>
      <w:r>
        <w:t xml:space="preserve">has been </w:t>
      </w:r>
      <w:r w:rsidR="00856409">
        <w:t>expand</w:t>
      </w:r>
      <w:r>
        <w:t>ed to</w:t>
      </w:r>
      <w:r w:rsidR="00DA415A">
        <w:t xml:space="preserve"> </w:t>
      </w:r>
      <w:r w:rsidR="00FB0980">
        <w:t>demonstrate</w:t>
      </w:r>
      <w:r>
        <w:t xml:space="preserve"> the treatment of shared income with a </w:t>
      </w:r>
      <w:r w:rsidRPr="00544ED8">
        <w:t xml:space="preserve">non-HEP organisation that is </w:t>
      </w:r>
      <w:r>
        <w:t xml:space="preserve">also </w:t>
      </w:r>
      <w:r w:rsidRPr="00544ED8">
        <w:t>not an affiliate or subsidiary</w:t>
      </w:r>
      <w:r>
        <w:t>.</w:t>
      </w:r>
    </w:p>
    <w:p w14:paraId="658349CC" w14:textId="0ADF384F" w:rsidR="007A66A6" w:rsidRDefault="00EC1BF7" w:rsidP="0023553C">
      <w:pPr>
        <w:pStyle w:val="Heading2-NoTOC"/>
      </w:pPr>
      <w:r w:rsidRPr="00EC1BF7">
        <w:t>Sub-category 3.8 international government (other)</w:t>
      </w:r>
    </w:p>
    <w:p w14:paraId="504FE772" w14:textId="2DBF198F" w:rsidR="00EC1BF7" w:rsidRPr="00EC1BF7" w:rsidRDefault="00FB0980" w:rsidP="00BC799F">
      <w:r>
        <w:t xml:space="preserve">Grants from the </w:t>
      </w:r>
      <w:r w:rsidR="00EC1BF7" w:rsidRPr="00EC1BF7">
        <w:t>US National Institutes of Health</w:t>
      </w:r>
      <w:r w:rsidR="00EC1BF7">
        <w:t xml:space="preserve"> ha</w:t>
      </w:r>
      <w:r w:rsidR="004C0CBA">
        <w:t>ve</w:t>
      </w:r>
      <w:r w:rsidR="00EC1BF7">
        <w:t xml:space="preserve"> been removed </w:t>
      </w:r>
      <w:r>
        <w:t xml:space="preserve">as an </w:t>
      </w:r>
      <w:bookmarkStart w:id="6" w:name="_Hlk183771568"/>
      <w:r>
        <w:t>example of s</w:t>
      </w:r>
      <w:r w:rsidRPr="00EC1BF7">
        <w:t>ub-category 3.8 international government (other)</w:t>
      </w:r>
      <w:r>
        <w:t xml:space="preserve"> </w:t>
      </w:r>
      <w:r w:rsidR="005319DF">
        <w:t>income</w:t>
      </w:r>
      <w:bookmarkEnd w:id="6"/>
      <w:r w:rsidR="005319DF">
        <w:t xml:space="preserve"> </w:t>
      </w:r>
      <w:r>
        <w:t>in</w:t>
      </w:r>
      <w:r w:rsidR="00EC1BF7">
        <w:t xml:space="preserve"> </w:t>
      </w:r>
      <w:bookmarkStart w:id="7" w:name="_Hlk183771086"/>
      <w:r w:rsidR="00EC1BF7">
        <w:rPr>
          <w:b/>
          <w:bCs/>
        </w:rPr>
        <w:t>section 5.3.3</w:t>
      </w:r>
      <w:bookmarkEnd w:id="7"/>
      <w:r w:rsidR="00EC1BF7">
        <w:t>.</w:t>
      </w:r>
    </w:p>
    <w:p w14:paraId="3843DBE3" w14:textId="4CE02DBB" w:rsidR="00EA356F" w:rsidRDefault="00EA356F" w:rsidP="00535546">
      <w:pPr>
        <w:pStyle w:val="Heading2-NoTOC"/>
      </w:pPr>
      <w:r>
        <w:t>Australian Government – Department of Education</w:t>
      </w:r>
    </w:p>
    <w:p w14:paraId="29F5186B" w14:textId="37C0F25F" w:rsidR="00EA356F" w:rsidRDefault="000D397B" w:rsidP="00EA356F">
      <w:bookmarkStart w:id="8" w:name="_Hlk179461680"/>
      <w:r>
        <w:rPr>
          <w:b/>
          <w:bCs/>
        </w:rPr>
        <w:t>S</w:t>
      </w:r>
      <w:r w:rsidR="00EA356F">
        <w:rPr>
          <w:b/>
          <w:bCs/>
        </w:rPr>
        <w:t>ection 6</w:t>
      </w:r>
      <w:r w:rsidR="00EA356F">
        <w:t xml:space="preserve"> has </w:t>
      </w:r>
      <w:r w:rsidR="00FE1A48">
        <w:t xml:space="preserve">been </w:t>
      </w:r>
      <w:r w:rsidR="001230EE">
        <w:t>updated to clarify</w:t>
      </w:r>
      <w:r w:rsidR="00EA356F">
        <w:t xml:space="preserve"> that references to the department are references to the Australian Government Department of Education. </w:t>
      </w:r>
    </w:p>
    <w:p w14:paraId="2CB0FD0D" w14:textId="77777777" w:rsidR="005344BB" w:rsidRDefault="005344BB" w:rsidP="00EA356F"/>
    <w:p w14:paraId="0F9237DD" w14:textId="77777777" w:rsidR="005344BB" w:rsidRPr="00EA356F" w:rsidRDefault="005344BB" w:rsidP="00EA356F"/>
    <w:bookmarkEnd w:id="4"/>
    <w:bookmarkEnd w:id="8"/>
    <w:p w14:paraId="24272D05" w14:textId="32B17083" w:rsidR="004D1709" w:rsidRDefault="00DA039B" w:rsidP="0074743D">
      <w:pPr>
        <w:spacing w:after="0"/>
      </w:pPr>
      <w:r>
        <w:lastRenderedPageBreak/>
        <w:t xml:space="preserve">Minor amendments have been made to the </w:t>
      </w:r>
      <w:r w:rsidR="004D1709">
        <w:t xml:space="preserve">following sections to improve </w:t>
      </w:r>
      <w:r w:rsidR="00F9518B">
        <w:t xml:space="preserve">clarity and </w:t>
      </w:r>
      <w:r w:rsidR="004D1709">
        <w:t>readability</w:t>
      </w:r>
      <w:r w:rsidR="008E2D7C">
        <w:t>:</w:t>
      </w:r>
    </w:p>
    <w:p w14:paraId="4B0FDD0F" w14:textId="6A41A2D1" w:rsidR="007E03EC" w:rsidRPr="00257932" w:rsidRDefault="007E03EC" w:rsidP="006027B1">
      <w:pPr>
        <w:pStyle w:val="ListBullet"/>
      </w:pPr>
      <w:r w:rsidRPr="00257932">
        <w:t>section 2.4.1 (formerly 1.4.1)</w:t>
      </w:r>
    </w:p>
    <w:p w14:paraId="2C3D74C6" w14:textId="65CAE065" w:rsidR="004D1709" w:rsidRPr="00257932" w:rsidRDefault="000D397B" w:rsidP="006027B1">
      <w:pPr>
        <w:pStyle w:val="ListBullet"/>
      </w:pPr>
      <w:r w:rsidRPr="00257932">
        <w:t>s</w:t>
      </w:r>
      <w:r w:rsidR="004D1709" w:rsidRPr="00257932">
        <w:t>e</w:t>
      </w:r>
      <w:r w:rsidR="00A13D7A" w:rsidRPr="00257932">
        <w:t>c</w:t>
      </w:r>
      <w:r w:rsidR="0039778B" w:rsidRPr="00257932">
        <w:t>t</w:t>
      </w:r>
      <w:r w:rsidR="004D1709" w:rsidRPr="00257932">
        <w:t xml:space="preserve">ion 3 </w:t>
      </w:r>
      <w:r w:rsidR="00FA5019" w:rsidRPr="00257932">
        <w:t>opening paragraph</w:t>
      </w:r>
    </w:p>
    <w:p w14:paraId="65D012F1" w14:textId="7986326A" w:rsidR="00B81B97" w:rsidRPr="00257932" w:rsidRDefault="000D397B" w:rsidP="006027B1">
      <w:pPr>
        <w:pStyle w:val="ListBullet"/>
      </w:pPr>
      <w:r w:rsidRPr="00257932">
        <w:t>s</w:t>
      </w:r>
      <w:r w:rsidR="004D1709" w:rsidRPr="00257932">
        <w:t>ection 3.1.1 (j)</w:t>
      </w:r>
    </w:p>
    <w:p w14:paraId="3933B2F6" w14:textId="5EF908B7" w:rsidR="00F9196F" w:rsidRPr="00257932" w:rsidRDefault="00D8610E" w:rsidP="006027B1">
      <w:pPr>
        <w:pStyle w:val="ListBullet"/>
      </w:pPr>
      <w:bookmarkStart w:id="9" w:name="_Hlk180057936"/>
      <w:r w:rsidRPr="00257932">
        <w:t>4.2.2(v)</w:t>
      </w:r>
    </w:p>
    <w:p w14:paraId="73E9C6A9" w14:textId="6D478A57" w:rsidR="00F9196F" w:rsidRPr="00257932" w:rsidRDefault="00F9196F" w:rsidP="006027B1">
      <w:pPr>
        <w:pStyle w:val="ListBullet"/>
      </w:pPr>
      <w:r w:rsidRPr="00257932">
        <w:t>section 4.4</w:t>
      </w:r>
    </w:p>
    <w:bookmarkEnd w:id="9"/>
    <w:p w14:paraId="23E8AAE2" w14:textId="61CAB591" w:rsidR="00F9196F" w:rsidRPr="00257932" w:rsidRDefault="00F9196F" w:rsidP="006027B1">
      <w:pPr>
        <w:pStyle w:val="ListBullet"/>
      </w:pPr>
      <w:r w:rsidRPr="00257932">
        <w:t>section 5.1</w:t>
      </w:r>
      <w:r w:rsidR="00C60C85" w:rsidRPr="00257932">
        <w:t>.</w:t>
      </w:r>
    </w:p>
    <w:bookmarkEnd w:id="3"/>
    <w:p w14:paraId="55177577" w14:textId="6E77DA8B" w:rsidR="00902C2B" w:rsidRDefault="00902C2B" w:rsidP="00DA0D03">
      <w:r>
        <w:br w:type="page"/>
      </w:r>
    </w:p>
    <w:p w14:paraId="133B4A59" w14:textId="0C788BE1" w:rsidR="00902C2B" w:rsidRPr="00902C2B" w:rsidRDefault="00374911" w:rsidP="00902C2B">
      <w:pPr>
        <w:pStyle w:val="Heading1"/>
      </w:pPr>
      <w:bookmarkStart w:id="10" w:name="_Toc185251806"/>
      <w:r>
        <w:lastRenderedPageBreak/>
        <w:t>Introduction</w:t>
      </w:r>
      <w:bookmarkEnd w:id="10"/>
    </w:p>
    <w:p w14:paraId="055A5269" w14:textId="35524685" w:rsidR="009D347E" w:rsidRPr="009D347E" w:rsidRDefault="00374911" w:rsidP="006108A9">
      <w:pPr>
        <w:pStyle w:val="Heading2"/>
      </w:pPr>
      <w:bookmarkStart w:id="11" w:name="_Toc147503801"/>
      <w:bookmarkStart w:id="12" w:name="_Toc185251807"/>
      <w:r>
        <w:t>2</w:t>
      </w:r>
      <w:r w:rsidR="009D347E" w:rsidRPr="009D347E">
        <w:t>.1</w:t>
      </w:r>
      <w:r w:rsidR="009D347E" w:rsidRPr="009D347E">
        <w:tab/>
        <w:t>Purpose</w:t>
      </w:r>
      <w:bookmarkEnd w:id="11"/>
      <w:bookmarkEnd w:id="12"/>
      <w:r w:rsidR="009D347E" w:rsidRPr="009D347E">
        <w:t xml:space="preserve"> </w:t>
      </w:r>
    </w:p>
    <w:p w14:paraId="751828FC" w14:textId="25660851" w:rsidR="009D347E" w:rsidRPr="00EF05CC" w:rsidRDefault="009D347E" w:rsidP="009D347E">
      <w:pPr>
        <w:rPr>
          <w:lang w:val="en-US"/>
        </w:rPr>
      </w:pPr>
      <w:r w:rsidRPr="00EF05CC">
        <w:rPr>
          <w:lang w:val="en-US"/>
        </w:rPr>
        <w:t>The Australian Government’s provision of research block grant (RBG) funding to eligible higher education providers</w:t>
      </w:r>
      <w:r w:rsidRPr="00EF05CC">
        <w:rPr>
          <w:vertAlign w:val="superscript"/>
          <w:lang w:val="en-US"/>
        </w:rPr>
        <w:footnoteReference w:id="2"/>
      </w:r>
      <w:r w:rsidRPr="00EF05CC">
        <w:rPr>
          <w:lang w:val="en-US"/>
        </w:rPr>
        <w:t xml:space="preserve"> (HEPs) is enabled by the </w:t>
      </w:r>
      <w:hyperlink r:id="rId20" w:history="1">
        <w:r w:rsidRPr="0056627C">
          <w:rPr>
            <w:rStyle w:val="Hyperlink"/>
            <w:i/>
            <w:lang w:val="en-US"/>
          </w:rPr>
          <w:t>Higher Education Support Act 2003</w:t>
        </w:r>
      </w:hyperlink>
      <w:r w:rsidRPr="00EF05CC">
        <w:rPr>
          <w:lang w:val="en-US"/>
        </w:rPr>
        <w:t xml:space="preserve"> </w:t>
      </w:r>
      <w:r w:rsidR="00C154DF" w:rsidRPr="00C154DF">
        <w:rPr>
          <w:lang w:val="en-US"/>
        </w:rPr>
        <w:t>(HESA)</w:t>
      </w:r>
      <w:r w:rsidR="000D3BB2">
        <w:rPr>
          <w:lang w:val="en-US"/>
        </w:rPr>
        <w:t xml:space="preserve"> </w:t>
      </w:r>
      <w:r w:rsidRPr="00EF05CC">
        <w:rPr>
          <w:lang w:val="en-US"/>
        </w:rPr>
        <w:t>which provides ‘grants to support research by, and the research capability of, higher education providers’ and ‘grants to support the training of research students’.</w:t>
      </w:r>
      <w:r w:rsidRPr="00EF05CC">
        <w:rPr>
          <w:vertAlign w:val="superscript"/>
          <w:lang w:val="en-US"/>
        </w:rPr>
        <w:footnoteReference w:id="3"/>
      </w:r>
    </w:p>
    <w:p w14:paraId="3AE93725" w14:textId="22CE2EB4" w:rsidR="009D347E" w:rsidRPr="00EF05CC" w:rsidRDefault="009D347E" w:rsidP="009D347E">
      <w:pPr>
        <w:rPr>
          <w:lang w:val="en-US"/>
        </w:rPr>
      </w:pPr>
      <w:r w:rsidRPr="00EF05CC">
        <w:rPr>
          <w:lang w:val="en-US"/>
        </w:rPr>
        <w:t>The purpose of the</w:t>
      </w:r>
      <w:r w:rsidRPr="00EF05CC">
        <w:rPr>
          <w:i/>
          <w:lang w:val="en-US"/>
        </w:rPr>
        <w:t xml:space="preserve"> </w:t>
      </w:r>
      <w:r w:rsidRPr="00EF05CC">
        <w:rPr>
          <w:iCs/>
          <w:lang w:val="en-US"/>
        </w:rPr>
        <w:t xml:space="preserve">Higher Education Research Data Collection (HERDC) </w:t>
      </w:r>
      <w:r>
        <w:rPr>
          <w:iCs/>
          <w:lang w:val="en-US"/>
        </w:rPr>
        <w:t>s</w:t>
      </w:r>
      <w:r w:rsidRPr="00EF05CC">
        <w:rPr>
          <w:iCs/>
          <w:lang w:val="en-US"/>
        </w:rPr>
        <w:t>pecifications for the collection of 202</w:t>
      </w:r>
      <w:r w:rsidR="00D607B0">
        <w:rPr>
          <w:iCs/>
          <w:lang w:val="en-US"/>
        </w:rPr>
        <w:t>4</w:t>
      </w:r>
      <w:r w:rsidRPr="00EF05CC">
        <w:rPr>
          <w:iCs/>
          <w:lang w:val="en-US"/>
        </w:rPr>
        <w:t xml:space="preserve"> data</w:t>
      </w:r>
      <w:r w:rsidRPr="00EF05CC">
        <w:rPr>
          <w:lang w:val="en-US"/>
        </w:rPr>
        <w:t xml:space="preserve"> (specifications) is to provide guidance to HEPs and auditors on the requirements for HEPs </w:t>
      </w:r>
      <w:r>
        <w:rPr>
          <w:lang w:val="en-US"/>
        </w:rPr>
        <w:t>submitting</w:t>
      </w:r>
      <w:r w:rsidRPr="00EF05CC">
        <w:rPr>
          <w:lang w:val="en-US"/>
        </w:rPr>
        <w:t xml:space="preserve"> 202</w:t>
      </w:r>
      <w:r w:rsidR="00D607B0">
        <w:rPr>
          <w:lang w:val="en-US"/>
        </w:rPr>
        <w:t>4</w:t>
      </w:r>
      <w:r w:rsidRPr="00EF05CC">
        <w:rPr>
          <w:lang w:val="en-US"/>
        </w:rPr>
        <w:t xml:space="preserve"> research and experimental development (R&amp;D) income data.</w:t>
      </w:r>
    </w:p>
    <w:p w14:paraId="1FF559FD" w14:textId="2BF3C86F" w:rsidR="009D347E" w:rsidRPr="0075018F" w:rsidRDefault="00374911" w:rsidP="006108A9">
      <w:pPr>
        <w:pStyle w:val="Heading2"/>
      </w:pPr>
      <w:bookmarkStart w:id="13" w:name="_Toc523214661"/>
      <w:bookmarkStart w:id="14" w:name="_Toc27055341"/>
      <w:bookmarkStart w:id="15" w:name="_Toc81230892"/>
      <w:bookmarkStart w:id="16" w:name="_Toc92461267"/>
      <w:bookmarkStart w:id="17" w:name="_Toc147503802"/>
      <w:bookmarkStart w:id="18" w:name="_Toc185251808"/>
      <w:r>
        <w:t>2</w:t>
      </w:r>
      <w:r w:rsidR="009D347E" w:rsidRPr="0075018F">
        <w:t>.2</w:t>
      </w:r>
      <w:r w:rsidR="009D347E" w:rsidRPr="0075018F">
        <w:tab/>
        <w:t>Use of data</w:t>
      </w:r>
      <w:bookmarkEnd w:id="13"/>
      <w:bookmarkEnd w:id="14"/>
      <w:bookmarkEnd w:id="15"/>
      <w:bookmarkEnd w:id="16"/>
      <w:bookmarkEnd w:id="17"/>
      <w:bookmarkEnd w:id="18"/>
    </w:p>
    <w:p w14:paraId="228A06B2" w14:textId="0F39545C" w:rsidR="009D347E" w:rsidRPr="0075018F" w:rsidRDefault="009D347E" w:rsidP="009D347E">
      <w:r w:rsidRPr="0075018F">
        <w:t xml:space="preserve">HERDC research income </w:t>
      </w:r>
      <w:r>
        <w:t xml:space="preserve">data </w:t>
      </w:r>
      <w:r w:rsidRPr="0075018F">
        <w:t xml:space="preserve">is collected by the Australian Research Council (ARC) through its System to Evaluate Excellence in Research (SEER) and disclosed to the </w:t>
      </w:r>
      <w:r w:rsidR="00EA356F">
        <w:t xml:space="preserve">Australian Government </w:t>
      </w:r>
      <w:r w:rsidRPr="0075018F">
        <w:t>Department of Education (the department) for the annual calculation of RBGs, in accordance with the</w:t>
      </w:r>
      <w:r w:rsidR="000D3BB2">
        <w:t xml:space="preserve"> ARC</w:t>
      </w:r>
      <w:r w:rsidRPr="0075018F">
        <w:t xml:space="preserve"> </w:t>
      </w:r>
      <w:hyperlink r:id="rId21" w:history="1">
        <w:r w:rsidR="000D3BB2">
          <w:rPr>
            <w:rStyle w:val="Hyperlink"/>
          </w:rPr>
          <w:t>Privacy Policy</w:t>
        </w:r>
      </w:hyperlink>
      <w:r w:rsidRPr="0075018F">
        <w:t>.</w:t>
      </w:r>
    </w:p>
    <w:p w14:paraId="242F8E97" w14:textId="77777777" w:rsidR="009D347E" w:rsidRPr="0075018F" w:rsidRDefault="009D347E" w:rsidP="009D347E">
      <w:pPr>
        <w:rPr>
          <w:lang w:val="en-US"/>
        </w:rPr>
      </w:pPr>
      <w:r w:rsidRPr="0075018F">
        <w:rPr>
          <w:lang w:val="en-US"/>
        </w:rPr>
        <w:t>The department uses HERDC research income data</w:t>
      </w:r>
      <w:r>
        <w:rPr>
          <w:lang w:val="en-US"/>
        </w:rPr>
        <w:t>,</w:t>
      </w:r>
      <w:r w:rsidRPr="0075018F">
        <w:rPr>
          <w:lang w:val="en-US"/>
        </w:rPr>
        <w:t xml:space="preserve"> together with data from the Higher Education Student Data Collection</w:t>
      </w:r>
      <w:r>
        <w:rPr>
          <w:lang w:val="en-US"/>
        </w:rPr>
        <w:t xml:space="preserve"> (HESDC),</w:t>
      </w:r>
      <w:r w:rsidRPr="0075018F">
        <w:rPr>
          <w:lang w:val="en-US"/>
        </w:rPr>
        <w:t xml:space="preserve"> to determine HEPs’ annual RBG allocations. </w:t>
      </w:r>
    </w:p>
    <w:p w14:paraId="4F7E0BF9" w14:textId="77777777" w:rsidR="009D347E" w:rsidRPr="0075018F" w:rsidRDefault="009D347E" w:rsidP="009D347E">
      <w:pPr>
        <w:rPr>
          <w:lang w:val="en-US"/>
        </w:rPr>
      </w:pPr>
      <w:r w:rsidRPr="0075018F">
        <w:rPr>
          <w:lang w:val="en-US"/>
        </w:rPr>
        <w:t xml:space="preserve">Information about RBGs, including program guidelines, conditions of grants and processes for calculating grant amounts can be found on the </w:t>
      </w:r>
      <w:hyperlink r:id="rId22" w:history="1">
        <w:r>
          <w:rPr>
            <w:rStyle w:val="Hyperlink"/>
            <w:lang w:val="en-US"/>
          </w:rPr>
          <w:t>RBG</w:t>
        </w:r>
        <w:r w:rsidRPr="0075018F">
          <w:rPr>
            <w:rStyle w:val="Hyperlink"/>
            <w:lang w:val="en-US"/>
          </w:rPr>
          <w:t xml:space="preserve"> webpage</w:t>
        </w:r>
      </w:hyperlink>
      <w:r w:rsidRPr="0075018F">
        <w:rPr>
          <w:lang w:val="en-US"/>
        </w:rPr>
        <w:t>.</w:t>
      </w:r>
    </w:p>
    <w:p w14:paraId="319E367C" w14:textId="6CFE2C22" w:rsidR="009D347E" w:rsidRPr="0075018F" w:rsidRDefault="009D347E" w:rsidP="009D347E">
      <w:pPr>
        <w:rPr>
          <w:lang w:val="en-US"/>
        </w:rPr>
      </w:pPr>
      <w:r w:rsidRPr="0075018F">
        <w:rPr>
          <w:lang w:val="en-US"/>
        </w:rPr>
        <w:t xml:space="preserve">It is a condition of RBG funding that the materials required in </w:t>
      </w:r>
      <w:r w:rsidR="000D397B">
        <w:rPr>
          <w:b/>
          <w:lang w:val="en-US"/>
        </w:rPr>
        <w:t>s</w:t>
      </w:r>
      <w:r w:rsidRPr="0075018F">
        <w:rPr>
          <w:b/>
          <w:lang w:val="en-US"/>
        </w:rPr>
        <w:t xml:space="preserve">ection </w:t>
      </w:r>
      <w:r w:rsidR="008445A4">
        <w:rPr>
          <w:b/>
          <w:lang w:val="en-US"/>
        </w:rPr>
        <w:t>2</w:t>
      </w:r>
      <w:r w:rsidRPr="0075018F">
        <w:rPr>
          <w:b/>
          <w:lang w:val="en-US"/>
        </w:rPr>
        <w:t>.4</w:t>
      </w:r>
      <w:r w:rsidRPr="0075018F">
        <w:rPr>
          <w:lang w:val="en-US"/>
        </w:rPr>
        <w:t xml:space="preserve"> of these </w:t>
      </w:r>
      <w:r w:rsidRPr="0075018F">
        <w:rPr>
          <w:iCs/>
          <w:lang w:val="en-US"/>
        </w:rPr>
        <w:t xml:space="preserve">specifications </w:t>
      </w:r>
      <w:r w:rsidRPr="0075018F">
        <w:rPr>
          <w:lang w:val="en-US"/>
        </w:rPr>
        <w:t xml:space="preserve">are provided to the department by 30 June </w:t>
      </w:r>
      <w:r w:rsidR="003A54BB" w:rsidRPr="0075018F">
        <w:rPr>
          <w:lang w:val="en-US"/>
        </w:rPr>
        <w:t>202</w:t>
      </w:r>
      <w:r w:rsidR="003A54BB">
        <w:rPr>
          <w:lang w:val="en-US"/>
        </w:rPr>
        <w:t>5</w:t>
      </w:r>
      <w:r w:rsidRPr="0075018F">
        <w:rPr>
          <w:lang w:val="en-US"/>
        </w:rPr>
        <w:t>.</w:t>
      </w:r>
    </w:p>
    <w:p w14:paraId="1D9D0386" w14:textId="3B4FC6BE" w:rsidR="009D347E" w:rsidRDefault="009D347E" w:rsidP="009D347E">
      <w:r w:rsidRPr="0075018F">
        <w:rPr>
          <w:lang w:val="en-US"/>
        </w:rPr>
        <w:t xml:space="preserve">The department may use research income data submitted through HERDC by HEPs to inform other analyses conducted by the department and may also provide the data to other government agencies. Data collected through </w:t>
      </w:r>
      <w:r w:rsidRPr="0075018F">
        <w:t>HERDC is published</w:t>
      </w:r>
      <w:r w:rsidR="00363E40">
        <w:t xml:space="preserve"> on the </w:t>
      </w:r>
      <w:hyperlink r:id="rId23" w:history="1">
        <w:r w:rsidR="0034177E">
          <w:rPr>
            <w:rStyle w:val="Hyperlink"/>
          </w:rPr>
          <w:t xml:space="preserve">HERDC </w:t>
        </w:r>
        <w:r w:rsidR="00EE5D43" w:rsidRPr="00EE5D43">
          <w:rPr>
            <w:rStyle w:val="Hyperlink"/>
          </w:rPr>
          <w:t>webpage</w:t>
        </w:r>
      </w:hyperlink>
      <w:r w:rsidR="004446CB">
        <w:t>.</w:t>
      </w:r>
      <w:r w:rsidRPr="0075018F">
        <w:t xml:space="preserve"> </w:t>
      </w:r>
    </w:p>
    <w:p w14:paraId="2B9CE24E" w14:textId="7FAD6377" w:rsidR="009D347E" w:rsidRPr="0075018F" w:rsidRDefault="009D347E" w:rsidP="009D347E">
      <w:bookmarkStart w:id="19" w:name="_Hlk179367382"/>
      <w:r>
        <w:rPr>
          <w:rFonts w:ascii="Calibri" w:eastAsia="Calibri" w:hAnsi="Calibri" w:cs="Arial"/>
        </w:rPr>
        <w:t>P</w:t>
      </w:r>
      <w:r w:rsidRPr="002A37D9">
        <w:rPr>
          <w:rFonts w:ascii="Calibri" w:eastAsia="Calibri" w:hAnsi="Calibri" w:cs="Arial"/>
        </w:rPr>
        <w:t xml:space="preserve">reliminary </w:t>
      </w:r>
      <w:r>
        <w:rPr>
          <w:rFonts w:ascii="Calibri" w:eastAsia="Calibri" w:hAnsi="Calibri" w:cs="Arial"/>
        </w:rPr>
        <w:t xml:space="preserve">HERDC </w:t>
      </w:r>
      <w:r w:rsidRPr="002A37D9">
        <w:rPr>
          <w:rFonts w:ascii="Calibri" w:eastAsia="Calibri" w:hAnsi="Calibri" w:cs="Arial"/>
        </w:rPr>
        <w:t xml:space="preserve">data </w:t>
      </w:r>
      <w:r w:rsidR="00066D87">
        <w:rPr>
          <w:rFonts w:ascii="Calibri" w:eastAsia="Calibri" w:hAnsi="Calibri" w:cs="Arial"/>
        </w:rPr>
        <w:t>may</w:t>
      </w:r>
      <w:r w:rsidR="00066D87" w:rsidRPr="002A37D9">
        <w:rPr>
          <w:rFonts w:ascii="Calibri" w:eastAsia="Calibri" w:hAnsi="Calibri" w:cs="Arial"/>
        </w:rPr>
        <w:t xml:space="preserve"> </w:t>
      </w:r>
      <w:r w:rsidRPr="002A37D9">
        <w:rPr>
          <w:rFonts w:ascii="Calibri" w:eastAsia="Calibri" w:hAnsi="Calibri" w:cs="Arial"/>
        </w:rPr>
        <w:t xml:space="preserve">be shared with </w:t>
      </w:r>
      <w:r>
        <w:rPr>
          <w:rFonts w:ascii="Calibri" w:eastAsia="Calibri" w:hAnsi="Calibri" w:cs="Arial"/>
        </w:rPr>
        <w:t>Knowledge Commercialisation Austral</w:t>
      </w:r>
      <w:r w:rsidR="00BE6C39">
        <w:rPr>
          <w:rFonts w:ascii="Calibri" w:eastAsia="Calibri" w:hAnsi="Calibri" w:cs="Arial"/>
        </w:rPr>
        <w:t>as</w:t>
      </w:r>
      <w:r>
        <w:rPr>
          <w:rFonts w:ascii="Calibri" w:eastAsia="Calibri" w:hAnsi="Calibri" w:cs="Arial"/>
        </w:rPr>
        <w:t>ia</w:t>
      </w:r>
      <w:r w:rsidRPr="002A37D9">
        <w:rPr>
          <w:rFonts w:ascii="Calibri" w:eastAsia="Calibri" w:hAnsi="Calibri" w:cs="Arial"/>
        </w:rPr>
        <w:t xml:space="preserve"> </w:t>
      </w:r>
      <w:r w:rsidR="00C002BD">
        <w:rPr>
          <w:rFonts w:ascii="Calibri" w:eastAsia="Calibri" w:hAnsi="Calibri" w:cs="Arial"/>
        </w:rPr>
        <w:t xml:space="preserve">(KCA) </w:t>
      </w:r>
      <w:r w:rsidRPr="002A37D9">
        <w:rPr>
          <w:rFonts w:ascii="Calibri" w:eastAsia="Calibri" w:hAnsi="Calibri" w:cs="Arial"/>
        </w:rPr>
        <w:t xml:space="preserve">to assist </w:t>
      </w:r>
      <w:r w:rsidR="00066D87">
        <w:rPr>
          <w:rFonts w:ascii="Calibri" w:eastAsia="Calibri" w:hAnsi="Calibri" w:cs="Arial"/>
        </w:rPr>
        <w:t xml:space="preserve">with </w:t>
      </w:r>
      <w:r w:rsidR="00CB051A">
        <w:rPr>
          <w:rFonts w:ascii="Calibri" w:eastAsia="Calibri" w:hAnsi="Calibri" w:cs="Arial"/>
        </w:rPr>
        <w:t xml:space="preserve">its </w:t>
      </w:r>
      <w:r>
        <w:rPr>
          <w:rFonts w:ascii="Calibri" w:eastAsia="Calibri" w:hAnsi="Calibri" w:cs="Arial"/>
        </w:rPr>
        <w:t xml:space="preserve">data </w:t>
      </w:r>
      <w:r w:rsidR="0077672E">
        <w:rPr>
          <w:rFonts w:ascii="Calibri" w:eastAsia="Calibri" w:hAnsi="Calibri" w:cs="Arial"/>
        </w:rPr>
        <w:t>collection</w:t>
      </w:r>
      <w:r w:rsidR="00CB051A">
        <w:rPr>
          <w:rFonts w:ascii="Calibri" w:eastAsia="Calibri" w:hAnsi="Calibri" w:cs="Arial"/>
        </w:rPr>
        <w:t>, validation and/or</w:t>
      </w:r>
      <w:r w:rsidR="0077672E">
        <w:rPr>
          <w:rFonts w:ascii="Calibri" w:eastAsia="Calibri" w:hAnsi="Calibri" w:cs="Arial"/>
        </w:rPr>
        <w:t xml:space="preserve"> reporting processes </w:t>
      </w:r>
      <w:r>
        <w:rPr>
          <w:rFonts w:ascii="Calibri" w:eastAsia="Calibri" w:hAnsi="Calibri" w:cs="Arial"/>
        </w:rPr>
        <w:t xml:space="preserve">for the annual </w:t>
      </w:r>
      <w:hyperlink r:id="rId24" w:history="1">
        <w:r w:rsidR="00D26590" w:rsidRPr="0018787F">
          <w:rPr>
            <w:rStyle w:val="Hyperlink"/>
            <w:rFonts w:ascii="Calibri" w:eastAsia="Calibri" w:hAnsi="Calibri" w:cs="Arial"/>
          </w:rPr>
          <w:t xml:space="preserve">Survey of Commercialisation Outcomes from Public Research </w:t>
        </w:r>
      </w:hyperlink>
      <w:r w:rsidR="00A419D6">
        <w:rPr>
          <w:rFonts w:ascii="Calibri" w:eastAsia="Calibri" w:hAnsi="Calibri" w:cs="Arial"/>
        </w:rPr>
        <w:t>(SCOPR).</w:t>
      </w:r>
    </w:p>
    <w:p w14:paraId="3CA28DC6" w14:textId="448326DE" w:rsidR="009D347E" w:rsidRPr="0075018F" w:rsidRDefault="00374911" w:rsidP="006108A9">
      <w:pPr>
        <w:pStyle w:val="Heading2"/>
      </w:pPr>
      <w:bookmarkStart w:id="20" w:name="_Toc523214662"/>
      <w:bookmarkStart w:id="21" w:name="_Toc27055342"/>
      <w:bookmarkStart w:id="22" w:name="_Toc81230893"/>
      <w:bookmarkStart w:id="23" w:name="_Toc92461268"/>
      <w:bookmarkStart w:id="24" w:name="_Toc147503803"/>
      <w:bookmarkStart w:id="25" w:name="_Toc185251809"/>
      <w:bookmarkEnd w:id="19"/>
      <w:r>
        <w:t>2</w:t>
      </w:r>
      <w:r w:rsidR="009D347E" w:rsidRPr="0075018F">
        <w:t>.3</w:t>
      </w:r>
      <w:r w:rsidR="009D347E" w:rsidRPr="0075018F">
        <w:tab/>
        <w:t>Use of funding</w:t>
      </w:r>
      <w:bookmarkEnd w:id="20"/>
      <w:bookmarkEnd w:id="21"/>
      <w:bookmarkEnd w:id="22"/>
      <w:bookmarkEnd w:id="23"/>
      <w:bookmarkEnd w:id="24"/>
      <w:bookmarkEnd w:id="25"/>
    </w:p>
    <w:p w14:paraId="4325AAB0" w14:textId="77777777" w:rsidR="009D347E" w:rsidRPr="0075018F" w:rsidRDefault="009D347E" w:rsidP="009D347E">
      <w:pPr>
        <w:rPr>
          <w:lang w:val="en-US"/>
        </w:rPr>
      </w:pPr>
      <w:r w:rsidRPr="0075018F">
        <w:rPr>
          <w:lang w:val="en-US"/>
        </w:rPr>
        <w:t>The department’s allocation of RBGs to HEPs is independent of funding for individual R&amp;D projects. HEPs have the autonomy to decide what projects, personnel, materials, equipment, and infrastructure RBG funding should support across their R&amp;D and research training activities.</w:t>
      </w:r>
    </w:p>
    <w:p w14:paraId="1711FFE7" w14:textId="77777777" w:rsidR="009D347E" w:rsidRDefault="009D347E" w:rsidP="009D347E">
      <w:pPr>
        <w:rPr>
          <w:lang w:val="en-US"/>
        </w:rPr>
      </w:pPr>
      <w:r w:rsidRPr="0075018F">
        <w:rPr>
          <w:lang w:val="en-US"/>
        </w:rPr>
        <w:t>The department does not intend that HEPs use the HERDC as the basis for their internal systems for allocating their R&amp;D and research training funding. HEPs should develop their own internal allocation policies and systems.</w:t>
      </w:r>
    </w:p>
    <w:p w14:paraId="64A4D9A3" w14:textId="08E39413" w:rsidR="009D347E" w:rsidRPr="006108A9" w:rsidRDefault="00374911" w:rsidP="006108A9">
      <w:pPr>
        <w:pStyle w:val="Heading2"/>
      </w:pPr>
      <w:bookmarkStart w:id="26" w:name="_Toc523214663"/>
      <w:bookmarkStart w:id="27" w:name="_Toc27055343"/>
      <w:bookmarkStart w:id="28" w:name="_Toc81230894"/>
      <w:bookmarkStart w:id="29" w:name="_Toc92461269"/>
      <w:bookmarkStart w:id="30" w:name="_Toc147503804"/>
      <w:bookmarkStart w:id="31" w:name="_Toc185251810"/>
      <w:r>
        <w:lastRenderedPageBreak/>
        <w:t>2</w:t>
      </w:r>
      <w:r w:rsidR="009D347E" w:rsidRPr="006108A9">
        <w:t>.4</w:t>
      </w:r>
      <w:r w:rsidR="009D347E" w:rsidRPr="006108A9">
        <w:tab/>
        <w:t>Information to be submitted</w:t>
      </w:r>
      <w:bookmarkEnd w:id="26"/>
      <w:bookmarkEnd w:id="27"/>
      <w:bookmarkEnd w:id="28"/>
      <w:bookmarkEnd w:id="29"/>
      <w:bookmarkEnd w:id="30"/>
      <w:bookmarkEnd w:id="31"/>
    </w:p>
    <w:p w14:paraId="233E3276" w14:textId="28712A67" w:rsidR="009D347E" w:rsidRPr="0075018F" w:rsidRDefault="009D347E" w:rsidP="009D347E">
      <w:pPr>
        <w:rPr>
          <w:lang w:val="en-US"/>
        </w:rPr>
      </w:pPr>
      <w:r w:rsidRPr="0075018F">
        <w:rPr>
          <w:lang w:val="en-US"/>
        </w:rPr>
        <w:t xml:space="preserve">HEPs must provide </w:t>
      </w:r>
      <w:r w:rsidR="00E0425D">
        <w:rPr>
          <w:lang w:val="en-US"/>
        </w:rPr>
        <w:t xml:space="preserve">material </w:t>
      </w:r>
      <w:r w:rsidRPr="0075018F">
        <w:rPr>
          <w:lang w:val="en-US"/>
        </w:rPr>
        <w:t>to the department</w:t>
      </w:r>
      <w:r w:rsidR="00E0425D">
        <w:rPr>
          <w:lang w:val="en-US"/>
        </w:rPr>
        <w:t xml:space="preserve"> </w:t>
      </w:r>
      <w:r w:rsidR="001E780C">
        <w:rPr>
          <w:lang w:val="en-US"/>
        </w:rPr>
        <w:t xml:space="preserve">specified in </w:t>
      </w:r>
      <w:r w:rsidR="00E0425D" w:rsidRPr="00E0425D">
        <w:t>the table below</w:t>
      </w:r>
      <w:r w:rsidRPr="0075018F">
        <w:rPr>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213"/>
        <w:gridCol w:w="1566"/>
      </w:tblGrid>
      <w:tr w:rsidR="0031615C" w:rsidRPr="0075018F" w14:paraId="10813FA7" w14:textId="77777777" w:rsidTr="00660464">
        <w:trPr>
          <w:trHeight w:hRule="exact" w:val="445"/>
          <w:tblHeader/>
          <w:jc w:val="center"/>
        </w:trPr>
        <w:tc>
          <w:tcPr>
            <w:tcW w:w="7213" w:type="dxa"/>
            <w:tcBorders>
              <w:top w:val="single" w:sz="4" w:space="0" w:color="auto"/>
              <w:left w:val="single" w:sz="4" w:space="0" w:color="auto"/>
              <w:bottom w:val="single" w:sz="6" w:space="0" w:color="auto"/>
              <w:right w:val="single" w:sz="6" w:space="0" w:color="auto"/>
            </w:tcBorders>
            <w:shd w:val="clear" w:color="auto" w:fill="002D3F"/>
            <w:hideMark/>
          </w:tcPr>
          <w:p w14:paraId="4043A163" w14:textId="77777777" w:rsidR="0031615C" w:rsidRPr="00660464" w:rsidRDefault="0031615C" w:rsidP="009A3BED">
            <w:pPr>
              <w:rPr>
                <w:b/>
                <w:bCs/>
                <w:lang w:val="en-US"/>
              </w:rPr>
            </w:pPr>
            <w:r w:rsidRPr="00660464">
              <w:rPr>
                <w:b/>
                <w:bCs/>
                <w:lang w:val="en-US"/>
              </w:rPr>
              <w:t xml:space="preserve">Material required </w:t>
            </w:r>
          </w:p>
        </w:tc>
        <w:tc>
          <w:tcPr>
            <w:tcW w:w="1566" w:type="dxa"/>
            <w:tcBorders>
              <w:top w:val="single" w:sz="4" w:space="0" w:color="auto"/>
              <w:left w:val="single" w:sz="6" w:space="0" w:color="auto"/>
              <w:bottom w:val="single" w:sz="6" w:space="0" w:color="auto"/>
              <w:right w:val="single" w:sz="4" w:space="0" w:color="auto"/>
            </w:tcBorders>
            <w:shd w:val="clear" w:color="auto" w:fill="002D3F"/>
            <w:hideMark/>
          </w:tcPr>
          <w:p w14:paraId="7D9321B6" w14:textId="77777777" w:rsidR="0031615C" w:rsidRPr="00660464" w:rsidRDefault="0031615C" w:rsidP="009A3BED">
            <w:pPr>
              <w:rPr>
                <w:b/>
                <w:bCs/>
                <w:lang w:val="en-US"/>
              </w:rPr>
            </w:pPr>
            <w:r w:rsidRPr="00660464">
              <w:rPr>
                <w:b/>
                <w:bCs/>
                <w:lang w:val="en-US"/>
              </w:rPr>
              <w:t xml:space="preserve">Due date </w:t>
            </w:r>
          </w:p>
        </w:tc>
      </w:tr>
      <w:tr w:rsidR="007074CB" w:rsidRPr="0075018F" w14:paraId="34D3160C" w14:textId="77777777" w:rsidTr="00B7358D">
        <w:trPr>
          <w:trHeight w:val="301"/>
          <w:jc w:val="center"/>
        </w:trPr>
        <w:tc>
          <w:tcPr>
            <w:tcW w:w="7213" w:type="dxa"/>
            <w:tcBorders>
              <w:top w:val="single" w:sz="6" w:space="0" w:color="auto"/>
              <w:left w:val="single" w:sz="4" w:space="0" w:color="auto"/>
              <w:bottom w:val="single" w:sz="6" w:space="0" w:color="auto"/>
              <w:right w:val="single" w:sz="6" w:space="0" w:color="auto"/>
            </w:tcBorders>
            <w:hideMark/>
          </w:tcPr>
          <w:p w14:paraId="497398F3" w14:textId="451C0F47" w:rsidR="007074CB" w:rsidRPr="0075018F" w:rsidRDefault="007074CB" w:rsidP="009A3BED">
            <w:pPr>
              <w:rPr>
                <w:lang w:val="en-US"/>
              </w:rPr>
            </w:pPr>
            <w:r w:rsidRPr="0075018F">
              <w:rPr>
                <w:lang w:val="en-US"/>
              </w:rPr>
              <w:t xml:space="preserve">R&amp;D income return </w:t>
            </w:r>
          </w:p>
        </w:tc>
        <w:tc>
          <w:tcPr>
            <w:tcW w:w="1566" w:type="dxa"/>
            <w:tcBorders>
              <w:top w:val="single" w:sz="6" w:space="0" w:color="auto"/>
              <w:left w:val="single" w:sz="6" w:space="0" w:color="auto"/>
              <w:right w:val="single" w:sz="4" w:space="0" w:color="auto"/>
            </w:tcBorders>
            <w:vAlign w:val="center"/>
            <w:hideMark/>
          </w:tcPr>
          <w:p w14:paraId="72BF6D5A" w14:textId="18746FB0" w:rsidR="007074CB" w:rsidRPr="0075018F" w:rsidRDefault="007074CB" w:rsidP="009A3BED">
            <w:pPr>
              <w:rPr>
                <w:lang w:val="en-US"/>
              </w:rPr>
            </w:pPr>
            <w:r w:rsidRPr="0075018F">
              <w:rPr>
                <w:lang w:val="en-US"/>
              </w:rPr>
              <w:t>30 June 202</w:t>
            </w:r>
            <w:r>
              <w:rPr>
                <w:lang w:val="en-US"/>
              </w:rPr>
              <w:t>5</w:t>
            </w:r>
          </w:p>
        </w:tc>
      </w:tr>
      <w:tr w:rsidR="007074CB" w:rsidRPr="0075018F" w14:paraId="10D96364" w14:textId="77777777" w:rsidTr="00B7358D">
        <w:trPr>
          <w:trHeight w:val="273"/>
          <w:jc w:val="center"/>
        </w:trPr>
        <w:tc>
          <w:tcPr>
            <w:tcW w:w="7213" w:type="dxa"/>
            <w:tcBorders>
              <w:top w:val="single" w:sz="6" w:space="0" w:color="auto"/>
              <w:left w:val="single" w:sz="4" w:space="0" w:color="auto"/>
              <w:bottom w:val="single" w:sz="6" w:space="0" w:color="auto"/>
              <w:right w:val="single" w:sz="6" w:space="0" w:color="auto"/>
            </w:tcBorders>
            <w:hideMark/>
          </w:tcPr>
          <w:p w14:paraId="2101AA0C" w14:textId="45ED643E" w:rsidR="007074CB" w:rsidRPr="0075018F" w:rsidRDefault="007074CB" w:rsidP="009A3BED">
            <w:pPr>
              <w:rPr>
                <w:lang w:val="en-US"/>
              </w:rPr>
            </w:pPr>
            <w:r w:rsidRPr="0075018F">
              <w:rPr>
                <w:lang w:val="en-US"/>
              </w:rPr>
              <w:t xml:space="preserve">Vice-Chancellor’s certification </w:t>
            </w:r>
          </w:p>
        </w:tc>
        <w:tc>
          <w:tcPr>
            <w:tcW w:w="0" w:type="auto"/>
            <w:tcBorders>
              <w:left w:val="single" w:sz="6" w:space="0" w:color="auto"/>
              <w:right w:val="single" w:sz="4" w:space="0" w:color="auto"/>
            </w:tcBorders>
            <w:vAlign w:val="center"/>
            <w:hideMark/>
          </w:tcPr>
          <w:p w14:paraId="57E5401C" w14:textId="39D71912" w:rsidR="007074CB" w:rsidRPr="0075018F" w:rsidRDefault="007074CB" w:rsidP="009A3BED">
            <w:pPr>
              <w:rPr>
                <w:lang w:val="en-US"/>
              </w:rPr>
            </w:pPr>
            <w:r w:rsidRPr="0075018F">
              <w:rPr>
                <w:lang w:val="en-US"/>
              </w:rPr>
              <w:t>30 June 202</w:t>
            </w:r>
            <w:r>
              <w:rPr>
                <w:lang w:val="en-US"/>
              </w:rPr>
              <w:t>5</w:t>
            </w:r>
          </w:p>
        </w:tc>
      </w:tr>
      <w:tr w:rsidR="007074CB" w:rsidRPr="0075018F" w14:paraId="3D48CEFF" w14:textId="77777777" w:rsidTr="00B7358D">
        <w:trPr>
          <w:trHeight w:val="289"/>
          <w:jc w:val="center"/>
        </w:trPr>
        <w:tc>
          <w:tcPr>
            <w:tcW w:w="7213" w:type="dxa"/>
            <w:tcBorders>
              <w:top w:val="single" w:sz="6" w:space="0" w:color="auto"/>
              <w:left w:val="single" w:sz="4" w:space="0" w:color="auto"/>
              <w:bottom w:val="single" w:sz="4" w:space="0" w:color="auto"/>
              <w:right w:val="single" w:sz="6" w:space="0" w:color="auto"/>
            </w:tcBorders>
            <w:hideMark/>
          </w:tcPr>
          <w:p w14:paraId="7EC6B869" w14:textId="77777777" w:rsidR="007074CB" w:rsidRPr="0075018F" w:rsidRDefault="007074CB" w:rsidP="009A3BED">
            <w:pPr>
              <w:rPr>
                <w:lang w:val="en-US"/>
              </w:rPr>
            </w:pPr>
            <w:r w:rsidRPr="0075018F">
              <w:rPr>
                <w:lang w:val="en-US"/>
              </w:rPr>
              <w:t>Audit report</w:t>
            </w:r>
          </w:p>
        </w:tc>
        <w:tc>
          <w:tcPr>
            <w:tcW w:w="0" w:type="auto"/>
            <w:tcBorders>
              <w:left w:val="single" w:sz="6" w:space="0" w:color="auto"/>
              <w:bottom w:val="single" w:sz="4" w:space="0" w:color="auto"/>
              <w:right w:val="single" w:sz="4" w:space="0" w:color="auto"/>
            </w:tcBorders>
            <w:vAlign w:val="center"/>
            <w:hideMark/>
          </w:tcPr>
          <w:p w14:paraId="289D801E" w14:textId="0BE99ADD" w:rsidR="007074CB" w:rsidRPr="0075018F" w:rsidRDefault="007074CB" w:rsidP="009A3BED">
            <w:pPr>
              <w:rPr>
                <w:lang w:val="en-US"/>
              </w:rPr>
            </w:pPr>
            <w:r w:rsidRPr="0075018F">
              <w:rPr>
                <w:lang w:val="en-US"/>
              </w:rPr>
              <w:t>30 June 202</w:t>
            </w:r>
            <w:r>
              <w:rPr>
                <w:lang w:val="en-US"/>
              </w:rPr>
              <w:t>5</w:t>
            </w:r>
          </w:p>
        </w:tc>
      </w:tr>
    </w:tbl>
    <w:p w14:paraId="79EE6374" w14:textId="38611079" w:rsidR="009D347E" w:rsidRPr="006108A9" w:rsidRDefault="00374911" w:rsidP="006108A9">
      <w:pPr>
        <w:pStyle w:val="Heading3"/>
      </w:pPr>
      <w:bookmarkStart w:id="32" w:name="_Toc523214664"/>
      <w:bookmarkStart w:id="33" w:name="_Toc27055344"/>
      <w:bookmarkStart w:id="34" w:name="_Toc81230895"/>
      <w:bookmarkStart w:id="35" w:name="_Toc92461270"/>
      <w:bookmarkStart w:id="36" w:name="_Toc147503805"/>
      <w:bookmarkStart w:id="37" w:name="_Toc185251811"/>
      <w:r>
        <w:t>2</w:t>
      </w:r>
      <w:r w:rsidR="009D347E" w:rsidRPr="006108A9">
        <w:t>.4.1</w:t>
      </w:r>
      <w:r w:rsidR="00362AB0">
        <w:tab/>
      </w:r>
      <w:r w:rsidR="009D347E" w:rsidRPr="006108A9">
        <w:t>R&amp;D income return</w:t>
      </w:r>
      <w:bookmarkEnd w:id="32"/>
      <w:bookmarkEnd w:id="33"/>
      <w:bookmarkEnd w:id="34"/>
      <w:bookmarkEnd w:id="35"/>
      <w:bookmarkEnd w:id="36"/>
      <w:bookmarkEnd w:id="37"/>
    </w:p>
    <w:p w14:paraId="496A5AFE" w14:textId="227D7671" w:rsidR="009D347E" w:rsidRPr="0075018F" w:rsidRDefault="009D347E" w:rsidP="009D347E">
      <w:pPr>
        <w:rPr>
          <w:lang w:val="en-US"/>
        </w:rPr>
      </w:pPr>
      <w:r w:rsidRPr="0075018F">
        <w:rPr>
          <w:lang w:val="en-US"/>
        </w:rPr>
        <w:t xml:space="preserve">HEPs must provide R&amp;D income received for the </w:t>
      </w:r>
      <w:r w:rsidR="00007AC4" w:rsidRPr="0075018F">
        <w:rPr>
          <w:lang w:val="en-US"/>
        </w:rPr>
        <w:t>202</w:t>
      </w:r>
      <w:r w:rsidR="00007AC4">
        <w:rPr>
          <w:lang w:val="en-US"/>
        </w:rPr>
        <w:t>4</w:t>
      </w:r>
      <w:r w:rsidR="00007AC4" w:rsidRPr="0075018F">
        <w:rPr>
          <w:lang w:val="en-US"/>
        </w:rPr>
        <w:t xml:space="preserve"> </w:t>
      </w:r>
      <w:r w:rsidRPr="0075018F">
        <w:rPr>
          <w:lang w:val="en-US"/>
        </w:rPr>
        <w:t xml:space="preserve">reference year, grouped into </w:t>
      </w:r>
      <w:r w:rsidR="00F23B8A">
        <w:rPr>
          <w:lang w:val="en-US"/>
        </w:rPr>
        <w:t>4</w:t>
      </w:r>
      <w:r w:rsidRPr="0075018F">
        <w:rPr>
          <w:lang w:val="en-US"/>
        </w:rPr>
        <w:t xml:space="preserve"> categories:</w:t>
      </w:r>
    </w:p>
    <w:p w14:paraId="103193E0" w14:textId="77777777" w:rsidR="009D347E" w:rsidRPr="0075018F" w:rsidRDefault="009D347E" w:rsidP="006027B1">
      <w:pPr>
        <w:pStyle w:val="ListBullet"/>
      </w:pPr>
      <w:r w:rsidRPr="0075018F">
        <w:t>Category 1: Australian competitive grant R&amp;D income</w:t>
      </w:r>
    </w:p>
    <w:p w14:paraId="5902A46E" w14:textId="77777777" w:rsidR="009D347E" w:rsidRPr="0075018F" w:rsidRDefault="009D347E" w:rsidP="006027B1">
      <w:pPr>
        <w:pStyle w:val="ListBullet"/>
      </w:pPr>
      <w:r w:rsidRPr="0075018F">
        <w:t xml:space="preserve">Category 2: </w:t>
      </w:r>
      <w:r>
        <w:t>o</w:t>
      </w:r>
      <w:r w:rsidRPr="0075018F">
        <w:t>ther public sector R&amp;D income</w:t>
      </w:r>
    </w:p>
    <w:p w14:paraId="556B08AB" w14:textId="77777777" w:rsidR="009D347E" w:rsidRPr="0075018F" w:rsidRDefault="009D347E" w:rsidP="006027B1">
      <w:pPr>
        <w:pStyle w:val="ListBullet"/>
      </w:pPr>
      <w:r w:rsidRPr="0075018F">
        <w:t xml:space="preserve">Category 3: </w:t>
      </w:r>
      <w:r>
        <w:t>i</w:t>
      </w:r>
      <w:r w:rsidRPr="0075018F">
        <w:t>ndustry and other R&amp;D income</w:t>
      </w:r>
    </w:p>
    <w:p w14:paraId="063879DE" w14:textId="77777777" w:rsidR="009D347E" w:rsidRPr="0075018F" w:rsidRDefault="009D347E" w:rsidP="006027B1">
      <w:pPr>
        <w:pStyle w:val="ListBullet"/>
      </w:pPr>
      <w:r w:rsidRPr="0075018F">
        <w:t>Category 4: Cooperative Research Centre (CRC) R&amp;D income.</w:t>
      </w:r>
    </w:p>
    <w:p w14:paraId="4294D830" w14:textId="77777777" w:rsidR="00C069CD" w:rsidRPr="00012B6A" w:rsidRDefault="00C069CD" w:rsidP="0039778B">
      <w:pPr>
        <w:pStyle w:val="ListBullet2"/>
        <w:numPr>
          <w:ilvl w:val="0"/>
          <w:numId w:val="0"/>
        </w:numPr>
      </w:pPr>
      <w:bookmarkStart w:id="38" w:name="_Toc523214665"/>
      <w:bookmarkStart w:id="39" w:name="_Toc27055345"/>
      <w:bookmarkStart w:id="40" w:name="_Toc81230896"/>
      <w:bookmarkStart w:id="41" w:name="_Toc92461271"/>
      <w:r w:rsidRPr="00012B6A">
        <w:t>The reference year is the 202</w:t>
      </w:r>
      <w:r>
        <w:t>4</w:t>
      </w:r>
      <w:r w:rsidRPr="00012B6A">
        <w:t xml:space="preserve"> calendar year.</w:t>
      </w:r>
    </w:p>
    <w:p w14:paraId="3FA7E2C9" w14:textId="138DAF1E" w:rsidR="009D347E" w:rsidRPr="0075018F" w:rsidRDefault="009D347E" w:rsidP="009D347E">
      <w:pPr>
        <w:rPr>
          <w:lang w:val="en-US"/>
        </w:rPr>
      </w:pPr>
      <w:r w:rsidRPr="0075018F">
        <w:rPr>
          <w:lang w:val="en-US"/>
        </w:rPr>
        <w:t xml:space="preserve">The </w:t>
      </w:r>
      <w:r w:rsidR="00007AC4" w:rsidRPr="0075018F">
        <w:rPr>
          <w:lang w:val="en-US"/>
        </w:rPr>
        <w:t>202</w:t>
      </w:r>
      <w:r w:rsidR="00007AC4">
        <w:rPr>
          <w:lang w:val="en-US"/>
        </w:rPr>
        <w:t>4</w:t>
      </w:r>
      <w:r w:rsidR="00007AC4" w:rsidRPr="0075018F">
        <w:rPr>
          <w:lang w:val="en-US"/>
        </w:rPr>
        <w:t xml:space="preserve"> </w:t>
      </w:r>
      <w:r w:rsidRPr="0075018F">
        <w:rPr>
          <w:lang w:val="en-US"/>
        </w:rPr>
        <w:t xml:space="preserve">R&amp;D income return must be submitted </w:t>
      </w:r>
      <w:r w:rsidR="001F3415">
        <w:rPr>
          <w:lang w:val="en-US"/>
        </w:rPr>
        <w:t>and certified by the HEP’s V</w:t>
      </w:r>
      <w:r w:rsidR="00200073">
        <w:rPr>
          <w:lang w:val="en-US"/>
        </w:rPr>
        <w:t>ice-</w:t>
      </w:r>
      <w:r w:rsidR="001F3415">
        <w:rPr>
          <w:lang w:val="en-US"/>
        </w:rPr>
        <w:t>C</w:t>
      </w:r>
      <w:r w:rsidR="00200073">
        <w:rPr>
          <w:lang w:val="en-US"/>
        </w:rPr>
        <w:t>hancellor</w:t>
      </w:r>
      <w:r w:rsidR="001F3415">
        <w:rPr>
          <w:lang w:val="en-US"/>
        </w:rPr>
        <w:t xml:space="preserve"> </w:t>
      </w:r>
      <w:r w:rsidRPr="0075018F">
        <w:rPr>
          <w:lang w:val="en-US"/>
        </w:rPr>
        <w:t xml:space="preserve">via </w:t>
      </w:r>
      <w:hyperlink r:id="rId25" w:history="1">
        <w:r w:rsidRPr="0075018F">
          <w:rPr>
            <w:rStyle w:val="Hyperlink"/>
            <w:lang w:val="en-US"/>
          </w:rPr>
          <w:t>SEER</w:t>
        </w:r>
      </w:hyperlink>
      <w:r w:rsidRPr="0075018F">
        <w:rPr>
          <w:lang w:val="en-US"/>
        </w:rPr>
        <w:t xml:space="preserve"> to the ARC. </w:t>
      </w:r>
    </w:p>
    <w:p w14:paraId="26B40825" w14:textId="41F70E31" w:rsidR="009D347E" w:rsidRPr="005007B2" w:rsidRDefault="00374911" w:rsidP="006108A9">
      <w:pPr>
        <w:pStyle w:val="Heading3"/>
        <w:rPr>
          <w:lang w:val="en-US"/>
        </w:rPr>
      </w:pPr>
      <w:bookmarkStart w:id="42" w:name="_Toc147503806"/>
      <w:bookmarkStart w:id="43" w:name="_Toc185251812"/>
      <w:r>
        <w:t>2</w:t>
      </w:r>
      <w:r w:rsidR="009D347E" w:rsidRPr="005007B2">
        <w:t>.4.2</w:t>
      </w:r>
      <w:r w:rsidR="009D347E" w:rsidRPr="005007B2">
        <w:tab/>
        <w:t>Vice-Chancellor certification</w:t>
      </w:r>
      <w:bookmarkEnd w:id="42"/>
      <w:bookmarkEnd w:id="43"/>
      <w:r w:rsidR="009D347E" w:rsidRPr="005007B2">
        <w:t xml:space="preserve"> </w:t>
      </w:r>
      <w:bookmarkEnd w:id="38"/>
      <w:bookmarkEnd w:id="39"/>
      <w:bookmarkEnd w:id="40"/>
      <w:bookmarkEnd w:id="41"/>
    </w:p>
    <w:p w14:paraId="63A94616" w14:textId="77777777" w:rsidR="009D347E" w:rsidRPr="0075018F" w:rsidRDefault="009D347E" w:rsidP="009D347E">
      <w:pPr>
        <w:rPr>
          <w:lang w:val="en-US"/>
        </w:rPr>
      </w:pPr>
      <w:r w:rsidRPr="0075018F">
        <w:rPr>
          <w:lang w:val="en-US"/>
        </w:rPr>
        <w:t>Vice-Chancellors (or equivalent) must certify that their HEP’s R&amp;D income return is correct and has been compiled in accordance with this specification document. This certification is completed in SEER. A separate certification statement is not required.</w:t>
      </w:r>
    </w:p>
    <w:p w14:paraId="6FF2A13E" w14:textId="14462664" w:rsidR="009D347E" w:rsidRPr="005007B2" w:rsidRDefault="00374911" w:rsidP="006108A9">
      <w:pPr>
        <w:pStyle w:val="Heading3"/>
      </w:pPr>
      <w:bookmarkStart w:id="44" w:name="_Toc523214666"/>
      <w:bookmarkStart w:id="45" w:name="_Toc27055346"/>
      <w:bookmarkStart w:id="46" w:name="_Toc81230897"/>
      <w:bookmarkStart w:id="47" w:name="_Toc92461272"/>
      <w:bookmarkStart w:id="48" w:name="_Toc147503807"/>
      <w:bookmarkStart w:id="49" w:name="_Toc185251813"/>
      <w:r>
        <w:t>2</w:t>
      </w:r>
      <w:r w:rsidR="009D347E" w:rsidRPr="005007B2">
        <w:t>.4.3</w:t>
      </w:r>
      <w:r w:rsidR="009D347E" w:rsidRPr="005007B2">
        <w:tab/>
        <w:t>Audit report</w:t>
      </w:r>
      <w:bookmarkEnd w:id="44"/>
      <w:bookmarkEnd w:id="45"/>
      <w:bookmarkEnd w:id="46"/>
      <w:bookmarkEnd w:id="47"/>
      <w:bookmarkEnd w:id="48"/>
      <w:bookmarkEnd w:id="49"/>
    </w:p>
    <w:p w14:paraId="4A20ACE7" w14:textId="78B11025" w:rsidR="009D347E" w:rsidRPr="0075018F" w:rsidRDefault="009D347E" w:rsidP="009D347E">
      <w:pPr>
        <w:rPr>
          <w:lang w:val="en-US"/>
        </w:rPr>
      </w:pPr>
      <w:r w:rsidRPr="0075018F">
        <w:rPr>
          <w:lang w:val="en-US"/>
        </w:rPr>
        <w:t>Each HEP must arrange for an audit of the Category 1, 2, 3 and 4 R&amp;D income in their respective R&amp;D income return and provide the department with a Special Purpose Audit Report under the</w:t>
      </w:r>
      <w:r w:rsidR="00D428F8">
        <w:rPr>
          <w:lang w:val="en-US"/>
        </w:rPr>
        <w:t xml:space="preserve"> </w:t>
      </w:r>
      <w:r w:rsidR="00D428F8" w:rsidRPr="00D428F8">
        <w:rPr>
          <w:lang w:val="en-US"/>
        </w:rPr>
        <w:t xml:space="preserve">Auditing and Assurance Standard Board (AASB) </w:t>
      </w:r>
      <w:hyperlink r:id="rId26" w:history="1">
        <w:r w:rsidR="00D428F8">
          <w:rPr>
            <w:rStyle w:val="Hyperlink"/>
            <w:lang w:val="en-US"/>
          </w:rPr>
          <w:t>Auditing Standard</w:t>
        </w:r>
      </w:hyperlink>
      <w:r w:rsidRPr="0075018F">
        <w:rPr>
          <w:lang w:val="en-US"/>
        </w:rPr>
        <w:t xml:space="preserve"> ASA800, which clearly certifies that the R&amp;D income recorded is correct.</w:t>
      </w:r>
    </w:p>
    <w:p w14:paraId="6295EA9D" w14:textId="77777777" w:rsidR="009D347E" w:rsidRPr="0075018F" w:rsidRDefault="009D347E" w:rsidP="009D347E">
      <w:pPr>
        <w:rPr>
          <w:lang w:val="en-US"/>
        </w:rPr>
      </w:pPr>
      <w:r w:rsidRPr="0075018F">
        <w:rPr>
          <w:lang w:val="en-US"/>
        </w:rPr>
        <w:t>In addition to ensuring that the R&amp;D income reported by a HEP under its R&amp;D income return is correct, the department expects that the audit also ensures that R&amp;D income is:</w:t>
      </w:r>
    </w:p>
    <w:p w14:paraId="2C567AED" w14:textId="25AB3FE4" w:rsidR="009D347E" w:rsidRPr="0075018F" w:rsidRDefault="009D347E" w:rsidP="006027B1">
      <w:pPr>
        <w:pStyle w:val="ListBullet"/>
      </w:pPr>
      <w:r w:rsidRPr="0075018F">
        <w:t>attributed to activities that comply with the definition of R&amp;D (</w:t>
      </w:r>
      <w:r w:rsidR="000D397B">
        <w:rPr>
          <w:b/>
          <w:bCs/>
        </w:rPr>
        <w:t>s</w:t>
      </w:r>
      <w:r w:rsidRPr="0075018F">
        <w:rPr>
          <w:b/>
          <w:bCs/>
        </w:rPr>
        <w:t>ection 3</w:t>
      </w:r>
      <w:r w:rsidRPr="0075018F">
        <w:t>)</w:t>
      </w:r>
    </w:p>
    <w:p w14:paraId="0CB6B389" w14:textId="77777777" w:rsidR="009D347E" w:rsidRPr="0075018F" w:rsidRDefault="009D347E" w:rsidP="006027B1">
      <w:pPr>
        <w:pStyle w:val="ListBullet"/>
      </w:pPr>
      <w:r w:rsidRPr="0075018F">
        <w:t>attributed to the correct category of R&amp;D income</w:t>
      </w:r>
    </w:p>
    <w:p w14:paraId="581255A7" w14:textId="77777777" w:rsidR="009D347E" w:rsidRPr="0075018F" w:rsidRDefault="009D347E" w:rsidP="006027B1">
      <w:pPr>
        <w:pStyle w:val="ListBullet"/>
      </w:pPr>
      <w:r w:rsidRPr="0075018F">
        <w:t>identified by transparent and explicit transactions.</w:t>
      </w:r>
    </w:p>
    <w:p w14:paraId="110EFD36" w14:textId="66BB47DB" w:rsidR="00D607B0" w:rsidRPr="008902C1" w:rsidRDefault="009D347E" w:rsidP="008902C1">
      <w:pPr>
        <w:rPr>
          <w:lang w:val="en-US"/>
        </w:rPr>
      </w:pPr>
      <w:r w:rsidRPr="0075018F">
        <w:rPr>
          <w:lang w:val="en-US"/>
        </w:rPr>
        <w:t xml:space="preserve">The audit </w:t>
      </w:r>
      <w:r>
        <w:rPr>
          <w:lang w:val="en-US"/>
        </w:rPr>
        <w:t xml:space="preserve">of HERDC returns </w:t>
      </w:r>
      <w:r w:rsidRPr="0075018F">
        <w:rPr>
          <w:lang w:val="en-US"/>
        </w:rPr>
        <w:t>should be conducted by an independent, external, and qualified auditor. HEPs may choose to use the auditors that undertake the audit of their financial statements.</w:t>
      </w:r>
      <w:bookmarkStart w:id="50" w:name="_Toc523214667"/>
      <w:bookmarkStart w:id="51" w:name="_Toc27055347"/>
      <w:bookmarkStart w:id="52" w:name="_Toc81230898"/>
      <w:bookmarkStart w:id="53" w:name="_Toc92461273"/>
      <w:bookmarkStart w:id="54" w:name="_Toc147503808"/>
    </w:p>
    <w:p w14:paraId="75473D5A" w14:textId="61DA9A43" w:rsidR="009D347E" w:rsidRPr="0075018F" w:rsidRDefault="00ED62DD" w:rsidP="006108A9">
      <w:pPr>
        <w:pStyle w:val="Heading2"/>
      </w:pPr>
      <w:bookmarkStart w:id="55" w:name="_Toc523214668"/>
      <w:bookmarkStart w:id="56" w:name="_Toc27055348"/>
      <w:bookmarkStart w:id="57" w:name="_Toc81230899"/>
      <w:bookmarkStart w:id="58" w:name="_Toc92461274"/>
      <w:bookmarkStart w:id="59" w:name="_Toc147503809"/>
      <w:bookmarkStart w:id="60" w:name="_Toc185251814"/>
      <w:bookmarkEnd w:id="50"/>
      <w:bookmarkEnd w:id="51"/>
      <w:bookmarkEnd w:id="52"/>
      <w:bookmarkEnd w:id="53"/>
      <w:bookmarkEnd w:id="54"/>
      <w:r>
        <w:t>2</w:t>
      </w:r>
      <w:r w:rsidR="009D347E" w:rsidRPr="0075018F">
        <w:t>.</w:t>
      </w:r>
      <w:r w:rsidR="00085C61">
        <w:t>5</w:t>
      </w:r>
      <w:r w:rsidR="009D347E" w:rsidRPr="0075018F">
        <w:tab/>
        <w:t>Related documents</w:t>
      </w:r>
      <w:bookmarkEnd w:id="55"/>
      <w:bookmarkEnd w:id="56"/>
      <w:bookmarkEnd w:id="57"/>
      <w:bookmarkEnd w:id="58"/>
      <w:bookmarkEnd w:id="59"/>
      <w:bookmarkEnd w:id="60"/>
    </w:p>
    <w:p w14:paraId="49098E38" w14:textId="30C1F68F" w:rsidR="009D347E" w:rsidRPr="0075018F" w:rsidRDefault="009D347E" w:rsidP="009D347E">
      <w:pPr>
        <w:rPr>
          <w:lang w:val="en-US"/>
        </w:rPr>
      </w:pPr>
      <w:r w:rsidRPr="0075018F">
        <w:rPr>
          <w:lang w:val="en-US"/>
        </w:rPr>
        <w:t xml:space="preserve">The specifications should be read in conjunction with </w:t>
      </w:r>
      <w:r>
        <w:rPr>
          <w:lang w:val="en-US"/>
        </w:rPr>
        <w:t xml:space="preserve">the ARC </w:t>
      </w:r>
      <w:hyperlink r:id="rId27" w:history="1">
        <w:r w:rsidRPr="009140AF">
          <w:rPr>
            <w:rStyle w:val="Hyperlink"/>
            <w:lang w:val="en-US"/>
          </w:rPr>
          <w:t>SEER User Guide</w:t>
        </w:r>
      </w:hyperlink>
      <w:r>
        <w:rPr>
          <w:lang w:val="en-US"/>
        </w:rPr>
        <w:t>.</w:t>
      </w:r>
    </w:p>
    <w:p w14:paraId="0EA1E32C" w14:textId="1E7D94E8" w:rsidR="009D347E" w:rsidRPr="0075018F" w:rsidRDefault="009D347E" w:rsidP="009D347E">
      <w:pPr>
        <w:rPr>
          <w:lang w:val="en-US"/>
        </w:rPr>
      </w:pPr>
      <w:r w:rsidRPr="0075018F">
        <w:rPr>
          <w:lang w:val="en-US"/>
        </w:rPr>
        <w:lastRenderedPageBreak/>
        <w:t xml:space="preserve">In addition, the department uses definitions and concepts referred to in the </w:t>
      </w:r>
      <w:r w:rsidR="00D6654A">
        <w:rPr>
          <w:lang w:val="en-US"/>
        </w:rPr>
        <w:t>AASB accounting standards</w:t>
      </w:r>
      <w:hyperlink r:id="rId28" w:history="1"/>
      <w:r w:rsidRPr="0075018F">
        <w:rPr>
          <w:lang w:val="en-US"/>
        </w:rPr>
        <w:t xml:space="preserve"> and explanatory materials </w:t>
      </w:r>
      <w:r w:rsidRPr="006B6ECC">
        <w:rPr>
          <w:lang w:val="en-US"/>
        </w:rPr>
        <w:t>AASB 9</w:t>
      </w:r>
      <w:r w:rsidRPr="0075018F">
        <w:rPr>
          <w:lang w:val="en-US"/>
        </w:rPr>
        <w:t xml:space="preserve">, </w:t>
      </w:r>
      <w:r w:rsidRPr="006B6ECC">
        <w:rPr>
          <w:lang w:val="en-US"/>
        </w:rPr>
        <w:t>AASB 15</w:t>
      </w:r>
      <w:r w:rsidRPr="0075018F">
        <w:rPr>
          <w:lang w:val="en-US"/>
        </w:rPr>
        <w:t xml:space="preserve">, </w:t>
      </w:r>
      <w:r w:rsidRPr="006B6ECC">
        <w:rPr>
          <w:lang w:val="en-US"/>
        </w:rPr>
        <w:t>AASB 138</w:t>
      </w:r>
      <w:r w:rsidRPr="0075018F">
        <w:rPr>
          <w:lang w:val="en-US"/>
        </w:rPr>
        <w:t xml:space="preserve">, </w:t>
      </w:r>
      <w:r w:rsidRPr="006B6ECC">
        <w:rPr>
          <w:lang w:val="en-US"/>
        </w:rPr>
        <w:t>AASB</w:t>
      </w:r>
      <w:r w:rsidR="00D607B0">
        <w:rPr>
          <w:lang w:val="en-US"/>
        </w:rPr>
        <w:t> </w:t>
      </w:r>
      <w:r w:rsidRPr="006B6ECC">
        <w:rPr>
          <w:lang w:val="en-US"/>
        </w:rPr>
        <w:t>1058</w:t>
      </w:r>
      <w:r w:rsidRPr="0075018F">
        <w:rPr>
          <w:lang w:val="en-US"/>
        </w:rPr>
        <w:t xml:space="preserve"> and </w:t>
      </w:r>
      <w:r w:rsidRPr="006B6ECC">
        <w:rPr>
          <w:lang w:val="en-US"/>
        </w:rPr>
        <w:t>AASB 2016-8</w:t>
      </w:r>
      <w:r w:rsidRPr="0075018F">
        <w:rPr>
          <w:lang w:val="en-US"/>
        </w:rPr>
        <w:t xml:space="preserve">. </w:t>
      </w:r>
    </w:p>
    <w:p w14:paraId="7394C6E1" w14:textId="4CDB31D1" w:rsidR="009D347E" w:rsidRPr="0075018F" w:rsidRDefault="009D347E" w:rsidP="009D347E">
      <w:pPr>
        <w:rPr>
          <w:lang w:val="en-US"/>
        </w:rPr>
      </w:pPr>
      <w:r w:rsidRPr="00044281">
        <w:t>HEPs are not required to report HERDC R&amp;D income in line with the changed accounting standards AASB 9 and AASB 15 that came into effect on 1 January 2018.</w:t>
      </w:r>
    </w:p>
    <w:p w14:paraId="2D9E92E9" w14:textId="3313F173" w:rsidR="009D347E" w:rsidRPr="0075018F" w:rsidRDefault="00ED62DD" w:rsidP="006108A9">
      <w:pPr>
        <w:pStyle w:val="Heading2"/>
      </w:pPr>
      <w:bookmarkStart w:id="61" w:name="_Toc147503810"/>
      <w:bookmarkStart w:id="62" w:name="_Toc185251815"/>
      <w:bookmarkStart w:id="63" w:name="_Toc523214669"/>
      <w:bookmarkStart w:id="64" w:name="_Toc27055349"/>
      <w:bookmarkStart w:id="65" w:name="_Toc81230900"/>
      <w:bookmarkStart w:id="66" w:name="_Toc92461275"/>
      <w:r>
        <w:t>2</w:t>
      </w:r>
      <w:r w:rsidR="009D347E" w:rsidRPr="0075018F">
        <w:t>.</w:t>
      </w:r>
      <w:r w:rsidR="00686297">
        <w:t>6</w:t>
      </w:r>
      <w:r w:rsidR="009D347E" w:rsidRPr="0075018F">
        <w:tab/>
        <w:t>Freedom of Information Act 1982</w:t>
      </w:r>
      <w:bookmarkEnd w:id="61"/>
      <w:bookmarkEnd w:id="62"/>
    </w:p>
    <w:bookmarkEnd w:id="63"/>
    <w:bookmarkEnd w:id="64"/>
    <w:bookmarkEnd w:id="65"/>
    <w:bookmarkEnd w:id="66"/>
    <w:p w14:paraId="26CAA5ED" w14:textId="77777777" w:rsidR="00D607B0" w:rsidRDefault="009D347E" w:rsidP="009D347E">
      <w:pPr>
        <w:rPr>
          <w:lang w:val="en-US"/>
        </w:rPr>
      </w:pPr>
      <w:r w:rsidRPr="0075018F">
        <w:rPr>
          <w:lang w:val="en-US"/>
        </w:rPr>
        <w:t xml:space="preserve">All documents obtained by the department with regard to the HERDC are subject to the </w:t>
      </w:r>
      <w:hyperlink r:id="rId29" w:history="1">
        <w:r w:rsidRPr="00060012">
          <w:rPr>
            <w:rStyle w:val="Hyperlink"/>
            <w:i/>
            <w:lang w:val="en-US"/>
          </w:rPr>
          <w:t>Freedom of Information Act 1982</w:t>
        </w:r>
      </w:hyperlink>
      <w:r w:rsidRPr="0075018F">
        <w:rPr>
          <w:lang w:val="en-US"/>
        </w:rPr>
        <w:t xml:space="preserve"> (</w:t>
      </w:r>
      <w:r w:rsidRPr="0075018F">
        <w:rPr>
          <w:iCs/>
          <w:lang w:val="en-US"/>
        </w:rPr>
        <w:t>FOI Act</w:t>
      </w:r>
      <w:r w:rsidRPr="0075018F">
        <w:rPr>
          <w:lang w:val="en-US"/>
        </w:rPr>
        <w:t>). Unless a document falls under an exemption provision, it may be made available to the applicant</w:t>
      </w:r>
      <w:r>
        <w:rPr>
          <w:lang w:val="en-US"/>
        </w:rPr>
        <w:t xml:space="preserve"> on </w:t>
      </w:r>
      <w:r w:rsidRPr="0075018F">
        <w:rPr>
          <w:lang w:val="en-US"/>
        </w:rPr>
        <w:t xml:space="preserve">request, under the </w:t>
      </w:r>
      <w:r w:rsidRPr="0075018F">
        <w:rPr>
          <w:iCs/>
          <w:lang w:val="en-US"/>
        </w:rPr>
        <w:t>FOI Act</w:t>
      </w:r>
      <w:r w:rsidRPr="0075018F">
        <w:rPr>
          <w:lang w:val="en-US"/>
        </w:rPr>
        <w:t xml:space="preserve">. </w:t>
      </w:r>
    </w:p>
    <w:p w14:paraId="3776C126" w14:textId="6EAABABC" w:rsidR="009D347E" w:rsidRPr="0075018F" w:rsidRDefault="009D347E" w:rsidP="009D347E">
      <w:pPr>
        <w:rPr>
          <w:lang w:val="en-US"/>
        </w:rPr>
      </w:pPr>
      <w:r w:rsidRPr="0075018F">
        <w:rPr>
          <w:lang w:val="en-US"/>
        </w:rPr>
        <w:t xml:space="preserve">All freedom of information (FOI) requests are to be referred to the FOI Coordinator via email at </w:t>
      </w:r>
      <w:hyperlink r:id="rId30" w:history="1">
        <w:r w:rsidRPr="0075018F">
          <w:rPr>
            <w:rStyle w:val="Hyperlink"/>
            <w:lang w:val="en-US"/>
          </w:rPr>
          <w:t>FOI@education.gov.au</w:t>
        </w:r>
      </w:hyperlink>
      <w:r w:rsidRPr="0075018F">
        <w:rPr>
          <w:lang w:val="en-US"/>
        </w:rPr>
        <w:t>.</w:t>
      </w:r>
    </w:p>
    <w:p w14:paraId="61DC93BD" w14:textId="77777777" w:rsidR="009D347E" w:rsidRPr="0075018F" w:rsidRDefault="009D347E" w:rsidP="009D347E">
      <w:pPr>
        <w:rPr>
          <w:lang w:val="en-US"/>
        </w:rPr>
      </w:pPr>
      <w:r w:rsidRPr="0075018F">
        <w:rPr>
          <w:lang w:val="en-US"/>
        </w:rPr>
        <w:t>Decisions regarding requests for access to documents will be made by the department’s</w:t>
      </w:r>
      <w:r w:rsidRPr="0075018F">
        <w:t xml:space="preserve"> authorised</w:t>
      </w:r>
      <w:r w:rsidRPr="0075018F">
        <w:rPr>
          <w:lang w:val="en-US"/>
        </w:rPr>
        <w:t xml:space="preserve"> FOI decision-maker in accordance with the requirements of the </w:t>
      </w:r>
      <w:r w:rsidRPr="0075018F">
        <w:rPr>
          <w:iCs/>
          <w:lang w:val="en-US"/>
        </w:rPr>
        <w:t>FOI Act</w:t>
      </w:r>
      <w:r w:rsidRPr="0075018F">
        <w:rPr>
          <w:lang w:val="en-US"/>
        </w:rPr>
        <w:t>.</w:t>
      </w:r>
    </w:p>
    <w:p w14:paraId="661C97B1" w14:textId="5FB5D967" w:rsidR="009D347E" w:rsidRPr="0075018F" w:rsidRDefault="00ED62DD" w:rsidP="006108A9">
      <w:pPr>
        <w:pStyle w:val="Heading2"/>
      </w:pPr>
      <w:bookmarkStart w:id="67" w:name="_Toc523214670"/>
      <w:bookmarkStart w:id="68" w:name="_Toc27055350"/>
      <w:bookmarkStart w:id="69" w:name="_Toc81230901"/>
      <w:bookmarkStart w:id="70" w:name="_Toc92461276"/>
      <w:bookmarkStart w:id="71" w:name="_Toc147503811"/>
      <w:bookmarkStart w:id="72" w:name="_Toc185251816"/>
      <w:r>
        <w:t>2</w:t>
      </w:r>
      <w:r w:rsidR="009D347E" w:rsidRPr="0075018F">
        <w:t>.</w:t>
      </w:r>
      <w:r>
        <w:t>7</w:t>
      </w:r>
      <w:r w:rsidR="009D347E" w:rsidRPr="0075018F">
        <w:tab/>
        <w:t>Verification material</w:t>
      </w:r>
      <w:bookmarkEnd w:id="67"/>
      <w:bookmarkEnd w:id="68"/>
      <w:bookmarkEnd w:id="69"/>
      <w:bookmarkEnd w:id="70"/>
      <w:bookmarkEnd w:id="71"/>
      <w:bookmarkEnd w:id="72"/>
    </w:p>
    <w:p w14:paraId="71F45FED" w14:textId="77777777" w:rsidR="009D347E" w:rsidRPr="0075018F" w:rsidRDefault="009D347E" w:rsidP="009D347E">
      <w:pPr>
        <w:rPr>
          <w:lang w:val="en-US"/>
        </w:rPr>
      </w:pPr>
      <w:r w:rsidRPr="0075018F">
        <w:rPr>
          <w:lang w:val="en-US"/>
        </w:rPr>
        <w:t xml:space="preserve">HEPs must maintain verification material to demonstrate that </w:t>
      </w:r>
      <w:r>
        <w:rPr>
          <w:lang w:val="en-US"/>
        </w:rPr>
        <w:t xml:space="preserve">the reported </w:t>
      </w:r>
      <w:r w:rsidRPr="0075018F">
        <w:rPr>
          <w:lang w:val="en-US"/>
        </w:rPr>
        <w:t xml:space="preserve">R&amp;D income meets the criteria of the </w:t>
      </w:r>
      <w:r>
        <w:rPr>
          <w:lang w:val="en-US"/>
        </w:rPr>
        <w:t xml:space="preserve">relevant </w:t>
      </w:r>
      <w:r w:rsidRPr="0075018F">
        <w:rPr>
          <w:lang w:val="en-US"/>
        </w:rPr>
        <w:t>categories. Examples of verification materials include funding agreements, memoranda of understanding, letters of agreement, contracts, proof of acceptance of a tender or approval of an application for funding.</w:t>
      </w:r>
    </w:p>
    <w:p w14:paraId="47110640" w14:textId="4235932F" w:rsidR="009D347E" w:rsidRPr="0075018F" w:rsidRDefault="009D347E" w:rsidP="009D347E">
      <w:pPr>
        <w:rPr>
          <w:lang w:val="en-US"/>
        </w:rPr>
      </w:pPr>
      <w:r w:rsidRPr="0075018F">
        <w:rPr>
          <w:lang w:val="en-US"/>
        </w:rPr>
        <w:t xml:space="preserve">For the purposes of the HERDC, HEPs must retain verification material for a minimum of </w:t>
      </w:r>
      <w:r w:rsidR="00F23B8A">
        <w:rPr>
          <w:lang w:val="en-US"/>
        </w:rPr>
        <w:t>5</w:t>
      </w:r>
      <w:r w:rsidRPr="0075018F">
        <w:rPr>
          <w:lang w:val="en-US"/>
        </w:rPr>
        <w:t xml:space="preserve"> years to facilitate any audit of R&amp;D income data that may be conducted by, or on behalf of, the department.</w:t>
      </w:r>
    </w:p>
    <w:p w14:paraId="7329A887" w14:textId="77777777" w:rsidR="009D347E" w:rsidRPr="0075018F" w:rsidRDefault="009D347E" w:rsidP="009D347E">
      <w:pPr>
        <w:rPr>
          <w:lang w:val="en-US"/>
        </w:rPr>
      </w:pPr>
      <w:r w:rsidRPr="0075018F">
        <w:rPr>
          <w:lang w:val="en-US"/>
        </w:rPr>
        <w:t xml:space="preserve">HEPs should ensure that their relevant verification material </w:t>
      </w:r>
      <w:r>
        <w:rPr>
          <w:lang w:val="en-US"/>
        </w:rPr>
        <w:t>is</w:t>
      </w:r>
      <w:r w:rsidRPr="0075018F">
        <w:rPr>
          <w:lang w:val="en-US"/>
        </w:rPr>
        <w:t xml:space="preserve"> up to date and reflect the nature of the R&amp;D activity being undertaken and the roles of the parties. Arrangements supported by email only (without supporting attachments) do not constitute appropriate verification material.</w:t>
      </w:r>
    </w:p>
    <w:p w14:paraId="203336BC" w14:textId="7AF40126" w:rsidR="009D347E" w:rsidRPr="0075018F" w:rsidRDefault="00ED62DD" w:rsidP="006108A9">
      <w:pPr>
        <w:pStyle w:val="Heading2"/>
      </w:pPr>
      <w:bookmarkStart w:id="73" w:name="_Toc523214671"/>
      <w:bookmarkStart w:id="74" w:name="_Toc27055351"/>
      <w:bookmarkStart w:id="75" w:name="_Toc81230902"/>
      <w:bookmarkStart w:id="76" w:name="_Toc92461277"/>
      <w:bookmarkStart w:id="77" w:name="_Toc147503812"/>
      <w:bookmarkStart w:id="78" w:name="_Toc185251817"/>
      <w:r>
        <w:t>2</w:t>
      </w:r>
      <w:r w:rsidR="009D347E" w:rsidRPr="0075018F">
        <w:t>.</w:t>
      </w:r>
      <w:r>
        <w:t>8</w:t>
      </w:r>
      <w:r w:rsidR="009D347E" w:rsidRPr="0075018F">
        <w:tab/>
        <w:t>Contact details</w:t>
      </w:r>
      <w:bookmarkEnd w:id="73"/>
      <w:bookmarkEnd w:id="74"/>
      <w:bookmarkEnd w:id="75"/>
      <w:bookmarkEnd w:id="76"/>
      <w:bookmarkEnd w:id="77"/>
      <w:bookmarkEnd w:id="78"/>
    </w:p>
    <w:p w14:paraId="67C78F27" w14:textId="0F0E19F5" w:rsidR="00ED62DD" w:rsidRDefault="009D347E" w:rsidP="009D347E">
      <w:pPr>
        <w:rPr>
          <w:lang w:val="en-US"/>
        </w:rPr>
      </w:pPr>
      <w:r w:rsidRPr="0075018F">
        <w:rPr>
          <w:lang w:val="en-US"/>
        </w:rPr>
        <w:t xml:space="preserve">Questions concerning the HERDC and these </w:t>
      </w:r>
      <w:r w:rsidRPr="0075018F">
        <w:rPr>
          <w:iCs/>
          <w:lang w:val="en-US"/>
        </w:rPr>
        <w:t>specifications</w:t>
      </w:r>
      <w:r w:rsidRPr="0075018F">
        <w:rPr>
          <w:lang w:val="en-US"/>
        </w:rPr>
        <w:t xml:space="preserve"> can be directed to </w:t>
      </w:r>
      <w:hyperlink r:id="rId31" w:history="1">
        <w:r w:rsidRPr="00A11169">
          <w:rPr>
            <w:rStyle w:val="Hyperlink"/>
            <w:lang w:val="en-US"/>
          </w:rPr>
          <w:t>RBGrants@education.gov.au</w:t>
        </w:r>
      </w:hyperlink>
      <w:r w:rsidRPr="0075018F">
        <w:rPr>
          <w:lang w:val="en-US"/>
        </w:rPr>
        <w:t>.</w:t>
      </w:r>
    </w:p>
    <w:p w14:paraId="575A418D" w14:textId="30C1A19B" w:rsidR="009D347E" w:rsidRPr="001821A2" w:rsidRDefault="00ED62DD" w:rsidP="00E4480A">
      <w:pPr>
        <w:pStyle w:val="Heading1"/>
      </w:pPr>
      <w:r>
        <w:rPr>
          <w:lang w:val="en-US"/>
        </w:rPr>
        <w:br w:type="page"/>
      </w:r>
      <w:bookmarkStart w:id="79" w:name="_Toc147503814"/>
      <w:bookmarkStart w:id="80" w:name="_Toc185251818"/>
      <w:bookmarkStart w:id="81" w:name="_Toc27055353"/>
      <w:bookmarkStart w:id="82" w:name="_Toc81230904"/>
      <w:bookmarkStart w:id="83" w:name="_Toc92461279"/>
      <w:r w:rsidR="009D347E" w:rsidRPr="001821A2">
        <w:lastRenderedPageBreak/>
        <w:t>Definition of research and experimental development</w:t>
      </w:r>
      <w:bookmarkEnd w:id="79"/>
      <w:bookmarkEnd w:id="80"/>
      <w:r w:rsidR="009D347E" w:rsidRPr="001821A2">
        <w:t xml:space="preserve"> </w:t>
      </w:r>
      <w:bookmarkEnd w:id="81"/>
      <w:bookmarkEnd w:id="82"/>
      <w:bookmarkEnd w:id="83"/>
    </w:p>
    <w:p w14:paraId="5973A7B1" w14:textId="5ADBF693" w:rsidR="008B4DCE" w:rsidRPr="001821A2" w:rsidRDefault="00D84043" w:rsidP="008B4DCE">
      <w:pPr>
        <w:spacing w:after="120"/>
        <w:rPr>
          <w:rFonts w:cstheme="minorHAnsi"/>
        </w:rPr>
      </w:pPr>
      <w:r w:rsidRPr="001821A2">
        <w:rPr>
          <w:rFonts w:cstheme="minorHAnsi"/>
        </w:rPr>
        <w:t xml:space="preserve">HERDC </w:t>
      </w:r>
      <w:r>
        <w:rPr>
          <w:rFonts w:cstheme="minorHAnsi"/>
        </w:rPr>
        <w:t xml:space="preserve">uses the </w:t>
      </w:r>
      <w:r w:rsidRPr="001821A2">
        <w:rPr>
          <w:rFonts w:cstheme="minorHAnsi"/>
        </w:rPr>
        <w:t>Organisation for Economic Cooperation and Development (OECD) definition of research and experimental development</w:t>
      </w:r>
      <w:r>
        <w:rPr>
          <w:rFonts w:cstheme="minorHAnsi"/>
        </w:rPr>
        <w:t xml:space="preserve"> (R&amp;D)</w:t>
      </w:r>
      <w:r w:rsidRPr="001821A2">
        <w:rPr>
          <w:rFonts w:cstheme="minorHAnsi"/>
        </w:rPr>
        <w:t xml:space="preserve"> set out in the </w:t>
      </w:r>
      <w:hyperlink r:id="rId32" w:history="1">
        <w:r w:rsidRPr="001821A2">
          <w:rPr>
            <w:rStyle w:val="Hyperlink"/>
          </w:rPr>
          <w:t>2015 Frascati Manual</w:t>
        </w:r>
      </w:hyperlink>
      <w:r>
        <w:rPr>
          <w:rFonts w:cstheme="minorHAnsi"/>
        </w:rPr>
        <w:t xml:space="preserve"> which is </w:t>
      </w:r>
      <w:r w:rsidRPr="001821A2">
        <w:rPr>
          <w:rFonts w:cstheme="minorHAnsi"/>
        </w:rPr>
        <w:t>‘creative and systematic work undertaken in order to increase the stock of knowledge –</w:t>
      </w:r>
      <w:r>
        <w:rPr>
          <w:rFonts w:cstheme="minorHAnsi"/>
        </w:rPr>
        <w:t xml:space="preserve"> </w:t>
      </w:r>
      <w:r w:rsidR="008B4DCE" w:rsidRPr="001821A2">
        <w:rPr>
          <w:rFonts w:cstheme="minorHAnsi"/>
        </w:rPr>
        <w:t>including knowledge of humankind, culture and society – and to devise new applications of available knowledge.’</w:t>
      </w:r>
      <w:r w:rsidR="008B4DCE" w:rsidRPr="001821A2">
        <w:rPr>
          <w:rFonts w:cstheme="minorHAnsi"/>
          <w:vertAlign w:val="superscript"/>
        </w:rPr>
        <w:footnoteReference w:id="4"/>
      </w:r>
      <w:r w:rsidR="008B4DCE" w:rsidRPr="001821A2">
        <w:rPr>
          <w:rFonts w:cstheme="minorHAnsi"/>
        </w:rPr>
        <w:t xml:space="preserve"> </w:t>
      </w:r>
    </w:p>
    <w:p w14:paraId="373E9E19" w14:textId="1BF020A6" w:rsidR="009D347E" w:rsidRPr="001821A2" w:rsidRDefault="009D347E" w:rsidP="009D347E">
      <w:pPr>
        <w:spacing w:after="120"/>
        <w:rPr>
          <w:rFonts w:cstheme="minorHAnsi"/>
        </w:rPr>
      </w:pPr>
      <w:r w:rsidRPr="001821A2">
        <w:rPr>
          <w:rFonts w:cstheme="minorHAnsi"/>
        </w:rPr>
        <w:t xml:space="preserve">For an activity to be a R&amp;D activity it must jointly satisfy </w:t>
      </w:r>
      <w:r w:rsidRPr="001821A2">
        <w:rPr>
          <w:rFonts w:cstheme="minorHAnsi"/>
          <w:u w:val="single"/>
        </w:rPr>
        <w:t xml:space="preserve">all </w:t>
      </w:r>
      <w:r w:rsidR="00F23B8A">
        <w:rPr>
          <w:rFonts w:cstheme="minorHAnsi"/>
          <w:u w:val="single"/>
        </w:rPr>
        <w:t>5</w:t>
      </w:r>
      <w:r w:rsidR="00F23B8A" w:rsidRPr="001821A2">
        <w:rPr>
          <w:rFonts w:cstheme="minorHAnsi"/>
        </w:rPr>
        <w:t xml:space="preserve"> </w:t>
      </w:r>
      <w:r w:rsidRPr="001821A2">
        <w:rPr>
          <w:rFonts w:cstheme="minorHAnsi"/>
        </w:rPr>
        <w:t>of the below core criteria. A R&amp;D activity must be:</w:t>
      </w:r>
    </w:p>
    <w:p w14:paraId="784403CA" w14:textId="77777777" w:rsidR="009D347E" w:rsidRPr="001821A2" w:rsidRDefault="009D347E" w:rsidP="00257932">
      <w:pPr>
        <w:pStyle w:val="ListNumber"/>
      </w:pPr>
      <w:r w:rsidRPr="001821A2">
        <w:t>novel: aimed at new findings</w:t>
      </w:r>
      <w:r w:rsidRPr="001821A2">
        <w:rPr>
          <w:vertAlign w:val="superscript"/>
        </w:rPr>
        <w:footnoteReference w:id="5"/>
      </w:r>
    </w:p>
    <w:p w14:paraId="64524D00" w14:textId="77777777" w:rsidR="009D347E" w:rsidRPr="001821A2" w:rsidRDefault="009D347E" w:rsidP="00257932">
      <w:pPr>
        <w:pStyle w:val="ListNumber"/>
      </w:pPr>
      <w:r w:rsidRPr="001821A2">
        <w:t xml:space="preserve">creative: based on original, not obvious, concepts and hypotheses </w:t>
      </w:r>
    </w:p>
    <w:p w14:paraId="4460D324" w14:textId="77777777" w:rsidR="009D347E" w:rsidRPr="001821A2" w:rsidRDefault="009D347E" w:rsidP="00257932">
      <w:pPr>
        <w:pStyle w:val="ListNumber"/>
      </w:pPr>
      <w:r w:rsidRPr="001821A2">
        <w:t xml:space="preserve">uncertain: uncertain about the final outcome(s) </w:t>
      </w:r>
    </w:p>
    <w:p w14:paraId="5190D342" w14:textId="77777777" w:rsidR="009D347E" w:rsidRPr="001821A2" w:rsidRDefault="009D347E" w:rsidP="00257932">
      <w:pPr>
        <w:pStyle w:val="ListNumber"/>
      </w:pPr>
      <w:r w:rsidRPr="001821A2">
        <w:t xml:space="preserve">systemic: planned and budgeted </w:t>
      </w:r>
    </w:p>
    <w:p w14:paraId="392F929C" w14:textId="6AECA52F" w:rsidR="009D347E" w:rsidRPr="008902C1" w:rsidRDefault="009D347E" w:rsidP="008902C1">
      <w:pPr>
        <w:pStyle w:val="ListNumber"/>
      </w:pPr>
      <w:r w:rsidRPr="001821A2">
        <w:t>transferable and/or reproducible: lead to results that could be possibly reproduced.</w:t>
      </w:r>
      <w:r w:rsidRPr="001821A2">
        <w:rPr>
          <w:vertAlign w:val="superscript"/>
        </w:rPr>
        <w:footnoteReference w:id="6"/>
      </w:r>
    </w:p>
    <w:p w14:paraId="71184EB3" w14:textId="4D425BB9" w:rsidR="009D347E" w:rsidRPr="001821A2" w:rsidRDefault="009D347E" w:rsidP="009D347E">
      <w:pPr>
        <w:spacing w:before="240" w:after="120"/>
        <w:rPr>
          <w:rFonts w:cstheme="minorHAnsi"/>
        </w:rPr>
      </w:pPr>
      <w:r w:rsidRPr="001821A2">
        <w:rPr>
          <w:rFonts w:cstheme="minorHAnsi"/>
        </w:rPr>
        <w:t xml:space="preserve">The above definition encompasses pure and oriented basic research, applied research and experimental development, which are defined in the </w:t>
      </w:r>
      <w:r w:rsidRPr="00476886">
        <w:t>2015 Frascati Manual</w:t>
      </w:r>
      <w:r>
        <w:rPr>
          <w:rFonts w:cstheme="minorHAnsi"/>
        </w:rPr>
        <w:t xml:space="preserve"> a</w:t>
      </w:r>
      <w:r w:rsidRPr="001821A2">
        <w:rPr>
          <w:rFonts w:cstheme="minorHAnsi"/>
        </w:rPr>
        <w:t>s follows:</w:t>
      </w:r>
    </w:p>
    <w:p w14:paraId="45E7824A" w14:textId="238A08CB" w:rsidR="00E24203" w:rsidRDefault="009D347E" w:rsidP="00F23AB3">
      <w:pPr>
        <w:pStyle w:val="ListBullet"/>
        <w:spacing w:after="0"/>
      </w:pPr>
      <w:r w:rsidRPr="006027B1">
        <w:t>Basic research is experimental or theoretical work undertaken primarily to acquire new knowledge of the underlying foundations of phenomena and observable facts, without any particular application or use in view.</w:t>
      </w:r>
      <w:r w:rsidRPr="006027B1">
        <w:rPr>
          <w:vertAlign w:val="superscript"/>
        </w:rPr>
        <w:footnoteReference w:id="7"/>
      </w:r>
      <w:r w:rsidRPr="00E24203">
        <w:rPr>
          <w:vertAlign w:val="superscript"/>
        </w:rPr>
        <w:t xml:space="preserve"> </w:t>
      </w:r>
      <w:r w:rsidRPr="006027B1">
        <w:t xml:space="preserve">There are </w:t>
      </w:r>
      <w:r w:rsidR="00F23B8A">
        <w:t>2</w:t>
      </w:r>
      <w:r w:rsidRPr="006027B1">
        <w:t xml:space="preserve"> types of basic research:</w:t>
      </w:r>
    </w:p>
    <w:p w14:paraId="4E9C5002" w14:textId="00A49B53" w:rsidR="009D347E" w:rsidRPr="006027B1" w:rsidRDefault="009D347E" w:rsidP="00F23AB3">
      <w:pPr>
        <w:pStyle w:val="ListBullet3"/>
      </w:pPr>
      <w:r w:rsidRPr="006027B1">
        <w:t>Pure basic research is carried out for the advancement of knowledge, without seeking economic or social benefits or making an active effort to apply the results to practical problems or to transfer the results to sectors responsible for their application.</w:t>
      </w:r>
      <w:r w:rsidRPr="006027B1">
        <w:rPr>
          <w:vertAlign w:val="superscript"/>
        </w:rPr>
        <w:footnoteReference w:id="8"/>
      </w:r>
    </w:p>
    <w:p w14:paraId="5DB6457A" w14:textId="77777777" w:rsidR="009D347E" w:rsidRPr="006027B1" w:rsidRDefault="009D347E" w:rsidP="00F23AB3">
      <w:pPr>
        <w:pStyle w:val="ListBullet3"/>
        <w:spacing w:after="0"/>
      </w:pPr>
      <w:r w:rsidRPr="006027B1">
        <w:t>Oriented basic research is carried out with the expectation that it will produce a broad base of knowledge likely to form the basis of the solution to recognised or expected current or future problems or possibilities.</w:t>
      </w:r>
      <w:r w:rsidRPr="006027B1">
        <w:rPr>
          <w:vertAlign w:val="superscript"/>
        </w:rPr>
        <w:footnoteReference w:id="9"/>
      </w:r>
    </w:p>
    <w:p w14:paraId="3494309D" w14:textId="77777777" w:rsidR="009D347E" w:rsidRPr="006027B1" w:rsidRDefault="009D347E" w:rsidP="00F23AB3">
      <w:pPr>
        <w:pStyle w:val="ListBullet"/>
        <w:spacing w:after="0"/>
      </w:pPr>
      <w:r w:rsidRPr="006027B1">
        <w:t>Applied research is original investigation undertaken in order to acquire new knowledge. It is, however, directed primarily towards a specific, practical aim or objective</w:t>
      </w:r>
      <w:r w:rsidRPr="006027B1">
        <w:rPr>
          <w:vertAlign w:val="superscript"/>
        </w:rPr>
        <w:footnoteReference w:id="10"/>
      </w:r>
      <w:r w:rsidRPr="006027B1">
        <w:t xml:space="preserve"> (including a client-driven purpose).</w:t>
      </w:r>
    </w:p>
    <w:p w14:paraId="3BF96204" w14:textId="77777777" w:rsidR="006027B1" w:rsidRPr="006027B1" w:rsidRDefault="009D347E" w:rsidP="006027B1">
      <w:pPr>
        <w:pStyle w:val="ListBullet"/>
      </w:pPr>
      <w:r w:rsidRPr="006027B1">
        <w:t>Experimental development is systematic work, drawing on knowledge gained from research and practical experience and producing additional knowledge, which is directed to producing new products or processes or to improving existing products or processes.</w:t>
      </w:r>
      <w:r w:rsidRPr="006027B1">
        <w:rPr>
          <w:vertAlign w:val="superscript"/>
        </w:rPr>
        <w:footnoteReference w:id="11"/>
      </w:r>
      <w:bookmarkStart w:id="85" w:name="_Toc27055354"/>
    </w:p>
    <w:p w14:paraId="3C9FD12C" w14:textId="77777777" w:rsidR="006027B1" w:rsidRDefault="006027B1" w:rsidP="006027B1">
      <w:pPr>
        <w:spacing w:after="120" w:line="276" w:lineRule="auto"/>
        <w:contextualSpacing/>
        <w:rPr>
          <w:rFonts w:cstheme="minorHAnsi"/>
        </w:rPr>
      </w:pPr>
    </w:p>
    <w:p w14:paraId="3419C1F7" w14:textId="6931F563" w:rsidR="009D347E" w:rsidRPr="00190CC4" w:rsidRDefault="009D347E" w:rsidP="006027B1">
      <w:pPr>
        <w:spacing w:after="120" w:line="276" w:lineRule="auto"/>
        <w:contextualSpacing/>
        <w:rPr>
          <w:rFonts w:cstheme="minorHAnsi"/>
        </w:rPr>
      </w:pPr>
      <w:r w:rsidRPr="00190CC4">
        <w:rPr>
          <w:rFonts w:cstheme="minorHAnsi"/>
          <w:b/>
          <w:color w:val="205E29"/>
          <w:sz w:val="32"/>
          <w:szCs w:val="32"/>
        </w:rPr>
        <w:br w:type="page"/>
      </w:r>
    </w:p>
    <w:p w14:paraId="5B32ECC8" w14:textId="77777777" w:rsidR="009D347E" w:rsidRPr="001821A2" w:rsidRDefault="009D347E" w:rsidP="006108A9">
      <w:pPr>
        <w:pStyle w:val="Heading2"/>
      </w:pPr>
      <w:bookmarkStart w:id="86" w:name="_Toc81230905"/>
      <w:bookmarkStart w:id="87" w:name="_Toc92461280"/>
      <w:bookmarkStart w:id="88" w:name="_Toc147503815"/>
      <w:bookmarkStart w:id="89" w:name="_Toc185251819"/>
      <w:r w:rsidRPr="001821A2">
        <w:lastRenderedPageBreak/>
        <w:t>3.1</w:t>
      </w:r>
      <w:r w:rsidRPr="001821A2">
        <w:tab/>
        <w:t>Inclusions and exclusions</w:t>
      </w:r>
      <w:bookmarkEnd w:id="86"/>
      <w:bookmarkEnd w:id="87"/>
      <w:bookmarkEnd w:id="88"/>
      <w:bookmarkEnd w:id="89"/>
    </w:p>
    <w:p w14:paraId="4BB29C82" w14:textId="77777777" w:rsidR="009D347E" w:rsidRPr="001821A2" w:rsidRDefault="009D347E" w:rsidP="009D347E">
      <w:pPr>
        <w:spacing w:after="120"/>
      </w:pPr>
      <w:bookmarkStart w:id="90" w:name="_Toc81224873"/>
      <w:bookmarkStart w:id="91" w:name="_Toc81225029"/>
      <w:r w:rsidRPr="001821A2">
        <w:t xml:space="preserve">The sections below provide additional guidance </w:t>
      </w:r>
      <w:r>
        <w:t>about</w:t>
      </w:r>
      <w:r w:rsidRPr="001821A2">
        <w:t xml:space="preserve"> the activities that can be considered R&amp;D, and therefore included in a HEP’s R&amp;D income return. These lists are not exhaustive.</w:t>
      </w:r>
      <w:bookmarkEnd w:id="90"/>
      <w:bookmarkEnd w:id="91"/>
    </w:p>
    <w:p w14:paraId="1E2AF7A1" w14:textId="77777777" w:rsidR="009D347E" w:rsidRPr="001821A2" w:rsidRDefault="009D347E" w:rsidP="006108A9">
      <w:pPr>
        <w:pStyle w:val="Heading3"/>
      </w:pPr>
      <w:bookmarkStart w:id="92" w:name="_Toc81230906"/>
      <w:bookmarkStart w:id="93" w:name="_Toc92461281"/>
      <w:bookmarkStart w:id="94" w:name="_Toc147503816"/>
      <w:bookmarkStart w:id="95" w:name="_Toc185251820"/>
      <w:r w:rsidRPr="001821A2">
        <w:t>3.1.1</w:t>
      </w:r>
      <w:r w:rsidRPr="001821A2">
        <w:tab/>
        <w:t>Examples of activities that meet the definition of R&amp;D include:</w:t>
      </w:r>
      <w:bookmarkEnd w:id="85"/>
      <w:bookmarkEnd w:id="92"/>
      <w:bookmarkEnd w:id="93"/>
      <w:bookmarkEnd w:id="94"/>
      <w:bookmarkEnd w:id="95"/>
    </w:p>
    <w:p w14:paraId="716A8B24" w14:textId="77777777" w:rsidR="009D347E" w:rsidRPr="001821A2" w:rsidRDefault="009D347E" w:rsidP="006027B1">
      <w:pPr>
        <w:pStyle w:val="List2"/>
      </w:pPr>
      <w:r w:rsidRPr="001821A2">
        <w:t>Professional, technical, administrative or clerical support staff directly engaged in activities essential to the conduct of R&amp;D.</w:t>
      </w:r>
    </w:p>
    <w:p w14:paraId="1F68D200" w14:textId="77777777" w:rsidR="009D347E" w:rsidRPr="001821A2" w:rsidRDefault="009D347E" w:rsidP="006027B1">
      <w:pPr>
        <w:pStyle w:val="List2"/>
      </w:pPr>
      <w:r w:rsidRPr="001821A2">
        <w:t>The activities of higher degree by research (HDR)</w:t>
      </w:r>
      <w:r w:rsidRPr="001821A2">
        <w:rPr>
          <w:vertAlign w:val="superscript"/>
        </w:rPr>
        <w:footnoteReference w:id="12"/>
      </w:r>
      <w:r w:rsidRPr="001821A2">
        <w:t xml:space="preserve"> students enrolled at the HEP.</w:t>
      </w:r>
    </w:p>
    <w:p w14:paraId="134D0F76" w14:textId="77777777" w:rsidR="009D347E" w:rsidRPr="001821A2" w:rsidRDefault="009D347E" w:rsidP="006027B1">
      <w:pPr>
        <w:pStyle w:val="List2"/>
      </w:pPr>
      <w:r w:rsidRPr="001821A2">
        <w:t>The development of HDR training and courses.</w:t>
      </w:r>
    </w:p>
    <w:p w14:paraId="0E56E3F5" w14:textId="77777777" w:rsidR="009D347E" w:rsidRPr="001821A2" w:rsidRDefault="009D347E" w:rsidP="006027B1">
      <w:pPr>
        <w:pStyle w:val="List2"/>
      </w:pPr>
      <w:r w:rsidRPr="001821A2">
        <w:t>The supervision of HDR students enrolled at the HEP.</w:t>
      </w:r>
    </w:p>
    <w:p w14:paraId="3673E96C" w14:textId="77777777" w:rsidR="009D347E" w:rsidRPr="001821A2" w:rsidRDefault="009D347E" w:rsidP="006027B1">
      <w:pPr>
        <w:pStyle w:val="List2"/>
      </w:pPr>
      <w:r w:rsidRPr="001821A2">
        <w:t>R&amp;D into applications software, new programming languages and new operating systems</w:t>
      </w:r>
    </w:p>
    <w:p w14:paraId="17CEAFA6" w14:textId="77777777" w:rsidR="009D347E" w:rsidRPr="001821A2" w:rsidRDefault="009D347E" w:rsidP="006027B1">
      <w:pPr>
        <w:pStyle w:val="List2"/>
      </w:pPr>
      <w:r w:rsidRPr="001821A2">
        <w:t>Prototype development and testing.</w:t>
      </w:r>
    </w:p>
    <w:p w14:paraId="6F353DDB" w14:textId="77777777" w:rsidR="009D347E" w:rsidRPr="001821A2" w:rsidRDefault="009D347E" w:rsidP="006027B1">
      <w:pPr>
        <w:pStyle w:val="List2"/>
      </w:pPr>
      <w:r w:rsidRPr="001821A2">
        <w:t>Construction and operation of a pilot plant where the primary objective is to make further improvements.</w:t>
      </w:r>
    </w:p>
    <w:p w14:paraId="6892F07E" w14:textId="39376249" w:rsidR="009D347E" w:rsidRPr="001821A2" w:rsidRDefault="009D347E" w:rsidP="006027B1">
      <w:pPr>
        <w:pStyle w:val="List2"/>
      </w:pPr>
      <w:r w:rsidRPr="001821A2">
        <w:t>Trial production where there is full scale testing and subsequent further design and engineering.</w:t>
      </w:r>
    </w:p>
    <w:p w14:paraId="68210E61" w14:textId="77777777" w:rsidR="009D347E" w:rsidRPr="001821A2" w:rsidRDefault="009D347E" w:rsidP="006027B1">
      <w:pPr>
        <w:pStyle w:val="List2"/>
      </w:pPr>
      <w:r w:rsidRPr="001821A2">
        <w:t>Phases I to III of clinical trials.</w:t>
      </w:r>
    </w:p>
    <w:p w14:paraId="57317BB3" w14:textId="36C3DEB7" w:rsidR="009D347E" w:rsidRPr="001821A2" w:rsidRDefault="009D347E" w:rsidP="006027B1">
      <w:pPr>
        <w:pStyle w:val="List2"/>
      </w:pPr>
      <w:r w:rsidRPr="001821A2">
        <w:t xml:space="preserve">Non-traditional research </w:t>
      </w:r>
      <w:r w:rsidR="00A04C59">
        <w:t xml:space="preserve">in </w:t>
      </w:r>
      <w:r w:rsidRPr="001821A2">
        <w:t>creative arts including original creative works, live performance of creative works, recorded or rendered works, and curated exhibitions or events</w:t>
      </w:r>
      <w:bookmarkStart w:id="96" w:name="_Toc27055355"/>
      <w:r w:rsidRPr="001821A2">
        <w:t>.</w:t>
      </w:r>
    </w:p>
    <w:p w14:paraId="2063616A" w14:textId="77777777" w:rsidR="009D347E" w:rsidRPr="001821A2" w:rsidRDefault="009D347E" w:rsidP="006108A9">
      <w:pPr>
        <w:pStyle w:val="Heading3"/>
      </w:pPr>
      <w:bookmarkStart w:id="97" w:name="_Toc81230907"/>
      <w:bookmarkStart w:id="98" w:name="_Toc92461282"/>
      <w:bookmarkStart w:id="99" w:name="_Toc147503817"/>
      <w:bookmarkStart w:id="100" w:name="_Toc185251821"/>
      <w:r w:rsidRPr="001821A2">
        <w:t>3.1.2</w:t>
      </w:r>
      <w:r w:rsidRPr="001821A2">
        <w:tab/>
        <w:t>Examples of activities that do not meet the definition of R&amp;D include:</w:t>
      </w:r>
      <w:bookmarkEnd w:id="96"/>
      <w:bookmarkEnd w:id="97"/>
      <w:bookmarkEnd w:id="98"/>
      <w:bookmarkEnd w:id="99"/>
      <w:bookmarkEnd w:id="100"/>
    </w:p>
    <w:p w14:paraId="1F9CDBC1" w14:textId="77777777" w:rsidR="009D347E" w:rsidRPr="001821A2" w:rsidRDefault="009D347E" w:rsidP="00C85B4C">
      <w:pPr>
        <w:pStyle w:val="List2"/>
        <w:numPr>
          <w:ilvl w:val="1"/>
          <w:numId w:val="8"/>
        </w:numPr>
      </w:pPr>
      <w:r w:rsidRPr="001821A2">
        <w:t>Scientific and technical information services.</w:t>
      </w:r>
    </w:p>
    <w:p w14:paraId="5FA73016" w14:textId="77777777" w:rsidR="009D347E" w:rsidRPr="001821A2" w:rsidRDefault="009D347E" w:rsidP="00C85B4C">
      <w:pPr>
        <w:pStyle w:val="List2"/>
        <w:numPr>
          <w:ilvl w:val="1"/>
          <w:numId w:val="8"/>
        </w:numPr>
      </w:pPr>
      <w:r w:rsidRPr="001821A2">
        <w:t>General purpose or routine data collection.</w:t>
      </w:r>
    </w:p>
    <w:p w14:paraId="2BECA5F1" w14:textId="77777777" w:rsidR="009D347E" w:rsidRPr="001821A2" w:rsidRDefault="009D347E" w:rsidP="00C85B4C">
      <w:pPr>
        <w:pStyle w:val="List2"/>
        <w:numPr>
          <w:ilvl w:val="1"/>
          <w:numId w:val="8"/>
        </w:numPr>
      </w:pPr>
      <w:r w:rsidRPr="001821A2">
        <w:t>Standardisation and routine testing.</w:t>
      </w:r>
    </w:p>
    <w:p w14:paraId="30A6E23F" w14:textId="77777777" w:rsidR="009D347E" w:rsidRPr="001821A2" w:rsidRDefault="009D347E" w:rsidP="00C85B4C">
      <w:pPr>
        <w:pStyle w:val="List2"/>
        <w:numPr>
          <w:ilvl w:val="1"/>
          <w:numId w:val="8"/>
        </w:numPr>
      </w:pPr>
      <w:r w:rsidRPr="001821A2">
        <w:t>Feasibility studies (except into R&amp;D projects).</w:t>
      </w:r>
    </w:p>
    <w:p w14:paraId="0D42609C" w14:textId="77777777" w:rsidR="009D347E" w:rsidRPr="001821A2" w:rsidRDefault="009D347E" w:rsidP="00C85B4C">
      <w:pPr>
        <w:pStyle w:val="List2"/>
        <w:numPr>
          <w:ilvl w:val="1"/>
          <w:numId w:val="8"/>
        </w:numPr>
      </w:pPr>
      <w:r w:rsidRPr="001821A2">
        <w:t>Specialised, routine medical care.</w:t>
      </w:r>
    </w:p>
    <w:p w14:paraId="4680EC5B" w14:textId="77777777" w:rsidR="009D347E" w:rsidRPr="001821A2" w:rsidRDefault="009D347E" w:rsidP="00C85B4C">
      <w:pPr>
        <w:pStyle w:val="List2"/>
        <w:numPr>
          <w:ilvl w:val="1"/>
          <w:numId w:val="8"/>
        </w:numPr>
      </w:pPr>
      <w:r w:rsidRPr="001821A2">
        <w:t>Literature reviews that are predominantly a summary of the current knowledge and findings of a particular R&amp;D field or topic and do not include any critical assessment or report any new findings or original experimental work.</w:t>
      </w:r>
    </w:p>
    <w:p w14:paraId="5AF834ED" w14:textId="77777777" w:rsidR="009D347E" w:rsidRPr="001821A2" w:rsidRDefault="009D347E" w:rsidP="00C85B4C">
      <w:pPr>
        <w:pStyle w:val="List2"/>
        <w:numPr>
          <w:ilvl w:val="1"/>
          <w:numId w:val="8"/>
        </w:numPr>
      </w:pPr>
      <w:r w:rsidRPr="001821A2">
        <w:t>Commercial, legal and administrative aspects of patenting, plant breeders’ rights, copyright, material transfer agreements or intellectual property licensing, option and assignment activities, and royalties.</w:t>
      </w:r>
    </w:p>
    <w:p w14:paraId="7F134814" w14:textId="77777777" w:rsidR="009D347E" w:rsidRPr="001821A2" w:rsidRDefault="009D347E" w:rsidP="00C85B4C">
      <w:pPr>
        <w:pStyle w:val="List2"/>
        <w:numPr>
          <w:ilvl w:val="1"/>
          <w:numId w:val="8"/>
        </w:numPr>
      </w:pPr>
      <w:r w:rsidRPr="001821A2">
        <w:t>Routine computer programming, systems work or software maintenance.</w:t>
      </w:r>
    </w:p>
    <w:p w14:paraId="21C11B42" w14:textId="018029B1" w:rsidR="009D347E" w:rsidRPr="001821A2" w:rsidRDefault="009D347E" w:rsidP="00C85B4C">
      <w:pPr>
        <w:pStyle w:val="List2"/>
        <w:numPr>
          <w:ilvl w:val="1"/>
          <w:numId w:val="8"/>
        </w:numPr>
      </w:pPr>
      <w:r w:rsidRPr="001821A2">
        <w:t xml:space="preserve">Stages of product development that do not meet the </w:t>
      </w:r>
      <w:r w:rsidR="00F23B8A">
        <w:t>5</w:t>
      </w:r>
      <w:r w:rsidRPr="001821A2">
        <w:t xml:space="preserve"> R&amp;D criteria above.</w:t>
      </w:r>
      <w:r w:rsidRPr="001821A2">
        <w:rPr>
          <w:rFonts w:cs="Times New Roman"/>
          <w:vertAlign w:val="superscript"/>
        </w:rPr>
        <w:footnoteReference w:id="13"/>
      </w:r>
    </w:p>
    <w:p w14:paraId="083F6D59" w14:textId="77777777" w:rsidR="009D347E" w:rsidRPr="001821A2" w:rsidRDefault="009D347E" w:rsidP="00C85B4C">
      <w:pPr>
        <w:pStyle w:val="List2"/>
        <w:numPr>
          <w:ilvl w:val="1"/>
          <w:numId w:val="8"/>
        </w:numPr>
      </w:pPr>
      <w:r w:rsidRPr="001821A2">
        <w:t>Pre-production development.</w:t>
      </w:r>
      <w:r w:rsidRPr="001821A2">
        <w:rPr>
          <w:rFonts w:cs="Times New Roman"/>
          <w:vertAlign w:val="superscript"/>
        </w:rPr>
        <w:footnoteReference w:id="14"/>
      </w:r>
    </w:p>
    <w:p w14:paraId="0452B5EB" w14:textId="77777777" w:rsidR="009D347E" w:rsidRPr="001821A2" w:rsidRDefault="009D347E" w:rsidP="00C85B4C">
      <w:pPr>
        <w:pStyle w:val="List2"/>
        <w:numPr>
          <w:ilvl w:val="1"/>
          <w:numId w:val="8"/>
        </w:numPr>
      </w:pPr>
      <w:r w:rsidRPr="001821A2">
        <w:t>Market research.</w:t>
      </w:r>
    </w:p>
    <w:p w14:paraId="7419AFE4" w14:textId="77777777" w:rsidR="009D347E" w:rsidRPr="001821A2" w:rsidRDefault="009D347E" w:rsidP="00C85B4C">
      <w:pPr>
        <w:pStyle w:val="List2"/>
        <w:numPr>
          <w:ilvl w:val="1"/>
          <w:numId w:val="8"/>
        </w:numPr>
      </w:pPr>
      <w:r w:rsidRPr="001821A2">
        <w:t>Construction of fully tested prototypes for marketing purposes.</w:t>
      </w:r>
    </w:p>
    <w:p w14:paraId="187DAE86" w14:textId="77777777" w:rsidR="009D347E" w:rsidRPr="001821A2" w:rsidRDefault="009D347E" w:rsidP="00C85B4C">
      <w:pPr>
        <w:pStyle w:val="List2"/>
        <w:numPr>
          <w:ilvl w:val="1"/>
          <w:numId w:val="8"/>
        </w:numPr>
      </w:pPr>
      <w:r w:rsidRPr="001821A2">
        <w:t>After sales service and troubleshooting.</w:t>
      </w:r>
    </w:p>
    <w:p w14:paraId="289D055A" w14:textId="77777777" w:rsidR="009D347E" w:rsidRPr="001821A2" w:rsidRDefault="009D347E" w:rsidP="00C85B4C">
      <w:pPr>
        <w:pStyle w:val="List2"/>
        <w:numPr>
          <w:ilvl w:val="1"/>
          <w:numId w:val="8"/>
        </w:numPr>
      </w:pPr>
      <w:r w:rsidRPr="001821A2">
        <w:t>Industrial engineering and design for production purposes.</w:t>
      </w:r>
    </w:p>
    <w:p w14:paraId="2AE309CA" w14:textId="2CCC2BE4" w:rsidR="009D347E" w:rsidRPr="001821A2" w:rsidRDefault="009D347E" w:rsidP="00C85B4C">
      <w:pPr>
        <w:pStyle w:val="List2"/>
        <w:numPr>
          <w:ilvl w:val="1"/>
          <w:numId w:val="8"/>
        </w:numPr>
      </w:pPr>
      <w:r w:rsidRPr="001821A2">
        <w:t xml:space="preserve">Creative activities that do not meet the </w:t>
      </w:r>
      <w:r w:rsidR="00F23B8A">
        <w:t>5</w:t>
      </w:r>
      <w:r w:rsidRPr="001821A2">
        <w:t xml:space="preserve"> core R&amp;D criteria above</w:t>
      </w:r>
      <w:r>
        <w:t>.</w:t>
      </w:r>
    </w:p>
    <w:p w14:paraId="62FB57C8" w14:textId="77777777" w:rsidR="009D347E" w:rsidRPr="001821A2" w:rsidRDefault="009D347E" w:rsidP="00C85B4C">
      <w:pPr>
        <w:pStyle w:val="List2"/>
        <w:numPr>
          <w:ilvl w:val="1"/>
          <w:numId w:val="8"/>
        </w:numPr>
      </w:pPr>
      <w:r w:rsidRPr="001821A2">
        <w:t>R&amp;D financing and support services.</w:t>
      </w:r>
    </w:p>
    <w:p w14:paraId="5F6385D8" w14:textId="77777777" w:rsidR="009D347E" w:rsidRPr="001821A2" w:rsidRDefault="009D347E" w:rsidP="00C85B4C">
      <w:pPr>
        <w:pStyle w:val="List2"/>
        <w:numPr>
          <w:ilvl w:val="1"/>
          <w:numId w:val="8"/>
        </w:numPr>
      </w:pPr>
      <w:r w:rsidRPr="001821A2">
        <w:lastRenderedPageBreak/>
        <w:t>Consultancies or framework analysis activities that are designed to analyse or evaluate processes at external operators.</w:t>
      </w:r>
    </w:p>
    <w:p w14:paraId="0812A8C8" w14:textId="1226E145" w:rsidR="00A91D24" w:rsidRDefault="009D347E" w:rsidP="00C85B4C">
      <w:pPr>
        <w:pStyle w:val="List2"/>
        <w:numPr>
          <w:ilvl w:val="1"/>
          <w:numId w:val="8"/>
        </w:numPr>
      </w:pPr>
      <w:r w:rsidRPr="001821A2">
        <w:t>Teaching services based on existing knowledge which do not constitute entirely new advancements in knowledge.</w:t>
      </w:r>
    </w:p>
    <w:p w14:paraId="544FBD88" w14:textId="0642F59D" w:rsidR="00F34947" w:rsidRDefault="00A91D24" w:rsidP="0039778B">
      <w:pPr>
        <w:spacing w:after="160"/>
      </w:pPr>
      <w:r>
        <w:br w:type="page"/>
      </w:r>
    </w:p>
    <w:p w14:paraId="4EE1B70E" w14:textId="3893485E" w:rsidR="009D347E" w:rsidRPr="00247159" w:rsidRDefault="009D347E" w:rsidP="00247159">
      <w:pPr>
        <w:pStyle w:val="Heading1"/>
      </w:pPr>
      <w:bookmarkStart w:id="101" w:name="_Toc27055356"/>
      <w:bookmarkStart w:id="102" w:name="_Toc81230908"/>
      <w:bookmarkStart w:id="103" w:name="_Toc92461283"/>
      <w:bookmarkStart w:id="104" w:name="_Toc147503818"/>
      <w:bookmarkStart w:id="105" w:name="_Toc185251822"/>
      <w:r w:rsidRPr="00247159">
        <w:lastRenderedPageBreak/>
        <w:t>Categories 1 to 4 R&amp;D income requirements</w:t>
      </w:r>
      <w:bookmarkEnd w:id="101"/>
      <w:bookmarkEnd w:id="102"/>
      <w:bookmarkEnd w:id="103"/>
      <w:bookmarkEnd w:id="104"/>
      <w:bookmarkEnd w:id="105"/>
    </w:p>
    <w:p w14:paraId="443868FB" w14:textId="2FBC9356" w:rsidR="009D347E" w:rsidRPr="00012B6A" w:rsidRDefault="009D347E" w:rsidP="009D347E">
      <w:pPr>
        <w:spacing w:after="120"/>
      </w:pPr>
      <w:r w:rsidRPr="00012B6A">
        <w:t xml:space="preserve">This section provides the information necessary for HEPs to determine what can and cannot be included under Categories 1 to 4 of their HERDC return. </w:t>
      </w:r>
      <w:bookmarkStart w:id="106" w:name="_Toc437848417"/>
      <w:bookmarkStart w:id="107" w:name="_Toc437848473"/>
      <w:bookmarkStart w:id="108" w:name="_Toc437848513"/>
      <w:bookmarkStart w:id="109" w:name="_Toc437848588"/>
      <w:bookmarkStart w:id="110" w:name="_Toc437850659"/>
      <w:bookmarkStart w:id="111" w:name="_Toc437850735"/>
      <w:bookmarkStart w:id="112" w:name="_Toc437850810"/>
      <w:bookmarkStart w:id="113" w:name="_Toc437851163"/>
      <w:bookmarkStart w:id="114" w:name="_Toc437848418"/>
      <w:bookmarkStart w:id="115" w:name="_Toc437848474"/>
      <w:bookmarkStart w:id="116" w:name="_Toc437848514"/>
      <w:bookmarkStart w:id="117" w:name="_Toc437848589"/>
      <w:bookmarkStart w:id="118" w:name="_Toc437850660"/>
      <w:bookmarkStart w:id="119" w:name="_Toc437850736"/>
      <w:bookmarkStart w:id="120" w:name="_Toc437850811"/>
      <w:bookmarkStart w:id="121" w:name="_Toc437851164"/>
      <w:bookmarkStart w:id="122" w:name="CursorPositionBM"/>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012B6A">
        <w:t xml:space="preserve">HEPs must provide information on all R&amp;D income received in the reference year that falls into the following </w:t>
      </w:r>
      <w:r w:rsidR="00F23B8A">
        <w:t>4</w:t>
      </w:r>
      <w:r w:rsidRPr="00012B6A">
        <w:t xml:space="preserve"> categories:</w:t>
      </w:r>
    </w:p>
    <w:p w14:paraId="4320374E" w14:textId="77777777" w:rsidR="009D347E" w:rsidRPr="006027B1" w:rsidRDefault="009D347E" w:rsidP="006027B1">
      <w:pPr>
        <w:pStyle w:val="ListBullet"/>
      </w:pPr>
      <w:r w:rsidRPr="006027B1">
        <w:t>Category 1: Australian competitive grant R&amp;D income</w:t>
      </w:r>
    </w:p>
    <w:p w14:paraId="45F6882C" w14:textId="77777777" w:rsidR="009D347E" w:rsidRPr="006027B1" w:rsidRDefault="009D347E" w:rsidP="006027B1">
      <w:pPr>
        <w:pStyle w:val="ListBullet"/>
      </w:pPr>
      <w:r w:rsidRPr="006027B1">
        <w:t>Category 2: other public sector R&amp;D income</w:t>
      </w:r>
    </w:p>
    <w:p w14:paraId="1DD2DBD9" w14:textId="77777777" w:rsidR="009D347E" w:rsidRPr="006027B1" w:rsidRDefault="009D347E" w:rsidP="006027B1">
      <w:pPr>
        <w:pStyle w:val="ListBullet"/>
      </w:pPr>
      <w:r w:rsidRPr="006027B1">
        <w:t>Category 3: industry and other R&amp;D income</w:t>
      </w:r>
    </w:p>
    <w:p w14:paraId="3D48E1D5" w14:textId="77777777" w:rsidR="009D347E" w:rsidRPr="006027B1" w:rsidRDefault="009D347E" w:rsidP="006027B1">
      <w:pPr>
        <w:pStyle w:val="ListBullet"/>
      </w:pPr>
      <w:r w:rsidRPr="006027B1">
        <w:t>Category 4: CRC R&amp;D income.</w:t>
      </w:r>
    </w:p>
    <w:p w14:paraId="300C8597" w14:textId="77777777" w:rsidR="009D347E" w:rsidRPr="00012B6A" w:rsidRDefault="009D347E" w:rsidP="006108A9">
      <w:pPr>
        <w:pStyle w:val="Heading2"/>
      </w:pPr>
      <w:bookmarkStart w:id="123" w:name="_7.1_General_requirements"/>
      <w:bookmarkStart w:id="124" w:name="_Toc87171315"/>
      <w:bookmarkStart w:id="125" w:name="_Toc96678052"/>
      <w:bookmarkStart w:id="126" w:name="_Toc112733795"/>
      <w:bookmarkStart w:id="127" w:name="_Toc112734005"/>
      <w:bookmarkStart w:id="128" w:name="_Ref115747973"/>
      <w:bookmarkStart w:id="129" w:name="_Toc116182982"/>
      <w:bookmarkStart w:id="130" w:name="_Toc251924125"/>
      <w:bookmarkStart w:id="131" w:name="_Toc406668869"/>
      <w:bookmarkStart w:id="132" w:name="_Toc482284839"/>
      <w:bookmarkStart w:id="133" w:name="_Toc489438087"/>
      <w:bookmarkStart w:id="134" w:name="_Toc489955870"/>
      <w:bookmarkStart w:id="135" w:name="_Toc491172986"/>
      <w:bookmarkStart w:id="136" w:name="_Toc523214675"/>
      <w:bookmarkStart w:id="137" w:name="_Toc27055357"/>
      <w:bookmarkStart w:id="138" w:name="_Toc81230909"/>
      <w:bookmarkStart w:id="139" w:name="_Toc92461284"/>
      <w:bookmarkStart w:id="140" w:name="_Toc147503819"/>
      <w:bookmarkStart w:id="141" w:name="_Toc185251823"/>
      <w:bookmarkEnd w:id="123"/>
      <w:r w:rsidRPr="00012B6A">
        <w:t>4.1</w:t>
      </w:r>
      <w:r w:rsidRPr="00012B6A">
        <w:tab/>
        <w:t>General requirements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6B6DCA32" w14:textId="77777777" w:rsidR="009D347E" w:rsidRPr="00012B6A" w:rsidRDefault="009D347E" w:rsidP="009D347E">
      <w:r w:rsidRPr="00012B6A">
        <w:t xml:space="preserve">Categories 1 to 4 R&amp;D income can only be included in a HEP’s return if it meets </w:t>
      </w:r>
      <w:r w:rsidRPr="00012B6A">
        <w:rPr>
          <w:u w:val="single"/>
        </w:rPr>
        <w:t>all</w:t>
      </w:r>
      <w:r w:rsidRPr="00012B6A">
        <w:t xml:space="preserve"> of the following principles. The R&amp;D income must be:</w:t>
      </w:r>
    </w:p>
    <w:p w14:paraId="6DF2BFEC" w14:textId="1AE338E9" w:rsidR="009D347E" w:rsidRPr="006027B1" w:rsidRDefault="009D347E" w:rsidP="006027B1">
      <w:pPr>
        <w:pStyle w:val="ListBullet"/>
        <w:rPr>
          <w:b/>
          <w:bCs/>
        </w:rPr>
      </w:pPr>
      <w:r w:rsidRPr="006027B1">
        <w:rPr>
          <w:b/>
          <w:bCs/>
        </w:rPr>
        <w:t>For activities consistent with the definition of R&amp;D (</w:t>
      </w:r>
      <w:r w:rsidR="000D397B" w:rsidRPr="006027B1">
        <w:rPr>
          <w:b/>
          <w:bCs/>
        </w:rPr>
        <w:t>s</w:t>
      </w:r>
      <w:r w:rsidRPr="006027B1">
        <w:rPr>
          <w:b/>
          <w:bCs/>
        </w:rPr>
        <w:t>ection 3).</w:t>
      </w:r>
    </w:p>
    <w:p w14:paraId="14B99FF9" w14:textId="77777777" w:rsidR="009D347E" w:rsidRPr="006027B1" w:rsidRDefault="009D347E" w:rsidP="006027B1">
      <w:pPr>
        <w:pStyle w:val="ListBullet"/>
        <w:spacing w:after="0"/>
        <w:rPr>
          <w:b/>
          <w:bCs/>
        </w:rPr>
      </w:pPr>
      <w:r w:rsidRPr="006027B1">
        <w:rPr>
          <w:b/>
          <w:bCs/>
        </w:rPr>
        <w:t>Net receipted income, received in the reference year and recognised in a HEP’s financial system as being related to that reference year:</w:t>
      </w:r>
    </w:p>
    <w:p w14:paraId="428478A4" w14:textId="77777777" w:rsidR="009E0AD8" w:rsidRDefault="009D347E" w:rsidP="006027B1">
      <w:pPr>
        <w:pStyle w:val="ListBullet3"/>
        <w:spacing w:after="0"/>
      </w:pPr>
      <w:r w:rsidRPr="00012B6A">
        <w:t xml:space="preserve">Net receipted income is the amount of R&amp;D income a HEP (or its subsidiary) retains in its accounting system after shared R&amp;D income has been divided and/or third-party R&amp;D income has been expended and/or distributed. </w:t>
      </w:r>
    </w:p>
    <w:p w14:paraId="592B194A" w14:textId="77777777" w:rsidR="009D347E" w:rsidRPr="006027B1" w:rsidRDefault="009D347E" w:rsidP="006027B1">
      <w:pPr>
        <w:pStyle w:val="ListBullet"/>
        <w:spacing w:after="0"/>
        <w:rPr>
          <w:b/>
          <w:bCs/>
        </w:rPr>
      </w:pPr>
      <w:r w:rsidRPr="006027B1">
        <w:rPr>
          <w:b/>
          <w:bCs/>
        </w:rPr>
        <w:t>Only be counted once:</w:t>
      </w:r>
    </w:p>
    <w:p w14:paraId="657610F6" w14:textId="3562F52B" w:rsidR="009D347E" w:rsidRPr="00012B6A" w:rsidRDefault="009D347E" w:rsidP="006027B1">
      <w:pPr>
        <w:pStyle w:val="ListBullet3"/>
        <w:spacing w:after="0"/>
      </w:pPr>
      <w:r w:rsidRPr="00012B6A">
        <w:t>HEPs must apply the principle that no income is to be double counted or included in the income returns for multiple years.</w:t>
      </w:r>
    </w:p>
    <w:p w14:paraId="7D75887A" w14:textId="77777777" w:rsidR="009D347E" w:rsidRPr="006027B1" w:rsidRDefault="009D347E" w:rsidP="006027B1">
      <w:pPr>
        <w:pStyle w:val="ListBullet"/>
        <w:spacing w:after="0"/>
        <w:rPr>
          <w:b/>
          <w:bCs/>
        </w:rPr>
      </w:pPr>
      <w:r w:rsidRPr="006027B1">
        <w:rPr>
          <w:b/>
          <w:bCs/>
        </w:rPr>
        <w:t>Include any variations to R&amp;D income previously reported:</w:t>
      </w:r>
    </w:p>
    <w:p w14:paraId="43E6A88C" w14:textId="3D56B5C4" w:rsidR="00C84117" w:rsidRDefault="009D347E" w:rsidP="006027B1">
      <w:pPr>
        <w:pStyle w:val="ListBullet3"/>
        <w:spacing w:after="0"/>
      </w:pPr>
      <w:r w:rsidRPr="00012B6A">
        <w:t xml:space="preserve">HEPs may count </w:t>
      </w:r>
      <w:r w:rsidR="009E0AD8" w:rsidRPr="00012B6A">
        <w:t>202</w:t>
      </w:r>
      <w:r w:rsidR="009E0AD8">
        <w:t>3</w:t>
      </w:r>
      <w:r w:rsidR="009E0AD8" w:rsidRPr="00012B6A">
        <w:t xml:space="preserve"> </w:t>
      </w:r>
      <w:r w:rsidRPr="00012B6A">
        <w:t xml:space="preserve">R&amp;D income only where the HEP has made a genuine omission of that income from its previous year’s HERDC return and the HEP can verify to its auditor’s satisfaction that the income was not reported in the previous year’s return. </w:t>
      </w:r>
    </w:p>
    <w:p w14:paraId="2101ABBB" w14:textId="534CC9CD" w:rsidR="009D347E" w:rsidRPr="00012B6A" w:rsidRDefault="009D347E" w:rsidP="006027B1">
      <w:pPr>
        <w:pStyle w:val="ListBullet3"/>
        <w:spacing w:after="0"/>
      </w:pPr>
      <w:r w:rsidRPr="00012B6A">
        <w:t>A HEP must reduce the R&amp;D income reported for a particular category where R&amp;D income received in an earlier year has been refunded.</w:t>
      </w:r>
    </w:p>
    <w:p w14:paraId="5825DEB4" w14:textId="77777777" w:rsidR="009D347E" w:rsidRPr="0023553C" w:rsidRDefault="009D347E" w:rsidP="006027B1">
      <w:pPr>
        <w:pStyle w:val="ListBullet"/>
        <w:spacing w:after="0"/>
        <w:rPr>
          <w:b/>
          <w:bCs/>
        </w:rPr>
      </w:pPr>
      <w:r w:rsidRPr="0023553C">
        <w:rPr>
          <w:b/>
          <w:bCs/>
        </w:rPr>
        <w:t>Consistent with audited quarterly or annual CRC financial reports for reported R&amp;D income from CRCs.</w:t>
      </w:r>
    </w:p>
    <w:p w14:paraId="3FDD7AF4" w14:textId="77777777" w:rsidR="009D347E" w:rsidRPr="00877750" w:rsidRDefault="009D347E" w:rsidP="00210F56">
      <w:pPr>
        <w:pStyle w:val="Heading2"/>
        <w:rPr>
          <w:rFonts w:eastAsia="Times New Roman"/>
        </w:rPr>
      </w:pPr>
      <w:bookmarkStart w:id="142" w:name="_Toc147503820"/>
      <w:bookmarkStart w:id="143" w:name="_Toc185251824"/>
      <w:bookmarkStart w:id="144" w:name="_Toc523214682"/>
      <w:bookmarkStart w:id="145" w:name="_Toc491172989"/>
      <w:bookmarkStart w:id="146" w:name="_Toc489955873"/>
      <w:bookmarkStart w:id="147" w:name="_Toc489438090"/>
      <w:bookmarkStart w:id="148" w:name="_Toc482284842"/>
      <w:bookmarkStart w:id="149" w:name="_Ref440031911"/>
      <w:bookmarkStart w:id="150" w:name="_Toc27055364"/>
      <w:bookmarkStart w:id="151" w:name="_Toc81230916"/>
      <w:bookmarkStart w:id="152" w:name="_Toc92461291"/>
      <w:r w:rsidRPr="00877750">
        <w:rPr>
          <w:rFonts w:eastAsia="Times New Roman"/>
        </w:rPr>
        <w:t>4.2</w:t>
      </w:r>
      <w:r w:rsidRPr="00877750">
        <w:rPr>
          <w:rFonts w:eastAsia="Times New Roman"/>
        </w:rPr>
        <w:tab/>
        <w:t>Inclusions and exclusions</w:t>
      </w:r>
      <w:bookmarkEnd w:id="142"/>
      <w:bookmarkEnd w:id="143"/>
    </w:p>
    <w:p w14:paraId="2EC2BB22" w14:textId="77777777" w:rsidR="009D347E" w:rsidRPr="00877750" w:rsidRDefault="009D347E" w:rsidP="009D347E">
      <w:pPr>
        <w:keepNext/>
        <w:keepLines/>
        <w:spacing w:after="120"/>
        <w:rPr>
          <w:rFonts w:ascii="Calibri" w:eastAsia="Calibri" w:hAnsi="Calibri" w:cs="Times New Roman"/>
        </w:rPr>
      </w:pPr>
      <w:r w:rsidRPr="00877750">
        <w:rPr>
          <w:rFonts w:ascii="Calibri" w:eastAsia="Calibri" w:hAnsi="Calibri" w:cs="Times New Roman"/>
        </w:rPr>
        <w:t xml:space="preserve">The sections below provide additional guidance on the net receipted R&amp;D income that can be included or must be excluded from a HEP’s R&amp;D income return. </w:t>
      </w:r>
    </w:p>
    <w:p w14:paraId="7F91CEAE" w14:textId="77777777" w:rsidR="009D347E" w:rsidRPr="00877750" w:rsidRDefault="009D347E" w:rsidP="009D347E">
      <w:pPr>
        <w:keepNext/>
        <w:keepLines/>
        <w:spacing w:after="120"/>
        <w:rPr>
          <w:rFonts w:ascii="Calibri" w:eastAsia="Calibri" w:hAnsi="Calibri" w:cs="Times New Roman"/>
        </w:rPr>
      </w:pPr>
      <w:r w:rsidRPr="00877750">
        <w:rPr>
          <w:rFonts w:ascii="Calibri" w:eastAsia="Calibri" w:hAnsi="Calibri" w:cs="Times New Roman"/>
        </w:rPr>
        <w:t xml:space="preserve">These lists are not exhaustive, and it is the department’s expectation that HEPs work with their auditors in determining which R&amp;D income can be reported. Additional guidance on income involving other parties is at </w:t>
      </w:r>
      <w:r w:rsidRPr="00877750">
        <w:rPr>
          <w:rFonts w:ascii="Calibri" w:eastAsia="Calibri" w:hAnsi="Calibri" w:cs="Times New Roman"/>
          <w:b/>
        </w:rPr>
        <w:t>section 4.3</w:t>
      </w:r>
      <w:r w:rsidRPr="00AF154F">
        <w:rPr>
          <w:rFonts w:ascii="Calibri" w:eastAsia="Calibri" w:hAnsi="Calibri" w:cs="Times New Roman"/>
          <w:bCs/>
        </w:rPr>
        <w:t>.</w:t>
      </w:r>
    </w:p>
    <w:p w14:paraId="17B2E66B" w14:textId="77777777" w:rsidR="009D347E" w:rsidRPr="00877750" w:rsidRDefault="009D347E" w:rsidP="00210F56">
      <w:pPr>
        <w:pStyle w:val="Heading3"/>
        <w:rPr>
          <w:rFonts w:eastAsia="Times New Roman"/>
        </w:rPr>
      </w:pPr>
      <w:bookmarkStart w:id="153" w:name="_Toc168817205"/>
      <w:bookmarkStart w:id="154" w:name="_Toc168824824"/>
      <w:bookmarkStart w:id="155" w:name="_7.2_Research_income"/>
      <w:bookmarkStart w:id="156" w:name="_Toc251924126"/>
      <w:bookmarkStart w:id="157" w:name="_Toc406668875"/>
      <w:bookmarkStart w:id="158" w:name="_Toc406669258"/>
      <w:bookmarkStart w:id="159" w:name="_Toc523214677"/>
      <w:bookmarkStart w:id="160" w:name="_Toc27055359"/>
      <w:bookmarkStart w:id="161" w:name="_Toc81230911"/>
      <w:bookmarkStart w:id="162" w:name="_Toc92461286"/>
      <w:bookmarkStart w:id="163" w:name="_Toc147503821"/>
      <w:bookmarkStart w:id="164" w:name="_Toc185251825"/>
      <w:bookmarkEnd w:id="153"/>
      <w:bookmarkEnd w:id="154"/>
      <w:bookmarkEnd w:id="155"/>
      <w:r w:rsidRPr="00877750">
        <w:rPr>
          <w:rFonts w:eastAsia="Times New Roman"/>
        </w:rPr>
        <w:t>4.2.1</w:t>
      </w:r>
      <w:r w:rsidRPr="00877750">
        <w:rPr>
          <w:rFonts w:eastAsia="Times New Roman"/>
        </w:rPr>
        <w:tab/>
      </w:r>
      <w:bookmarkStart w:id="165" w:name="_Hlk113365657"/>
      <w:r w:rsidRPr="00877750">
        <w:rPr>
          <w:rFonts w:eastAsia="Times New Roman"/>
        </w:rPr>
        <w:t>Net receipted income that can be included in the R&amp;D income return</w:t>
      </w:r>
      <w:bookmarkEnd w:id="156"/>
      <w:bookmarkEnd w:id="157"/>
      <w:bookmarkEnd w:id="158"/>
      <w:r w:rsidRPr="00877750">
        <w:rPr>
          <w:rFonts w:eastAsia="Times New Roman"/>
        </w:rPr>
        <w:t xml:space="preserve"> </w:t>
      </w:r>
      <w:bookmarkEnd w:id="165"/>
      <w:r w:rsidRPr="00877750">
        <w:rPr>
          <w:rFonts w:eastAsia="Times New Roman"/>
        </w:rPr>
        <w:t>comprises:</w:t>
      </w:r>
      <w:bookmarkEnd w:id="159"/>
      <w:bookmarkEnd w:id="160"/>
      <w:bookmarkEnd w:id="161"/>
      <w:bookmarkEnd w:id="162"/>
      <w:bookmarkEnd w:id="163"/>
      <w:bookmarkEnd w:id="164"/>
    </w:p>
    <w:p w14:paraId="126D024F" w14:textId="77777777" w:rsidR="00325383" w:rsidRPr="00DA0D03" w:rsidRDefault="00325383" w:rsidP="00C85B4C">
      <w:pPr>
        <w:pStyle w:val="List2"/>
        <w:numPr>
          <w:ilvl w:val="1"/>
          <w:numId w:val="9"/>
        </w:numPr>
      </w:pPr>
      <w:r w:rsidRPr="00877750">
        <w:t xml:space="preserve">Stipends and scholarships for HDR students enrolled at the HEP, unless explicitly excluded in </w:t>
      </w:r>
      <w:r w:rsidRPr="006027B1">
        <w:rPr>
          <w:b/>
        </w:rPr>
        <w:t xml:space="preserve">section 4.2.2 (n) </w:t>
      </w:r>
      <w:r w:rsidRPr="006027B1">
        <w:rPr>
          <w:bCs/>
        </w:rPr>
        <w:t xml:space="preserve">and </w:t>
      </w:r>
      <w:r w:rsidRPr="006027B1">
        <w:rPr>
          <w:b/>
        </w:rPr>
        <w:t>section 4.2.2(w)</w:t>
      </w:r>
      <w:r w:rsidRPr="00AF154F">
        <w:t>.</w:t>
      </w:r>
      <w:r w:rsidRPr="006027B1">
        <w:rPr>
          <w:b/>
          <w:bCs/>
        </w:rPr>
        <w:t xml:space="preserve"> </w:t>
      </w:r>
    </w:p>
    <w:p w14:paraId="19C75C78" w14:textId="77777777" w:rsidR="00325383" w:rsidRPr="00DA0D03" w:rsidRDefault="00325383" w:rsidP="006C231E">
      <w:pPr>
        <w:pStyle w:val="List2"/>
        <w:spacing w:after="0"/>
      </w:pPr>
      <w:r>
        <w:t xml:space="preserve">Non-Commonwealth Government </w:t>
      </w:r>
      <w:r w:rsidRPr="008B3F79">
        <w:t>top-ups to</w:t>
      </w:r>
      <w:r>
        <w:t>:</w:t>
      </w:r>
      <w:r w:rsidRPr="008B3F79">
        <w:t xml:space="preserve"> </w:t>
      </w:r>
    </w:p>
    <w:p w14:paraId="0AB4E893" w14:textId="1A0AF227" w:rsidR="00325383" w:rsidRPr="00DA0D03" w:rsidRDefault="00325383" w:rsidP="006C231E">
      <w:pPr>
        <w:pStyle w:val="List3"/>
      </w:pPr>
      <w:r w:rsidRPr="008B3F79">
        <w:t xml:space="preserve">Commonwealth Government grants </w:t>
      </w:r>
    </w:p>
    <w:p w14:paraId="1F153775" w14:textId="75C1A272" w:rsidR="00325383" w:rsidRPr="00877750" w:rsidRDefault="00325383" w:rsidP="006C231E">
      <w:pPr>
        <w:pStyle w:val="List3"/>
        <w:spacing w:after="0"/>
      </w:pPr>
      <w:r>
        <w:lastRenderedPageBreak/>
        <w:t xml:space="preserve">Funding </w:t>
      </w:r>
      <w:r w:rsidRPr="008B3F79">
        <w:t xml:space="preserve">listed at </w:t>
      </w:r>
      <w:r w:rsidRPr="002B3093">
        <w:rPr>
          <w:b/>
          <w:bCs/>
        </w:rPr>
        <w:t>4.2.2(w)</w:t>
      </w:r>
      <w:r w:rsidRPr="00AF154F">
        <w:t>.</w:t>
      </w:r>
      <w:r>
        <w:t xml:space="preserve"> </w:t>
      </w:r>
    </w:p>
    <w:p w14:paraId="04B96759" w14:textId="77777777" w:rsidR="009D347E" w:rsidRPr="00877750" w:rsidRDefault="009D347E" w:rsidP="00C85B4C">
      <w:pPr>
        <w:pStyle w:val="List2"/>
        <w:numPr>
          <w:ilvl w:val="1"/>
          <w:numId w:val="9"/>
        </w:numPr>
      </w:pPr>
      <w:r w:rsidRPr="00877750">
        <w:t>Income derived from the provision of R&amp;D services (exclusive of GST).</w:t>
      </w:r>
    </w:p>
    <w:p w14:paraId="57BE7C73" w14:textId="77777777" w:rsidR="009D347E" w:rsidRPr="00877750" w:rsidRDefault="009D347E" w:rsidP="00C85B4C">
      <w:pPr>
        <w:pStyle w:val="List2"/>
        <w:numPr>
          <w:ilvl w:val="1"/>
          <w:numId w:val="9"/>
        </w:numPr>
      </w:pPr>
      <w:r w:rsidRPr="00877750">
        <w:t>Travel grants where funds are provided specifically for the purpose of travel and used to enable access to a program of R&amp;D. Researchers using the funds are expected to be active participants in the R&amp;D program, rather than observers or visitors.</w:t>
      </w:r>
    </w:p>
    <w:p w14:paraId="41B92DAE" w14:textId="77777777" w:rsidR="009D347E" w:rsidRPr="00877750" w:rsidRDefault="009D347E" w:rsidP="00C85B4C">
      <w:pPr>
        <w:pStyle w:val="List2"/>
        <w:numPr>
          <w:ilvl w:val="1"/>
          <w:numId w:val="9"/>
        </w:numPr>
      </w:pPr>
      <w:r w:rsidRPr="00877750">
        <w:t>Income derived from the investment of, and interest earned from, donations, bequests, and endowments available for the expenditure on R&amp;D.</w:t>
      </w:r>
      <w:bookmarkStart w:id="166" w:name="OLE_LINK14"/>
      <w:bookmarkStart w:id="167" w:name="OLE_LINK13"/>
    </w:p>
    <w:p w14:paraId="781A473F" w14:textId="77777777" w:rsidR="009D347E" w:rsidRPr="00877750" w:rsidRDefault="009D347E" w:rsidP="006C231E">
      <w:pPr>
        <w:pStyle w:val="List2"/>
        <w:spacing w:after="0"/>
      </w:pPr>
      <w:r w:rsidRPr="00877750">
        <w:t xml:space="preserve">Research infrastructure income (unless excluded in </w:t>
      </w:r>
      <w:r w:rsidRPr="002B3093">
        <w:rPr>
          <w:b/>
          <w:bCs/>
        </w:rPr>
        <w:t>section 4.2.2(g)</w:t>
      </w:r>
      <w:r w:rsidRPr="00877750">
        <w:t xml:space="preserve"> and </w:t>
      </w:r>
      <w:r w:rsidRPr="002B3093">
        <w:rPr>
          <w:b/>
          <w:bCs/>
        </w:rPr>
        <w:t>4.2.2(x)</w:t>
      </w:r>
      <w:r w:rsidRPr="00C069CD">
        <w:t>)</w:t>
      </w:r>
      <w:r w:rsidRPr="00877750">
        <w:t xml:space="preserve"> including:</w:t>
      </w:r>
    </w:p>
    <w:p w14:paraId="232C3054" w14:textId="77777777" w:rsidR="009D347E" w:rsidRPr="00DA0D03" w:rsidRDefault="009D347E" w:rsidP="006C231E">
      <w:pPr>
        <w:pStyle w:val="List3"/>
      </w:pPr>
      <w:r w:rsidRPr="00DA0D03">
        <w:t xml:space="preserve">funding for equipment purchase, installation, maintenance, hire and lease </w:t>
      </w:r>
    </w:p>
    <w:p w14:paraId="7146C47B" w14:textId="77777777" w:rsidR="009D347E" w:rsidRPr="00DA0D03" w:rsidRDefault="009D347E" w:rsidP="006C231E">
      <w:pPr>
        <w:pStyle w:val="List3"/>
        <w:spacing w:after="0"/>
      </w:pPr>
      <w:r w:rsidRPr="00DA0D03">
        <w:t xml:space="preserve">non-capital aspects </w:t>
      </w:r>
      <w:r w:rsidRPr="00DA0D03" w:rsidDel="00AD4A01">
        <w:t xml:space="preserve">of </w:t>
      </w:r>
      <w:r w:rsidRPr="00DA0D03">
        <w:t xml:space="preserve">facilities, for example laboratories, libraries, computing centres, animal houses, herbaria, and experimental farms; and </w:t>
      </w:r>
    </w:p>
    <w:p w14:paraId="42EC84D7" w14:textId="77777777" w:rsidR="009D347E" w:rsidRPr="00DA0D03" w:rsidRDefault="009D347E" w:rsidP="006C231E">
      <w:pPr>
        <w:pStyle w:val="List3"/>
        <w:spacing w:after="0"/>
      </w:pPr>
      <w:r w:rsidRPr="00DA0D03">
        <w:t>grants for specific and specialised equipment used for the conduct of R&amp;D.</w:t>
      </w:r>
    </w:p>
    <w:bookmarkEnd w:id="166"/>
    <w:bookmarkEnd w:id="167"/>
    <w:p w14:paraId="06B10426" w14:textId="77777777" w:rsidR="009D347E" w:rsidRPr="00877750" w:rsidRDefault="009D347E" w:rsidP="00C85B4C">
      <w:pPr>
        <w:pStyle w:val="List2"/>
        <w:numPr>
          <w:ilvl w:val="1"/>
          <w:numId w:val="9"/>
        </w:numPr>
      </w:pPr>
      <w:r w:rsidRPr="00877750">
        <w:t>Income from non-Australian HEPs provided specifically for the conduct of R&amp;D.</w:t>
      </w:r>
    </w:p>
    <w:p w14:paraId="4FF8E9B0" w14:textId="734A06DD" w:rsidR="009D347E" w:rsidRPr="00877750" w:rsidRDefault="009D347E" w:rsidP="00C85B4C">
      <w:pPr>
        <w:pStyle w:val="List2"/>
        <w:numPr>
          <w:ilvl w:val="1"/>
          <w:numId w:val="9"/>
        </w:numPr>
      </w:pPr>
      <w:r w:rsidRPr="00877750">
        <w:t xml:space="preserve">Income received in support of the R&amp;D activities and training of HDR students enrolled at the HEP. This includes funds providing the cost of a student’s HDR fee-paying place but excludes HDR student fee income paid by the student, Commonwealth supported places, places funded by the RTP, or funding provided through the Research Support Program (RSP), including where universities use RSP funding to support a HDR student place. </w:t>
      </w:r>
    </w:p>
    <w:p w14:paraId="1B29F482" w14:textId="77777777" w:rsidR="009D347E" w:rsidRPr="00877750" w:rsidRDefault="009D347E" w:rsidP="00C85B4C">
      <w:pPr>
        <w:pStyle w:val="List2"/>
        <w:numPr>
          <w:ilvl w:val="1"/>
          <w:numId w:val="9"/>
        </w:numPr>
      </w:pPr>
      <w:r w:rsidRPr="00877750">
        <w:t>When a HEP receives income (such as a general or untied grant or a multi-purpose industry contract) that provides for activities other than R&amp;D, the HEP may report the proportion of that grant that can be clearly and transparently attributed to the direct costs of conducting R&amp;D.</w:t>
      </w:r>
    </w:p>
    <w:p w14:paraId="3395E476" w14:textId="77777777" w:rsidR="009D347E" w:rsidRPr="00877750" w:rsidRDefault="009D347E" w:rsidP="00210F56">
      <w:pPr>
        <w:pStyle w:val="Heading3"/>
        <w:rPr>
          <w:rFonts w:eastAsia="Times New Roman"/>
        </w:rPr>
      </w:pPr>
      <w:bookmarkStart w:id="168" w:name="_7.3_Research_income"/>
      <w:bookmarkStart w:id="169" w:name="_Toc168817207"/>
      <w:bookmarkStart w:id="170" w:name="_Toc168824826"/>
      <w:bookmarkStart w:id="171" w:name="_Research_income_which"/>
      <w:bookmarkStart w:id="172" w:name="_Toc96678054"/>
      <w:bookmarkStart w:id="173" w:name="_Toc112733797"/>
      <w:bookmarkStart w:id="174" w:name="_Toc112734007"/>
      <w:bookmarkStart w:id="175" w:name="_Ref114289615"/>
      <w:bookmarkStart w:id="176" w:name="_Ref114289632"/>
      <w:bookmarkStart w:id="177" w:name="_Toc116182984"/>
      <w:bookmarkStart w:id="178" w:name="_Ref216077597"/>
      <w:bookmarkStart w:id="179" w:name="_Toc251924127"/>
      <w:bookmarkStart w:id="180" w:name="OLE_LINK23"/>
      <w:bookmarkStart w:id="181" w:name="OLE_LINK24"/>
      <w:bookmarkStart w:id="182" w:name="_Toc406668876"/>
      <w:bookmarkStart w:id="183" w:name="_Toc406669259"/>
      <w:bookmarkStart w:id="184" w:name="_Toc523214678"/>
      <w:bookmarkStart w:id="185" w:name="_Toc27055360"/>
      <w:bookmarkStart w:id="186" w:name="_Toc81230912"/>
      <w:bookmarkStart w:id="187" w:name="_Toc92461287"/>
      <w:bookmarkStart w:id="188" w:name="_Toc147503822"/>
      <w:bookmarkStart w:id="189" w:name="_Toc185251826"/>
      <w:bookmarkEnd w:id="168"/>
      <w:bookmarkEnd w:id="169"/>
      <w:bookmarkEnd w:id="170"/>
      <w:bookmarkEnd w:id="171"/>
      <w:r w:rsidRPr="00877750">
        <w:rPr>
          <w:rFonts w:eastAsia="Times New Roman"/>
        </w:rPr>
        <w:t>4.2.2</w:t>
      </w:r>
      <w:r w:rsidRPr="00877750">
        <w:rPr>
          <w:rFonts w:eastAsia="Times New Roman"/>
        </w:rPr>
        <w:tab/>
        <w:t>R</w:t>
      </w:r>
      <w:bookmarkStart w:id="190" w:name="_Hlk113365802"/>
      <w:r w:rsidRPr="00877750">
        <w:rPr>
          <w:rFonts w:eastAsia="Times New Roman"/>
        </w:rPr>
        <w:t>&amp;D income that is excluded in the R&amp;D income return</w:t>
      </w:r>
      <w:bookmarkEnd w:id="172"/>
      <w:bookmarkEnd w:id="173"/>
      <w:bookmarkEnd w:id="174"/>
      <w:bookmarkEnd w:id="175"/>
      <w:bookmarkEnd w:id="176"/>
      <w:bookmarkEnd w:id="177"/>
      <w:bookmarkEnd w:id="178"/>
      <w:bookmarkEnd w:id="179"/>
      <w:bookmarkEnd w:id="180"/>
      <w:bookmarkEnd w:id="181"/>
      <w:bookmarkEnd w:id="182"/>
      <w:bookmarkEnd w:id="183"/>
      <w:r w:rsidRPr="00877750">
        <w:rPr>
          <w:rFonts w:eastAsia="Times New Roman"/>
        </w:rPr>
        <w:t xml:space="preserve"> </w:t>
      </w:r>
      <w:bookmarkEnd w:id="190"/>
      <w:r w:rsidRPr="00877750">
        <w:rPr>
          <w:rFonts w:eastAsia="Times New Roman"/>
        </w:rPr>
        <w:t>comprises:</w:t>
      </w:r>
      <w:bookmarkEnd w:id="184"/>
      <w:bookmarkEnd w:id="185"/>
      <w:bookmarkEnd w:id="186"/>
      <w:bookmarkEnd w:id="187"/>
      <w:bookmarkEnd w:id="188"/>
      <w:bookmarkEnd w:id="189"/>
    </w:p>
    <w:p w14:paraId="186A566A" w14:textId="77777777" w:rsidR="009D347E" w:rsidRPr="00877750" w:rsidRDefault="009D347E" w:rsidP="00C85B4C">
      <w:pPr>
        <w:pStyle w:val="List2"/>
        <w:numPr>
          <w:ilvl w:val="1"/>
          <w:numId w:val="10"/>
        </w:numPr>
      </w:pPr>
      <w:r w:rsidRPr="00877750">
        <w:t>Any income above the amount of net receipted income.</w:t>
      </w:r>
    </w:p>
    <w:p w14:paraId="4281E84A" w14:textId="77777777" w:rsidR="009D347E" w:rsidRPr="00877750" w:rsidRDefault="009D347E" w:rsidP="00C85B4C">
      <w:pPr>
        <w:pStyle w:val="List2"/>
        <w:numPr>
          <w:ilvl w:val="1"/>
          <w:numId w:val="10"/>
        </w:numPr>
      </w:pPr>
      <w:r w:rsidRPr="00877750">
        <w:t>GST amounts.</w:t>
      </w:r>
    </w:p>
    <w:p w14:paraId="0CB9392D" w14:textId="77777777" w:rsidR="009D347E" w:rsidRPr="00877750" w:rsidRDefault="009D347E" w:rsidP="00C85B4C">
      <w:pPr>
        <w:pStyle w:val="List2"/>
        <w:numPr>
          <w:ilvl w:val="1"/>
          <w:numId w:val="10"/>
        </w:numPr>
      </w:pPr>
      <w:r w:rsidRPr="00877750">
        <w:t>Any interest income accruing to R&amp;D grants, contracts and consultancies.</w:t>
      </w:r>
    </w:p>
    <w:p w14:paraId="38D3221B" w14:textId="77777777" w:rsidR="009D347E" w:rsidRPr="00877750" w:rsidRDefault="009D347E" w:rsidP="00C85B4C">
      <w:pPr>
        <w:pStyle w:val="List2"/>
        <w:numPr>
          <w:ilvl w:val="1"/>
          <w:numId w:val="10"/>
        </w:numPr>
      </w:pPr>
      <w:r w:rsidRPr="00877750">
        <w:t>Any interest income received from donations, bequests and endowments unless expressly for the purposes of R&amp;D.</w:t>
      </w:r>
    </w:p>
    <w:p w14:paraId="16D02679" w14:textId="77777777" w:rsidR="009D347E" w:rsidRPr="00877750" w:rsidRDefault="009D347E" w:rsidP="00C85B4C">
      <w:pPr>
        <w:pStyle w:val="List2"/>
        <w:numPr>
          <w:ilvl w:val="1"/>
          <w:numId w:val="10"/>
        </w:numPr>
      </w:pPr>
      <w:r w:rsidRPr="00877750">
        <w:t>Any in kind contributions to grants, contracts and other enforceable agreements.</w:t>
      </w:r>
    </w:p>
    <w:p w14:paraId="4A60C06E" w14:textId="77777777" w:rsidR="009D347E" w:rsidRPr="00877750" w:rsidRDefault="009D347E" w:rsidP="00C85B4C">
      <w:pPr>
        <w:pStyle w:val="List2"/>
        <w:numPr>
          <w:ilvl w:val="1"/>
          <w:numId w:val="10"/>
        </w:numPr>
      </w:pPr>
      <w:r w:rsidRPr="00877750">
        <w:t>Cash contributions made to a HEP on condition that the HEP use these contributions to purchase goods or services from a CRC or other funding provider; such arrangements are regarded as in-kind contributions.</w:t>
      </w:r>
    </w:p>
    <w:p w14:paraId="7CC318F2" w14:textId="77777777" w:rsidR="009D347E" w:rsidRPr="00877750" w:rsidRDefault="009D347E" w:rsidP="00C85B4C">
      <w:pPr>
        <w:pStyle w:val="List2"/>
        <w:numPr>
          <w:ilvl w:val="1"/>
          <w:numId w:val="10"/>
        </w:numPr>
      </w:pPr>
      <w:r w:rsidRPr="00877750">
        <w:t>Capital grants</w:t>
      </w:r>
      <w:r w:rsidRPr="006027B1">
        <w:rPr>
          <w:rFonts w:cstheme="minorHAnsi"/>
        </w:rPr>
        <w:t>.</w:t>
      </w:r>
      <w:r w:rsidRPr="007F6D54">
        <w:rPr>
          <w:rFonts w:cstheme="minorHAnsi"/>
          <w:vertAlign w:val="superscript"/>
        </w:rPr>
        <w:footnoteReference w:id="15"/>
      </w:r>
    </w:p>
    <w:p w14:paraId="63A0E5B6" w14:textId="1CFEBAC9" w:rsidR="009D347E" w:rsidRPr="00A90935" w:rsidRDefault="009D347E" w:rsidP="00C85B4C">
      <w:pPr>
        <w:pStyle w:val="List2"/>
        <w:numPr>
          <w:ilvl w:val="1"/>
          <w:numId w:val="10"/>
        </w:numPr>
      </w:pPr>
      <w:r w:rsidRPr="00877750">
        <w:t xml:space="preserve">Any R&amp;D income received by the HEP from a subsidiary or any independent HEP operations that do not meet the definition of a subsidiary provided </w:t>
      </w:r>
      <w:r w:rsidRPr="00A90935">
        <w:t xml:space="preserve">at </w:t>
      </w:r>
      <w:r w:rsidRPr="006027B1">
        <w:rPr>
          <w:b/>
        </w:rPr>
        <w:t>4.3.</w:t>
      </w:r>
      <w:r w:rsidR="00A7294C" w:rsidRPr="006027B1">
        <w:rPr>
          <w:b/>
        </w:rPr>
        <w:t>1</w:t>
      </w:r>
      <w:r w:rsidRPr="006027B1">
        <w:rPr>
          <w:bCs/>
        </w:rPr>
        <w:t>.</w:t>
      </w:r>
    </w:p>
    <w:p w14:paraId="2E99633D" w14:textId="77777777" w:rsidR="009D347E" w:rsidRPr="00877750" w:rsidRDefault="009D347E" w:rsidP="00C85B4C">
      <w:pPr>
        <w:pStyle w:val="List2"/>
        <w:numPr>
          <w:ilvl w:val="1"/>
          <w:numId w:val="10"/>
        </w:numPr>
      </w:pPr>
      <w:r w:rsidRPr="00877750">
        <w:t>Any R&amp;D income received by the HEP from any other Australian HEP or its subsidiaries except in respect of shared R&amp;D income (</w:t>
      </w:r>
      <w:bookmarkStart w:id="191" w:name="OLE_LINK18"/>
      <w:bookmarkStart w:id="192" w:name="OLE_LINK17"/>
      <w:r w:rsidRPr="00877750">
        <w:t xml:space="preserve">in accordance with </w:t>
      </w:r>
      <w:bookmarkEnd w:id="191"/>
      <w:bookmarkEnd w:id="192"/>
      <w:r w:rsidRPr="006027B1">
        <w:rPr>
          <w:b/>
          <w:bCs/>
        </w:rPr>
        <w:t>section 4.3</w:t>
      </w:r>
      <w:r w:rsidRPr="00877750">
        <w:t xml:space="preserve">) or transfers (in accordance with </w:t>
      </w:r>
      <w:r w:rsidRPr="006027B1">
        <w:rPr>
          <w:b/>
          <w:bCs/>
        </w:rPr>
        <w:t>section 4.4</w:t>
      </w:r>
      <w:r w:rsidRPr="00877750">
        <w:t>).</w:t>
      </w:r>
    </w:p>
    <w:p w14:paraId="4D80F91F" w14:textId="77777777" w:rsidR="009D347E" w:rsidRPr="00877750" w:rsidRDefault="009D347E" w:rsidP="00C85B4C">
      <w:pPr>
        <w:pStyle w:val="List2"/>
        <w:numPr>
          <w:ilvl w:val="1"/>
          <w:numId w:val="10"/>
        </w:numPr>
      </w:pPr>
      <w:r w:rsidRPr="00877750">
        <w:t>Any income received by a HEP or its subsidiaries from the sale of non-financial assets, even if that income is to be expended on R&amp;D at the HEP’s discretion.</w:t>
      </w:r>
    </w:p>
    <w:p w14:paraId="67E1EB8F" w14:textId="77777777" w:rsidR="009D347E" w:rsidRPr="00877750" w:rsidRDefault="009D347E" w:rsidP="00C85B4C">
      <w:pPr>
        <w:pStyle w:val="List2"/>
        <w:numPr>
          <w:ilvl w:val="1"/>
          <w:numId w:val="10"/>
        </w:numPr>
      </w:pPr>
      <w:r w:rsidRPr="00877750">
        <w:t>Any income received by a HEP or its subsidiaries for the rental and use of its facilities and accommodation, even if this is related to the conduct of R&amp;D.</w:t>
      </w:r>
    </w:p>
    <w:p w14:paraId="6116A9DC" w14:textId="77777777" w:rsidR="009D347E" w:rsidRPr="00877750" w:rsidRDefault="009D347E" w:rsidP="00C85B4C">
      <w:pPr>
        <w:pStyle w:val="List2"/>
        <w:numPr>
          <w:ilvl w:val="1"/>
          <w:numId w:val="10"/>
        </w:numPr>
      </w:pPr>
      <w:r w:rsidRPr="00877750">
        <w:lastRenderedPageBreak/>
        <w:t xml:space="preserve">Any third-party income except for those instances specified in </w:t>
      </w:r>
      <w:r w:rsidRPr="006027B1">
        <w:rPr>
          <w:b/>
        </w:rPr>
        <w:t>section 4.3</w:t>
      </w:r>
      <w:r w:rsidRPr="006027B1">
        <w:rPr>
          <w:bCs/>
        </w:rPr>
        <w:t>.</w:t>
      </w:r>
    </w:p>
    <w:p w14:paraId="3D7F3FC1" w14:textId="77777777" w:rsidR="009D347E" w:rsidRPr="00877750" w:rsidRDefault="009D347E" w:rsidP="00C85B4C">
      <w:pPr>
        <w:pStyle w:val="List2"/>
        <w:numPr>
          <w:ilvl w:val="1"/>
          <w:numId w:val="10"/>
        </w:numPr>
      </w:pPr>
      <w:bookmarkStart w:id="193" w:name="OLE_LINK28"/>
      <w:bookmarkStart w:id="194" w:name="OLE_LINK27"/>
      <w:r w:rsidRPr="00877750">
        <w:t>Funds provided to the personal accounts of HEP staff, or funds used by a CRC to purchase goods or services for use by the HEP.</w:t>
      </w:r>
    </w:p>
    <w:p w14:paraId="55BD98FE" w14:textId="77777777" w:rsidR="009D347E" w:rsidRPr="00877750" w:rsidRDefault="009D347E" w:rsidP="00C85B4C">
      <w:pPr>
        <w:pStyle w:val="List2"/>
        <w:numPr>
          <w:ilvl w:val="1"/>
          <w:numId w:val="10"/>
        </w:numPr>
      </w:pPr>
      <w:r w:rsidRPr="00877750">
        <w:t>Any scholarships or grants that are provided by the HEP for its own HDR students.</w:t>
      </w:r>
    </w:p>
    <w:p w14:paraId="65A325DB" w14:textId="77777777" w:rsidR="009D347E" w:rsidRPr="00877750" w:rsidRDefault="009D347E" w:rsidP="00C85B4C">
      <w:pPr>
        <w:pStyle w:val="List2"/>
        <w:numPr>
          <w:ilvl w:val="1"/>
          <w:numId w:val="10"/>
        </w:numPr>
      </w:pPr>
      <w:r w:rsidRPr="00877750">
        <w:t>Income received by students or by HEPs on behalf of students, for the R&amp;D component of a degree that is not a masters by research or doctorate by research, including externally funded scholarships or stipends.</w:t>
      </w:r>
    </w:p>
    <w:p w14:paraId="3EF03DBE" w14:textId="77777777" w:rsidR="009D347E" w:rsidRPr="00877750" w:rsidRDefault="009D347E" w:rsidP="00C85B4C">
      <w:pPr>
        <w:pStyle w:val="List2"/>
        <w:numPr>
          <w:ilvl w:val="1"/>
          <w:numId w:val="10"/>
        </w:numPr>
      </w:pPr>
      <w:r w:rsidRPr="00877750">
        <w:t>HDR student fee income.</w:t>
      </w:r>
    </w:p>
    <w:p w14:paraId="217D6D2E" w14:textId="77777777" w:rsidR="009D347E" w:rsidRPr="00877750" w:rsidRDefault="009D347E" w:rsidP="00C85B4C">
      <w:pPr>
        <w:pStyle w:val="List2"/>
        <w:numPr>
          <w:ilvl w:val="1"/>
          <w:numId w:val="10"/>
        </w:numPr>
      </w:pPr>
      <w:bookmarkStart w:id="195" w:name="OLE_LINK9"/>
      <w:bookmarkStart w:id="196" w:name="OLE_LINK6"/>
      <w:bookmarkEnd w:id="193"/>
      <w:bookmarkEnd w:id="194"/>
      <w:r w:rsidRPr="00877750">
        <w:t>Income received from a multi-purpose contract or other enforceable agreement that cannot be clearly attributed to the direct costs of conducting R&amp;D, even if the income was provided for R&amp;D</w:t>
      </w:r>
      <w:bookmarkEnd w:id="195"/>
      <w:bookmarkEnd w:id="196"/>
      <w:r w:rsidRPr="00877750">
        <w:t>.</w:t>
      </w:r>
    </w:p>
    <w:p w14:paraId="63D2384E" w14:textId="77777777" w:rsidR="009D347E" w:rsidRPr="00877750" w:rsidRDefault="009D347E" w:rsidP="00C85B4C">
      <w:pPr>
        <w:pStyle w:val="List2"/>
        <w:numPr>
          <w:ilvl w:val="1"/>
          <w:numId w:val="10"/>
        </w:numPr>
      </w:pPr>
      <w:r w:rsidRPr="00877750">
        <w:t>Income received from a government grant, contract or other enforceable agreement for a specific purpose other than R&amp;D (such as teaching), even if a proportion of that income is expended on R&amp;D at the HEP’s discretion.</w:t>
      </w:r>
    </w:p>
    <w:p w14:paraId="12C6E3D4" w14:textId="77777777" w:rsidR="009D347E" w:rsidRPr="00A90935" w:rsidRDefault="009D347E" w:rsidP="00C85B4C">
      <w:pPr>
        <w:pStyle w:val="List2"/>
        <w:numPr>
          <w:ilvl w:val="1"/>
          <w:numId w:val="10"/>
        </w:numPr>
      </w:pPr>
      <w:r w:rsidRPr="00877750">
        <w:t xml:space="preserve">Income </w:t>
      </w:r>
      <w:r w:rsidRPr="00A90935">
        <w:t>provided specifically for the purpose of hosting, organising or attending a conference or workshop.</w:t>
      </w:r>
    </w:p>
    <w:p w14:paraId="731EE72C" w14:textId="77777777" w:rsidR="009D347E" w:rsidRPr="00A90935" w:rsidRDefault="009D347E" w:rsidP="00C85B4C">
      <w:pPr>
        <w:pStyle w:val="List2"/>
        <w:numPr>
          <w:ilvl w:val="1"/>
          <w:numId w:val="10"/>
        </w:numPr>
      </w:pPr>
      <w:r w:rsidRPr="00A90935">
        <w:t>Income provided specifically for the purpose of producing publications or teaching preparation (rather than conducting R&amp;D).</w:t>
      </w:r>
    </w:p>
    <w:p w14:paraId="039774CE" w14:textId="77777777" w:rsidR="009D347E" w:rsidRPr="00A90935" w:rsidRDefault="009D347E" w:rsidP="00C85B4C">
      <w:pPr>
        <w:pStyle w:val="List2"/>
        <w:numPr>
          <w:ilvl w:val="1"/>
          <w:numId w:val="10"/>
        </w:numPr>
      </w:pPr>
      <w:r w:rsidRPr="00A90935">
        <w:t>Any income received by the HEP for undertaking any type of R&amp;D peer review activity.</w:t>
      </w:r>
    </w:p>
    <w:p w14:paraId="6468B303" w14:textId="3126B9AA" w:rsidR="009D347E" w:rsidRPr="00A90935" w:rsidRDefault="00C15A38" w:rsidP="006027B1">
      <w:pPr>
        <w:pStyle w:val="List2"/>
        <w:spacing w:after="0"/>
      </w:pPr>
      <w:r>
        <w:t>G</w:t>
      </w:r>
      <w:r w:rsidR="009D347E" w:rsidRPr="00A90935">
        <w:t xml:space="preserve">rants or funding from the </w:t>
      </w:r>
      <w:r>
        <w:t xml:space="preserve">department’s </w:t>
      </w:r>
      <w:r w:rsidR="009D347E" w:rsidRPr="00A90935">
        <w:t>following programs:</w:t>
      </w:r>
    </w:p>
    <w:p w14:paraId="1FA8726D" w14:textId="77777777" w:rsidR="009D347E" w:rsidRPr="00A90935" w:rsidRDefault="009D347E" w:rsidP="006027B1">
      <w:pPr>
        <w:pStyle w:val="List3"/>
        <w:spacing w:after="0"/>
      </w:pPr>
      <w:r w:rsidRPr="00A90935">
        <w:t>Commonwealth Grant Scheme (Commonwealth supported places)</w:t>
      </w:r>
    </w:p>
    <w:p w14:paraId="1C3A8E80" w14:textId="77777777" w:rsidR="009D347E" w:rsidRDefault="009D347E" w:rsidP="006027B1">
      <w:pPr>
        <w:pStyle w:val="List3"/>
        <w:spacing w:after="0"/>
      </w:pPr>
      <w:r w:rsidRPr="00A90935">
        <w:t xml:space="preserve">National Priorities and Industry Linkage </w:t>
      </w:r>
      <w:r>
        <w:t>F</w:t>
      </w:r>
      <w:r w:rsidRPr="00A90935">
        <w:t>und</w:t>
      </w:r>
    </w:p>
    <w:p w14:paraId="0D79823F" w14:textId="77777777" w:rsidR="009D347E" w:rsidRDefault="009D347E" w:rsidP="006027B1">
      <w:pPr>
        <w:pStyle w:val="List3"/>
        <w:spacing w:after="0"/>
      </w:pPr>
      <w:r w:rsidRPr="00A90935">
        <w:t>Regional Research Collaboration Program</w:t>
      </w:r>
    </w:p>
    <w:p w14:paraId="098651C7" w14:textId="14691A9E" w:rsidR="009D347E" w:rsidRDefault="006649F4" w:rsidP="006027B1">
      <w:pPr>
        <w:pStyle w:val="List3"/>
        <w:spacing w:after="0"/>
      </w:pPr>
      <w:r>
        <w:t>RSP</w:t>
      </w:r>
    </w:p>
    <w:p w14:paraId="00FBFD30" w14:textId="36ED5490" w:rsidR="009D347E" w:rsidRPr="000A72E3" w:rsidRDefault="009D347E" w:rsidP="006027B1">
      <w:pPr>
        <w:pStyle w:val="List3"/>
        <w:spacing w:after="0"/>
      </w:pPr>
      <w:r w:rsidRPr="000A72E3">
        <w:t>Strategic University Reform Fund</w:t>
      </w:r>
      <w:r w:rsidR="00BA7F5F">
        <w:t>.</w:t>
      </w:r>
    </w:p>
    <w:p w14:paraId="5E2CCF43" w14:textId="77777777" w:rsidR="009D347E" w:rsidRPr="00A90935" w:rsidRDefault="009D347E" w:rsidP="00C85B4C">
      <w:pPr>
        <w:pStyle w:val="List2"/>
        <w:spacing w:after="0"/>
      </w:pPr>
      <w:r w:rsidRPr="00A90935">
        <w:t xml:space="preserve">Commonwealth Government grants or funding that provide stipend or scholarship support for HDR students </w:t>
      </w:r>
      <w:r>
        <w:t xml:space="preserve">from </w:t>
      </w:r>
      <w:r w:rsidRPr="00A90935">
        <w:t>the following programs:</w:t>
      </w:r>
    </w:p>
    <w:p w14:paraId="7818195A" w14:textId="77777777" w:rsidR="009D347E" w:rsidRPr="00A90935" w:rsidRDefault="009D347E" w:rsidP="00C85B4C">
      <w:pPr>
        <w:pStyle w:val="List3"/>
        <w:spacing w:after="0"/>
      </w:pPr>
      <w:r w:rsidRPr="00A90935">
        <w:t>Commonwealth Scholarships Program for South Australia</w:t>
      </w:r>
    </w:p>
    <w:p w14:paraId="4F917919" w14:textId="77777777" w:rsidR="009D347E" w:rsidRPr="00A90935" w:rsidRDefault="009D347E" w:rsidP="00C85B4C">
      <w:pPr>
        <w:pStyle w:val="List3"/>
        <w:spacing w:after="0"/>
      </w:pPr>
      <w:r w:rsidRPr="00A90935">
        <w:t>Destination Australia scholarships</w:t>
      </w:r>
    </w:p>
    <w:p w14:paraId="1ADF8109" w14:textId="77777777" w:rsidR="009D347E" w:rsidRPr="00A90935" w:rsidRDefault="009D347E" w:rsidP="00C85B4C">
      <w:pPr>
        <w:pStyle w:val="List3"/>
        <w:spacing w:after="0"/>
      </w:pPr>
      <w:r w:rsidRPr="00A90935">
        <w:t>Endeavour scholarships, fellowships and grants</w:t>
      </w:r>
    </w:p>
    <w:p w14:paraId="0B65FEA7" w14:textId="4126EC13" w:rsidR="009D347E" w:rsidRPr="00A90935" w:rsidRDefault="009D347E" w:rsidP="00C85B4C">
      <w:pPr>
        <w:pStyle w:val="List3"/>
        <w:spacing w:after="0"/>
      </w:pPr>
      <w:r w:rsidRPr="00A90935">
        <w:t xml:space="preserve">National Industry PhD </w:t>
      </w:r>
      <w:r w:rsidR="004163C4">
        <w:t>P</w:t>
      </w:r>
      <w:r w:rsidRPr="00A90935">
        <w:t>rogram</w:t>
      </w:r>
    </w:p>
    <w:p w14:paraId="62E711FA" w14:textId="77777777" w:rsidR="009D347E" w:rsidRPr="00A90935" w:rsidRDefault="009D347E" w:rsidP="00C85B4C">
      <w:pPr>
        <w:pStyle w:val="List3"/>
        <w:spacing w:after="0"/>
      </w:pPr>
      <w:r w:rsidRPr="00A90935">
        <w:t>Research Training Program</w:t>
      </w:r>
    </w:p>
    <w:p w14:paraId="55A97E55" w14:textId="77777777" w:rsidR="009D347E" w:rsidRPr="005007B2" w:rsidRDefault="009D347E" w:rsidP="00C85B4C">
      <w:pPr>
        <w:pStyle w:val="List3"/>
        <w:spacing w:after="0"/>
      </w:pPr>
      <w:r w:rsidRPr="00A90935">
        <w:t>Rural and Regional Enterprise Scholarships.</w:t>
      </w:r>
    </w:p>
    <w:p w14:paraId="62606CE7" w14:textId="35AD7916" w:rsidR="009D347E" w:rsidRPr="00A90935" w:rsidRDefault="009D347E" w:rsidP="00C85B4C">
      <w:pPr>
        <w:pStyle w:val="List2"/>
        <w:spacing w:after="0"/>
      </w:pPr>
      <w:r w:rsidRPr="00A90935">
        <w:t xml:space="preserve">Commonwealth Government grants or funding that supports research infrastructure </w:t>
      </w:r>
      <w:r>
        <w:br/>
      </w:r>
      <w:r w:rsidRPr="00A90935">
        <w:t xml:space="preserve">(refer </w:t>
      </w:r>
      <w:r w:rsidRPr="00C069CD">
        <w:rPr>
          <w:b/>
          <w:bCs/>
        </w:rPr>
        <w:t>4.2.1(</w:t>
      </w:r>
      <w:r w:rsidR="00CF284E" w:rsidRPr="00C069CD">
        <w:rPr>
          <w:b/>
          <w:bCs/>
        </w:rPr>
        <w:t>f</w:t>
      </w:r>
      <w:r w:rsidRPr="00C069CD">
        <w:rPr>
          <w:b/>
          <w:bCs/>
        </w:rPr>
        <w:t>)</w:t>
      </w:r>
      <w:r w:rsidRPr="00A90935">
        <w:t>)</w:t>
      </w:r>
      <w:r>
        <w:t xml:space="preserve"> from </w:t>
      </w:r>
      <w:r w:rsidRPr="00A90935">
        <w:t>the following programs:</w:t>
      </w:r>
    </w:p>
    <w:p w14:paraId="283EB495" w14:textId="06E69B22" w:rsidR="009D347E" w:rsidRDefault="009D347E" w:rsidP="00C85B4C">
      <w:pPr>
        <w:pStyle w:val="List3"/>
        <w:spacing w:after="0"/>
      </w:pPr>
      <w:r w:rsidRPr="00A90935">
        <w:t>ARC Linkage-Infrastructure, Equipment and Facilities (including cash contributions from other sources)</w:t>
      </w:r>
    </w:p>
    <w:p w14:paraId="49434CE0" w14:textId="23D40C20" w:rsidR="00A2384E" w:rsidRPr="00A90935" w:rsidRDefault="003E3AE9" w:rsidP="00C85B4C">
      <w:pPr>
        <w:pStyle w:val="List3"/>
        <w:spacing w:after="0"/>
      </w:pPr>
      <w:r>
        <w:t>Medical Research Future Fund (</w:t>
      </w:r>
      <w:r w:rsidR="00A2384E">
        <w:t>MRFF</w:t>
      </w:r>
      <w:r>
        <w:t>)</w:t>
      </w:r>
      <w:r w:rsidR="00A2384E">
        <w:t xml:space="preserve"> </w:t>
      </w:r>
      <w:r w:rsidR="00A2384E" w:rsidRPr="002213D5">
        <w:t>Research Data Infrastructure initiative</w:t>
      </w:r>
    </w:p>
    <w:p w14:paraId="57FE13AC" w14:textId="63E7269D" w:rsidR="003055CD" w:rsidRPr="00A90935" w:rsidRDefault="003055CD" w:rsidP="00C85B4C">
      <w:pPr>
        <w:pStyle w:val="List3"/>
        <w:spacing w:after="0"/>
      </w:pPr>
      <w:r>
        <w:t xml:space="preserve">MRFF </w:t>
      </w:r>
      <w:r w:rsidRPr="00A90935">
        <w:t>National Critical Research Infrastructure</w:t>
      </w:r>
      <w:r w:rsidR="00210939">
        <w:t xml:space="preserve"> </w:t>
      </w:r>
    </w:p>
    <w:p w14:paraId="5E8A76FD" w14:textId="5274936A" w:rsidR="009D347E" w:rsidRPr="00A90935" w:rsidRDefault="009D347E" w:rsidP="00C85B4C">
      <w:pPr>
        <w:pStyle w:val="List3"/>
        <w:spacing w:after="0"/>
      </w:pPr>
      <w:r w:rsidRPr="00A90935">
        <w:t>National Collaborative Research Infrastructure Strategy</w:t>
      </w:r>
      <w:r w:rsidR="00F03621">
        <w:t xml:space="preserve"> (NCRIS)</w:t>
      </w:r>
      <w:r w:rsidRPr="00A90935">
        <w:t xml:space="preserve"> (including cash contributions from other sources)</w:t>
      </w:r>
    </w:p>
    <w:p w14:paraId="0103C0A0" w14:textId="77777777" w:rsidR="009D347E" w:rsidRPr="00A90935" w:rsidRDefault="009D347E" w:rsidP="00C85B4C">
      <w:pPr>
        <w:pStyle w:val="List3"/>
        <w:spacing w:after="0"/>
      </w:pPr>
      <w:r w:rsidRPr="00A90935">
        <w:t>National Computational Infrastructure</w:t>
      </w:r>
    </w:p>
    <w:p w14:paraId="37ABB794" w14:textId="4D61A2AE" w:rsidR="009D347E" w:rsidRPr="00A90935" w:rsidRDefault="008E6FBF" w:rsidP="00C85B4C">
      <w:pPr>
        <w:pStyle w:val="List3"/>
        <w:spacing w:after="0"/>
      </w:pPr>
      <w:r w:rsidRPr="008E6FBF">
        <w:t xml:space="preserve">National Health and Medical Research Council </w:t>
      </w:r>
      <w:r>
        <w:t>(</w:t>
      </w:r>
      <w:r w:rsidR="009D347E" w:rsidRPr="00A90935">
        <w:t>NHMRC</w:t>
      </w:r>
      <w:r>
        <w:t>)</w:t>
      </w:r>
      <w:r w:rsidR="009D347E" w:rsidRPr="00A90935">
        <w:t xml:space="preserve"> Equipment Grant Scheme</w:t>
      </w:r>
    </w:p>
    <w:p w14:paraId="51AE8364" w14:textId="77777777" w:rsidR="009D347E" w:rsidRPr="00877750" w:rsidRDefault="009D347E" w:rsidP="00C85B4C">
      <w:pPr>
        <w:pStyle w:val="List3"/>
        <w:spacing w:after="0"/>
        <w:rPr>
          <w:color w:val="000000"/>
        </w:rPr>
      </w:pPr>
      <w:r w:rsidRPr="00877750">
        <w:rPr>
          <w:color w:val="000000"/>
        </w:rPr>
        <w:t>NHMRC Independent Research Institutes Infrastructure Support Scheme (IRIISS) grants.</w:t>
      </w:r>
    </w:p>
    <w:p w14:paraId="2EF37496" w14:textId="73507F04" w:rsidR="009D347E" w:rsidRPr="000A72E3" w:rsidRDefault="009D347E" w:rsidP="00210F56">
      <w:pPr>
        <w:pStyle w:val="Heading2"/>
        <w:rPr>
          <w:rFonts w:eastAsia="Times New Roman"/>
        </w:rPr>
      </w:pPr>
      <w:bookmarkStart w:id="197" w:name="_Toc147503823"/>
      <w:bookmarkStart w:id="198" w:name="_Toc185251827"/>
      <w:r w:rsidRPr="000A72E3">
        <w:rPr>
          <w:rFonts w:eastAsia="Times New Roman"/>
        </w:rPr>
        <w:t>4.3</w:t>
      </w:r>
      <w:r w:rsidR="004B1468">
        <w:rPr>
          <w:rFonts w:eastAsia="Times New Roman"/>
        </w:rPr>
        <w:tab/>
      </w:r>
      <w:r w:rsidRPr="000A72E3">
        <w:rPr>
          <w:rFonts w:eastAsia="Times New Roman"/>
        </w:rPr>
        <w:t>Income involving other parties</w:t>
      </w:r>
      <w:bookmarkEnd w:id="197"/>
      <w:bookmarkEnd w:id="198"/>
    </w:p>
    <w:p w14:paraId="4CCC6F7D" w14:textId="77777777" w:rsidR="009D347E" w:rsidRPr="00A90935" w:rsidRDefault="009D347E" w:rsidP="009D347E">
      <w:pPr>
        <w:tabs>
          <w:tab w:val="left" w:pos="-284"/>
        </w:tabs>
        <w:spacing w:after="160"/>
        <w:ind w:right="697"/>
        <w:rPr>
          <w:rFonts w:ascii="Calibri" w:eastAsia="Times New Roman" w:hAnsi="Calibri" w:cs="Arial"/>
        </w:rPr>
      </w:pPr>
      <w:r w:rsidRPr="00A90935">
        <w:rPr>
          <w:rFonts w:ascii="Calibri" w:eastAsia="Times New Roman" w:hAnsi="Calibri" w:cs="Arial"/>
        </w:rPr>
        <w:t xml:space="preserve">The sections below detail the different types of third-party relationships and how to report eligible net receipted income in a HEP’s HERDC return. </w:t>
      </w:r>
    </w:p>
    <w:p w14:paraId="332BF984" w14:textId="0CAE949F" w:rsidR="009D347E" w:rsidRPr="00877750" w:rsidRDefault="009D347E" w:rsidP="00EF4DCF">
      <w:pPr>
        <w:pStyle w:val="Heading3"/>
        <w:rPr>
          <w:rFonts w:eastAsia="Times New Roman"/>
        </w:rPr>
      </w:pPr>
      <w:bookmarkStart w:id="199" w:name="_Toc523214680"/>
      <w:bookmarkStart w:id="200" w:name="_Toc27055362"/>
      <w:bookmarkStart w:id="201" w:name="_Toc81230914"/>
      <w:bookmarkStart w:id="202" w:name="_Toc92461289"/>
      <w:bookmarkStart w:id="203" w:name="_Toc147503824"/>
      <w:bookmarkStart w:id="204" w:name="_Toc185251828"/>
      <w:r w:rsidRPr="00877750">
        <w:rPr>
          <w:rFonts w:eastAsia="Times New Roman"/>
        </w:rPr>
        <w:lastRenderedPageBreak/>
        <w:t>4.3.1</w:t>
      </w:r>
      <w:r w:rsidRPr="00877750">
        <w:rPr>
          <w:rFonts w:eastAsia="Times New Roman"/>
        </w:rPr>
        <w:tab/>
      </w:r>
      <w:bookmarkEnd w:id="199"/>
      <w:bookmarkEnd w:id="200"/>
      <w:bookmarkEnd w:id="201"/>
      <w:bookmarkEnd w:id="202"/>
      <w:r w:rsidRPr="00877750">
        <w:rPr>
          <w:rFonts w:eastAsia="Times New Roman"/>
        </w:rPr>
        <w:t xml:space="preserve">Eligible </w:t>
      </w:r>
      <w:r>
        <w:rPr>
          <w:rFonts w:eastAsia="Times New Roman"/>
        </w:rPr>
        <w:t>third-party</w:t>
      </w:r>
      <w:r w:rsidRPr="00877750">
        <w:rPr>
          <w:rFonts w:eastAsia="Times New Roman"/>
        </w:rPr>
        <w:t xml:space="preserve"> income</w:t>
      </w:r>
      <w:bookmarkEnd w:id="203"/>
      <w:bookmarkEnd w:id="204"/>
    </w:p>
    <w:p w14:paraId="40CD7020" w14:textId="799DC378" w:rsidR="00757D17" w:rsidRDefault="00757D17" w:rsidP="0039778B">
      <w:pPr>
        <w:tabs>
          <w:tab w:val="left" w:pos="284"/>
        </w:tabs>
        <w:spacing w:after="160"/>
        <w:ind w:right="697"/>
        <w:rPr>
          <w:rFonts w:ascii="Calibri" w:eastAsia="Calibri" w:hAnsi="Calibri" w:cs="Times New Roman"/>
        </w:rPr>
      </w:pPr>
      <w:r>
        <w:rPr>
          <w:rFonts w:ascii="Calibri" w:eastAsia="Calibri" w:hAnsi="Calibri" w:cs="Times New Roman"/>
        </w:rPr>
        <w:t xml:space="preserve">Income received by a subsidiary or an affiliate of a HEP is third-party income that is eligible to be reported for HERDC. </w:t>
      </w:r>
      <w:r w:rsidR="00472475" w:rsidRPr="00B80E3F">
        <w:rPr>
          <w:rFonts w:ascii="Calibri" w:eastAsia="Calibri" w:hAnsi="Calibri" w:cs="Times New Roman"/>
        </w:rPr>
        <w:t>A HEP is also able to report income where they have made payments to a third party for goods and services in support of the conduct of R&amp;D under the control of the HEP.</w:t>
      </w:r>
    </w:p>
    <w:p w14:paraId="36A9798D" w14:textId="77777777" w:rsidR="009D347E" w:rsidRPr="00877750" w:rsidRDefault="009D347E" w:rsidP="0039778B">
      <w:pPr>
        <w:tabs>
          <w:tab w:val="left" w:pos="284"/>
        </w:tabs>
        <w:spacing w:after="120"/>
        <w:ind w:right="697"/>
        <w:rPr>
          <w:rFonts w:ascii="Calibri" w:eastAsia="Calibri" w:hAnsi="Calibri" w:cs="Times New Roman"/>
        </w:rPr>
      </w:pPr>
      <w:r w:rsidRPr="00877750">
        <w:rPr>
          <w:rFonts w:ascii="Calibri" w:eastAsia="Calibri" w:hAnsi="Calibri" w:cs="Times New Roman"/>
        </w:rPr>
        <w:t>Net receipted income is intended to identify only the income that a HEP (or its subsidiary) receives for its own R&amp;D activities.</w:t>
      </w:r>
    </w:p>
    <w:p w14:paraId="1EA8F0BD" w14:textId="77777777" w:rsidR="009D347E" w:rsidRPr="00877750" w:rsidRDefault="009D347E" w:rsidP="0039778B">
      <w:pPr>
        <w:tabs>
          <w:tab w:val="left" w:pos="284"/>
        </w:tabs>
        <w:spacing w:after="120"/>
        <w:ind w:right="697"/>
        <w:rPr>
          <w:rFonts w:ascii="Calibri" w:eastAsia="Calibri" w:hAnsi="Calibri" w:cs="Times New Roman"/>
        </w:rPr>
      </w:pPr>
      <w:r w:rsidRPr="00877750">
        <w:rPr>
          <w:rFonts w:ascii="Calibri" w:eastAsia="Calibri" w:hAnsi="Calibri" w:cs="Times New Roman"/>
        </w:rPr>
        <w:t>Where HEPs have entered into formal employment arrangements with researchers in affiliated or partner organisations (external to the HEP), income that can be reported must be net receipted income and commensurable with the employment arrangements.</w:t>
      </w:r>
    </w:p>
    <w:p w14:paraId="3F4B7721" w14:textId="46774F37" w:rsidR="003B4D16" w:rsidRPr="00877750" w:rsidRDefault="009D347E" w:rsidP="009D347E">
      <w:pPr>
        <w:spacing w:after="160"/>
        <w:ind w:right="696"/>
        <w:rPr>
          <w:rFonts w:ascii="Calibri" w:eastAsia="Calibri" w:hAnsi="Calibri" w:cs="Times New Roman"/>
        </w:rPr>
      </w:pPr>
      <w:r w:rsidRPr="00877750">
        <w:rPr>
          <w:rFonts w:ascii="Calibri" w:eastAsia="Calibri" w:hAnsi="Calibri" w:cs="Times New Roman"/>
        </w:rPr>
        <w:t>Employment arrangements must be bona fide. HEPs must exclude that portion of research income which is subject to cost reimbursement arrangements with affiliates or partner organisations (i.e.</w:t>
      </w:r>
      <w:r>
        <w:rPr>
          <w:rFonts w:ascii="Calibri" w:eastAsia="Calibri" w:hAnsi="Calibri" w:cs="Times New Roman"/>
        </w:rPr>
        <w:t>,</w:t>
      </w:r>
      <w:r w:rsidRPr="00877750">
        <w:rPr>
          <w:rFonts w:ascii="Calibri" w:eastAsia="Calibri" w:hAnsi="Calibri" w:cs="Times New Roman"/>
        </w:rPr>
        <w:t xml:space="preserve"> to reimburse research costs, including researcher salaries) which are not explicitly covered within a formal legal relationship between the HEP and the external organisation.</w:t>
      </w:r>
    </w:p>
    <w:p w14:paraId="6E1E9273" w14:textId="77777777" w:rsidR="009D347E" w:rsidRPr="00877750" w:rsidRDefault="009D347E" w:rsidP="00D637AE">
      <w:pPr>
        <w:pStyle w:val="Heading4"/>
        <w:rPr>
          <w:rFonts w:eastAsia="Times New Roman"/>
        </w:rPr>
      </w:pPr>
      <w:r w:rsidRPr="00877750">
        <w:rPr>
          <w:rFonts w:eastAsia="Times New Roman"/>
        </w:rPr>
        <w:t>Subsidiaries</w:t>
      </w:r>
    </w:p>
    <w:p w14:paraId="25E53DBD" w14:textId="77777777" w:rsidR="009D347E" w:rsidRPr="00A90935" w:rsidRDefault="009D347E" w:rsidP="009D347E">
      <w:pPr>
        <w:spacing w:after="120"/>
        <w:ind w:right="697"/>
        <w:rPr>
          <w:rFonts w:ascii="Calibri" w:eastAsia="Times New Roman" w:hAnsi="Calibri" w:cs="Arial"/>
        </w:rPr>
      </w:pPr>
      <w:r w:rsidRPr="00A90935">
        <w:rPr>
          <w:rFonts w:ascii="Calibri" w:eastAsia="Times New Roman" w:hAnsi="Calibri" w:cs="Arial"/>
        </w:rPr>
        <w:t xml:space="preserve">Also known as controlled entities, a subsidiary is an entity under the control of a HEP. </w:t>
      </w:r>
    </w:p>
    <w:p w14:paraId="667E4E27" w14:textId="77777777" w:rsidR="009D347E" w:rsidRPr="00A90935" w:rsidRDefault="009D347E" w:rsidP="009D347E">
      <w:pPr>
        <w:spacing w:after="160"/>
        <w:ind w:right="697"/>
        <w:rPr>
          <w:rFonts w:ascii="Calibri" w:eastAsia="Times New Roman" w:hAnsi="Calibri" w:cs="Arial"/>
        </w:rPr>
      </w:pPr>
      <w:r w:rsidRPr="00A90935">
        <w:rPr>
          <w:rFonts w:ascii="Calibri" w:eastAsia="Times New Roman" w:hAnsi="Calibri" w:cs="Arial"/>
        </w:rPr>
        <w:t xml:space="preserve">Any subsidiary income reported in accordance with </w:t>
      </w:r>
      <w:r w:rsidRPr="00A3003B">
        <w:rPr>
          <w:rFonts w:ascii="Calibri" w:eastAsia="Times New Roman" w:hAnsi="Calibri" w:cs="Arial"/>
          <w:b/>
          <w:bCs/>
        </w:rPr>
        <w:t>section 4.3</w:t>
      </w:r>
      <w:r w:rsidRPr="00A90935">
        <w:rPr>
          <w:rFonts w:ascii="Calibri" w:eastAsia="Times New Roman" w:hAnsi="Calibri" w:cs="Arial"/>
        </w:rPr>
        <w:t xml:space="preserve"> and included in a HEP’s R&amp;D income return must be reported in the ‘university’ income column of the return.</w:t>
      </w:r>
    </w:p>
    <w:p w14:paraId="16892DD9" w14:textId="77777777" w:rsidR="009D347E" w:rsidRPr="00877750" w:rsidRDefault="009D347E" w:rsidP="00D637AE">
      <w:pPr>
        <w:pStyle w:val="Heading4"/>
        <w:rPr>
          <w:rFonts w:eastAsia="Times New Roman"/>
        </w:rPr>
      </w:pPr>
      <w:r w:rsidRPr="00877750">
        <w:rPr>
          <w:rFonts w:eastAsia="Times New Roman"/>
        </w:rPr>
        <w:t>Affiliates</w:t>
      </w:r>
    </w:p>
    <w:p w14:paraId="27B0A517" w14:textId="42A91954" w:rsidR="009D347E" w:rsidRPr="00A90935" w:rsidRDefault="009D347E" w:rsidP="009D347E">
      <w:pPr>
        <w:spacing w:after="160"/>
        <w:ind w:right="697"/>
        <w:rPr>
          <w:rFonts w:ascii="Calibri" w:eastAsia="Times New Roman" w:hAnsi="Calibri" w:cs="Arial"/>
        </w:rPr>
      </w:pPr>
      <w:r w:rsidRPr="00B80E3F">
        <w:rPr>
          <w:rFonts w:ascii="Calibri" w:eastAsia="Times New Roman" w:hAnsi="Calibri" w:cs="Arial"/>
        </w:rPr>
        <w:t xml:space="preserve">While the individual characteristics of affiliate arrangements will vary across the sector, HEPs can report income for a research project where the HEP has a formal legal relationship with an affiliate, </w:t>
      </w:r>
      <w:r w:rsidR="00D96F7A" w:rsidRPr="00B80E3F">
        <w:rPr>
          <w:rFonts w:ascii="Calibri" w:eastAsia="Times New Roman" w:hAnsi="Calibri" w:cs="Arial"/>
        </w:rPr>
        <w:t xml:space="preserve">such as </w:t>
      </w:r>
      <w:r w:rsidRPr="00B80E3F">
        <w:rPr>
          <w:rFonts w:ascii="Calibri" w:eastAsia="Times New Roman" w:hAnsi="Calibri" w:cs="Arial"/>
        </w:rPr>
        <w:t xml:space="preserve">a </w:t>
      </w:r>
      <w:r w:rsidR="00A3003B">
        <w:rPr>
          <w:rFonts w:ascii="Calibri" w:eastAsia="Times New Roman" w:hAnsi="Calibri" w:cs="Arial"/>
        </w:rPr>
        <w:t>m</w:t>
      </w:r>
      <w:r w:rsidRPr="00B80E3F">
        <w:rPr>
          <w:rFonts w:ascii="Calibri" w:eastAsia="Times New Roman" w:hAnsi="Calibri" w:cs="Arial"/>
        </w:rPr>
        <w:t xml:space="preserve">edical </w:t>
      </w:r>
      <w:r w:rsidR="00A3003B">
        <w:rPr>
          <w:rFonts w:ascii="Calibri" w:eastAsia="Times New Roman" w:hAnsi="Calibri" w:cs="Arial"/>
        </w:rPr>
        <w:t>r</w:t>
      </w:r>
      <w:r w:rsidRPr="00B80E3F">
        <w:rPr>
          <w:rFonts w:ascii="Calibri" w:eastAsia="Times New Roman" w:hAnsi="Calibri" w:cs="Arial"/>
        </w:rPr>
        <w:t xml:space="preserve">esearch </w:t>
      </w:r>
      <w:r w:rsidR="00A3003B">
        <w:rPr>
          <w:rFonts w:ascii="Calibri" w:eastAsia="Times New Roman" w:hAnsi="Calibri" w:cs="Arial"/>
        </w:rPr>
        <w:t>i</w:t>
      </w:r>
      <w:r w:rsidRPr="00B80E3F">
        <w:rPr>
          <w:rFonts w:ascii="Calibri" w:eastAsia="Times New Roman" w:hAnsi="Calibri" w:cs="Arial"/>
        </w:rPr>
        <w:t>nstitute, that specifies conditions</w:t>
      </w:r>
      <w:r w:rsidR="000C7BFA">
        <w:rPr>
          <w:rFonts w:ascii="Calibri" w:eastAsia="Times New Roman" w:hAnsi="Calibri" w:cs="Arial"/>
        </w:rPr>
        <w:t>. Conditions include</w:t>
      </w:r>
      <w:r w:rsidRPr="00B80E3F">
        <w:rPr>
          <w:rFonts w:ascii="Calibri" w:eastAsia="Times New Roman" w:hAnsi="Calibri" w:cs="Arial"/>
        </w:rPr>
        <w:t xml:space="preserve"> obligations under the underlying funding arrangements, financial arrangements, alignment of strategic research objectives, research ethics and integrity, or the responsibility for the quality of the research projects.</w:t>
      </w:r>
      <w:r w:rsidRPr="00A90935">
        <w:rPr>
          <w:rFonts w:ascii="Calibri" w:eastAsia="Times New Roman" w:hAnsi="Calibri" w:cs="Arial"/>
        </w:rPr>
        <w:t xml:space="preserve"> The HEP must also be the grant recipient and the total amount of income must be net receipted income (i.e.</w:t>
      </w:r>
      <w:r>
        <w:rPr>
          <w:rFonts w:ascii="Calibri" w:eastAsia="Times New Roman" w:hAnsi="Calibri" w:cs="Arial"/>
        </w:rPr>
        <w:t>,</w:t>
      </w:r>
      <w:r w:rsidRPr="00A90935">
        <w:rPr>
          <w:rFonts w:ascii="Calibri" w:eastAsia="Times New Roman" w:hAnsi="Calibri" w:cs="Arial"/>
        </w:rPr>
        <w:t xml:space="preserve"> received, retained in the HEP’s accounting system and verified in the HEP’s audited financial statements). </w:t>
      </w:r>
    </w:p>
    <w:p w14:paraId="3EBA333B" w14:textId="77777777" w:rsidR="009D347E" w:rsidRDefault="009D347E" w:rsidP="009D347E">
      <w:pPr>
        <w:spacing w:after="160"/>
        <w:ind w:right="697"/>
        <w:rPr>
          <w:rFonts w:ascii="Calibri" w:eastAsia="Times New Roman" w:hAnsi="Calibri" w:cs="Arial"/>
        </w:rPr>
      </w:pPr>
      <w:r w:rsidRPr="00A90935">
        <w:rPr>
          <w:rFonts w:ascii="Calibri" w:eastAsia="Times New Roman" w:hAnsi="Calibri" w:cs="Arial"/>
        </w:rPr>
        <w:t xml:space="preserve">Any affiliate income reported in accordance with </w:t>
      </w:r>
      <w:r w:rsidRPr="00F66CB7">
        <w:rPr>
          <w:rFonts w:ascii="Calibri" w:eastAsia="Times New Roman" w:hAnsi="Calibri" w:cs="Arial"/>
          <w:b/>
          <w:bCs/>
        </w:rPr>
        <w:t>section 4.3</w:t>
      </w:r>
      <w:r w:rsidRPr="00A90935">
        <w:rPr>
          <w:rFonts w:ascii="Calibri" w:eastAsia="Times New Roman" w:hAnsi="Calibri" w:cs="Arial"/>
        </w:rPr>
        <w:t xml:space="preserve"> and included in a HEP’s R&amp;D income return must be reported in the ‘</w:t>
      </w:r>
      <w:r>
        <w:rPr>
          <w:rFonts w:ascii="Calibri" w:eastAsia="Times New Roman" w:hAnsi="Calibri" w:cs="Arial"/>
        </w:rPr>
        <w:t>A</w:t>
      </w:r>
      <w:r w:rsidRPr="00A90935">
        <w:rPr>
          <w:rFonts w:ascii="Calibri" w:eastAsia="Times New Roman" w:hAnsi="Calibri" w:cs="Arial"/>
        </w:rPr>
        <w:t>ffiliate’ income column of the return.</w:t>
      </w:r>
    </w:p>
    <w:p w14:paraId="718ACA0A" w14:textId="37C12DE6" w:rsidR="00837B68" w:rsidRPr="00837B68" w:rsidRDefault="00837B68" w:rsidP="00837B68">
      <w:pPr>
        <w:pBdr>
          <w:top w:val="single" w:sz="24" w:space="1" w:color="47BFAF" w:themeColor="accent4"/>
          <w:left w:val="single" w:sz="24" w:space="4" w:color="47BFAF" w:themeColor="accent4"/>
          <w:bottom w:val="single" w:sz="24" w:space="1" w:color="47BFAF" w:themeColor="accent4"/>
          <w:right w:val="single" w:sz="24" w:space="4" w:color="47BFAF" w:themeColor="accent4"/>
        </w:pBdr>
        <w:shd w:val="clear" w:color="auto" w:fill="F2F2F2" w:themeFill="background1" w:themeFillShade="F2"/>
        <w:spacing w:after="160"/>
        <w:ind w:right="697"/>
        <w:rPr>
          <w:rFonts w:ascii="Calibri" w:eastAsia="Times New Roman" w:hAnsi="Calibri" w:cs="Arial"/>
        </w:rPr>
      </w:pPr>
      <w:r>
        <w:rPr>
          <w:rFonts w:ascii="Calibri" w:eastAsia="Times New Roman" w:hAnsi="Calibri" w:cs="Arial"/>
          <w:b/>
          <w:bCs/>
        </w:rPr>
        <w:t xml:space="preserve">Note: </w:t>
      </w:r>
      <w:r w:rsidRPr="00C7622A">
        <w:rPr>
          <w:rFonts w:ascii="Calibri" w:eastAsia="Times New Roman" w:hAnsi="Calibri" w:cs="Arial"/>
        </w:rPr>
        <w:t xml:space="preserve">Any subsidiary or affiliate a </w:t>
      </w:r>
      <w:r>
        <w:rPr>
          <w:rFonts w:ascii="Calibri" w:eastAsia="Times New Roman" w:hAnsi="Calibri" w:cs="Arial"/>
        </w:rPr>
        <w:t>HEP</w:t>
      </w:r>
      <w:r w:rsidRPr="00C7622A">
        <w:rPr>
          <w:rFonts w:ascii="Calibri" w:eastAsia="Times New Roman" w:hAnsi="Calibri" w:cs="Arial"/>
        </w:rPr>
        <w:t xml:space="preserve"> reports income for via HERDC cannot be considered an eligible research end-user</w:t>
      </w:r>
      <w:r w:rsidRPr="00C7622A">
        <w:rPr>
          <w:rStyle w:val="FootnoteReference"/>
          <w:rFonts w:asciiTheme="minorHAnsi" w:eastAsia="Times New Roman" w:hAnsiTheme="minorHAnsi" w:cstheme="minorHAnsi"/>
        </w:rPr>
        <w:footnoteReference w:id="16"/>
      </w:r>
      <w:r w:rsidRPr="00C7622A">
        <w:rPr>
          <w:rFonts w:eastAsia="Times New Roman" w:cstheme="minorHAnsi"/>
        </w:rPr>
        <w:t xml:space="preserve"> f</w:t>
      </w:r>
      <w:r w:rsidRPr="00C7622A">
        <w:rPr>
          <w:rFonts w:ascii="Calibri" w:eastAsia="Times New Roman" w:hAnsi="Calibri" w:cs="Arial"/>
        </w:rPr>
        <w:t xml:space="preserve">or the purposes of the </w:t>
      </w:r>
      <w:r>
        <w:rPr>
          <w:rFonts w:ascii="Calibri" w:eastAsia="Times New Roman" w:hAnsi="Calibri" w:cs="Arial"/>
        </w:rPr>
        <w:t xml:space="preserve">RTP </w:t>
      </w:r>
      <w:r w:rsidRPr="00C7622A">
        <w:rPr>
          <w:rFonts w:ascii="Calibri" w:eastAsia="Times New Roman" w:hAnsi="Calibri" w:cs="Arial"/>
        </w:rPr>
        <w:t xml:space="preserve">industry internship weighting </w:t>
      </w:r>
      <w:r w:rsidRPr="00C7622A">
        <w:t xml:space="preserve">in the RTP funding formula in the </w:t>
      </w:r>
      <w:hyperlink r:id="rId33" w:history="1">
        <w:r w:rsidR="00C91C51">
          <w:rPr>
            <w:rStyle w:val="Hyperlink"/>
          </w:rPr>
          <w:t>Commonwealth Scholarships Guidelines (Research) 2017</w:t>
        </w:r>
      </w:hyperlink>
      <w:r w:rsidRPr="00C7622A">
        <w:rPr>
          <w:rFonts w:ascii="Calibri" w:eastAsia="Times New Roman" w:hAnsi="Calibri" w:cs="Arial"/>
        </w:rPr>
        <w:t>.</w:t>
      </w:r>
    </w:p>
    <w:p w14:paraId="084C2A0A" w14:textId="1FF979A0" w:rsidR="009D347E" w:rsidRPr="00877750" w:rsidRDefault="009D347E" w:rsidP="00D637AE">
      <w:pPr>
        <w:pStyle w:val="Heading4"/>
        <w:rPr>
          <w:rFonts w:eastAsia="Times New Roman"/>
        </w:rPr>
      </w:pPr>
      <w:bookmarkStart w:id="205" w:name="_Toc523214681"/>
      <w:bookmarkStart w:id="206" w:name="_Toc27055363"/>
      <w:bookmarkStart w:id="207" w:name="_Toc81230915"/>
      <w:bookmarkStart w:id="208" w:name="_Toc92461290"/>
      <w:r w:rsidRPr="00877750">
        <w:rPr>
          <w:rFonts w:eastAsia="Times New Roman"/>
        </w:rPr>
        <w:t>Shared income</w:t>
      </w:r>
      <w:bookmarkEnd w:id="205"/>
      <w:bookmarkEnd w:id="206"/>
      <w:bookmarkEnd w:id="207"/>
      <w:bookmarkEnd w:id="208"/>
      <w:r w:rsidRPr="00877750">
        <w:rPr>
          <w:rFonts w:eastAsia="Times New Roman"/>
        </w:rPr>
        <w:t xml:space="preserve"> </w:t>
      </w:r>
    </w:p>
    <w:p w14:paraId="6CF57FAC" w14:textId="2D44A4E3" w:rsidR="009D347E" w:rsidRPr="00877750" w:rsidRDefault="009D347E" w:rsidP="009D347E">
      <w:pPr>
        <w:tabs>
          <w:tab w:val="left" w:pos="284"/>
        </w:tabs>
        <w:spacing w:after="120"/>
        <w:ind w:right="696"/>
        <w:rPr>
          <w:rFonts w:ascii="Calibri" w:eastAsia="Calibri" w:hAnsi="Calibri" w:cs="Times New Roman"/>
        </w:rPr>
      </w:pPr>
      <w:r w:rsidRPr="00877750">
        <w:rPr>
          <w:rFonts w:ascii="Calibri" w:eastAsia="Calibri" w:hAnsi="Calibri" w:cs="Times New Roman"/>
        </w:rPr>
        <w:t>R&amp;D income is considered ‘shared’ if part of a payment is passed from the primary recipient to another named party according to a grant, contract or other enforceable agreement or a tender/application for funding. A party may be a HEP, the staff of a HEP, or any other R&amp;D performing organisation. Parties must be named in a grant, contract or any other enforceable agreement or in the initial tender/application for funding.</w:t>
      </w:r>
    </w:p>
    <w:p w14:paraId="212FD29C" w14:textId="77777777" w:rsidR="009D347E" w:rsidRDefault="009D347E" w:rsidP="009D347E">
      <w:pPr>
        <w:tabs>
          <w:tab w:val="left" w:pos="284"/>
        </w:tabs>
        <w:spacing w:after="120"/>
        <w:ind w:right="696"/>
        <w:rPr>
          <w:rFonts w:ascii="Calibri" w:eastAsia="Calibri" w:hAnsi="Calibri" w:cs="Times New Roman"/>
        </w:rPr>
      </w:pPr>
      <w:r w:rsidRPr="00877750">
        <w:rPr>
          <w:rFonts w:ascii="Calibri" w:eastAsia="Calibri" w:hAnsi="Calibri" w:cs="Times New Roman"/>
        </w:rPr>
        <w:lastRenderedPageBreak/>
        <w:t>HEPs can only report the income received or retained following the distribution of shared R&amp;D income.</w:t>
      </w:r>
    </w:p>
    <w:p w14:paraId="378CE521" w14:textId="675EBACA" w:rsidR="009D347E" w:rsidRPr="00837B68" w:rsidRDefault="00837B68" w:rsidP="00837B68">
      <w:pPr>
        <w:pBdr>
          <w:top w:val="single" w:sz="24" w:space="1" w:color="00254A" w:themeColor="text2"/>
          <w:left w:val="single" w:sz="24" w:space="4" w:color="00254A" w:themeColor="text2"/>
          <w:bottom w:val="single" w:sz="24" w:space="1" w:color="00254A" w:themeColor="text2"/>
          <w:right w:val="single" w:sz="24" w:space="4" w:color="00254A" w:themeColor="text2"/>
        </w:pBdr>
        <w:shd w:val="clear" w:color="auto" w:fill="F2F2F2" w:themeFill="background1" w:themeFillShade="F2"/>
        <w:spacing w:before="120" w:after="120"/>
        <w:rPr>
          <w:rFonts w:cs="Arial"/>
        </w:rPr>
      </w:pPr>
      <w:r>
        <w:rPr>
          <w:rFonts w:ascii="Calibri" w:eastAsia="Calibri" w:hAnsi="Calibri" w:cs="Times New Roman"/>
          <w:b/>
          <w:bCs/>
        </w:rPr>
        <w:t xml:space="preserve">Example: </w:t>
      </w:r>
      <w:r w:rsidRPr="00FD5D17">
        <w:rPr>
          <w:rFonts w:cs="Arial"/>
          <w:iCs/>
        </w:rPr>
        <w:t>Where a shared R&amp;D income grant exists, if HEP A receives a grant of $50,000 of which $20,000 is transferred to HEP B</w:t>
      </w:r>
      <w:r w:rsidR="00F8519B">
        <w:rPr>
          <w:rFonts w:cs="Arial"/>
          <w:iCs/>
        </w:rPr>
        <w:t xml:space="preserve"> and </w:t>
      </w:r>
      <w:r w:rsidR="00F8519B" w:rsidRPr="00F8519B">
        <w:rPr>
          <w:rFonts w:cs="Arial"/>
          <w:iCs/>
        </w:rPr>
        <w:t>$5</w:t>
      </w:r>
      <w:r w:rsidR="00F8519B">
        <w:rPr>
          <w:rFonts w:cs="Arial"/>
          <w:iCs/>
        </w:rPr>
        <w:t>,000 is</w:t>
      </w:r>
      <w:r w:rsidR="00F8519B" w:rsidRPr="00F8519B">
        <w:rPr>
          <w:rFonts w:cs="Arial"/>
          <w:iCs/>
        </w:rPr>
        <w:t xml:space="preserve"> transferred to a </w:t>
      </w:r>
      <w:r w:rsidR="00544ED8">
        <w:rPr>
          <w:rFonts w:cs="Arial"/>
          <w:iCs/>
        </w:rPr>
        <w:t xml:space="preserve">non-HEP </w:t>
      </w:r>
      <w:r w:rsidR="00F8519B" w:rsidRPr="00F8519B">
        <w:rPr>
          <w:rFonts w:cs="Arial"/>
          <w:iCs/>
        </w:rPr>
        <w:t>organisation that is not an affiliate or subsidiary</w:t>
      </w:r>
      <w:r w:rsidR="00F8519B">
        <w:rPr>
          <w:rFonts w:cs="Arial"/>
          <w:iCs/>
        </w:rPr>
        <w:t>,</w:t>
      </w:r>
      <w:r w:rsidR="00F8519B" w:rsidRPr="00FD5D17">
        <w:rPr>
          <w:rFonts w:cs="Arial"/>
          <w:iCs/>
        </w:rPr>
        <w:t xml:space="preserve"> </w:t>
      </w:r>
      <w:r w:rsidRPr="00FD5D17">
        <w:rPr>
          <w:rFonts w:cs="Arial"/>
          <w:iCs/>
        </w:rPr>
        <w:t>HEP A should report $</w:t>
      </w:r>
      <w:r w:rsidR="00B17BB4">
        <w:rPr>
          <w:rFonts w:cs="Arial"/>
          <w:iCs/>
        </w:rPr>
        <w:t>25</w:t>
      </w:r>
      <w:r w:rsidRPr="00FD5D17">
        <w:rPr>
          <w:rFonts w:cs="Arial"/>
          <w:iCs/>
        </w:rPr>
        <w:t xml:space="preserve">,000 and HEP B </w:t>
      </w:r>
      <w:r w:rsidR="002E52C4">
        <w:rPr>
          <w:rFonts w:cs="Arial"/>
          <w:iCs/>
        </w:rPr>
        <w:t xml:space="preserve">should report </w:t>
      </w:r>
      <w:r w:rsidRPr="00FD5D17">
        <w:rPr>
          <w:rFonts w:cs="Arial"/>
          <w:iCs/>
        </w:rPr>
        <w:t>$20,000.</w:t>
      </w:r>
    </w:p>
    <w:p w14:paraId="333EEDC5" w14:textId="3D7651EF" w:rsidR="009D347E" w:rsidRPr="00D61674" w:rsidRDefault="009D347E" w:rsidP="006108A9">
      <w:pPr>
        <w:pStyle w:val="Heading3"/>
      </w:pPr>
      <w:bookmarkStart w:id="209" w:name="_Toc147503825"/>
      <w:bookmarkStart w:id="210" w:name="_Toc185251829"/>
      <w:r w:rsidRPr="00D61674">
        <w:t>4.3.2</w:t>
      </w:r>
      <w:r w:rsidR="00362AB0">
        <w:tab/>
      </w:r>
      <w:r w:rsidRPr="00D61674">
        <w:t>Ineligible third-party income</w:t>
      </w:r>
      <w:bookmarkEnd w:id="209"/>
      <w:bookmarkEnd w:id="210"/>
    </w:p>
    <w:p w14:paraId="10345CAF" w14:textId="77777777" w:rsidR="009D347E" w:rsidRPr="00877750" w:rsidRDefault="009D347E" w:rsidP="009D347E">
      <w:pPr>
        <w:spacing w:after="160"/>
        <w:ind w:right="696"/>
        <w:rPr>
          <w:rFonts w:ascii="Calibri" w:eastAsia="Calibri" w:hAnsi="Calibri" w:cs="Times New Roman"/>
        </w:rPr>
      </w:pPr>
      <w:r w:rsidRPr="00877750">
        <w:rPr>
          <w:rFonts w:ascii="Calibri" w:eastAsia="Calibri" w:hAnsi="Calibri" w:cs="Times New Roman"/>
        </w:rPr>
        <w:t>R&amp;D income administered by a HEP on behalf of a third-party organisation where the third party conducts the R&amp;D independently of the HEP must be excluded.</w:t>
      </w:r>
    </w:p>
    <w:p w14:paraId="43D46F4E" w14:textId="77777777" w:rsidR="009D347E" w:rsidRPr="00C620E2" w:rsidRDefault="009D347E" w:rsidP="006108A9">
      <w:pPr>
        <w:pStyle w:val="Heading2"/>
      </w:pPr>
      <w:bookmarkStart w:id="211" w:name="_Toc147503826"/>
      <w:bookmarkStart w:id="212" w:name="_Toc185251830"/>
      <w:r w:rsidRPr="00C620E2">
        <w:t>4.4</w:t>
      </w:r>
      <w:r w:rsidRPr="00C620E2">
        <w:tab/>
        <w:t>Transfers</w:t>
      </w:r>
      <w:bookmarkEnd w:id="144"/>
      <w:bookmarkEnd w:id="145"/>
      <w:bookmarkEnd w:id="146"/>
      <w:bookmarkEnd w:id="147"/>
      <w:bookmarkEnd w:id="148"/>
      <w:bookmarkEnd w:id="149"/>
      <w:bookmarkEnd w:id="150"/>
      <w:bookmarkEnd w:id="151"/>
      <w:bookmarkEnd w:id="152"/>
      <w:bookmarkEnd w:id="211"/>
      <w:bookmarkEnd w:id="212"/>
    </w:p>
    <w:p w14:paraId="47BED2FC" w14:textId="33E09E0A" w:rsidR="009D347E" w:rsidRPr="00C620E2" w:rsidRDefault="009D347E" w:rsidP="009D347E">
      <w:pPr>
        <w:tabs>
          <w:tab w:val="left" w:pos="284"/>
        </w:tabs>
        <w:spacing w:after="120"/>
      </w:pPr>
      <w:r w:rsidRPr="00C620E2">
        <w:t xml:space="preserve">When staff transfer into, exit from, or move between HEPs and </w:t>
      </w:r>
      <w:r w:rsidR="00A50AEF">
        <w:t>take</w:t>
      </w:r>
      <w:r w:rsidR="00A50AEF" w:rsidRPr="00C620E2">
        <w:t xml:space="preserve"> </w:t>
      </w:r>
      <w:r w:rsidRPr="00C620E2">
        <w:t>R&amp;D funding with them, this must be reflected in adjustments to the affected HEPs’</w:t>
      </w:r>
      <w:r w:rsidR="00F66CB7">
        <w:t xml:space="preserve"> R&amp;D</w:t>
      </w:r>
      <w:r w:rsidRPr="00C620E2">
        <w:t xml:space="preserve"> income returns.</w:t>
      </w:r>
      <w:bookmarkStart w:id="213" w:name="_Toc437848425"/>
      <w:bookmarkStart w:id="214" w:name="_Toc437848480"/>
      <w:bookmarkStart w:id="215" w:name="_Toc437848520"/>
      <w:bookmarkStart w:id="216" w:name="_Toc437848595"/>
      <w:bookmarkStart w:id="217" w:name="_Toc437850666"/>
      <w:bookmarkStart w:id="218" w:name="_Toc437850742"/>
      <w:bookmarkStart w:id="219" w:name="_Toc437850817"/>
      <w:bookmarkStart w:id="220" w:name="_Toc437851170"/>
      <w:bookmarkEnd w:id="213"/>
      <w:bookmarkEnd w:id="214"/>
      <w:bookmarkEnd w:id="215"/>
      <w:bookmarkEnd w:id="216"/>
      <w:bookmarkEnd w:id="217"/>
      <w:bookmarkEnd w:id="218"/>
      <w:bookmarkEnd w:id="219"/>
      <w:bookmarkEnd w:id="220"/>
    </w:p>
    <w:p w14:paraId="7EB0EA9B" w14:textId="77777777" w:rsidR="009D347E" w:rsidRPr="00C620E2" w:rsidRDefault="009D347E" w:rsidP="006108A9">
      <w:pPr>
        <w:pStyle w:val="Heading2"/>
      </w:pPr>
      <w:bookmarkStart w:id="221" w:name="_Toc523214683"/>
      <w:bookmarkStart w:id="222" w:name="_Toc491172990"/>
      <w:bookmarkStart w:id="223" w:name="_Toc489955874"/>
      <w:bookmarkStart w:id="224" w:name="_Toc489438091"/>
      <w:bookmarkStart w:id="225" w:name="_Toc482284843"/>
      <w:bookmarkStart w:id="226" w:name="_Toc27055365"/>
      <w:bookmarkStart w:id="227" w:name="_Toc81230917"/>
      <w:bookmarkStart w:id="228" w:name="_Toc92461292"/>
      <w:bookmarkStart w:id="229" w:name="_Toc147503827"/>
      <w:bookmarkStart w:id="230" w:name="_Toc185251831"/>
      <w:r w:rsidRPr="00C620E2">
        <w:t>4.5</w:t>
      </w:r>
      <w:r w:rsidRPr="00C620E2">
        <w:tab/>
        <w:t>Refunds</w:t>
      </w:r>
      <w:bookmarkEnd w:id="221"/>
      <w:bookmarkEnd w:id="222"/>
      <w:bookmarkEnd w:id="223"/>
      <w:bookmarkEnd w:id="224"/>
      <w:bookmarkEnd w:id="225"/>
      <w:bookmarkEnd w:id="226"/>
      <w:bookmarkEnd w:id="227"/>
      <w:bookmarkEnd w:id="228"/>
      <w:bookmarkEnd w:id="229"/>
      <w:bookmarkEnd w:id="230"/>
    </w:p>
    <w:p w14:paraId="64252D13" w14:textId="77777777" w:rsidR="009D347E" w:rsidRPr="00C620E2" w:rsidRDefault="009D347E" w:rsidP="009D347E">
      <w:pPr>
        <w:keepNext/>
        <w:keepLines/>
        <w:tabs>
          <w:tab w:val="left" w:pos="284"/>
        </w:tabs>
        <w:spacing w:after="120"/>
      </w:pPr>
      <w:r w:rsidRPr="00C620E2">
        <w:t>When, in the reference year covered by the R&amp;D income return, a HEP refunds any income received either in the current year or an earlier year, income reported in the reference year must be reduced by the amount of the refund.</w:t>
      </w:r>
    </w:p>
    <w:p w14:paraId="013F19FB" w14:textId="77777777" w:rsidR="009D347E" w:rsidRPr="00C620E2" w:rsidRDefault="009D347E" w:rsidP="00AA2A39">
      <w:pPr>
        <w:pStyle w:val="Heading2"/>
      </w:pPr>
      <w:bookmarkStart w:id="231" w:name="_Toc523214684"/>
      <w:bookmarkStart w:id="232" w:name="_Toc491172991"/>
      <w:bookmarkStart w:id="233" w:name="_Toc489955875"/>
      <w:bookmarkStart w:id="234" w:name="_Toc489438092"/>
      <w:bookmarkStart w:id="235" w:name="_Toc482284844"/>
      <w:bookmarkStart w:id="236" w:name="_Toc27055366"/>
      <w:bookmarkStart w:id="237" w:name="_Toc81230918"/>
      <w:bookmarkStart w:id="238" w:name="_Toc92461293"/>
      <w:bookmarkStart w:id="239" w:name="_Toc147503828"/>
      <w:bookmarkStart w:id="240" w:name="_Toc185251832"/>
      <w:r w:rsidRPr="00C620E2">
        <w:t>4.6</w:t>
      </w:r>
      <w:r w:rsidRPr="00C620E2">
        <w:tab/>
        <w:t xml:space="preserve">CRCs that are no longer </w:t>
      </w:r>
      <w:r w:rsidRPr="00AA2A39">
        <w:t>operational</w:t>
      </w:r>
      <w:bookmarkEnd w:id="231"/>
      <w:bookmarkEnd w:id="232"/>
      <w:bookmarkEnd w:id="233"/>
      <w:bookmarkEnd w:id="234"/>
      <w:bookmarkEnd w:id="235"/>
      <w:bookmarkEnd w:id="236"/>
      <w:bookmarkEnd w:id="237"/>
      <w:bookmarkEnd w:id="238"/>
      <w:bookmarkEnd w:id="239"/>
      <w:bookmarkEnd w:id="240"/>
    </w:p>
    <w:p w14:paraId="7089BA67" w14:textId="3DBB2E6C" w:rsidR="00A91D24" w:rsidRDefault="009D347E" w:rsidP="00DA0D03">
      <w:pPr>
        <w:tabs>
          <w:tab w:val="left" w:pos="284"/>
        </w:tabs>
        <w:spacing w:after="0"/>
      </w:pPr>
      <w:r w:rsidRPr="00C620E2">
        <w:t>When a CRC (or CRC-P) is no longer operational, and it is not possible to verify the R&amp;D proportion of the income with the CRC in which the HEP was the researcher or a participant, the amount reported and attributable to that CRC may be reported on the basis of the HEP’s financial records alone.</w:t>
      </w:r>
      <w:r w:rsidR="005D672A">
        <w:t xml:space="preserve"> </w:t>
      </w:r>
    </w:p>
    <w:p w14:paraId="4BC77408" w14:textId="2E46E2F5" w:rsidR="009D347E" w:rsidRPr="00C620E2" w:rsidRDefault="00A91D24" w:rsidP="0039778B">
      <w:pPr>
        <w:spacing w:after="160"/>
      </w:pPr>
      <w:r>
        <w:br w:type="page"/>
      </w:r>
    </w:p>
    <w:p w14:paraId="2D04A248" w14:textId="6E9D02A2" w:rsidR="009D347E" w:rsidRPr="00FB7B35" w:rsidRDefault="009D347E" w:rsidP="003B4D16">
      <w:pPr>
        <w:pStyle w:val="Heading1"/>
        <w:spacing w:before="0"/>
      </w:pPr>
      <w:bookmarkStart w:id="241" w:name="_Toc491172992"/>
      <w:bookmarkStart w:id="242" w:name="_Toc489955876"/>
      <w:bookmarkStart w:id="243" w:name="_Toc489438093"/>
      <w:bookmarkStart w:id="244" w:name="_Toc482284845"/>
      <w:bookmarkStart w:id="245" w:name="_Toc523214685"/>
      <w:bookmarkStart w:id="246" w:name="_Toc27055367"/>
      <w:bookmarkStart w:id="247" w:name="_Toc81230919"/>
      <w:bookmarkStart w:id="248" w:name="_Toc92461294"/>
      <w:bookmarkStart w:id="249" w:name="_Toc147503829"/>
      <w:bookmarkStart w:id="250" w:name="_Toc185251833"/>
      <w:r w:rsidRPr="00FB7B35">
        <w:lastRenderedPageBreak/>
        <w:t>R&amp;D income categories</w:t>
      </w:r>
      <w:bookmarkEnd w:id="241"/>
      <w:bookmarkEnd w:id="242"/>
      <w:bookmarkEnd w:id="243"/>
      <w:bookmarkEnd w:id="244"/>
      <w:bookmarkEnd w:id="245"/>
      <w:bookmarkEnd w:id="246"/>
      <w:bookmarkEnd w:id="247"/>
      <w:bookmarkEnd w:id="248"/>
      <w:bookmarkEnd w:id="249"/>
      <w:bookmarkEnd w:id="250"/>
    </w:p>
    <w:p w14:paraId="25D27874" w14:textId="1BAEC048" w:rsidR="009D347E" w:rsidRPr="00FB7B35" w:rsidRDefault="009D347E" w:rsidP="009D347E">
      <w:pPr>
        <w:spacing w:after="120"/>
        <w:rPr>
          <w:rFonts w:cs="Arial"/>
        </w:rPr>
      </w:pPr>
      <w:r w:rsidRPr="00FB7B35">
        <w:rPr>
          <w:rFonts w:cs="Arial"/>
        </w:rPr>
        <w:t xml:space="preserve">HEPs must enter all R&amp;D income into the R&amp;D income return according to the following </w:t>
      </w:r>
      <w:r w:rsidR="00F23B8A">
        <w:rPr>
          <w:rFonts w:cs="Arial"/>
        </w:rPr>
        <w:t>4</w:t>
      </w:r>
      <w:r w:rsidRPr="00FB7B35">
        <w:rPr>
          <w:rFonts w:cs="Arial"/>
        </w:rPr>
        <w:t xml:space="preserve"> categories:</w:t>
      </w:r>
    </w:p>
    <w:p w14:paraId="1663BAE2" w14:textId="77777777" w:rsidR="009D347E" w:rsidRPr="00FB7B35" w:rsidRDefault="009D347E" w:rsidP="00C85B4C">
      <w:pPr>
        <w:pStyle w:val="ListBullet"/>
      </w:pPr>
      <w:r w:rsidRPr="00FB7B35">
        <w:t>Category 1: Australian competitive grant R&amp;D income</w:t>
      </w:r>
    </w:p>
    <w:p w14:paraId="0B05212F" w14:textId="77777777" w:rsidR="009D347E" w:rsidRPr="00FB7B35" w:rsidRDefault="009D347E" w:rsidP="00C85B4C">
      <w:pPr>
        <w:pStyle w:val="ListBullet"/>
      </w:pPr>
      <w:r w:rsidRPr="00FB7B35">
        <w:t xml:space="preserve">Category 2: </w:t>
      </w:r>
      <w:r>
        <w:t>o</w:t>
      </w:r>
      <w:r w:rsidRPr="00FB7B35">
        <w:t>ther public sector R&amp;D income</w:t>
      </w:r>
    </w:p>
    <w:p w14:paraId="5ED6BA93" w14:textId="77777777" w:rsidR="009D347E" w:rsidRPr="00FB7B35" w:rsidRDefault="009D347E" w:rsidP="00C85B4C">
      <w:pPr>
        <w:pStyle w:val="ListBullet"/>
      </w:pPr>
      <w:r w:rsidRPr="00FB7B35">
        <w:t xml:space="preserve">Category 3: </w:t>
      </w:r>
      <w:r>
        <w:t>i</w:t>
      </w:r>
      <w:r w:rsidRPr="00FB7B35">
        <w:t>ndustry and other R&amp;D income</w:t>
      </w:r>
    </w:p>
    <w:p w14:paraId="0A076A7F" w14:textId="7AD4493A" w:rsidR="00F66CB7" w:rsidRPr="00C85B4C" w:rsidRDefault="009D347E" w:rsidP="00C85B4C">
      <w:pPr>
        <w:pStyle w:val="ListBullet"/>
      </w:pPr>
      <w:r w:rsidRPr="00FB7B35">
        <w:t>Category 4: CRC R&amp;D income.</w:t>
      </w:r>
    </w:p>
    <w:p w14:paraId="6A848700" w14:textId="77777777" w:rsidR="009D347E" w:rsidRDefault="009D347E" w:rsidP="00C85B4C">
      <w:pPr>
        <w:tabs>
          <w:tab w:val="num" w:pos="284"/>
        </w:tabs>
        <w:spacing w:after="120"/>
        <w:rPr>
          <w:rFonts w:eastAsia="Times New Roman" w:cs="Arial"/>
        </w:rPr>
      </w:pPr>
      <w:r w:rsidRPr="00FB7B35">
        <w:rPr>
          <w:rFonts w:eastAsia="Times New Roman" w:cs="Arial"/>
        </w:rPr>
        <w:t>R&amp;D income may be derived directly or indirectly from one or more ultimate funding entities. An ultimate funding entity will have full discretionary</w:t>
      </w:r>
      <w:r w:rsidRPr="00FB7B35">
        <w:rPr>
          <w:rFonts w:ascii="Arial" w:eastAsia="Times New Roman" w:hAnsi="Arial" w:cs="Arial"/>
          <w:sz w:val="21"/>
          <w:szCs w:val="21"/>
        </w:rPr>
        <w:t xml:space="preserve"> </w:t>
      </w:r>
      <w:r w:rsidRPr="00FB7B35">
        <w:rPr>
          <w:rFonts w:eastAsia="Times New Roman" w:cs="Arial"/>
        </w:rPr>
        <w:t>power to commence the research funding process that ends in the awarding of research funds to a HEP, for funding that it controls. If an entity is carrying out the instructions of another funding body through a contract or enforceable agreement, then that entity is not the original source of income/ultimate funding entity. HEPs should undertake reasonable effort to determine the original source of income/ultimate funding entity.</w:t>
      </w:r>
    </w:p>
    <w:p w14:paraId="793BFAB7" w14:textId="77777777" w:rsidR="009D347E" w:rsidRPr="00FB7B35" w:rsidRDefault="009D347E" w:rsidP="00F66CB7">
      <w:pPr>
        <w:tabs>
          <w:tab w:val="num" w:pos="284"/>
        </w:tabs>
        <w:spacing w:after="120"/>
      </w:pPr>
      <w:r w:rsidRPr="00FB7B35">
        <w:t xml:space="preserve">HEPs </w:t>
      </w:r>
      <w:r w:rsidRPr="00F66CB7">
        <w:rPr>
          <w:rFonts w:eastAsia="Times New Roman" w:cs="Arial"/>
        </w:rPr>
        <w:t>need</w:t>
      </w:r>
      <w:r w:rsidRPr="00FB7B35">
        <w:t xml:space="preserve"> to be able to determine the original source, or sources, of income from one or more ultimate funding entities.</w:t>
      </w:r>
    </w:p>
    <w:p w14:paraId="00CF995B" w14:textId="2ED48C3D" w:rsidR="007977B3" w:rsidRPr="00582639" w:rsidRDefault="009D347E" w:rsidP="009D347E">
      <w:pPr>
        <w:tabs>
          <w:tab w:val="num" w:pos="284"/>
        </w:tabs>
        <w:spacing w:after="120"/>
        <w:rPr>
          <w:rFonts w:eastAsia="Times New Roman" w:cs="Arial"/>
        </w:rPr>
      </w:pPr>
      <w:r w:rsidRPr="00FB7B35" w:rsidDel="00C61298">
        <w:rPr>
          <w:rFonts w:eastAsia="Times New Roman" w:cs="Arial"/>
        </w:rPr>
        <w:t xml:space="preserve">There is no separate category for income received </w:t>
      </w:r>
      <w:r w:rsidRPr="00FB7B35">
        <w:rPr>
          <w:rFonts w:eastAsia="Times New Roman" w:cs="Arial"/>
        </w:rPr>
        <w:t>from</w:t>
      </w:r>
      <w:r w:rsidRPr="00FB7B35" w:rsidDel="00C61298">
        <w:rPr>
          <w:rFonts w:eastAsia="Times New Roman" w:cs="Arial"/>
        </w:rPr>
        <w:t xml:space="preserve"> </w:t>
      </w:r>
      <w:r w:rsidRPr="00FB7B35">
        <w:rPr>
          <w:rFonts w:eastAsia="Times New Roman" w:cs="Arial"/>
        </w:rPr>
        <w:t>multiple ultimate funding entities for an R&amp;D project</w:t>
      </w:r>
      <w:r w:rsidRPr="00FB7B35" w:rsidDel="00C61298">
        <w:rPr>
          <w:rFonts w:eastAsia="Times New Roman" w:cs="Arial"/>
        </w:rPr>
        <w:t xml:space="preserve">. </w:t>
      </w:r>
      <w:r w:rsidRPr="00FB7B35">
        <w:rPr>
          <w:rFonts w:eastAsia="Times New Roman" w:cs="Arial"/>
        </w:rPr>
        <w:t>I</w:t>
      </w:r>
      <w:r w:rsidRPr="00FB7B35" w:rsidDel="00C61298">
        <w:rPr>
          <w:rFonts w:eastAsia="Times New Roman" w:cs="Arial"/>
        </w:rPr>
        <w:t xml:space="preserve">ncome </w:t>
      </w:r>
      <w:r w:rsidRPr="00FB7B35">
        <w:rPr>
          <w:rFonts w:eastAsia="Times New Roman" w:cs="Arial"/>
        </w:rPr>
        <w:t xml:space="preserve">received from multiple ultimate funding entities </w:t>
      </w:r>
      <w:r w:rsidRPr="00FB7B35" w:rsidDel="00C61298">
        <w:rPr>
          <w:rFonts w:eastAsia="Times New Roman" w:cs="Arial"/>
        </w:rPr>
        <w:t>should be</w:t>
      </w:r>
      <w:r w:rsidRPr="00FB7B35">
        <w:rPr>
          <w:rFonts w:eastAsia="Times New Roman" w:cs="Arial"/>
        </w:rPr>
        <w:t xml:space="preserve"> apportioned and</w:t>
      </w:r>
      <w:r w:rsidRPr="00FB7B35" w:rsidDel="00C61298">
        <w:rPr>
          <w:rFonts w:eastAsia="Times New Roman" w:cs="Arial"/>
        </w:rPr>
        <w:t xml:space="preserve"> assigned to the appropriate reporting category</w:t>
      </w:r>
      <w:r w:rsidRPr="00FB7B35">
        <w:rPr>
          <w:rFonts w:eastAsia="Times New Roman" w:cs="Arial"/>
        </w:rPr>
        <w:t xml:space="preserve">, </w:t>
      </w:r>
      <w:r w:rsidRPr="00FB7B35" w:rsidDel="00C61298">
        <w:rPr>
          <w:rFonts w:eastAsia="Times New Roman" w:cs="Arial"/>
        </w:rPr>
        <w:t xml:space="preserve">according to </w:t>
      </w:r>
      <w:r w:rsidRPr="00FB7B35">
        <w:rPr>
          <w:rFonts w:eastAsia="Times New Roman" w:cs="Arial"/>
        </w:rPr>
        <w:t>each</w:t>
      </w:r>
      <w:r w:rsidRPr="00FB7B35" w:rsidDel="00C61298">
        <w:rPr>
          <w:rFonts w:eastAsia="Times New Roman" w:cs="Arial"/>
        </w:rPr>
        <w:t xml:space="preserve"> original source of income</w:t>
      </w:r>
      <w:r w:rsidRPr="00FB7B35">
        <w:rPr>
          <w:rFonts w:eastAsia="Times New Roman" w:cs="Arial"/>
        </w:rPr>
        <w:t xml:space="preserve"> from one or more </w:t>
      </w:r>
      <w:r w:rsidRPr="00FB7B35" w:rsidDel="00C61298">
        <w:rPr>
          <w:rFonts w:eastAsia="Times New Roman" w:cs="Arial"/>
        </w:rPr>
        <w:t>ultimate funding entit</w:t>
      </w:r>
      <w:r w:rsidRPr="00FB7B35">
        <w:rPr>
          <w:rFonts w:eastAsia="Times New Roman" w:cs="Arial"/>
        </w:rPr>
        <w:t>ies</w:t>
      </w:r>
      <w:r w:rsidRPr="00FB7B35" w:rsidDel="00C61298">
        <w:rPr>
          <w:rFonts w:eastAsia="Times New Roman" w:cs="Arial"/>
        </w:rPr>
        <w:t>.</w:t>
      </w:r>
      <w:r w:rsidR="002A2670">
        <w:rPr>
          <w:rFonts w:eastAsia="Times New Roman" w:cs="Arial"/>
        </w:rPr>
        <w:t xml:space="preserve"> </w:t>
      </w:r>
    </w:p>
    <w:p w14:paraId="7587BCE7" w14:textId="77777777" w:rsidR="009D347E" w:rsidRPr="00FB7B35" w:rsidDel="00335C75" w:rsidRDefault="009D347E" w:rsidP="009D347E">
      <w:pPr>
        <w:tabs>
          <w:tab w:val="num" w:pos="284"/>
        </w:tabs>
        <w:spacing w:after="120"/>
        <w:rPr>
          <w:rFonts w:eastAsia="Times New Roman" w:cs="Arial"/>
        </w:rPr>
      </w:pPr>
      <w:r w:rsidRPr="00FB7B35" w:rsidDel="00335C75">
        <w:rPr>
          <w:rFonts w:eastAsia="Times New Roman" w:cs="Arial"/>
        </w:rPr>
        <w:t>HEPs are to correctly manage the categorisation of R&amp;D income. It is suggested that HEPs nominate the appropriate HERDC income category (or categories) at the time that funding agreements, grants or contracts are executed. HEPs should provide their faculties or departments with this information to help ensure that all income is coded to the correct HERDC income category for the duration of the funding.</w:t>
      </w:r>
    </w:p>
    <w:p w14:paraId="7366E6BF" w14:textId="77777777" w:rsidR="009D347E" w:rsidRPr="00FB7B35" w:rsidRDefault="009D347E" w:rsidP="009D347E">
      <w:pPr>
        <w:tabs>
          <w:tab w:val="num" w:pos="284"/>
        </w:tabs>
        <w:spacing w:after="120"/>
        <w:rPr>
          <w:rFonts w:eastAsia="Times New Roman" w:cs="Arial"/>
        </w:rPr>
      </w:pPr>
      <w:r w:rsidRPr="00FB7B35">
        <w:rPr>
          <w:rFonts w:eastAsia="Times New Roman" w:cs="Arial"/>
        </w:rPr>
        <w:t>Categories 2 and 3 consist of government income sub-categories for government’s ‘own purpose’ (sub-categories 2.1, 2.3 and 3.7) and ’other’ (sub-categories 2.2, 2.4 and 3.8). HEPs are required to distinguish between income provided for government's ‘own purpose’ and ‘other’.</w:t>
      </w:r>
    </w:p>
    <w:p w14:paraId="0B513A61" w14:textId="77777777" w:rsidR="00247159" w:rsidRDefault="009D347E" w:rsidP="009D347E">
      <w:pPr>
        <w:spacing w:after="120"/>
      </w:pPr>
      <w:r w:rsidRPr="00FB7B35">
        <w:t xml:space="preserve">The ‘own purpose’ sub-categories refer to investment by government where the government will be the end-user of that research. Research carried out for purposes where government is not the end-user </w:t>
      </w:r>
      <w:r w:rsidR="00E408BB">
        <w:t>is</w:t>
      </w:r>
      <w:r w:rsidRPr="00FB7B35">
        <w:t xml:space="preserve"> considered as ‘other’. The reason for distinguishing between these terms is to enable the collection of data that shows how much research investment by government is for its own use. The example below describes an instance of an ‘own purpose’ government R&amp;D income</w:t>
      </w:r>
      <w:bookmarkStart w:id="251" w:name="_Toc168817211"/>
      <w:bookmarkStart w:id="252" w:name="_Toc168824830"/>
      <w:bookmarkStart w:id="253" w:name="_Ref213670512"/>
      <w:bookmarkStart w:id="254" w:name="_Toc406668881"/>
      <w:bookmarkEnd w:id="251"/>
      <w:bookmarkEnd w:id="252"/>
      <w:r w:rsidR="008658D7">
        <w:t>.</w:t>
      </w:r>
    </w:p>
    <w:p w14:paraId="26EF50A0" w14:textId="116F7438" w:rsidR="009D347E" w:rsidRDefault="00B75794" w:rsidP="00B75794">
      <w:pPr>
        <w:pBdr>
          <w:top w:val="single" w:sz="24" w:space="1" w:color="00254A" w:themeColor="text2"/>
          <w:left w:val="single" w:sz="24" w:space="4" w:color="00254A" w:themeColor="text2"/>
          <w:bottom w:val="single" w:sz="24" w:space="1" w:color="00254A" w:themeColor="text2"/>
          <w:right w:val="single" w:sz="24" w:space="4" w:color="00254A" w:themeColor="text2"/>
          <w:between w:val="single" w:sz="24" w:space="1" w:color="00254A" w:themeColor="text2"/>
          <w:bar w:val="single" w:sz="24" w:color="00254A" w:themeColor="text2"/>
        </w:pBdr>
        <w:shd w:val="clear" w:color="auto" w:fill="F2F2F2" w:themeFill="background1" w:themeFillShade="F2"/>
        <w:spacing w:after="120"/>
      </w:pPr>
      <w:r w:rsidRPr="00B75794">
        <w:rPr>
          <w:b/>
          <w:bCs/>
        </w:rPr>
        <w:t>Example:</w:t>
      </w:r>
      <w:r>
        <w:t xml:space="preserve"> </w:t>
      </w:r>
      <w:r w:rsidRPr="00572D68">
        <w:rPr>
          <w:rFonts w:cs="Arial"/>
          <w:iCs/>
        </w:rPr>
        <w:t xml:space="preserve">A state government has an agreement with </w:t>
      </w:r>
      <w:r>
        <w:rPr>
          <w:rFonts w:cs="Arial"/>
          <w:iCs/>
        </w:rPr>
        <w:t>HEP</w:t>
      </w:r>
      <w:r w:rsidRPr="00572D68">
        <w:rPr>
          <w:rFonts w:cs="Arial"/>
          <w:iCs/>
        </w:rPr>
        <w:t xml:space="preserve"> </w:t>
      </w:r>
      <w:r>
        <w:rPr>
          <w:rFonts w:cs="Arial"/>
          <w:iCs/>
        </w:rPr>
        <w:t>X</w:t>
      </w:r>
      <w:r w:rsidRPr="00572D68">
        <w:rPr>
          <w:rFonts w:cs="Arial"/>
          <w:iCs/>
        </w:rPr>
        <w:t xml:space="preserve"> for a research project worth $400,000 to investigate childhood obesity, nutrition and lifestyle factors. The funds were not competitive, and the funding agreement between </w:t>
      </w:r>
      <w:r>
        <w:rPr>
          <w:rFonts w:cs="Arial"/>
          <w:iCs/>
        </w:rPr>
        <w:t>HEP</w:t>
      </w:r>
      <w:r w:rsidRPr="00572D68">
        <w:rPr>
          <w:rFonts w:cs="Arial"/>
          <w:iCs/>
        </w:rPr>
        <w:t xml:space="preserve"> </w:t>
      </w:r>
      <w:r>
        <w:rPr>
          <w:rFonts w:cs="Arial"/>
          <w:iCs/>
        </w:rPr>
        <w:t>X</w:t>
      </w:r>
      <w:r w:rsidRPr="00572D68">
        <w:rPr>
          <w:rFonts w:cs="Arial"/>
          <w:iCs/>
        </w:rPr>
        <w:t xml:space="preserve"> and the government contains a clause where the </w:t>
      </w:r>
      <w:r>
        <w:rPr>
          <w:rFonts w:cs="Arial"/>
          <w:iCs/>
        </w:rPr>
        <w:t>HEP</w:t>
      </w:r>
      <w:r w:rsidRPr="00572D68">
        <w:rPr>
          <w:rFonts w:cs="Arial"/>
          <w:iCs/>
        </w:rPr>
        <w:t xml:space="preserve"> must assign all or part of the intellectual property arising from the agreement back to the government customer. The state government intends to use this information to develop promotion materials and tools to encourage healthy lifestyles in young Australians. In this case, the $400,000 of income would be determined as own purpose, namely sub-category 2.3: State/territory/local (own purpose).</w:t>
      </w:r>
    </w:p>
    <w:p w14:paraId="29200FBB" w14:textId="13BD1C27" w:rsidR="009D347E" w:rsidRPr="0039778B" w:rsidRDefault="009D347E" w:rsidP="00BE290D">
      <w:pPr>
        <w:spacing w:after="120"/>
        <w:outlineLvl w:val="3"/>
        <w:rPr>
          <w:rFonts w:eastAsia="Times New Roman" w:cs="Arial"/>
        </w:rPr>
      </w:pPr>
      <w:r w:rsidRPr="00FB7B35">
        <w:rPr>
          <w:rFonts w:eastAsia="Times New Roman" w:cs="Arial"/>
        </w:rPr>
        <w:t xml:space="preserve">A list of all HERDC categories and sub-categories is provided at </w:t>
      </w:r>
      <w:r w:rsidRPr="00FB7B35">
        <w:rPr>
          <w:rFonts w:eastAsia="Times New Roman" w:cs="Arial"/>
          <w:b/>
        </w:rPr>
        <w:t>section 7</w:t>
      </w:r>
      <w:r w:rsidRPr="00FB7B35">
        <w:rPr>
          <w:rFonts w:eastAsia="Times New Roman" w:cs="Arial"/>
        </w:rPr>
        <w:t>.</w:t>
      </w:r>
    </w:p>
    <w:p w14:paraId="5E1C94F0" w14:textId="77777777" w:rsidR="009D347E" w:rsidRPr="00AA2A39" w:rsidRDefault="009D347E" w:rsidP="00AA2A39">
      <w:pPr>
        <w:pStyle w:val="Heading2"/>
      </w:pPr>
      <w:bookmarkStart w:id="255" w:name="_Toc523214686"/>
      <w:bookmarkStart w:id="256" w:name="_Toc491172993"/>
      <w:bookmarkStart w:id="257" w:name="_Toc27055368"/>
      <w:bookmarkStart w:id="258" w:name="_Toc81230920"/>
      <w:bookmarkStart w:id="259" w:name="_Toc92461295"/>
      <w:bookmarkStart w:id="260" w:name="_Toc147503830"/>
      <w:bookmarkStart w:id="261" w:name="_Toc185251834"/>
      <w:r w:rsidRPr="00AA2A39">
        <w:lastRenderedPageBreak/>
        <w:t>5.1</w:t>
      </w:r>
      <w:r w:rsidRPr="00AA2A39">
        <w:tab/>
        <w:t xml:space="preserve">Category 1: Australian competitive </w:t>
      </w:r>
      <w:bookmarkEnd w:id="253"/>
      <w:bookmarkEnd w:id="254"/>
      <w:r w:rsidRPr="00AA2A39">
        <w:t>grant R&amp;D income</w:t>
      </w:r>
      <w:bookmarkEnd w:id="255"/>
      <w:bookmarkEnd w:id="256"/>
      <w:bookmarkEnd w:id="257"/>
      <w:bookmarkEnd w:id="258"/>
      <w:bookmarkEnd w:id="259"/>
      <w:bookmarkEnd w:id="260"/>
      <w:bookmarkEnd w:id="261"/>
    </w:p>
    <w:p w14:paraId="098A9807" w14:textId="132F5F97" w:rsidR="009D347E" w:rsidRPr="00FB7B35" w:rsidRDefault="000C7BFA" w:rsidP="009D347E">
      <w:r w:rsidRPr="00FB7B35">
        <w:t xml:space="preserve">This section provides information to assist HEPs to determine whether R&amp;D income is eligible to be counted as Category 1 R&amp;D income. </w:t>
      </w:r>
      <w:r w:rsidR="009D347E" w:rsidRPr="00FB7B35">
        <w:rPr>
          <w:iCs/>
        </w:rPr>
        <w:t>Category 1</w:t>
      </w:r>
      <w:r w:rsidR="009D347E" w:rsidRPr="00FB7B35">
        <w:t xml:space="preserve"> consists only of net receipted income received from Australian funding bodies for those R&amp;D schemes and programs that have been self-assessed as Australian competitive grant R&amp;D income, and must be sub-categorised as follows:</w:t>
      </w:r>
    </w:p>
    <w:p w14:paraId="24F6FA0B" w14:textId="77777777" w:rsidR="009D347E" w:rsidRPr="00FB7B35" w:rsidRDefault="009D347E" w:rsidP="00C85B4C">
      <w:pPr>
        <w:pStyle w:val="ListBullet"/>
      </w:pPr>
      <w:r w:rsidRPr="00FB7B35">
        <w:t>Sub-category 1.1 National Health and Medical Research Council (NHMRC)</w:t>
      </w:r>
    </w:p>
    <w:p w14:paraId="31E345FF" w14:textId="77777777" w:rsidR="009D347E" w:rsidRPr="00FB7B35" w:rsidRDefault="009D347E" w:rsidP="00C85B4C">
      <w:pPr>
        <w:pStyle w:val="ListBullet"/>
      </w:pPr>
      <w:r w:rsidRPr="00FB7B35">
        <w:t>Sub-category 1.2 Australian Research Council (ARC)</w:t>
      </w:r>
    </w:p>
    <w:p w14:paraId="770124D8" w14:textId="77777777" w:rsidR="009D347E" w:rsidRPr="00FB7B35" w:rsidRDefault="009D347E" w:rsidP="00C85B4C">
      <w:pPr>
        <w:pStyle w:val="ListBullet"/>
      </w:pPr>
      <w:r w:rsidRPr="00FB7B35">
        <w:t>Sub-category 1.3 Medical Research Future Fund (MRFF)</w:t>
      </w:r>
    </w:p>
    <w:p w14:paraId="01EF712D" w14:textId="77777777" w:rsidR="009D347E" w:rsidRPr="00FB7B35" w:rsidRDefault="009D347E" w:rsidP="00C85B4C">
      <w:pPr>
        <w:pStyle w:val="ListBullet"/>
      </w:pPr>
      <w:r w:rsidRPr="00FB7B35">
        <w:t>Sub-category 1.4 Rural R&amp;D</w:t>
      </w:r>
    </w:p>
    <w:p w14:paraId="59D584D1" w14:textId="77777777" w:rsidR="009D347E" w:rsidRPr="00FB7B35" w:rsidRDefault="009D347E" w:rsidP="00C85B4C">
      <w:pPr>
        <w:pStyle w:val="ListBullet"/>
      </w:pPr>
      <w:r w:rsidRPr="00FB7B35">
        <w:t>Sub-category 1.5 Commonwealth other</w:t>
      </w:r>
    </w:p>
    <w:p w14:paraId="6F552BFA" w14:textId="77777777" w:rsidR="009D347E" w:rsidRPr="00FB7B35" w:rsidRDefault="009D347E" w:rsidP="00C85B4C">
      <w:pPr>
        <w:pStyle w:val="ListBullet"/>
      </w:pPr>
      <w:r w:rsidRPr="00FB7B35">
        <w:t>Sub-category 1.6 State/territory government</w:t>
      </w:r>
    </w:p>
    <w:p w14:paraId="318515CD" w14:textId="77777777" w:rsidR="009D347E" w:rsidRPr="00FB7B35" w:rsidRDefault="009D347E" w:rsidP="00C85B4C">
      <w:pPr>
        <w:pStyle w:val="ListBullet"/>
      </w:pPr>
      <w:r w:rsidRPr="00FB7B35">
        <w:t>Sub-category 1.7 Other.</w:t>
      </w:r>
    </w:p>
    <w:p w14:paraId="3A3C07EA" w14:textId="77777777" w:rsidR="009D347E" w:rsidRPr="00FB7B35" w:rsidRDefault="009D347E" w:rsidP="009D347E">
      <w:r w:rsidRPr="00FB7B35">
        <w:t xml:space="preserve">Partner organisation cash contributions to grants awarded by schemes that have been self-assessed as Australian competitive grant R&amp;D income should not be reported in </w:t>
      </w:r>
      <w:r w:rsidRPr="00FB7B35">
        <w:rPr>
          <w:iCs/>
        </w:rPr>
        <w:t>Category 1,</w:t>
      </w:r>
      <w:r w:rsidRPr="00FB7B35">
        <w:t xml:space="preserve"> regardless of whether the partner contributions were identified in the scheme and/or program. This income should instead be reported under the HERDC category relevant to the source of the funding. Competitive grant income from international organisations or schemes should be reported under </w:t>
      </w:r>
      <w:r w:rsidRPr="00FB7B35">
        <w:rPr>
          <w:iCs/>
        </w:rPr>
        <w:t>Category 3.</w:t>
      </w:r>
    </w:p>
    <w:p w14:paraId="2C08691C" w14:textId="0D9C4D38" w:rsidR="009D347E" w:rsidRDefault="009D347E" w:rsidP="009D347E">
      <w:r w:rsidRPr="00FB7B35">
        <w:t>Prior to 2018, the Australian Competitive Grants Register</w:t>
      </w:r>
      <w:r w:rsidR="00361DF8">
        <w:t xml:space="preserve"> (ACGR)</w:t>
      </w:r>
      <w:r w:rsidRPr="00FB7B35">
        <w:t xml:space="preserve"> was used to determine which income could be counted as </w:t>
      </w:r>
      <w:r w:rsidRPr="00FB7B35">
        <w:rPr>
          <w:iCs/>
        </w:rPr>
        <w:t>Category 1</w:t>
      </w:r>
      <w:r w:rsidRPr="00FB7B35">
        <w:t xml:space="preserve"> R&amp;D income. For 2018 data onwards, self-assessment applied instead of the grants register, as the department is no longer updating the register. HEPs should use the</w:t>
      </w:r>
      <w:r>
        <w:t xml:space="preserve"> dark</w:t>
      </w:r>
      <w:r w:rsidRPr="00FB7B35">
        <w:t xml:space="preserve"> blue section of the </w:t>
      </w:r>
      <w:r w:rsidR="00F9196F">
        <w:rPr>
          <w:bCs/>
        </w:rPr>
        <w:t>d</w:t>
      </w:r>
      <w:r w:rsidRPr="00FB7B35">
        <w:rPr>
          <w:bCs/>
        </w:rPr>
        <w:t xml:space="preserve">ecision </w:t>
      </w:r>
      <w:r w:rsidR="00F9196F">
        <w:rPr>
          <w:bCs/>
        </w:rPr>
        <w:t>t</w:t>
      </w:r>
      <w:r w:rsidRPr="00FB7B35">
        <w:rPr>
          <w:bCs/>
        </w:rPr>
        <w:t>ree</w:t>
      </w:r>
      <w:r w:rsidRPr="00FB7B35">
        <w:t xml:space="preserve"> (</w:t>
      </w:r>
      <w:r w:rsidRPr="00FB7B35">
        <w:rPr>
          <w:b/>
          <w:bCs/>
        </w:rPr>
        <w:t>Fig</w:t>
      </w:r>
      <w:r w:rsidR="00610682">
        <w:rPr>
          <w:b/>
          <w:bCs/>
        </w:rPr>
        <w:t xml:space="preserve">ure </w:t>
      </w:r>
      <w:r w:rsidRPr="00FB7B35">
        <w:rPr>
          <w:b/>
          <w:bCs/>
        </w:rPr>
        <w:t>1</w:t>
      </w:r>
      <w:r w:rsidRPr="00FB7B35">
        <w:t xml:space="preserve">) to determine if the income can be counted as Category 1. The </w:t>
      </w:r>
      <w:r w:rsidR="00AA6BA1">
        <w:t>purple</w:t>
      </w:r>
      <w:r w:rsidRPr="00FB7B35">
        <w:t xml:space="preserve"> section of the </w:t>
      </w:r>
      <w:r w:rsidR="00F9196F">
        <w:t>d</w:t>
      </w:r>
      <w:r w:rsidRPr="00FB7B35">
        <w:t xml:space="preserve">ecision </w:t>
      </w:r>
      <w:r w:rsidR="00F9196F">
        <w:t>t</w:t>
      </w:r>
      <w:r w:rsidRPr="00FB7B35">
        <w:t xml:space="preserve">ree can then be used to determine which of the </w:t>
      </w:r>
      <w:r w:rsidR="00F23B8A">
        <w:t>7</w:t>
      </w:r>
      <w:r w:rsidRPr="00FB7B35">
        <w:t xml:space="preserve"> sub-categories the R&amp;D income belongs to.</w:t>
      </w:r>
    </w:p>
    <w:p w14:paraId="46CD014B" w14:textId="77777777" w:rsidR="00247159" w:rsidRDefault="00247159" w:rsidP="009D347E"/>
    <w:p w14:paraId="59B52D7D" w14:textId="77777777" w:rsidR="00247159" w:rsidRPr="00FB7B35" w:rsidRDefault="00247159" w:rsidP="009D347E">
      <w:pPr>
        <w:tabs>
          <w:tab w:val="num" w:pos="284"/>
          <w:tab w:val="num" w:pos="1134"/>
        </w:tabs>
        <w:spacing w:after="120"/>
        <w:rPr>
          <w:rFonts w:ascii="Arial" w:eastAsia="Times New Roman" w:hAnsi="Arial" w:cs="Arial"/>
          <w:b/>
          <w:color w:val="1A5E2F"/>
          <w:sz w:val="28"/>
          <w:szCs w:val="21"/>
        </w:rPr>
        <w:sectPr w:rsidR="00247159" w:rsidRPr="00FB7B35" w:rsidSect="009D347E">
          <w:headerReference w:type="even" r:id="rId34"/>
          <w:headerReference w:type="default" r:id="rId35"/>
          <w:headerReference w:type="first" r:id="rId36"/>
          <w:pgSz w:w="11906" w:h="16838"/>
          <w:pgMar w:top="851" w:right="1440" w:bottom="1151" w:left="1440" w:header="1134" w:footer="720" w:gutter="0"/>
          <w:cols w:space="720"/>
        </w:sectPr>
      </w:pPr>
    </w:p>
    <w:p w14:paraId="5F2C6AC5" w14:textId="4A16E14D" w:rsidR="003616C5" w:rsidRDefault="0052525F" w:rsidP="00246436">
      <w:pPr>
        <w:spacing w:after="0" w:line="240" w:lineRule="auto"/>
        <w:jc w:val="both"/>
        <w:rPr>
          <w:rFonts w:ascii="Arial" w:hAnsi="Arial" w:cs="Arial"/>
        </w:rPr>
      </w:pPr>
      <w:r>
        <w:rPr>
          <w:noProof/>
        </w:rPr>
        <w:lastRenderedPageBreak/>
        <w:drawing>
          <wp:anchor distT="0" distB="0" distL="114300" distR="114300" simplePos="0" relativeHeight="251658240" behindDoc="0" locked="0" layoutInCell="1" allowOverlap="1" wp14:anchorId="6CB469D7" wp14:editId="165718B2">
            <wp:simplePos x="0" y="0"/>
            <wp:positionH relativeFrom="margin">
              <wp:align>right</wp:align>
            </wp:positionH>
            <wp:positionV relativeFrom="paragraph">
              <wp:posOffset>11430</wp:posOffset>
            </wp:positionV>
            <wp:extent cx="9010650" cy="4819650"/>
            <wp:effectExtent l="0" t="0" r="0" b="0"/>
            <wp:wrapNone/>
            <wp:docPr id="1230941049" name="Picture 3" descr="This image is a visualisation of the Category 1 decis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41049" name="Picture 3" descr="This image is a visualisation of the Category 1 decision tre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10650" cy="481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3678A" w14:textId="4F42D4A1" w:rsidR="00B04576" w:rsidRDefault="00B04576" w:rsidP="00304C54"/>
    <w:tbl>
      <w:tblPr>
        <w:tblStyle w:val="TableGrid"/>
        <w:tblpPr w:leftFromText="180" w:rightFromText="180" w:vertAnchor="page" w:horzAnchor="margin" w:tblpY="1319"/>
        <w:tblW w:w="0" w:type="auto"/>
        <w:tblLook w:val="04A0" w:firstRow="1" w:lastRow="0" w:firstColumn="1" w:lastColumn="0" w:noHBand="0" w:noVBand="1"/>
      </w:tblPr>
      <w:tblGrid>
        <w:gridCol w:w="3681"/>
        <w:gridCol w:w="4819"/>
        <w:gridCol w:w="5448"/>
      </w:tblGrid>
      <w:tr w:rsidR="003616C5" w:rsidRPr="003616C5" w14:paraId="2F68016B" w14:textId="77777777" w:rsidTr="003616C5">
        <w:tc>
          <w:tcPr>
            <w:tcW w:w="3681" w:type="dxa"/>
          </w:tcPr>
          <w:p w14:paraId="358AC78B" w14:textId="77777777" w:rsidR="003616C5" w:rsidRPr="003616C5" w:rsidRDefault="003616C5" w:rsidP="003616C5">
            <w:pPr>
              <w:pStyle w:val="List2"/>
              <w:numPr>
                <w:ilvl w:val="0"/>
                <w:numId w:val="0"/>
              </w:numPr>
              <w:spacing w:after="0"/>
              <w:rPr>
                <w:b/>
                <w:bCs/>
                <w:sz w:val="18"/>
                <w:szCs w:val="18"/>
              </w:rPr>
            </w:pPr>
            <w:r w:rsidRPr="003616C5">
              <w:rPr>
                <w:b/>
                <w:bCs/>
                <w:sz w:val="18"/>
                <w:szCs w:val="18"/>
              </w:rPr>
              <w:t>Decision tree question</w:t>
            </w:r>
          </w:p>
        </w:tc>
        <w:tc>
          <w:tcPr>
            <w:tcW w:w="4819" w:type="dxa"/>
          </w:tcPr>
          <w:p w14:paraId="2815FECF" w14:textId="114D6F8D" w:rsidR="003616C5" w:rsidRPr="003616C5" w:rsidRDefault="003616C5" w:rsidP="003616C5">
            <w:pPr>
              <w:spacing w:after="0"/>
              <w:rPr>
                <w:b/>
                <w:bCs/>
                <w:sz w:val="18"/>
                <w:szCs w:val="18"/>
              </w:rPr>
            </w:pPr>
            <w:r w:rsidRPr="003616C5">
              <w:rPr>
                <w:b/>
                <w:bCs/>
                <w:sz w:val="18"/>
                <w:szCs w:val="18"/>
              </w:rPr>
              <w:t>Option 1</w:t>
            </w:r>
          </w:p>
        </w:tc>
        <w:tc>
          <w:tcPr>
            <w:tcW w:w="5448" w:type="dxa"/>
          </w:tcPr>
          <w:p w14:paraId="6EDD0079" w14:textId="7A7A0DDB" w:rsidR="003616C5" w:rsidRPr="003616C5" w:rsidRDefault="003616C5" w:rsidP="003616C5">
            <w:pPr>
              <w:spacing w:after="0"/>
              <w:rPr>
                <w:b/>
                <w:bCs/>
                <w:sz w:val="18"/>
                <w:szCs w:val="18"/>
              </w:rPr>
            </w:pPr>
            <w:r w:rsidRPr="003616C5">
              <w:rPr>
                <w:b/>
                <w:bCs/>
                <w:sz w:val="18"/>
                <w:szCs w:val="18"/>
              </w:rPr>
              <w:t>Option 2</w:t>
            </w:r>
          </w:p>
        </w:tc>
      </w:tr>
      <w:tr w:rsidR="003616C5" w:rsidRPr="003616C5" w14:paraId="21BFAD67" w14:textId="77777777" w:rsidTr="003616C5">
        <w:tc>
          <w:tcPr>
            <w:tcW w:w="3681" w:type="dxa"/>
          </w:tcPr>
          <w:p w14:paraId="440B293B" w14:textId="3FAE5331" w:rsidR="003616C5" w:rsidRPr="003616C5" w:rsidRDefault="003616C5" w:rsidP="003616C5">
            <w:pPr>
              <w:spacing w:after="0"/>
              <w:rPr>
                <w:sz w:val="18"/>
                <w:szCs w:val="18"/>
              </w:rPr>
            </w:pPr>
            <w:r w:rsidRPr="003616C5">
              <w:rPr>
                <w:b/>
                <w:bCs/>
                <w:sz w:val="18"/>
                <w:szCs w:val="18"/>
              </w:rPr>
              <w:t>Question 1:</w:t>
            </w:r>
            <w:r w:rsidRPr="003616C5">
              <w:rPr>
                <w:sz w:val="18"/>
                <w:szCs w:val="18"/>
              </w:rPr>
              <w:t xml:space="preserve"> Is the income available on a nationally competitive basis?</w:t>
            </w:r>
          </w:p>
        </w:tc>
        <w:tc>
          <w:tcPr>
            <w:tcW w:w="4819" w:type="dxa"/>
          </w:tcPr>
          <w:p w14:paraId="7B39A195" w14:textId="10574D2A" w:rsidR="003616C5" w:rsidRPr="003616C5" w:rsidRDefault="003616C5" w:rsidP="003616C5">
            <w:pPr>
              <w:spacing w:after="0"/>
              <w:rPr>
                <w:sz w:val="18"/>
                <w:szCs w:val="18"/>
              </w:rPr>
            </w:pPr>
            <w:r w:rsidRPr="003616C5">
              <w:rPr>
                <w:sz w:val="18"/>
                <w:szCs w:val="18"/>
              </w:rPr>
              <w:t xml:space="preserve">If yes, go to </w:t>
            </w:r>
            <w:r w:rsidRPr="003616C5">
              <w:rPr>
                <w:b/>
                <w:bCs/>
                <w:sz w:val="18"/>
                <w:szCs w:val="18"/>
              </w:rPr>
              <w:t>Question 2</w:t>
            </w:r>
            <w:r w:rsidRPr="003616C5">
              <w:rPr>
                <w:sz w:val="18"/>
                <w:szCs w:val="18"/>
              </w:rPr>
              <w:t>.</w:t>
            </w:r>
          </w:p>
        </w:tc>
        <w:tc>
          <w:tcPr>
            <w:tcW w:w="5448" w:type="dxa"/>
          </w:tcPr>
          <w:p w14:paraId="6CF8D992" w14:textId="54E9003C" w:rsidR="003616C5" w:rsidRPr="003616C5" w:rsidRDefault="003616C5" w:rsidP="003616C5">
            <w:pPr>
              <w:spacing w:after="0"/>
              <w:rPr>
                <w:sz w:val="18"/>
                <w:szCs w:val="18"/>
              </w:rPr>
            </w:pPr>
            <w:r w:rsidRPr="003616C5">
              <w:rPr>
                <w:sz w:val="18"/>
                <w:szCs w:val="18"/>
              </w:rPr>
              <w:t xml:space="preserve">If no, the income is </w:t>
            </w:r>
            <w:r w:rsidRPr="003616C5">
              <w:rPr>
                <w:b/>
                <w:bCs/>
                <w:sz w:val="18"/>
                <w:szCs w:val="18"/>
              </w:rPr>
              <w:t>not eligible as Category 1</w:t>
            </w:r>
            <w:r w:rsidRPr="003616C5">
              <w:rPr>
                <w:sz w:val="18"/>
                <w:szCs w:val="18"/>
              </w:rPr>
              <w:t>.</w:t>
            </w:r>
          </w:p>
        </w:tc>
      </w:tr>
      <w:tr w:rsidR="003616C5" w:rsidRPr="003616C5" w14:paraId="7C1413F9" w14:textId="77777777" w:rsidTr="003616C5">
        <w:tc>
          <w:tcPr>
            <w:tcW w:w="3681" w:type="dxa"/>
          </w:tcPr>
          <w:p w14:paraId="516C0988" w14:textId="16CDEE38" w:rsidR="003616C5" w:rsidRPr="003616C5" w:rsidRDefault="003616C5" w:rsidP="003616C5">
            <w:pPr>
              <w:spacing w:after="0"/>
              <w:rPr>
                <w:sz w:val="18"/>
                <w:szCs w:val="18"/>
              </w:rPr>
            </w:pPr>
            <w:r w:rsidRPr="003616C5">
              <w:rPr>
                <w:b/>
                <w:bCs/>
                <w:sz w:val="18"/>
                <w:szCs w:val="18"/>
              </w:rPr>
              <w:t>Question 2</w:t>
            </w:r>
            <w:r w:rsidRPr="003616C5">
              <w:rPr>
                <w:sz w:val="18"/>
                <w:szCs w:val="18"/>
              </w:rPr>
              <w:t>: Is the income used for research?</w:t>
            </w:r>
          </w:p>
        </w:tc>
        <w:tc>
          <w:tcPr>
            <w:tcW w:w="4819" w:type="dxa"/>
          </w:tcPr>
          <w:p w14:paraId="38B67A54" w14:textId="2C26CDDC" w:rsidR="003616C5" w:rsidRPr="003616C5" w:rsidRDefault="003616C5" w:rsidP="003616C5">
            <w:pPr>
              <w:spacing w:after="0"/>
              <w:rPr>
                <w:sz w:val="18"/>
                <w:szCs w:val="18"/>
              </w:rPr>
            </w:pPr>
            <w:r w:rsidRPr="003616C5">
              <w:rPr>
                <w:sz w:val="18"/>
                <w:szCs w:val="18"/>
              </w:rPr>
              <w:t xml:space="preserve">If yes, go to </w:t>
            </w:r>
            <w:r w:rsidRPr="003616C5">
              <w:rPr>
                <w:b/>
                <w:bCs/>
                <w:sz w:val="18"/>
                <w:szCs w:val="18"/>
              </w:rPr>
              <w:t>Question 3</w:t>
            </w:r>
            <w:r w:rsidRPr="003616C5">
              <w:rPr>
                <w:sz w:val="18"/>
                <w:szCs w:val="18"/>
              </w:rPr>
              <w:t>.</w:t>
            </w:r>
          </w:p>
        </w:tc>
        <w:tc>
          <w:tcPr>
            <w:tcW w:w="5448" w:type="dxa"/>
          </w:tcPr>
          <w:p w14:paraId="4B7FACC6" w14:textId="70EC938E" w:rsidR="003616C5" w:rsidRPr="003616C5" w:rsidRDefault="003616C5" w:rsidP="003616C5">
            <w:pPr>
              <w:spacing w:after="0"/>
              <w:rPr>
                <w:sz w:val="18"/>
                <w:szCs w:val="18"/>
              </w:rPr>
            </w:pPr>
            <w:r w:rsidRPr="003616C5">
              <w:rPr>
                <w:sz w:val="18"/>
                <w:szCs w:val="18"/>
              </w:rPr>
              <w:t xml:space="preserve">If no, the income is </w:t>
            </w:r>
            <w:r w:rsidRPr="003616C5">
              <w:rPr>
                <w:b/>
                <w:bCs/>
                <w:sz w:val="18"/>
                <w:szCs w:val="18"/>
              </w:rPr>
              <w:t>not eligible as Category 1</w:t>
            </w:r>
            <w:r w:rsidRPr="003616C5">
              <w:rPr>
                <w:sz w:val="18"/>
                <w:szCs w:val="18"/>
              </w:rPr>
              <w:t>.</w:t>
            </w:r>
          </w:p>
        </w:tc>
      </w:tr>
      <w:tr w:rsidR="003616C5" w:rsidRPr="003616C5" w14:paraId="4572DC16" w14:textId="77777777" w:rsidTr="003616C5">
        <w:tc>
          <w:tcPr>
            <w:tcW w:w="3681" w:type="dxa"/>
          </w:tcPr>
          <w:p w14:paraId="294F34D0" w14:textId="32D8AB75" w:rsidR="003616C5" w:rsidRPr="003616C5" w:rsidRDefault="00B04576" w:rsidP="003616C5">
            <w:pPr>
              <w:spacing w:after="0"/>
              <w:rPr>
                <w:sz w:val="18"/>
                <w:szCs w:val="18"/>
              </w:rPr>
            </w:pPr>
            <w:r>
              <w:rPr>
                <w:noProof/>
              </w:rPr>
              <mc:AlternateContent>
                <mc:Choice Requires="wps">
                  <w:drawing>
                    <wp:anchor distT="0" distB="0" distL="114300" distR="114300" simplePos="0" relativeHeight="251658242" behindDoc="0" locked="0" layoutInCell="1" allowOverlap="1" wp14:anchorId="2A89B386" wp14:editId="08354BE0">
                      <wp:simplePos x="0" y="0"/>
                      <wp:positionH relativeFrom="column">
                        <wp:posOffset>-125746</wp:posOffset>
                      </wp:positionH>
                      <wp:positionV relativeFrom="paragraph">
                        <wp:posOffset>-1040485</wp:posOffset>
                      </wp:positionV>
                      <wp:extent cx="8930005" cy="213756"/>
                      <wp:effectExtent l="0" t="0" r="4445" b="0"/>
                      <wp:wrapNone/>
                      <wp:docPr id="938111588" name="Text Box 1"/>
                      <wp:cNvGraphicFramePr/>
                      <a:graphic xmlns:a="http://schemas.openxmlformats.org/drawingml/2006/main">
                        <a:graphicData uri="http://schemas.microsoft.com/office/word/2010/wordprocessingShape">
                          <wps:wsp>
                            <wps:cNvSpPr txBox="1"/>
                            <wps:spPr>
                              <a:xfrm>
                                <a:off x="0" y="0"/>
                                <a:ext cx="8930005" cy="213756"/>
                              </a:xfrm>
                              <a:prstGeom prst="rect">
                                <a:avLst/>
                              </a:prstGeom>
                              <a:solidFill>
                                <a:prstClr val="white"/>
                              </a:solidFill>
                              <a:ln>
                                <a:noFill/>
                              </a:ln>
                            </wps:spPr>
                            <wps:txbx>
                              <w:txbxContent>
                                <w:p w14:paraId="4263B2A9" w14:textId="320A6380" w:rsidR="00B04576" w:rsidRPr="00BF4492" w:rsidRDefault="00B04576" w:rsidP="00BF4492">
                                  <w:pPr>
                                    <w:pStyle w:val="Caption1Tree"/>
                                  </w:pPr>
                                  <w:bookmarkStart w:id="262" w:name="_Toc185251835"/>
                                  <w:r w:rsidRPr="00BF4492">
                                    <w:t xml:space="preserve">Figure </w:t>
                                  </w:r>
                                  <w:r w:rsidR="00A74211">
                                    <w:fldChar w:fldCharType="begin"/>
                                  </w:r>
                                  <w:r w:rsidR="00A74211">
                                    <w:instrText xml:space="preserve"> SEQ Figure \* ARABIC </w:instrText>
                                  </w:r>
                                  <w:r w:rsidR="00A74211">
                                    <w:fldChar w:fldCharType="separate"/>
                                  </w:r>
                                  <w:r w:rsidR="00A62805">
                                    <w:rPr>
                                      <w:noProof/>
                                    </w:rPr>
                                    <w:t>1</w:t>
                                  </w:r>
                                  <w:r w:rsidR="00A74211">
                                    <w:fldChar w:fldCharType="end"/>
                                  </w:r>
                                  <w:r w:rsidRPr="00BF4492">
                                    <w:t>: Decision tree to determine Category 1 Australian competitive grant R&amp;D income</w:t>
                                  </w:r>
                                  <w:bookmarkEnd w:id="26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89B386" id="_x0000_t202" coordsize="21600,21600" o:spt="202" path="m,l,21600r21600,l21600,xe">
                      <v:stroke joinstyle="miter"/>
                      <v:path gradientshapeok="t" o:connecttype="rect"/>
                    </v:shapetype>
                    <v:shape id="Text Box 1" o:spid="_x0000_s1026" type="#_x0000_t202" style="position:absolute;margin-left:-9.9pt;margin-top:-81.95pt;width:703.15pt;height:16.8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" stroked="f">
                      <v:textbox inset="0,0,0,0">
                        <w:txbxContent>
                          <w:p w14:paraId="4263B2A9" w14:textId="320A6380" w:rsidR="00B04576" w:rsidRPr="00BF4492" w:rsidRDefault="00B04576" w:rsidP="00BF4492">
                            <w:pPr>
                              <w:pStyle w:val="Caption1Tree"/>
                            </w:pPr>
                            <w:bookmarkStart w:id="263" w:name="_Toc185251835"/>
                            <w:r w:rsidRPr="00BF4492">
                              <w:t xml:space="preserve">Figure </w:t>
                            </w:r>
                            <w:r w:rsidR="00A74211">
                              <w:fldChar w:fldCharType="begin"/>
                            </w:r>
                            <w:r w:rsidR="00A74211">
                              <w:instrText xml:space="preserve"> SEQ Figure \* ARABIC </w:instrText>
                            </w:r>
                            <w:r w:rsidR="00A74211">
                              <w:fldChar w:fldCharType="separate"/>
                            </w:r>
                            <w:r w:rsidR="00A62805">
                              <w:rPr>
                                <w:noProof/>
                              </w:rPr>
                              <w:t>1</w:t>
                            </w:r>
                            <w:r w:rsidR="00A74211">
                              <w:fldChar w:fldCharType="end"/>
                            </w:r>
                            <w:r w:rsidRPr="00BF4492">
                              <w:t>: Decision tree to determine Category 1 Australian competitive grant R&amp;D income</w:t>
                            </w:r>
                            <w:bookmarkEnd w:id="263"/>
                          </w:p>
                        </w:txbxContent>
                      </v:textbox>
                    </v:shape>
                  </w:pict>
                </mc:Fallback>
              </mc:AlternateContent>
            </w:r>
            <w:r w:rsidR="003616C5" w:rsidRPr="003616C5">
              <w:rPr>
                <w:b/>
                <w:bCs/>
                <w:sz w:val="18"/>
                <w:szCs w:val="18"/>
              </w:rPr>
              <w:t>Question 3:</w:t>
            </w:r>
            <w:r w:rsidR="003616C5" w:rsidRPr="003616C5">
              <w:rPr>
                <w:sz w:val="18"/>
                <w:szCs w:val="18"/>
              </w:rPr>
              <w:t xml:space="preserve"> Is the scheme nationally advertised and available to all Australian HEPs?</w:t>
            </w:r>
          </w:p>
        </w:tc>
        <w:tc>
          <w:tcPr>
            <w:tcW w:w="4819" w:type="dxa"/>
          </w:tcPr>
          <w:p w14:paraId="5EA9E50E" w14:textId="2AAB11B3" w:rsidR="003616C5" w:rsidRPr="003616C5" w:rsidRDefault="003616C5" w:rsidP="003616C5">
            <w:pPr>
              <w:spacing w:after="0"/>
              <w:rPr>
                <w:sz w:val="18"/>
                <w:szCs w:val="18"/>
              </w:rPr>
            </w:pPr>
            <w:r w:rsidRPr="003616C5">
              <w:rPr>
                <w:sz w:val="18"/>
                <w:szCs w:val="18"/>
              </w:rPr>
              <w:t xml:space="preserve">If yes, go to </w:t>
            </w:r>
            <w:r w:rsidRPr="003616C5">
              <w:rPr>
                <w:b/>
                <w:bCs/>
                <w:sz w:val="18"/>
                <w:szCs w:val="18"/>
              </w:rPr>
              <w:t>Question 4</w:t>
            </w:r>
            <w:r w:rsidRPr="003616C5">
              <w:rPr>
                <w:sz w:val="18"/>
                <w:szCs w:val="18"/>
              </w:rPr>
              <w:t>.</w:t>
            </w:r>
          </w:p>
        </w:tc>
        <w:tc>
          <w:tcPr>
            <w:tcW w:w="5448" w:type="dxa"/>
          </w:tcPr>
          <w:p w14:paraId="36C52D97" w14:textId="70BCFBE1" w:rsidR="003616C5" w:rsidRPr="003616C5" w:rsidRDefault="003616C5" w:rsidP="003616C5">
            <w:pPr>
              <w:spacing w:after="0"/>
              <w:rPr>
                <w:sz w:val="18"/>
                <w:szCs w:val="18"/>
              </w:rPr>
            </w:pPr>
            <w:r w:rsidRPr="003616C5">
              <w:rPr>
                <w:sz w:val="18"/>
                <w:szCs w:val="18"/>
              </w:rPr>
              <w:t xml:space="preserve">If no, the income is </w:t>
            </w:r>
            <w:r w:rsidRPr="003616C5">
              <w:rPr>
                <w:b/>
                <w:bCs/>
                <w:sz w:val="18"/>
                <w:szCs w:val="18"/>
              </w:rPr>
              <w:t>not eligible as Category 1</w:t>
            </w:r>
            <w:r w:rsidRPr="003616C5">
              <w:rPr>
                <w:sz w:val="18"/>
                <w:szCs w:val="18"/>
              </w:rPr>
              <w:t>.</w:t>
            </w:r>
          </w:p>
        </w:tc>
      </w:tr>
      <w:tr w:rsidR="003616C5" w:rsidRPr="003616C5" w14:paraId="6BDDFA58" w14:textId="77777777" w:rsidTr="003616C5">
        <w:tc>
          <w:tcPr>
            <w:tcW w:w="3681" w:type="dxa"/>
          </w:tcPr>
          <w:p w14:paraId="627216DA" w14:textId="62111061" w:rsidR="003616C5" w:rsidRPr="003616C5" w:rsidRDefault="003616C5" w:rsidP="003616C5">
            <w:pPr>
              <w:spacing w:after="0"/>
              <w:rPr>
                <w:sz w:val="18"/>
                <w:szCs w:val="18"/>
              </w:rPr>
            </w:pPr>
            <w:r w:rsidRPr="003616C5">
              <w:rPr>
                <w:b/>
                <w:bCs/>
                <w:sz w:val="18"/>
                <w:szCs w:val="18"/>
              </w:rPr>
              <w:t>Question 4</w:t>
            </w:r>
            <w:r w:rsidRPr="003616C5">
              <w:rPr>
                <w:sz w:val="18"/>
                <w:szCs w:val="18"/>
              </w:rPr>
              <w:t>: Does the scheme have a well-defined mechanism for competition and selection by a qualified panel?</w:t>
            </w:r>
          </w:p>
        </w:tc>
        <w:tc>
          <w:tcPr>
            <w:tcW w:w="4819" w:type="dxa"/>
          </w:tcPr>
          <w:p w14:paraId="4DE38163" w14:textId="7A24F494" w:rsidR="003616C5" w:rsidRPr="003616C5" w:rsidRDefault="003616C5" w:rsidP="003616C5">
            <w:pPr>
              <w:spacing w:after="0"/>
              <w:rPr>
                <w:sz w:val="18"/>
                <w:szCs w:val="18"/>
              </w:rPr>
            </w:pPr>
            <w:r w:rsidRPr="003616C5">
              <w:rPr>
                <w:sz w:val="18"/>
                <w:szCs w:val="18"/>
              </w:rPr>
              <w:t xml:space="preserve">If yes, go to </w:t>
            </w:r>
            <w:r w:rsidRPr="003616C5">
              <w:rPr>
                <w:b/>
                <w:bCs/>
                <w:sz w:val="18"/>
                <w:szCs w:val="18"/>
              </w:rPr>
              <w:t>Question 5</w:t>
            </w:r>
            <w:r w:rsidRPr="003616C5">
              <w:rPr>
                <w:sz w:val="18"/>
                <w:szCs w:val="18"/>
              </w:rPr>
              <w:t>.</w:t>
            </w:r>
          </w:p>
        </w:tc>
        <w:tc>
          <w:tcPr>
            <w:tcW w:w="5448" w:type="dxa"/>
          </w:tcPr>
          <w:p w14:paraId="2BE784CA" w14:textId="60365EAC" w:rsidR="003616C5" w:rsidRPr="003616C5" w:rsidRDefault="003616C5" w:rsidP="003616C5">
            <w:pPr>
              <w:spacing w:after="0"/>
              <w:rPr>
                <w:sz w:val="18"/>
                <w:szCs w:val="18"/>
              </w:rPr>
            </w:pPr>
            <w:r w:rsidRPr="003616C5">
              <w:rPr>
                <w:sz w:val="18"/>
                <w:szCs w:val="18"/>
              </w:rPr>
              <w:t xml:space="preserve">If no, the income is </w:t>
            </w:r>
            <w:r w:rsidRPr="003616C5">
              <w:rPr>
                <w:b/>
                <w:bCs/>
                <w:sz w:val="18"/>
                <w:szCs w:val="18"/>
              </w:rPr>
              <w:t>not eligible as Category 1</w:t>
            </w:r>
            <w:r w:rsidRPr="003616C5">
              <w:rPr>
                <w:sz w:val="18"/>
                <w:szCs w:val="18"/>
              </w:rPr>
              <w:t>.</w:t>
            </w:r>
          </w:p>
        </w:tc>
      </w:tr>
      <w:tr w:rsidR="003616C5" w:rsidRPr="003616C5" w14:paraId="29F374A9" w14:textId="77777777" w:rsidTr="003616C5">
        <w:trPr>
          <w:trHeight w:val="667"/>
        </w:trPr>
        <w:tc>
          <w:tcPr>
            <w:tcW w:w="3681" w:type="dxa"/>
          </w:tcPr>
          <w:p w14:paraId="3DD9EE51" w14:textId="77777777" w:rsidR="003616C5" w:rsidRPr="003616C5" w:rsidRDefault="003616C5" w:rsidP="003616C5">
            <w:pPr>
              <w:spacing w:after="0"/>
              <w:rPr>
                <w:sz w:val="18"/>
                <w:szCs w:val="18"/>
              </w:rPr>
            </w:pPr>
            <w:r w:rsidRPr="003616C5">
              <w:rPr>
                <w:b/>
                <w:bCs/>
                <w:sz w:val="18"/>
                <w:szCs w:val="18"/>
              </w:rPr>
              <w:t>Question 5:</w:t>
            </w:r>
            <w:r w:rsidRPr="003616C5">
              <w:rPr>
                <w:sz w:val="18"/>
                <w:szCs w:val="18"/>
              </w:rPr>
              <w:t xml:space="preserve"> Is the income made through direct payment to the HEP? </w:t>
            </w:r>
            <w:r w:rsidRPr="003616C5">
              <w:rPr>
                <w:i/>
                <w:iCs/>
                <w:sz w:val="18"/>
                <w:szCs w:val="18"/>
              </w:rPr>
              <w:t>Note: The exception to this requirement is shared income, as defined under section 4.3.1.</w:t>
            </w:r>
          </w:p>
        </w:tc>
        <w:tc>
          <w:tcPr>
            <w:tcW w:w="4819" w:type="dxa"/>
          </w:tcPr>
          <w:p w14:paraId="6C986613" w14:textId="5632AD61" w:rsidR="003616C5" w:rsidRPr="003616C5" w:rsidRDefault="003616C5" w:rsidP="003616C5">
            <w:pPr>
              <w:spacing w:after="0"/>
              <w:rPr>
                <w:sz w:val="18"/>
                <w:szCs w:val="18"/>
              </w:rPr>
            </w:pPr>
            <w:r w:rsidRPr="003616C5">
              <w:rPr>
                <w:sz w:val="18"/>
                <w:szCs w:val="18"/>
              </w:rPr>
              <w:t xml:space="preserve">If yes, the income is </w:t>
            </w:r>
            <w:r w:rsidRPr="003616C5">
              <w:rPr>
                <w:b/>
                <w:bCs/>
                <w:sz w:val="18"/>
                <w:szCs w:val="18"/>
              </w:rPr>
              <w:t>eligible as</w:t>
            </w:r>
            <w:r w:rsidRPr="003616C5">
              <w:rPr>
                <w:sz w:val="18"/>
                <w:szCs w:val="18"/>
              </w:rPr>
              <w:t xml:space="preserve"> </w:t>
            </w:r>
            <w:r w:rsidRPr="003616C5">
              <w:rPr>
                <w:b/>
                <w:bCs/>
                <w:sz w:val="18"/>
                <w:szCs w:val="18"/>
              </w:rPr>
              <w:t>Category one</w:t>
            </w:r>
            <w:r w:rsidRPr="003616C5">
              <w:rPr>
                <w:sz w:val="18"/>
                <w:szCs w:val="18"/>
              </w:rPr>
              <w:t xml:space="preserve">. Go to </w:t>
            </w:r>
            <w:r w:rsidRPr="003616C5">
              <w:rPr>
                <w:b/>
                <w:bCs/>
                <w:sz w:val="18"/>
                <w:szCs w:val="18"/>
              </w:rPr>
              <w:t>Question 6</w:t>
            </w:r>
            <w:r w:rsidRPr="003616C5">
              <w:rPr>
                <w:sz w:val="18"/>
                <w:szCs w:val="18"/>
              </w:rPr>
              <w:t>.</w:t>
            </w:r>
          </w:p>
        </w:tc>
        <w:tc>
          <w:tcPr>
            <w:tcW w:w="5448" w:type="dxa"/>
          </w:tcPr>
          <w:p w14:paraId="2D90E023" w14:textId="0A062CEB" w:rsidR="003616C5" w:rsidRPr="003616C5" w:rsidRDefault="003616C5" w:rsidP="003616C5">
            <w:pPr>
              <w:spacing w:after="0"/>
              <w:rPr>
                <w:sz w:val="18"/>
                <w:szCs w:val="18"/>
              </w:rPr>
            </w:pPr>
            <w:r w:rsidRPr="003616C5">
              <w:rPr>
                <w:sz w:val="18"/>
                <w:szCs w:val="18"/>
              </w:rPr>
              <w:t xml:space="preserve">If no, the income is </w:t>
            </w:r>
            <w:r w:rsidRPr="003616C5">
              <w:rPr>
                <w:b/>
                <w:bCs/>
                <w:sz w:val="18"/>
                <w:szCs w:val="18"/>
              </w:rPr>
              <w:t>not eligible as Category 1</w:t>
            </w:r>
            <w:r w:rsidRPr="003616C5">
              <w:rPr>
                <w:sz w:val="18"/>
                <w:szCs w:val="18"/>
              </w:rPr>
              <w:t>.</w:t>
            </w:r>
          </w:p>
        </w:tc>
      </w:tr>
      <w:tr w:rsidR="003616C5" w:rsidRPr="003616C5" w14:paraId="384FAB39" w14:textId="77777777" w:rsidTr="003616C5">
        <w:tc>
          <w:tcPr>
            <w:tcW w:w="3681" w:type="dxa"/>
          </w:tcPr>
          <w:p w14:paraId="7BCF37FB" w14:textId="77777777" w:rsidR="003616C5" w:rsidRPr="003616C5" w:rsidRDefault="003616C5" w:rsidP="003616C5">
            <w:pPr>
              <w:spacing w:after="0"/>
              <w:rPr>
                <w:sz w:val="18"/>
                <w:szCs w:val="18"/>
              </w:rPr>
            </w:pPr>
            <w:r w:rsidRPr="003616C5">
              <w:rPr>
                <w:b/>
                <w:bCs/>
                <w:sz w:val="18"/>
                <w:szCs w:val="18"/>
              </w:rPr>
              <w:t>Question 6:</w:t>
            </w:r>
            <w:r w:rsidRPr="003616C5">
              <w:rPr>
                <w:sz w:val="18"/>
                <w:szCs w:val="18"/>
              </w:rPr>
              <w:t xml:space="preserve"> Is the income sourced from the Commonwealth Government?</w:t>
            </w:r>
          </w:p>
        </w:tc>
        <w:tc>
          <w:tcPr>
            <w:tcW w:w="4819" w:type="dxa"/>
          </w:tcPr>
          <w:p w14:paraId="57A3880D" w14:textId="1F29B72E" w:rsidR="003616C5" w:rsidRPr="003616C5" w:rsidRDefault="003616C5" w:rsidP="003616C5">
            <w:pPr>
              <w:spacing w:after="0"/>
              <w:rPr>
                <w:sz w:val="18"/>
                <w:szCs w:val="18"/>
              </w:rPr>
            </w:pPr>
            <w:r w:rsidRPr="003616C5">
              <w:rPr>
                <w:sz w:val="18"/>
                <w:szCs w:val="18"/>
              </w:rPr>
              <w:t xml:space="preserve">If yes, go to </w:t>
            </w:r>
            <w:r w:rsidRPr="003616C5">
              <w:rPr>
                <w:b/>
                <w:bCs/>
                <w:sz w:val="18"/>
                <w:szCs w:val="18"/>
              </w:rPr>
              <w:t>Question 7</w:t>
            </w:r>
            <w:r w:rsidRPr="003616C5">
              <w:rPr>
                <w:sz w:val="18"/>
                <w:szCs w:val="18"/>
              </w:rPr>
              <w:t>.</w:t>
            </w:r>
          </w:p>
        </w:tc>
        <w:tc>
          <w:tcPr>
            <w:tcW w:w="5448" w:type="dxa"/>
          </w:tcPr>
          <w:p w14:paraId="37A73BE8" w14:textId="7F6DACFE" w:rsidR="003616C5" w:rsidRPr="003616C5" w:rsidRDefault="003616C5" w:rsidP="003616C5">
            <w:pPr>
              <w:spacing w:after="0"/>
              <w:rPr>
                <w:sz w:val="18"/>
                <w:szCs w:val="18"/>
              </w:rPr>
            </w:pPr>
            <w:r w:rsidRPr="003616C5">
              <w:rPr>
                <w:sz w:val="18"/>
                <w:szCs w:val="18"/>
              </w:rPr>
              <w:t xml:space="preserve">If no, and the income is sourced from a State or Territory government, it is </w:t>
            </w:r>
            <w:r w:rsidRPr="003616C5">
              <w:rPr>
                <w:b/>
                <w:bCs/>
                <w:sz w:val="18"/>
                <w:szCs w:val="18"/>
              </w:rPr>
              <w:t>State/Territory sub-category 1.6</w:t>
            </w:r>
            <w:r w:rsidRPr="003616C5">
              <w:rPr>
                <w:sz w:val="18"/>
                <w:szCs w:val="18"/>
              </w:rPr>
              <w:t>.</w:t>
            </w:r>
          </w:p>
          <w:p w14:paraId="25B1FD50" w14:textId="77777777" w:rsidR="003616C5" w:rsidRPr="003616C5" w:rsidRDefault="003616C5" w:rsidP="003616C5">
            <w:pPr>
              <w:spacing w:after="0"/>
              <w:rPr>
                <w:sz w:val="18"/>
                <w:szCs w:val="18"/>
              </w:rPr>
            </w:pPr>
            <w:r w:rsidRPr="003616C5">
              <w:rPr>
                <w:sz w:val="18"/>
                <w:szCs w:val="18"/>
              </w:rPr>
              <w:t xml:space="preserve">If no, and the income is not sourced from a State or Territory Government it is </w:t>
            </w:r>
            <w:r w:rsidRPr="003616C5">
              <w:rPr>
                <w:b/>
                <w:bCs/>
                <w:sz w:val="18"/>
                <w:szCs w:val="18"/>
              </w:rPr>
              <w:t>Other sub-category 1.7</w:t>
            </w:r>
            <w:r w:rsidRPr="003616C5">
              <w:rPr>
                <w:sz w:val="18"/>
                <w:szCs w:val="18"/>
              </w:rPr>
              <w:t>.</w:t>
            </w:r>
          </w:p>
        </w:tc>
      </w:tr>
      <w:tr w:rsidR="003616C5" w:rsidRPr="003616C5" w14:paraId="17E01FAF" w14:textId="77777777" w:rsidTr="003616C5">
        <w:tc>
          <w:tcPr>
            <w:tcW w:w="3681" w:type="dxa"/>
          </w:tcPr>
          <w:p w14:paraId="63687648" w14:textId="77777777" w:rsidR="003616C5" w:rsidRPr="003616C5" w:rsidRDefault="003616C5" w:rsidP="003616C5">
            <w:pPr>
              <w:spacing w:after="0"/>
              <w:rPr>
                <w:sz w:val="18"/>
                <w:szCs w:val="18"/>
              </w:rPr>
            </w:pPr>
            <w:r w:rsidRPr="003616C5">
              <w:rPr>
                <w:b/>
                <w:bCs/>
                <w:sz w:val="18"/>
                <w:szCs w:val="18"/>
              </w:rPr>
              <w:t>Question 7:</w:t>
            </w:r>
            <w:r w:rsidRPr="003616C5">
              <w:rPr>
                <w:sz w:val="18"/>
                <w:szCs w:val="18"/>
              </w:rPr>
              <w:t xml:space="preserve"> Is the income sourced from NHMRC or ARC?</w:t>
            </w:r>
          </w:p>
        </w:tc>
        <w:tc>
          <w:tcPr>
            <w:tcW w:w="4819" w:type="dxa"/>
          </w:tcPr>
          <w:p w14:paraId="398E9A6C" w14:textId="4041EBC5" w:rsidR="003616C5" w:rsidRPr="003616C5" w:rsidRDefault="003616C5" w:rsidP="003616C5">
            <w:pPr>
              <w:spacing w:after="0"/>
              <w:rPr>
                <w:sz w:val="18"/>
                <w:szCs w:val="18"/>
              </w:rPr>
            </w:pPr>
            <w:r w:rsidRPr="003616C5">
              <w:rPr>
                <w:sz w:val="18"/>
                <w:szCs w:val="18"/>
              </w:rPr>
              <w:t xml:space="preserve">If yes, </w:t>
            </w:r>
            <w:r w:rsidR="00C91C51">
              <w:rPr>
                <w:sz w:val="18"/>
                <w:szCs w:val="18"/>
              </w:rPr>
              <w:t>and</w:t>
            </w:r>
            <w:r w:rsidR="00C91C51" w:rsidRPr="003616C5">
              <w:rPr>
                <w:sz w:val="18"/>
                <w:szCs w:val="18"/>
              </w:rPr>
              <w:t xml:space="preserve"> </w:t>
            </w:r>
            <w:r w:rsidRPr="003616C5">
              <w:rPr>
                <w:sz w:val="18"/>
                <w:szCs w:val="18"/>
              </w:rPr>
              <w:t xml:space="preserve">the income is sourced from NHMRC, it is </w:t>
            </w:r>
            <w:r w:rsidRPr="003616C5">
              <w:rPr>
                <w:b/>
                <w:bCs/>
                <w:sz w:val="18"/>
                <w:szCs w:val="18"/>
              </w:rPr>
              <w:t>NHMRC R&amp;D sub-category 1.1.</w:t>
            </w:r>
            <w:r w:rsidRPr="003616C5">
              <w:rPr>
                <w:sz w:val="18"/>
                <w:szCs w:val="18"/>
              </w:rPr>
              <w:t xml:space="preserve"> </w:t>
            </w:r>
          </w:p>
          <w:p w14:paraId="2EC6FB26" w14:textId="57CC513C" w:rsidR="003616C5" w:rsidRPr="003616C5" w:rsidRDefault="003616C5" w:rsidP="003616C5">
            <w:pPr>
              <w:spacing w:after="0"/>
              <w:rPr>
                <w:b/>
                <w:bCs/>
                <w:sz w:val="18"/>
                <w:szCs w:val="18"/>
                <w:highlight w:val="yellow"/>
              </w:rPr>
            </w:pPr>
            <w:r w:rsidRPr="003616C5">
              <w:rPr>
                <w:sz w:val="18"/>
                <w:szCs w:val="18"/>
              </w:rPr>
              <w:t xml:space="preserve">If yes, </w:t>
            </w:r>
            <w:r w:rsidR="00C91C51">
              <w:rPr>
                <w:sz w:val="18"/>
                <w:szCs w:val="18"/>
              </w:rPr>
              <w:t>and</w:t>
            </w:r>
            <w:r w:rsidR="00C91C51" w:rsidRPr="003616C5">
              <w:rPr>
                <w:sz w:val="18"/>
                <w:szCs w:val="18"/>
              </w:rPr>
              <w:t xml:space="preserve"> </w:t>
            </w:r>
            <w:r w:rsidRPr="003616C5">
              <w:rPr>
                <w:sz w:val="18"/>
                <w:szCs w:val="18"/>
              </w:rPr>
              <w:t xml:space="preserve">the income is sourced from ARC it is </w:t>
            </w:r>
            <w:r w:rsidRPr="003616C5">
              <w:rPr>
                <w:b/>
                <w:bCs/>
                <w:sz w:val="18"/>
                <w:szCs w:val="18"/>
              </w:rPr>
              <w:t xml:space="preserve">ARC R&amp;D sub-category 1.2. </w:t>
            </w:r>
            <w:r w:rsidRPr="003616C5">
              <w:rPr>
                <w:i/>
                <w:iCs/>
                <w:sz w:val="18"/>
                <w:szCs w:val="18"/>
              </w:rPr>
              <w:t>Refer to section 4.2.2(x) for a list of excluded ARC schemes</w:t>
            </w:r>
            <w:r w:rsidRPr="003616C5">
              <w:rPr>
                <w:sz w:val="18"/>
                <w:szCs w:val="18"/>
              </w:rPr>
              <w:t>.</w:t>
            </w:r>
          </w:p>
        </w:tc>
        <w:tc>
          <w:tcPr>
            <w:tcW w:w="5448" w:type="dxa"/>
          </w:tcPr>
          <w:p w14:paraId="229DB972" w14:textId="43530908" w:rsidR="003616C5" w:rsidRPr="003616C5" w:rsidRDefault="003616C5" w:rsidP="003616C5">
            <w:pPr>
              <w:spacing w:after="0"/>
              <w:rPr>
                <w:sz w:val="18"/>
                <w:szCs w:val="18"/>
              </w:rPr>
            </w:pPr>
            <w:r w:rsidRPr="003616C5">
              <w:rPr>
                <w:sz w:val="18"/>
                <w:szCs w:val="18"/>
              </w:rPr>
              <w:t xml:space="preserve">If no, go to </w:t>
            </w:r>
            <w:r w:rsidRPr="003616C5">
              <w:rPr>
                <w:b/>
                <w:bCs/>
                <w:sz w:val="18"/>
                <w:szCs w:val="18"/>
              </w:rPr>
              <w:t>Question 8</w:t>
            </w:r>
            <w:r w:rsidRPr="003616C5">
              <w:rPr>
                <w:sz w:val="18"/>
                <w:szCs w:val="18"/>
              </w:rPr>
              <w:t>.</w:t>
            </w:r>
          </w:p>
        </w:tc>
      </w:tr>
      <w:tr w:rsidR="003616C5" w:rsidRPr="003616C5" w14:paraId="7934BD41" w14:textId="77777777" w:rsidTr="003616C5">
        <w:tc>
          <w:tcPr>
            <w:tcW w:w="3681" w:type="dxa"/>
          </w:tcPr>
          <w:p w14:paraId="0C2C4B2D" w14:textId="77777777" w:rsidR="003616C5" w:rsidRPr="003616C5" w:rsidRDefault="003616C5" w:rsidP="003616C5">
            <w:pPr>
              <w:spacing w:after="0"/>
              <w:rPr>
                <w:sz w:val="18"/>
                <w:szCs w:val="18"/>
              </w:rPr>
            </w:pPr>
            <w:r w:rsidRPr="003616C5">
              <w:rPr>
                <w:b/>
                <w:bCs/>
                <w:sz w:val="18"/>
                <w:szCs w:val="18"/>
              </w:rPr>
              <w:t>Question 8:</w:t>
            </w:r>
            <w:r w:rsidRPr="003616C5">
              <w:rPr>
                <w:sz w:val="18"/>
                <w:szCs w:val="18"/>
              </w:rPr>
              <w:t xml:space="preserve"> Is the income sourced from MRFF?</w:t>
            </w:r>
          </w:p>
        </w:tc>
        <w:tc>
          <w:tcPr>
            <w:tcW w:w="4819" w:type="dxa"/>
          </w:tcPr>
          <w:p w14:paraId="1A4CC595" w14:textId="0152E816" w:rsidR="003616C5" w:rsidRPr="003616C5" w:rsidRDefault="003616C5" w:rsidP="003616C5">
            <w:pPr>
              <w:spacing w:after="0"/>
              <w:rPr>
                <w:sz w:val="18"/>
                <w:szCs w:val="18"/>
              </w:rPr>
            </w:pPr>
            <w:r w:rsidRPr="003616C5">
              <w:rPr>
                <w:sz w:val="18"/>
                <w:szCs w:val="18"/>
              </w:rPr>
              <w:t xml:space="preserve">If yes, the income is </w:t>
            </w:r>
            <w:r w:rsidRPr="003616C5">
              <w:rPr>
                <w:b/>
                <w:bCs/>
                <w:sz w:val="18"/>
                <w:szCs w:val="18"/>
              </w:rPr>
              <w:t>MRFF R&amp;D sub-category 1.3.</w:t>
            </w:r>
            <w:r w:rsidRPr="003616C5">
              <w:rPr>
                <w:i/>
                <w:iCs/>
                <w:sz w:val="18"/>
                <w:szCs w:val="18"/>
              </w:rPr>
              <w:t xml:space="preserve"> Note: Not all MRFF funding is Category 1. HEPs are advised to examine any MRFF funds that do not meet the </w:t>
            </w:r>
            <w:r w:rsidR="00F23B8A">
              <w:rPr>
                <w:i/>
                <w:iCs/>
                <w:sz w:val="18"/>
                <w:szCs w:val="18"/>
              </w:rPr>
              <w:t>5</w:t>
            </w:r>
            <w:r w:rsidRPr="003616C5">
              <w:rPr>
                <w:i/>
                <w:iCs/>
                <w:sz w:val="18"/>
                <w:szCs w:val="18"/>
              </w:rPr>
              <w:t xml:space="preserve"> criteria to determine if it is Category 2 income</w:t>
            </w:r>
            <w:r w:rsidRPr="003616C5">
              <w:rPr>
                <w:sz w:val="18"/>
                <w:szCs w:val="18"/>
              </w:rPr>
              <w:t xml:space="preserve">. </w:t>
            </w:r>
          </w:p>
        </w:tc>
        <w:tc>
          <w:tcPr>
            <w:tcW w:w="5448" w:type="dxa"/>
          </w:tcPr>
          <w:p w14:paraId="0E449C81" w14:textId="68E1C38A" w:rsidR="003616C5" w:rsidRPr="003616C5" w:rsidRDefault="003616C5" w:rsidP="003616C5">
            <w:pPr>
              <w:spacing w:after="0"/>
              <w:rPr>
                <w:sz w:val="18"/>
                <w:szCs w:val="18"/>
              </w:rPr>
            </w:pPr>
            <w:r w:rsidRPr="003616C5">
              <w:rPr>
                <w:sz w:val="18"/>
                <w:szCs w:val="18"/>
              </w:rPr>
              <w:t xml:space="preserve">If no, go to </w:t>
            </w:r>
            <w:r w:rsidRPr="003616C5">
              <w:rPr>
                <w:b/>
                <w:bCs/>
                <w:sz w:val="18"/>
                <w:szCs w:val="18"/>
              </w:rPr>
              <w:t>Question 9</w:t>
            </w:r>
            <w:r w:rsidRPr="003616C5">
              <w:rPr>
                <w:sz w:val="18"/>
                <w:szCs w:val="18"/>
              </w:rPr>
              <w:t>.</w:t>
            </w:r>
          </w:p>
        </w:tc>
      </w:tr>
      <w:tr w:rsidR="003616C5" w:rsidRPr="003616C5" w14:paraId="2A57F179" w14:textId="77777777" w:rsidTr="003616C5">
        <w:tc>
          <w:tcPr>
            <w:tcW w:w="3681" w:type="dxa"/>
          </w:tcPr>
          <w:p w14:paraId="774D4FE2" w14:textId="77777777" w:rsidR="003616C5" w:rsidRPr="003616C5" w:rsidRDefault="003616C5" w:rsidP="003616C5">
            <w:pPr>
              <w:spacing w:after="0"/>
              <w:rPr>
                <w:sz w:val="18"/>
                <w:szCs w:val="18"/>
              </w:rPr>
            </w:pPr>
            <w:r w:rsidRPr="003616C5">
              <w:rPr>
                <w:b/>
                <w:bCs/>
                <w:sz w:val="18"/>
                <w:szCs w:val="18"/>
              </w:rPr>
              <w:t>Question 9:</w:t>
            </w:r>
            <w:r w:rsidRPr="003616C5">
              <w:rPr>
                <w:sz w:val="18"/>
                <w:szCs w:val="18"/>
              </w:rPr>
              <w:t xml:space="preserve"> Is the income sourced from a rural R&amp;D corporation?</w:t>
            </w:r>
          </w:p>
        </w:tc>
        <w:tc>
          <w:tcPr>
            <w:tcW w:w="4819" w:type="dxa"/>
          </w:tcPr>
          <w:p w14:paraId="6BFE993E" w14:textId="4CBB33B1" w:rsidR="003616C5" w:rsidRPr="003616C5" w:rsidRDefault="003616C5" w:rsidP="003616C5">
            <w:pPr>
              <w:spacing w:after="0"/>
              <w:rPr>
                <w:sz w:val="18"/>
                <w:szCs w:val="18"/>
              </w:rPr>
            </w:pPr>
            <w:r w:rsidRPr="003616C5">
              <w:rPr>
                <w:sz w:val="18"/>
                <w:szCs w:val="18"/>
              </w:rPr>
              <w:t xml:space="preserve">If yes, the income is </w:t>
            </w:r>
            <w:r w:rsidRPr="003616C5">
              <w:rPr>
                <w:b/>
                <w:bCs/>
                <w:sz w:val="18"/>
                <w:szCs w:val="18"/>
              </w:rPr>
              <w:t>Rural R&amp;D sub-category 1.4</w:t>
            </w:r>
            <w:r w:rsidRPr="003616C5">
              <w:rPr>
                <w:sz w:val="18"/>
                <w:szCs w:val="18"/>
              </w:rPr>
              <w:t>.</w:t>
            </w:r>
          </w:p>
        </w:tc>
        <w:tc>
          <w:tcPr>
            <w:tcW w:w="5448" w:type="dxa"/>
          </w:tcPr>
          <w:p w14:paraId="2149E160" w14:textId="7582347A" w:rsidR="003616C5" w:rsidRPr="003616C5" w:rsidRDefault="003616C5" w:rsidP="00B04576">
            <w:pPr>
              <w:keepNext/>
              <w:spacing w:after="0"/>
              <w:rPr>
                <w:sz w:val="18"/>
                <w:szCs w:val="18"/>
              </w:rPr>
            </w:pPr>
            <w:r w:rsidRPr="003616C5">
              <w:rPr>
                <w:sz w:val="18"/>
                <w:szCs w:val="18"/>
              </w:rPr>
              <w:t xml:space="preserve">If no, the income is </w:t>
            </w:r>
            <w:r w:rsidRPr="003616C5">
              <w:rPr>
                <w:b/>
                <w:bCs/>
                <w:sz w:val="18"/>
                <w:szCs w:val="18"/>
              </w:rPr>
              <w:t>Commonwealth other sub-category 1.5</w:t>
            </w:r>
            <w:r w:rsidRPr="003616C5">
              <w:rPr>
                <w:sz w:val="18"/>
                <w:szCs w:val="18"/>
              </w:rPr>
              <w:t>.</w:t>
            </w:r>
          </w:p>
        </w:tc>
      </w:tr>
    </w:tbl>
    <w:p w14:paraId="0E72AE52" w14:textId="42062A75" w:rsidR="00B04576" w:rsidRDefault="00B04576" w:rsidP="003616C5"/>
    <w:p w14:paraId="1A17BEE1" w14:textId="152D1C2E" w:rsidR="00E74FDE" w:rsidRPr="00C91C51" w:rsidRDefault="00E74FDE" w:rsidP="00F95334">
      <w:pPr>
        <w:pBdr>
          <w:top w:val="single" w:sz="18" w:space="1" w:color="47BFAF" w:themeColor="accent4"/>
          <w:left w:val="single" w:sz="18" w:space="4" w:color="47BFAF" w:themeColor="accent4"/>
          <w:bottom w:val="single" w:sz="18" w:space="1" w:color="47BFAF" w:themeColor="accent4"/>
          <w:right w:val="single" w:sz="18" w:space="4" w:color="47BFAF" w:themeColor="accent4"/>
        </w:pBdr>
        <w:shd w:val="clear" w:color="auto" w:fill="F2F2F2" w:themeFill="background1" w:themeFillShade="F2"/>
        <w:spacing w:after="0" w:line="240" w:lineRule="auto"/>
        <w:jc w:val="both"/>
        <w:rPr>
          <w:b/>
          <w:bCs/>
        </w:rPr>
      </w:pPr>
      <w:r w:rsidRPr="00C91C51">
        <w:rPr>
          <w:b/>
          <w:bCs/>
        </w:rPr>
        <w:t>Note:</w:t>
      </w:r>
    </w:p>
    <w:p w14:paraId="1C02854C" w14:textId="611153B1" w:rsidR="00E74FDE" w:rsidRPr="00E74FDE" w:rsidRDefault="00E74FDE" w:rsidP="00F95334">
      <w:pPr>
        <w:pBdr>
          <w:top w:val="single" w:sz="18" w:space="1" w:color="47BFAF" w:themeColor="accent4"/>
          <w:left w:val="single" w:sz="18" w:space="4" w:color="47BFAF" w:themeColor="accent4"/>
          <w:bottom w:val="single" w:sz="18" w:space="1" w:color="47BFAF" w:themeColor="accent4"/>
          <w:right w:val="single" w:sz="18" w:space="4" w:color="47BFAF" w:themeColor="accent4"/>
        </w:pBdr>
        <w:shd w:val="clear" w:color="auto" w:fill="F2F2F2" w:themeFill="background1" w:themeFillShade="F2"/>
        <w:spacing w:after="0" w:line="240" w:lineRule="auto"/>
        <w:jc w:val="both"/>
      </w:pPr>
      <w:r w:rsidRPr="00E74FDE">
        <w:t>* The exception to this requirement is shared income, as defined under section 4.3.1 of the specifications.</w:t>
      </w:r>
    </w:p>
    <w:p w14:paraId="27C079FF" w14:textId="58A356F2" w:rsidR="00E74FDE" w:rsidRPr="00E74FDE" w:rsidRDefault="00E74FDE" w:rsidP="00F95334">
      <w:pPr>
        <w:pBdr>
          <w:top w:val="single" w:sz="18" w:space="1" w:color="47BFAF" w:themeColor="accent4"/>
          <w:left w:val="single" w:sz="18" w:space="4" w:color="47BFAF" w:themeColor="accent4"/>
          <w:bottom w:val="single" w:sz="18" w:space="1" w:color="47BFAF" w:themeColor="accent4"/>
          <w:right w:val="single" w:sz="18" w:space="4" w:color="47BFAF" w:themeColor="accent4"/>
        </w:pBdr>
        <w:shd w:val="clear" w:color="auto" w:fill="F2F2F2" w:themeFill="background1" w:themeFillShade="F2"/>
        <w:spacing w:after="0" w:line="240" w:lineRule="auto"/>
        <w:jc w:val="both"/>
      </w:pPr>
      <w:r w:rsidRPr="00E74FDE">
        <w:t>^ Refer to section 4.2.2(x) of the specifications for a list of excluded ARC schemes.</w:t>
      </w:r>
    </w:p>
    <w:p w14:paraId="3F77268B" w14:textId="649E40B9" w:rsidR="00E74FDE" w:rsidRPr="00E74FDE" w:rsidRDefault="00E74FDE" w:rsidP="00F95334">
      <w:pPr>
        <w:pBdr>
          <w:top w:val="single" w:sz="18" w:space="1" w:color="47BFAF" w:themeColor="accent4"/>
          <w:left w:val="single" w:sz="18" w:space="4" w:color="47BFAF" w:themeColor="accent4"/>
          <w:bottom w:val="single" w:sz="18" w:space="1" w:color="47BFAF" w:themeColor="accent4"/>
          <w:right w:val="single" w:sz="18" w:space="4" w:color="47BFAF" w:themeColor="accent4"/>
        </w:pBdr>
        <w:shd w:val="clear" w:color="auto" w:fill="F2F2F2" w:themeFill="background1" w:themeFillShade="F2"/>
        <w:spacing w:after="0" w:line="240" w:lineRule="auto"/>
        <w:jc w:val="both"/>
      </w:pPr>
      <w:r w:rsidRPr="00E74FDE">
        <w:t xml:space="preserve">~ Not all MRFF funding is Category 1 income. HEPs are advised to examine any MRFF funds that do not meet the </w:t>
      </w:r>
      <w:r w:rsidR="00F23B8A">
        <w:t>5</w:t>
      </w:r>
      <w:r w:rsidRPr="00E74FDE">
        <w:t xml:space="preserve"> criteria to determine if it is Category 2 income.</w:t>
      </w:r>
    </w:p>
    <w:p w14:paraId="3E0CF5F1" w14:textId="77777777" w:rsidR="00E74FDE" w:rsidRDefault="00E74FDE" w:rsidP="00E74FDE">
      <w:pPr>
        <w:rPr>
          <w:b/>
          <w:bCs/>
        </w:rPr>
      </w:pPr>
    </w:p>
    <w:p w14:paraId="6B96CE5E" w14:textId="4F377B54" w:rsidR="00E74FDE" w:rsidRPr="00E74FDE" w:rsidRDefault="00E74FDE" w:rsidP="00E74FDE">
      <w:pPr>
        <w:sectPr w:rsidR="00E74FDE" w:rsidRPr="00E74FDE">
          <w:headerReference w:type="even" r:id="rId38"/>
          <w:headerReference w:type="default" r:id="rId39"/>
          <w:footerReference w:type="default" r:id="rId40"/>
          <w:headerReference w:type="first" r:id="rId41"/>
          <w:pgSz w:w="16838" w:h="11906" w:orient="landscape"/>
          <w:pgMar w:top="568" w:right="1560" w:bottom="1440" w:left="1151" w:header="596" w:footer="720" w:gutter="0"/>
          <w:cols w:space="720"/>
        </w:sectPr>
      </w:pPr>
    </w:p>
    <w:p w14:paraId="1377CF22" w14:textId="21B8AFCF" w:rsidR="009D347E" w:rsidRPr="00FB7B35" w:rsidRDefault="009D347E" w:rsidP="006108A9">
      <w:pPr>
        <w:pStyle w:val="Heading3"/>
      </w:pPr>
      <w:bookmarkStart w:id="264" w:name="_Toc27055370"/>
      <w:bookmarkStart w:id="265" w:name="_Toc81224890"/>
      <w:bookmarkStart w:id="266" w:name="_Toc81230921"/>
      <w:bookmarkStart w:id="267" w:name="_Toc92461297"/>
      <w:bookmarkStart w:id="268" w:name="_Toc147503832"/>
      <w:bookmarkStart w:id="269" w:name="_Toc185251836"/>
      <w:r w:rsidRPr="00FB7B35">
        <w:lastRenderedPageBreak/>
        <w:t>5.1.1</w:t>
      </w:r>
      <w:r w:rsidRPr="00FB7B35">
        <w:tab/>
        <w:t xml:space="preserve">Definition of terms associated with </w:t>
      </w:r>
      <w:r w:rsidR="00362AB0">
        <w:t>d</w:t>
      </w:r>
      <w:r w:rsidRPr="00FB7B35">
        <w:t xml:space="preserve">ecision </w:t>
      </w:r>
      <w:r w:rsidR="00362AB0">
        <w:t>t</w:t>
      </w:r>
      <w:r w:rsidRPr="00FB7B35">
        <w:t>ree</w:t>
      </w:r>
      <w:bookmarkEnd w:id="264"/>
      <w:bookmarkEnd w:id="265"/>
      <w:bookmarkEnd w:id="266"/>
      <w:bookmarkEnd w:id="267"/>
      <w:bookmarkEnd w:id="268"/>
      <w:bookmarkEnd w:id="269"/>
    </w:p>
    <w:p w14:paraId="7651FCE0" w14:textId="63D9D8FB" w:rsidR="009D347E" w:rsidRPr="00FB7B35" w:rsidRDefault="009D347E" w:rsidP="00FA7ED4">
      <w:pPr>
        <w:pStyle w:val="Heading4NoTOC"/>
      </w:pPr>
      <w:r w:rsidRPr="00FA7ED4">
        <w:t>ARC</w:t>
      </w:r>
    </w:p>
    <w:p w14:paraId="425F200D" w14:textId="0E927F6C" w:rsidR="009D347E" w:rsidRPr="00FB7B35" w:rsidRDefault="009D347E" w:rsidP="009D347E">
      <w:pPr>
        <w:spacing w:after="120"/>
        <w:rPr>
          <w:rFonts w:eastAsia="Times New Roman" w:cs="Arial"/>
        </w:rPr>
      </w:pPr>
      <w:r w:rsidRPr="00FB7B35">
        <w:rPr>
          <w:rFonts w:eastAsia="Times New Roman" w:cs="Arial"/>
        </w:rPr>
        <w:t>The ARC administers the National Competitive Grants Program (NCGP), which supports the highest</w:t>
      </w:r>
      <w:r w:rsidRPr="00FB7B35">
        <w:rPr>
          <w:rFonts w:eastAsia="Times New Roman" w:cs="Arial"/>
        </w:rPr>
        <w:noBreakHyphen/>
        <w:t>quality fundamental and applied research and research training through national competition. It should be noted that some ARC grants are excluded from Category 1</w:t>
      </w:r>
      <w:r w:rsidR="003529C4">
        <w:rPr>
          <w:rFonts w:eastAsia="Times New Roman" w:cs="Arial"/>
        </w:rPr>
        <w:t>.</w:t>
      </w:r>
      <w:r w:rsidRPr="00FB7B35">
        <w:rPr>
          <w:rFonts w:eastAsia="Times New Roman" w:cs="Arial"/>
        </w:rPr>
        <w:t xml:space="preserve"> Please refer to </w:t>
      </w:r>
      <w:r w:rsidRPr="00FB7B35">
        <w:rPr>
          <w:rFonts w:eastAsia="Times New Roman" w:cs="Arial"/>
          <w:b/>
        </w:rPr>
        <w:t>section</w:t>
      </w:r>
      <w:r w:rsidRPr="00FB7B35">
        <w:rPr>
          <w:rFonts w:eastAsia="Times New Roman" w:cs="Arial"/>
          <w:bCs/>
        </w:rPr>
        <w:t xml:space="preserve"> </w:t>
      </w:r>
      <w:r w:rsidRPr="00FB7B35">
        <w:rPr>
          <w:rFonts w:eastAsia="Times New Roman" w:cs="Arial"/>
          <w:b/>
        </w:rPr>
        <w:t>4.2.2</w:t>
      </w:r>
      <w:r>
        <w:rPr>
          <w:rFonts w:eastAsia="Times New Roman" w:cs="Arial"/>
          <w:b/>
        </w:rPr>
        <w:t>(x)</w:t>
      </w:r>
      <w:r w:rsidRPr="00FB7B35">
        <w:rPr>
          <w:rFonts w:eastAsia="Times New Roman" w:cs="Arial"/>
          <w:bCs/>
        </w:rPr>
        <w:t>.</w:t>
      </w:r>
    </w:p>
    <w:p w14:paraId="565D642B" w14:textId="77777777" w:rsidR="009D347E" w:rsidRPr="00FA7ED4" w:rsidRDefault="009D347E" w:rsidP="00FA7ED4">
      <w:pPr>
        <w:pStyle w:val="Heading4NoTOC"/>
      </w:pPr>
      <w:r w:rsidRPr="00FA7ED4">
        <w:t>Available to all Australian universities/HEPs</w:t>
      </w:r>
    </w:p>
    <w:p w14:paraId="57D8B078" w14:textId="77777777" w:rsidR="009D347E" w:rsidRPr="00FB7B35" w:rsidRDefault="009D347E" w:rsidP="009D347E">
      <w:pPr>
        <w:spacing w:after="120"/>
        <w:rPr>
          <w:rFonts w:eastAsia="Times New Roman" w:cs="Arial"/>
        </w:rPr>
      </w:pPr>
      <w:r w:rsidRPr="00FB7B35">
        <w:rPr>
          <w:rFonts w:eastAsia="Times New Roman" w:cs="Arial"/>
        </w:rPr>
        <w:t>There must not be preferential treatment of any applicant during the assessment process based solely on the type of institution nor its geographical location. Each HEP must have an equal chance to submit an application.</w:t>
      </w:r>
    </w:p>
    <w:p w14:paraId="2EF6C62F" w14:textId="77777777" w:rsidR="009D347E" w:rsidRPr="00FB7B35" w:rsidRDefault="009D347E" w:rsidP="00FA7ED4">
      <w:pPr>
        <w:pStyle w:val="Heading4NoTOC"/>
      </w:pPr>
      <w:r w:rsidRPr="00FB7B35">
        <w:t>Direct payment</w:t>
      </w:r>
    </w:p>
    <w:p w14:paraId="4C1DC3B4" w14:textId="640932D6" w:rsidR="009D347E" w:rsidRPr="00FB7B35" w:rsidRDefault="009D347E" w:rsidP="009D347E">
      <w:pPr>
        <w:spacing w:after="120"/>
        <w:rPr>
          <w:rFonts w:eastAsia="Times New Roman" w:cs="Arial"/>
        </w:rPr>
      </w:pPr>
      <w:r w:rsidRPr="00FB7B35">
        <w:rPr>
          <w:rFonts w:eastAsia="Times New Roman" w:cs="Arial"/>
        </w:rPr>
        <w:t xml:space="preserve">Funds must be provided directly as a result of a nationally competitive process. Funds provided through a third party are not eligible, except where the arrangements between the administering institution/administering organisation and the collaborating institutes are made clear in either the original application or in the agreement between the funding body and the research institutions. Such income would be considered shared income, please refer to </w:t>
      </w:r>
      <w:r w:rsidRPr="00FB7B35">
        <w:rPr>
          <w:rFonts w:eastAsia="Times New Roman" w:cs="Arial"/>
          <w:b/>
        </w:rPr>
        <w:t>section</w:t>
      </w:r>
      <w:r w:rsidRPr="00FB7B35">
        <w:rPr>
          <w:rFonts w:eastAsia="Times New Roman" w:cs="Arial"/>
          <w:bCs/>
        </w:rPr>
        <w:t xml:space="preserve"> </w:t>
      </w:r>
      <w:r w:rsidRPr="00FB7B35">
        <w:rPr>
          <w:rFonts w:eastAsia="Times New Roman" w:cs="Arial"/>
          <w:b/>
        </w:rPr>
        <w:t xml:space="preserve">4.3 </w:t>
      </w:r>
      <w:r w:rsidRPr="00FB7B35">
        <w:rPr>
          <w:rFonts w:eastAsia="Times New Roman" w:cs="Arial"/>
        </w:rPr>
        <w:t xml:space="preserve">for details. </w:t>
      </w:r>
    </w:p>
    <w:p w14:paraId="2CE9A6EF" w14:textId="77777777" w:rsidR="009D347E" w:rsidRPr="00FB7B35" w:rsidRDefault="009D347E" w:rsidP="00FA7ED4">
      <w:pPr>
        <w:pStyle w:val="Heading4NoTOC"/>
      </w:pPr>
      <w:r w:rsidRPr="00FB7B35">
        <w:t>MRFF</w:t>
      </w:r>
    </w:p>
    <w:p w14:paraId="1AB5F0CC" w14:textId="403A6DE4" w:rsidR="009D347E" w:rsidRPr="00FB7B35" w:rsidRDefault="009D347E" w:rsidP="009D347E">
      <w:pPr>
        <w:spacing w:after="120"/>
        <w:rPr>
          <w:rFonts w:eastAsia="Times New Roman" w:cs="Arial"/>
        </w:rPr>
      </w:pPr>
      <w:r w:rsidRPr="00FB7B35">
        <w:rPr>
          <w:rFonts w:eastAsia="Times New Roman" w:cs="Arial"/>
        </w:rPr>
        <w:t xml:space="preserve">The MRFF, established by the Australian Government under the </w:t>
      </w:r>
      <w:hyperlink r:id="rId42" w:history="1">
        <w:r w:rsidRPr="00292F78">
          <w:rPr>
            <w:rStyle w:val="Hyperlink"/>
            <w:rFonts w:eastAsia="Times New Roman" w:cs="Arial"/>
            <w:i/>
          </w:rPr>
          <w:t>Medical Research Future Fund Act 2015</w:t>
        </w:r>
      </w:hyperlink>
      <w:r w:rsidRPr="00FB7B35">
        <w:rPr>
          <w:rFonts w:eastAsia="Times New Roman" w:cs="Arial"/>
        </w:rPr>
        <w:t>, provides grants of financial assistance to support health and medical research and innovation in improving the health and wellbeing of Australians. The MRFF may disburse funds by open and contestable or targeted calls for applications. In cases where the NHMRC or any other organisation administers competitive MRFF income, the MRFF should be considered the ultimate funding entity. It should be noted that not all MRFF funding is necessarily Category 1; some MRFF funding may fall under Category 2 or be ineligible for HERDC.</w:t>
      </w:r>
    </w:p>
    <w:p w14:paraId="50E39102" w14:textId="77777777" w:rsidR="009D347E" w:rsidRPr="00FB7B35" w:rsidRDefault="009D347E" w:rsidP="00FA7ED4">
      <w:pPr>
        <w:pStyle w:val="Heading4NoTOC"/>
      </w:pPr>
      <w:r w:rsidRPr="00FB7B35">
        <w:t>NHMRC</w:t>
      </w:r>
    </w:p>
    <w:p w14:paraId="453EDDD5" w14:textId="65B73418" w:rsidR="009D347E" w:rsidRPr="00FB7B35" w:rsidRDefault="009D347E" w:rsidP="009D347E">
      <w:pPr>
        <w:spacing w:after="120"/>
        <w:rPr>
          <w:rFonts w:eastAsia="Times New Roman" w:cs="Arial"/>
        </w:rPr>
      </w:pPr>
      <w:r w:rsidRPr="00FB7B35">
        <w:rPr>
          <w:rFonts w:eastAsia="Times New Roman" w:cs="Arial"/>
        </w:rPr>
        <w:t xml:space="preserve">The NHMRC manages research programs and schemes through a variety of mechanisms, including grants for specific research projects and broad programs of research. NHMRC funding supports research across the full spectrum of health and medical research, from basic science through to clinical, public health and health services research. It should be noted that some NHMRC grants are excluded from Category 1, please refer to </w:t>
      </w:r>
      <w:r w:rsidRPr="00FB7B35">
        <w:rPr>
          <w:rFonts w:eastAsia="Times New Roman" w:cs="Arial"/>
          <w:b/>
        </w:rPr>
        <w:t>section 4.2.2</w:t>
      </w:r>
      <w:r>
        <w:rPr>
          <w:rFonts w:eastAsia="Times New Roman" w:cs="Arial"/>
          <w:b/>
        </w:rPr>
        <w:t>(x)</w:t>
      </w:r>
      <w:r w:rsidRPr="00FB7B35">
        <w:rPr>
          <w:rFonts w:eastAsia="Times New Roman" w:cs="Arial"/>
          <w:b/>
        </w:rPr>
        <w:t>.</w:t>
      </w:r>
    </w:p>
    <w:p w14:paraId="17D101A2" w14:textId="77777777" w:rsidR="009D347E" w:rsidRPr="00FB7B35" w:rsidRDefault="009D347E" w:rsidP="00FA7ED4">
      <w:pPr>
        <w:pStyle w:val="Heading4NoTOC"/>
      </w:pPr>
      <w:r w:rsidRPr="00FB7B35">
        <w:t xml:space="preserve">Nationally competitive </w:t>
      </w:r>
    </w:p>
    <w:p w14:paraId="483861BE" w14:textId="77777777" w:rsidR="009D347E" w:rsidRPr="00FB7B35" w:rsidRDefault="009D347E" w:rsidP="009D347E">
      <w:pPr>
        <w:spacing w:after="120"/>
        <w:rPr>
          <w:rFonts w:eastAsia="Times New Roman" w:cs="Arial"/>
        </w:rPr>
      </w:pPr>
      <w:r w:rsidRPr="00FB7B35">
        <w:rPr>
          <w:rFonts w:eastAsia="Times New Roman" w:cs="Arial"/>
        </w:rPr>
        <w:t>Every application submitted by Australian research institutions for funding in a selection process must be assessed and rated against all other applications submitted in that selection process. Projects funded as a result of a direct approach from a funding body are not considered to be nationally competitive.</w:t>
      </w:r>
    </w:p>
    <w:p w14:paraId="4E71A0A1" w14:textId="77777777" w:rsidR="009D347E" w:rsidRPr="00FB7B35" w:rsidRDefault="009D347E" w:rsidP="00FA7ED4">
      <w:pPr>
        <w:pStyle w:val="Heading4NoTOC"/>
      </w:pPr>
      <w:r w:rsidRPr="00FB7B35">
        <w:t xml:space="preserve">Nationally advertised </w:t>
      </w:r>
    </w:p>
    <w:p w14:paraId="782C1C6C" w14:textId="19B1A6E5" w:rsidR="009D347E" w:rsidRPr="00FB7B35" w:rsidRDefault="009D347E" w:rsidP="009D347E">
      <w:pPr>
        <w:spacing w:after="120"/>
        <w:rPr>
          <w:rFonts w:eastAsia="Times New Roman" w:cs="Arial"/>
        </w:rPr>
      </w:pPr>
      <w:r w:rsidRPr="00FB7B35">
        <w:rPr>
          <w:rFonts w:eastAsia="Times New Roman" w:cs="Arial"/>
        </w:rPr>
        <w:t xml:space="preserve">All potential applicants in each Australian state and territory must be given an equal opportunity to become aware of and apply to the scheme through the use of any combination of direct contact: newspapers, journals, magazines, </w:t>
      </w:r>
      <w:r w:rsidR="00957304">
        <w:rPr>
          <w:rFonts w:eastAsia="Times New Roman" w:cs="Arial"/>
        </w:rPr>
        <w:t>i</w:t>
      </w:r>
      <w:r w:rsidR="00957304" w:rsidRPr="00FB7B35">
        <w:rPr>
          <w:rFonts w:eastAsia="Times New Roman" w:cs="Arial"/>
        </w:rPr>
        <w:t>nternet</w:t>
      </w:r>
      <w:r w:rsidRPr="00FB7B35">
        <w:rPr>
          <w:rFonts w:eastAsia="Times New Roman" w:cs="Arial"/>
        </w:rPr>
        <w:t>, or any other printed or electronic media.</w:t>
      </w:r>
    </w:p>
    <w:p w14:paraId="4F4B5691" w14:textId="77777777" w:rsidR="009D347E" w:rsidRPr="00FB7B35" w:rsidRDefault="009D347E" w:rsidP="00FA7ED4">
      <w:pPr>
        <w:pStyle w:val="Heading4NoTOC"/>
      </w:pPr>
      <w:r w:rsidRPr="00FB7B35">
        <w:lastRenderedPageBreak/>
        <w:t>Scheme</w:t>
      </w:r>
    </w:p>
    <w:p w14:paraId="1844D1EB" w14:textId="77777777" w:rsidR="009D347E" w:rsidRPr="00FB7B35" w:rsidRDefault="009D347E" w:rsidP="009D347E">
      <w:pPr>
        <w:spacing w:after="120"/>
        <w:rPr>
          <w:rFonts w:eastAsia="Times New Roman" w:cs="Arial"/>
          <w:u w:val="single"/>
        </w:rPr>
      </w:pPr>
      <w:r w:rsidRPr="00FB7B35">
        <w:rPr>
          <w:rFonts w:eastAsia="Times New Roman" w:cs="Arial"/>
        </w:rPr>
        <w:t>A scheme is an administrative process that allocates funds using a discrete set of rules. For example, the ARC’s Discovery and Linkage programs are known as schemes; each of which operate on the basis of a separate set of funding rules. Schemes can include grants and programs.</w:t>
      </w:r>
    </w:p>
    <w:p w14:paraId="2335E4A9" w14:textId="77777777" w:rsidR="009D347E" w:rsidRPr="00FB7B35" w:rsidRDefault="009D347E" w:rsidP="00FA7ED4">
      <w:pPr>
        <w:pStyle w:val="Heading4NoTOC"/>
      </w:pPr>
      <w:r w:rsidRPr="00FB7B35">
        <w:t>Selection by a qualified panel</w:t>
      </w:r>
    </w:p>
    <w:p w14:paraId="6591FB63" w14:textId="77777777" w:rsidR="009D347E" w:rsidRPr="00FB7B35" w:rsidRDefault="009D347E" w:rsidP="009D347E">
      <w:pPr>
        <w:spacing w:after="120"/>
        <w:rPr>
          <w:rFonts w:eastAsia="Times New Roman" w:cs="Arial"/>
        </w:rPr>
      </w:pPr>
      <w:r w:rsidRPr="00FB7B35">
        <w:rPr>
          <w:rFonts w:eastAsia="Times New Roman" w:cs="Arial"/>
        </w:rPr>
        <w:t>All scheme applications are assessed and rated by a panel with the collective expertise and experience to effectively assess applications against all selection criteria for that scheme.</w:t>
      </w:r>
    </w:p>
    <w:p w14:paraId="2C65F68F" w14:textId="77777777" w:rsidR="009D347E" w:rsidRPr="00FB7B35" w:rsidRDefault="009D347E" w:rsidP="00FA7ED4">
      <w:pPr>
        <w:pStyle w:val="Heading4NoTOC"/>
      </w:pPr>
      <w:r w:rsidRPr="00FB7B35">
        <w:t>Other</w:t>
      </w:r>
    </w:p>
    <w:p w14:paraId="5EB08D83" w14:textId="77777777" w:rsidR="009D347E" w:rsidRPr="00FB7B35" w:rsidRDefault="009D347E" w:rsidP="009D347E">
      <w:pPr>
        <w:spacing w:after="120"/>
        <w:rPr>
          <w:rFonts w:eastAsia="Times New Roman" w:cs="Arial"/>
        </w:rPr>
      </w:pPr>
      <w:r w:rsidRPr="00FB7B35">
        <w:rPr>
          <w:rFonts w:eastAsia="Times New Roman" w:cs="Arial"/>
        </w:rPr>
        <w:t xml:space="preserve">The </w:t>
      </w:r>
      <w:r>
        <w:rPr>
          <w:rFonts w:eastAsia="Times New Roman" w:cs="Arial"/>
        </w:rPr>
        <w:t>‘</w:t>
      </w:r>
      <w:r w:rsidRPr="00FB7B35">
        <w:rPr>
          <w:rFonts w:eastAsia="Times New Roman" w:cs="Arial"/>
        </w:rPr>
        <w:t>Other</w:t>
      </w:r>
      <w:r>
        <w:rPr>
          <w:rFonts w:eastAsia="Times New Roman" w:cs="Arial"/>
        </w:rPr>
        <w:t>’</w:t>
      </w:r>
      <w:r w:rsidRPr="00FB7B35">
        <w:rPr>
          <w:rFonts w:eastAsia="Times New Roman" w:cs="Arial"/>
        </w:rPr>
        <w:t xml:space="preserve"> sub-category 1.7 covers all fund sources eligible to be considered as Australian competitive grant R&amp;D income that do not fall into sub-categories 1.1 to 1.6.</w:t>
      </w:r>
    </w:p>
    <w:p w14:paraId="3631B1F5" w14:textId="77777777" w:rsidR="009D347E" w:rsidRPr="00FB7B35" w:rsidRDefault="009D347E" w:rsidP="00FA7ED4">
      <w:pPr>
        <w:pStyle w:val="Heading4NoTOC"/>
      </w:pPr>
      <w:r w:rsidRPr="00FB7B35">
        <w:t>Research only</w:t>
      </w:r>
    </w:p>
    <w:p w14:paraId="2B84D5E7" w14:textId="77777777" w:rsidR="009D347E" w:rsidRPr="00FB7B35" w:rsidRDefault="009D347E" w:rsidP="009D347E">
      <w:pPr>
        <w:spacing w:after="120"/>
        <w:rPr>
          <w:rFonts w:eastAsia="Times New Roman" w:cs="Arial"/>
        </w:rPr>
      </w:pPr>
      <w:r w:rsidRPr="00FB7B35">
        <w:rPr>
          <w:rFonts w:eastAsia="Times New Roman" w:cs="Arial"/>
        </w:rPr>
        <w:t xml:space="preserve">Research is defined as ‘creative and systematic work undertaken in order to increase the stock of knowledge – including knowledge of humankind, culture and society – and to devise new applications of available knowledge’. Please refer to </w:t>
      </w:r>
      <w:r w:rsidRPr="00FB7B35">
        <w:rPr>
          <w:rFonts w:eastAsia="Times New Roman" w:cs="Arial"/>
          <w:b/>
        </w:rPr>
        <w:t>section 3</w:t>
      </w:r>
      <w:r w:rsidRPr="00FB7B35">
        <w:rPr>
          <w:rFonts w:eastAsia="Times New Roman" w:cs="Arial"/>
        </w:rPr>
        <w:t xml:space="preserve"> for further details.</w:t>
      </w:r>
    </w:p>
    <w:p w14:paraId="220EC6DA" w14:textId="77777777" w:rsidR="009D347E" w:rsidRPr="00FB7B35" w:rsidRDefault="009D347E" w:rsidP="00FA7ED4">
      <w:pPr>
        <w:pStyle w:val="Heading4NoTOC"/>
      </w:pPr>
      <w:r w:rsidRPr="00FB7B35">
        <w:t>Rural R&amp;D Corporation</w:t>
      </w:r>
    </w:p>
    <w:p w14:paraId="2BEF5B0F" w14:textId="77777777" w:rsidR="009D347E" w:rsidRPr="00FB7B35" w:rsidRDefault="009D347E" w:rsidP="009D347E">
      <w:pPr>
        <w:spacing w:after="120"/>
        <w:rPr>
          <w:rFonts w:eastAsia="Times New Roman" w:cs="Arial"/>
        </w:rPr>
      </w:pPr>
      <w:r w:rsidRPr="00FB7B35">
        <w:rPr>
          <w:rFonts w:eastAsia="Times New Roman" w:cs="Arial"/>
        </w:rPr>
        <w:t xml:space="preserve">There are 15 Rural Research and Development Corporations (RDCs) across agriculture, fisheries and forestry industries in Australia. The Rural RDCs are a network of organisations which have been formed under a partnership between different agriculture, fisheries and forestry industries and government to drive innovation and improvement in and for rural industries. RDCs invest in agricultural R&amp;D on a competitive basis and partner with public and private providers using funds from levies on production which are matched by the Commonwealth. </w:t>
      </w:r>
    </w:p>
    <w:p w14:paraId="18851B54" w14:textId="77777777" w:rsidR="009D347E" w:rsidRPr="00FB7B35" w:rsidRDefault="009D347E" w:rsidP="00FA7ED4">
      <w:pPr>
        <w:pStyle w:val="Heading4NoTOC"/>
      </w:pPr>
      <w:r w:rsidRPr="00FB7B35">
        <w:t xml:space="preserve">Well-defined mechanism for competition </w:t>
      </w:r>
    </w:p>
    <w:p w14:paraId="457626EE" w14:textId="7AF36D6B" w:rsidR="001B11FA" w:rsidRDefault="009D347E" w:rsidP="009D347E">
      <w:pPr>
        <w:spacing w:after="120"/>
        <w:rPr>
          <w:rFonts w:eastAsia="Times New Roman" w:cs="Arial"/>
        </w:rPr>
      </w:pPr>
      <w:r>
        <w:rPr>
          <w:rFonts w:eastAsia="Times New Roman" w:cs="Arial"/>
        </w:rPr>
        <w:t>T</w:t>
      </w:r>
      <w:r w:rsidRPr="00FB7B35">
        <w:rPr>
          <w:rFonts w:eastAsia="Times New Roman" w:cs="Arial"/>
        </w:rPr>
        <w:t>he project or scheme has publicly available selection criteria against which all applications are assessed. The scheme has publicly available rules stating how assessments are conducted, including provisions to manage conflicts of interest which are binding on the selection panel.</w:t>
      </w:r>
    </w:p>
    <w:p w14:paraId="60C041E4" w14:textId="77777777" w:rsidR="009D347E" w:rsidRPr="00AA2A39" w:rsidRDefault="009D347E" w:rsidP="00AA2A39">
      <w:pPr>
        <w:pStyle w:val="Heading2"/>
      </w:pPr>
      <w:bookmarkStart w:id="270" w:name="_7.4.2_Category_2:"/>
      <w:bookmarkStart w:id="271" w:name="_Toc168817213"/>
      <w:bookmarkStart w:id="272" w:name="_Toc168824832"/>
      <w:bookmarkStart w:id="273" w:name="_Toc491172994"/>
      <w:bookmarkStart w:id="274" w:name="_Toc523214687"/>
      <w:bookmarkStart w:id="275" w:name="_Toc27055371"/>
      <w:bookmarkStart w:id="276" w:name="_Toc81230922"/>
      <w:bookmarkStart w:id="277" w:name="_Toc92461298"/>
      <w:bookmarkStart w:id="278" w:name="_Toc147503833"/>
      <w:bookmarkStart w:id="279" w:name="_Toc185251837"/>
      <w:bookmarkStart w:id="280" w:name="_Toc87171322"/>
      <w:bookmarkStart w:id="281" w:name="_Toc96678062"/>
      <w:bookmarkStart w:id="282" w:name="_Toc112733805"/>
      <w:bookmarkStart w:id="283" w:name="_Toc112734015"/>
      <w:bookmarkStart w:id="284" w:name="_Ref114290897"/>
      <w:bookmarkStart w:id="285" w:name="_Ref115748270"/>
      <w:bookmarkStart w:id="286" w:name="_Ref115748274"/>
      <w:bookmarkStart w:id="287" w:name="_Toc116182987"/>
      <w:bookmarkStart w:id="288" w:name="_Ref117493856"/>
      <w:bookmarkStart w:id="289" w:name="_Toc406668882"/>
      <w:bookmarkStart w:id="290" w:name="_Ref440032156"/>
      <w:bookmarkStart w:id="291" w:name="_Ref445299481"/>
      <w:bookmarkEnd w:id="270"/>
      <w:bookmarkEnd w:id="271"/>
      <w:bookmarkEnd w:id="272"/>
      <w:r w:rsidRPr="00AA2A39">
        <w:t>5.2</w:t>
      </w:r>
      <w:r w:rsidRPr="00AA2A39">
        <w:tab/>
        <w:t>Category 2: other public sector R&amp;D income</w:t>
      </w:r>
      <w:bookmarkEnd w:id="273"/>
      <w:bookmarkEnd w:id="274"/>
      <w:bookmarkEnd w:id="275"/>
      <w:bookmarkEnd w:id="276"/>
      <w:bookmarkEnd w:id="277"/>
      <w:bookmarkEnd w:id="278"/>
      <w:bookmarkEnd w:id="279"/>
    </w:p>
    <w:bookmarkEnd w:id="280"/>
    <w:bookmarkEnd w:id="281"/>
    <w:bookmarkEnd w:id="282"/>
    <w:bookmarkEnd w:id="283"/>
    <w:bookmarkEnd w:id="284"/>
    <w:bookmarkEnd w:id="285"/>
    <w:bookmarkEnd w:id="286"/>
    <w:bookmarkEnd w:id="287"/>
    <w:bookmarkEnd w:id="288"/>
    <w:bookmarkEnd w:id="289"/>
    <w:bookmarkEnd w:id="290"/>
    <w:bookmarkEnd w:id="291"/>
    <w:p w14:paraId="4AACA1F7" w14:textId="77777777" w:rsidR="009D347E" w:rsidRPr="00FB7B35" w:rsidRDefault="009D347E" w:rsidP="009D347E">
      <w:pPr>
        <w:tabs>
          <w:tab w:val="num" w:pos="284"/>
          <w:tab w:val="num" w:pos="1134"/>
        </w:tabs>
        <w:spacing w:after="120"/>
        <w:rPr>
          <w:rFonts w:eastAsia="Times New Roman" w:cs="Arial"/>
        </w:rPr>
      </w:pPr>
      <w:r w:rsidRPr="00FB7B35">
        <w:rPr>
          <w:rFonts w:eastAsia="Times New Roman" w:cs="Arial"/>
          <w:iCs/>
        </w:rPr>
        <w:t>Category 2</w:t>
      </w:r>
      <w:r w:rsidRPr="00FB7B35">
        <w:rPr>
          <w:rFonts w:eastAsia="Times New Roman" w:cs="Arial"/>
        </w:rPr>
        <w:t xml:space="preserve"> consists of R&amp;D income received from the Australian public sector that is not eligible for inclusion as Category 1 income, and must be sub-categorised as follows:</w:t>
      </w:r>
    </w:p>
    <w:p w14:paraId="5BCE6E46" w14:textId="77777777" w:rsidR="009D347E" w:rsidRPr="00FB7B35" w:rsidRDefault="009D347E" w:rsidP="00C85B4C">
      <w:pPr>
        <w:pStyle w:val="ListBullet"/>
      </w:pPr>
      <w:r w:rsidRPr="00FB7B35">
        <w:t>Sub-category 2.1 Commonwealth (own purpose)</w:t>
      </w:r>
    </w:p>
    <w:p w14:paraId="196962B3" w14:textId="77777777" w:rsidR="009D347E" w:rsidRPr="00FB7B35" w:rsidRDefault="009D347E" w:rsidP="00C85B4C">
      <w:pPr>
        <w:pStyle w:val="ListBullet"/>
      </w:pPr>
      <w:r w:rsidRPr="00FB7B35">
        <w:t xml:space="preserve">Sub-category 2.2 Commonwealth (other) </w:t>
      </w:r>
    </w:p>
    <w:p w14:paraId="7AFC3CBF" w14:textId="77777777" w:rsidR="009D347E" w:rsidRPr="00FB7B35" w:rsidRDefault="009D347E" w:rsidP="00C85B4C">
      <w:pPr>
        <w:pStyle w:val="ListBullet"/>
      </w:pPr>
      <w:r w:rsidRPr="00FB7B35">
        <w:t>Sub-category 2.3 State/Territory/Local (own purpose)</w:t>
      </w:r>
    </w:p>
    <w:p w14:paraId="39B375C8" w14:textId="77777777" w:rsidR="009D347E" w:rsidRPr="00FB7B35" w:rsidRDefault="009D347E" w:rsidP="00C85B4C">
      <w:pPr>
        <w:pStyle w:val="ListBullet"/>
      </w:pPr>
      <w:r w:rsidRPr="00FB7B35">
        <w:t>Sub-category 2.4 State/Territory/Local (other).</w:t>
      </w:r>
    </w:p>
    <w:p w14:paraId="34BA4004" w14:textId="77777777" w:rsidR="009D347E" w:rsidRPr="00FB7B35" w:rsidRDefault="009D347E" w:rsidP="009D347E">
      <w:pPr>
        <w:tabs>
          <w:tab w:val="num" w:pos="284"/>
          <w:tab w:val="num" w:pos="1134"/>
        </w:tabs>
        <w:spacing w:after="120"/>
        <w:rPr>
          <w:rFonts w:eastAsia="Times New Roman" w:cs="Arial"/>
        </w:rPr>
      </w:pPr>
      <w:r w:rsidRPr="00FB7B35">
        <w:rPr>
          <w:rFonts w:eastAsia="Times New Roman" w:cs="Arial"/>
        </w:rPr>
        <w:t>Public sector agencies and authorities may include:</w:t>
      </w:r>
    </w:p>
    <w:p w14:paraId="6836A26E" w14:textId="77777777" w:rsidR="009D347E" w:rsidRPr="00FB7B35" w:rsidRDefault="009D347E" w:rsidP="00C85B4C">
      <w:pPr>
        <w:pStyle w:val="ListBullet"/>
      </w:pPr>
      <w:r w:rsidRPr="00FB7B35">
        <w:t>Businesses that are wholly or partly owned or funded by Commonwealth, state or territory, or local governments; have a board; and operate on a profit or cost-recovery basis.</w:t>
      </w:r>
    </w:p>
    <w:p w14:paraId="13025305" w14:textId="77777777" w:rsidR="009D347E" w:rsidRPr="00FB7B35" w:rsidRDefault="009D347E" w:rsidP="00C85B4C">
      <w:pPr>
        <w:pStyle w:val="ListBullet"/>
      </w:pPr>
      <w:r w:rsidRPr="00FB7B35">
        <w:t>RDCs where they are statutory corporations or authorities.</w:t>
      </w:r>
    </w:p>
    <w:p w14:paraId="5B37A05C" w14:textId="77777777" w:rsidR="009D347E" w:rsidRPr="00FB7B35" w:rsidRDefault="009D347E" w:rsidP="00C85B4C">
      <w:pPr>
        <w:pStyle w:val="ListBullet"/>
      </w:pPr>
      <w:r w:rsidRPr="00FB7B35">
        <w:t xml:space="preserve">CRCs, where the reporting HEP has not been defined within the Commonwealth Agreement as ‘The Researcher’ or a ’Participant’ (that is, the reporting HEP was not a signatory to the Commonwealth Agreement, a CRC Participant’s Agreement, or a Company Constitution during the reporting period). </w:t>
      </w:r>
    </w:p>
    <w:p w14:paraId="000FD672" w14:textId="77777777" w:rsidR="009D347E" w:rsidRPr="009C0ED5" w:rsidRDefault="009D347E" w:rsidP="009D347E">
      <w:r w:rsidRPr="00FB7B35">
        <w:rPr>
          <w:rFonts w:eastAsia="Times New Roman" w:cs="Arial"/>
        </w:rPr>
        <w:lastRenderedPageBreak/>
        <w:t xml:space="preserve">In allocating the R&amp;D income to a specific sub-category, a HEP should determine which party is the primary beneficiary of the R&amp;D activity (and associated rights to intellectual property or other </w:t>
      </w:r>
      <w:r w:rsidRPr="009C0ED5">
        <w:t>non</w:t>
      </w:r>
      <w:r w:rsidRPr="009C0ED5">
        <w:noBreakHyphen/>
        <w:t xml:space="preserve">financial assets) undertaken by the HEP or its subsidiary. </w:t>
      </w:r>
    </w:p>
    <w:p w14:paraId="7AA291E7" w14:textId="77777777" w:rsidR="009D347E" w:rsidRPr="00FB7B35" w:rsidRDefault="009D347E" w:rsidP="009D347E">
      <w:pPr>
        <w:rPr>
          <w:rFonts w:eastAsia="Times New Roman" w:cs="Arial"/>
        </w:rPr>
      </w:pPr>
      <w:r w:rsidRPr="009C0ED5">
        <w:t>HEPs</w:t>
      </w:r>
      <w:r w:rsidRPr="00FB7B35">
        <w:rPr>
          <w:rFonts w:eastAsia="Times New Roman" w:cs="Arial"/>
        </w:rPr>
        <w:t xml:space="preserve"> are required to consult the terms and conditions of an agreement, particularly any identified intellectual property clauses to help determine which sub-category to allocate funding to. The department applies a strict interpretation to cases where there is a requirement that the HEP must license or assign any arising intellectual property back to the government; such income must be defined as </w:t>
      </w:r>
      <w:r w:rsidRPr="00FB7B35">
        <w:rPr>
          <w:rFonts w:eastAsia="Times New Roman" w:cs="Arial"/>
          <w:iCs/>
        </w:rPr>
        <w:t>own purpose</w:t>
      </w:r>
      <w:r w:rsidRPr="00FB7B35">
        <w:rPr>
          <w:rFonts w:eastAsia="Times New Roman" w:cs="Arial"/>
        </w:rPr>
        <w:t xml:space="preserve">. This includes cases where there is shared ownership of intellectual property rights. </w:t>
      </w:r>
    </w:p>
    <w:p w14:paraId="49C4377D" w14:textId="77777777" w:rsidR="009D347E" w:rsidRPr="00FB7B35" w:rsidRDefault="009D347E" w:rsidP="006108A9">
      <w:pPr>
        <w:pStyle w:val="Heading3"/>
      </w:pPr>
      <w:bookmarkStart w:id="292" w:name="_Toc81230923"/>
      <w:bookmarkStart w:id="293" w:name="_Toc92461299"/>
      <w:bookmarkStart w:id="294" w:name="_Toc147503834"/>
      <w:bookmarkStart w:id="295" w:name="_Toc185251838"/>
      <w:r w:rsidRPr="00FB7B35">
        <w:t>5.2.1</w:t>
      </w:r>
      <w:r w:rsidRPr="00FB7B35">
        <w:tab/>
        <w:t>Commonwealth government</w:t>
      </w:r>
      <w:bookmarkEnd w:id="292"/>
      <w:bookmarkEnd w:id="293"/>
      <w:bookmarkEnd w:id="294"/>
      <w:bookmarkEnd w:id="295"/>
    </w:p>
    <w:p w14:paraId="0791A588" w14:textId="77777777" w:rsidR="009D347E" w:rsidRPr="00FB7B35" w:rsidRDefault="009D347E" w:rsidP="00D637AE">
      <w:pPr>
        <w:pStyle w:val="Heading4"/>
      </w:pPr>
      <w:r w:rsidRPr="00FB7B35">
        <w:t>Sub-category 2.1 Commonwealth (own purpose)</w:t>
      </w:r>
    </w:p>
    <w:p w14:paraId="79881431"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This sub-category includes income from government-commissioned R&amp;D services covered by a contract or other enforceable agreement. This sub-category can also include cash contributions to competitive grants (excluding in kind contributions) such as an Australian government agency cash contribution to an ARC Linkage grant (excluding ARC funding component).</w:t>
      </w:r>
    </w:p>
    <w:p w14:paraId="747B8812"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As a general guide, HEPs should report R&amp;D income in the own purpose category where the HEP must licence, option or assign all or part of the intellectual property (or other non-financial asset) arising from the agreement back to the Commonwealth Government customer. In the case of shared ownership of intellectual property rights, HEP income should also be reported as own purpose.</w:t>
      </w:r>
    </w:p>
    <w:p w14:paraId="42200683" w14:textId="77777777" w:rsidR="009D347E" w:rsidRPr="00FB7B35" w:rsidRDefault="009D347E" w:rsidP="00D637AE">
      <w:pPr>
        <w:pStyle w:val="Heading4"/>
      </w:pPr>
      <w:r w:rsidRPr="00FB7B35">
        <w:t>Sub-category 2.2 Commonwealth (other)</w:t>
      </w:r>
    </w:p>
    <w:p w14:paraId="61A69FB0"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 xml:space="preserve">This sub-category will include all other R&amp;D income from Commonwealth agencies and authorities. </w:t>
      </w:r>
    </w:p>
    <w:p w14:paraId="50490372"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For example, this sub-category could include non-specific or untied R&amp;D funding (for example, National Institute grants), R&amp;D grant income not eligible under Category 1 and R&amp;D income where the HEP is delivering a service to a third party on behalf of government.</w:t>
      </w:r>
    </w:p>
    <w:p w14:paraId="1C160475" w14:textId="77777777" w:rsidR="009D347E" w:rsidRPr="00FB7B35" w:rsidRDefault="009D347E" w:rsidP="006108A9">
      <w:pPr>
        <w:pStyle w:val="Heading3"/>
      </w:pPr>
      <w:bookmarkStart w:id="296" w:name="_Toc81230924"/>
      <w:bookmarkStart w:id="297" w:name="_Toc92461300"/>
      <w:bookmarkStart w:id="298" w:name="_Toc147503835"/>
      <w:bookmarkStart w:id="299" w:name="_Toc185251839"/>
      <w:r w:rsidRPr="00FB7B35">
        <w:t>5.2.2</w:t>
      </w:r>
      <w:r w:rsidRPr="00FB7B35">
        <w:tab/>
        <w:t>State/territory/local government R&amp;D</w:t>
      </w:r>
      <w:bookmarkEnd w:id="296"/>
      <w:bookmarkEnd w:id="297"/>
      <w:bookmarkEnd w:id="298"/>
      <w:bookmarkEnd w:id="299"/>
    </w:p>
    <w:p w14:paraId="13B5C064" w14:textId="77777777" w:rsidR="009D347E" w:rsidRPr="00FB7B35" w:rsidRDefault="009D347E" w:rsidP="00D637AE">
      <w:pPr>
        <w:pStyle w:val="Heading4"/>
      </w:pPr>
      <w:r w:rsidRPr="00FB7B35">
        <w:t>Sub-category 2.3 State/territory/local (own purpose)</w:t>
      </w:r>
    </w:p>
    <w:p w14:paraId="3EA28589"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This sub-category includes income from government-commissioned R&amp;D services covered by a contract or other enforceable agreement. This sub-category can also include cash contributions to competitive grants (excluding in kind contributions) such as a Queensland Government agency cash contribution to an NHMRC Partnership Project (excluding NHMRC funding component).</w:t>
      </w:r>
    </w:p>
    <w:p w14:paraId="7BE99E00"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As a general guide, HEPs should report R&amp;D income in the own purpose category where the HEP must licence, option or assign all or part of the intellectual property (or other non-financial asset) arising from the agreement back to the state, territory or local government customer. In the case of shared ownership of intellectual property rights, HEP income should also be reported as own purpose.</w:t>
      </w:r>
    </w:p>
    <w:p w14:paraId="4C5F5FE8" w14:textId="77777777" w:rsidR="009D347E" w:rsidRPr="00FB7B35" w:rsidRDefault="009D347E" w:rsidP="00D637AE">
      <w:pPr>
        <w:pStyle w:val="Heading4"/>
      </w:pPr>
      <w:r w:rsidRPr="00FB7B35">
        <w:t>Sub-category 2.4 State/territory/local (other)</w:t>
      </w:r>
    </w:p>
    <w:p w14:paraId="01EF3581"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This sub-category will include all other R&amp;D income from state, territory or local government agencies and authorities.</w:t>
      </w:r>
    </w:p>
    <w:p w14:paraId="7F774A5C" w14:textId="308BC6A7" w:rsidR="009D347E" w:rsidRPr="00FB7B35" w:rsidRDefault="009D347E" w:rsidP="00226696">
      <w:pPr>
        <w:tabs>
          <w:tab w:val="num" w:pos="851"/>
          <w:tab w:val="num" w:pos="1134"/>
        </w:tabs>
        <w:spacing w:after="120"/>
        <w:rPr>
          <w:rFonts w:eastAsia="Times New Roman" w:cs="Arial"/>
        </w:rPr>
      </w:pPr>
      <w:r w:rsidRPr="00FB7B35">
        <w:rPr>
          <w:rFonts w:eastAsia="Times New Roman" w:cs="Arial"/>
        </w:rPr>
        <w:lastRenderedPageBreak/>
        <w:t>For example, this sub-category could include non-specific or untied R&amp;D funding, R&amp;D grant income not eligible under Category 1, and R&amp;D income where the HEP is delivering a service to a third party on behalf of government.</w:t>
      </w:r>
      <w:bookmarkStart w:id="300" w:name="_7.4.3_Category_3:"/>
      <w:bookmarkStart w:id="301" w:name="_Toc115747820"/>
      <w:bookmarkStart w:id="302" w:name="_Toc116182988"/>
      <w:bookmarkStart w:id="303" w:name="_Toc115747821"/>
      <w:bookmarkStart w:id="304" w:name="_Toc116182989"/>
      <w:bookmarkStart w:id="305" w:name="_Toc96319878"/>
      <w:bookmarkStart w:id="306" w:name="_Toc96319995"/>
      <w:bookmarkStart w:id="307" w:name="_Toc96320101"/>
      <w:bookmarkStart w:id="308" w:name="_Toc96320227"/>
      <w:bookmarkStart w:id="309" w:name="_Toc87171323"/>
      <w:bookmarkStart w:id="310" w:name="_Toc96678063"/>
      <w:bookmarkStart w:id="311" w:name="_Toc112733806"/>
      <w:bookmarkStart w:id="312" w:name="_Toc112734016"/>
      <w:bookmarkStart w:id="313" w:name="_Ref114290910"/>
      <w:bookmarkStart w:id="314" w:name="_Toc116182990"/>
      <w:bookmarkStart w:id="315" w:name="_Toc406668883"/>
      <w:bookmarkStart w:id="316" w:name="_Toc491172995"/>
      <w:bookmarkStart w:id="317" w:name="_Toc523214688"/>
      <w:bookmarkEnd w:id="300"/>
      <w:bookmarkEnd w:id="301"/>
      <w:bookmarkEnd w:id="302"/>
      <w:bookmarkEnd w:id="303"/>
      <w:bookmarkEnd w:id="304"/>
      <w:bookmarkEnd w:id="305"/>
      <w:bookmarkEnd w:id="306"/>
      <w:bookmarkEnd w:id="307"/>
      <w:bookmarkEnd w:id="308"/>
    </w:p>
    <w:p w14:paraId="61FAF37A" w14:textId="77777777" w:rsidR="009D347E" w:rsidRPr="00AA2A39" w:rsidRDefault="009D347E" w:rsidP="00AA2A39">
      <w:pPr>
        <w:pStyle w:val="Heading2"/>
      </w:pPr>
      <w:bookmarkStart w:id="318" w:name="_Toc27055372"/>
      <w:bookmarkStart w:id="319" w:name="_Toc81230925"/>
      <w:bookmarkStart w:id="320" w:name="_Toc92461301"/>
      <w:bookmarkStart w:id="321" w:name="_Toc147503836"/>
      <w:bookmarkStart w:id="322" w:name="_Toc185251840"/>
      <w:r w:rsidRPr="00AA2A39">
        <w:t>5.3</w:t>
      </w:r>
      <w:r w:rsidRPr="00AA2A39">
        <w:tab/>
        <w:t>Category 3: Industry and other R&amp;D income</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735B675C" w14:textId="77777777" w:rsidR="009D347E" w:rsidRPr="00FB7B35" w:rsidRDefault="009D347E" w:rsidP="009D347E">
      <w:pPr>
        <w:keepNext/>
        <w:keepLines/>
        <w:tabs>
          <w:tab w:val="num" w:pos="1134"/>
        </w:tabs>
        <w:spacing w:after="120"/>
        <w:rPr>
          <w:rFonts w:eastAsia="Times New Roman" w:cs="Arial"/>
        </w:rPr>
      </w:pPr>
      <w:r w:rsidRPr="00FB7B35">
        <w:rPr>
          <w:rFonts w:eastAsia="Times New Roman" w:cs="Arial"/>
          <w:iCs/>
        </w:rPr>
        <w:t>Category 3</w:t>
      </w:r>
      <w:r w:rsidRPr="00FB7B35">
        <w:rPr>
          <w:rFonts w:eastAsia="Times New Roman" w:cs="Arial"/>
        </w:rPr>
        <w:t xml:space="preserve"> consists of R&amp;D income received from the private sector, philanthropic and international sources that are not eligible as Category 1 or Category 2 R&amp;D income, and</w:t>
      </w:r>
      <w:r w:rsidRPr="00FB7B35">
        <w:rPr>
          <w:rFonts w:eastAsia="Times New Roman" w:cs="Arial"/>
          <w:i/>
        </w:rPr>
        <w:t xml:space="preserve"> </w:t>
      </w:r>
      <w:r w:rsidRPr="00FB7B35">
        <w:rPr>
          <w:rFonts w:eastAsia="Times New Roman" w:cs="Arial"/>
        </w:rPr>
        <w:t>must be sub-categorised as follows:</w:t>
      </w:r>
    </w:p>
    <w:p w14:paraId="14991EAC" w14:textId="77777777" w:rsidR="009D347E" w:rsidRPr="00FB7B35" w:rsidRDefault="009D347E" w:rsidP="00C85B4C">
      <w:pPr>
        <w:pStyle w:val="ListBullet"/>
      </w:pPr>
      <w:r w:rsidRPr="00FB7B35">
        <w:t>Sub-category 3.1 Australian for-profit organisations</w:t>
      </w:r>
    </w:p>
    <w:p w14:paraId="513A75D7" w14:textId="77777777" w:rsidR="009D347E" w:rsidRPr="00FB7B35" w:rsidRDefault="009D347E" w:rsidP="00C85B4C">
      <w:pPr>
        <w:pStyle w:val="ListBullet"/>
      </w:pPr>
      <w:r w:rsidRPr="00FB7B35">
        <w:t>Sub-category 3.2 Australian not-for profit organisations</w:t>
      </w:r>
    </w:p>
    <w:p w14:paraId="4AC78C47" w14:textId="77777777" w:rsidR="009D347E" w:rsidRPr="00FB7B35" w:rsidRDefault="009D347E" w:rsidP="00C85B4C">
      <w:pPr>
        <w:pStyle w:val="ListBullet"/>
      </w:pPr>
      <w:r w:rsidRPr="00FB7B35">
        <w:t>Sub-category 3.3 Australian philanthropy</w:t>
      </w:r>
    </w:p>
    <w:p w14:paraId="645D4B18" w14:textId="77777777" w:rsidR="009D347E" w:rsidRPr="00FB7B35" w:rsidRDefault="009D347E" w:rsidP="00C85B4C">
      <w:pPr>
        <w:pStyle w:val="ListBullet"/>
      </w:pPr>
      <w:r w:rsidRPr="00FB7B35">
        <w:t>Sub-category 3.4 International for-profit organisations</w:t>
      </w:r>
    </w:p>
    <w:p w14:paraId="6A16C69C" w14:textId="77777777" w:rsidR="009D347E" w:rsidRPr="00FB7B35" w:rsidRDefault="009D347E" w:rsidP="00C85B4C">
      <w:pPr>
        <w:pStyle w:val="ListBullet"/>
      </w:pPr>
      <w:r w:rsidRPr="00FB7B35">
        <w:t>Sub-category 3.5 International not-for profit organisations</w:t>
      </w:r>
    </w:p>
    <w:p w14:paraId="06CE4849" w14:textId="77777777" w:rsidR="009D347E" w:rsidRPr="00FB7B35" w:rsidRDefault="009D347E" w:rsidP="00C85B4C">
      <w:pPr>
        <w:pStyle w:val="ListBullet"/>
      </w:pPr>
      <w:r w:rsidRPr="00FB7B35">
        <w:t>Sub-category 3.6 International philanthropy</w:t>
      </w:r>
    </w:p>
    <w:p w14:paraId="32B7C46E" w14:textId="77777777" w:rsidR="009D347E" w:rsidRPr="00FB7B35" w:rsidRDefault="009D347E" w:rsidP="00C85B4C">
      <w:pPr>
        <w:pStyle w:val="ListBullet"/>
      </w:pPr>
      <w:r w:rsidRPr="00FB7B35">
        <w:t>Sub-category 3.7 International government (own purpose)</w:t>
      </w:r>
    </w:p>
    <w:p w14:paraId="4EF7745F" w14:textId="77777777" w:rsidR="009D347E" w:rsidRPr="00FB7B35" w:rsidRDefault="009D347E" w:rsidP="00C85B4C">
      <w:pPr>
        <w:pStyle w:val="ListBullet"/>
      </w:pPr>
      <w:r w:rsidRPr="00FB7B35">
        <w:t>Sub-category 3.8 International government (other).</w:t>
      </w:r>
    </w:p>
    <w:p w14:paraId="06383423" w14:textId="77777777" w:rsidR="009D347E" w:rsidRPr="00FB7B35" w:rsidRDefault="009D347E" w:rsidP="006108A9">
      <w:pPr>
        <w:pStyle w:val="Heading3"/>
      </w:pPr>
      <w:bookmarkStart w:id="323" w:name="_Toc81230926"/>
      <w:bookmarkStart w:id="324" w:name="_Toc92461302"/>
      <w:bookmarkStart w:id="325" w:name="_Toc147503837"/>
      <w:bookmarkStart w:id="326" w:name="_Toc185251841"/>
      <w:r w:rsidRPr="00FB7B35">
        <w:t>5.3.1</w:t>
      </w:r>
      <w:r w:rsidRPr="00FB7B35">
        <w:tab/>
        <w:t>Australian private sector</w:t>
      </w:r>
      <w:bookmarkEnd w:id="323"/>
      <w:bookmarkEnd w:id="324"/>
      <w:bookmarkEnd w:id="325"/>
      <w:bookmarkEnd w:id="326"/>
    </w:p>
    <w:p w14:paraId="3534CB1A" w14:textId="7587FA1F" w:rsidR="009D347E" w:rsidRPr="00FB7B35" w:rsidRDefault="009D347E" w:rsidP="009D347E">
      <w:pPr>
        <w:tabs>
          <w:tab w:val="num" w:pos="851"/>
          <w:tab w:val="num" w:pos="1134"/>
        </w:tabs>
        <w:spacing w:after="120"/>
        <w:rPr>
          <w:rFonts w:eastAsia="Times New Roman" w:cs="Arial"/>
          <w:b/>
          <w:bCs/>
        </w:rPr>
      </w:pPr>
      <w:r w:rsidRPr="00FB7B35">
        <w:rPr>
          <w:rFonts w:eastAsia="Times New Roman" w:cs="Arial"/>
        </w:rPr>
        <w:t xml:space="preserve">Income in this sub-category can include any R&amp;D commissioned by the Australian private sector. Income in this sub-category also includes cash contributions (excluding in-kind contributions) to competitive grants and R&amp;D grant income from Australian private sector organisations where the organisation or grant scheme is not considered to be Category 1 (see </w:t>
      </w:r>
      <w:r w:rsidRPr="00FB7B35">
        <w:rPr>
          <w:rFonts w:eastAsia="Times New Roman" w:cs="Arial"/>
          <w:b/>
          <w:bCs/>
        </w:rPr>
        <w:t>section 5.1</w:t>
      </w:r>
      <w:r w:rsidRPr="00FB7B35">
        <w:rPr>
          <w:rFonts w:eastAsia="Times New Roman" w:cs="Arial"/>
        </w:rPr>
        <w:t xml:space="preserve">). </w:t>
      </w:r>
    </w:p>
    <w:p w14:paraId="45607A9D"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The Australian private sector sub-category is divided into R&amp;D income from for profit and not</w:t>
      </w:r>
      <w:r w:rsidRPr="00FB7B35">
        <w:rPr>
          <w:rFonts w:eastAsia="Times New Roman" w:cs="Arial"/>
        </w:rPr>
        <w:noBreakHyphen/>
        <w:t>for</w:t>
      </w:r>
      <w:r w:rsidRPr="00FB7B35">
        <w:rPr>
          <w:rFonts w:eastAsia="Times New Roman" w:cs="Arial"/>
        </w:rPr>
        <w:noBreakHyphen/>
        <w:t>profit organisations.</w:t>
      </w:r>
    </w:p>
    <w:p w14:paraId="214CAE88" w14:textId="77777777" w:rsidR="009D347E" w:rsidRPr="00FB7B35" w:rsidRDefault="009D347E" w:rsidP="00D637AE">
      <w:pPr>
        <w:pStyle w:val="Heading4"/>
      </w:pPr>
      <w:r w:rsidRPr="00FB7B35">
        <w:t>Sub-category 3.1 Australian for-profit organisations</w:t>
      </w:r>
    </w:p>
    <w:p w14:paraId="15D0548D"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This sub-category includes income for R&amp;D from:</w:t>
      </w:r>
    </w:p>
    <w:p w14:paraId="74486116" w14:textId="77777777" w:rsidR="009D347E" w:rsidRPr="00FB7B35" w:rsidRDefault="009D347E" w:rsidP="00C85B4C">
      <w:pPr>
        <w:pStyle w:val="ListBullet"/>
      </w:pPr>
      <w:r w:rsidRPr="00FB7B35">
        <w:t>any for-profit business located in Australia including multi-nationals with their head office based in Australia or Australian subsidiaries of multi-national enterprises</w:t>
      </w:r>
    </w:p>
    <w:p w14:paraId="17C18E38" w14:textId="77777777" w:rsidR="009D347E" w:rsidRPr="00FB7B35" w:rsidRDefault="009D347E" w:rsidP="00C85B4C">
      <w:pPr>
        <w:pStyle w:val="ListBullet"/>
      </w:pPr>
      <w:r w:rsidRPr="00FB7B35">
        <w:t>syndicated R&amp;D arrangements</w:t>
      </w:r>
    </w:p>
    <w:p w14:paraId="7779AC51" w14:textId="77777777" w:rsidR="009D347E" w:rsidRPr="00FB7B35" w:rsidRDefault="009D347E" w:rsidP="00C85B4C">
      <w:pPr>
        <w:pStyle w:val="ListBullet"/>
      </w:pPr>
      <w:r w:rsidRPr="00FB7B35">
        <w:t>any for-profit, industry-owned Research and Development Corporation.</w:t>
      </w:r>
    </w:p>
    <w:p w14:paraId="11D4A58D" w14:textId="25C00881" w:rsidR="009D347E" w:rsidRPr="00FB7B35" w:rsidRDefault="009D347E" w:rsidP="009D347E">
      <w:pPr>
        <w:tabs>
          <w:tab w:val="num" w:pos="851"/>
          <w:tab w:val="num" w:pos="1134"/>
        </w:tabs>
        <w:spacing w:after="120"/>
        <w:rPr>
          <w:rFonts w:eastAsia="Times New Roman" w:cs="Arial"/>
          <w:i/>
          <w:iCs/>
        </w:rPr>
      </w:pPr>
      <w:r w:rsidRPr="00FB7B35">
        <w:rPr>
          <w:rFonts w:eastAsia="Times New Roman" w:cs="Arial"/>
        </w:rPr>
        <w:t>The Australian Business Register’s</w:t>
      </w:r>
      <w:r w:rsidR="00FD7A07">
        <w:rPr>
          <w:rFonts w:eastAsia="Times New Roman" w:cs="Arial"/>
        </w:rPr>
        <w:t xml:space="preserve"> </w:t>
      </w:r>
      <w:hyperlink r:id="rId43" w:history="1">
        <w:r w:rsidR="00FD7A07">
          <w:rPr>
            <w:rStyle w:val="Hyperlink"/>
          </w:rPr>
          <w:t>Australian Business Number (ABN) look-up</w:t>
        </w:r>
      </w:hyperlink>
      <w:r w:rsidRPr="00FB7B35">
        <w:rPr>
          <w:rFonts w:eastAsia="Times New Roman" w:cs="Arial"/>
        </w:rPr>
        <w:t xml:space="preserve"> can be used to help determine if a business is registered in Australia.</w:t>
      </w:r>
    </w:p>
    <w:p w14:paraId="25DFCB18" w14:textId="77777777" w:rsidR="009D347E" w:rsidRPr="00FB7B35" w:rsidRDefault="009D347E" w:rsidP="00D637AE">
      <w:pPr>
        <w:pStyle w:val="Heading4"/>
      </w:pPr>
      <w:r w:rsidRPr="00FB7B35">
        <w:t>Sub-category 3.2 Australian not-for-</w:t>
      </w:r>
      <w:r w:rsidRPr="00210F56">
        <w:t>profit</w:t>
      </w:r>
      <w:r w:rsidRPr="00FB7B35">
        <w:t xml:space="preserve"> organisations</w:t>
      </w:r>
    </w:p>
    <w:p w14:paraId="157F2C64" w14:textId="77777777" w:rsidR="009D347E" w:rsidRPr="00FB7B35" w:rsidRDefault="009D347E" w:rsidP="009D347E">
      <w:pPr>
        <w:tabs>
          <w:tab w:val="num" w:pos="851"/>
          <w:tab w:val="num" w:pos="1134"/>
        </w:tabs>
        <w:spacing w:after="120"/>
        <w:rPr>
          <w:rFonts w:eastAsia="Times New Roman" w:cs="Arial"/>
        </w:rPr>
      </w:pPr>
      <w:r w:rsidRPr="00FB7B35">
        <w:rPr>
          <w:rFonts w:eastAsia="Times New Roman" w:cs="Arial"/>
        </w:rPr>
        <w:t>This sub-category includes R&amp;D income from any private, not-for-profit organisation based in Australia. This includes income from mutuals, cooperatives, charities and foundations.</w:t>
      </w:r>
    </w:p>
    <w:p w14:paraId="4AD6B58B" w14:textId="41AF8677" w:rsidR="009D347E" w:rsidRPr="00FB7B35" w:rsidRDefault="009D347E" w:rsidP="009D347E">
      <w:pPr>
        <w:tabs>
          <w:tab w:val="num" w:pos="851"/>
          <w:tab w:val="num" w:pos="1134"/>
        </w:tabs>
        <w:spacing w:after="120"/>
        <w:rPr>
          <w:rFonts w:eastAsia="Times New Roman" w:cs="Arial"/>
          <w:u w:val="single"/>
        </w:rPr>
      </w:pPr>
      <w:r w:rsidRPr="00FB7B35">
        <w:rPr>
          <w:rFonts w:eastAsia="Times New Roman" w:cs="Arial"/>
        </w:rPr>
        <w:t xml:space="preserve">A not-for-profit organisation does not operate for the profit or gain of its individual members, whether these gains would have been direct or indirect. A not-for-profit organisation can take many forms. For further guidance on how to identify not-for-profit organisations, please refer to the </w:t>
      </w:r>
      <w:hyperlink r:id="rId44" w:history="1">
        <w:r w:rsidRPr="007A2B63">
          <w:rPr>
            <w:rStyle w:val="Hyperlink"/>
          </w:rPr>
          <w:t>Australian Tax Office</w:t>
        </w:r>
      </w:hyperlink>
      <w:r w:rsidRPr="00FB7B35">
        <w:rPr>
          <w:rFonts w:eastAsia="Times New Roman" w:cs="Arial"/>
        </w:rPr>
        <w:t xml:space="preserve"> </w:t>
      </w:r>
      <w:r w:rsidR="00FD7A07">
        <w:rPr>
          <w:rFonts w:eastAsia="Times New Roman" w:cs="Arial"/>
        </w:rPr>
        <w:t xml:space="preserve">(ATO) </w:t>
      </w:r>
      <w:r w:rsidRPr="00FB7B35">
        <w:rPr>
          <w:rFonts w:eastAsia="Times New Roman" w:cs="Arial"/>
        </w:rPr>
        <w:t xml:space="preserve">or the </w:t>
      </w:r>
      <w:hyperlink r:id="rId45" w:history="1">
        <w:r w:rsidRPr="007A2B63">
          <w:rPr>
            <w:rStyle w:val="Hyperlink"/>
          </w:rPr>
          <w:t>Australian Charities and Not-for-profits Commission</w:t>
        </w:r>
      </w:hyperlink>
      <w:r w:rsidR="00FD7A07">
        <w:rPr>
          <w:rFonts w:eastAsia="Times New Roman" w:cs="Arial"/>
        </w:rPr>
        <w:t xml:space="preserve"> (ACNC)</w:t>
      </w:r>
      <w:r w:rsidRPr="00FB7B35">
        <w:rPr>
          <w:rFonts w:eastAsia="Times New Roman" w:cs="Arial"/>
        </w:rPr>
        <w:t xml:space="preserve"> The Australian Business Register </w:t>
      </w:r>
      <w:hyperlink r:id="rId46" w:history="1">
        <w:r w:rsidRPr="007A2B63">
          <w:rPr>
            <w:rStyle w:val="Hyperlink"/>
          </w:rPr>
          <w:t>ABN look-up</w:t>
        </w:r>
      </w:hyperlink>
      <w:r w:rsidRPr="00FB7B35">
        <w:rPr>
          <w:rFonts w:eastAsia="Times New Roman" w:cs="Arial"/>
        </w:rPr>
        <w:t xml:space="preserve"> can be used to help determine if the R&amp;D income is from a not-for profit organisation and/or is registered with ACNC. A HEP may wish to contact the organisation to clarify the organisation’s status.</w:t>
      </w:r>
    </w:p>
    <w:p w14:paraId="29FF7EB2" w14:textId="77777777" w:rsidR="009D347E" w:rsidRPr="00B75794" w:rsidRDefault="009D347E" w:rsidP="00D637AE">
      <w:pPr>
        <w:pStyle w:val="Heading4"/>
      </w:pPr>
      <w:r w:rsidRPr="00B75794">
        <w:lastRenderedPageBreak/>
        <w:t>Sub-category 3.3 Australian philanthropy</w:t>
      </w:r>
    </w:p>
    <w:p w14:paraId="49AC4D67" w14:textId="77777777" w:rsidR="009D347E" w:rsidRPr="00FB7B35" w:rsidRDefault="009D347E" w:rsidP="009D347E">
      <w:pPr>
        <w:tabs>
          <w:tab w:val="num" w:pos="1134"/>
        </w:tabs>
        <w:spacing w:after="120"/>
        <w:contextualSpacing/>
        <w:rPr>
          <w:rFonts w:eastAsia="Times New Roman" w:cs="Arial"/>
        </w:rPr>
      </w:pPr>
      <w:r w:rsidRPr="00FB7B35">
        <w:rPr>
          <w:rFonts w:eastAsia="Times New Roman" w:cs="Arial"/>
        </w:rPr>
        <w:t>This sub-category includes donations, bequests, endowments and crowd-funding for the conduct of R&amp;D that have been received from any Australian source, and are defined as follows:</w:t>
      </w:r>
    </w:p>
    <w:p w14:paraId="722240FB" w14:textId="77777777" w:rsidR="009D347E" w:rsidRPr="00D637AE" w:rsidRDefault="009D347E" w:rsidP="00D637AE">
      <w:pPr>
        <w:pStyle w:val="Heading5"/>
      </w:pPr>
      <w:r w:rsidRPr="00D637AE">
        <w:t>Donation</w:t>
      </w:r>
    </w:p>
    <w:p w14:paraId="2723D1D9" w14:textId="77777777" w:rsidR="009D347E" w:rsidRPr="00FB7B35" w:rsidRDefault="009D347E" w:rsidP="009D347E">
      <w:pPr>
        <w:spacing w:after="120"/>
        <w:rPr>
          <w:rFonts w:eastAsia="Times New Roman" w:cs="Arial"/>
        </w:rPr>
      </w:pPr>
      <w:r w:rsidRPr="00FB7B35">
        <w:rPr>
          <w:rFonts w:eastAsia="Times New Roman" w:cs="Arial"/>
        </w:rPr>
        <w:t>A donation is defined as money given to a HEP by a donor for a broad R&amp;D purpose with no reciprocal expectation of material benefits or advantage such as specific R&amp;D deliverables and reporting except for recognition of the donor and the expenditure of the money in accordance with the donor's wishes.</w:t>
      </w:r>
    </w:p>
    <w:p w14:paraId="243644A1" w14:textId="77777777" w:rsidR="009D347E" w:rsidRPr="00FB7B35" w:rsidRDefault="009D347E" w:rsidP="00D637AE">
      <w:pPr>
        <w:pStyle w:val="Heading5"/>
      </w:pPr>
      <w:r w:rsidRPr="00FB7B35">
        <w:t>Bequest</w:t>
      </w:r>
    </w:p>
    <w:p w14:paraId="50F3A350" w14:textId="77777777" w:rsidR="009D347E" w:rsidRPr="00FB7B35" w:rsidRDefault="009D347E" w:rsidP="009D347E">
      <w:r w:rsidRPr="00FB7B35">
        <w:t>A bequest has all the elements of a donation except that it is received from the estate of a deceased person.</w:t>
      </w:r>
    </w:p>
    <w:p w14:paraId="2DCD1133" w14:textId="77777777" w:rsidR="009D347E" w:rsidRPr="00FB7B35" w:rsidRDefault="009D347E" w:rsidP="00D637AE">
      <w:pPr>
        <w:pStyle w:val="Heading5"/>
      </w:pPr>
      <w:r w:rsidRPr="00FB7B35">
        <w:t>Endowment</w:t>
      </w:r>
    </w:p>
    <w:p w14:paraId="2F19A2E7" w14:textId="77777777" w:rsidR="009D347E" w:rsidRPr="00FB7B35" w:rsidRDefault="009D347E" w:rsidP="009D347E">
      <w:pPr>
        <w:spacing w:after="120"/>
        <w:rPr>
          <w:rFonts w:eastAsia="Times New Roman" w:cs="Arial"/>
        </w:rPr>
      </w:pPr>
      <w:r w:rsidRPr="00FB7B35">
        <w:rPr>
          <w:rFonts w:eastAsia="Times New Roman" w:cs="Arial"/>
        </w:rPr>
        <w:t>An endowment is a transfer of an asset to a HEP for the ongoing support of R&amp;D and may (but not necessarily) be made as part of a donation or bequest. An endowment may be made for the perpetual benefit of the entity in that the transfer is made with a requirement for the principal to be preserved, and only income earned on investment activity to be made available for R&amp;D expenditure.</w:t>
      </w:r>
    </w:p>
    <w:p w14:paraId="058B3570" w14:textId="77777777" w:rsidR="009D347E" w:rsidRPr="00FB7B35" w:rsidRDefault="009D347E" w:rsidP="00D637AE">
      <w:pPr>
        <w:pStyle w:val="Heading5"/>
      </w:pPr>
      <w:r w:rsidRPr="00FB7B35">
        <w:t>Crowd-funding</w:t>
      </w:r>
    </w:p>
    <w:p w14:paraId="488DC209" w14:textId="77777777" w:rsidR="009D347E" w:rsidRPr="00FB7B35" w:rsidRDefault="009D347E" w:rsidP="009D347E">
      <w:pPr>
        <w:spacing w:after="120"/>
        <w:rPr>
          <w:rFonts w:eastAsia="Times New Roman" w:cs="Arial"/>
        </w:rPr>
      </w:pPr>
      <w:r w:rsidRPr="00FB7B35">
        <w:rPr>
          <w:rFonts w:eastAsia="Times New Roman" w:cs="Arial"/>
        </w:rPr>
        <w:t>Crowd</w:t>
      </w:r>
      <w:r w:rsidRPr="00FB7B35">
        <w:rPr>
          <w:rFonts w:eastAsia="Times New Roman" w:cs="Arial"/>
          <w:i/>
          <w:iCs/>
        </w:rPr>
        <w:t>-</w:t>
      </w:r>
      <w:r w:rsidRPr="00FB7B35">
        <w:rPr>
          <w:rFonts w:eastAsia="Times New Roman" w:cs="Arial"/>
        </w:rPr>
        <w:t>funding is a type of (typically online) fundraising that allows a large number of individuals to make small financial contributions towards an R&amp;D project with little or no expectation of equal value return. To be eligible to report this income, any agreement with individual contributors must be non-reciprocal in nature, have no specific performance obligations and no obligation to licence, option or assign the intellectual property (or other non-financial asset) arising from the agreement back to the individual. All crowd-funding income should be reported in this sub-category, regardless of the proportion of crowd-funding from international donors.</w:t>
      </w:r>
    </w:p>
    <w:p w14:paraId="01599D87" w14:textId="77777777" w:rsidR="009D347E" w:rsidRPr="00FB7B35" w:rsidRDefault="009D347E" w:rsidP="009D347E">
      <w:r w:rsidRPr="00FB7B35">
        <w:t>Where all, or a proportion, of a donation, bequest, endowment, or crowd-funding is invested, then only the income earned from that investment which is available for expenditure on R&amp;D in the reference year should be included in the sub-category unless it is expressly for the purposes of R&amp;D.</w:t>
      </w:r>
    </w:p>
    <w:p w14:paraId="65FCF7BE" w14:textId="77777777" w:rsidR="009D347E" w:rsidRPr="00FB7B35" w:rsidRDefault="009D347E" w:rsidP="006108A9">
      <w:pPr>
        <w:pStyle w:val="Heading3"/>
      </w:pPr>
      <w:bookmarkStart w:id="327" w:name="_Toc81230927"/>
      <w:bookmarkStart w:id="328" w:name="_Toc92461303"/>
      <w:bookmarkStart w:id="329" w:name="_Toc147503838"/>
      <w:bookmarkStart w:id="330" w:name="_Toc185251842"/>
      <w:r w:rsidRPr="00FB7B35">
        <w:t>5.3.2</w:t>
      </w:r>
      <w:r w:rsidRPr="00FB7B35">
        <w:tab/>
        <w:t>International private sector</w:t>
      </w:r>
      <w:bookmarkEnd w:id="327"/>
      <w:bookmarkEnd w:id="328"/>
      <w:bookmarkEnd w:id="329"/>
      <w:bookmarkEnd w:id="330"/>
    </w:p>
    <w:p w14:paraId="34B91A9A" w14:textId="77777777" w:rsidR="009D347E" w:rsidRPr="00FB7B35" w:rsidRDefault="009D347E" w:rsidP="009D347E">
      <w:pPr>
        <w:tabs>
          <w:tab w:val="num" w:pos="1134"/>
        </w:tabs>
        <w:spacing w:after="120"/>
        <w:contextualSpacing/>
        <w:rPr>
          <w:rFonts w:eastAsia="Times New Roman" w:cs="Arial"/>
        </w:rPr>
      </w:pPr>
      <w:r w:rsidRPr="00FB7B35">
        <w:rPr>
          <w:rFonts w:eastAsia="Times New Roman" w:cs="Arial"/>
        </w:rPr>
        <w:t>Income can include any R&amp;D commissioned by the international private sector. Income in this sub-category also includes cash contributions to competitive grants (excluding in kind contributions).</w:t>
      </w:r>
    </w:p>
    <w:p w14:paraId="3C3E5E70" w14:textId="77777777" w:rsidR="009D347E" w:rsidRPr="00FB7B35" w:rsidRDefault="009D347E" w:rsidP="009D347E">
      <w:pPr>
        <w:tabs>
          <w:tab w:val="num" w:pos="1134"/>
        </w:tabs>
        <w:spacing w:after="120"/>
        <w:rPr>
          <w:rFonts w:eastAsia="Times New Roman" w:cs="Arial"/>
        </w:rPr>
      </w:pPr>
      <w:r w:rsidRPr="00FB7B35">
        <w:rPr>
          <w:rFonts w:eastAsia="Times New Roman" w:cs="Arial"/>
        </w:rPr>
        <w:t xml:space="preserve">The international private sector sub-category is divided into R&amp;D income from </w:t>
      </w:r>
      <w:r w:rsidRPr="00FB7B35">
        <w:rPr>
          <w:rFonts w:eastAsia="Times New Roman" w:cs="Arial"/>
          <w:iCs/>
        </w:rPr>
        <w:t>for profit</w:t>
      </w:r>
      <w:r w:rsidRPr="00FB7B35">
        <w:rPr>
          <w:rFonts w:eastAsia="Times New Roman" w:cs="Arial"/>
        </w:rPr>
        <w:t xml:space="preserve"> and </w:t>
      </w:r>
      <w:r w:rsidRPr="00FB7B35">
        <w:rPr>
          <w:rFonts w:eastAsia="Times New Roman" w:cs="Arial"/>
          <w:iCs/>
        </w:rPr>
        <w:t>not</w:t>
      </w:r>
      <w:r w:rsidRPr="00FB7B35">
        <w:rPr>
          <w:rFonts w:eastAsia="Times New Roman" w:cs="Arial"/>
          <w:iCs/>
        </w:rPr>
        <w:noBreakHyphen/>
        <w:t>for</w:t>
      </w:r>
      <w:r w:rsidRPr="00FB7B35">
        <w:rPr>
          <w:rFonts w:eastAsia="Times New Roman" w:cs="Arial"/>
          <w:iCs/>
        </w:rPr>
        <w:noBreakHyphen/>
        <w:t>profit</w:t>
      </w:r>
      <w:r w:rsidRPr="00FB7B35">
        <w:rPr>
          <w:rFonts w:eastAsia="Times New Roman" w:cs="Arial"/>
        </w:rPr>
        <w:t xml:space="preserve"> organisations.</w:t>
      </w:r>
    </w:p>
    <w:p w14:paraId="3FB9B605" w14:textId="77777777" w:rsidR="009D347E" w:rsidRPr="00FB7B35" w:rsidRDefault="009D347E" w:rsidP="00D637AE">
      <w:pPr>
        <w:pStyle w:val="Heading4"/>
      </w:pPr>
      <w:r w:rsidRPr="00FB7B35">
        <w:t xml:space="preserve">Sub-category 3.4 </w:t>
      </w:r>
      <w:r>
        <w:t>i</w:t>
      </w:r>
      <w:r w:rsidRPr="00FB7B35">
        <w:t>nternational for-profit organisations</w:t>
      </w:r>
    </w:p>
    <w:p w14:paraId="5288B4A8" w14:textId="77777777" w:rsidR="009D347E" w:rsidRPr="00FB7B35" w:rsidRDefault="009D347E" w:rsidP="009D347E">
      <w:pPr>
        <w:tabs>
          <w:tab w:val="left" w:pos="720"/>
        </w:tabs>
        <w:spacing w:after="120"/>
        <w:rPr>
          <w:rFonts w:eastAsia="Times New Roman" w:cs="Arial"/>
        </w:rPr>
      </w:pPr>
      <w:r w:rsidRPr="00FB7B35">
        <w:rPr>
          <w:rFonts w:eastAsia="Times New Roman" w:cs="Arial"/>
        </w:rPr>
        <w:t>This sub-category includes income for R&amp;D from any for-profit business wholly located outside Australia. Do not include R&amp;D income from Australian subsidiaries of multinational enterprises.</w:t>
      </w:r>
    </w:p>
    <w:p w14:paraId="61877EE0" w14:textId="77777777" w:rsidR="009D347E" w:rsidRPr="00FB7B35" w:rsidRDefault="009D347E" w:rsidP="00D637AE">
      <w:pPr>
        <w:pStyle w:val="Heading4"/>
      </w:pPr>
      <w:r w:rsidRPr="00FB7B35">
        <w:t xml:space="preserve">Sub-category 3.5 </w:t>
      </w:r>
      <w:r>
        <w:t>i</w:t>
      </w:r>
      <w:r w:rsidRPr="00FB7B35">
        <w:t>nternational not-for profit organisations</w:t>
      </w:r>
    </w:p>
    <w:p w14:paraId="261B3C28" w14:textId="77777777" w:rsidR="009D347E" w:rsidRPr="00FB7B35" w:rsidRDefault="009D347E" w:rsidP="009D347E">
      <w:pPr>
        <w:tabs>
          <w:tab w:val="num" w:pos="1134"/>
        </w:tabs>
        <w:spacing w:after="120"/>
        <w:rPr>
          <w:rFonts w:eastAsia="Times New Roman" w:cs="Arial"/>
          <w:iCs/>
        </w:rPr>
      </w:pPr>
      <w:r w:rsidRPr="00FB7B35">
        <w:rPr>
          <w:rFonts w:eastAsia="Times New Roman" w:cs="Arial"/>
        </w:rPr>
        <w:t>This sub-category includes income for R&amp;D from any private not-for-profit organisation located outside Australia. This includes income from mutuals, cooperatives, charities and foundations. This may also include R&amp;D income from international not-for-profit universities.</w:t>
      </w:r>
    </w:p>
    <w:p w14:paraId="7DDF89C4" w14:textId="77777777" w:rsidR="009D347E" w:rsidRPr="00FB7B35" w:rsidRDefault="009D347E" w:rsidP="009D347E">
      <w:pPr>
        <w:tabs>
          <w:tab w:val="num" w:pos="1134"/>
        </w:tabs>
        <w:spacing w:after="120"/>
        <w:rPr>
          <w:rFonts w:eastAsia="Times New Roman" w:cs="Arial"/>
        </w:rPr>
      </w:pPr>
      <w:r w:rsidRPr="00FB7B35">
        <w:rPr>
          <w:rFonts w:eastAsia="Times New Roman" w:cs="Arial"/>
        </w:rPr>
        <w:t xml:space="preserve">This sub-category can include grants from international not-for-profit organisations. </w:t>
      </w:r>
    </w:p>
    <w:p w14:paraId="03B53019" w14:textId="7D91A843" w:rsidR="009D347E" w:rsidRPr="00FB7B35" w:rsidRDefault="009D347E" w:rsidP="009D347E">
      <w:pPr>
        <w:tabs>
          <w:tab w:val="num" w:pos="1134"/>
        </w:tabs>
        <w:spacing w:after="120"/>
        <w:rPr>
          <w:rFonts w:eastAsia="Times New Roman" w:cs="Arial"/>
        </w:rPr>
      </w:pPr>
      <w:r w:rsidRPr="00FB7B35">
        <w:rPr>
          <w:rFonts w:eastAsia="Times New Roman" w:cs="Arial"/>
        </w:rPr>
        <w:lastRenderedPageBreak/>
        <w:t>If a HEP is unsure of the not-for-profit status of the international organisation, it is recommended that the organisation be contacted. A not-for-profit organisation does not operate for the profit or gain of its individual members, whether these gains would have been direct or indirect. A not</w:t>
      </w:r>
      <w:r w:rsidRPr="00FB7B35">
        <w:rPr>
          <w:rFonts w:eastAsia="Times New Roman" w:cs="Arial"/>
        </w:rPr>
        <w:noBreakHyphen/>
        <w:t>for</w:t>
      </w:r>
      <w:r w:rsidRPr="00FB7B35">
        <w:rPr>
          <w:rFonts w:eastAsia="Times New Roman" w:cs="Arial"/>
        </w:rPr>
        <w:noBreakHyphen/>
        <w:t>profit organisation can take many forms. For further guidance on how to identify not</w:t>
      </w:r>
      <w:r w:rsidRPr="00FB7B35">
        <w:rPr>
          <w:rFonts w:eastAsia="Times New Roman" w:cs="Arial"/>
        </w:rPr>
        <w:noBreakHyphen/>
        <w:t>for</w:t>
      </w:r>
      <w:r w:rsidRPr="00FB7B35">
        <w:rPr>
          <w:rFonts w:eastAsia="Times New Roman" w:cs="Arial"/>
        </w:rPr>
        <w:noBreakHyphen/>
        <w:t xml:space="preserve">profit organisations, please refer to the </w:t>
      </w:r>
      <w:hyperlink r:id="rId47" w:history="1">
        <w:r w:rsidRPr="00572D68">
          <w:rPr>
            <w:rStyle w:val="Hyperlink"/>
          </w:rPr>
          <w:t>ACNC</w:t>
        </w:r>
      </w:hyperlink>
      <w:r w:rsidR="00D637AE" w:rsidRPr="00D637AE">
        <w:t xml:space="preserve"> website</w:t>
      </w:r>
      <w:r w:rsidRPr="00FB7B35">
        <w:rPr>
          <w:rFonts w:eastAsia="Times New Roman" w:cs="Arial"/>
        </w:rPr>
        <w:t>.</w:t>
      </w:r>
    </w:p>
    <w:p w14:paraId="5902E75A" w14:textId="77777777" w:rsidR="009D347E" w:rsidRPr="00FB7B35" w:rsidRDefault="009D347E" w:rsidP="00D637AE">
      <w:pPr>
        <w:pStyle w:val="Heading4"/>
      </w:pPr>
      <w:r w:rsidRPr="00FB7B35">
        <w:t xml:space="preserve">Sub-category 3.6 </w:t>
      </w:r>
      <w:r>
        <w:t>i</w:t>
      </w:r>
      <w:r w:rsidRPr="00FB7B35">
        <w:t xml:space="preserve">nternational philanthropy </w:t>
      </w:r>
    </w:p>
    <w:p w14:paraId="5F725158" w14:textId="77777777" w:rsidR="009D347E" w:rsidRPr="00FB7B35" w:rsidRDefault="009D347E" w:rsidP="009D347E">
      <w:pPr>
        <w:tabs>
          <w:tab w:val="num" w:pos="709"/>
          <w:tab w:val="num" w:pos="1134"/>
        </w:tabs>
        <w:spacing w:after="120"/>
        <w:rPr>
          <w:rFonts w:eastAsia="Times New Roman" w:cs="Arial"/>
        </w:rPr>
      </w:pPr>
      <w:r w:rsidRPr="00FB7B35">
        <w:rPr>
          <w:rFonts w:eastAsia="Times New Roman" w:cs="Arial"/>
        </w:rPr>
        <w:t xml:space="preserve">This sub-category includes donations, bequests and endowments for the conduct of R&amp;D that have been received from any international source. Please refer to the definitions and notes for donations, bequests and endowments in </w:t>
      </w:r>
      <w:r w:rsidRPr="00FB7B35">
        <w:rPr>
          <w:rFonts w:eastAsia="Times New Roman" w:cs="Arial"/>
          <w:iCs/>
        </w:rPr>
        <w:t>sub-category 3.3</w:t>
      </w:r>
      <w:r w:rsidRPr="00FB7B35">
        <w:rPr>
          <w:rFonts w:eastAsia="Times New Roman" w:cs="Arial"/>
        </w:rPr>
        <w:t xml:space="preserve"> above.</w:t>
      </w:r>
    </w:p>
    <w:p w14:paraId="3FA77B27" w14:textId="77777777" w:rsidR="009D347E" w:rsidRPr="00FB7B35" w:rsidRDefault="009D347E" w:rsidP="006108A9">
      <w:pPr>
        <w:pStyle w:val="Heading3"/>
      </w:pPr>
      <w:bookmarkStart w:id="331" w:name="_Toc81230928"/>
      <w:bookmarkStart w:id="332" w:name="_Toc92461304"/>
      <w:bookmarkStart w:id="333" w:name="_Toc147503839"/>
      <w:bookmarkStart w:id="334" w:name="_Toc185251843"/>
      <w:r w:rsidRPr="00FB7B35">
        <w:t>5.3.3</w:t>
      </w:r>
      <w:r w:rsidRPr="00FB7B35">
        <w:tab/>
        <w:t>International government</w:t>
      </w:r>
      <w:bookmarkEnd w:id="331"/>
      <w:bookmarkEnd w:id="332"/>
      <w:bookmarkEnd w:id="333"/>
      <w:bookmarkEnd w:id="334"/>
      <w:r w:rsidRPr="00FB7B35">
        <w:t xml:space="preserve"> </w:t>
      </w:r>
    </w:p>
    <w:p w14:paraId="172C6D5F" w14:textId="77777777" w:rsidR="009D347E" w:rsidRPr="00FB7B35" w:rsidRDefault="009D347E" w:rsidP="009D347E">
      <w:pPr>
        <w:tabs>
          <w:tab w:val="left" w:pos="720"/>
        </w:tabs>
        <w:spacing w:after="120"/>
        <w:rPr>
          <w:rFonts w:eastAsia="Times New Roman" w:cs="Arial"/>
        </w:rPr>
      </w:pPr>
      <w:r w:rsidRPr="00FB7B35">
        <w:rPr>
          <w:rFonts w:eastAsia="Times New Roman" w:cs="Arial"/>
        </w:rPr>
        <w:t>‘Government’, in the international context, can also include supra-national or intergovernmental organisations such as the European Commission, OECD and United Nations. This applies to sub-categories 3.4 and 3.5.</w:t>
      </w:r>
    </w:p>
    <w:p w14:paraId="1E6CA610" w14:textId="77777777" w:rsidR="009D347E" w:rsidRPr="00FB7B35" w:rsidRDefault="009D347E" w:rsidP="009D347E">
      <w:pPr>
        <w:tabs>
          <w:tab w:val="left" w:pos="720"/>
        </w:tabs>
        <w:spacing w:after="120"/>
        <w:rPr>
          <w:rFonts w:eastAsia="Times New Roman" w:cs="Arial"/>
        </w:rPr>
      </w:pPr>
      <w:r w:rsidRPr="00FB7B35">
        <w:rPr>
          <w:rFonts w:eastAsia="Times New Roman" w:cs="Arial"/>
        </w:rPr>
        <w:t xml:space="preserve">In allocating the R&amp;D income to a specific sub-category of international government R&amp;D income, a HEP should determine which party is the primary beneficiary from the R&amp;D activity (and associated rights to intellectual property or other non-financial assets) undertaken by the HEP or its subsidiary. HEPs are required to consult the terms and conditions of an agreement, particularly any identified intellectual property clauses to help determine which sub-category to allocate funding to. </w:t>
      </w:r>
    </w:p>
    <w:p w14:paraId="492B7167" w14:textId="77777777" w:rsidR="009D347E" w:rsidRPr="00FB7B35" w:rsidRDefault="009D347E" w:rsidP="009D347E">
      <w:pPr>
        <w:tabs>
          <w:tab w:val="left" w:pos="720"/>
        </w:tabs>
        <w:spacing w:after="120"/>
        <w:rPr>
          <w:rFonts w:eastAsia="Times New Roman" w:cs="Arial"/>
        </w:rPr>
      </w:pPr>
      <w:r w:rsidRPr="00FB7B35">
        <w:rPr>
          <w:rFonts w:eastAsia="Times New Roman" w:cs="Arial"/>
        </w:rPr>
        <w:t>The department has a strict interpretation that in cases where there is a requirement that the HEP must license or assign any arising intellectual property back to an international government, then such income must be defined as own purpose. This includes cases where there is shared ownership of intellectual property rights.</w:t>
      </w:r>
    </w:p>
    <w:p w14:paraId="22AA6219" w14:textId="77777777" w:rsidR="009D347E" w:rsidRPr="00D637AE" w:rsidRDefault="009D347E" w:rsidP="00D637AE">
      <w:pPr>
        <w:pStyle w:val="Heading4"/>
      </w:pPr>
      <w:r w:rsidRPr="00D637AE">
        <w:t>Sub-category 3.7 international government (own purpose)</w:t>
      </w:r>
    </w:p>
    <w:p w14:paraId="7D821F36" w14:textId="77777777" w:rsidR="009D347E" w:rsidRPr="00FB7B35" w:rsidRDefault="009D347E" w:rsidP="00C00377">
      <w:pPr>
        <w:tabs>
          <w:tab w:val="left" w:pos="720"/>
        </w:tabs>
        <w:spacing w:after="120"/>
        <w:rPr>
          <w:rFonts w:eastAsia="Times New Roman" w:cs="Arial"/>
        </w:rPr>
      </w:pPr>
      <w:r w:rsidRPr="00FB7B35">
        <w:rPr>
          <w:rFonts w:eastAsia="Times New Roman" w:cs="Arial"/>
        </w:rPr>
        <w:t>This sub-category includes income from government commissioned R&amp;D services covered by a contract or other enforceable agreement. This sub-category can also include cash contributions to Australian competitive grants (excluding in kind contributions). As a general guide, HEPs should report R&amp;D income in the own purpose category where the HEP must licence, option or assign all or part of the intellectual property (or other non-financial asset) arising from the agreement back to the international government customer. In the case of shared ownership of intellectual property rights, HEP income should also be reported as own purpose.</w:t>
      </w:r>
    </w:p>
    <w:p w14:paraId="03F45B6C" w14:textId="77777777" w:rsidR="009D347E" w:rsidRPr="00D637AE" w:rsidRDefault="009D347E" w:rsidP="00D637AE">
      <w:pPr>
        <w:pStyle w:val="Heading4"/>
      </w:pPr>
      <w:r w:rsidRPr="00D637AE">
        <w:t>Sub-category 3.8 international government (other)</w:t>
      </w:r>
    </w:p>
    <w:p w14:paraId="18B48C35" w14:textId="0B86AC99" w:rsidR="009D347E" w:rsidRPr="0039778B" w:rsidRDefault="009D347E" w:rsidP="00226696">
      <w:pPr>
        <w:tabs>
          <w:tab w:val="left" w:pos="720"/>
        </w:tabs>
        <w:spacing w:after="120"/>
        <w:rPr>
          <w:rFonts w:eastAsia="Times New Roman" w:cs="Arial"/>
        </w:rPr>
      </w:pPr>
      <w:r w:rsidRPr="00FB7B35">
        <w:rPr>
          <w:rFonts w:eastAsia="Times New Roman" w:cs="Arial"/>
        </w:rPr>
        <w:t xml:space="preserve">This sub-category includes all other R&amp;D income from international government agencies and authorities, for example, competitive grants. </w:t>
      </w:r>
      <w:r w:rsidR="00E05C97">
        <w:rPr>
          <w:rFonts w:eastAsia="Times New Roman" w:cs="Arial"/>
        </w:rPr>
        <w:t>A s</w:t>
      </w:r>
      <w:r w:rsidR="00E05C97" w:rsidRPr="00FB7B35">
        <w:rPr>
          <w:rFonts w:eastAsia="Times New Roman" w:cs="Arial"/>
        </w:rPr>
        <w:t xml:space="preserve">pecific </w:t>
      </w:r>
      <w:r w:rsidRPr="00FB7B35">
        <w:rPr>
          <w:rFonts w:eastAsia="Times New Roman" w:cs="Arial"/>
        </w:rPr>
        <w:t xml:space="preserve">example </w:t>
      </w:r>
      <w:r w:rsidR="00E05C97">
        <w:rPr>
          <w:rFonts w:eastAsia="Times New Roman" w:cs="Arial"/>
        </w:rPr>
        <w:t>is</w:t>
      </w:r>
      <w:r w:rsidR="00E05C97" w:rsidRPr="00FB7B35">
        <w:rPr>
          <w:rFonts w:eastAsia="Times New Roman" w:cs="Arial"/>
        </w:rPr>
        <w:t xml:space="preserve"> </w:t>
      </w:r>
      <w:r w:rsidRPr="00FB7B35">
        <w:rPr>
          <w:rFonts w:eastAsia="Times New Roman" w:cs="Arial"/>
        </w:rPr>
        <w:t xml:space="preserve">research grants from the European Commission’s </w:t>
      </w:r>
      <w:hyperlink r:id="rId48" w:history="1">
        <w:r w:rsidRPr="007A2B63">
          <w:rPr>
            <w:rStyle w:val="Hyperlink"/>
          </w:rPr>
          <w:t>Horizon Europe</w:t>
        </w:r>
      </w:hyperlink>
      <w:r w:rsidRPr="00FB7B35">
        <w:rPr>
          <w:rFonts w:eastAsia="Times New Roman" w:cs="Arial"/>
        </w:rPr>
        <w:t xml:space="preserve"> program.</w:t>
      </w:r>
    </w:p>
    <w:p w14:paraId="26A114C1" w14:textId="77777777" w:rsidR="009D347E" w:rsidRPr="00AA2A39" w:rsidRDefault="009D347E" w:rsidP="00AA2A39">
      <w:pPr>
        <w:pStyle w:val="Heading2"/>
      </w:pPr>
      <w:bookmarkStart w:id="335" w:name="_Toc491171975"/>
      <w:bookmarkStart w:id="336" w:name="_Toc491172068"/>
      <w:bookmarkStart w:id="337" w:name="_Toc491172355"/>
      <w:bookmarkStart w:id="338" w:name="_Toc491172580"/>
      <w:bookmarkStart w:id="339" w:name="_Toc491172996"/>
      <w:bookmarkStart w:id="340" w:name="_Toc523214689"/>
      <w:bookmarkStart w:id="341" w:name="_Toc27055373"/>
      <w:bookmarkStart w:id="342" w:name="_Toc81230929"/>
      <w:bookmarkStart w:id="343" w:name="_Toc92461305"/>
      <w:bookmarkStart w:id="344" w:name="_Toc147503840"/>
      <w:bookmarkStart w:id="345" w:name="_Toc185251844"/>
      <w:bookmarkEnd w:id="335"/>
      <w:bookmarkEnd w:id="336"/>
      <w:bookmarkEnd w:id="337"/>
      <w:bookmarkEnd w:id="338"/>
      <w:r w:rsidRPr="00AA2A39">
        <w:t>5.4</w:t>
      </w:r>
      <w:r w:rsidRPr="00AA2A39">
        <w:tab/>
        <w:t>Category 4: CRC R&amp;D income</w:t>
      </w:r>
      <w:bookmarkEnd w:id="339"/>
      <w:bookmarkEnd w:id="340"/>
      <w:bookmarkEnd w:id="341"/>
      <w:bookmarkEnd w:id="342"/>
      <w:bookmarkEnd w:id="343"/>
      <w:bookmarkEnd w:id="344"/>
      <w:bookmarkEnd w:id="345"/>
    </w:p>
    <w:p w14:paraId="0CA5FD38" w14:textId="5A585EBE" w:rsidR="009D347E" w:rsidRPr="00FB7B35" w:rsidRDefault="009D347E" w:rsidP="009D347E">
      <w:pPr>
        <w:spacing w:after="120"/>
        <w:rPr>
          <w:rFonts w:eastAsia="Times New Roman" w:cs="Arial"/>
        </w:rPr>
      </w:pPr>
      <w:bookmarkStart w:id="346" w:name="_8.1_General_requirements"/>
      <w:bookmarkStart w:id="347" w:name="_Toc87171325"/>
      <w:bookmarkEnd w:id="346"/>
      <w:r w:rsidRPr="00FB7B35">
        <w:rPr>
          <w:rFonts w:eastAsia="Times New Roman" w:cs="Arial"/>
        </w:rPr>
        <w:t xml:space="preserve">Under </w:t>
      </w:r>
      <w:r w:rsidRPr="00FB7B35">
        <w:rPr>
          <w:rFonts w:eastAsia="Times New Roman" w:cs="Arial"/>
          <w:iCs/>
        </w:rPr>
        <w:t>Category 4,</w:t>
      </w:r>
      <w:r w:rsidRPr="00FB7B35">
        <w:rPr>
          <w:rFonts w:eastAsia="Times New Roman" w:cs="Arial"/>
        </w:rPr>
        <w:t xml:space="preserve"> HEPs must report the R&amp;D income from a CRC in which they were defined within the Commonwealth Agreement as a ‘Participant’ and are a signatory to the CRC</w:t>
      </w:r>
      <w:r w:rsidR="003007CA">
        <w:rPr>
          <w:rFonts w:eastAsia="Times New Roman" w:cs="Arial"/>
        </w:rPr>
        <w:t>’</w:t>
      </w:r>
      <w:r w:rsidRPr="00FB7B35">
        <w:rPr>
          <w:rFonts w:eastAsia="Times New Roman" w:cs="Arial"/>
        </w:rPr>
        <w:t>s Commonwealth Agreement or Participant</w:t>
      </w:r>
      <w:r w:rsidR="003007CA">
        <w:rPr>
          <w:rFonts w:eastAsia="Times New Roman" w:cs="Arial"/>
        </w:rPr>
        <w:t>’</w:t>
      </w:r>
      <w:r w:rsidRPr="00FB7B35">
        <w:rPr>
          <w:rFonts w:eastAsia="Times New Roman" w:cs="Arial"/>
        </w:rPr>
        <w:t xml:space="preserve">s Agreement. </w:t>
      </w:r>
    </w:p>
    <w:p w14:paraId="56EFFD4C" w14:textId="77777777" w:rsidR="009D347E" w:rsidRPr="00FB7B35" w:rsidRDefault="009D347E" w:rsidP="009D347E">
      <w:pPr>
        <w:spacing w:after="120"/>
        <w:rPr>
          <w:rFonts w:eastAsia="Times New Roman" w:cs="Arial"/>
        </w:rPr>
      </w:pPr>
      <w:r w:rsidRPr="00FB7B35">
        <w:rPr>
          <w:rFonts w:eastAsia="Times New Roman" w:cs="Arial"/>
          <w:iCs/>
        </w:rPr>
        <w:t>Category 4</w:t>
      </w:r>
      <w:r w:rsidRPr="00FB7B35">
        <w:rPr>
          <w:rFonts w:eastAsia="Times New Roman" w:cs="Arial"/>
        </w:rPr>
        <w:t xml:space="preserve"> CRC R&amp;D income includes HEP income received from CRC Projects (CRC-P), which support short-term collaborative research projects. This must be categorised as </w:t>
      </w:r>
      <w:r w:rsidRPr="00FB7B35">
        <w:rPr>
          <w:rFonts w:eastAsia="Times New Roman" w:cs="Arial"/>
          <w:iCs/>
        </w:rPr>
        <w:t>Category 4</w:t>
      </w:r>
      <w:r w:rsidRPr="00FB7B35">
        <w:rPr>
          <w:rFonts w:eastAsia="Times New Roman" w:cs="Arial"/>
        </w:rPr>
        <w:t xml:space="preserve"> R&amp;D income, </w:t>
      </w:r>
      <w:r w:rsidRPr="00FB7B35">
        <w:rPr>
          <w:rFonts w:eastAsia="Times New Roman" w:cs="Arial"/>
        </w:rPr>
        <w:lastRenderedPageBreak/>
        <w:t xml:space="preserve">even if a HEP determines that the income is awarded on a competitive basis. Please note other references to CRC R&amp;D income in </w:t>
      </w:r>
      <w:r w:rsidRPr="00FB7B35">
        <w:rPr>
          <w:rFonts w:eastAsia="Times New Roman" w:cs="Arial"/>
          <w:b/>
        </w:rPr>
        <w:t>sections 4.1, 4.2, 4.6 and 5.2</w:t>
      </w:r>
      <w:r w:rsidRPr="003007CA">
        <w:rPr>
          <w:rFonts w:eastAsia="Times New Roman" w:cs="Arial"/>
        </w:rPr>
        <w:t>.</w:t>
      </w:r>
    </w:p>
    <w:p w14:paraId="4FD5300A" w14:textId="77777777" w:rsidR="009D347E" w:rsidRPr="00FB7B35" w:rsidRDefault="009D347E" w:rsidP="009D347E">
      <w:pPr>
        <w:spacing w:after="120"/>
        <w:rPr>
          <w:rFonts w:cs="Arial"/>
        </w:rPr>
      </w:pPr>
      <w:r w:rsidRPr="00FB7B35">
        <w:rPr>
          <w:rFonts w:cs="Arial"/>
        </w:rPr>
        <w:t>HEPs must consolidate the R&amp;D income from all CRCs in which they were a Participant and enter this into their R&amp;D income return, sub-categorised as appropriate. This data does not need to be split between HEPs and their subsidiaries.</w:t>
      </w:r>
    </w:p>
    <w:p w14:paraId="40A0CAE5" w14:textId="489823BA" w:rsidR="009D347E" w:rsidRPr="00FB7B35" w:rsidRDefault="009D347E" w:rsidP="009D347E">
      <w:pPr>
        <w:spacing w:after="120"/>
        <w:rPr>
          <w:rFonts w:cs="Arial"/>
        </w:rPr>
      </w:pPr>
      <w:r w:rsidRPr="00FB7B35">
        <w:rPr>
          <w:rFonts w:cs="Arial"/>
          <w:iCs/>
        </w:rPr>
        <w:t>Category 4</w:t>
      </w:r>
      <w:r w:rsidRPr="00FB7B35">
        <w:rPr>
          <w:rFonts w:cs="Arial"/>
        </w:rPr>
        <w:t xml:space="preserve"> is comprised of the following </w:t>
      </w:r>
      <w:r w:rsidR="00F23B8A">
        <w:rPr>
          <w:rFonts w:cs="Arial"/>
        </w:rPr>
        <w:t>3</w:t>
      </w:r>
      <w:r w:rsidRPr="00FB7B35">
        <w:rPr>
          <w:rFonts w:cs="Arial"/>
        </w:rPr>
        <w:t xml:space="preserve"> sub-categories:</w:t>
      </w:r>
    </w:p>
    <w:p w14:paraId="7394962B" w14:textId="77777777" w:rsidR="009D347E" w:rsidRPr="00D637AE" w:rsidRDefault="009D347E" w:rsidP="00D637AE">
      <w:pPr>
        <w:pStyle w:val="Heading31"/>
      </w:pPr>
      <w:r w:rsidRPr="00D637AE">
        <w:t>Sub-category 4.1 R&amp;D income received from CRCs derived from Australian Government grants to CRCs</w:t>
      </w:r>
    </w:p>
    <w:p w14:paraId="2651EDCD" w14:textId="77777777" w:rsidR="009D347E" w:rsidRPr="00FB7B35" w:rsidRDefault="009D347E" w:rsidP="009D347E">
      <w:pPr>
        <w:spacing w:after="120"/>
        <w:rPr>
          <w:rFonts w:eastAsia="Times New Roman" w:cs="Arial"/>
          <w:b/>
          <w:i/>
        </w:rPr>
      </w:pPr>
      <w:r w:rsidRPr="00FB7B35">
        <w:rPr>
          <w:rFonts w:eastAsia="Times New Roman" w:cs="Arial"/>
        </w:rPr>
        <w:t>This sub-category includes income to the HEP derived from Commonwealth CRC program grants.</w:t>
      </w:r>
    </w:p>
    <w:p w14:paraId="301CA6D1" w14:textId="77777777" w:rsidR="009D347E" w:rsidRPr="00D637AE" w:rsidRDefault="009D347E" w:rsidP="00D637AE">
      <w:pPr>
        <w:pStyle w:val="Heading31"/>
      </w:pPr>
      <w:r w:rsidRPr="00D637AE">
        <w:t>Sub-category 4.2 R&amp;D income received from CRCs derived from private industry participants of CRCs</w:t>
      </w:r>
    </w:p>
    <w:p w14:paraId="5638757E" w14:textId="77777777" w:rsidR="009D347E" w:rsidRPr="00FB7B35" w:rsidRDefault="009D347E" w:rsidP="009D347E">
      <w:pPr>
        <w:keepNext/>
        <w:keepLines/>
        <w:spacing w:after="120"/>
        <w:rPr>
          <w:rFonts w:eastAsia="Times New Roman" w:cs="Arial"/>
          <w:b/>
          <w:i/>
        </w:rPr>
      </w:pPr>
      <w:r w:rsidRPr="00FB7B35">
        <w:rPr>
          <w:rFonts w:eastAsia="Times New Roman" w:cs="Arial"/>
        </w:rPr>
        <w:t>This sub-category includes income to the HEP from private business CRC participants. This includes both for-profit and not-for profit businesses.</w:t>
      </w:r>
    </w:p>
    <w:p w14:paraId="4F004D3F" w14:textId="77777777" w:rsidR="009D347E" w:rsidRPr="00D637AE" w:rsidRDefault="009D347E" w:rsidP="00D637AE">
      <w:pPr>
        <w:pStyle w:val="Heading31"/>
      </w:pPr>
      <w:r w:rsidRPr="00D637AE">
        <w:t>Sub-category 4.3 R&amp;D income received from CRCs derived from other sources</w:t>
      </w:r>
    </w:p>
    <w:p w14:paraId="6DF6257D" w14:textId="77777777" w:rsidR="00226696" w:rsidRDefault="009D347E" w:rsidP="009D347E">
      <w:pPr>
        <w:spacing w:after="120"/>
        <w:rPr>
          <w:rFonts w:eastAsia="Times New Roman" w:cs="Arial"/>
        </w:rPr>
      </w:pPr>
      <w:r w:rsidRPr="00FB7B35">
        <w:rPr>
          <w:rFonts w:eastAsia="Times New Roman" w:cs="Arial"/>
        </w:rPr>
        <w:t>This sub</w:t>
      </w:r>
      <w:r w:rsidRPr="00FB7B35">
        <w:rPr>
          <w:rFonts w:eastAsia="Times New Roman" w:cs="Arial"/>
        </w:rPr>
        <w:noBreakHyphen/>
        <w:t>category includes income to the HEP from all other CRC funding sources. This may include for example, cash funding from CRC government participants, contract R&amp;D or donations.</w:t>
      </w:r>
    </w:p>
    <w:p w14:paraId="3E1D9FAE" w14:textId="77777777" w:rsidR="009D347E" w:rsidRPr="00FB7B35" w:rsidRDefault="009D347E" w:rsidP="006108A9">
      <w:pPr>
        <w:pStyle w:val="Heading3"/>
      </w:pPr>
      <w:bookmarkStart w:id="348" w:name="_8.2_Arrangements_applying"/>
      <w:bookmarkStart w:id="349" w:name="_Toc168817227"/>
      <w:bookmarkStart w:id="350" w:name="_Toc168824846"/>
      <w:bookmarkStart w:id="351" w:name="_8.3_Eligible_research"/>
      <w:bookmarkStart w:id="352" w:name="_Toc96675251"/>
      <w:bookmarkStart w:id="353" w:name="_Toc115747832"/>
      <w:bookmarkStart w:id="354" w:name="_Toc116183000"/>
      <w:bookmarkStart w:id="355" w:name="_Toc115747833"/>
      <w:bookmarkStart w:id="356" w:name="_Toc116183001"/>
      <w:bookmarkStart w:id="357" w:name="_Toc115747835"/>
      <w:bookmarkStart w:id="358" w:name="_Toc116183003"/>
      <w:bookmarkStart w:id="359" w:name="_8.5_Breakdown_by"/>
      <w:bookmarkStart w:id="360" w:name="_Toc96678069"/>
      <w:bookmarkStart w:id="361" w:name="_Toc112733812"/>
      <w:bookmarkStart w:id="362" w:name="_Toc112734022"/>
      <w:bookmarkStart w:id="363" w:name="_Ref114295790"/>
      <w:bookmarkStart w:id="364" w:name="_Ref114295816"/>
      <w:bookmarkStart w:id="365" w:name="_Toc116183006"/>
      <w:bookmarkStart w:id="366" w:name="_Ref147804798"/>
      <w:bookmarkStart w:id="367" w:name="_Toc251924138"/>
      <w:bookmarkStart w:id="368" w:name="_Toc406668889"/>
      <w:bookmarkStart w:id="369" w:name="_Ref440032416"/>
      <w:bookmarkStart w:id="370" w:name="_Toc81230930"/>
      <w:bookmarkStart w:id="371" w:name="_Toc92461306"/>
      <w:bookmarkStart w:id="372" w:name="_Toc147503841"/>
      <w:bookmarkStart w:id="373" w:name="_Toc185251845"/>
      <w:bookmarkStart w:id="374" w:name="_Toc96678074"/>
      <w:bookmarkStart w:id="375" w:name="_Toc112733816"/>
      <w:bookmarkStart w:id="376" w:name="_Toc112734026"/>
      <w:bookmarkEnd w:id="348"/>
      <w:bookmarkEnd w:id="349"/>
      <w:bookmarkEnd w:id="350"/>
      <w:bookmarkEnd w:id="351"/>
      <w:bookmarkEnd w:id="352"/>
      <w:bookmarkEnd w:id="353"/>
      <w:bookmarkEnd w:id="354"/>
      <w:bookmarkEnd w:id="355"/>
      <w:bookmarkEnd w:id="356"/>
      <w:bookmarkEnd w:id="357"/>
      <w:bookmarkEnd w:id="358"/>
      <w:bookmarkEnd w:id="359"/>
      <w:r w:rsidRPr="00FB7B35">
        <w:t>5.4.1</w:t>
      </w:r>
      <w:r w:rsidRPr="00FB7B35">
        <w:tab/>
        <w:t>Breakdown by source category</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1183B9F2" w14:textId="0F9F6E9D" w:rsidR="009D347E" w:rsidRDefault="009D347E" w:rsidP="009D347E">
      <w:pPr>
        <w:spacing w:after="120"/>
        <w:rPr>
          <w:rFonts w:cs="Arial"/>
        </w:rPr>
      </w:pPr>
      <w:r w:rsidRPr="00FB7B35">
        <w:rPr>
          <w:rFonts w:cs="Arial"/>
        </w:rPr>
        <w:t xml:space="preserve">In some cases, CRC accounting systems do not readily distinguish between the funds provided to HEPs that are sourced from government grants, and funds sourced from non-HEP participants. If so, the CRC may split the funds between these </w:t>
      </w:r>
      <w:r w:rsidR="00F23B8A">
        <w:rPr>
          <w:rFonts w:cs="Arial"/>
        </w:rPr>
        <w:t>2</w:t>
      </w:r>
      <w:r w:rsidRPr="00FB7B35">
        <w:rPr>
          <w:rFonts w:cs="Arial"/>
        </w:rPr>
        <w:t xml:space="preserve"> components in the same proportion as the cash </w:t>
      </w:r>
      <w:r w:rsidRPr="00182797">
        <w:rPr>
          <w:rFonts w:cs="Arial"/>
        </w:rPr>
        <w:t>funding it receives from these sources. If the receipt of funds from external parties cannot be tracked separately, this principle also applies.</w:t>
      </w:r>
    </w:p>
    <w:p w14:paraId="607EC74F" w14:textId="77777777" w:rsidR="000C0710" w:rsidRDefault="000C0710" w:rsidP="00F95334">
      <w:pPr>
        <w:pBdr>
          <w:top w:val="single" w:sz="24" w:space="1" w:color="00254A" w:themeColor="text2"/>
          <w:left w:val="single" w:sz="24" w:space="4" w:color="00254A" w:themeColor="text2"/>
          <w:bottom w:val="single" w:sz="24" w:space="1" w:color="00254A" w:themeColor="text2"/>
          <w:right w:val="single" w:sz="24" w:space="4" w:color="00254A" w:themeColor="text2"/>
        </w:pBdr>
        <w:shd w:val="clear" w:color="auto" w:fill="F2F2F2" w:themeFill="background1" w:themeFillShade="F2"/>
        <w:spacing w:after="0"/>
        <w:rPr>
          <w:rFonts w:cs="Arial"/>
          <w:iCs/>
        </w:rPr>
      </w:pPr>
      <w:r w:rsidRPr="00182797">
        <w:rPr>
          <w:rFonts w:cs="Arial"/>
          <w:b/>
          <w:bCs/>
        </w:rPr>
        <w:t xml:space="preserve">Example: </w:t>
      </w:r>
      <w:r w:rsidRPr="00182797">
        <w:rPr>
          <w:rFonts w:cs="Arial"/>
          <w:iCs/>
        </w:rPr>
        <w:t>Over the period 1 January 2021 to 31 December 2021 (see section 4.1) a CRC receives cash funding into a single account from the following sources:</w:t>
      </w:r>
    </w:p>
    <w:p w14:paraId="5D862D78" w14:textId="77777777" w:rsidR="000C0710" w:rsidRPr="00182797" w:rsidRDefault="000C0710" w:rsidP="00F95334">
      <w:pPr>
        <w:pStyle w:val="ListBullet"/>
        <w:pBdr>
          <w:top w:val="single" w:sz="24" w:space="1" w:color="00254A" w:themeColor="text2"/>
          <w:left w:val="single" w:sz="24" w:space="4" w:color="00254A" w:themeColor="text2"/>
          <w:bottom w:val="single" w:sz="24" w:space="1" w:color="00254A" w:themeColor="text2"/>
          <w:right w:val="single" w:sz="24" w:space="4" w:color="00254A" w:themeColor="text2"/>
        </w:pBdr>
        <w:shd w:val="clear" w:color="auto" w:fill="F2F2F2" w:themeFill="background1" w:themeFillShade="F2"/>
        <w:spacing w:after="0"/>
        <w:ind w:left="357"/>
        <w:rPr>
          <w:b/>
          <w:bCs/>
        </w:rPr>
      </w:pPr>
      <w:r w:rsidRPr="00182797">
        <w:t>Australian HEP sources: $5 million (25%)</w:t>
      </w:r>
    </w:p>
    <w:p w14:paraId="7F8B3E8A" w14:textId="77777777" w:rsidR="000C0710" w:rsidRPr="00182797" w:rsidRDefault="000C0710" w:rsidP="00F95334">
      <w:pPr>
        <w:pStyle w:val="ListBullet"/>
        <w:pBdr>
          <w:top w:val="single" w:sz="24" w:space="1" w:color="00254A" w:themeColor="text2"/>
          <w:left w:val="single" w:sz="24" w:space="4" w:color="00254A" w:themeColor="text2"/>
          <w:bottom w:val="single" w:sz="24" w:space="1" w:color="00254A" w:themeColor="text2"/>
          <w:right w:val="single" w:sz="24" w:space="4" w:color="00254A" w:themeColor="text2"/>
        </w:pBdr>
        <w:shd w:val="clear" w:color="auto" w:fill="F2F2F2" w:themeFill="background1" w:themeFillShade="F2"/>
        <w:spacing w:after="0"/>
        <w:ind w:left="357"/>
        <w:rPr>
          <w:b/>
          <w:bCs/>
        </w:rPr>
      </w:pPr>
      <w:r w:rsidRPr="00182797">
        <w:t>Government grant: $3 million (15%)</w:t>
      </w:r>
    </w:p>
    <w:p w14:paraId="1BEB2E32" w14:textId="77777777" w:rsidR="000C0710" w:rsidRPr="00182797" w:rsidRDefault="000C0710" w:rsidP="00F95334">
      <w:pPr>
        <w:pStyle w:val="ListBullet"/>
        <w:pBdr>
          <w:top w:val="single" w:sz="24" w:space="1" w:color="00254A" w:themeColor="text2"/>
          <w:left w:val="single" w:sz="24" w:space="4" w:color="00254A" w:themeColor="text2"/>
          <w:bottom w:val="single" w:sz="24" w:space="1" w:color="00254A" w:themeColor="text2"/>
          <w:right w:val="single" w:sz="24" w:space="4" w:color="00254A" w:themeColor="text2"/>
        </w:pBdr>
        <w:shd w:val="clear" w:color="auto" w:fill="F2F2F2" w:themeFill="background1" w:themeFillShade="F2"/>
        <w:spacing w:after="0"/>
        <w:ind w:left="357"/>
        <w:rPr>
          <w:b/>
          <w:bCs/>
        </w:rPr>
      </w:pPr>
      <w:r w:rsidRPr="00182797">
        <w:t>Private industry participants: $7 million (35%)</w:t>
      </w:r>
    </w:p>
    <w:p w14:paraId="2857E398" w14:textId="77777777" w:rsidR="000C0710" w:rsidRPr="00182797" w:rsidRDefault="000C0710" w:rsidP="00F95334">
      <w:pPr>
        <w:pStyle w:val="ListBullet"/>
        <w:pBdr>
          <w:top w:val="single" w:sz="24" w:space="1" w:color="00254A" w:themeColor="text2"/>
          <w:left w:val="single" w:sz="24" w:space="4" w:color="00254A" w:themeColor="text2"/>
          <w:bottom w:val="single" w:sz="24" w:space="1" w:color="00254A" w:themeColor="text2"/>
          <w:right w:val="single" w:sz="24" w:space="4" w:color="00254A" w:themeColor="text2"/>
        </w:pBdr>
        <w:shd w:val="clear" w:color="auto" w:fill="F2F2F2" w:themeFill="background1" w:themeFillShade="F2"/>
        <w:spacing w:after="0"/>
        <w:ind w:left="357"/>
        <w:rPr>
          <w:b/>
          <w:bCs/>
        </w:rPr>
      </w:pPr>
      <w:r w:rsidRPr="00182797">
        <w:t>Other sources: $5 million (25%)</w:t>
      </w:r>
    </w:p>
    <w:p w14:paraId="057AA86E" w14:textId="5AACC778" w:rsidR="000C0710" w:rsidRDefault="000C0710" w:rsidP="00F95334">
      <w:pPr>
        <w:pBdr>
          <w:top w:val="single" w:sz="24" w:space="1" w:color="00254A" w:themeColor="text2"/>
          <w:left w:val="single" w:sz="24" w:space="4" w:color="00254A" w:themeColor="text2"/>
          <w:bottom w:val="single" w:sz="24" w:space="1" w:color="00254A" w:themeColor="text2"/>
          <w:right w:val="single" w:sz="24" w:space="4" w:color="00254A" w:themeColor="text2"/>
        </w:pBdr>
        <w:shd w:val="clear" w:color="auto" w:fill="F2F2F2" w:themeFill="background1" w:themeFillShade="F2"/>
        <w:spacing w:after="0"/>
        <w:rPr>
          <w:rFonts w:cs="Arial"/>
        </w:rPr>
      </w:pPr>
      <w:r w:rsidRPr="00182797">
        <w:rPr>
          <w:rFonts w:cs="Arial"/>
        </w:rPr>
        <w:t>If the CRC allocates $800,000 of the funds (which is not readily able to</w:t>
      </w:r>
      <w:r w:rsidR="005607D8">
        <w:rPr>
          <w:rFonts w:cs="Arial"/>
        </w:rPr>
        <w:t xml:space="preserve"> be</w:t>
      </w:r>
      <w:r w:rsidRPr="00182797">
        <w:rPr>
          <w:rFonts w:cs="Arial"/>
        </w:rPr>
        <w:t xml:space="preserve"> attribute</w:t>
      </w:r>
      <w:r w:rsidR="005607D8">
        <w:rPr>
          <w:rFonts w:cs="Arial"/>
        </w:rPr>
        <w:t>d</w:t>
      </w:r>
      <w:r w:rsidRPr="00182797">
        <w:rPr>
          <w:rFonts w:cs="Arial"/>
        </w:rPr>
        <w:t xml:space="preserve"> to any particular sources) to HEP X for R&amp;D purposes, in its Certified Statement for HEP X, the CRC may attribute:</w:t>
      </w:r>
    </w:p>
    <w:p w14:paraId="2B41240D" w14:textId="2FF287A1" w:rsidR="00CE44B3" w:rsidRPr="00182797" w:rsidRDefault="00CE44B3" w:rsidP="00F95334">
      <w:pPr>
        <w:pStyle w:val="ListBullet"/>
        <w:pBdr>
          <w:top w:val="single" w:sz="24" w:space="1" w:color="00254A" w:themeColor="text2"/>
          <w:left w:val="single" w:sz="24" w:space="4" w:color="00254A" w:themeColor="text2"/>
          <w:bottom w:val="single" w:sz="24" w:space="1" w:color="00254A" w:themeColor="text2"/>
          <w:right w:val="single" w:sz="24" w:space="4" w:color="00254A" w:themeColor="text2"/>
        </w:pBdr>
        <w:shd w:val="clear" w:color="auto" w:fill="F2F2F2" w:themeFill="background1" w:themeFillShade="F2"/>
        <w:spacing w:after="0"/>
        <w:ind w:left="357"/>
        <w:rPr>
          <w:b/>
          <w:bCs/>
        </w:rPr>
      </w:pPr>
      <w:r>
        <w:t>$120,00</w:t>
      </w:r>
      <w:r w:rsidRPr="00182797">
        <w:t xml:space="preserve">0 (15% of the $800,000) to the ‘Allocation of funds from Commonwealth grant’ component </w:t>
      </w:r>
    </w:p>
    <w:p w14:paraId="7D10DCA9" w14:textId="41129E3A" w:rsidR="00CE44B3" w:rsidRPr="00C91C51" w:rsidRDefault="00CE44B3" w:rsidP="00F95334">
      <w:pPr>
        <w:pStyle w:val="ListBullet"/>
        <w:pBdr>
          <w:top w:val="single" w:sz="24" w:space="1" w:color="00254A" w:themeColor="text2"/>
          <w:left w:val="single" w:sz="24" w:space="4" w:color="00254A" w:themeColor="text2"/>
          <w:bottom w:val="single" w:sz="24" w:space="1" w:color="00254A" w:themeColor="text2"/>
          <w:right w:val="single" w:sz="24" w:space="4" w:color="00254A" w:themeColor="text2"/>
        </w:pBdr>
        <w:shd w:val="clear" w:color="auto" w:fill="F2F2F2" w:themeFill="background1" w:themeFillShade="F2"/>
        <w:spacing w:after="0"/>
        <w:ind w:left="357"/>
        <w:rPr>
          <w:b/>
          <w:bCs/>
        </w:rPr>
      </w:pPr>
      <w:r>
        <w:t>$</w:t>
      </w:r>
      <w:r w:rsidRPr="00182797">
        <w:t>280,000 (35% of the $800,000) to the ‘Allocation of funds from Private industry participants’ component and</w:t>
      </w:r>
    </w:p>
    <w:p w14:paraId="3DF4A990" w14:textId="60ECB2B1" w:rsidR="00CE44B3" w:rsidRPr="00182797" w:rsidRDefault="00CE44B3" w:rsidP="00F95334">
      <w:pPr>
        <w:pStyle w:val="ListBullet"/>
        <w:pBdr>
          <w:top w:val="single" w:sz="24" w:space="1" w:color="00254A" w:themeColor="text2"/>
          <w:left w:val="single" w:sz="24" w:space="4" w:color="00254A" w:themeColor="text2"/>
          <w:bottom w:val="single" w:sz="24" w:space="1" w:color="00254A" w:themeColor="text2"/>
          <w:right w:val="single" w:sz="24" w:space="4" w:color="00254A" w:themeColor="text2"/>
        </w:pBdr>
        <w:shd w:val="clear" w:color="auto" w:fill="F2F2F2" w:themeFill="background1" w:themeFillShade="F2"/>
        <w:spacing w:after="0"/>
        <w:ind w:left="357"/>
        <w:rPr>
          <w:b/>
          <w:bCs/>
        </w:rPr>
      </w:pPr>
      <w:r>
        <w:t>$</w:t>
      </w:r>
      <w:r w:rsidRPr="00182797">
        <w:t>200,000 (25% of the $800,000) to the ‘Allocation of funds from other sources’ component.</w:t>
      </w:r>
    </w:p>
    <w:p w14:paraId="71678B25" w14:textId="187626C0" w:rsidR="000C0710" w:rsidRPr="00257932" w:rsidRDefault="000C0710" w:rsidP="00F95334">
      <w:pPr>
        <w:pBdr>
          <w:top w:val="single" w:sz="24" w:space="1" w:color="00254A" w:themeColor="text2"/>
          <w:left w:val="single" w:sz="24" w:space="4" w:color="00254A" w:themeColor="text2"/>
          <w:bottom w:val="single" w:sz="24" w:space="1" w:color="00254A" w:themeColor="text2"/>
          <w:right w:val="single" w:sz="24" w:space="4" w:color="00254A" w:themeColor="text2"/>
        </w:pBdr>
        <w:shd w:val="clear" w:color="auto" w:fill="F2F2F2" w:themeFill="background1" w:themeFillShade="F2"/>
        <w:spacing w:after="120"/>
        <w:rPr>
          <w:rFonts w:cs="Arial"/>
          <w:b/>
          <w:bCs/>
        </w:rPr>
      </w:pPr>
      <w:r w:rsidRPr="00572D68">
        <w:rPr>
          <w:rFonts w:cs="Arial"/>
        </w:rPr>
        <w:t>The 25% share of the $800,000 sourced from Australian HEPs is not able to be counted.</w:t>
      </w:r>
    </w:p>
    <w:p w14:paraId="669F47AB" w14:textId="2A7A874A" w:rsidR="009D347E" w:rsidRPr="00FB7B35" w:rsidRDefault="009D347E" w:rsidP="00F95334">
      <w:pPr>
        <w:rPr>
          <w:rFonts w:eastAsiaTheme="majorEastAsia" w:cstheme="majorBidi"/>
          <w:b/>
          <w:color w:val="205E29"/>
        </w:rPr>
      </w:pPr>
      <w:bookmarkStart w:id="377" w:name="_Toc96678098"/>
      <w:bookmarkStart w:id="378" w:name="_Toc112733840"/>
      <w:bookmarkStart w:id="379" w:name="_Toc112734050"/>
      <w:bookmarkStart w:id="380" w:name="_Toc116183056"/>
      <w:bookmarkStart w:id="381" w:name="_Toc251924151"/>
      <w:bookmarkStart w:id="382" w:name="_Toc406668925"/>
      <w:bookmarkStart w:id="383" w:name="_Toc482284847"/>
      <w:bookmarkStart w:id="384" w:name="_Toc489438094"/>
      <w:bookmarkStart w:id="385" w:name="_Toc489955877"/>
      <w:bookmarkStart w:id="386" w:name="_Toc491172997"/>
      <w:bookmarkStart w:id="387" w:name="_Toc523214690"/>
      <w:bookmarkStart w:id="388" w:name="_Toc27055374"/>
      <w:bookmarkEnd w:id="347"/>
      <w:bookmarkEnd w:id="374"/>
      <w:bookmarkEnd w:id="375"/>
      <w:bookmarkEnd w:id="376"/>
    </w:p>
    <w:p w14:paraId="078D5992" w14:textId="28C26E95" w:rsidR="009D347E" w:rsidRPr="00FB7B35" w:rsidRDefault="009D347E" w:rsidP="009D347E">
      <w:pPr>
        <w:pStyle w:val="Heading1"/>
        <w:rPr>
          <w:bCs/>
        </w:rPr>
      </w:pPr>
      <w:bookmarkStart w:id="389" w:name="_Toc81230931"/>
      <w:bookmarkStart w:id="390" w:name="_Toc92461307"/>
      <w:bookmarkStart w:id="391" w:name="_Toc147503842"/>
      <w:bookmarkStart w:id="392" w:name="_Toc185251846"/>
      <w:bookmarkEnd w:id="377"/>
      <w:bookmarkEnd w:id="378"/>
      <w:bookmarkEnd w:id="379"/>
      <w:bookmarkEnd w:id="380"/>
      <w:bookmarkEnd w:id="381"/>
      <w:bookmarkEnd w:id="382"/>
      <w:bookmarkEnd w:id="383"/>
      <w:bookmarkEnd w:id="384"/>
      <w:bookmarkEnd w:id="385"/>
      <w:bookmarkEnd w:id="386"/>
      <w:bookmarkEnd w:id="387"/>
      <w:r w:rsidRPr="00FB7B35">
        <w:lastRenderedPageBreak/>
        <w:t>Acronyms</w:t>
      </w:r>
      <w:bookmarkEnd w:id="388"/>
      <w:bookmarkEnd w:id="389"/>
      <w:bookmarkEnd w:id="390"/>
      <w:bookmarkEnd w:id="391"/>
      <w:bookmarkEnd w:id="392"/>
    </w:p>
    <w:p w14:paraId="54B1DF79"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AASB</w:t>
      </w:r>
      <w:r w:rsidRPr="00FB7B35">
        <w:rPr>
          <w:rFonts w:eastAsia="Times New Roman" w:cs="Arial"/>
        </w:rPr>
        <w:tab/>
        <w:t>Australian Accounting Standards Board</w:t>
      </w:r>
    </w:p>
    <w:p w14:paraId="46D70FF4" w14:textId="77777777" w:rsidR="009D347E" w:rsidRPr="00FB7B35" w:rsidRDefault="009D347E" w:rsidP="009D347E">
      <w:pPr>
        <w:tabs>
          <w:tab w:val="left" w:pos="3119"/>
        </w:tabs>
        <w:spacing w:after="120"/>
        <w:ind w:left="3119" w:hanging="3119"/>
        <w:rPr>
          <w:rFonts w:eastAsia="Times New Roman" w:cs="Arial"/>
        </w:rPr>
      </w:pPr>
      <w:r w:rsidRPr="00FB7B35">
        <w:rPr>
          <w:rFonts w:eastAsiaTheme="majorEastAsia" w:cs="Arial"/>
        </w:rPr>
        <w:t>ACNC</w:t>
      </w:r>
      <w:r w:rsidRPr="00FB7B35">
        <w:rPr>
          <w:rFonts w:eastAsiaTheme="majorEastAsia" w:cs="Arial"/>
        </w:rPr>
        <w:tab/>
        <w:t>Australian Charities and Not-for-profits Commission</w:t>
      </w:r>
    </w:p>
    <w:p w14:paraId="438BEC2A" w14:textId="77777777" w:rsidR="009D347E" w:rsidRDefault="009D347E" w:rsidP="009D347E">
      <w:pPr>
        <w:tabs>
          <w:tab w:val="left" w:pos="3119"/>
        </w:tabs>
        <w:spacing w:after="120"/>
        <w:ind w:left="3119" w:hanging="3119"/>
        <w:rPr>
          <w:rFonts w:eastAsia="Times New Roman" w:cs="Arial"/>
        </w:rPr>
      </w:pPr>
      <w:r w:rsidRPr="00FB7B35">
        <w:rPr>
          <w:rFonts w:eastAsia="Times New Roman" w:cs="Arial"/>
        </w:rPr>
        <w:t>ARC</w:t>
      </w:r>
      <w:r w:rsidRPr="00FB7B35">
        <w:rPr>
          <w:rFonts w:eastAsia="Times New Roman" w:cs="Arial"/>
        </w:rPr>
        <w:tab/>
        <w:t>Australian Research Council</w:t>
      </w:r>
    </w:p>
    <w:p w14:paraId="674A8317" w14:textId="2790773B" w:rsidR="000C7BFA" w:rsidRPr="00FB7B35" w:rsidRDefault="000C7BFA" w:rsidP="009D347E">
      <w:pPr>
        <w:tabs>
          <w:tab w:val="left" w:pos="3119"/>
        </w:tabs>
        <w:spacing w:after="120"/>
        <w:ind w:left="3119" w:hanging="3119"/>
        <w:rPr>
          <w:rFonts w:eastAsia="Times New Roman" w:cs="Arial"/>
        </w:rPr>
      </w:pPr>
      <w:r>
        <w:rPr>
          <w:rFonts w:eastAsia="Times New Roman" w:cs="Arial"/>
        </w:rPr>
        <w:t>ASA</w:t>
      </w:r>
      <w:r>
        <w:rPr>
          <w:rFonts w:eastAsia="Times New Roman" w:cs="Arial"/>
        </w:rPr>
        <w:tab/>
        <w:t>Australian Auditing Standard</w:t>
      </w:r>
    </w:p>
    <w:p w14:paraId="69EFF001"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CRC</w:t>
      </w:r>
      <w:r w:rsidRPr="00FB7B35">
        <w:rPr>
          <w:rFonts w:eastAsia="Times New Roman" w:cs="Arial"/>
        </w:rPr>
        <w:tab/>
        <w:t>Cooperative Research Centre</w:t>
      </w:r>
    </w:p>
    <w:p w14:paraId="34D75405"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CRC-P</w:t>
      </w:r>
      <w:r w:rsidRPr="00FB7B35">
        <w:rPr>
          <w:rFonts w:eastAsia="Times New Roman" w:cs="Arial"/>
        </w:rPr>
        <w:tab/>
        <w:t>Cooperative Research Centre Projects</w:t>
      </w:r>
    </w:p>
    <w:p w14:paraId="43BF0EBF" w14:textId="35647B64"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The department</w:t>
      </w:r>
      <w:r w:rsidRPr="00FB7B35">
        <w:rPr>
          <w:rFonts w:eastAsia="Times New Roman" w:cs="Arial"/>
        </w:rPr>
        <w:tab/>
      </w:r>
      <w:r w:rsidR="00EA356F">
        <w:rPr>
          <w:rFonts w:eastAsia="Times New Roman" w:cs="Arial"/>
        </w:rPr>
        <w:t xml:space="preserve">Australian Government </w:t>
      </w:r>
      <w:r w:rsidRPr="00FB7B35">
        <w:rPr>
          <w:rFonts w:eastAsia="Times New Roman" w:cs="Arial"/>
        </w:rPr>
        <w:t xml:space="preserve">Department of Education </w:t>
      </w:r>
    </w:p>
    <w:p w14:paraId="13A58171" w14:textId="77777777" w:rsidR="009D347E" w:rsidRPr="00FB7B35" w:rsidRDefault="009D347E" w:rsidP="009D347E">
      <w:pPr>
        <w:tabs>
          <w:tab w:val="left" w:pos="1780"/>
          <w:tab w:val="left" w:pos="3119"/>
        </w:tabs>
        <w:spacing w:after="120"/>
        <w:ind w:left="3119" w:hanging="3119"/>
        <w:rPr>
          <w:rFonts w:eastAsia="Times New Roman" w:cs="Arial"/>
          <w:i/>
        </w:rPr>
      </w:pPr>
      <w:r w:rsidRPr="00FB7B35">
        <w:rPr>
          <w:rFonts w:eastAsia="Times New Roman" w:cs="Arial"/>
        </w:rPr>
        <w:t>FOI Act</w:t>
      </w:r>
      <w:r w:rsidRPr="00FB7B35">
        <w:rPr>
          <w:rFonts w:eastAsia="Times New Roman" w:cs="Arial"/>
        </w:rPr>
        <w:tab/>
      </w:r>
      <w:r w:rsidRPr="00FB7B35">
        <w:rPr>
          <w:rFonts w:eastAsia="Times New Roman" w:cs="Arial"/>
        </w:rPr>
        <w:tab/>
      </w:r>
      <w:r w:rsidRPr="00FB7B35">
        <w:rPr>
          <w:rFonts w:eastAsia="Times New Roman" w:cs="Arial"/>
          <w:i/>
        </w:rPr>
        <w:t>Freedom of Information Act 1982</w:t>
      </w:r>
    </w:p>
    <w:p w14:paraId="4F638D8A"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GST</w:t>
      </w:r>
      <w:r w:rsidRPr="00FB7B35">
        <w:rPr>
          <w:rFonts w:eastAsia="Times New Roman" w:cs="Arial"/>
        </w:rPr>
        <w:tab/>
        <w:t>Goods and Services Tax</w:t>
      </w:r>
    </w:p>
    <w:p w14:paraId="3939B788"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HASS</w:t>
      </w:r>
      <w:r w:rsidRPr="00FB7B35">
        <w:rPr>
          <w:rFonts w:eastAsia="Times New Roman" w:cs="Arial"/>
        </w:rPr>
        <w:tab/>
        <w:t>Humanities and social sciences</w:t>
      </w:r>
    </w:p>
    <w:p w14:paraId="7642B26C"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HEP</w:t>
      </w:r>
      <w:r w:rsidRPr="00FB7B35">
        <w:rPr>
          <w:rFonts w:eastAsia="Times New Roman" w:cs="Arial"/>
        </w:rPr>
        <w:tab/>
        <w:t>Higher education provider</w:t>
      </w:r>
    </w:p>
    <w:p w14:paraId="77C3C727"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HERDC</w:t>
      </w:r>
      <w:r w:rsidRPr="00FB7B35">
        <w:rPr>
          <w:rFonts w:eastAsia="Times New Roman" w:cs="Arial"/>
        </w:rPr>
        <w:tab/>
        <w:t>Higher Education Research Data Collection</w:t>
      </w:r>
    </w:p>
    <w:p w14:paraId="2CBC0EFE"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HESA</w:t>
      </w:r>
      <w:r w:rsidRPr="00FB7B35">
        <w:rPr>
          <w:rFonts w:eastAsia="Times New Roman" w:cs="Arial"/>
        </w:rPr>
        <w:tab/>
      </w:r>
      <w:r w:rsidRPr="00FB7B35">
        <w:rPr>
          <w:rFonts w:eastAsia="Times New Roman" w:cs="Arial"/>
          <w:i/>
        </w:rPr>
        <w:t>Higher Education Support Act 2003</w:t>
      </w:r>
    </w:p>
    <w:p w14:paraId="4597E86F" w14:textId="77777777" w:rsidR="009D347E" w:rsidRDefault="009D347E" w:rsidP="009D347E">
      <w:pPr>
        <w:tabs>
          <w:tab w:val="left" w:pos="3119"/>
        </w:tabs>
        <w:spacing w:after="120"/>
        <w:ind w:left="3119" w:hanging="3119"/>
        <w:rPr>
          <w:rFonts w:eastAsia="Times New Roman" w:cs="Arial"/>
        </w:rPr>
      </w:pPr>
      <w:r w:rsidRPr="00FB7B35">
        <w:rPr>
          <w:rFonts w:eastAsia="Times New Roman" w:cs="Arial"/>
        </w:rPr>
        <w:t>HDR</w:t>
      </w:r>
      <w:r w:rsidRPr="00FB7B35">
        <w:rPr>
          <w:rFonts w:eastAsia="Times New Roman" w:cs="Arial"/>
        </w:rPr>
        <w:tab/>
        <w:t>Higher degree by research</w:t>
      </w:r>
    </w:p>
    <w:p w14:paraId="6FBCD312" w14:textId="77777777" w:rsidR="009D347E" w:rsidRDefault="009D347E" w:rsidP="009D347E">
      <w:pPr>
        <w:tabs>
          <w:tab w:val="left" w:pos="3119"/>
        </w:tabs>
        <w:spacing w:after="120"/>
        <w:ind w:left="3119" w:hanging="3119"/>
        <w:rPr>
          <w:rFonts w:eastAsia="Times New Roman" w:cs="Arial"/>
        </w:rPr>
      </w:pPr>
      <w:r>
        <w:rPr>
          <w:rFonts w:eastAsia="Times New Roman" w:cs="Arial"/>
        </w:rPr>
        <w:t>IRIISS</w:t>
      </w:r>
      <w:r>
        <w:rPr>
          <w:rFonts w:eastAsia="Times New Roman" w:cs="Arial"/>
        </w:rPr>
        <w:tab/>
      </w:r>
      <w:r w:rsidRPr="009C0ED5">
        <w:rPr>
          <w:rFonts w:eastAsia="Times New Roman" w:cs="Arial"/>
        </w:rPr>
        <w:t>Independent Research Institutes Infrastructure Support Scheme</w:t>
      </w:r>
    </w:p>
    <w:p w14:paraId="3049A0BA" w14:textId="1B703694" w:rsidR="000C7BFA" w:rsidRDefault="000C7BFA" w:rsidP="009D347E">
      <w:pPr>
        <w:tabs>
          <w:tab w:val="left" w:pos="3119"/>
        </w:tabs>
        <w:spacing w:after="120"/>
        <w:ind w:left="3119" w:hanging="3119"/>
        <w:rPr>
          <w:rFonts w:eastAsia="Times New Roman" w:cs="Arial"/>
        </w:rPr>
      </w:pPr>
      <w:r>
        <w:rPr>
          <w:rFonts w:eastAsia="Times New Roman" w:cs="Arial"/>
        </w:rPr>
        <w:t>KCA</w:t>
      </w:r>
      <w:r>
        <w:rPr>
          <w:rFonts w:eastAsia="Times New Roman" w:cs="Arial"/>
        </w:rPr>
        <w:tab/>
        <w:t>Knowledge Commercialisation Australasia</w:t>
      </w:r>
    </w:p>
    <w:p w14:paraId="7A84158D" w14:textId="29EA41AD" w:rsidR="000C7BFA" w:rsidRPr="00FB7B35" w:rsidRDefault="000C7BFA" w:rsidP="009D347E">
      <w:pPr>
        <w:tabs>
          <w:tab w:val="left" w:pos="3119"/>
        </w:tabs>
        <w:spacing w:after="120"/>
        <w:ind w:left="3119" w:hanging="3119"/>
        <w:rPr>
          <w:rFonts w:eastAsia="Times New Roman" w:cs="Arial"/>
        </w:rPr>
      </w:pPr>
      <w:r>
        <w:rPr>
          <w:rFonts w:eastAsia="Times New Roman" w:cs="Arial"/>
        </w:rPr>
        <w:t>NCGP</w:t>
      </w:r>
      <w:r>
        <w:rPr>
          <w:rFonts w:eastAsia="Times New Roman" w:cs="Arial"/>
        </w:rPr>
        <w:tab/>
        <w:t>National Competitive Grants Program</w:t>
      </w:r>
    </w:p>
    <w:p w14:paraId="39FA5732"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NHMRC</w:t>
      </w:r>
      <w:r w:rsidRPr="00FB7B35">
        <w:rPr>
          <w:rFonts w:eastAsia="Times New Roman" w:cs="Arial"/>
        </w:rPr>
        <w:tab/>
        <w:t>National Health and Medical Research Council</w:t>
      </w:r>
    </w:p>
    <w:p w14:paraId="53EFE42B"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MRFF</w:t>
      </w:r>
      <w:r w:rsidRPr="00FB7B35">
        <w:rPr>
          <w:rFonts w:eastAsia="Times New Roman" w:cs="Arial"/>
        </w:rPr>
        <w:tab/>
        <w:t>Medical Research Future Fund</w:t>
      </w:r>
    </w:p>
    <w:p w14:paraId="351118A5"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OECD</w:t>
      </w:r>
      <w:r w:rsidRPr="00FB7B35">
        <w:rPr>
          <w:rFonts w:eastAsia="Times New Roman" w:cs="Arial"/>
        </w:rPr>
        <w:tab/>
        <w:t>Organisation for Economic Cooperation and Development</w:t>
      </w:r>
    </w:p>
    <w:p w14:paraId="6BEB2F4E"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R&amp;D</w:t>
      </w:r>
      <w:r w:rsidRPr="00FB7B35">
        <w:rPr>
          <w:rFonts w:eastAsia="Times New Roman" w:cs="Arial"/>
        </w:rPr>
        <w:tab/>
        <w:t>Research and experimental Development</w:t>
      </w:r>
    </w:p>
    <w:p w14:paraId="3882BA79"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RBG</w:t>
      </w:r>
      <w:r w:rsidRPr="00FB7B35">
        <w:rPr>
          <w:rFonts w:eastAsia="Times New Roman" w:cs="Arial"/>
        </w:rPr>
        <w:tab/>
        <w:t>Research block grants</w:t>
      </w:r>
    </w:p>
    <w:p w14:paraId="0A38869B" w14:textId="77777777" w:rsidR="009D347E" w:rsidRPr="00FB7B35" w:rsidRDefault="009D347E" w:rsidP="009D347E">
      <w:pPr>
        <w:tabs>
          <w:tab w:val="left" w:pos="3119"/>
        </w:tabs>
        <w:spacing w:after="120"/>
        <w:ind w:left="3119" w:hanging="3119"/>
        <w:rPr>
          <w:rFonts w:eastAsia="Times New Roman" w:cs="Arial"/>
        </w:rPr>
      </w:pPr>
      <w:r w:rsidRPr="00FB7B35">
        <w:rPr>
          <w:rFonts w:eastAsia="Times New Roman" w:cs="Arial"/>
        </w:rPr>
        <w:t>RSP</w:t>
      </w:r>
      <w:r w:rsidRPr="00FB7B35">
        <w:rPr>
          <w:rFonts w:eastAsia="Times New Roman" w:cs="Arial"/>
        </w:rPr>
        <w:tab/>
        <w:t>Research Support Program</w:t>
      </w:r>
    </w:p>
    <w:p w14:paraId="3590A933" w14:textId="77777777" w:rsidR="009D347E" w:rsidRDefault="009D347E" w:rsidP="009D347E">
      <w:pPr>
        <w:tabs>
          <w:tab w:val="left" w:pos="3119"/>
        </w:tabs>
        <w:spacing w:after="120"/>
        <w:ind w:left="3119" w:hanging="3119"/>
        <w:rPr>
          <w:rFonts w:eastAsia="Times New Roman" w:cs="Arial"/>
        </w:rPr>
      </w:pPr>
      <w:r w:rsidRPr="00FB7B35">
        <w:rPr>
          <w:rFonts w:eastAsia="Times New Roman" w:cs="Arial"/>
        </w:rPr>
        <w:t>RTP</w:t>
      </w:r>
      <w:r w:rsidRPr="00FB7B35">
        <w:rPr>
          <w:rFonts w:eastAsia="Times New Roman" w:cs="Arial"/>
        </w:rPr>
        <w:tab/>
        <w:t>Research Training Program</w:t>
      </w:r>
    </w:p>
    <w:p w14:paraId="281A68AF" w14:textId="34368856" w:rsidR="000C7BFA" w:rsidRDefault="000C7BFA" w:rsidP="009D347E">
      <w:pPr>
        <w:tabs>
          <w:tab w:val="left" w:pos="3119"/>
        </w:tabs>
        <w:spacing w:after="120"/>
        <w:ind w:left="3119" w:hanging="3119"/>
        <w:rPr>
          <w:rFonts w:eastAsia="Times New Roman" w:cs="Arial"/>
        </w:rPr>
      </w:pPr>
      <w:r>
        <w:rPr>
          <w:rFonts w:eastAsia="Times New Roman" w:cs="Arial"/>
        </w:rPr>
        <w:t>SCOPR</w:t>
      </w:r>
      <w:r>
        <w:rPr>
          <w:rFonts w:eastAsia="Times New Roman" w:cs="Arial"/>
        </w:rPr>
        <w:tab/>
        <w:t>Survey of Commercialisation Outcomes from Public Research</w:t>
      </w:r>
    </w:p>
    <w:p w14:paraId="09B7C88C" w14:textId="77777777" w:rsidR="009D347E" w:rsidRPr="00FB7B35" w:rsidRDefault="009D347E" w:rsidP="009D347E">
      <w:pPr>
        <w:tabs>
          <w:tab w:val="left" w:pos="3119"/>
        </w:tabs>
        <w:spacing w:after="120"/>
        <w:ind w:left="3119" w:hanging="3119"/>
        <w:rPr>
          <w:rFonts w:ascii="Arial Narrow" w:eastAsia="Times New Roman" w:hAnsi="Arial Narrow" w:cs="Arial"/>
          <w:sz w:val="21"/>
          <w:szCs w:val="21"/>
        </w:rPr>
      </w:pPr>
      <w:r>
        <w:rPr>
          <w:rFonts w:eastAsia="Times New Roman" w:cs="Arial"/>
        </w:rPr>
        <w:t>SEER</w:t>
      </w:r>
      <w:r>
        <w:rPr>
          <w:rFonts w:eastAsia="Times New Roman" w:cs="Arial"/>
        </w:rPr>
        <w:tab/>
      </w:r>
      <w:r w:rsidRPr="009C0ED5">
        <w:rPr>
          <w:rFonts w:eastAsia="Times New Roman" w:cs="Arial"/>
        </w:rPr>
        <w:t>System to Evaluate Excellence in Research for Australia</w:t>
      </w:r>
    </w:p>
    <w:p w14:paraId="6A954D1E" w14:textId="77777777" w:rsidR="009D347E" w:rsidRPr="00FB7B35" w:rsidRDefault="009D347E" w:rsidP="009D347E">
      <w:pPr>
        <w:spacing w:after="120"/>
        <w:rPr>
          <w:b/>
        </w:rPr>
      </w:pPr>
      <w:r w:rsidRPr="00FB7B35">
        <w:br w:type="page"/>
      </w:r>
      <w:bookmarkStart w:id="393" w:name="_APPENDIX_A"/>
      <w:bookmarkStart w:id="394" w:name="_APPENDIX_B"/>
      <w:bookmarkStart w:id="395" w:name="_APPENDIX_C"/>
      <w:bookmarkStart w:id="396" w:name="_APPENDIX_D"/>
      <w:bookmarkStart w:id="397" w:name="_APPENDIX_D_-_"/>
      <w:bookmarkStart w:id="398" w:name="_APPENDIX_D_-"/>
      <w:bookmarkEnd w:id="393"/>
      <w:bookmarkEnd w:id="394"/>
      <w:bookmarkEnd w:id="395"/>
      <w:bookmarkEnd w:id="396"/>
      <w:bookmarkEnd w:id="397"/>
      <w:bookmarkEnd w:id="398"/>
    </w:p>
    <w:p w14:paraId="6022554E" w14:textId="7F8C8D26" w:rsidR="00F029BA" w:rsidRPr="00F029BA" w:rsidRDefault="009D347E" w:rsidP="00F029BA">
      <w:pPr>
        <w:pStyle w:val="Heading1"/>
      </w:pPr>
      <w:bookmarkStart w:id="399" w:name="_Toc523214691"/>
      <w:bookmarkStart w:id="400" w:name="_Toc491172998"/>
      <w:bookmarkStart w:id="401" w:name="_Toc489955878"/>
      <w:bookmarkStart w:id="402" w:name="_Toc489438095"/>
      <w:bookmarkStart w:id="403" w:name="_Toc27055375"/>
      <w:bookmarkStart w:id="404" w:name="_Toc81230932"/>
      <w:bookmarkStart w:id="405" w:name="_Toc92461308"/>
      <w:bookmarkStart w:id="406" w:name="_Toc147503843"/>
      <w:bookmarkStart w:id="407" w:name="_Toc185251847"/>
      <w:r w:rsidRPr="005F4EBB">
        <w:lastRenderedPageBreak/>
        <w:t>List of R&amp;D income sub-categories</w:t>
      </w:r>
      <w:bookmarkEnd w:id="399"/>
      <w:bookmarkEnd w:id="400"/>
      <w:bookmarkEnd w:id="401"/>
      <w:bookmarkEnd w:id="402"/>
      <w:bookmarkEnd w:id="403"/>
      <w:bookmarkEnd w:id="404"/>
      <w:bookmarkEnd w:id="405"/>
      <w:bookmarkEnd w:id="406"/>
      <w:bookmarkEnd w:id="407"/>
    </w:p>
    <w:p w14:paraId="36A6FF3F" w14:textId="583DCB63" w:rsidR="00246436" w:rsidRDefault="00246436" w:rsidP="00246436">
      <w:pPr>
        <w:pStyle w:val="Caption"/>
        <w:keepNext/>
      </w:pPr>
      <w:r>
        <w:t xml:space="preserve">Table </w:t>
      </w:r>
      <w:r>
        <w:fldChar w:fldCharType="begin"/>
      </w:r>
      <w:r>
        <w:instrText xml:space="preserve"> SEQ Table \* ARABIC </w:instrText>
      </w:r>
      <w:r>
        <w:fldChar w:fldCharType="separate"/>
      </w:r>
      <w:r w:rsidR="00A62805">
        <w:rPr>
          <w:noProof/>
        </w:rPr>
        <w:t>1</w:t>
      </w:r>
      <w:r>
        <w:fldChar w:fldCharType="end"/>
      </w:r>
      <w:r>
        <w:t>: Category 1 R&amp;D income sub-categories</w:t>
      </w: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5F4EBB" w14:paraId="1A37F7C7" w14:textId="77777777" w:rsidTr="006604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shd w:val="clear" w:color="auto" w:fill="00254A" w:themeFill="text2"/>
          </w:tcPr>
          <w:p w14:paraId="2CD6ADC8" w14:textId="77A45565" w:rsidR="005F4EBB" w:rsidRPr="005F4EBB" w:rsidRDefault="005F4EBB" w:rsidP="00F029BA">
            <w:pPr>
              <w:spacing w:after="120"/>
            </w:pPr>
            <w:r w:rsidRPr="005F4EBB">
              <w:rPr>
                <w:rFonts w:eastAsia="Times New Roman" w:cs="Arial"/>
              </w:rPr>
              <w:t>Category 1:</w:t>
            </w:r>
          </w:p>
        </w:tc>
        <w:tc>
          <w:tcPr>
            <w:tcW w:w="7178" w:type="dxa"/>
            <w:tcBorders>
              <w:top w:val="none" w:sz="0" w:space="0" w:color="auto"/>
              <w:left w:val="none" w:sz="0" w:space="0" w:color="auto"/>
              <w:bottom w:val="none" w:sz="0" w:space="0" w:color="auto"/>
              <w:right w:val="none" w:sz="0" w:space="0" w:color="auto"/>
            </w:tcBorders>
            <w:shd w:val="clear" w:color="auto" w:fill="00254A" w:themeFill="text2"/>
          </w:tcPr>
          <w:p w14:paraId="42D5AC18" w14:textId="037C0757" w:rsidR="005F4EBB" w:rsidRPr="005F4EBB" w:rsidRDefault="005F4EBB" w:rsidP="00F029BA">
            <w:pPr>
              <w:spacing w:after="120"/>
              <w:cnfStyle w:val="100000000000" w:firstRow="1" w:lastRow="0" w:firstColumn="0" w:lastColumn="0" w:oddVBand="0" w:evenVBand="0" w:oddHBand="0" w:evenHBand="0" w:firstRowFirstColumn="0" w:firstRowLastColumn="0" w:lastRowFirstColumn="0" w:lastRowLastColumn="0"/>
            </w:pPr>
            <w:r w:rsidRPr="005F4EBB">
              <w:rPr>
                <w:rFonts w:eastAsia="Times New Roman" w:cs="Arial"/>
              </w:rPr>
              <w:t>Australian competitive grant R&amp;D income</w:t>
            </w:r>
          </w:p>
        </w:tc>
      </w:tr>
      <w:tr w:rsidR="005F4EBB" w14:paraId="752C2555" w14:textId="77777777" w:rsidTr="00F0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vAlign w:val="center"/>
          </w:tcPr>
          <w:p w14:paraId="702945B6" w14:textId="7BBD477E" w:rsidR="005F4EBB" w:rsidRPr="005F4EBB" w:rsidRDefault="005F4EBB" w:rsidP="00F029BA">
            <w:pPr>
              <w:spacing w:after="120"/>
            </w:pPr>
            <w:r w:rsidRPr="005F4EBB">
              <w:rPr>
                <w:rFonts w:eastAsia="Times New Roman" w:cs="Arial"/>
              </w:rPr>
              <w:t>Category 1</w:t>
            </w:r>
          </w:p>
        </w:tc>
        <w:tc>
          <w:tcPr>
            <w:tcW w:w="7178" w:type="dxa"/>
          </w:tcPr>
          <w:p w14:paraId="7A644EB3" w14:textId="59FB2332" w:rsidR="005F4EBB" w:rsidRDefault="005F4EBB" w:rsidP="00F029BA">
            <w:pPr>
              <w:spacing w:after="120"/>
              <w:cnfStyle w:val="000000100000" w:firstRow="0" w:lastRow="0" w:firstColumn="0" w:lastColumn="0" w:oddVBand="0" w:evenVBand="0" w:oddHBand="1" w:evenHBand="0" w:firstRowFirstColumn="0" w:firstRowLastColumn="0" w:lastRowFirstColumn="0" w:lastRowLastColumn="0"/>
            </w:pPr>
            <w:r w:rsidRPr="00FB7B35">
              <w:rPr>
                <w:rFonts w:eastAsia="Times New Roman" w:cs="Arial"/>
                <w:iCs/>
              </w:rPr>
              <w:t>Sub-category 1.1</w:t>
            </w:r>
            <w:r>
              <w:rPr>
                <w:rFonts w:eastAsia="Times New Roman" w:cs="Arial"/>
                <w:iCs/>
              </w:rPr>
              <w:t xml:space="preserve"> </w:t>
            </w:r>
            <w:r w:rsidRPr="00FB7B35">
              <w:rPr>
                <w:rFonts w:eastAsia="Times New Roman" w:cs="Arial"/>
                <w:iCs/>
              </w:rPr>
              <w:t>National Health and Medical Research Council (NHMRC)</w:t>
            </w:r>
          </w:p>
        </w:tc>
      </w:tr>
      <w:tr w:rsidR="005F4EBB" w14:paraId="22AA20F9" w14:textId="77777777" w:rsidTr="00F029BA">
        <w:tc>
          <w:tcPr>
            <w:cnfStyle w:val="001000000000" w:firstRow="0" w:lastRow="0" w:firstColumn="1" w:lastColumn="0" w:oddVBand="0" w:evenVBand="0" w:oddHBand="0" w:evenHBand="0" w:firstRowFirstColumn="0" w:firstRowLastColumn="0" w:lastRowFirstColumn="0" w:lastRowLastColumn="0"/>
            <w:tcW w:w="1838" w:type="dxa"/>
            <w:vMerge/>
          </w:tcPr>
          <w:p w14:paraId="39A114E8" w14:textId="77777777" w:rsidR="005F4EBB" w:rsidRDefault="005F4EBB" w:rsidP="00F029BA">
            <w:pPr>
              <w:spacing w:after="120"/>
            </w:pPr>
          </w:p>
        </w:tc>
        <w:tc>
          <w:tcPr>
            <w:tcW w:w="7178" w:type="dxa"/>
          </w:tcPr>
          <w:p w14:paraId="73ABD8D4" w14:textId="128228C8" w:rsidR="005F4EBB" w:rsidRDefault="005F4EBB" w:rsidP="00F029BA">
            <w:pPr>
              <w:spacing w:after="120"/>
              <w:cnfStyle w:val="000000000000" w:firstRow="0" w:lastRow="0" w:firstColumn="0" w:lastColumn="0" w:oddVBand="0" w:evenVBand="0" w:oddHBand="0" w:evenHBand="0" w:firstRowFirstColumn="0" w:firstRowLastColumn="0" w:lastRowFirstColumn="0" w:lastRowLastColumn="0"/>
            </w:pPr>
            <w:r w:rsidRPr="00FB7B35">
              <w:rPr>
                <w:rFonts w:eastAsia="Times New Roman" w:cs="Arial"/>
                <w:iCs/>
              </w:rPr>
              <w:t>Sub-category 1.2</w:t>
            </w:r>
            <w:r>
              <w:rPr>
                <w:rFonts w:eastAsia="Times New Roman" w:cs="Arial"/>
                <w:iCs/>
              </w:rPr>
              <w:t xml:space="preserve"> </w:t>
            </w:r>
            <w:r w:rsidRPr="00FB7B35">
              <w:rPr>
                <w:rFonts w:eastAsia="Times New Roman" w:cs="Arial"/>
                <w:iCs/>
              </w:rPr>
              <w:t>Australian Research Council (ARC)</w:t>
            </w:r>
          </w:p>
        </w:tc>
      </w:tr>
      <w:tr w:rsidR="005F4EBB" w14:paraId="19A6E52F" w14:textId="77777777" w:rsidTr="00F0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73BFAFEB" w14:textId="77777777" w:rsidR="005F4EBB" w:rsidRDefault="005F4EBB" w:rsidP="00F029BA">
            <w:pPr>
              <w:spacing w:after="120"/>
            </w:pPr>
          </w:p>
        </w:tc>
        <w:tc>
          <w:tcPr>
            <w:tcW w:w="7178" w:type="dxa"/>
          </w:tcPr>
          <w:p w14:paraId="1BCCC4CE" w14:textId="26633E8D" w:rsidR="005F4EBB" w:rsidRDefault="005F4EBB" w:rsidP="00F029BA">
            <w:pPr>
              <w:spacing w:after="120"/>
              <w:cnfStyle w:val="000000100000" w:firstRow="0" w:lastRow="0" w:firstColumn="0" w:lastColumn="0" w:oddVBand="0" w:evenVBand="0" w:oddHBand="1" w:evenHBand="0" w:firstRowFirstColumn="0" w:firstRowLastColumn="0" w:lastRowFirstColumn="0" w:lastRowLastColumn="0"/>
            </w:pPr>
            <w:r w:rsidRPr="00FB7B35">
              <w:rPr>
                <w:rFonts w:eastAsia="Times New Roman" w:cs="Arial"/>
                <w:iCs/>
              </w:rPr>
              <w:t>Sub-category 1.3</w:t>
            </w:r>
            <w:r>
              <w:rPr>
                <w:rFonts w:eastAsia="Times New Roman" w:cs="Arial"/>
                <w:iCs/>
              </w:rPr>
              <w:t xml:space="preserve"> </w:t>
            </w:r>
            <w:r w:rsidRPr="00FB7B35">
              <w:rPr>
                <w:rFonts w:eastAsia="Times New Roman" w:cs="Arial"/>
                <w:iCs/>
              </w:rPr>
              <w:t>Medical Research Future Fund (MRFF)</w:t>
            </w:r>
          </w:p>
        </w:tc>
      </w:tr>
      <w:tr w:rsidR="005F4EBB" w14:paraId="241EAEB4" w14:textId="77777777" w:rsidTr="00F029BA">
        <w:tc>
          <w:tcPr>
            <w:cnfStyle w:val="001000000000" w:firstRow="0" w:lastRow="0" w:firstColumn="1" w:lastColumn="0" w:oddVBand="0" w:evenVBand="0" w:oddHBand="0" w:evenHBand="0" w:firstRowFirstColumn="0" w:firstRowLastColumn="0" w:lastRowFirstColumn="0" w:lastRowLastColumn="0"/>
            <w:tcW w:w="1838" w:type="dxa"/>
            <w:vMerge/>
          </w:tcPr>
          <w:p w14:paraId="32B30774" w14:textId="77777777" w:rsidR="005F4EBB" w:rsidRDefault="005F4EBB" w:rsidP="00F029BA">
            <w:pPr>
              <w:spacing w:after="120"/>
            </w:pPr>
          </w:p>
        </w:tc>
        <w:tc>
          <w:tcPr>
            <w:tcW w:w="7178" w:type="dxa"/>
          </w:tcPr>
          <w:p w14:paraId="1931BCA4" w14:textId="48635C0C" w:rsidR="005F4EBB" w:rsidRDefault="005F4EBB" w:rsidP="00F029BA">
            <w:pPr>
              <w:spacing w:after="120"/>
              <w:cnfStyle w:val="000000000000" w:firstRow="0" w:lastRow="0" w:firstColumn="0" w:lastColumn="0" w:oddVBand="0" w:evenVBand="0" w:oddHBand="0" w:evenHBand="0" w:firstRowFirstColumn="0" w:firstRowLastColumn="0" w:lastRowFirstColumn="0" w:lastRowLastColumn="0"/>
            </w:pPr>
            <w:r w:rsidRPr="00FB7B35">
              <w:rPr>
                <w:rFonts w:eastAsia="Times New Roman" w:cs="Arial"/>
                <w:iCs/>
              </w:rPr>
              <w:t>Sub-category 1.4</w:t>
            </w:r>
            <w:r>
              <w:rPr>
                <w:rFonts w:eastAsia="Times New Roman" w:cs="Arial"/>
                <w:iCs/>
              </w:rPr>
              <w:t xml:space="preserve"> </w:t>
            </w:r>
            <w:r w:rsidRPr="00FB7B35">
              <w:rPr>
                <w:rFonts w:eastAsia="Times New Roman" w:cs="Arial"/>
                <w:iCs/>
              </w:rPr>
              <w:t>Rural R&amp;D</w:t>
            </w:r>
          </w:p>
        </w:tc>
      </w:tr>
      <w:tr w:rsidR="005F4EBB" w14:paraId="0B32A5B3" w14:textId="77777777" w:rsidTr="00F0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48210209" w14:textId="77777777" w:rsidR="005F4EBB" w:rsidRDefault="005F4EBB" w:rsidP="00F029BA">
            <w:pPr>
              <w:spacing w:after="120"/>
            </w:pPr>
          </w:p>
        </w:tc>
        <w:tc>
          <w:tcPr>
            <w:tcW w:w="7178" w:type="dxa"/>
          </w:tcPr>
          <w:p w14:paraId="3557FA86" w14:textId="26CF1460" w:rsidR="005F4EBB" w:rsidRDefault="005F4EBB" w:rsidP="00F029BA">
            <w:pPr>
              <w:spacing w:after="120"/>
              <w:cnfStyle w:val="000000100000" w:firstRow="0" w:lastRow="0" w:firstColumn="0" w:lastColumn="0" w:oddVBand="0" w:evenVBand="0" w:oddHBand="1" w:evenHBand="0" w:firstRowFirstColumn="0" w:firstRowLastColumn="0" w:lastRowFirstColumn="0" w:lastRowLastColumn="0"/>
            </w:pPr>
            <w:r w:rsidRPr="00FB7B35">
              <w:rPr>
                <w:rFonts w:eastAsia="Times New Roman" w:cs="Arial"/>
                <w:iCs/>
              </w:rPr>
              <w:t>Sub-category 1.5</w:t>
            </w:r>
            <w:r>
              <w:rPr>
                <w:rFonts w:eastAsia="Times New Roman" w:cs="Arial"/>
                <w:iCs/>
              </w:rPr>
              <w:t xml:space="preserve"> </w:t>
            </w:r>
            <w:r w:rsidRPr="00FB7B35">
              <w:rPr>
                <w:rFonts w:eastAsia="Times New Roman" w:cs="Arial"/>
                <w:iCs/>
              </w:rPr>
              <w:t>Commonwealth other</w:t>
            </w:r>
          </w:p>
        </w:tc>
      </w:tr>
      <w:tr w:rsidR="005F4EBB" w14:paraId="0179BD9D" w14:textId="77777777" w:rsidTr="00F029BA">
        <w:tc>
          <w:tcPr>
            <w:cnfStyle w:val="001000000000" w:firstRow="0" w:lastRow="0" w:firstColumn="1" w:lastColumn="0" w:oddVBand="0" w:evenVBand="0" w:oddHBand="0" w:evenHBand="0" w:firstRowFirstColumn="0" w:firstRowLastColumn="0" w:lastRowFirstColumn="0" w:lastRowLastColumn="0"/>
            <w:tcW w:w="1838" w:type="dxa"/>
            <w:vMerge/>
          </w:tcPr>
          <w:p w14:paraId="310B6E4A" w14:textId="77777777" w:rsidR="005F4EBB" w:rsidRDefault="005F4EBB" w:rsidP="00F029BA">
            <w:pPr>
              <w:spacing w:after="120"/>
            </w:pPr>
          </w:p>
        </w:tc>
        <w:tc>
          <w:tcPr>
            <w:tcW w:w="7178" w:type="dxa"/>
          </w:tcPr>
          <w:p w14:paraId="1E92D172" w14:textId="714D5C72" w:rsidR="005F4EBB" w:rsidRDefault="005F4EBB" w:rsidP="00F029BA">
            <w:pPr>
              <w:spacing w:after="120"/>
              <w:cnfStyle w:val="000000000000" w:firstRow="0" w:lastRow="0" w:firstColumn="0" w:lastColumn="0" w:oddVBand="0" w:evenVBand="0" w:oddHBand="0" w:evenHBand="0" w:firstRowFirstColumn="0" w:firstRowLastColumn="0" w:lastRowFirstColumn="0" w:lastRowLastColumn="0"/>
            </w:pPr>
            <w:r w:rsidRPr="00FB7B35">
              <w:rPr>
                <w:rFonts w:eastAsia="Times New Roman" w:cs="Arial"/>
                <w:iCs/>
              </w:rPr>
              <w:t>Sub-category 1.6</w:t>
            </w:r>
            <w:r>
              <w:rPr>
                <w:rFonts w:eastAsia="Times New Roman" w:cs="Arial"/>
                <w:iCs/>
              </w:rPr>
              <w:t xml:space="preserve"> </w:t>
            </w:r>
            <w:r w:rsidRPr="00FB7B35">
              <w:rPr>
                <w:rFonts w:eastAsia="Times New Roman" w:cs="Arial"/>
                <w:iCs/>
              </w:rPr>
              <w:t>State/territory government</w:t>
            </w:r>
          </w:p>
        </w:tc>
      </w:tr>
      <w:tr w:rsidR="005F4EBB" w14:paraId="62483967" w14:textId="77777777" w:rsidTr="00F0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366BD02E" w14:textId="77777777" w:rsidR="005F4EBB" w:rsidRDefault="005F4EBB" w:rsidP="00F029BA">
            <w:pPr>
              <w:spacing w:after="120"/>
            </w:pPr>
          </w:p>
        </w:tc>
        <w:tc>
          <w:tcPr>
            <w:tcW w:w="7178" w:type="dxa"/>
          </w:tcPr>
          <w:p w14:paraId="611E4BA1" w14:textId="3FE07CBF" w:rsidR="005F4EBB" w:rsidRDefault="005F4EBB" w:rsidP="00F029BA">
            <w:pPr>
              <w:spacing w:after="120"/>
              <w:cnfStyle w:val="000000100000" w:firstRow="0" w:lastRow="0" w:firstColumn="0" w:lastColumn="0" w:oddVBand="0" w:evenVBand="0" w:oddHBand="1" w:evenHBand="0" w:firstRowFirstColumn="0" w:firstRowLastColumn="0" w:lastRowFirstColumn="0" w:lastRowLastColumn="0"/>
            </w:pPr>
            <w:r w:rsidRPr="00FB7B35">
              <w:rPr>
                <w:rFonts w:eastAsia="Times New Roman" w:cs="Arial"/>
                <w:iCs/>
              </w:rPr>
              <w:t>Sub-category 1.7</w:t>
            </w:r>
            <w:r>
              <w:rPr>
                <w:rFonts w:eastAsia="Times New Roman" w:cs="Arial"/>
                <w:iCs/>
              </w:rPr>
              <w:t xml:space="preserve"> O</w:t>
            </w:r>
            <w:r w:rsidRPr="00FB7B35">
              <w:rPr>
                <w:rFonts w:eastAsia="Times New Roman" w:cs="Arial"/>
                <w:iCs/>
              </w:rPr>
              <w:t>ther</w:t>
            </w:r>
          </w:p>
        </w:tc>
      </w:tr>
    </w:tbl>
    <w:p w14:paraId="6F534A85" w14:textId="29EF0A7A" w:rsidR="00246436" w:rsidRDefault="00246436" w:rsidP="00F95334">
      <w:pPr>
        <w:pStyle w:val="Caption"/>
        <w:keepNext/>
        <w:spacing w:before="120"/>
      </w:pPr>
      <w:r>
        <w:t xml:space="preserve">Table </w:t>
      </w:r>
      <w:r>
        <w:fldChar w:fldCharType="begin"/>
      </w:r>
      <w:r>
        <w:instrText xml:space="preserve"> SEQ Table \* ARABIC </w:instrText>
      </w:r>
      <w:r>
        <w:fldChar w:fldCharType="separate"/>
      </w:r>
      <w:r w:rsidR="00A62805">
        <w:rPr>
          <w:noProof/>
        </w:rPr>
        <w:t>2</w:t>
      </w:r>
      <w:r>
        <w:fldChar w:fldCharType="end"/>
      </w:r>
      <w:r>
        <w:t>: Category 2 R&amp;D income sub-categories</w:t>
      </w: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7187"/>
      </w:tblGrid>
      <w:tr w:rsidR="005F4EBB" w14:paraId="3AF20718" w14:textId="77777777" w:rsidTr="006604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29" w:type="dxa"/>
            <w:tcBorders>
              <w:top w:val="none" w:sz="0" w:space="0" w:color="auto"/>
              <w:left w:val="none" w:sz="0" w:space="0" w:color="auto"/>
              <w:bottom w:val="none" w:sz="0" w:space="0" w:color="auto"/>
              <w:right w:val="none" w:sz="0" w:space="0" w:color="auto"/>
            </w:tcBorders>
            <w:shd w:val="clear" w:color="auto" w:fill="00254A" w:themeFill="text2"/>
          </w:tcPr>
          <w:p w14:paraId="5F8260DF" w14:textId="20E6CB5F" w:rsidR="005F4EBB" w:rsidRDefault="005F4EBB" w:rsidP="00F029BA">
            <w:pPr>
              <w:spacing w:after="120"/>
            </w:pPr>
            <w:r w:rsidRPr="00960EEA">
              <w:rPr>
                <w:rFonts w:eastAsia="Times New Roman" w:cs="Arial"/>
              </w:rPr>
              <w:t>Category 2:</w:t>
            </w:r>
          </w:p>
        </w:tc>
        <w:tc>
          <w:tcPr>
            <w:tcW w:w="7187" w:type="dxa"/>
            <w:tcBorders>
              <w:top w:val="none" w:sz="0" w:space="0" w:color="auto"/>
              <w:left w:val="none" w:sz="0" w:space="0" w:color="auto"/>
              <w:bottom w:val="none" w:sz="0" w:space="0" w:color="auto"/>
              <w:right w:val="none" w:sz="0" w:space="0" w:color="auto"/>
            </w:tcBorders>
            <w:shd w:val="clear" w:color="auto" w:fill="00254A" w:themeFill="text2"/>
          </w:tcPr>
          <w:p w14:paraId="27CB3D0E" w14:textId="47B4658A" w:rsidR="005F4EBB" w:rsidRDefault="005F4EBB" w:rsidP="00F029BA">
            <w:pPr>
              <w:spacing w:after="120"/>
              <w:cnfStyle w:val="100000000000" w:firstRow="1" w:lastRow="0" w:firstColumn="0" w:lastColumn="0" w:oddVBand="0" w:evenVBand="0" w:oddHBand="0" w:evenHBand="0" w:firstRowFirstColumn="0" w:firstRowLastColumn="0" w:lastRowFirstColumn="0" w:lastRowLastColumn="0"/>
            </w:pPr>
            <w:r w:rsidRPr="007074CB">
              <w:rPr>
                <w:rFonts w:eastAsia="Times New Roman" w:cs="Arial"/>
              </w:rPr>
              <w:t>Other public sector R&amp;D income</w:t>
            </w:r>
          </w:p>
        </w:tc>
      </w:tr>
      <w:tr w:rsidR="005F4EBB" w14:paraId="2E30D6F0" w14:textId="77777777" w:rsidTr="00F0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vMerge w:val="restart"/>
            <w:vAlign w:val="center"/>
          </w:tcPr>
          <w:p w14:paraId="720708B8" w14:textId="09206457" w:rsidR="005F4EBB" w:rsidRPr="005F4EBB" w:rsidRDefault="005F4EBB" w:rsidP="00F029BA">
            <w:pPr>
              <w:spacing w:after="120"/>
            </w:pPr>
            <w:r w:rsidRPr="005F4EBB">
              <w:rPr>
                <w:rFonts w:eastAsia="Times New Roman" w:cs="Arial"/>
              </w:rPr>
              <w:t>Category 2</w:t>
            </w:r>
          </w:p>
        </w:tc>
        <w:tc>
          <w:tcPr>
            <w:tcW w:w="7187" w:type="dxa"/>
          </w:tcPr>
          <w:p w14:paraId="12E6755B" w14:textId="72B439E6" w:rsidR="005F4EBB" w:rsidRDefault="005F4EBB" w:rsidP="00F029BA">
            <w:pPr>
              <w:spacing w:after="120"/>
              <w:cnfStyle w:val="000000100000" w:firstRow="0" w:lastRow="0" w:firstColumn="0" w:lastColumn="0" w:oddVBand="0" w:evenVBand="0" w:oddHBand="1" w:evenHBand="0" w:firstRowFirstColumn="0" w:firstRowLastColumn="0" w:lastRowFirstColumn="0" w:lastRowLastColumn="0"/>
            </w:pPr>
            <w:r w:rsidRPr="00FB7B35">
              <w:rPr>
                <w:rFonts w:eastAsia="Times New Roman" w:cs="Arial"/>
                <w:iCs/>
              </w:rPr>
              <w:t>Sub-category 2.1</w:t>
            </w:r>
            <w:r>
              <w:rPr>
                <w:rFonts w:eastAsia="Times New Roman" w:cs="Arial"/>
                <w:iCs/>
              </w:rPr>
              <w:t xml:space="preserve"> </w:t>
            </w:r>
            <w:r w:rsidRPr="00FB7B35">
              <w:rPr>
                <w:rFonts w:eastAsia="Times New Roman" w:cs="Arial"/>
                <w:iCs/>
              </w:rPr>
              <w:t>Commonwealth (own purpose)</w:t>
            </w:r>
          </w:p>
        </w:tc>
      </w:tr>
      <w:tr w:rsidR="005F4EBB" w14:paraId="5D0CF7A7" w14:textId="77777777" w:rsidTr="00F029BA">
        <w:tc>
          <w:tcPr>
            <w:cnfStyle w:val="001000000000" w:firstRow="0" w:lastRow="0" w:firstColumn="1" w:lastColumn="0" w:oddVBand="0" w:evenVBand="0" w:oddHBand="0" w:evenHBand="0" w:firstRowFirstColumn="0" w:firstRowLastColumn="0" w:lastRowFirstColumn="0" w:lastRowLastColumn="0"/>
            <w:tcW w:w="1829" w:type="dxa"/>
            <w:vMerge/>
          </w:tcPr>
          <w:p w14:paraId="22B2757A" w14:textId="77777777" w:rsidR="005F4EBB" w:rsidRDefault="005F4EBB" w:rsidP="00F029BA">
            <w:pPr>
              <w:spacing w:after="120"/>
            </w:pPr>
          </w:p>
        </w:tc>
        <w:tc>
          <w:tcPr>
            <w:tcW w:w="7187" w:type="dxa"/>
          </w:tcPr>
          <w:p w14:paraId="33519D51" w14:textId="071E263E" w:rsidR="005F4EBB" w:rsidRDefault="005F4EBB" w:rsidP="00F029BA">
            <w:pPr>
              <w:spacing w:after="120"/>
              <w:cnfStyle w:val="000000000000" w:firstRow="0" w:lastRow="0" w:firstColumn="0" w:lastColumn="0" w:oddVBand="0" w:evenVBand="0" w:oddHBand="0" w:evenHBand="0" w:firstRowFirstColumn="0" w:firstRowLastColumn="0" w:lastRowFirstColumn="0" w:lastRowLastColumn="0"/>
            </w:pPr>
            <w:r w:rsidRPr="00FB7B35">
              <w:rPr>
                <w:rFonts w:eastAsia="Times New Roman" w:cs="Arial"/>
                <w:iCs/>
              </w:rPr>
              <w:t>Sub-category 2.2</w:t>
            </w:r>
            <w:r>
              <w:rPr>
                <w:rFonts w:eastAsia="Times New Roman" w:cs="Arial"/>
                <w:iCs/>
              </w:rPr>
              <w:t xml:space="preserve"> </w:t>
            </w:r>
            <w:r w:rsidRPr="00FB7B35">
              <w:rPr>
                <w:rFonts w:eastAsia="Times New Roman" w:cs="Arial"/>
                <w:iCs/>
              </w:rPr>
              <w:t>Commonwealth (other)</w:t>
            </w:r>
          </w:p>
        </w:tc>
      </w:tr>
      <w:tr w:rsidR="005F4EBB" w14:paraId="2B3E6364" w14:textId="77777777" w:rsidTr="00F0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vMerge/>
          </w:tcPr>
          <w:p w14:paraId="5585A998" w14:textId="77777777" w:rsidR="005F4EBB" w:rsidRDefault="005F4EBB" w:rsidP="00F029BA">
            <w:pPr>
              <w:spacing w:after="120"/>
            </w:pPr>
          </w:p>
        </w:tc>
        <w:tc>
          <w:tcPr>
            <w:tcW w:w="7187" w:type="dxa"/>
          </w:tcPr>
          <w:p w14:paraId="03C80397" w14:textId="2AADCB67" w:rsidR="005F4EBB" w:rsidRDefault="005F4EBB" w:rsidP="00F029BA">
            <w:pPr>
              <w:spacing w:after="120"/>
              <w:cnfStyle w:val="000000100000" w:firstRow="0" w:lastRow="0" w:firstColumn="0" w:lastColumn="0" w:oddVBand="0" w:evenVBand="0" w:oddHBand="1" w:evenHBand="0" w:firstRowFirstColumn="0" w:firstRowLastColumn="0" w:lastRowFirstColumn="0" w:lastRowLastColumn="0"/>
            </w:pPr>
            <w:r w:rsidRPr="00FB7B35">
              <w:rPr>
                <w:rFonts w:eastAsia="Times New Roman" w:cs="Arial"/>
                <w:iCs/>
              </w:rPr>
              <w:t>Sub-category 2.3</w:t>
            </w:r>
            <w:r>
              <w:rPr>
                <w:rFonts w:eastAsia="Times New Roman" w:cs="Arial"/>
                <w:iCs/>
              </w:rPr>
              <w:t xml:space="preserve"> </w:t>
            </w:r>
            <w:r w:rsidRPr="00FB7B35">
              <w:rPr>
                <w:rFonts w:eastAsia="Times New Roman" w:cs="Arial"/>
                <w:iCs/>
              </w:rPr>
              <w:t>State/territory/local (own purpose)</w:t>
            </w:r>
          </w:p>
        </w:tc>
      </w:tr>
      <w:tr w:rsidR="005F4EBB" w14:paraId="07B586C5" w14:textId="77777777" w:rsidTr="00F029BA">
        <w:tc>
          <w:tcPr>
            <w:cnfStyle w:val="001000000000" w:firstRow="0" w:lastRow="0" w:firstColumn="1" w:lastColumn="0" w:oddVBand="0" w:evenVBand="0" w:oddHBand="0" w:evenHBand="0" w:firstRowFirstColumn="0" w:firstRowLastColumn="0" w:lastRowFirstColumn="0" w:lastRowLastColumn="0"/>
            <w:tcW w:w="1829" w:type="dxa"/>
            <w:vMerge/>
          </w:tcPr>
          <w:p w14:paraId="1377BB43" w14:textId="77777777" w:rsidR="005F4EBB" w:rsidRDefault="005F4EBB" w:rsidP="00F029BA">
            <w:pPr>
              <w:spacing w:after="120"/>
            </w:pPr>
          </w:p>
        </w:tc>
        <w:tc>
          <w:tcPr>
            <w:tcW w:w="7187" w:type="dxa"/>
          </w:tcPr>
          <w:p w14:paraId="7357BB33" w14:textId="6860EEB4" w:rsidR="005F4EBB" w:rsidRDefault="005F4EBB" w:rsidP="00F029BA">
            <w:pPr>
              <w:spacing w:after="120"/>
              <w:cnfStyle w:val="000000000000" w:firstRow="0" w:lastRow="0" w:firstColumn="0" w:lastColumn="0" w:oddVBand="0" w:evenVBand="0" w:oddHBand="0" w:evenHBand="0" w:firstRowFirstColumn="0" w:firstRowLastColumn="0" w:lastRowFirstColumn="0" w:lastRowLastColumn="0"/>
            </w:pPr>
            <w:r w:rsidRPr="00FB7B35">
              <w:rPr>
                <w:rFonts w:eastAsia="Times New Roman" w:cs="Arial"/>
                <w:iCs/>
              </w:rPr>
              <w:t>Sub-category 2.4</w:t>
            </w:r>
            <w:r>
              <w:rPr>
                <w:rFonts w:eastAsia="Times New Roman" w:cs="Arial"/>
                <w:iCs/>
              </w:rPr>
              <w:t xml:space="preserve"> </w:t>
            </w:r>
            <w:r w:rsidRPr="00FB7B35">
              <w:rPr>
                <w:rFonts w:eastAsia="Times New Roman" w:cs="Arial"/>
                <w:iCs/>
              </w:rPr>
              <w:t>State/territory/local (other)</w:t>
            </w:r>
          </w:p>
        </w:tc>
      </w:tr>
    </w:tbl>
    <w:p w14:paraId="6849795E" w14:textId="57F1C81F" w:rsidR="00246436" w:rsidRDefault="00246436" w:rsidP="00F95334">
      <w:pPr>
        <w:pStyle w:val="Caption"/>
        <w:keepNext/>
        <w:spacing w:before="120"/>
      </w:pPr>
      <w:r>
        <w:t xml:space="preserve">Table </w:t>
      </w:r>
      <w:r>
        <w:fldChar w:fldCharType="begin"/>
      </w:r>
      <w:r>
        <w:instrText xml:space="preserve"> SEQ Table \* ARABIC </w:instrText>
      </w:r>
      <w:r>
        <w:fldChar w:fldCharType="separate"/>
      </w:r>
      <w:r w:rsidR="00A62805">
        <w:rPr>
          <w:noProof/>
        </w:rPr>
        <w:t>3</w:t>
      </w:r>
      <w:r>
        <w:fldChar w:fldCharType="end"/>
      </w:r>
      <w:r>
        <w:t>: Category 3 R&amp;D income sub-categories</w:t>
      </w: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173"/>
      </w:tblGrid>
      <w:tr w:rsidR="005F4EBB" w14:paraId="530E575B" w14:textId="77777777" w:rsidTr="006604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shd w:val="clear" w:color="auto" w:fill="00254A" w:themeFill="text2"/>
          </w:tcPr>
          <w:p w14:paraId="0FBDD60F" w14:textId="11F26624" w:rsidR="005F4EBB" w:rsidRDefault="005F4EBB" w:rsidP="00F029BA">
            <w:pPr>
              <w:spacing w:after="120"/>
            </w:pPr>
            <w:r w:rsidRPr="00960EEA">
              <w:rPr>
                <w:rFonts w:eastAsia="Times New Roman" w:cs="Arial"/>
              </w:rPr>
              <w:t>Category 3:</w:t>
            </w:r>
          </w:p>
        </w:tc>
        <w:tc>
          <w:tcPr>
            <w:tcW w:w="7173" w:type="dxa"/>
            <w:tcBorders>
              <w:top w:val="none" w:sz="0" w:space="0" w:color="auto"/>
              <w:left w:val="none" w:sz="0" w:space="0" w:color="auto"/>
              <w:bottom w:val="none" w:sz="0" w:space="0" w:color="auto"/>
              <w:right w:val="none" w:sz="0" w:space="0" w:color="auto"/>
            </w:tcBorders>
            <w:shd w:val="clear" w:color="auto" w:fill="00254A" w:themeFill="text2"/>
          </w:tcPr>
          <w:p w14:paraId="00C9A6BD" w14:textId="3AEF469E" w:rsidR="005F4EBB" w:rsidRDefault="005F4EBB" w:rsidP="00F029BA">
            <w:pPr>
              <w:spacing w:after="120"/>
              <w:cnfStyle w:val="100000000000" w:firstRow="1" w:lastRow="0" w:firstColumn="0" w:lastColumn="0" w:oddVBand="0" w:evenVBand="0" w:oddHBand="0" w:evenHBand="0" w:firstRowFirstColumn="0" w:firstRowLastColumn="0" w:lastRowFirstColumn="0" w:lastRowLastColumn="0"/>
            </w:pPr>
            <w:r w:rsidRPr="007074CB">
              <w:rPr>
                <w:rFonts w:eastAsia="Times New Roman" w:cs="Arial"/>
              </w:rPr>
              <w:t>Industry and other R&amp;D income</w:t>
            </w:r>
          </w:p>
        </w:tc>
      </w:tr>
      <w:tr w:rsidR="005F4EBB" w14:paraId="33927D38" w14:textId="77777777" w:rsidTr="00F0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14:paraId="683A2ED3" w14:textId="121FF4A3" w:rsidR="005F4EBB" w:rsidRDefault="005F4EBB" w:rsidP="00F029BA">
            <w:pPr>
              <w:spacing w:after="120"/>
            </w:pPr>
            <w:r w:rsidRPr="005E53CE">
              <w:rPr>
                <w:rFonts w:eastAsia="Times New Roman" w:cs="Arial"/>
              </w:rPr>
              <w:t xml:space="preserve">Category </w:t>
            </w:r>
            <w:r>
              <w:rPr>
                <w:rFonts w:eastAsia="Times New Roman" w:cs="Arial"/>
              </w:rPr>
              <w:t>3</w:t>
            </w:r>
          </w:p>
        </w:tc>
        <w:tc>
          <w:tcPr>
            <w:tcW w:w="7173" w:type="dxa"/>
          </w:tcPr>
          <w:p w14:paraId="1B23481F" w14:textId="27E2746F" w:rsidR="005F4EBB" w:rsidRDefault="005F4EBB" w:rsidP="00F029BA">
            <w:pPr>
              <w:spacing w:after="120"/>
              <w:cnfStyle w:val="000000100000" w:firstRow="0" w:lastRow="0" w:firstColumn="0" w:lastColumn="0" w:oddVBand="0" w:evenVBand="0" w:oddHBand="1" w:evenHBand="0" w:firstRowFirstColumn="0" w:firstRowLastColumn="0" w:lastRowFirstColumn="0" w:lastRowLastColumn="0"/>
            </w:pPr>
            <w:r w:rsidRPr="00FB7B35">
              <w:rPr>
                <w:rFonts w:eastAsia="Times New Roman" w:cs="Arial"/>
              </w:rPr>
              <w:t>Sub-category 3.1</w:t>
            </w:r>
            <w:r>
              <w:rPr>
                <w:rFonts w:eastAsia="Times New Roman" w:cs="Arial"/>
              </w:rPr>
              <w:t xml:space="preserve"> </w:t>
            </w:r>
            <w:r w:rsidRPr="00FB7B35">
              <w:rPr>
                <w:rFonts w:eastAsia="Times New Roman" w:cs="Arial"/>
              </w:rPr>
              <w:t>Australian for-profit organisations</w:t>
            </w:r>
          </w:p>
        </w:tc>
      </w:tr>
      <w:tr w:rsidR="005F4EBB" w14:paraId="2961ADC3" w14:textId="77777777" w:rsidTr="00F029BA">
        <w:tc>
          <w:tcPr>
            <w:cnfStyle w:val="001000000000" w:firstRow="0" w:lastRow="0" w:firstColumn="1" w:lastColumn="0" w:oddVBand="0" w:evenVBand="0" w:oddHBand="0" w:evenHBand="0" w:firstRowFirstColumn="0" w:firstRowLastColumn="0" w:lastRowFirstColumn="0" w:lastRowLastColumn="0"/>
            <w:tcW w:w="1843" w:type="dxa"/>
            <w:vMerge/>
          </w:tcPr>
          <w:p w14:paraId="15DA8A6A" w14:textId="77777777" w:rsidR="005F4EBB" w:rsidRDefault="005F4EBB" w:rsidP="00F029BA">
            <w:pPr>
              <w:spacing w:after="120"/>
            </w:pPr>
          </w:p>
        </w:tc>
        <w:tc>
          <w:tcPr>
            <w:tcW w:w="7173" w:type="dxa"/>
          </w:tcPr>
          <w:p w14:paraId="7BFCB967" w14:textId="76388034" w:rsidR="005F4EBB" w:rsidRDefault="005F4EBB" w:rsidP="00F029BA">
            <w:pPr>
              <w:spacing w:after="120"/>
              <w:cnfStyle w:val="000000000000" w:firstRow="0" w:lastRow="0" w:firstColumn="0" w:lastColumn="0" w:oddVBand="0" w:evenVBand="0" w:oddHBand="0" w:evenHBand="0" w:firstRowFirstColumn="0" w:firstRowLastColumn="0" w:lastRowFirstColumn="0" w:lastRowLastColumn="0"/>
            </w:pPr>
            <w:r w:rsidRPr="00FB7B35">
              <w:rPr>
                <w:rFonts w:eastAsia="Times New Roman" w:cs="Arial"/>
              </w:rPr>
              <w:t>Sub-category 3.2</w:t>
            </w:r>
            <w:r>
              <w:rPr>
                <w:rFonts w:eastAsia="Times New Roman" w:cs="Arial"/>
              </w:rPr>
              <w:t xml:space="preserve"> </w:t>
            </w:r>
            <w:r w:rsidRPr="00FB7B35">
              <w:rPr>
                <w:rFonts w:eastAsia="Times New Roman" w:cs="Arial"/>
              </w:rPr>
              <w:t>Australian not-for profit organisations</w:t>
            </w:r>
          </w:p>
        </w:tc>
      </w:tr>
      <w:tr w:rsidR="005F4EBB" w14:paraId="11634D56" w14:textId="77777777" w:rsidTr="00F0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Pr>
          <w:p w14:paraId="2353E9BC" w14:textId="77777777" w:rsidR="005F4EBB" w:rsidRDefault="005F4EBB" w:rsidP="00F029BA">
            <w:pPr>
              <w:spacing w:after="120"/>
            </w:pPr>
          </w:p>
        </w:tc>
        <w:tc>
          <w:tcPr>
            <w:tcW w:w="7173" w:type="dxa"/>
          </w:tcPr>
          <w:p w14:paraId="653A873E" w14:textId="1C12A3F3" w:rsidR="005F4EBB" w:rsidRDefault="005F4EBB" w:rsidP="00F029BA">
            <w:pPr>
              <w:spacing w:after="120"/>
              <w:cnfStyle w:val="000000100000" w:firstRow="0" w:lastRow="0" w:firstColumn="0" w:lastColumn="0" w:oddVBand="0" w:evenVBand="0" w:oddHBand="1" w:evenHBand="0" w:firstRowFirstColumn="0" w:firstRowLastColumn="0" w:lastRowFirstColumn="0" w:lastRowLastColumn="0"/>
            </w:pPr>
            <w:r w:rsidRPr="00FB7B35">
              <w:rPr>
                <w:rFonts w:eastAsia="Times New Roman" w:cs="Arial"/>
              </w:rPr>
              <w:t>Sub-category 3.3</w:t>
            </w:r>
            <w:r>
              <w:rPr>
                <w:rFonts w:eastAsia="Times New Roman" w:cs="Arial"/>
              </w:rPr>
              <w:t xml:space="preserve"> </w:t>
            </w:r>
            <w:r w:rsidRPr="00FB7B35">
              <w:rPr>
                <w:rFonts w:eastAsia="Times New Roman" w:cs="Arial"/>
              </w:rPr>
              <w:t>Australian philanthropy</w:t>
            </w:r>
          </w:p>
        </w:tc>
      </w:tr>
      <w:tr w:rsidR="005F4EBB" w14:paraId="37022186" w14:textId="77777777" w:rsidTr="00F029BA">
        <w:tc>
          <w:tcPr>
            <w:cnfStyle w:val="001000000000" w:firstRow="0" w:lastRow="0" w:firstColumn="1" w:lastColumn="0" w:oddVBand="0" w:evenVBand="0" w:oddHBand="0" w:evenHBand="0" w:firstRowFirstColumn="0" w:firstRowLastColumn="0" w:lastRowFirstColumn="0" w:lastRowLastColumn="0"/>
            <w:tcW w:w="1843" w:type="dxa"/>
            <w:vMerge/>
          </w:tcPr>
          <w:p w14:paraId="299AA0BA" w14:textId="77777777" w:rsidR="005F4EBB" w:rsidRDefault="005F4EBB" w:rsidP="00F029BA">
            <w:pPr>
              <w:spacing w:after="120"/>
            </w:pPr>
          </w:p>
        </w:tc>
        <w:tc>
          <w:tcPr>
            <w:tcW w:w="7173" w:type="dxa"/>
          </w:tcPr>
          <w:p w14:paraId="2C14DA29" w14:textId="0BA8DEA1" w:rsidR="005F4EBB" w:rsidRDefault="005F4EBB" w:rsidP="00F029BA">
            <w:pPr>
              <w:spacing w:after="120"/>
              <w:cnfStyle w:val="000000000000" w:firstRow="0" w:lastRow="0" w:firstColumn="0" w:lastColumn="0" w:oddVBand="0" w:evenVBand="0" w:oddHBand="0" w:evenHBand="0" w:firstRowFirstColumn="0" w:firstRowLastColumn="0" w:lastRowFirstColumn="0" w:lastRowLastColumn="0"/>
            </w:pPr>
            <w:r w:rsidRPr="00FB7B35">
              <w:rPr>
                <w:rFonts w:eastAsia="Times New Roman" w:cs="Arial"/>
              </w:rPr>
              <w:t>Sub-category 3.4</w:t>
            </w:r>
            <w:r>
              <w:rPr>
                <w:rFonts w:eastAsia="Times New Roman" w:cs="Arial"/>
              </w:rPr>
              <w:t xml:space="preserve"> I</w:t>
            </w:r>
            <w:r w:rsidRPr="00FB7B35">
              <w:rPr>
                <w:rFonts w:eastAsia="Times New Roman" w:cs="Arial"/>
              </w:rPr>
              <w:t>nternational for-profit organisations</w:t>
            </w:r>
          </w:p>
        </w:tc>
      </w:tr>
      <w:tr w:rsidR="005F4EBB" w14:paraId="7CBB761B" w14:textId="77777777" w:rsidTr="00F0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Pr>
          <w:p w14:paraId="67CCE838" w14:textId="77777777" w:rsidR="005F4EBB" w:rsidRDefault="005F4EBB" w:rsidP="00F029BA">
            <w:pPr>
              <w:spacing w:after="120"/>
            </w:pPr>
          </w:p>
        </w:tc>
        <w:tc>
          <w:tcPr>
            <w:tcW w:w="7173" w:type="dxa"/>
          </w:tcPr>
          <w:p w14:paraId="3AF5A4AE" w14:textId="641DA3C8" w:rsidR="005F4EBB" w:rsidRDefault="005F4EBB" w:rsidP="00F029BA">
            <w:pPr>
              <w:spacing w:after="120"/>
              <w:cnfStyle w:val="000000100000" w:firstRow="0" w:lastRow="0" w:firstColumn="0" w:lastColumn="0" w:oddVBand="0" w:evenVBand="0" w:oddHBand="1" w:evenHBand="0" w:firstRowFirstColumn="0" w:firstRowLastColumn="0" w:lastRowFirstColumn="0" w:lastRowLastColumn="0"/>
            </w:pPr>
            <w:r w:rsidRPr="00FB7B35">
              <w:rPr>
                <w:rFonts w:eastAsia="Times New Roman" w:cs="Arial"/>
              </w:rPr>
              <w:t>Sub-category 3.5</w:t>
            </w:r>
            <w:r>
              <w:rPr>
                <w:rFonts w:eastAsia="Times New Roman" w:cs="Arial"/>
              </w:rPr>
              <w:t xml:space="preserve"> I</w:t>
            </w:r>
            <w:r w:rsidRPr="00FB7B35">
              <w:rPr>
                <w:rFonts w:eastAsia="Times New Roman" w:cs="Arial"/>
              </w:rPr>
              <w:t>nternational not-for profit organisations</w:t>
            </w:r>
          </w:p>
        </w:tc>
      </w:tr>
      <w:tr w:rsidR="005F4EBB" w14:paraId="5ADA2B40" w14:textId="77777777" w:rsidTr="00F029BA">
        <w:tc>
          <w:tcPr>
            <w:cnfStyle w:val="001000000000" w:firstRow="0" w:lastRow="0" w:firstColumn="1" w:lastColumn="0" w:oddVBand="0" w:evenVBand="0" w:oddHBand="0" w:evenHBand="0" w:firstRowFirstColumn="0" w:firstRowLastColumn="0" w:lastRowFirstColumn="0" w:lastRowLastColumn="0"/>
            <w:tcW w:w="1843" w:type="dxa"/>
            <w:vMerge/>
          </w:tcPr>
          <w:p w14:paraId="3EAEF447" w14:textId="77777777" w:rsidR="005F4EBB" w:rsidRDefault="005F4EBB" w:rsidP="00F029BA">
            <w:pPr>
              <w:spacing w:after="120"/>
            </w:pPr>
          </w:p>
        </w:tc>
        <w:tc>
          <w:tcPr>
            <w:tcW w:w="7173" w:type="dxa"/>
          </w:tcPr>
          <w:p w14:paraId="58DE150B" w14:textId="365EBC65" w:rsidR="005F4EBB" w:rsidRDefault="005F4EBB" w:rsidP="00F029BA">
            <w:pPr>
              <w:spacing w:after="120"/>
              <w:cnfStyle w:val="000000000000" w:firstRow="0" w:lastRow="0" w:firstColumn="0" w:lastColumn="0" w:oddVBand="0" w:evenVBand="0" w:oddHBand="0" w:evenHBand="0" w:firstRowFirstColumn="0" w:firstRowLastColumn="0" w:lastRowFirstColumn="0" w:lastRowLastColumn="0"/>
            </w:pPr>
            <w:r w:rsidRPr="00FB7B35">
              <w:rPr>
                <w:rFonts w:eastAsia="Times New Roman" w:cs="Arial"/>
              </w:rPr>
              <w:t>Sub-category 3.6</w:t>
            </w:r>
            <w:r>
              <w:rPr>
                <w:rFonts w:eastAsia="Times New Roman" w:cs="Arial"/>
              </w:rPr>
              <w:t xml:space="preserve"> I</w:t>
            </w:r>
            <w:r w:rsidRPr="00FB7B35">
              <w:rPr>
                <w:rFonts w:eastAsia="Times New Roman" w:cs="Arial"/>
              </w:rPr>
              <w:t>nternational philanthropy</w:t>
            </w:r>
          </w:p>
        </w:tc>
      </w:tr>
      <w:tr w:rsidR="005F4EBB" w14:paraId="68E89BF6" w14:textId="77777777" w:rsidTr="00F0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Pr>
          <w:p w14:paraId="7EBA116F" w14:textId="77777777" w:rsidR="005F4EBB" w:rsidRDefault="005F4EBB" w:rsidP="00F029BA">
            <w:pPr>
              <w:spacing w:after="120"/>
            </w:pPr>
          </w:p>
        </w:tc>
        <w:tc>
          <w:tcPr>
            <w:tcW w:w="7173" w:type="dxa"/>
          </w:tcPr>
          <w:p w14:paraId="433BD1B3" w14:textId="3B5411BD" w:rsidR="005F4EBB" w:rsidRDefault="005F4EBB" w:rsidP="00F029BA">
            <w:pPr>
              <w:spacing w:after="120"/>
              <w:cnfStyle w:val="000000100000" w:firstRow="0" w:lastRow="0" w:firstColumn="0" w:lastColumn="0" w:oddVBand="0" w:evenVBand="0" w:oddHBand="1" w:evenHBand="0" w:firstRowFirstColumn="0" w:firstRowLastColumn="0" w:lastRowFirstColumn="0" w:lastRowLastColumn="0"/>
            </w:pPr>
            <w:r w:rsidRPr="00FB7B35">
              <w:rPr>
                <w:rFonts w:eastAsia="Times New Roman" w:cs="Arial"/>
              </w:rPr>
              <w:t>Sub-category 3.7</w:t>
            </w:r>
            <w:r>
              <w:rPr>
                <w:rFonts w:eastAsia="Times New Roman" w:cs="Arial"/>
              </w:rPr>
              <w:t xml:space="preserve"> I</w:t>
            </w:r>
            <w:r w:rsidRPr="00FB7B35">
              <w:rPr>
                <w:rFonts w:eastAsia="Times New Roman" w:cs="Arial"/>
              </w:rPr>
              <w:t>nternational government (own purpose)</w:t>
            </w:r>
          </w:p>
        </w:tc>
      </w:tr>
      <w:tr w:rsidR="005F4EBB" w14:paraId="0DCE4D7B" w14:textId="77777777" w:rsidTr="00F029BA">
        <w:trPr>
          <w:trHeight w:val="64"/>
        </w:trPr>
        <w:tc>
          <w:tcPr>
            <w:cnfStyle w:val="001000000000" w:firstRow="0" w:lastRow="0" w:firstColumn="1" w:lastColumn="0" w:oddVBand="0" w:evenVBand="0" w:oddHBand="0" w:evenHBand="0" w:firstRowFirstColumn="0" w:firstRowLastColumn="0" w:lastRowFirstColumn="0" w:lastRowLastColumn="0"/>
            <w:tcW w:w="1843" w:type="dxa"/>
            <w:vMerge/>
          </w:tcPr>
          <w:p w14:paraId="5ACBD6D4" w14:textId="77777777" w:rsidR="005F4EBB" w:rsidRDefault="005F4EBB" w:rsidP="00F029BA">
            <w:pPr>
              <w:spacing w:after="120"/>
            </w:pPr>
          </w:p>
        </w:tc>
        <w:tc>
          <w:tcPr>
            <w:tcW w:w="7173" w:type="dxa"/>
          </w:tcPr>
          <w:p w14:paraId="58FD7069" w14:textId="3785288D" w:rsidR="005F4EBB" w:rsidRDefault="005F4EBB" w:rsidP="00F029BA">
            <w:pPr>
              <w:spacing w:after="120"/>
              <w:cnfStyle w:val="000000000000" w:firstRow="0" w:lastRow="0" w:firstColumn="0" w:lastColumn="0" w:oddVBand="0" w:evenVBand="0" w:oddHBand="0" w:evenHBand="0" w:firstRowFirstColumn="0" w:firstRowLastColumn="0" w:lastRowFirstColumn="0" w:lastRowLastColumn="0"/>
            </w:pPr>
            <w:r w:rsidRPr="00FB7B35">
              <w:rPr>
                <w:rFonts w:eastAsia="Times New Roman" w:cs="Arial"/>
              </w:rPr>
              <w:t>Sub-category 3.8</w:t>
            </w:r>
            <w:r>
              <w:rPr>
                <w:rFonts w:eastAsia="Times New Roman" w:cs="Arial"/>
              </w:rPr>
              <w:t xml:space="preserve"> I</w:t>
            </w:r>
            <w:r w:rsidRPr="00FB7B35">
              <w:rPr>
                <w:rFonts w:eastAsia="Times New Roman" w:cs="Arial"/>
              </w:rPr>
              <w:t>nternational government (other)</w:t>
            </w:r>
          </w:p>
        </w:tc>
      </w:tr>
    </w:tbl>
    <w:p w14:paraId="6F20850C" w14:textId="6BE7AB04" w:rsidR="00246436" w:rsidRDefault="00246436" w:rsidP="00F95334">
      <w:pPr>
        <w:pStyle w:val="Caption"/>
        <w:keepNext/>
        <w:spacing w:before="120"/>
      </w:pPr>
      <w:r>
        <w:t xml:space="preserve">Table </w:t>
      </w:r>
      <w:r>
        <w:fldChar w:fldCharType="begin"/>
      </w:r>
      <w:r>
        <w:instrText xml:space="preserve"> SEQ Table \* ARABIC </w:instrText>
      </w:r>
      <w:r>
        <w:fldChar w:fldCharType="separate"/>
      </w:r>
      <w:r w:rsidR="00A62805">
        <w:rPr>
          <w:noProof/>
        </w:rPr>
        <w:t>4</w:t>
      </w:r>
      <w:r>
        <w:fldChar w:fldCharType="end"/>
      </w:r>
      <w:r>
        <w:t>: Category 4 R&amp;D income sub-categories</w:t>
      </w: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173"/>
      </w:tblGrid>
      <w:tr w:rsidR="00F029BA" w14:paraId="046A7510" w14:textId="77777777" w:rsidTr="006604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shd w:val="clear" w:color="auto" w:fill="00254A" w:themeFill="text2"/>
          </w:tcPr>
          <w:p w14:paraId="69D5A8DE" w14:textId="25C98068" w:rsidR="00F029BA" w:rsidRDefault="00F029BA" w:rsidP="00F029BA">
            <w:pPr>
              <w:spacing w:after="120"/>
            </w:pPr>
            <w:r w:rsidRPr="00960EEA">
              <w:rPr>
                <w:rFonts w:eastAsia="Times New Roman" w:cs="Arial"/>
              </w:rPr>
              <w:t>Category 4:</w:t>
            </w:r>
          </w:p>
        </w:tc>
        <w:tc>
          <w:tcPr>
            <w:tcW w:w="7173" w:type="dxa"/>
            <w:tcBorders>
              <w:top w:val="none" w:sz="0" w:space="0" w:color="auto"/>
              <w:left w:val="none" w:sz="0" w:space="0" w:color="auto"/>
              <w:bottom w:val="none" w:sz="0" w:space="0" w:color="auto"/>
              <w:right w:val="none" w:sz="0" w:space="0" w:color="auto"/>
            </w:tcBorders>
            <w:shd w:val="clear" w:color="auto" w:fill="00254A" w:themeFill="text2"/>
          </w:tcPr>
          <w:p w14:paraId="44BC3C84" w14:textId="775C7F07" w:rsidR="00F029BA" w:rsidRDefault="00F029BA" w:rsidP="00F029BA">
            <w:pPr>
              <w:spacing w:after="120"/>
              <w:cnfStyle w:val="100000000000" w:firstRow="1" w:lastRow="0" w:firstColumn="0" w:lastColumn="0" w:oddVBand="0" w:evenVBand="0" w:oddHBand="0" w:evenHBand="0" w:firstRowFirstColumn="0" w:firstRowLastColumn="0" w:lastRowFirstColumn="0" w:lastRowLastColumn="0"/>
            </w:pPr>
            <w:r w:rsidRPr="007074CB">
              <w:rPr>
                <w:rFonts w:eastAsia="Times New Roman" w:cs="Arial"/>
              </w:rPr>
              <w:t>CRC R&amp;D income</w:t>
            </w:r>
          </w:p>
        </w:tc>
      </w:tr>
      <w:tr w:rsidR="00F029BA" w14:paraId="54435C3C" w14:textId="77777777" w:rsidTr="00F0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14:paraId="0319A9E1" w14:textId="3E7B676A" w:rsidR="00F029BA" w:rsidRDefault="00F029BA" w:rsidP="00F029BA">
            <w:pPr>
              <w:spacing w:after="120"/>
            </w:pPr>
            <w:r w:rsidRPr="005E53CE">
              <w:rPr>
                <w:rFonts w:eastAsia="Times New Roman" w:cs="Arial"/>
              </w:rPr>
              <w:t xml:space="preserve">Category </w:t>
            </w:r>
            <w:r>
              <w:rPr>
                <w:rFonts w:eastAsia="Times New Roman" w:cs="Arial"/>
              </w:rPr>
              <w:t>4</w:t>
            </w:r>
          </w:p>
        </w:tc>
        <w:tc>
          <w:tcPr>
            <w:tcW w:w="7173" w:type="dxa"/>
          </w:tcPr>
          <w:p w14:paraId="0A96BFA9" w14:textId="7C613C09" w:rsidR="00F029BA" w:rsidRDefault="00F029BA" w:rsidP="00F029BA">
            <w:pPr>
              <w:spacing w:after="120"/>
              <w:cnfStyle w:val="000000100000" w:firstRow="0" w:lastRow="0" w:firstColumn="0" w:lastColumn="0" w:oddVBand="0" w:evenVBand="0" w:oddHBand="1" w:evenHBand="0" w:firstRowFirstColumn="0" w:firstRowLastColumn="0" w:lastRowFirstColumn="0" w:lastRowLastColumn="0"/>
            </w:pPr>
            <w:r w:rsidRPr="00FB7B35">
              <w:rPr>
                <w:rFonts w:eastAsia="Times New Roman" w:cs="Arial"/>
                <w:iCs/>
              </w:rPr>
              <w:t>Sub-category 4.1</w:t>
            </w:r>
            <w:r>
              <w:rPr>
                <w:rFonts w:eastAsia="Times New Roman" w:cs="Arial"/>
                <w:iCs/>
              </w:rPr>
              <w:t xml:space="preserve"> </w:t>
            </w:r>
            <w:r w:rsidRPr="00FB7B35">
              <w:rPr>
                <w:rFonts w:eastAsia="Times New Roman" w:cs="Arial"/>
                <w:iCs/>
              </w:rPr>
              <w:t>R&amp;D income received from CRCs derived from Australian Government grants to CRCs</w:t>
            </w:r>
          </w:p>
        </w:tc>
      </w:tr>
      <w:tr w:rsidR="00F029BA" w14:paraId="35679B4D" w14:textId="77777777" w:rsidTr="00F029BA">
        <w:tc>
          <w:tcPr>
            <w:cnfStyle w:val="001000000000" w:firstRow="0" w:lastRow="0" w:firstColumn="1" w:lastColumn="0" w:oddVBand="0" w:evenVBand="0" w:oddHBand="0" w:evenHBand="0" w:firstRowFirstColumn="0" w:firstRowLastColumn="0" w:lastRowFirstColumn="0" w:lastRowLastColumn="0"/>
            <w:tcW w:w="1843" w:type="dxa"/>
            <w:vMerge/>
          </w:tcPr>
          <w:p w14:paraId="37365037" w14:textId="77777777" w:rsidR="00F029BA" w:rsidRDefault="00F029BA" w:rsidP="00F029BA">
            <w:pPr>
              <w:spacing w:after="120"/>
            </w:pPr>
          </w:p>
        </w:tc>
        <w:tc>
          <w:tcPr>
            <w:tcW w:w="7173" w:type="dxa"/>
          </w:tcPr>
          <w:p w14:paraId="39B02426" w14:textId="4AD85949" w:rsidR="00F029BA" w:rsidRDefault="00F029BA" w:rsidP="00F029BA">
            <w:pPr>
              <w:spacing w:after="120"/>
              <w:cnfStyle w:val="000000000000" w:firstRow="0" w:lastRow="0" w:firstColumn="0" w:lastColumn="0" w:oddVBand="0" w:evenVBand="0" w:oddHBand="0" w:evenHBand="0" w:firstRowFirstColumn="0" w:firstRowLastColumn="0" w:lastRowFirstColumn="0" w:lastRowLastColumn="0"/>
            </w:pPr>
            <w:r w:rsidRPr="00FB7B35">
              <w:rPr>
                <w:rFonts w:eastAsia="Times New Roman" w:cs="Arial"/>
                <w:iCs/>
              </w:rPr>
              <w:t>Sub-category 4.2</w:t>
            </w:r>
            <w:r>
              <w:rPr>
                <w:rFonts w:eastAsia="Times New Roman" w:cs="Arial"/>
                <w:iCs/>
              </w:rPr>
              <w:t xml:space="preserve"> </w:t>
            </w:r>
            <w:r w:rsidRPr="00FB7B35">
              <w:rPr>
                <w:rFonts w:eastAsia="Times New Roman" w:cs="Arial"/>
                <w:iCs/>
              </w:rPr>
              <w:t>R&amp;D income received from CRCs derived from private industry participants of CRCs</w:t>
            </w:r>
          </w:p>
        </w:tc>
      </w:tr>
      <w:tr w:rsidR="00F029BA" w14:paraId="67A1160F" w14:textId="77777777" w:rsidTr="00F0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Pr>
          <w:p w14:paraId="62BD961D" w14:textId="77777777" w:rsidR="00F029BA" w:rsidRDefault="00F029BA" w:rsidP="00F029BA">
            <w:pPr>
              <w:spacing w:after="120"/>
            </w:pPr>
          </w:p>
        </w:tc>
        <w:tc>
          <w:tcPr>
            <w:tcW w:w="7173" w:type="dxa"/>
          </w:tcPr>
          <w:p w14:paraId="1E34B8C5" w14:textId="02298576" w:rsidR="00F029BA" w:rsidRDefault="00F029BA" w:rsidP="00F029BA">
            <w:pPr>
              <w:spacing w:after="120"/>
              <w:cnfStyle w:val="000000100000" w:firstRow="0" w:lastRow="0" w:firstColumn="0" w:lastColumn="0" w:oddVBand="0" w:evenVBand="0" w:oddHBand="1" w:evenHBand="0" w:firstRowFirstColumn="0" w:firstRowLastColumn="0" w:lastRowFirstColumn="0" w:lastRowLastColumn="0"/>
            </w:pPr>
            <w:r w:rsidRPr="00FB7B35">
              <w:rPr>
                <w:rFonts w:eastAsia="Times New Roman" w:cs="Arial"/>
                <w:iCs/>
              </w:rPr>
              <w:t>Sub-category 4.3</w:t>
            </w:r>
            <w:r>
              <w:rPr>
                <w:rFonts w:eastAsia="Times New Roman" w:cs="Arial"/>
                <w:iCs/>
              </w:rPr>
              <w:t xml:space="preserve"> </w:t>
            </w:r>
            <w:r w:rsidRPr="00FB7B35">
              <w:rPr>
                <w:rFonts w:eastAsia="Times New Roman" w:cs="Arial"/>
                <w:iCs/>
              </w:rPr>
              <w:t>R&amp;D income received from CRCs derived from other sources</w:t>
            </w:r>
          </w:p>
        </w:tc>
      </w:tr>
    </w:tbl>
    <w:p w14:paraId="16284547" w14:textId="14C2DEE4" w:rsidR="00F13E64" w:rsidRDefault="00F13E64" w:rsidP="009D347E">
      <w:pPr>
        <w:spacing w:after="120"/>
      </w:pPr>
    </w:p>
    <w:sectPr w:rsidR="00F13E64">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59E27" w14:textId="77777777" w:rsidR="000A6228" w:rsidRDefault="000A6228" w:rsidP="000A6228">
      <w:pPr>
        <w:spacing w:after="0" w:line="240" w:lineRule="auto"/>
      </w:pPr>
      <w:r>
        <w:separator/>
      </w:r>
    </w:p>
  </w:endnote>
  <w:endnote w:type="continuationSeparator" w:id="0">
    <w:p w14:paraId="0E99C4D0" w14:textId="77777777" w:rsidR="000A6228" w:rsidRDefault="000A6228" w:rsidP="000A6228">
      <w:pPr>
        <w:spacing w:after="0" w:line="240" w:lineRule="auto"/>
      </w:pPr>
      <w:r>
        <w:continuationSeparator/>
      </w:r>
    </w:p>
  </w:endnote>
  <w:endnote w:type="continuationNotice" w:id="1">
    <w:p w14:paraId="65830678" w14:textId="77777777" w:rsidR="00523C58" w:rsidRDefault="00523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B00C5" w14:textId="1E7CC256" w:rsidR="00C8700E" w:rsidRDefault="00526F8E" w:rsidP="00C8700E">
    <w:pPr>
      <w:pStyle w:val="Footer"/>
    </w:pPr>
    <w:r>
      <w:t>Final</w:t>
    </w:r>
    <w:r w:rsidR="00D54C53">
      <w:t xml:space="preserve"> </w:t>
    </w:r>
    <w:r w:rsidR="00C8700E">
      <w:t xml:space="preserve">HERDC specifications for the collection of </w:t>
    </w:r>
    <w:r w:rsidR="006C4222">
      <w:t xml:space="preserve">2024 </w:t>
    </w:r>
    <w:r w:rsidR="00C8700E">
      <w:t xml:space="preserve">data| </w:t>
    </w:r>
    <w:r w:rsidR="00C8700E" w:rsidRPr="00AF1F18">
      <w:fldChar w:fldCharType="begin"/>
    </w:r>
    <w:r w:rsidR="00C8700E" w:rsidRPr="00AF1F18">
      <w:instrText xml:space="preserve"> PAGE   \* MERGEFORMAT </w:instrText>
    </w:r>
    <w:r w:rsidR="00C8700E" w:rsidRPr="00AF1F18">
      <w:fldChar w:fldCharType="separate"/>
    </w:r>
    <w:r w:rsidR="00C8700E">
      <w:t>21</w:t>
    </w:r>
    <w:r w:rsidR="00C8700E" w:rsidRPr="00AF1F18">
      <w:fldChar w:fldCharType="end"/>
    </w:r>
    <w:r w:rsidR="00C8700E">
      <w:rPr>
        <w:noProof/>
      </w:rPr>
      <w:drawing>
        <wp:anchor distT="0" distB="0" distL="114300" distR="114300" simplePos="0" relativeHeight="251657216" behindDoc="1" locked="1" layoutInCell="1" allowOverlap="1" wp14:anchorId="0FC98134" wp14:editId="406E5021">
          <wp:simplePos x="0" y="0"/>
          <wp:positionH relativeFrom="page">
            <wp:align>right</wp:align>
          </wp:positionH>
          <wp:positionV relativeFrom="page">
            <wp:align>bottom</wp:align>
          </wp:positionV>
          <wp:extent cx="1220400" cy="651600"/>
          <wp:effectExtent l="0" t="0" r="0" b="0"/>
          <wp:wrapNone/>
          <wp:docPr id="922452414" name="Picture 9224524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p w14:paraId="677FA8FE" w14:textId="77777777" w:rsidR="00C8700E" w:rsidRDefault="00C87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49139" w14:textId="77777777" w:rsidR="009D347E" w:rsidRDefault="009D347E">
    <w:pPr>
      <w:pStyle w:val="Footer"/>
    </w:pPr>
  </w:p>
  <w:p w14:paraId="1C54131F" w14:textId="35C04678" w:rsidR="009D347E" w:rsidRDefault="00CF284E" w:rsidP="00B37FB9">
    <w:pPr>
      <w:pStyle w:val="Footer"/>
    </w:pPr>
    <w:r>
      <w:rPr>
        <w:noProof/>
      </w:rPr>
      <mc:AlternateContent>
        <mc:Choice Requires="wps">
          <w:drawing>
            <wp:anchor distT="0" distB="0" distL="114300" distR="114300" simplePos="0" relativeHeight="251658240" behindDoc="0" locked="0" layoutInCell="1" allowOverlap="1" wp14:anchorId="693142A4" wp14:editId="21D6817F">
              <wp:simplePos x="0" y="0"/>
              <wp:positionH relativeFrom="page">
                <wp:posOffset>-3810</wp:posOffset>
              </wp:positionH>
              <wp:positionV relativeFrom="paragraph">
                <wp:posOffset>435448</wp:posOffset>
              </wp:positionV>
              <wp:extent cx="10696353" cy="186365"/>
              <wp:effectExtent l="0" t="0" r="0" b="4445"/>
              <wp:wrapNone/>
              <wp:docPr id="141339583" name="Rectangle 1413395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6353" cy="186365"/>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EE7BD" id="Rectangle 141339583" o:spid="_x0000_s1026" alt="&quot;&quot;" style="position:absolute;margin-left:-.3pt;margin-top:34.3pt;width:842.25pt;height:1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" fillcolor="#002d3f" stroked="f" strokeweight="1pt">
              <w10:wrap anchorx="page"/>
            </v:rect>
          </w:pict>
        </mc:Fallback>
      </mc:AlternateContent>
    </w:r>
    <w:r w:rsidR="00526F8E">
      <w:t>Final</w:t>
    </w:r>
    <w:r>
      <w:t xml:space="preserve"> </w:t>
    </w:r>
    <w:r w:rsidR="009D347E">
      <w:t>HERDC s</w:t>
    </w:r>
    <w:r w:rsidR="009D347E" w:rsidRPr="006411D0">
      <w:t xml:space="preserve">pecifications for the collection of </w:t>
    </w:r>
    <w:r w:rsidRPr="006411D0">
      <w:t>202</w:t>
    </w:r>
    <w:r>
      <w:t>4</w:t>
    </w:r>
    <w:r w:rsidRPr="006411D0">
      <w:t xml:space="preserve"> </w:t>
    </w:r>
    <w:r w:rsidR="009D347E" w:rsidRPr="006411D0">
      <w:t>data</w:t>
    </w:r>
    <w:r w:rsidR="009D347E">
      <w:t xml:space="preserve">| </w:t>
    </w:r>
    <w:sdt>
      <w:sdtPr>
        <w:id w:val="-2076495079"/>
        <w:docPartObj>
          <w:docPartGallery w:val="Page Numbers (Bottom of Page)"/>
          <w:docPartUnique/>
        </w:docPartObj>
      </w:sdtPr>
      <w:sdtEndPr>
        <w:rPr>
          <w:noProof/>
        </w:rPr>
      </w:sdtEndPr>
      <w:sdtContent>
        <w:r w:rsidR="009D347E">
          <w:fldChar w:fldCharType="begin"/>
        </w:r>
        <w:r w:rsidR="009D347E">
          <w:instrText xml:space="preserve"> PAGE   \* MERGEFORMAT </w:instrText>
        </w:r>
        <w:r w:rsidR="009D347E">
          <w:fldChar w:fldCharType="separate"/>
        </w:r>
        <w:r w:rsidR="009D347E">
          <w:t>6</w:t>
        </w:r>
        <w:r w:rsidR="009D347E">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B1FF" w14:textId="38D949FA" w:rsidR="00221D8F" w:rsidRDefault="00927A2E">
    <w:pPr>
      <w:pStyle w:val="Footer"/>
    </w:pPr>
    <w:r>
      <w:t xml:space="preserve">Final </w:t>
    </w:r>
    <w:r w:rsidR="009D347E">
      <w:t xml:space="preserve">HERDC specifications for the collection of </w:t>
    </w:r>
    <w:r w:rsidR="00CF284E">
      <w:t xml:space="preserve">2024 </w:t>
    </w:r>
    <w:r w:rsidR="009D347E">
      <w:t>data</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6192" behindDoc="1" locked="1" layoutInCell="1" allowOverlap="1" wp14:anchorId="5B404273" wp14:editId="738FF0AD">
          <wp:simplePos x="0" y="0"/>
          <wp:positionH relativeFrom="page">
            <wp:align>right</wp:align>
          </wp:positionH>
          <wp:positionV relativeFrom="page">
            <wp:align>bottom</wp:align>
          </wp:positionV>
          <wp:extent cx="1220400" cy="651600"/>
          <wp:effectExtent l="0" t="0" r="0" b="0"/>
          <wp:wrapNone/>
          <wp:docPr id="115907128" name="Picture 115907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8D387" w14:textId="77777777" w:rsidR="000A6228" w:rsidRDefault="000A6228" w:rsidP="000A6228">
      <w:pPr>
        <w:spacing w:after="0" w:line="240" w:lineRule="auto"/>
      </w:pPr>
      <w:r>
        <w:separator/>
      </w:r>
    </w:p>
  </w:footnote>
  <w:footnote w:type="continuationSeparator" w:id="0">
    <w:p w14:paraId="7AB0ED90" w14:textId="77777777" w:rsidR="000A6228" w:rsidRDefault="000A6228" w:rsidP="000A6228">
      <w:pPr>
        <w:spacing w:after="0" w:line="240" w:lineRule="auto"/>
      </w:pPr>
      <w:r>
        <w:continuationSeparator/>
      </w:r>
    </w:p>
  </w:footnote>
  <w:footnote w:type="continuationNotice" w:id="1">
    <w:p w14:paraId="3EC601D8" w14:textId="77777777" w:rsidR="00523C58" w:rsidRDefault="00523C58">
      <w:pPr>
        <w:spacing w:after="0" w:line="240" w:lineRule="auto"/>
      </w:pPr>
    </w:p>
  </w:footnote>
  <w:footnote w:id="2">
    <w:p w14:paraId="4427EE8D" w14:textId="01338F09" w:rsidR="009D347E" w:rsidRPr="00410CED" w:rsidRDefault="009D347E" w:rsidP="009D347E">
      <w:pPr>
        <w:pStyle w:val="FootnoteText"/>
        <w:rPr>
          <w:rFonts w:asciiTheme="minorHAnsi" w:hAnsiTheme="minorHAnsi" w:cstheme="minorHAnsi"/>
        </w:rPr>
      </w:pPr>
      <w:r w:rsidRPr="00410CED">
        <w:rPr>
          <w:rStyle w:val="FootnoteReference"/>
          <w:rFonts w:asciiTheme="minorHAnsi" w:eastAsiaTheme="majorEastAsia" w:hAnsiTheme="minorHAnsi" w:cstheme="minorHAnsi"/>
        </w:rPr>
        <w:footnoteRef/>
      </w:r>
      <w:r w:rsidRPr="00410CED">
        <w:rPr>
          <w:rFonts w:asciiTheme="minorHAnsi" w:hAnsiTheme="minorHAnsi" w:cstheme="minorHAnsi"/>
        </w:rPr>
        <w:t xml:space="preserve"> </w:t>
      </w:r>
      <w:r w:rsidRPr="00410CED">
        <w:rPr>
          <w:rFonts w:asciiTheme="minorHAnsi" w:hAnsiTheme="minorHAnsi" w:cstheme="minorHAnsi"/>
          <w:sz w:val="18"/>
          <w:szCs w:val="18"/>
        </w:rPr>
        <w:t>Eligible higher education providers (HEPs) means a HEP as specified in section 16-15 (Table A Providers) and section 16-20 (Table B Providers) of</w:t>
      </w:r>
      <w:r w:rsidR="00564A2B" w:rsidRPr="00564A2B">
        <w:rPr>
          <w:rFonts w:asciiTheme="minorHAnsi" w:hAnsiTheme="minorHAnsi" w:cstheme="minorHAnsi"/>
          <w:sz w:val="18"/>
          <w:szCs w:val="18"/>
        </w:rPr>
        <w:t xml:space="preserve"> HESA</w:t>
      </w:r>
      <w:r w:rsidRPr="00410CED">
        <w:rPr>
          <w:rFonts w:asciiTheme="minorHAnsi" w:hAnsiTheme="minorHAnsi" w:cstheme="minorHAnsi"/>
          <w:sz w:val="18"/>
          <w:szCs w:val="18"/>
        </w:rPr>
        <w:t>.</w:t>
      </w:r>
    </w:p>
  </w:footnote>
  <w:footnote w:id="3">
    <w:p w14:paraId="4AF776E8" w14:textId="1937CC1A" w:rsidR="009D347E" w:rsidRPr="000F3979" w:rsidRDefault="009D347E" w:rsidP="009D347E">
      <w:pPr>
        <w:pStyle w:val="FootnoteText"/>
        <w:rPr>
          <w:i/>
          <w:iCs/>
          <w:sz w:val="18"/>
          <w:szCs w:val="18"/>
        </w:rPr>
      </w:pPr>
      <w:r w:rsidRPr="000F3979">
        <w:rPr>
          <w:rStyle w:val="FootnoteReference"/>
          <w:rFonts w:asciiTheme="minorHAnsi" w:hAnsiTheme="minorHAnsi" w:cstheme="minorHAnsi"/>
          <w:sz w:val="18"/>
          <w:szCs w:val="18"/>
        </w:rPr>
        <w:footnoteRef/>
      </w:r>
      <w:r w:rsidRPr="000F3979">
        <w:rPr>
          <w:rFonts w:asciiTheme="minorHAnsi" w:hAnsiTheme="minorHAnsi" w:cstheme="minorHAnsi"/>
          <w:sz w:val="18"/>
          <w:szCs w:val="18"/>
        </w:rPr>
        <w:t xml:space="preserve"> </w:t>
      </w:r>
      <w:r w:rsidR="00564A2B">
        <w:rPr>
          <w:rFonts w:asciiTheme="minorHAnsi" w:hAnsiTheme="minorHAnsi" w:cstheme="minorHAnsi"/>
          <w:sz w:val="18"/>
          <w:szCs w:val="18"/>
        </w:rPr>
        <w:t>HESA</w:t>
      </w:r>
      <w:r w:rsidRPr="000F3979">
        <w:rPr>
          <w:rFonts w:asciiTheme="minorHAnsi" w:hAnsiTheme="minorHAnsi" w:cstheme="minorHAnsi"/>
          <w:sz w:val="18"/>
          <w:szCs w:val="18"/>
        </w:rPr>
        <w:t xml:space="preserve">, subsection 41-10(1), items 7 </w:t>
      </w:r>
      <w:r>
        <w:rPr>
          <w:rFonts w:asciiTheme="minorHAnsi" w:hAnsiTheme="minorHAnsi" w:cstheme="minorHAnsi"/>
          <w:sz w:val="18"/>
          <w:szCs w:val="18"/>
        </w:rPr>
        <w:t>and</w:t>
      </w:r>
      <w:r w:rsidRPr="000F3979">
        <w:rPr>
          <w:rFonts w:asciiTheme="minorHAnsi" w:hAnsiTheme="minorHAnsi" w:cstheme="minorHAnsi"/>
          <w:sz w:val="18"/>
          <w:szCs w:val="18"/>
        </w:rPr>
        <w:t xml:space="preserve"> 8.</w:t>
      </w:r>
      <w:r w:rsidRPr="000F3979">
        <w:rPr>
          <w:i/>
          <w:iCs/>
          <w:sz w:val="18"/>
          <w:szCs w:val="18"/>
        </w:rPr>
        <w:t xml:space="preserve"> </w:t>
      </w:r>
    </w:p>
  </w:footnote>
  <w:footnote w:id="4">
    <w:p w14:paraId="44F51B8D" w14:textId="05C5B2AF" w:rsidR="008B4DCE" w:rsidRPr="00410CED" w:rsidRDefault="008B4DCE" w:rsidP="008B4DCE">
      <w:pPr>
        <w:pStyle w:val="FootnoteText"/>
        <w:rPr>
          <w:rFonts w:asciiTheme="minorHAnsi" w:hAnsiTheme="minorHAnsi" w:cstheme="minorHAnsi"/>
        </w:rPr>
      </w:pPr>
      <w:r w:rsidRPr="00410CED">
        <w:rPr>
          <w:rStyle w:val="FootnoteReference"/>
          <w:rFonts w:asciiTheme="minorHAnsi" w:eastAsiaTheme="majorEastAsia" w:hAnsiTheme="minorHAnsi" w:cstheme="minorHAnsi"/>
        </w:rPr>
        <w:footnoteRef/>
      </w:r>
      <w:r w:rsidRPr="00410CED">
        <w:rPr>
          <w:rFonts w:asciiTheme="minorHAnsi" w:hAnsiTheme="minorHAnsi" w:cstheme="minorHAnsi"/>
        </w:rPr>
        <w:t xml:space="preserve"> </w:t>
      </w:r>
      <w:r w:rsidRPr="00410CED">
        <w:rPr>
          <w:rFonts w:asciiTheme="minorHAnsi" w:hAnsiTheme="minorHAnsi" w:cstheme="minorHAnsi"/>
          <w:sz w:val="18"/>
          <w:szCs w:val="18"/>
          <w:lang w:eastAsia="en-AU"/>
        </w:rPr>
        <w:t xml:space="preserve">Organisation for Economic Cooperation and Development (OECD) </w:t>
      </w:r>
      <w:r w:rsidRPr="00410CED">
        <w:rPr>
          <w:rFonts w:asciiTheme="minorHAnsi" w:hAnsiTheme="minorHAnsi" w:cstheme="minorHAnsi"/>
          <w:i/>
          <w:iCs/>
          <w:sz w:val="18"/>
          <w:szCs w:val="18"/>
          <w:lang w:eastAsia="en-AU"/>
        </w:rPr>
        <w:t>Frascati Manual 2015: Guidelines for Collecting and Reporting Data on Research and Experimental Development</w:t>
      </w:r>
      <w:r w:rsidRPr="00410CED">
        <w:rPr>
          <w:rFonts w:asciiTheme="minorHAnsi" w:hAnsiTheme="minorHAnsi" w:cstheme="minorHAnsi"/>
          <w:sz w:val="18"/>
          <w:szCs w:val="18"/>
          <w:lang w:eastAsia="en-AU"/>
        </w:rPr>
        <w:t>, The Measurement of Scientific, Technological and Innovation Activities, OECD Publishing, Paris, 2015, p 44.</w:t>
      </w:r>
    </w:p>
  </w:footnote>
  <w:footnote w:id="5">
    <w:p w14:paraId="24F965E9" w14:textId="77777777" w:rsidR="009D347E" w:rsidRPr="00410CED" w:rsidRDefault="009D347E" w:rsidP="009D347E">
      <w:pPr>
        <w:pStyle w:val="FootnoteText"/>
        <w:rPr>
          <w:rFonts w:asciiTheme="minorHAnsi" w:hAnsiTheme="minorHAnsi" w:cstheme="minorHAnsi"/>
          <w:sz w:val="18"/>
          <w:szCs w:val="18"/>
        </w:rPr>
      </w:pPr>
      <w:r w:rsidRPr="00410CED">
        <w:rPr>
          <w:rStyle w:val="FootnoteReference"/>
          <w:rFonts w:asciiTheme="minorHAnsi" w:eastAsiaTheme="majorEastAsia" w:hAnsiTheme="minorHAnsi" w:cstheme="minorHAnsi"/>
          <w:sz w:val="18"/>
          <w:szCs w:val="18"/>
        </w:rPr>
        <w:footnoteRef/>
      </w:r>
      <w:r w:rsidRPr="00410CED">
        <w:rPr>
          <w:rFonts w:asciiTheme="minorHAnsi" w:hAnsiTheme="minorHAnsi" w:cstheme="minorHAnsi"/>
          <w:sz w:val="18"/>
          <w:szCs w:val="18"/>
        </w:rPr>
        <w:t xml:space="preserve"> </w:t>
      </w:r>
      <w:r w:rsidRPr="00410CED">
        <w:rPr>
          <w:rFonts w:asciiTheme="minorHAnsi" w:hAnsiTheme="minorHAnsi" w:cstheme="minorHAnsi"/>
          <w:sz w:val="18"/>
          <w:szCs w:val="18"/>
          <w:lang w:val="en-US"/>
        </w:rPr>
        <w:t>Any use of available knowledge that does not entail an attempt to expand the state of knowledge (for example, adaptation or customisation) should be excluded.</w:t>
      </w:r>
    </w:p>
  </w:footnote>
  <w:footnote w:id="6">
    <w:p w14:paraId="0EC760BB" w14:textId="77777777" w:rsidR="009D347E" w:rsidRPr="000F3979" w:rsidRDefault="009D347E" w:rsidP="009D347E">
      <w:pPr>
        <w:pStyle w:val="FootnoteText"/>
        <w:rPr>
          <w:rFonts w:asciiTheme="minorHAnsi" w:hAnsiTheme="minorHAnsi" w:cstheme="minorHAnsi"/>
        </w:rPr>
      </w:pPr>
      <w:r w:rsidRPr="00410CED">
        <w:rPr>
          <w:rStyle w:val="FootnoteReference"/>
          <w:rFonts w:asciiTheme="minorHAnsi" w:eastAsiaTheme="majorEastAsia" w:hAnsiTheme="minorHAnsi" w:cstheme="minorHAnsi"/>
        </w:rPr>
        <w:footnoteRef/>
      </w:r>
      <w:r w:rsidRPr="00410CED">
        <w:rPr>
          <w:rFonts w:asciiTheme="minorHAnsi" w:hAnsiTheme="minorHAnsi" w:cstheme="minorHAnsi"/>
        </w:rPr>
        <w:t xml:space="preserve"> </w:t>
      </w:r>
      <w:r w:rsidRPr="00410CED">
        <w:rPr>
          <w:rFonts w:asciiTheme="minorHAnsi" w:hAnsiTheme="minorHAnsi" w:cstheme="minorHAnsi"/>
          <w:iCs/>
          <w:sz w:val="18"/>
          <w:szCs w:val="18"/>
          <w:lang w:eastAsia="en-AU"/>
        </w:rPr>
        <w:t>OECD</w:t>
      </w:r>
      <w:r w:rsidRPr="00410CED">
        <w:rPr>
          <w:rFonts w:asciiTheme="minorHAnsi" w:hAnsiTheme="minorHAnsi" w:cstheme="minorHAnsi"/>
          <w:sz w:val="18"/>
          <w:szCs w:val="18"/>
          <w:lang w:eastAsia="en-AU"/>
        </w:rPr>
        <w:t xml:space="preserve">, </w:t>
      </w:r>
      <w:r w:rsidRPr="00410CED">
        <w:rPr>
          <w:rFonts w:asciiTheme="minorHAnsi" w:hAnsiTheme="minorHAnsi" w:cstheme="minorHAnsi"/>
          <w:i/>
          <w:iCs/>
          <w:sz w:val="18"/>
          <w:szCs w:val="18"/>
          <w:lang w:eastAsia="en-AU"/>
        </w:rPr>
        <w:t>Frascati Manual</w:t>
      </w:r>
      <w:r w:rsidRPr="00410CED">
        <w:rPr>
          <w:rFonts w:asciiTheme="minorHAnsi" w:hAnsiTheme="minorHAnsi" w:cstheme="minorHAnsi"/>
          <w:sz w:val="18"/>
          <w:szCs w:val="18"/>
          <w:lang w:eastAsia="en-AU"/>
        </w:rPr>
        <w:t>, pp 46-48.</w:t>
      </w:r>
    </w:p>
  </w:footnote>
  <w:footnote w:id="7">
    <w:p w14:paraId="11D6AB8C" w14:textId="77777777" w:rsidR="009D347E" w:rsidRPr="000F3979" w:rsidRDefault="009D347E" w:rsidP="009D347E">
      <w:pPr>
        <w:pStyle w:val="FootnoteText"/>
        <w:rPr>
          <w:rFonts w:asciiTheme="minorHAnsi" w:hAnsiTheme="minorHAnsi" w:cstheme="minorHAnsi"/>
        </w:rPr>
      </w:pPr>
      <w:r w:rsidRPr="000F3979">
        <w:rPr>
          <w:rStyle w:val="FootnoteReference"/>
          <w:rFonts w:asciiTheme="minorHAnsi" w:hAnsiTheme="minorHAnsi" w:cstheme="minorHAnsi"/>
        </w:rPr>
        <w:footnoteRef/>
      </w:r>
      <w:r w:rsidRPr="000F3979">
        <w:rPr>
          <w:rFonts w:asciiTheme="minorHAnsi" w:hAnsiTheme="minorHAnsi" w:cstheme="minorHAnsi"/>
        </w:rPr>
        <w:t xml:space="preserve"> </w:t>
      </w:r>
      <w:r w:rsidRPr="00410CED">
        <w:rPr>
          <w:rFonts w:asciiTheme="minorHAnsi" w:hAnsiTheme="minorHAnsi" w:cstheme="minorHAnsi"/>
          <w:iCs/>
          <w:sz w:val="18"/>
          <w:szCs w:val="18"/>
          <w:lang w:eastAsia="en-AU"/>
        </w:rPr>
        <w:t>OECD</w:t>
      </w:r>
      <w:r w:rsidRPr="00410CED">
        <w:rPr>
          <w:rFonts w:asciiTheme="minorHAnsi" w:hAnsiTheme="minorHAnsi" w:cstheme="minorHAnsi"/>
          <w:sz w:val="18"/>
          <w:szCs w:val="18"/>
          <w:lang w:eastAsia="en-AU"/>
        </w:rPr>
        <w:t xml:space="preserve">, </w:t>
      </w:r>
      <w:r w:rsidRPr="00410CED">
        <w:rPr>
          <w:rFonts w:asciiTheme="minorHAnsi" w:hAnsiTheme="minorHAnsi" w:cstheme="minorHAnsi"/>
          <w:i/>
          <w:iCs/>
          <w:sz w:val="18"/>
          <w:szCs w:val="18"/>
          <w:lang w:eastAsia="en-AU"/>
        </w:rPr>
        <w:t>Frascati Manual</w:t>
      </w:r>
      <w:r w:rsidRPr="00410CED">
        <w:rPr>
          <w:rFonts w:asciiTheme="minorHAnsi" w:hAnsiTheme="minorHAnsi" w:cstheme="minorHAnsi"/>
          <w:sz w:val="18"/>
          <w:szCs w:val="18"/>
          <w:lang w:eastAsia="en-AU"/>
        </w:rPr>
        <w:t>, p 45.</w:t>
      </w:r>
    </w:p>
  </w:footnote>
  <w:footnote w:id="8">
    <w:p w14:paraId="737FC384" w14:textId="77777777" w:rsidR="009D347E" w:rsidRPr="000F3979" w:rsidRDefault="009D347E" w:rsidP="009D347E">
      <w:pPr>
        <w:pStyle w:val="FootnoteText"/>
        <w:rPr>
          <w:rFonts w:asciiTheme="minorHAnsi" w:hAnsiTheme="minorHAnsi" w:cstheme="minorHAnsi"/>
        </w:rPr>
      </w:pPr>
      <w:r w:rsidRPr="000F3979">
        <w:rPr>
          <w:rStyle w:val="FootnoteReference"/>
          <w:rFonts w:asciiTheme="minorHAnsi" w:hAnsiTheme="minorHAnsi" w:cstheme="minorHAnsi"/>
        </w:rPr>
        <w:footnoteRef/>
      </w:r>
      <w:r w:rsidRPr="000F3979">
        <w:rPr>
          <w:rFonts w:asciiTheme="minorHAnsi" w:hAnsiTheme="minorHAnsi" w:cstheme="minorHAnsi"/>
        </w:rPr>
        <w:t xml:space="preserve"> </w:t>
      </w:r>
      <w:r w:rsidRPr="00410CED">
        <w:rPr>
          <w:rFonts w:asciiTheme="minorHAnsi" w:hAnsiTheme="minorHAnsi" w:cstheme="minorHAnsi"/>
          <w:iCs/>
          <w:sz w:val="18"/>
          <w:szCs w:val="18"/>
          <w:lang w:eastAsia="en-AU"/>
        </w:rPr>
        <w:t>OECD</w:t>
      </w:r>
      <w:r w:rsidRPr="00410CED">
        <w:rPr>
          <w:rFonts w:asciiTheme="minorHAnsi" w:hAnsiTheme="minorHAnsi" w:cstheme="minorHAnsi"/>
          <w:sz w:val="18"/>
          <w:szCs w:val="18"/>
          <w:lang w:eastAsia="en-AU"/>
        </w:rPr>
        <w:t xml:space="preserve">, </w:t>
      </w:r>
      <w:r w:rsidRPr="00410CED">
        <w:rPr>
          <w:rFonts w:asciiTheme="minorHAnsi" w:hAnsiTheme="minorHAnsi" w:cstheme="minorHAnsi"/>
          <w:i/>
          <w:iCs/>
          <w:sz w:val="18"/>
          <w:szCs w:val="18"/>
          <w:lang w:eastAsia="en-AU"/>
        </w:rPr>
        <w:t>Frascati Manual</w:t>
      </w:r>
      <w:r w:rsidRPr="00410CED">
        <w:rPr>
          <w:rFonts w:asciiTheme="minorHAnsi" w:hAnsiTheme="minorHAnsi" w:cstheme="minorHAnsi"/>
          <w:sz w:val="18"/>
          <w:szCs w:val="18"/>
          <w:lang w:eastAsia="en-AU"/>
        </w:rPr>
        <w:t>, p 50.</w:t>
      </w:r>
    </w:p>
  </w:footnote>
  <w:footnote w:id="9">
    <w:p w14:paraId="077C9EDC" w14:textId="77777777" w:rsidR="009D347E" w:rsidRPr="000F3979" w:rsidRDefault="009D347E" w:rsidP="009D347E">
      <w:pPr>
        <w:pStyle w:val="FootnoteText"/>
        <w:rPr>
          <w:rFonts w:asciiTheme="minorHAnsi" w:hAnsiTheme="minorHAnsi" w:cstheme="minorHAnsi"/>
        </w:rPr>
      </w:pPr>
      <w:r w:rsidRPr="000F3979">
        <w:rPr>
          <w:rStyle w:val="FootnoteReference"/>
          <w:rFonts w:asciiTheme="minorHAnsi" w:hAnsiTheme="minorHAnsi" w:cstheme="minorHAnsi"/>
        </w:rPr>
        <w:footnoteRef/>
      </w:r>
      <w:r w:rsidRPr="000F3979">
        <w:rPr>
          <w:rFonts w:asciiTheme="minorHAnsi" w:hAnsiTheme="minorHAnsi" w:cstheme="minorHAnsi"/>
        </w:rPr>
        <w:t xml:space="preserve"> </w:t>
      </w:r>
      <w:r w:rsidRPr="00410CED">
        <w:rPr>
          <w:rFonts w:asciiTheme="minorHAnsi" w:hAnsiTheme="minorHAnsi" w:cstheme="minorHAnsi"/>
          <w:iCs/>
          <w:sz w:val="18"/>
          <w:szCs w:val="18"/>
          <w:lang w:eastAsia="en-AU"/>
        </w:rPr>
        <w:t>OECD</w:t>
      </w:r>
      <w:r w:rsidRPr="00410CED">
        <w:rPr>
          <w:rFonts w:asciiTheme="minorHAnsi" w:hAnsiTheme="minorHAnsi" w:cstheme="minorHAnsi"/>
          <w:sz w:val="18"/>
          <w:szCs w:val="18"/>
          <w:lang w:eastAsia="en-AU"/>
        </w:rPr>
        <w:t xml:space="preserve">, </w:t>
      </w:r>
      <w:r w:rsidRPr="00410CED">
        <w:rPr>
          <w:rFonts w:asciiTheme="minorHAnsi" w:hAnsiTheme="minorHAnsi" w:cstheme="minorHAnsi"/>
          <w:i/>
          <w:iCs/>
          <w:sz w:val="18"/>
          <w:szCs w:val="18"/>
          <w:lang w:eastAsia="en-AU"/>
        </w:rPr>
        <w:t>Frascati Manual</w:t>
      </w:r>
      <w:r w:rsidRPr="00410CED">
        <w:rPr>
          <w:rFonts w:asciiTheme="minorHAnsi" w:hAnsiTheme="minorHAnsi" w:cstheme="minorHAnsi"/>
          <w:sz w:val="18"/>
          <w:szCs w:val="18"/>
          <w:lang w:eastAsia="en-AU"/>
        </w:rPr>
        <w:t>, p 51.</w:t>
      </w:r>
    </w:p>
  </w:footnote>
  <w:footnote w:id="10">
    <w:p w14:paraId="52E713CB" w14:textId="77777777" w:rsidR="009D347E" w:rsidRPr="000F3979" w:rsidRDefault="009D347E" w:rsidP="009D347E">
      <w:pPr>
        <w:pStyle w:val="FootnoteText"/>
        <w:rPr>
          <w:rFonts w:asciiTheme="minorHAnsi" w:hAnsiTheme="minorHAnsi" w:cstheme="minorHAnsi"/>
        </w:rPr>
      </w:pPr>
      <w:r w:rsidRPr="000F3979">
        <w:rPr>
          <w:rStyle w:val="FootnoteReference"/>
          <w:rFonts w:asciiTheme="minorHAnsi" w:hAnsiTheme="minorHAnsi" w:cstheme="minorHAnsi"/>
        </w:rPr>
        <w:footnoteRef/>
      </w:r>
      <w:r w:rsidRPr="000F3979">
        <w:rPr>
          <w:rFonts w:asciiTheme="minorHAnsi" w:hAnsiTheme="minorHAnsi" w:cstheme="minorHAnsi"/>
        </w:rPr>
        <w:t xml:space="preserve"> </w:t>
      </w:r>
      <w:bookmarkStart w:id="84" w:name="_Hlk92375323"/>
      <w:r w:rsidRPr="00410CED">
        <w:rPr>
          <w:rFonts w:asciiTheme="minorHAnsi" w:hAnsiTheme="minorHAnsi" w:cstheme="minorHAnsi"/>
          <w:iCs/>
          <w:sz w:val="18"/>
          <w:szCs w:val="18"/>
          <w:lang w:eastAsia="en-AU"/>
        </w:rPr>
        <w:t>OECD</w:t>
      </w:r>
      <w:r w:rsidRPr="00410CED">
        <w:rPr>
          <w:rFonts w:asciiTheme="minorHAnsi" w:hAnsiTheme="minorHAnsi" w:cstheme="minorHAnsi"/>
          <w:sz w:val="18"/>
          <w:szCs w:val="18"/>
          <w:lang w:eastAsia="en-AU"/>
        </w:rPr>
        <w:t xml:space="preserve">, </w:t>
      </w:r>
      <w:r w:rsidRPr="00410CED">
        <w:rPr>
          <w:rFonts w:asciiTheme="minorHAnsi" w:hAnsiTheme="minorHAnsi" w:cstheme="minorHAnsi"/>
          <w:i/>
          <w:iCs/>
          <w:sz w:val="18"/>
          <w:szCs w:val="18"/>
          <w:lang w:eastAsia="en-AU"/>
        </w:rPr>
        <w:t>Frascati Manual</w:t>
      </w:r>
      <w:r w:rsidRPr="00410CED">
        <w:rPr>
          <w:rFonts w:asciiTheme="minorHAnsi" w:hAnsiTheme="minorHAnsi" w:cstheme="minorHAnsi"/>
          <w:sz w:val="18"/>
          <w:szCs w:val="18"/>
          <w:lang w:eastAsia="en-AU"/>
        </w:rPr>
        <w:t>, p 51</w:t>
      </w:r>
      <w:bookmarkEnd w:id="84"/>
      <w:r w:rsidRPr="00410CED">
        <w:rPr>
          <w:rFonts w:asciiTheme="minorHAnsi" w:hAnsiTheme="minorHAnsi" w:cstheme="minorHAnsi"/>
          <w:sz w:val="18"/>
          <w:szCs w:val="18"/>
          <w:lang w:eastAsia="en-AU"/>
        </w:rPr>
        <w:t>.</w:t>
      </w:r>
    </w:p>
  </w:footnote>
  <w:footnote w:id="11">
    <w:p w14:paraId="05EF4398" w14:textId="77777777" w:rsidR="009D347E" w:rsidRDefault="009D347E" w:rsidP="009D347E">
      <w:pPr>
        <w:pStyle w:val="FootnoteText"/>
      </w:pPr>
      <w:r w:rsidRPr="000F3979">
        <w:rPr>
          <w:rStyle w:val="FootnoteReference"/>
          <w:rFonts w:asciiTheme="minorHAnsi" w:hAnsiTheme="minorHAnsi" w:cstheme="minorHAnsi"/>
        </w:rPr>
        <w:footnoteRef/>
      </w:r>
      <w:r w:rsidRPr="000F3979">
        <w:rPr>
          <w:rFonts w:asciiTheme="minorHAnsi" w:hAnsiTheme="minorHAnsi" w:cstheme="minorHAnsi"/>
        </w:rPr>
        <w:t xml:space="preserve"> </w:t>
      </w:r>
      <w:r w:rsidRPr="00410CED">
        <w:rPr>
          <w:rFonts w:asciiTheme="minorHAnsi" w:hAnsiTheme="minorHAnsi" w:cstheme="minorHAnsi"/>
          <w:iCs/>
          <w:sz w:val="18"/>
          <w:szCs w:val="18"/>
          <w:lang w:eastAsia="en-AU"/>
        </w:rPr>
        <w:t>OECD</w:t>
      </w:r>
      <w:r w:rsidRPr="00410CED">
        <w:rPr>
          <w:rFonts w:asciiTheme="minorHAnsi" w:hAnsiTheme="minorHAnsi" w:cstheme="minorHAnsi"/>
          <w:sz w:val="18"/>
          <w:szCs w:val="18"/>
          <w:lang w:eastAsia="en-AU"/>
        </w:rPr>
        <w:t xml:space="preserve">, </w:t>
      </w:r>
      <w:r w:rsidRPr="00410CED">
        <w:rPr>
          <w:rFonts w:asciiTheme="minorHAnsi" w:hAnsiTheme="minorHAnsi" w:cstheme="minorHAnsi"/>
          <w:i/>
          <w:iCs/>
          <w:sz w:val="18"/>
          <w:szCs w:val="18"/>
          <w:lang w:eastAsia="en-AU"/>
        </w:rPr>
        <w:t>Frascati Manual</w:t>
      </w:r>
      <w:r w:rsidRPr="00410CED">
        <w:rPr>
          <w:rFonts w:asciiTheme="minorHAnsi" w:hAnsiTheme="minorHAnsi" w:cstheme="minorHAnsi"/>
          <w:sz w:val="18"/>
          <w:szCs w:val="18"/>
          <w:lang w:eastAsia="en-AU"/>
        </w:rPr>
        <w:t>, p 51.</w:t>
      </w:r>
    </w:p>
  </w:footnote>
  <w:footnote w:id="12">
    <w:p w14:paraId="4700C076" w14:textId="55B452D9" w:rsidR="009D347E" w:rsidRPr="000F3979" w:rsidRDefault="009D347E" w:rsidP="009D347E">
      <w:pPr>
        <w:pStyle w:val="FootnoteText"/>
        <w:rPr>
          <w:rFonts w:asciiTheme="minorHAnsi" w:hAnsiTheme="minorHAnsi" w:cstheme="minorHAnsi"/>
        </w:rPr>
      </w:pPr>
      <w:r w:rsidRPr="000F3979">
        <w:rPr>
          <w:rStyle w:val="FootnoteReference"/>
          <w:rFonts w:asciiTheme="minorHAnsi" w:eastAsiaTheme="majorEastAsia" w:hAnsiTheme="minorHAnsi" w:cstheme="minorHAnsi"/>
        </w:rPr>
        <w:footnoteRef/>
      </w:r>
      <w:r w:rsidRPr="000F3979">
        <w:rPr>
          <w:rFonts w:asciiTheme="minorHAnsi" w:hAnsiTheme="minorHAnsi" w:cstheme="minorHAnsi"/>
        </w:rPr>
        <w:t xml:space="preserve"> </w:t>
      </w:r>
      <w:r w:rsidRPr="000F3979">
        <w:rPr>
          <w:rFonts w:asciiTheme="minorHAnsi" w:hAnsiTheme="minorHAnsi" w:cstheme="minorHAnsi"/>
          <w:sz w:val="18"/>
          <w:szCs w:val="18"/>
        </w:rPr>
        <w:t>HDR training is training undertaken by students to achieve a research doctorate or research masters degree. A research doctorate means a Level 10 Doctoral Degree (Research) qualification as described in the Australian Qualifications Framework (AQF)</w:t>
      </w:r>
      <w:r w:rsidR="00476886">
        <w:rPr>
          <w:rFonts w:asciiTheme="minorHAnsi" w:hAnsiTheme="minorHAnsi" w:cstheme="minorHAnsi"/>
          <w:sz w:val="18"/>
          <w:szCs w:val="18"/>
        </w:rPr>
        <w:t xml:space="preserve"> </w:t>
      </w:r>
      <w:r w:rsidRPr="000F3979">
        <w:rPr>
          <w:rFonts w:asciiTheme="minorHAnsi" w:hAnsiTheme="minorHAnsi" w:cstheme="minorHAnsi"/>
          <w:sz w:val="18"/>
          <w:szCs w:val="18"/>
        </w:rPr>
        <w:t>and a research masters means a Level 9 Masters Degree (Research) qualification as described in the AQF. Professional doctorates may be included but only where at least two-thirds of the qualification is research.</w:t>
      </w:r>
    </w:p>
  </w:footnote>
  <w:footnote w:id="13">
    <w:p w14:paraId="02E44916" w14:textId="77777777" w:rsidR="009D347E" w:rsidRPr="000F3979" w:rsidRDefault="009D347E" w:rsidP="009D347E">
      <w:pPr>
        <w:autoSpaceDE w:val="0"/>
        <w:autoSpaceDN w:val="0"/>
        <w:adjustRightInd w:val="0"/>
        <w:spacing w:after="0" w:line="240" w:lineRule="auto"/>
        <w:rPr>
          <w:rFonts w:cstheme="minorHAnsi"/>
        </w:rPr>
      </w:pPr>
      <w:r w:rsidRPr="0031498C">
        <w:rPr>
          <w:rStyle w:val="FootnoteReference"/>
          <w:rFonts w:asciiTheme="minorHAnsi" w:eastAsiaTheme="majorEastAsia" w:hAnsiTheme="minorHAnsi" w:cstheme="minorHAnsi"/>
          <w:sz w:val="20"/>
          <w:szCs w:val="20"/>
        </w:rPr>
        <w:footnoteRef/>
      </w:r>
      <w:r w:rsidRPr="000F3979">
        <w:rPr>
          <w:rFonts w:cstheme="minorHAnsi"/>
        </w:rPr>
        <w:t xml:space="preserve"> </w:t>
      </w:r>
      <w:r w:rsidRPr="00410CED">
        <w:rPr>
          <w:rFonts w:cstheme="minorHAnsi"/>
          <w:iCs/>
          <w:sz w:val="18"/>
          <w:szCs w:val="18"/>
          <w:lang w:eastAsia="en-AU"/>
        </w:rPr>
        <w:t>OECD</w:t>
      </w:r>
      <w:r w:rsidRPr="00410CED">
        <w:rPr>
          <w:rFonts w:cstheme="minorHAnsi"/>
          <w:sz w:val="18"/>
          <w:szCs w:val="18"/>
          <w:lang w:eastAsia="en-AU"/>
        </w:rPr>
        <w:t xml:space="preserve">, </w:t>
      </w:r>
      <w:r w:rsidRPr="00410CED">
        <w:rPr>
          <w:rFonts w:cstheme="minorHAnsi"/>
          <w:i/>
          <w:iCs/>
          <w:sz w:val="18"/>
          <w:szCs w:val="18"/>
          <w:lang w:eastAsia="en-AU"/>
        </w:rPr>
        <w:t>Frascati Manual</w:t>
      </w:r>
      <w:r w:rsidRPr="00410CED">
        <w:rPr>
          <w:rFonts w:cstheme="minorHAnsi"/>
          <w:sz w:val="18"/>
          <w:szCs w:val="18"/>
          <w:lang w:eastAsia="en-AU"/>
        </w:rPr>
        <w:t xml:space="preserve">, </w:t>
      </w:r>
      <w:r w:rsidRPr="000F3979">
        <w:rPr>
          <w:rFonts w:cstheme="minorHAnsi"/>
          <w:sz w:val="18"/>
          <w:szCs w:val="18"/>
          <w:lang w:eastAsia="en-AU"/>
        </w:rPr>
        <w:t>pp 53-54</w:t>
      </w:r>
      <w:r>
        <w:rPr>
          <w:rFonts w:cstheme="minorHAnsi"/>
          <w:sz w:val="18"/>
          <w:szCs w:val="18"/>
          <w:lang w:eastAsia="en-AU"/>
        </w:rPr>
        <w:t>.</w:t>
      </w:r>
    </w:p>
  </w:footnote>
  <w:footnote w:id="14">
    <w:p w14:paraId="0AD478C8" w14:textId="77777777" w:rsidR="009D347E" w:rsidRPr="00410CED" w:rsidRDefault="009D347E" w:rsidP="009D347E">
      <w:pPr>
        <w:pStyle w:val="FootnoteText"/>
      </w:pPr>
      <w:r w:rsidRPr="000F3979">
        <w:rPr>
          <w:rStyle w:val="FootnoteReference"/>
          <w:rFonts w:asciiTheme="minorHAnsi" w:eastAsiaTheme="majorEastAsia" w:hAnsiTheme="minorHAnsi" w:cstheme="minorHAnsi"/>
        </w:rPr>
        <w:footnoteRef/>
      </w:r>
      <w:r w:rsidRPr="0031498C">
        <w:rPr>
          <w:rStyle w:val="FootnoteReference"/>
          <w:rFonts w:asciiTheme="minorHAnsi" w:eastAsiaTheme="majorEastAsia" w:hAnsiTheme="minorHAnsi" w:cstheme="minorHAnsi"/>
        </w:rPr>
        <w:t xml:space="preserve"> </w:t>
      </w:r>
      <w:r w:rsidRPr="00410CED">
        <w:rPr>
          <w:rFonts w:asciiTheme="minorHAnsi" w:hAnsiTheme="minorHAnsi" w:cstheme="minorHAnsi"/>
          <w:iCs/>
          <w:sz w:val="18"/>
          <w:szCs w:val="18"/>
          <w:lang w:eastAsia="en-AU"/>
        </w:rPr>
        <w:t>OECD</w:t>
      </w:r>
      <w:r w:rsidRPr="00410CED">
        <w:rPr>
          <w:rFonts w:asciiTheme="minorHAnsi" w:hAnsiTheme="minorHAnsi" w:cstheme="minorHAnsi"/>
          <w:sz w:val="18"/>
          <w:szCs w:val="18"/>
          <w:lang w:eastAsia="en-AU"/>
        </w:rPr>
        <w:t xml:space="preserve">, </w:t>
      </w:r>
      <w:r w:rsidRPr="00410CED">
        <w:rPr>
          <w:rFonts w:asciiTheme="minorHAnsi" w:hAnsiTheme="minorHAnsi" w:cstheme="minorHAnsi"/>
          <w:i/>
          <w:iCs/>
          <w:sz w:val="18"/>
          <w:szCs w:val="18"/>
          <w:lang w:eastAsia="en-AU"/>
        </w:rPr>
        <w:t>Frascati Manual</w:t>
      </w:r>
      <w:r w:rsidRPr="00410CED">
        <w:rPr>
          <w:rFonts w:asciiTheme="minorHAnsi" w:hAnsiTheme="minorHAnsi" w:cstheme="minorHAnsi"/>
          <w:sz w:val="18"/>
          <w:szCs w:val="18"/>
          <w:lang w:eastAsia="en-AU"/>
        </w:rPr>
        <w:t xml:space="preserve">, </w:t>
      </w:r>
      <w:r w:rsidRPr="000F3979">
        <w:rPr>
          <w:rFonts w:asciiTheme="minorHAnsi" w:hAnsiTheme="minorHAnsi" w:cstheme="minorHAnsi"/>
          <w:sz w:val="18"/>
          <w:szCs w:val="18"/>
          <w:lang w:eastAsia="en-AU"/>
        </w:rPr>
        <w:t>p 52.</w:t>
      </w:r>
    </w:p>
  </w:footnote>
  <w:footnote w:id="15">
    <w:p w14:paraId="142A5572" w14:textId="77777777" w:rsidR="009D347E" w:rsidRPr="0031498C" w:rsidRDefault="009D347E" w:rsidP="009D347E">
      <w:pPr>
        <w:pStyle w:val="FootnoteText"/>
        <w:rPr>
          <w:rFonts w:asciiTheme="minorHAnsi" w:hAnsiTheme="minorHAnsi" w:cstheme="minorHAnsi"/>
        </w:rPr>
      </w:pPr>
      <w:r w:rsidRPr="0031498C">
        <w:rPr>
          <w:rStyle w:val="FootnoteReference"/>
          <w:rFonts w:asciiTheme="minorHAnsi" w:eastAsiaTheme="majorEastAsia" w:hAnsiTheme="minorHAnsi" w:cstheme="minorHAnsi"/>
        </w:rPr>
        <w:footnoteRef/>
      </w:r>
      <w:r w:rsidRPr="00920A19">
        <w:t xml:space="preserve"> </w:t>
      </w:r>
      <w:r w:rsidRPr="0031498C">
        <w:rPr>
          <w:rFonts w:asciiTheme="minorHAnsi" w:hAnsiTheme="minorHAnsi" w:cstheme="minorHAnsi"/>
          <w:sz w:val="18"/>
          <w:szCs w:val="18"/>
        </w:rPr>
        <w:t>Capital grants are those grants provided to a HEP to purchase an asset of a durable nature, even if the asset is for the purpose of conducting R&amp;D. Capital grants include grants for the construction and/or upgrade or refurbishment of buildings, centres or facilities, as well as purchase of properties or land. Capital grants are distinct from grants for R&amp;D infrastructure. Grants for R&amp;D infrastructure are considered to include grants for specific and specialised equipment which are used in the conduct of R&amp;D.</w:t>
      </w:r>
    </w:p>
  </w:footnote>
  <w:footnote w:id="16">
    <w:p w14:paraId="768B81F6" w14:textId="77777777" w:rsidR="00837B68" w:rsidRPr="0031498C" w:rsidRDefault="00837B68" w:rsidP="00837B68">
      <w:pPr>
        <w:pStyle w:val="FootnoteText"/>
        <w:rPr>
          <w:rFonts w:asciiTheme="minorHAnsi" w:hAnsiTheme="minorHAnsi" w:cstheme="minorHAnsi"/>
        </w:rPr>
      </w:pPr>
      <w:r w:rsidRPr="0031498C">
        <w:rPr>
          <w:rStyle w:val="FootnoteReference"/>
          <w:rFonts w:asciiTheme="minorHAnsi" w:hAnsiTheme="minorHAnsi" w:cstheme="minorHAnsi"/>
        </w:rPr>
        <w:footnoteRef/>
      </w:r>
      <w:r w:rsidRPr="0031498C">
        <w:rPr>
          <w:rFonts w:asciiTheme="minorHAnsi" w:hAnsiTheme="minorHAnsi" w:cstheme="minorHAnsi"/>
        </w:rPr>
        <w:t xml:space="preserve"> </w:t>
      </w:r>
      <w:r w:rsidRPr="0031498C">
        <w:rPr>
          <w:rFonts w:asciiTheme="minorHAnsi" w:hAnsiTheme="minorHAnsi" w:cstheme="minorHAnsi"/>
          <w:sz w:val="18"/>
          <w:szCs w:val="18"/>
        </w:rPr>
        <w:t xml:space="preserve">Research end-user is defined on the </w:t>
      </w:r>
      <w:hyperlink r:id="rId1" w:history="1">
        <w:r w:rsidRPr="006A3855">
          <w:rPr>
            <w:rStyle w:val="Hyperlink"/>
            <w:rFonts w:asciiTheme="minorHAnsi" w:hAnsiTheme="minorHAnsi" w:cstheme="minorHAnsi"/>
            <w:sz w:val="18"/>
            <w:szCs w:val="18"/>
          </w:rPr>
          <w:t>Tertiary Collection of Student Information (TCSI)</w:t>
        </w:r>
      </w:hyperlink>
      <w:r w:rsidRPr="006A3855">
        <w:rPr>
          <w:rFonts w:asciiTheme="minorHAnsi" w:hAnsiTheme="minorHAnsi" w:cstheme="minorHAnsi"/>
          <w:sz w:val="18"/>
          <w:szCs w:val="18"/>
        </w:rPr>
        <w:t xml:space="preserve"> webpage.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F7F83" w14:textId="0F849D83" w:rsidR="009D347E" w:rsidRDefault="009D3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75024" w14:textId="7EE3256D" w:rsidR="009D347E" w:rsidRPr="00B37FB9" w:rsidRDefault="009D347E" w:rsidP="00B37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3B939" w14:textId="748E3B44" w:rsidR="009D347E" w:rsidRDefault="009D34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7751" w14:textId="71A5FEAE" w:rsidR="009D347E" w:rsidRDefault="009D34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F5B5B" w14:textId="08285752" w:rsidR="009D347E" w:rsidRPr="00FB7B35" w:rsidRDefault="009D347E" w:rsidP="00FB7B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5F81" w14:textId="7C520565" w:rsidR="009D347E" w:rsidRDefault="009D3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394291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18FF1AB7"/>
    <w:multiLevelType w:val="multilevel"/>
    <w:tmpl w:val="46A81520"/>
    <w:name w:val="EDU - Bullet List"/>
    <w:lvl w:ilvl="0">
      <w:start w:val="1"/>
      <w:numFmt w:val="bullet"/>
      <w:pStyle w:val="ListBullet"/>
      <w:lvlText w:val=""/>
      <w:lvlJc w:val="left"/>
      <w:pPr>
        <w:ind w:left="9448" w:hanging="360"/>
      </w:pPr>
      <w:rPr>
        <w:rFonts w:ascii="Symbol" w:hAnsi="Symbol" w:hint="default"/>
      </w:rPr>
    </w:lvl>
    <w:lvl w:ilvl="1">
      <w:start w:val="1"/>
      <w:numFmt w:val="none"/>
      <w:pStyle w:val="ListBullet2"/>
      <w:lvlText w:val="%2–"/>
      <w:lvlJc w:val="left"/>
      <w:pPr>
        <w:ind w:left="9372" w:firstLine="283"/>
      </w:pPr>
      <w:rPr>
        <w:rFonts w:hint="default"/>
      </w:rPr>
    </w:lvl>
    <w:lvl w:ilvl="2">
      <w:start w:val="1"/>
      <w:numFmt w:val="none"/>
      <w:lvlText w:val="%3o"/>
      <w:lvlJc w:val="right"/>
      <w:pPr>
        <w:ind w:left="9655" w:firstLine="284"/>
      </w:pPr>
      <w:rPr>
        <w:rFonts w:hint="default"/>
      </w:rPr>
    </w:lvl>
    <w:lvl w:ilvl="3">
      <w:start w:val="1"/>
      <w:numFmt w:val="none"/>
      <w:lvlText w:val="%4"/>
      <w:lvlJc w:val="left"/>
      <w:pPr>
        <w:ind w:left="9939" w:firstLine="283"/>
      </w:pPr>
      <w:rPr>
        <w:rFonts w:hint="default"/>
      </w:rPr>
    </w:lvl>
    <w:lvl w:ilvl="4">
      <w:start w:val="1"/>
      <w:numFmt w:val="lowerLetter"/>
      <w:lvlText w:val="%5."/>
      <w:lvlJc w:val="left"/>
      <w:pPr>
        <w:ind w:left="12688" w:hanging="360"/>
      </w:pPr>
      <w:rPr>
        <w:rFonts w:hint="default"/>
      </w:rPr>
    </w:lvl>
    <w:lvl w:ilvl="5">
      <w:start w:val="1"/>
      <w:numFmt w:val="lowerRoman"/>
      <w:lvlText w:val="%6."/>
      <w:lvlJc w:val="right"/>
      <w:pPr>
        <w:ind w:left="13408" w:hanging="180"/>
      </w:pPr>
      <w:rPr>
        <w:rFonts w:hint="default"/>
      </w:rPr>
    </w:lvl>
    <w:lvl w:ilvl="6">
      <w:start w:val="1"/>
      <w:numFmt w:val="decimal"/>
      <w:lvlText w:val="%7."/>
      <w:lvlJc w:val="left"/>
      <w:pPr>
        <w:ind w:left="14128" w:hanging="360"/>
      </w:pPr>
      <w:rPr>
        <w:rFonts w:hint="default"/>
      </w:rPr>
    </w:lvl>
    <w:lvl w:ilvl="7">
      <w:start w:val="1"/>
      <w:numFmt w:val="lowerLetter"/>
      <w:lvlText w:val="%8."/>
      <w:lvlJc w:val="left"/>
      <w:pPr>
        <w:ind w:left="14848" w:hanging="360"/>
      </w:pPr>
      <w:rPr>
        <w:rFonts w:hint="default"/>
      </w:rPr>
    </w:lvl>
    <w:lvl w:ilvl="8">
      <w:start w:val="1"/>
      <w:numFmt w:val="lowerRoman"/>
      <w:lvlText w:val="%9."/>
      <w:lvlJc w:val="right"/>
      <w:pPr>
        <w:ind w:left="15568" w:hanging="180"/>
      </w:pPr>
      <w:rPr>
        <w:rFonts w:hint="default"/>
      </w:rPr>
    </w:lvl>
  </w:abstractNum>
  <w:abstractNum w:abstractNumId="5" w15:restartNumberingAfterBreak="0">
    <w:nsid w:val="2E646829"/>
    <w:multiLevelType w:val="multilevel"/>
    <w:tmpl w:val="74B00926"/>
    <w:name w:val="EDU - List Number"/>
    <w:lvl w:ilvl="0">
      <w:start w:val="1"/>
      <w:numFmt w:val="decimal"/>
      <w:pStyle w:val="ListNumber"/>
      <w:lvlText w:val="%1."/>
      <w:lvlJc w:val="left"/>
      <w:pPr>
        <w:ind w:left="794" w:hanging="397"/>
      </w:pPr>
      <w:rPr>
        <w:rFonts w:hint="default"/>
      </w:rPr>
    </w:lvl>
    <w:lvl w:ilvl="1">
      <w:start w:val="1"/>
      <w:numFmt w:val="decimal"/>
      <w:pStyle w:val="ListNumber2"/>
      <w:lvlText w:val="%1.%2"/>
      <w:lvlJc w:val="left"/>
      <w:pPr>
        <w:ind w:left="1361" w:hanging="567"/>
      </w:pPr>
      <w:rPr>
        <w:rFonts w:hint="default"/>
      </w:rPr>
    </w:lvl>
    <w:lvl w:ilvl="2">
      <w:start w:val="1"/>
      <w:numFmt w:val="decimal"/>
      <w:pStyle w:val="ListNumber3"/>
      <w:lvlText w:val="%1.%2.%3."/>
      <w:lvlJc w:val="left"/>
      <w:pPr>
        <w:ind w:left="2211" w:hanging="850"/>
      </w:pPr>
      <w:rPr>
        <w:rFonts w:hint="default"/>
      </w:rPr>
    </w:lvl>
    <w:lvl w:ilvl="3">
      <w:start w:val="1"/>
      <w:numFmt w:val="decimal"/>
      <w:pStyle w:val="ListNumber4"/>
      <w:lvlText w:val="%1.%2.%3.%4."/>
      <w:lvlJc w:val="left"/>
      <w:pPr>
        <w:ind w:left="3289" w:hanging="1078"/>
      </w:pPr>
      <w:rPr>
        <w:rFonts w:hint="default"/>
      </w:rPr>
    </w:lvl>
    <w:lvl w:ilvl="4">
      <w:start w:val="1"/>
      <w:numFmt w:val="lowerLetter"/>
      <w:lvlText w:val="(%5)"/>
      <w:lvlJc w:val="left"/>
      <w:pPr>
        <w:ind w:left="2197" w:hanging="360"/>
      </w:pPr>
      <w:rPr>
        <w:rFonts w:hint="default"/>
      </w:rPr>
    </w:lvl>
    <w:lvl w:ilvl="5">
      <w:start w:val="1"/>
      <w:numFmt w:val="lowerRoman"/>
      <w:lvlText w:val="(%6)"/>
      <w:lvlJc w:val="left"/>
      <w:pPr>
        <w:ind w:left="2557" w:hanging="360"/>
      </w:pPr>
      <w:rPr>
        <w:rFonts w:hint="default"/>
      </w:rPr>
    </w:lvl>
    <w:lvl w:ilvl="6">
      <w:start w:val="1"/>
      <w:numFmt w:val="decimal"/>
      <w:lvlText w:val="%7."/>
      <w:lvlJc w:val="left"/>
      <w:pPr>
        <w:ind w:left="2917" w:hanging="360"/>
      </w:pPr>
      <w:rPr>
        <w:rFonts w:hint="default"/>
      </w:rPr>
    </w:lvl>
    <w:lvl w:ilvl="7">
      <w:start w:val="1"/>
      <w:numFmt w:val="lowerLetter"/>
      <w:lvlText w:val="%8."/>
      <w:lvlJc w:val="left"/>
      <w:pPr>
        <w:ind w:left="3277" w:hanging="360"/>
      </w:pPr>
      <w:rPr>
        <w:rFonts w:hint="default"/>
      </w:rPr>
    </w:lvl>
    <w:lvl w:ilvl="8">
      <w:start w:val="1"/>
      <w:numFmt w:val="lowerRoman"/>
      <w:lvlText w:val="%9."/>
      <w:lvlJc w:val="left"/>
      <w:pPr>
        <w:ind w:left="3637" w:hanging="360"/>
      </w:pPr>
      <w:rPr>
        <w:rFonts w:hint="default"/>
      </w:rPr>
    </w:lvl>
  </w:abstractNum>
  <w:abstractNum w:abstractNumId="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00B2F23"/>
    <w:multiLevelType w:val="hybridMultilevel"/>
    <w:tmpl w:val="9E4A25F0"/>
    <w:lvl w:ilvl="0" w:tplc="F39EA63E">
      <w:start w:val="1"/>
      <w:numFmt w:val="decimal"/>
      <w:pStyle w:val="Heading1"/>
      <w:lvlText w:val="%1"/>
      <w:lvlJc w:val="left"/>
      <w:pPr>
        <w:ind w:left="2028" w:hanging="360"/>
      </w:pPr>
      <w:rPr>
        <w:rFonts w:hint="default"/>
      </w:rPr>
    </w:lvl>
    <w:lvl w:ilvl="1" w:tplc="0C090019" w:tentative="1">
      <w:start w:val="1"/>
      <w:numFmt w:val="lowerLetter"/>
      <w:lvlText w:val="%2."/>
      <w:lvlJc w:val="left"/>
      <w:pPr>
        <w:ind w:left="2748" w:hanging="360"/>
      </w:pPr>
    </w:lvl>
    <w:lvl w:ilvl="2" w:tplc="0C09001B" w:tentative="1">
      <w:start w:val="1"/>
      <w:numFmt w:val="lowerRoman"/>
      <w:lvlText w:val="%3."/>
      <w:lvlJc w:val="right"/>
      <w:pPr>
        <w:ind w:left="3468" w:hanging="180"/>
      </w:pPr>
    </w:lvl>
    <w:lvl w:ilvl="3" w:tplc="0C09000F" w:tentative="1">
      <w:start w:val="1"/>
      <w:numFmt w:val="decimal"/>
      <w:lvlText w:val="%4."/>
      <w:lvlJc w:val="left"/>
      <w:pPr>
        <w:ind w:left="4188" w:hanging="360"/>
      </w:pPr>
    </w:lvl>
    <w:lvl w:ilvl="4" w:tplc="0C090019" w:tentative="1">
      <w:start w:val="1"/>
      <w:numFmt w:val="lowerLetter"/>
      <w:lvlText w:val="%5."/>
      <w:lvlJc w:val="left"/>
      <w:pPr>
        <w:ind w:left="4908" w:hanging="360"/>
      </w:pPr>
    </w:lvl>
    <w:lvl w:ilvl="5" w:tplc="0C09001B" w:tentative="1">
      <w:start w:val="1"/>
      <w:numFmt w:val="lowerRoman"/>
      <w:lvlText w:val="%6."/>
      <w:lvlJc w:val="right"/>
      <w:pPr>
        <w:ind w:left="5628" w:hanging="180"/>
      </w:pPr>
    </w:lvl>
    <w:lvl w:ilvl="6" w:tplc="0C09000F" w:tentative="1">
      <w:start w:val="1"/>
      <w:numFmt w:val="decimal"/>
      <w:lvlText w:val="%7."/>
      <w:lvlJc w:val="left"/>
      <w:pPr>
        <w:ind w:left="6348" w:hanging="360"/>
      </w:pPr>
    </w:lvl>
    <w:lvl w:ilvl="7" w:tplc="0C090019" w:tentative="1">
      <w:start w:val="1"/>
      <w:numFmt w:val="lowerLetter"/>
      <w:lvlText w:val="%8."/>
      <w:lvlJc w:val="left"/>
      <w:pPr>
        <w:ind w:left="7068" w:hanging="360"/>
      </w:pPr>
    </w:lvl>
    <w:lvl w:ilvl="8" w:tplc="0C09001B" w:tentative="1">
      <w:start w:val="1"/>
      <w:numFmt w:val="lowerRoman"/>
      <w:lvlText w:val="%9."/>
      <w:lvlJc w:val="right"/>
      <w:pPr>
        <w:ind w:left="7788" w:hanging="180"/>
      </w:pPr>
    </w:lvl>
  </w:abstractNum>
  <w:abstractNum w:abstractNumId="9" w15:restartNumberingAfterBreak="0">
    <w:nsid w:val="73A3173E"/>
    <w:multiLevelType w:val="hybridMultilevel"/>
    <w:tmpl w:val="A5E4CC6E"/>
    <w:name w:val="EDU - Bullet List22"/>
    <w:lvl w:ilvl="0" w:tplc="F260E872">
      <w:start w:val="1"/>
      <w:numFmt w:val="bullet"/>
      <w:pStyle w:val="ListBullet3"/>
      <w:lvlText w:val="o"/>
      <w:lvlJc w:val="left"/>
      <w:pPr>
        <w:ind w:left="1602" w:hanging="360"/>
      </w:pPr>
      <w:rPr>
        <w:rFonts w:ascii="Courier New" w:hAnsi="Courier New" w:cs="Courier New" w:hint="default"/>
      </w:rPr>
    </w:lvl>
    <w:lvl w:ilvl="1" w:tplc="0C090003" w:tentative="1">
      <w:start w:val="1"/>
      <w:numFmt w:val="bullet"/>
      <w:lvlText w:val="o"/>
      <w:lvlJc w:val="left"/>
      <w:pPr>
        <w:ind w:left="2322" w:hanging="360"/>
      </w:pPr>
      <w:rPr>
        <w:rFonts w:ascii="Courier New" w:hAnsi="Courier New" w:cs="Courier New" w:hint="default"/>
      </w:rPr>
    </w:lvl>
    <w:lvl w:ilvl="2" w:tplc="0C090005" w:tentative="1">
      <w:start w:val="1"/>
      <w:numFmt w:val="bullet"/>
      <w:lvlText w:val=""/>
      <w:lvlJc w:val="left"/>
      <w:pPr>
        <w:ind w:left="3042" w:hanging="360"/>
      </w:pPr>
      <w:rPr>
        <w:rFonts w:ascii="Wingdings" w:hAnsi="Wingdings" w:hint="default"/>
      </w:rPr>
    </w:lvl>
    <w:lvl w:ilvl="3" w:tplc="0C090001" w:tentative="1">
      <w:start w:val="1"/>
      <w:numFmt w:val="bullet"/>
      <w:lvlText w:val=""/>
      <w:lvlJc w:val="left"/>
      <w:pPr>
        <w:ind w:left="3762" w:hanging="360"/>
      </w:pPr>
      <w:rPr>
        <w:rFonts w:ascii="Symbol" w:hAnsi="Symbol" w:hint="default"/>
      </w:rPr>
    </w:lvl>
    <w:lvl w:ilvl="4" w:tplc="0C090003" w:tentative="1">
      <w:start w:val="1"/>
      <w:numFmt w:val="bullet"/>
      <w:lvlText w:val="o"/>
      <w:lvlJc w:val="left"/>
      <w:pPr>
        <w:ind w:left="4482" w:hanging="360"/>
      </w:pPr>
      <w:rPr>
        <w:rFonts w:ascii="Courier New" w:hAnsi="Courier New" w:cs="Courier New" w:hint="default"/>
      </w:rPr>
    </w:lvl>
    <w:lvl w:ilvl="5" w:tplc="0C090005" w:tentative="1">
      <w:start w:val="1"/>
      <w:numFmt w:val="bullet"/>
      <w:lvlText w:val=""/>
      <w:lvlJc w:val="left"/>
      <w:pPr>
        <w:ind w:left="5202" w:hanging="360"/>
      </w:pPr>
      <w:rPr>
        <w:rFonts w:ascii="Wingdings" w:hAnsi="Wingdings" w:hint="default"/>
      </w:rPr>
    </w:lvl>
    <w:lvl w:ilvl="6" w:tplc="0C090001" w:tentative="1">
      <w:start w:val="1"/>
      <w:numFmt w:val="bullet"/>
      <w:lvlText w:val=""/>
      <w:lvlJc w:val="left"/>
      <w:pPr>
        <w:ind w:left="5922" w:hanging="360"/>
      </w:pPr>
      <w:rPr>
        <w:rFonts w:ascii="Symbol" w:hAnsi="Symbol" w:hint="default"/>
      </w:rPr>
    </w:lvl>
    <w:lvl w:ilvl="7" w:tplc="0C090003" w:tentative="1">
      <w:start w:val="1"/>
      <w:numFmt w:val="bullet"/>
      <w:lvlText w:val="o"/>
      <w:lvlJc w:val="left"/>
      <w:pPr>
        <w:ind w:left="6642" w:hanging="360"/>
      </w:pPr>
      <w:rPr>
        <w:rFonts w:ascii="Courier New" w:hAnsi="Courier New" w:cs="Courier New" w:hint="default"/>
      </w:rPr>
    </w:lvl>
    <w:lvl w:ilvl="8" w:tplc="0C090005" w:tentative="1">
      <w:start w:val="1"/>
      <w:numFmt w:val="bullet"/>
      <w:lvlText w:val=""/>
      <w:lvlJc w:val="left"/>
      <w:pPr>
        <w:ind w:left="7362" w:hanging="360"/>
      </w:pPr>
      <w:rPr>
        <w:rFonts w:ascii="Wingdings" w:hAnsi="Wingdings" w:hint="default"/>
      </w:rPr>
    </w:lvl>
  </w:abstractNum>
  <w:num w:numId="1" w16cid:durableId="1760524279">
    <w:abstractNumId w:val="4"/>
  </w:num>
  <w:num w:numId="2" w16cid:durableId="75978829">
    <w:abstractNumId w:val="5"/>
  </w:num>
  <w:num w:numId="3" w16cid:durableId="486242624">
    <w:abstractNumId w:val="2"/>
  </w:num>
  <w:num w:numId="4" w16cid:durableId="807010820">
    <w:abstractNumId w:val="9"/>
  </w:num>
  <w:num w:numId="5" w16cid:durableId="476995438">
    <w:abstractNumId w:val="7"/>
  </w:num>
  <w:num w:numId="6" w16cid:durableId="500778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5700439">
    <w:abstractNumId w:val="8"/>
  </w:num>
  <w:num w:numId="8" w16cid:durableId="11841300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6321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75973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9339729">
    <w:abstractNumId w:val="3"/>
  </w:num>
  <w:num w:numId="12" w16cid:durableId="15175714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3149459">
    <w:abstractNumId w:val="0"/>
  </w:num>
  <w:num w:numId="14" w16cid:durableId="935867061">
    <w:abstractNumId w:val="7"/>
  </w:num>
  <w:num w:numId="15" w16cid:durableId="1139156034">
    <w:abstractNumId w:val="7"/>
  </w:num>
  <w:num w:numId="16" w16cid:durableId="547030646">
    <w:abstractNumId w:val="7"/>
  </w:num>
  <w:num w:numId="17" w16cid:durableId="10707324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trackRevisions/>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1BFF"/>
    <w:rsid w:val="00007651"/>
    <w:rsid w:val="00007AC4"/>
    <w:rsid w:val="00010DAE"/>
    <w:rsid w:val="00012366"/>
    <w:rsid w:val="00021FBE"/>
    <w:rsid w:val="000231D9"/>
    <w:rsid w:val="00032C39"/>
    <w:rsid w:val="00033C18"/>
    <w:rsid w:val="0004205A"/>
    <w:rsid w:val="00043266"/>
    <w:rsid w:val="00045650"/>
    <w:rsid w:val="000521D7"/>
    <w:rsid w:val="00060012"/>
    <w:rsid w:val="00060B92"/>
    <w:rsid w:val="00061B80"/>
    <w:rsid w:val="00066A28"/>
    <w:rsid w:val="00066D87"/>
    <w:rsid w:val="00071303"/>
    <w:rsid w:val="00075D35"/>
    <w:rsid w:val="00085C61"/>
    <w:rsid w:val="00087C47"/>
    <w:rsid w:val="00094209"/>
    <w:rsid w:val="000A0B58"/>
    <w:rsid w:val="000A6228"/>
    <w:rsid w:val="000A6A7B"/>
    <w:rsid w:val="000A7995"/>
    <w:rsid w:val="000B07D4"/>
    <w:rsid w:val="000B524E"/>
    <w:rsid w:val="000B5D40"/>
    <w:rsid w:val="000B69A6"/>
    <w:rsid w:val="000B7EC6"/>
    <w:rsid w:val="000C0710"/>
    <w:rsid w:val="000C37FD"/>
    <w:rsid w:val="000C7BFA"/>
    <w:rsid w:val="000D397B"/>
    <w:rsid w:val="000D3BB2"/>
    <w:rsid w:val="000D5DA1"/>
    <w:rsid w:val="00107D87"/>
    <w:rsid w:val="00107DD5"/>
    <w:rsid w:val="001109EF"/>
    <w:rsid w:val="00111C36"/>
    <w:rsid w:val="00114D85"/>
    <w:rsid w:val="001204FD"/>
    <w:rsid w:val="001230EE"/>
    <w:rsid w:val="0012343A"/>
    <w:rsid w:val="00133B8D"/>
    <w:rsid w:val="0013611E"/>
    <w:rsid w:val="00147EAF"/>
    <w:rsid w:val="001515BF"/>
    <w:rsid w:val="00161A00"/>
    <w:rsid w:val="00161D1A"/>
    <w:rsid w:val="00165FE4"/>
    <w:rsid w:val="0017134D"/>
    <w:rsid w:val="00173A74"/>
    <w:rsid w:val="00182797"/>
    <w:rsid w:val="001870E0"/>
    <w:rsid w:val="0018787F"/>
    <w:rsid w:val="00190CC4"/>
    <w:rsid w:val="001A1662"/>
    <w:rsid w:val="001B1129"/>
    <w:rsid w:val="001B11FA"/>
    <w:rsid w:val="001B248A"/>
    <w:rsid w:val="001B6242"/>
    <w:rsid w:val="001C1523"/>
    <w:rsid w:val="001C25FA"/>
    <w:rsid w:val="001C54DB"/>
    <w:rsid w:val="001D1981"/>
    <w:rsid w:val="001E717E"/>
    <w:rsid w:val="001E780C"/>
    <w:rsid w:val="001F264C"/>
    <w:rsid w:val="001F3415"/>
    <w:rsid w:val="00200073"/>
    <w:rsid w:val="00200814"/>
    <w:rsid w:val="002061C3"/>
    <w:rsid w:val="00206655"/>
    <w:rsid w:val="00210939"/>
    <w:rsid w:val="00210F56"/>
    <w:rsid w:val="00220668"/>
    <w:rsid w:val="002219F1"/>
    <w:rsid w:val="00221D8F"/>
    <w:rsid w:val="002228BF"/>
    <w:rsid w:val="00226696"/>
    <w:rsid w:val="002272DB"/>
    <w:rsid w:val="0023553C"/>
    <w:rsid w:val="00244563"/>
    <w:rsid w:val="00246436"/>
    <w:rsid w:val="00247159"/>
    <w:rsid w:val="00252BFA"/>
    <w:rsid w:val="00254AA2"/>
    <w:rsid w:val="00257932"/>
    <w:rsid w:val="002624DF"/>
    <w:rsid w:val="002711D3"/>
    <w:rsid w:val="00276047"/>
    <w:rsid w:val="00280764"/>
    <w:rsid w:val="00280FC7"/>
    <w:rsid w:val="002909F1"/>
    <w:rsid w:val="00292F78"/>
    <w:rsid w:val="002A2670"/>
    <w:rsid w:val="002A4458"/>
    <w:rsid w:val="002A6FFB"/>
    <w:rsid w:val="002B03F0"/>
    <w:rsid w:val="002B3093"/>
    <w:rsid w:val="002B3CF4"/>
    <w:rsid w:val="002C2D56"/>
    <w:rsid w:val="002D589A"/>
    <w:rsid w:val="002E4B13"/>
    <w:rsid w:val="002E52C4"/>
    <w:rsid w:val="002F3894"/>
    <w:rsid w:val="003007CA"/>
    <w:rsid w:val="00304C54"/>
    <w:rsid w:val="003055CD"/>
    <w:rsid w:val="00310550"/>
    <w:rsid w:val="00314129"/>
    <w:rsid w:val="003148FF"/>
    <w:rsid w:val="0031498C"/>
    <w:rsid w:val="0031615C"/>
    <w:rsid w:val="00320304"/>
    <w:rsid w:val="00321CC9"/>
    <w:rsid w:val="00325383"/>
    <w:rsid w:val="0032566C"/>
    <w:rsid w:val="0034177E"/>
    <w:rsid w:val="003417B2"/>
    <w:rsid w:val="003471DE"/>
    <w:rsid w:val="003529C4"/>
    <w:rsid w:val="003616C5"/>
    <w:rsid w:val="00361DF8"/>
    <w:rsid w:val="00362AB0"/>
    <w:rsid w:val="00363E40"/>
    <w:rsid w:val="00364A7D"/>
    <w:rsid w:val="00372816"/>
    <w:rsid w:val="00374911"/>
    <w:rsid w:val="003771B7"/>
    <w:rsid w:val="00377296"/>
    <w:rsid w:val="00380B0C"/>
    <w:rsid w:val="003855DF"/>
    <w:rsid w:val="0039778B"/>
    <w:rsid w:val="003A54BB"/>
    <w:rsid w:val="003A566C"/>
    <w:rsid w:val="003B2DA6"/>
    <w:rsid w:val="003B4C71"/>
    <w:rsid w:val="003B4D16"/>
    <w:rsid w:val="003B6C11"/>
    <w:rsid w:val="003C247D"/>
    <w:rsid w:val="003C7993"/>
    <w:rsid w:val="003D4F78"/>
    <w:rsid w:val="003D64DE"/>
    <w:rsid w:val="003D684E"/>
    <w:rsid w:val="003E1D4E"/>
    <w:rsid w:val="003E3AE9"/>
    <w:rsid w:val="003F1DC7"/>
    <w:rsid w:val="003F4BF8"/>
    <w:rsid w:val="0040155D"/>
    <w:rsid w:val="004059B3"/>
    <w:rsid w:val="00412EF1"/>
    <w:rsid w:val="004163C4"/>
    <w:rsid w:val="0041713E"/>
    <w:rsid w:val="00421D3F"/>
    <w:rsid w:val="00423785"/>
    <w:rsid w:val="00430313"/>
    <w:rsid w:val="00440C52"/>
    <w:rsid w:val="00440F6A"/>
    <w:rsid w:val="00444106"/>
    <w:rsid w:val="004446CB"/>
    <w:rsid w:val="004460E4"/>
    <w:rsid w:val="00452D26"/>
    <w:rsid w:val="004544C8"/>
    <w:rsid w:val="004568EE"/>
    <w:rsid w:val="00472475"/>
    <w:rsid w:val="00472676"/>
    <w:rsid w:val="00476886"/>
    <w:rsid w:val="0048191A"/>
    <w:rsid w:val="004867A9"/>
    <w:rsid w:val="00487D08"/>
    <w:rsid w:val="00495B2B"/>
    <w:rsid w:val="004A06CD"/>
    <w:rsid w:val="004A4B6F"/>
    <w:rsid w:val="004A4CF9"/>
    <w:rsid w:val="004A5AC8"/>
    <w:rsid w:val="004B1468"/>
    <w:rsid w:val="004B3134"/>
    <w:rsid w:val="004C0CBA"/>
    <w:rsid w:val="004C1779"/>
    <w:rsid w:val="004C647F"/>
    <w:rsid w:val="004D1709"/>
    <w:rsid w:val="004D2965"/>
    <w:rsid w:val="004E0701"/>
    <w:rsid w:val="004E6D0E"/>
    <w:rsid w:val="004F0BB1"/>
    <w:rsid w:val="004F4864"/>
    <w:rsid w:val="004F6784"/>
    <w:rsid w:val="00500174"/>
    <w:rsid w:val="005009AE"/>
    <w:rsid w:val="005045B7"/>
    <w:rsid w:val="005105DF"/>
    <w:rsid w:val="00511FD9"/>
    <w:rsid w:val="00512470"/>
    <w:rsid w:val="00515294"/>
    <w:rsid w:val="005160EC"/>
    <w:rsid w:val="00521A71"/>
    <w:rsid w:val="00523C58"/>
    <w:rsid w:val="0052525F"/>
    <w:rsid w:val="00526F8E"/>
    <w:rsid w:val="0053079F"/>
    <w:rsid w:val="005319DF"/>
    <w:rsid w:val="005344BB"/>
    <w:rsid w:val="00535513"/>
    <w:rsid w:val="00535546"/>
    <w:rsid w:val="005376E7"/>
    <w:rsid w:val="00543C3A"/>
    <w:rsid w:val="00544ED8"/>
    <w:rsid w:val="005478D1"/>
    <w:rsid w:val="005525C6"/>
    <w:rsid w:val="0055639E"/>
    <w:rsid w:val="005607D8"/>
    <w:rsid w:val="00564496"/>
    <w:rsid w:val="00564A2B"/>
    <w:rsid w:val="00564BE4"/>
    <w:rsid w:val="0056627C"/>
    <w:rsid w:val="00570631"/>
    <w:rsid w:val="00574024"/>
    <w:rsid w:val="0058075A"/>
    <w:rsid w:val="005813CC"/>
    <w:rsid w:val="00584B05"/>
    <w:rsid w:val="0058566D"/>
    <w:rsid w:val="00586CE4"/>
    <w:rsid w:val="00590640"/>
    <w:rsid w:val="00595C87"/>
    <w:rsid w:val="00596371"/>
    <w:rsid w:val="005A1567"/>
    <w:rsid w:val="005A6B82"/>
    <w:rsid w:val="005A75C9"/>
    <w:rsid w:val="005B0325"/>
    <w:rsid w:val="005B187D"/>
    <w:rsid w:val="005B4161"/>
    <w:rsid w:val="005C0937"/>
    <w:rsid w:val="005D2726"/>
    <w:rsid w:val="005D672A"/>
    <w:rsid w:val="005E53CE"/>
    <w:rsid w:val="005E5B5C"/>
    <w:rsid w:val="005F3100"/>
    <w:rsid w:val="005F383E"/>
    <w:rsid w:val="005F4EBB"/>
    <w:rsid w:val="006010F6"/>
    <w:rsid w:val="006027B1"/>
    <w:rsid w:val="00610682"/>
    <w:rsid w:val="006108A9"/>
    <w:rsid w:val="00611947"/>
    <w:rsid w:val="00616B57"/>
    <w:rsid w:val="006232DC"/>
    <w:rsid w:val="0063094F"/>
    <w:rsid w:val="00632BE5"/>
    <w:rsid w:val="00636A20"/>
    <w:rsid w:val="00653D68"/>
    <w:rsid w:val="006572BF"/>
    <w:rsid w:val="00660464"/>
    <w:rsid w:val="0066421C"/>
    <w:rsid w:val="006649F4"/>
    <w:rsid w:val="00667047"/>
    <w:rsid w:val="00667D82"/>
    <w:rsid w:val="00673BF7"/>
    <w:rsid w:val="00674898"/>
    <w:rsid w:val="00685084"/>
    <w:rsid w:val="00686297"/>
    <w:rsid w:val="006917E0"/>
    <w:rsid w:val="0069481A"/>
    <w:rsid w:val="0069544C"/>
    <w:rsid w:val="006A1704"/>
    <w:rsid w:val="006A3855"/>
    <w:rsid w:val="006A532D"/>
    <w:rsid w:val="006B36A6"/>
    <w:rsid w:val="006B5C32"/>
    <w:rsid w:val="006B7E4C"/>
    <w:rsid w:val="006C231E"/>
    <w:rsid w:val="006C4222"/>
    <w:rsid w:val="006C6D1D"/>
    <w:rsid w:val="006D2959"/>
    <w:rsid w:val="006D3DC7"/>
    <w:rsid w:val="006D67F3"/>
    <w:rsid w:val="006E7E7A"/>
    <w:rsid w:val="006F028B"/>
    <w:rsid w:val="006F1FFF"/>
    <w:rsid w:val="006F20D1"/>
    <w:rsid w:val="006F634A"/>
    <w:rsid w:val="006F6D10"/>
    <w:rsid w:val="00706BB0"/>
    <w:rsid w:val="007074CB"/>
    <w:rsid w:val="00712B94"/>
    <w:rsid w:val="0072525B"/>
    <w:rsid w:val="007433B2"/>
    <w:rsid w:val="00743A6C"/>
    <w:rsid w:val="0074743D"/>
    <w:rsid w:val="00754C60"/>
    <w:rsid w:val="00757D17"/>
    <w:rsid w:val="00761AAC"/>
    <w:rsid w:val="0076214A"/>
    <w:rsid w:val="00763A1A"/>
    <w:rsid w:val="00763CBD"/>
    <w:rsid w:val="00770D3C"/>
    <w:rsid w:val="00774532"/>
    <w:rsid w:val="00776687"/>
    <w:rsid w:val="0077672E"/>
    <w:rsid w:val="00784A4E"/>
    <w:rsid w:val="00793BC7"/>
    <w:rsid w:val="00796DC6"/>
    <w:rsid w:val="007973FC"/>
    <w:rsid w:val="007977B3"/>
    <w:rsid w:val="007A66A6"/>
    <w:rsid w:val="007A7217"/>
    <w:rsid w:val="007A7E0C"/>
    <w:rsid w:val="007B0994"/>
    <w:rsid w:val="007B2CA1"/>
    <w:rsid w:val="007B5B8F"/>
    <w:rsid w:val="007B5E45"/>
    <w:rsid w:val="007B7A5B"/>
    <w:rsid w:val="007C31A3"/>
    <w:rsid w:val="007D0ABC"/>
    <w:rsid w:val="007E03EC"/>
    <w:rsid w:val="007E09B6"/>
    <w:rsid w:val="007F4EF1"/>
    <w:rsid w:val="007F6D54"/>
    <w:rsid w:val="008042F5"/>
    <w:rsid w:val="008059DC"/>
    <w:rsid w:val="00822A85"/>
    <w:rsid w:val="00825033"/>
    <w:rsid w:val="00836A8C"/>
    <w:rsid w:val="008376BC"/>
    <w:rsid w:val="00837B68"/>
    <w:rsid w:val="008436D7"/>
    <w:rsid w:val="008445A4"/>
    <w:rsid w:val="00856409"/>
    <w:rsid w:val="008658D7"/>
    <w:rsid w:val="0086629D"/>
    <w:rsid w:val="00870C80"/>
    <w:rsid w:val="008729F7"/>
    <w:rsid w:val="00880999"/>
    <w:rsid w:val="0088196F"/>
    <w:rsid w:val="00882D00"/>
    <w:rsid w:val="00885377"/>
    <w:rsid w:val="00886959"/>
    <w:rsid w:val="00887E0F"/>
    <w:rsid w:val="008902C1"/>
    <w:rsid w:val="00894708"/>
    <w:rsid w:val="0089594D"/>
    <w:rsid w:val="008974A8"/>
    <w:rsid w:val="008A2328"/>
    <w:rsid w:val="008A2FC8"/>
    <w:rsid w:val="008A36E1"/>
    <w:rsid w:val="008A37A7"/>
    <w:rsid w:val="008B0736"/>
    <w:rsid w:val="008B31F9"/>
    <w:rsid w:val="008B3B76"/>
    <w:rsid w:val="008B4DCE"/>
    <w:rsid w:val="008B6153"/>
    <w:rsid w:val="008C30EA"/>
    <w:rsid w:val="008C4D91"/>
    <w:rsid w:val="008D4318"/>
    <w:rsid w:val="008D4B40"/>
    <w:rsid w:val="008E2D7C"/>
    <w:rsid w:val="008E6FBF"/>
    <w:rsid w:val="008F11AD"/>
    <w:rsid w:val="008F3D4B"/>
    <w:rsid w:val="00901411"/>
    <w:rsid w:val="00902C2B"/>
    <w:rsid w:val="009032EA"/>
    <w:rsid w:val="0091421D"/>
    <w:rsid w:val="0091666C"/>
    <w:rsid w:val="0092351F"/>
    <w:rsid w:val="00927A2E"/>
    <w:rsid w:val="009310D1"/>
    <w:rsid w:val="00932472"/>
    <w:rsid w:val="00934C2B"/>
    <w:rsid w:val="00937C7D"/>
    <w:rsid w:val="00942082"/>
    <w:rsid w:val="00942B4F"/>
    <w:rsid w:val="00946817"/>
    <w:rsid w:val="00950B06"/>
    <w:rsid w:val="00955684"/>
    <w:rsid w:val="00957304"/>
    <w:rsid w:val="00970069"/>
    <w:rsid w:val="0097022B"/>
    <w:rsid w:val="009721EB"/>
    <w:rsid w:val="009823B4"/>
    <w:rsid w:val="00982999"/>
    <w:rsid w:val="00984899"/>
    <w:rsid w:val="009A31FE"/>
    <w:rsid w:val="009A71C3"/>
    <w:rsid w:val="009B1767"/>
    <w:rsid w:val="009B4F2A"/>
    <w:rsid w:val="009B706E"/>
    <w:rsid w:val="009C184A"/>
    <w:rsid w:val="009C20E7"/>
    <w:rsid w:val="009C423A"/>
    <w:rsid w:val="009D347E"/>
    <w:rsid w:val="009E0AD8"/>
    <w:rsid w:val="009E4762"/>
    <w:rsid w:val="009E6E4F"/>
    <w:rsid w:val="009E79ED"/>
    <w:rsid w:val="009F7D41"/>
    <w:rsid w:val="00A0461A"/>
    <w:rsid w:val="00A04C59"/>
    <w:rsid w:val="00A05195"/>
    <w:rsid w:val="00A07596"/>
    <w:rsid w:val="00A07960"/>
    <w:rsid w:val="00A1311D"/>
    <w:rsid w:val="00A13D7A"/>
    <w:rsid w:val="00A14DE0"/>
    <w:rsid w:val="00A17A08"/>
    <w:rsid w:val="00A21AEA"/>
    <w:rsid w:val="00A2384E"/>
    <w:rsid w:val="00A250EF"/>
    <w:rsid w:val="00A3003B"/>
    <w:rsid w:val="00A32799"/>
    <w:rsid w:val="00A32BEE"/>
    <w:rsid w:val="00A33547"/>
    <w:rsid w:val="00A3425D"/>
    <w:rsid w:val="00A35F7E"/>
    <w:rsid w:val="00A419D6"/>
    <w:rsid w:val="00A46132"/>
    <w:rsid w:val="00A50AEF"/>
    <w:rsid w:val="00A60673"/>
    <w:rsid w:val="00A62805"/>
    <w:rsid w:val="00A656D8"/>
    <w:rsid w:val="00A7294C"/>
    <w:rsid w:val="00A72A5E"/>
    <w:rsid w:val="00A74211"/>
    <w:rsid w:val="00A91D24"/>
    <w:rsid w:val="00A9422A"/>
    <w:rsid w:val="00AA2A39"/>
    <w:rsid w:val="00AA6BA1"/>
    <w:rsid w:val="00AA6CF6"/>
    <w:rsid w:val="00AC1872"/>
    <w:rsid w:val="00AC327F"/>
    <w:rsid w:val="00AC4FBF"/>
    <w:rsid w:val="00AC5DCB"/>
    <w:rsid w:val="00AD176C"/>
    <w:rsid w:val="00AD28AD"/>
    <w:rsid w:val="00AD2925"/>
    <w:rsid w:val="00AD631F"/>
    <w:rsid w:val="00AE1248"/>
    <w:rsid w:val="00AE159D"/>
    <w:rsid w:val="00AE21FF"/>
    <w:rsid w:val="00AE5C81"/>
    <w:rsid w:val="00AF0DCF"/>
    <w:rsid w:val="00AF154F"/>
    <w:rsid w:val="00AF1F18"/>
    <w:rsid w:val="00AF6912"/>
    <w:rsid w:val="00B006AC"/>
    <w:rsid w:val="00B04576"/>
    <w:rsid w:val="00B04DA3"/>
    <w:rsid w:val="00B0726E"/>
    <w:rsid w:val="00B1161B"/>
    <w:rsid w:val="00B17BB4"/>
    <w:rsid w:val="00B219D1"/>
    <w:rsid w:val="00B26C25"/>
    <w:rsid w:val="00B40D3D"/>
    <w:rsid w:val="00B441CF"/>
    <w:rsid w:val="00B459D4"/>
    <w:rsid w:val="00B52F00"/>
    <w:rsid w:val="00B54F2C"/>
    <w:rsid w:val="00B618D3"/>
    <w:rsid w:val="00B63CE5"/>
    <w:rsid w:val="00B75794"/>
    <w:rsid w:val="00B7604E"/>
    <w:rsid w:val="00B80E3F"/>
    <w:rsid w:val="00B81B97"/>
    <w:rsid w:val="00B81FA4"/>
    <w:rsid w:val="00B8794C"/>
    <w:rsid w:val="00B90C25"/>
    <w:rsid w:val="00B91B81"/>
    <w:rsid w:val="00B9597D"/>
    <w:rsid w:val="00B95EF4"/>
    <w:rsid w:val="00BA1A9E"/>
    <w:rsid w:val="00BA4E4B"/>
    <w:rsid w:val="00BA7F5F"/>
    <w:rsid w:val="00BB3647"/>
    <w:rsid w:val="00BB6509"/>
    <w:rsid w:val="00BC0E6A"/>
    <w:rsid w:val="00BC1D79"/>
    <w:rsid w:val="00BC23AA"/>
    <w:rsid w:val="00BC248C"/>
    <w:rsid w:val="00BC799F"/>
    <w:rsid w:val="00BE290D"/>
    <w:rsid w:val="00BE6C39"/>
    <w:rsid w:val="00BF00E8"/>
    <w:rsid w:val="00BF39D7"/>
    <w:rsid w:val="00BF4492"/>
    <w:rsid w:val="00BF48C6"/>
    <w:rsid w:val="00C002BD"/>
    <w:rsid w:val="00C00377"/>
    <w:rsid w:val="00C01EC0"/>
    <w:rsid w:val="00C02166"/>
    <w:rsid w:val="00C069CD"/>
    <w:rsid w:val="00C07153"/>
    <w:rsid w:val="00C10420"/>
    <w:rsid w:val="00C154DF"/>
    <w:rsid w:val="00C1596C"/>
    <w:rsid w:val="00C15A38"/>
    <w:rsid w:val="00C202DB"/>
    <w:rsid w:val="00C244EE"/>
    <w:rsid w:val="00C41395"/>
    <w:rsid w:val="00C51B8B"/>
    <w:rsid w:val="00C554B2"/>
    <w:rsid w:val="00C60C85"/>
    <w:rsid w:val="00C62921"/>
    <w:rsid w:val="00C64210"/>
    <w:rsid w:val="00C657B8"/>
    <w:rsid w:val="00C67DB1"/>
    <w:rsid w:val="00C72224"/>
    <w:rsid w:val="00C75706"/>
    <w:rsid w:val="00C7622A"/>
    <w:rsid w:val="00C84117"/>
    <w:rsid w:val="00C85B4C"/>
    <w:rsid w:val="00C8700E"/>
    <w:rsid w:val="00C91C51"/>
    <w:rsid w:val="00C93593"/>
    <w:rsid w:val="00C9375D"/>
    <w:rsid w:val="00C973C8"/>
    <w:rsid w:val="00CA200B"/>
    <w:rsid w:val="00CA4815"/>
    <w:rsid w:val="00CB051A"/>
    <w:rsid w:val="00CB6E16"/>
    <w:rsid w:val="00CC0B1C"/>
    <w:rsid w:val="00CC0F23"/>
    <w:rsid w:val="00CC3CE5"/>
    <w:rsid w:val="00CD7C87"/>
    <w:rsid w:val="00CE03DE"/>
    <w:rsid w:val="00CE44B3"/>
    <w:rsid w:val="00CE7254"/>
    <w:rsid w:val="00CE7B23"/>
    <w:rsid w:val="00CF284E"/>
    <w:rsid w:val="00CF45E1"/>
    <w:rsid w:val="00CF5A2E"/>
    <w:rsid w:val="00CF6562"/>
    <w:rsid w:val="00CF7946"/>
    <w:rsid w:val="00CF7A5A"/>
    <w:rsid w:val="00D20CA4"/>
    <w:rsid w:val="00D22576"/>
    <w:rsid w:val="00D227EC"/>
    <w:rsid w:val="00D24CA5"/>
    <w:rsid w:val="00D26590"/>
    <w:rsid w:val="00D33387"/>
    <w:rsid w:val="00D337E5"/>
    <w:rsid w:val="00D37E16"/>
    <w:rsid w:val="00D428F8"/>
    <w:rsid w:val="00D44A0A"/>
    <w:rsid w:val="00D4695B"/>
    <w:rsid w:val="00D50C58"/>
    <w:rsid w:val="00D54C53"/>
    <w:rsid w:val="00D5688A"/>
    <w:rsid w:val="00D57165"/>
    <w:rsid w:val="00D57869"/>
    <w:rsid w:val="00D607B0"/>
    <w:rsid w:val="00D637AE"/>
    <w:rsid w:val="00D6654A"/>
    <w:rsid w:val="00D70E70"/>
    <w:rsid w:val="00D84043"/>
    <w:rsid w:val="00D85895"/>
    <w:rsid w:val="00D8610E"/>
    <w:rsid w:val="00D96A35"/>
    <w:rsid w:val="00D96F7A"/>
    <w:rsid w:val="00DA039B"/>
    <w:rsid w:val="00DA0D03"/>
    <w:rsid w:val="00DA1EC0"/>
    <w:rsid w:val="00DA415A"/>
    <w:rsid w:val="00DA4E2D"/>
    <w:rsid w:val="00DB10D0"/>
    <w:rsid w:val="00DB3679"/>
    <w:rsid w:val="00DB7053"/>
    <w:rsid w:val="00DC5980"/>
    <w:rsid w:val="00DD2B46"/>
    <w:rsid w:val="00DD7A8A"/>
    <w:rsid w:val="00DE02E3"/>
    <w:rsid w:val="00DF03CD"/>
    <w:rsid w:val="00DF38E5"/>
    <w:rsid w:val="00E010D7"/>
    <w:rsid w:val="00E01FCC"/>
    <w:rsid w:val="00E0425D"/>
    <w:rsid w:val="00E05C97"/>
    <w:rsid w:val="00E161B5"/>
    <w:rsid w:val="00E162C5"/>
    <w:rsid w:val="00E163E2"/>
    <w:rsid w:val="00E2185F"/>
    <w:rsid w:val="00E23637"/>
    <w:rsid w:val="00E24203"/>
    <w:rsid w:val="00E27A85"/>
    <w:rsid w:val="00E34C1D"/>
    <w:rsid w:val="00E408BB"/>
    <w:rsid w:val="00E4480A"/>
    <w:rsid w:val="00E50391"/>
    <w:rsid w:val="00E50566"/>
    <w:rsid w:val="00E513FF"/>
    <w:rsid w:val="00E52809"/>
    <w:rsid w:val="00E529E5"/>
    <w:rsid w:val="00E57B1A"/>
    <w:rsid w:val="00E70AAA"/>
    <w:rsid w:val="00E72D87"/>
    <w:rsid w:val="00E74FDE"/>
    <w:rsid w:val="00E754E5"/>
    <w:rsid w:val="00E86C2B"/>
    <w:rsid w:val="00E922BB"/>
    <w:rsid w:val="00EA356F"/>
    <w:rsid w:val="00EB4C2F"/>
    <w:rsid w:val="00EC1BF7"/>
    <w:rsid w:val="00EC51B5"/>
    <w:rsid w:val="00ED0DDF"/>
    <w:rsid w:val="00ED122E"/>
    <w:rsid w:val="00ED30A0"/>
    <w:rsid w:val="00ED4BF6"/>
    <w:rsid w:val="00ED62DD"/>
    <w:rsid w:val="00EE29D9"/>
    <w:rsid w:val="00EE3D94"/>
    <w:rsid w:val="00EE53E4"/>
    <w:rsid w:val="00EE5A01"/>
    <w:rsid w:val="00EE5D43"/>
    <w:rsid w:val="00EE6478"/>
    <w:rsid w:val="00EF4DCF"/>
    <w:rsid w:val="00EF747D"/>
    <w:rsid w:val="00EF7E48"/>
    <w:rsid w:val="00F029BA"/>
    <w:rsid w:val="00F02E6F"/>
    <w:rsid w:val="00F03621"/>
    <w:rsid w:val="00F04EEA"/>
    <w:rsid w:val="00F061CD"/>
    <w:rsid w:val="00F06B8F"/>
    <w:rsid w:val="00F074A8"/>
    <w:rsid w:val="00F1000D"/>
    <w:rsid w:val="00F1021C"/>
    <w:rsid w:val="00F10BA4"/>
    <w:rsid w:val="00F13E64"/>
    <w:rsid w:val="00F23AB3"/>
    <w:rsid w:val="00F23B8A"/>
    <w:rsid w:val="00F311A4"/>
    <w:rsid w:val="00F31706"/>
    <w:rsid w:val="00F34947"/>
    <w:rsid w:val="00F36551"/>
    <w:rsid w:val="00F36B18"/>
    <w:rsid w:val="00F373A9"/>
    <w:rsid w:val="00F55710"/>
    <w:rsid w:val="00F57BB2"/>
    <w:rsid w:val="00F66CB7"/>
    <w:rsid w:val="00F738AB"/>
    <w:rsid w:val="00F7454A"/>
    <w:rsid w:val="00F773D8"/>
    <w:rsid w:val="00F80D24"/>
    <w:rsid w:val="00F82C2C"/>
    <w:rsid w:val="00F8519B"/>
    <w:rsid w:val="00F85913"/>
    <w:rsid w:val="00F85E34"/>
    <w:rsid w:val="00F9196F"/>
    <w:rsid w:val="00F92AA5"/>
    <w:rsid w:val="00F93C7D"/>
    <w:rsid w:val="00F9518B"/>
    <w:rsid w:val="00F95334"/>
    <w:rsid w:val="00F95C9A"/>
    <w:rsid w:val="00FA3B0F"/>
    <w:rsid w:val="00FA4872"/>
    <w:rsid w:val="00FA5019"/>
    <w:rsid w:val="00FA7ED4"/>
    <w:rsid w:val="00FB0980"/>
    <w:rsid w:val="00FD1109"/>
    <w:rsid w:val="00FD4D6E"/>
    <w:rsid w:val="00FD7A07"/>
    <w:rsid w:val="00FE1A48"/>
    <w:rsid w:val="00FE6F69"/>
    <w:rsid w:val="00FF002E"/>
    <w:rsid w:val="00FF23B5"/>
    <w:rsid w:val="00FF5BC8"/>
    <w:rsid w:val="00FF5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07EE0184-FB1E-4151-BAA0-AA53E941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6"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377"/>
    <w:pPr>
      <w:spacing w:after="240"/>
    </w:pPr>
  </w:style>
  <w:style w:type="paragraph" w:styleId="Heading1">
    <w:name w:val="heading 1"/>
    <w:basedOn w:val="Normal"/>
    <w:next w:val="Normal"/>
    <w:link w:val="Heading1Char"/>
    <w:uiPriority w:val="9"/>
    <w:qFormat/>
    <w:rsid w:val="009D347E"/>
    <w:pPr>
      <w:keepNext/>
      <w:keepLines/>
      <w:numPr>
        <w:numId w:val="7"/>
      </w:numPr>
      <w:tabs>
        <w:tab w:val="num" w:pos="397"/>
      </w:tabs>
      <w:spacing w:before="1320" w:after="0" w:line="940" w:lineRule="exact"/>
      <w:ind w:left="709" w:hanging="709"/>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6108A9"/>
    <w:pPr>
      <w:keepNext/>
      <w:keepLines/>
      <w:spacing w:before="240" w:after="0"/>
      <w:outlineLvl w:val="1"/>
    </w:pPr>
    <w:rPr>
      <w:rFonts w:eastAsiaTheme="majorEastAsia" w:cstheme="minorHAnsi"/>
      <w:b/>
      <w:color w:val="55437E" w:themeColor="accent2"/>
      <w:sz w:val="30"/>
      <w:szCs w:val="30"/>
    </w:rPr>
  </w:style>
  <w:style w:type="paragraph" w:styleId="Heading3">
    <w:name w:val="heading 3"/>
    <w:basedOn w:val="Normal"/>
    <w:next w:val="Normal"/>
    <w:link w:val="Heading3Char"/>
    <w:uiPriority w:val="9"/>
    <w:unhideWhenUsed/>
    <w:qFormat/>
    <w:rsid w:val="006108A9"/>
    <w:pPr>
      <w:keepNext/>
      <w:keepLines/>
      <w:spacing w:before="240" w:after="0"/>
      <w:outlineLvl w:val="2"/>
    </w:pPr>
    <w:rPr>
      <w:rFonts w:asciiTheme="majorHAnsi" w:eastAsiaTheme="majorEastAsia" w:hAnsiTheme="majorHAnsi" w:cstheme="majorBidi"/>
      <w:b/>
      <w:color w:val="008599" w:themeColor="accent1"/>
      <w:sz w:val="30"/>
      <w:szCs w:val="30"/>
    </w:rPr>
  </w:style>
  <w:style w:type="paragraph" w:styleId="Heading4">
    <w:name w:val="heading 4"/>
    <w:basedOn w:val="Heading31"/>
    <w:next w:val="Normal"/>
    <w:link w:val="Heading4Char"/>
    <w:uiPriority w:val="9"/>
    <w:unhideWhenUsed/>
    <w:qFormat/>
    <w:rsid w:val="00D637AE"/>
    <w:pPr>
      <w:outlineLvl w:val="3"/>
    </w:pPr>
  </w:style>
  <w:style w:type="paragraph" w:styleId="Heading5">
    <w:name w:val="heading 5"/>
    <w:basedOn w:val="Normal"/>
    <w:next w:val="Normal"/>
    <w:link w:val="Heading5Char"/>
    <w:uiPriority w:val="9"/>
    <w:unhideWhenUsed/>
    <w:qFormat/>
    <w:rsid w:val="00D637AE"/>
    <w:pPr>
      <w:keepNext/>
      <w:keepLines/>
      <w:spacing w:before="40" w:after="0"/>
      <w:outlineLvl w:val="4"/>
    </w:pPr>
    <w:rPr>
      <w:rFonts w:eastAsiaTheme="majorEastAsia" w:cstheme="minorHAnsi"/>
      <w:b/>
      <w:color w:val="595959" w:themeColor="text1" w:themeTint="A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347E"/>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6108A9"/>
    <w:rPr>
      <w:rFonts w:eastAsiaTheme="majorEastAsia" w:cstheme="minorHAnsi"/>
      <w:b/>
      <w:color w:val="55437E" w:themeColor="accent2"/>
      <w:sz w:val="30"/>
      <w:szCs w:val="30"/>
    </w:rPr>
  </w:style>
  <w:style w:type="character" w:customStyle="1" w:styleId="Heading3Char">
    <w:name w:val="Heading 3 Char"/>
    <w:basedOn w:val="DefaultParagraphFont"/>
    <w:link w:val="Heading3"/>
    <w:uiPriority w:val="9"/>
    <w:rsid w:val="006108A9"/>
    <w:rPr>
      <w:rFonts w:asciiTheme="majorHAnsi" w:eastAsiaTheme="majorEastAsia" w:hAnsiTheme="majorHAnsi" w:cstheme="majorBidi"/>
      <w:b/>
      <w:color w:val="008599" w:themeColor="accent1"/>
      <w:sz w:val="30"/>
      <w:szCs w:val="30"/>
    </w:rPr>
  </w:style>
  <w:style w:type="character" w:customStyle="1" w:styleId="Heading4Char">
    <w:name w:val="Heading 4 Char"/>
    <w:basedOn w:val="DefaultParagraphFont"/>
    <w:link w:val="Heading4"/>
    <w:uiPriority w:val="9"/>
    <w:rsid w:val="00D637AE"/>
    <w:rPr>
      <w:rFonts w:asciiTheme="majorHAnsi" w:eastAsiaTheme="majorEastAsia" w:hAnsiTheme="majorHAnsi" w:cstheme="majorBidi"/>
      <w:b/>
      <w:color w:val="004C6C" w:themeColor="background2"/>
      <w:sz w:val="28"/>
      <w:szCs w:val="30"/>
    </w:rPr>
  </w:style>
  <w:style w:type="character" w:customStyle="1" w:styleId="Heading5Char">
    <w:name w:val="Heading 5 Char"/>
    <w:basedOn w:val="DefaultParagraphFont"/>
    <w:link w:val="Heading5"/>
    <w:uiPriority w:val="9"/>
    <w:rsid w:val="00D637AE"/>
    <w:rPr>
      <w:rFonts w:eastAsiaTheme="majorEastAsia" w:cstheme="minorHAnsi"/>
      <w:b/>
      <w:color w:val="595959" w:themeColor="text1" w:themeTint="A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link w:val="CaptionChar"/>
    <w:uiPriority w:val="16"/>
    <w:qFormat/>
    <w:rsid w:val="00EB4C2F"/>
    <w:pPr>
      <w:spacing w:after="120" w:line="240" w:lineRule="auto"/>
    </w:pPr>
    <w:rPr>
      <w:b/>
      <w:iCs/>
      <w:color w:val="00254A" w:themeColor="text2"/>
      <w:szCs w:val="18"/>
    </w:rPr>
  </w:style>
  <w:style w:type="paragraph" w:customStyle="1" w:styleId="Source">
    <w:name w:val="Source"/>
    <w:basedOn w:val="Normal"/>
    <w:uiPriority w:val="1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8"/>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8"/>
    <w:rsid w:val="00221D8F"/>
    <w:rPr>
      <w:rFonts w:eastAsiaTheme="minorEastAsia"/>
      <w:color w:val="47BFAF" w:themeColor="accent4"/>
      <w:spacing w:val="15"/>
      <w:sz w:val="40"/>
    </w:rPr>
  </w:style>
  <w:style w:type="paragraph" w:styleId="List">
    <w:name w:val="List"/>
    <w:basedOn w:val="Normal"/>
    <w:uiPriority w:val="99"/>
    <w:qFormat/>
    <w:rsid w:val="00886959"/>
    <w:pPr>
      <w:numPr>
        <w:numId w:val="5"/>
      </w:numPr>
      <w:spacing w:after="200"/>
      <w:contextualSpacing/>
    </w:pPr>
  </w:style>
  <w:style w:type="paragraph" w:styleId="List2">
    <w:name w:val="List 2"/>
    <w:basedOn w:val="Normal"/>
    <w:uiPriority w:val="99"/>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9"/>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D70E70"/>
    <w:pPr>
      <w:numPr>
        <w:numId w:val="4"/>
      </w:numPr>
      <w:spacing w:after="200"/>
      <w:ind w:left="1191" w:hanging="397"/>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qFormat/>
    <w:rsid w:val="006027B1"/>
    <w:pPr>
      <w:numPr>
        <w:numId w:val="1"/>
      </w:numPr>
      <w:spacing w:after="200" w:line="276" w:lineRule="auto"/>
      <w:ind w:left="714" w:hanging="357"/>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FA7ED4"/>
    <w:pPr>
      <w:tabs>
        <w:tab w:val="left" w:pos="660"/>
        <w:tab w:val="right" w:leader="dot" w:pos="9016"/>
      </w:tabs>
      <w:spacing w:after="10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Title">
    <w:name w:val="Title"/>
    <w:basedOn w:val="Normal"/>
    <w:next w:val="Normal"/>
    <w:link w:val="TitleChar"/>
    <w:uiPriority w:val="7"/>
    <w:qFormat/>
    <w:rsid w:val="009D347E"/>
    <w:pPr>
      <w:spacing w:before="720" w:after="0" w:line="276" w:lineRule="auto"/>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9D347E"/>
    <w:rPr>
      <w:rFonts w:ascii="Calibri" w:eastAsiaTheme="majorEastAsia" w:hAnsi="Calibri" w:cstheme="majorBidi"/>
      <w:b/>
      <w:color w:val="FFFFFF" w:themeColor="background1"/>
      <w:spacing w:val="-10"/>
      <w:kern w:val="28"/>
      <w:sz w:val="60"/>
      <w:szCs w:val="56"/>
    </w:rPr>
  </w:style>
  <w:style w:type="character" w:customStyle="1" w:styleId="UnresolvedMention1">
    <w:name w:val="Unresolved Mention1"/>
    <w:basedOn w:val="DefaultParagraphFont"/>
    <w:uiPriority w:val="99"/>
    <w:semiHidden/>
    <w:unhideWhenUsed/>
    <w:rsid w:val="009D347E"/>
    <w:rPr>
      <w:color w:val="605E5C"/>
      <w:shd w:val="clear" w:color="auto" w:fill="E1DFDD"/>
    </w:rPr>
  </w:style>
  <w:style w:type="table" w:customStyle="1" w:styleId="DESE">
    <w:name w:val="DESE"/>
    <w:basedOn w:val="TableNormal"/>
    <w:uiPriority w:val="99"/>
    <w:rsid w:val="009D347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9D347E"/>
    <w:pPr>
      <w:spacing w:after="200" w:line="360" w:lineRule="auto"/>
      <w:ind w:left="720"/>
      <w:contextualSpacing/>
    </w:pPr>
  </w:style>
  <w:style w:type="paragraph" w:styleId="BalloonText">
    <w:name w:val="Balloon Text"/>
    <w:basedOn w:val="Normal"/>
    <w:link w:val="BalloonTextChar"/>
    <w:uiPriority w:val="99"/>
    <w:semiHidden/>
    <w:unhideWhenUsed/>
    <w:rsid w:val="009D3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47E"/>
    <w:rPr>
      <w:rFonts w:ascii="Segoe UI" w:hAnsi="Segoe UI" w:cs="Segoe UI"/>
      <w:sz w:val="18"/>
      <w:szCs w:val="18"/>
    </w:rPr>
  </w:style>
  <w:style w:type="paragraph" w:customStyle="1" w:styleId="numberedpara">
    <w:name w:val="numbered para"/>
    <w:basedOn w:val="Normal"/>
    <w:rsid w:val="009D347E"/>
    <w:pPr>
      <w:numPr>
        <w:numId w:val="6"/>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D347E"/>
    <w:rPr>
      <w:color w:val="CE372F" w:themeColor="followedHyperlink"/>
      <w:u w:val="single"/>
    </w:rPr>
  </w:style>
  <w:style w:type="character" w:styleId="CommentReference">
    <w:name w:val="annotation reference"/>
    <w:basedOn w:val="DefaultParagraphFont"/>
    <w:uiPriority w:val="99"/>
    <w:semiHidden/>
    <w:unhideWhenUsed/>
    <w:rsid w:val="009D347E"/>
    <w:rPr>
      <w:sz w:val="16"/>
      <w:szCs w:val="16"/>
    </w:rPr>
  </w:style>
  <w:style w:type="paragraph" w:styleId="CommentText">
    <w:name w:val="annotation text"/>
    <w:basedOn w:val="Normal"/>
    <w:link w:val="CommentTextChar"/>
    <w:uiPriority w:val="99"/>
    <w:unhideWhenUsed/>
    <w:rsid w:val="009D347E"/>
    <w:pPr>
      <w:spacing w:after="200" w:line="240" w:lineRule="auto"/>
    </w:pPr>
    <w:rPr>
      <w:sz w:val="20"/>
      <w:szCs w:val="20"/>
    </w:rPr>
  </w:style>
  <w:style w:type="character" w:customStyle="1" w:styleId="CommentTextChar">
    <w:name w:val="Comment Text Char"/>
    <w:basedOn w:val="DefaultParagraphFont"/>
    <w:link w:val="CommentText"/>
    <w:uiPriority w:val="99"/>
    <w:rsid w:val="009D347E"/>
    <w:rPr>
      <w:sz w:val="20"/>
      <w:szCs w:val="20"/>
    </w:rPr>
  </w:style>
  <w:style w:type="paragraph" w:styleId="CommentSubject">
    <w:name w:val="annotation subject"/>
    <w:basedOn w:val="CommentText"/>
    <w:next w:val="CommentText"/>
    <w:link w:val="CommentSubjectChar"/>
    <w:uiPriority w:val="99"/>
    <w:semiHidden/>
    <w:unhideWhenUsed/>
    <w:rsid w:val="009D347E"/>
    <w:rPr>
      <w:b/>
      <w:bCs/>
    </w:rPr>
  </w:style>
  <w:style w:type="character" w:customStyle="1" w:styleId="CommentSubjectChar">
    <w:name w:val="Comment Subject Char"/>
    <w:basedOn w:val="CommentTextChar"/>
    <w:link w:val="CommentSubject"/>
    <w:uiPriority w:val="99"/>
    <w:semiHidden/>
    <w:rsid w:val="009D347E"/>
    <w:rPr>
      <w:b/>
      <w:bCs/>
      <w:sz w:val="20"/>
      <w:szCs w:val="20"/>
    </w:rPr>
  </w:style>
  <w:style w:type="paragraph" w:styleId="FootnoteText">
    <w:name w:val="footnote text"/>
    <w:basedOn w:val="Normal"/>
    <w:link w:val="FootnoteTextChar"/>
    <w:semiHidden/>
    <w:unhideWhenUsed/>
    <w:rsid w:val="009D347E"/>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9D347E"/>
    <w:rPr>
      <w:rFonts w:ascii="Arial" w:eastAsia="Times New Roman" w:hAnsi="Arial" w:cs="Arial"/>
      <w:sz w:val="20"/>
      <w:szCs w:val="20"/>
    </w:rPr>
  </w:style>
  <w:style w:type="character" w:styleId="FootnoteReference">
    <w:name w:val="footnote reference"/>
    <w:semiHidden/>
    <w:unhideWhenUsed/>
    <w:rsid w:val="009D347E"/>
    <w:rPr>
      <w:rFonts w:ascii="Times New Roman" w:hAnsi="Times New Roman" w:cs="Times New Roman" w:hint="default"/>
      <w:vertAlign w:val="superscript"/>
    </w:rPr>
  </w:style>
  <w:style w:type="paragraph" w:customStyle="1" w:styleId="ListBullet1">
    <w:name w:val="List Bullet1"/>
    <w:basedOn w:val="ListBullet"/>
    <w:rsid w:val="009D347E"/>
    <w:pPr>
      <w:numPr>
        <w:numId w:val="0"/>
      </w:numPr>
      <w:tabs>
        <w:tab w:val="num" w:pos="1209"/>
      </w:tabs>
      <w:spacing w:after="240" w:line="240" w:lineRule="auto"/>
      <w:ind w:left="1209" w:hanging="360"/>
    </w:pPr>
    <w:rPr>
      <w:rFonts w:ascii="Arial" w:eastAsia="Times New Roman" w:hAnsi="Arial" w:cs="Arial"/>
      <w:sz w:val="21"/>
      <w:szCs w:val="21"/>
    </w:rPr>
  </w:style>
  <w:style w:type="table" w:customStyle="1" w:styleId="TableGrid1">
    <w:name w:val="Table Grid1"/>
    <w:basedOn w:val="TableNormal"/>
    <w:next w:val="TableGrid"/>
    <w:uiPriority w:val="39"/>
    <w:rsid w:val="009D3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2">
    <w:name w:val="List Table 1 Light Accent 2"/>
    <w:basedOn w:val="TableNormal"/>
    <w:uiPriority w:val="46"/>
    <w:rsid w:val="009D347E"/>
    <w:pPr>
      <w:spacing w:after="0" w:line="240" w:lineRule="auto"/>
    </w:pPr>
    <w:tblPr>
      <w:tblStyleRowBandSize w:val="1"/>
      <w:tblStyleColBandSize w:val="1"/>
    </w:tblPr>
    <w:tblStylePr w:type="firstRow">
      <w:rPr>
        <w:b/>
        <w:bCs/>
      </w:rPr>
      <w:tblPr/>
      <w:tcPr>
        <w:tcBorders>
          <w:bottom w:val="single" w:sz="4" w:space="0" w:color="9482BD" w:themeColor="accent2" w:themeTint="99"/>
        </w:tcBorders>
      </w:tcPr>
    </w:tblStylePr>
    <w:tblStylePr w:type="lastRow">
      <w:rPr>
        <w:b/>
        <w:bCs/>
      </w:rPr>
      <w:tblPr/>
      <w:tcPr>
        <w:tcBorders>
          <w:top w:val="single" w:sz="4" w:space="0" w:color="9482BD" w:themeColor="accent2" w:themeTint="99"/>
        </w:tcBorders>
      </w:tcPr>
    </w:tblStylePr>
    <w:tblStylePr w:type="firstCol">
      <w:rPr>
        <w:b/>
        <w:bCs/>
      </w:rPr>
    </w:tblStylePr>
    <w:tblStylePr w:type="lastCol">
      <w:rPr>
        <w:b/>
        <w:bCs/>
      </w:rPr>
    </w:tblStylePr>
    <w:tblStylePr w:type="band1Vert">
      <w:tblPr/>
      <w:tcPr>
        <w:shd w:val="clear" w:color="auto" w:fill="DBD5E9" w:themeFill="accent2" w:themeFillTint="33"/>
      </w:tcPr>
    </w:tblStylePr>
    <w:tblStylePr w:type="band1Horz">
      <w:tblPr/>
      <w:tcPr>
        <w:shd w:val="clear" w:color="auto" w:fill="DBD5E9" w:themeFill="accent2" w:themeFillTint="33"/>
      </w:tcPr>
    </w:tblStylePr>
  </w:style>
  <w:style w:type="table" w:styleId="PlainTable4">
    <w:name w:val="Plain Table 4"/>
    <w:basedOn w:val="TableNormal"/>
    <w:uiPriority w:val="44"/>
    <w:rsid w:val="009D347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9D347E"/>
    <w:pPr>
      <w:spacing w:after="0" w:line="240" w:lineRule="auto"/>
    </w:pPr>
  </w:style>
  <w:style w:type="paragraph" w:customStyle="1" w:styleId="Heading2-NoTOC">
    <w:name w:val="Heading 2 - No TOC"/>
    <w:basedOn w:val="Heading2"/>
    <w:link w:val="Heading2-NoTOCChar"/>
    <w:qFormat/>
    <w:rsid w:val="00535546"/>
    <w:rPr>
      <w:color w:val="595959" w:themeColor="text1" w:themeTint="A6"/>
      <w:sz w:val="22"/>
      <w:szCs w:val="22"/>
    </w:rPr>
  </w:style>
  <w:style w:type="character" w:customStyle="1" w:styleId="Heading2-NoTOCChar">
    <w:name w:val="Heading 2 - No TOC Char"/>
    <w:basedOn w:val="Heading2Char"/>
    <w:link w:val="Heading2-NoTOC"/>
    <w:rsid w:val="00535546"/>
    <w:rPr>
      <w:rFonts w:eastAsiaTheme="majorEastAsia" w:cstheme="minorHAnsi"/>
      <w:b/>
      <w:color w:val="595959" w:themeColor="text1" w:themeTint="A6"/>
      <w:sz w:val="30"/>
      <w:szCs w:val="30"/>
    </w:rPr>
  </w:style>
  <w:style w:type="paragraph" w:styleId="TOC2">
    <w:name w:val="toc 2"/>
    <w:basedOn w:val="Normal"/>
    <w:next w:val="Normal"/>
    <w:autoRedefine/>
    <w:uiPriority w:val="39"/>
    <w:unhideWhenUsed/>
    <w:rsid w:val="00535546"/>
    <w:pPr>
      <w:spacing w:after="100"/>
      <w:ind w:left="220"/>
    </w:pPr>
  </w:style>
  <w:style w:type="paragraph" w:customStyle="1" w:styleId="Heading4NoTOC">
    <w:name w:val="Heading 4 (No TOC)"/>
    <w:basedOn w:val="Heading2-NoTOC"/>
    <w:link w:val="Heading4NoTOCChar"/>
    <w:qFormat/>
    <w:rsid w:val="00FA7ED4"/>
    <w:rPr>
      <w:rFonts w:eastAsia="Times New Roman"/>
    </w:rPr>
  </w:style>
  <w:style w:type="character" w:customStyle="1" w:styleId="Heading4NoTOCChar">
    <w:name w:val="Heading 4 (No TOC) Char"/>
    <w:basedOn w:val="Heading2-NoTOCChar"/>
    <w:link w:val="Heading4NoTOC"/>
    <w:rsid w:val="00FA7ED4"/>
    <w:rPr>
      <w:rFonts w:eastAsia="Times New Roman" w:cstheme="minorHAnsi"/>
      <w:b/>
      <w:color w:val="595959" w:themeColor="text1" w:themeTint="A6"/>
      <w:sz w:val="30"/>
      <w:szCs w:val="30"/>
    </w:rPr>
  </w:style>
  <w:style w:type="paragraph" w:styleId="TOC4">
    <w:name w:val="toc 4"/>
    <w:basedOn w:val="Normal"/>
    <w:next w:val="Normal"/>
    <w:autoRedefine/>
    <w:uiPriority w:val="39"/>
    <w:unhideWhenUsed/>
    <w:rsid w:val="00FA7ED4"/>
    <w:pPr>
      <w:spacing w:after="100"/>
      <w:ind w:left="660"/>
    </w:pPr>
  </w:style>
  <w:style w:type="paragraph" w:styleId="TOC5">
    <w:name w:val="toc 5"/>
    <w:basedOn w:val="Normal"/>
    <w:next w:val="Normal"/>
    <w:autoRedefine/>
    <w:uiPriority w:val="39"/>
    <w:unhideWhenUsed/>
    <w:rsid w:val="00FA7ED4"/>
    <w:pPr>
      <w:spacing w:after="100"/>
      <w:ind w:left="880"/>
    </w:pPr>
  </w:style>
  <w:style w:type="paragraph" w:customStyle="1" w:styleId="Heading31">
    <w:name w:val="Heading 3.1"/>
    <w:basedOn w:val="Heading3"/>
    <w:link w:val="Heading31Char"/>
    <w:qFormat/>
    <w:rsid w:val="00D637AE"/>
    <w:rPr>
      <w:color w:val="004C6C" w:themeColor="background2"/>
      <w:sz w:val="28"/>
    </w:rPr>
  </w:style>
  <w:style w:type="character" w:customStyle="1" w:styleId="Heading31Char">
    <w:name w:val="Heading 3.1 Char"/>
    <w:basedOn w:val="Heading3Char"/>
    <w:link w:val="Heading31"/>
    <w:rsid w:val="00D637AE"/>
    <w:rPr>
      <w:rFonts w:asciiTheme="majorHAnsi" w:eastAsiaTheme="majorEastAsia" w:hAnsiTheme="majorHAnsi" w:cstheme="majorBidi"/>
      <w:b/>
      <w:color w:val="004C6C" w:themeColor="background2"/>
      <w:sz w:val="28"/>
      <w:szCs w:val="30"/>
    </w:rPr>
  </w:style>
  <w:style w:type="table" w:styleId="GridTable4">
    <w:name w:val="Grid Table 4"/>
    <w:basedOn w:val="TableNormal"/>
    <w:uiPriority w:val="49"/>
    <w:rsid w:val="005F4EB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aption1Tree">
    <w:name w:val="Caption 1 Tree"/>
    <w:basedOn w:val="Caption"/>
    <w:link w:val="Caption1TreeChar"/>
    <w:qFormat/>
    <w:rsid w:val="00BF4492"/>
  </w:style>
  <w:style w:type="character" w:customStyle="1" w:styleId="CaptionChar">
    <w:name w:val="Caption Char"/>
    <w:basedOn w:val="DefaultParagraphFont"/>
    <w:link w:val="Caption"/>
    <w:uiPriority w:val="16"/>
    <w:rsid w:val="00BF4492"/>
    <w:rPr>
      <w:b/>
      <w:iCs/>
      <w:color w:val="00254A" w:themeColor="text2"/>
      <w:szCs w:val="18"/>
    </w:rPr>
  </w:style>
  <w:style w:type="character" w:customStyle="1" w:styleId="Caption1TreeChar">
    <w:name w:val="Caption 1 Tree Char"/>
    <w:basedOn w:val="CaptionChar"/>
    <w:link w:val="Caption1Tree"/>
    <w:rsid w:val="00BF4492"/>
    <w:rPr>
      <w:b/>
      <w:iCs/>
      <w:color w:val="00254A"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858986">
      <w:bodyDiv w:val="1"/>
      <w:marLeft w:val="0"/>
      <w:marRight w:val="0"/>
      <w:marTop w:val="0"/>
      <w:marBottom w:val="0"/>
      <w:divBdr>
        <w:top w:val="none" w:sz="0" w:space="0" w:color="auto"/>
        <w:left w:val="none" w:sz="0" w:space="0" w:color="auto"/>
        <w:bottom w:val="none" w:sz="0" w:space="0" w:color="auto"/>
        <w:right w:val="none" w:sz="0" w:space="0" w:color="auto"/>
      </w:divBdr>
    </w:div>
    <w:div w:id="18774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legislation.gov.au/Details/F2022C00174" TargetMode="External"/><Relationship Id="rId26" Type="http://schemas.openxmlformats.org/officeDocument/2006/relationships/hyperlink" Target="https://auasb.gov.au/standards-guidance/auasb-standards/auditing-standards/" TargetMode="External"/><Relationship Id="rId39" Type="http://schemas.openxmlformats.org/officeDocument/2006/relationships/header" Target="header5.xml"/><Relationship Id="rId21" Type="http://schemas.openxmlformats.org/officeDocument/2006/relationships/hyperlink" Target="https://www.arc.gov.au/about-arc/corporate-information/privacy-policy" TargetMode="External"/><Relationship Id="rId34" Type="http://schemas.openxmlformats.org/officeDocument/2006/relationships/header" Target="header1.xml"/><Relationship Id="rId42" Type="http://schemas.openxmlformats.org/officeDocument/2006/relationships/hyperlink" Target="https://www.legislation.gov.au/C2015A00116/latest/text" TargetMode="External"/><Relationship Id="rId47" Type="http://schemas.openxmlformats.org/officeDocument/2006/relationships/hyperlink" Target="http://www.acnc.gov.au"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9" Type="http://schemas.openxmlformats.org/officeDocument/2006/relationships/hyperlink" Target="https://www.legislation.gov.au/C2004A02562/latest/versions" TargetMode="External"/><Relationship Id="rId11" Type="http://schemas.openxmlformats.org/officeDocument/2006/relationships/image" Target="media/image1.jpeg"/><Relationship Id="rId24" Type="http://schemas.openxmlformats.org/officeDocument/2006/relationships/hyperlink" Target="https://techtransfer.org.au/metrics-data/" TargetMode="External"/><Relationship Id="rId32" Type="http://schemas.openxmlformats.org/officeDocument/2006/relationships/hyperlink" Target="https://www.oecd.org/publications/frascati-manual-2015-9789264239012-en.htm" TargetMode="External"/><Relationship Id="rId37" Type="http://schemas.openxmlformats.org/officeDocument/2006/relationships/image" Target="media/image6.png"/><Relationship Id="rId40" Type="http://schemas.openxmlformats.org/officeDocument/2006/relationships/footer" Target="footer2.xml"/><Relationship Id="rId45" Type="http://schemas.openxmlformats.org/officeDocument/2006/relationships/hyperlink" Target="http://www.acnc.gov.au"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education.gov.au/research-block-grants/higher-education-research-data-collection" TargetMode="External"/><Relationship Id="rId28" Type="http://schemas.openxmlformats.org/officeDocument/2006/relationships/hyperlink" Target="https://aasb.gov.au/pronouncements/accounting-standards/" TargetMode="External"/><Relationship Id="rId36" Type="http://schemas.openxmlformats.org/officeDocument/2006/relationships/header" Target="header3.xm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tcsisupport.gov.au/glossary/glossaryterm/Research-end-user" TargetMode="External"/><Relationship Id="rId31" Type="http://schemas.openxmlformats.org/officeDocument/2006/relationships/hyperlink" Target="mailto:RBGrants@education.gov.au" TargetMode="External"/><Relationship Id="rId44" Type="http://schemas.openxmlformats.org/officeDocument/2006/relationships/hyperlink" Target="https://www.ato.gov.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ducation.gov.au/research-block-grants" TargetMode="External"/><Relationship Id="rId27" Type="http://schemas.openxmlformats.org/officeDocument/2006/relationships/hyperlink" Target="https://www.arc.gov.au/evaluating-research/excellence-research-australia/seer-user-guide" TargetMode="External"/><Relationship Id="rId30" Type="http://schemas.openxmlformats.org/officeDocument/2006/relationships/hyperlink" Target="mailto:FOI@dese.gov.au" TargetMode="External"/><Relationship Id="rId35" Type="http://schemas.openxmlformats.org/officeDocument/2006/relationships/header" Target="header2.xml"/><Relationship Id="rId43" Type="http://schemas.openxmlformats.org/officeDocument/2006/relationships/hyperlink" Target="http://www.abr.business.gov.au/" TargetMode="External"/><Relationship Id="rId48" Type="http://schemas.openxmlformats.org/officeDocument/2006/relationships/hyperlink" Target="https://ec.europa.eu/info/research-and-innovation/funding/funding-opportunities/funding-programmes-and-open-calls/horizon-europe_en" TargetMode="Externa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5" Type="http://schemas.openxmlformats.org/officeDocument/2006/relationships/hyperlink" Target="https://seer.arc.gov.au/SEER/ActionCentre/Account/Login?ReturnUrl=%2fSEER%2fActionCentre" TargetMode="External"/><Relationship Id="rId33" Type="http://schemas.openxmlformats.org/officeDocument/2006/relationships/hyperlink" Target="https://www.legislation.gov.au/F2016L01602/latest/text" TargetMode="External"/><Relationship Id="rId38" Type="http://schemas.openxmlformats.org/officeDocument/2006/relationships/header" Target="header4.xml"/><Relationship Id="rId46" Type="http://schemas.openxmlformats.org/officeDocument/2006/relationships/hyperlink" Target="http://www.abr.business.gov.au/" TargetMode="External"/><Relationship Id="rId20" Type="http://schemas.openxmlformats.org/officeDocument/2006/relationships/hyperlink" Target="https://www.legislation.gov.au/C2004A01234/latest/text"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www.tcsisupport.gov.au/glossary/glossaryterm/Research-end-us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52E38"/>
    <w:rsid w:val="0006024C"/>
    <w:rsid w:val="00094EDE"/>
    <w:rsid w:val="000B07D4"/>
    <w:rsid w:val="000D5DA1"/>
    <w:rsid w:val="000F1D75"/>
    <w:rsid w:val="00161A00"/>
    <w:rsid w:val="00161D1A"/>
    <w:rsid w:val="00173A74"/>
    <w:rsid w:val="001B248A"/>
    <w:rsid w:val="001C25FA"/>
    <w:rsid w:val="001D1981"/>
    <w:rsid w:val="002061C3"/>
    <w:rsid w:val="002711D3"/>
    <w:rsid w:val="00280764"/>
    <w:rsid w:val="002A7921"/>
    <w:rsid w:val="002B03F0"/>
    <w:rsid w:val="002B058F"/>
    <w:rsid w:val="002B3ACA"/>
    <w:rsid w:val="002E4B13"/>
    <w:rsid w:val="00310550"/>
    <w:rsid w:val="003417B2"/>
    <w:rsid w:val="003471DE"/>
    <w:rsid w:val="0037121A"/>
    <w:rsid w:val="003A0773"/>
    <w:rsid w:val="003A44C6"/>
    <w:rsid w:val="003B4C71"/>
    <w:rsid w:val="003B6C11"/>
    <w:rsid w:val="0045410A"/>
    <w:rsid w:val="00495B2B"/>
    <w:rsid w:val="004A0E30"/>
    <w:rsid w:val="004A5AC8"/>
    <w:rsid w:val="004B3134"/>
    <w:rsid w:val="004C7069"/>
    <w:rsid w:val="005105DF"/>
    <w:rsid w:val="00512470"/>
    <w:rsid w:val="00550261"/>
    <w:rsid w:val="0058075A"/>
    <w:rsid w:val="00592581"/>
    <w:rsid w:val="005947C2"/>
    <w:rsid w:val="005A5BCD"/>
    <w:rsid w:val="005B07E1"/>
    <w:rsid w:val="005F21BA"/>
    <w:rsid w:val="006010F6"/>
    <w:rsid w:val="00636A20"/>
    <w:rsid w:val="006437F1"/>
    <w:rsid w:val="00653D68"/>
    <w:rsid w:val="00667D82"/>
    <w:rsid w:val="00681775"/>
    <w:rsid w:val="006D3DC7"/>
    <w:rsid w:val="0072525B"/>
    <w:rsid w:val="0073142F"/>
    <w:rsid w:val="00763E04"/>
    <w:rsid w:val="00774532"/>
    <w:rsid w:val="00785B1E"/>
    <w:rsid w:val="00796DC6"/>
    <w:rsid w:val="007A1DD1"/>
    <w:rsid w:val="007C56F8"/>
    <w:rsid w:val="007D4250"/>
    <w:rsid w:val="007E41BB"/>
    <w:rsid w:val="00884690"/>
    <w:rsid w:val="00887E0F"/>
    <w:rsid w:val="00901411"/>
    <w:rsid w:val="009A1998"/>
    <w:rsid w:val="009A31FE"/>
    <w:rsid w:val="009C184A"/>
    <w:rsid w:val="009D3685"/>
    <w:rsid w:val="009F7D41"/>
    <w:rsid w:val="00A0461A"/>
    <w:rsid w:val="00A35F7E"/>
    <w:rsid w:val="00AD176C"/>
    <w:rsid w:val="00AF2424"/>
    <w:rsid w:val="00B441CF"/>
    <w:rsid w:val="00B772DB"/>
    <w:rsid w:val="00B91B81"/>
    <w:rsid w:val="00BC1D79"/>
    <w:rsid w:val="00BC23AA"/>
    <w:rsid w:val="00BF48C6"/>
    <w:rsid w:val="00C1596C"/>
    <w:rsid w:val="00C62921"/>
    <w:rsid w:val="00CC0F23"/>
    <w:rsid w:val="00CF0386"/>
    <w:rsid w:val="00CF45E1"/>
    <w:rsid w:val="00CF5A2E"/>
    <w:rsid w:val="00D01170"/>
    <w:rsid w:val="00D4695B"/>
    <w:rsid w:val="00D50C58"/>
    <w:rsid w:val="00D81809"/>
    <w:rsid w:val="00DA4E2D"/>
    <w:rsid w:val="00DF03CD"/>
    <w:rsid w:val="00E010D7"/>
    <w:rsid w:val="00E117CB"/>
    <w:rsid w:val="00E52809"/>
    <w:rsid w:val="00E72D87"/>
    <w:rsid w:val="00E754E5"/>
    <w:rsid w:val="00ED4082"/>
    <w:rsid w:val="00EE53E4"/>
    <w:rsid w:val="00FC6F25"/>
    <w:rsid w:val="00FE0AEE"/>
    <w:rsid w:val="00FF2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C8F6F9A-FAF1-4F88-BBD7-D764430EFE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7DFDF82C0F3548A2D67B97362E22CA" ma:contentTypeVersion="" ma:contentTypeDescription="PDMS Document Site Content Type" ma:contentTypeScope="" ma:versionID="4de7f634159b2dc398a7bea39ac1322e">
  <xsd:schema xmlns:xsd="http://www.w3.org/2001/XMLSchema" xmlns:xs="http://www.w3.org/2001/XMLSchema" xmlns:p="http://schemas.microsoft.com/office/2006/metadata/properties" xmlns:ns2="4C8F6F9A-FAF1-4F88-BBD7-D764430EFE4C" targetNamespace="http://schemas.microsoft.com/office/2006/metadata/properties" ma:root="true" ma:fieldsID="cfa53a9774f6e3c9784e79f806766579" ns2:_="">
    <xsd:import namespace="4C8F6F9A-FAF1-4F88-BBD7-D764430EFE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F6F9A-FAF1-4F88-BBD7-D764430EFE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E74EC-F0D7-4D79-BCF8-A441AD43D098}">
  <ds:schemaRef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4C8F6F9A-FAF1-4F88-BBD7-D764430EFE4C"/>
  </ds:schemaRefs>
</ds:datastoreItem>
</file>

<file path=customXml/itemProps2.xml><?xml version="1.0" encoding="utf-8"?>
<ds:datastoreItem xmlns:ds="http://schemas.openxmlformats.org/officeDocument/2006/customXml" ds:itemID="{8CBBB6F5-7FFB-4D8D-BC32-70C2E055AD07}">
  <ds:schemaRefs>
    <ds:schemaRef ds:uri="http://schemas.microsoft.com/sharepoint/v3/contenttype/forms"/>
  </ds:schemaRefs>
</ds:datastoreItem>
</file>

<file path=customXml/itemProps3.xml><?xml version="1.0" encoding="utf-8"?>
<ds:datastoreItem xmlns:ds="http://schemas.openxmlformats.org/officeDocument/2006/customXml" ds:itemID="{2AEEB05C-29F7-4E79-BEC6-713E75699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F6F9A-FAF1-4F88-BBD7-D764430EF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29</Pages>
  <Words>9463</Words>
  <Characters>53942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Final Higher Education Research Data Collection specifications for the collection of 2024 data</vt:lpstr>
    </vt:vector>
  </TitlesOfParts>
  <Company/>
  <LinksUpToDate>false</LinksUpToDate>
  <CharactersWithSpaces>63279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Higher Education Research Data Collection specifications for the collection of 2024 data</dc:title>
  <dc:subject/>
  <dc:creator>ASHTON,Michael</dc:creator>
  <cp:keywords/>
  <dc:description/>
  <cp:lastModifiedBy>LIN,Peter</cp:lastModifiedBy>
  <cp:revision>10</cp:revision>
  <cp:lastPrinted>2024-12-16T03:30:00Z</cp:lastPrinted>
  <dcterms:created xsi:type="dcterms:W3CDTF">2024-12-12T22:37:00Z</dcterms:created>
  <dcterms:modified xsi:type="dcterms:W3CDTF">2024-12-16T22:55:00Z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0x010100266966F133664895A6EE3632470D45F500177DFDF82C0F3548A2D67B97362E22CA</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