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03F8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2FD492B7" wp14:editId="090D49E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692000" cy="7560000"/>
            <wp:effectExtent l="0" t="0" r="0" b="317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5DD7F695" wp14:editId="411B94A9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1670" w14:textId="77777777" w:rsidR="005B0070" w:rsidRDefault="005B0070" w:rsidP="00EB4C2F">
      <w:pPr>
        <w:pStyle w:val="Subtitle"/>
        <w:rPr>
          <w:rFonts w:ascii="Calibri" w:eastAsiaTheme="minorHAnsi" w:hAnsi="Calibri" w:cstheme="majorBidi"/>
          <w:b/>
          <w:color w:val="5F646A"/>
          <w:spacing w:val="0"/>
          <w:sz w:val="84"/>
          <w:szCs w:val="32"/>
        </w:rPr>
      </w:pPr>
      <w:r w:rsidRPr="005B0070">
        <w:rPr>
          <w:rFonts w:ascii="Calibri" w:eastAsiaTheme="minorHAnsi" w:hAnsi="Calibri" w:cstheme="majorBidi"/>
          <w:b/>
          <w:color w:val="5F646A"/>
          <w:spacing w:val="0"/>
          <w:sz w:val="84"/>
          <w:szCs w:val="32"/>
        </w:rPr>
        <w:t xml:space="preserve">NDRI Investment Plan Consultation Survey Summary </w:t>
      </w:r>
    </w:p>
    <w:p w14:paraId="5C745416" w14:textId="30D7FA00" w:rsidR="00107D87" w:rsidRDefault="007C2C61">
      <w:pPr>
        <w:sectPr w:rsidR="00107D87" w:rsidSect="001C2BC9">
          <w:pgSz w:w="16838" w:h="11906" w:orient="landscape"/>
          <w:pgMar w:top="1440" w:right="1814" w:bottom="1440" w:left="1440" w:header="709" w:footer="709" w:gutter="0"/>
          <w:cols w:space="708"/>
          <w:docGrid w:linePitch="360"/>
        </w:sectPr>
      </w:pPr>
      <w:r w:rsidRPr="007C2C61">
        <w:rPr>
          <w:rFonts w:eastAsiaTheme="minorEastAsia"/>
          <w:color w:val="008599" w:themeColor="accent1"/>
          <w:spacing w:val="15"/>
          <w:sz w:val="40"/>
        </w:rPr>
        <w:t>Compute and AI</w:t>
      </w: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055A80" w14:paraId="60B56E78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76A354B" w14:textId="77777777" w:rsidR="00055A80" w:rsidRDefault="00055A80" w:rsidP="008625CC">
            <w:pPr>
              <w:rPr>
                <w:b w:val="0"/>
                <w:bCs w:val="0"/>
              </w:rPr>
            </w:pPr>
            <w:r w:rsidRPr="000C4BED">
              <w:lastRenderedPageBreak/>
              <w:t>Q9 - What are the current gaps and weaknesses in Australia's NDRI technological capabilities?</w:t>
            </w:r>
          </w:p>
          <w:p w14:paraId="208B64FA" w14:textId="77777777" w:rsidR="00055A80" w:rsidRPr="00934802" w:rsidRDefault="00055A80" w:rsidP="008625CC"/>
        </w:tc>
        <w:tc>
          <w:tcPr>
            <w:tcW w:w="11907" w:type="dxa"/>
          </w:tcPr>
          <w:p w14:paraId="1EAD7F6C" w14:textId="77777777" w:rsidR="00055A80" w:rsidRPr="00326A53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26A53">
              <w:rPr>
                <w:rFonts w:eastAsia="Times New Roman"/>
                <w:b w:val="0"/>
                <w:bCs w:val="0"/>
              </w:rPr>
              <w:t xml:space="preserve">Lack of </w:t>
            </w:r>
            <w:r>
              <w:rPr>
                <w:rFonts w:eastAsia="Times New Roman"/>
                <w:b w:val="0"/>
                <w:bCs w:val="0"/>
              </w:rPr>
              <w:t>research software engineer (</w:t>
            </w:r>
            <w:r w:rsidRPr="00326A53">
              <w:rPr>
                <w:rFonts w:eastAsia="Times New Roman"/>
                <w:b w:val="0"/>
                <w:bCs w:val="0"/>
              </w:rPr>
              <w:t>RSE</w:t>
            </w:r>
            <w:r>
              <w:rPr>
                <w:rFonts w:eastAsia="Times New Roman"/>
                <w:b w:val="0"/>
                <w:bCs w:val="0"/>
              </w:rPr>
              <w:t>)</w:t>
            </w:r>
            <w:r w:rsidRPr="00326A53">
              <w:rPr>
                <w:rFonts w:eastAsia="Times New Roman"/>
                <w:b w:val="0"/>
                <w:bCs w:val="0"/>
              </w:rPr>
              <w:t xml:space="preserve"> workforce and long-term funding for </w:t>
            </w:r>
            <w:r w:rsidRPr="00955E61">
              <w:rPr>
                <w:rFonts w:eastAsia="Times New Roman"/>
                <w:b w:val="0"/>
                <w:bCs w:val="0"/>
              </w:rPr>
              <w:t>humanities and social sciences</w:t>
            </w:r>
            <w:r w:rsidRPr="00326A53">
              <w:rPr>
                <w:rFonts w:eastAsia="Times New Roman"/>
                <w:b w:val="0"/>
                <w:bCs w:val="0"/>
              </w:rPr>
              <w:t xml:space="preserve"> to enhance sustainability.</w:t>
            </w:r>
          </w:p>
          <w:p w14:paraId="00FE1958" w14:textId="77777777" w:rsidR="00055A80" w:rsidRPr="00326A53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Cumbersome </w:t>
            </w:r>
            <w:r w:rsidRPr="00326A53">
              <w:rPr>
                <w:rFonts w:eastAsia="Times New Roman"/>
                <w:b w:val="0"/>
                <w:bCs w:val="0"/>
              </w:rPr>
              <w:t>process for accessing</w:t>
            </w:r>
            <w:r>
              <w:rPr>
                <w:rFonts w:eastAsia="Times New Roman"/>
                <w:b w:val="0"/>
                <w:bCs w:val="0"/>
              </w:rPr>
              <w:t xml:space="preserve"> high performance compute (</w:t>
            </w:r>
            <w:r w:rsidRPr="00326A53">
              <w:rPr>
                <w:rFonts w:eastAsia="Times New Roman"/>
                <w:b w:val="0"/>
                <w:bCs w:val="0"/>
              </w:rPr>
              <w:t>HPC</w:t>
            </w:r>
            <w:r>
              <w:rPr>
                <w:rFonts w:eastAsia="Times New Roman"/>
                <w:b w:val="0"/>
                <w:bCs w:val="0"/>
              </w:rPr>
              <w:t>) resources</w:t>
            </w:r>
            <w:r w:rsidRPr="00326A53">
              <w:rPr>
                <w:rFonts w:eastAsia="Times New Roman"/>
                <w:b w:val="0"/>
                <w:bCs w:val="0"/>
              </w:rPr>
              <w:t>.</w:t>
            </w:r>
          </w:p>
          <w:p w14:paraId="2F1F06E8" w14:textId="77777777" w:rsidR="00055A80" w:rsidRPr="00326A53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26A53">
              <w:rPr>
                <w:rFonts w:eastAsia="Times New Roman"/>
                <w:b w:val="0"/>
                <w:bCs w:val="0"/>
              </w:rPr>
              <w:t xml:space="preserve">No </w:t>
            </w:r>
            <w:r>
              <w:rPr>
                <w:rFonts w:eastAsia="Times New Roman"/>
                <w:b w:val="0"/>
                <w:bCs w:val="0"/>
              </w:rPr>
              <w:t>Tier</w:t>
            </w:r>
            <w:r w:rsidRPr="00326A53">
              <w:rPr>
                <w:rFonts w:eastAsia="Times New Roman"/>
                <w:b w:val="0"/>
                <w:bCs w:val="0"/>
              </w:rPr>
              <w:t xml:space="preserve"> 0 facilities for Australian researchers to access.</w:t>
            </w:r>
          </w:p>
          <w:p w14:paraId="5458C620" w14:textId="77777777" w:rsidR="00055A80" w:rsidRPr="00326A53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26A53">
              <w:rPr>
                <w:rFonts w:eastAsia="Times New Roman"/>
                <w:b w:val="0"/>
                <w:bCs w:val="0"/>
              </w:rPr>
              <w:t>Lack of collaboration with the US and EU.</w:t>
            </w:r>
          </w:p>
          <w:p w14:paraId="6CB5A8C7" w14:textId="77777777" w:rsidR="00055A80" w:rsidRPr="00326A53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26A53">
              <w:rPr>
                <w:rFonts w:eastAsia="Times New Roman"/>
                <w:b w:val="0"/>
                <w:bCs w:val="0"/>
              </w:rPr>
              <w:t>Significant weakness in access to large scale private compute for AI research in healthcare.</w:t>
            </w:r>
          </w:p>
          <w:p w14:paraId="1018D913" w14:textId="77777777" w:rsidR="00055A80" w:rsidRPr="00326A53" w:rsidRDefault="00055A80" w:rsidP="00055A80">
            <w:pPr>
              <w:pStyle w:val="ListParagraph"/>
              <w:numPr>
                <w:ilvl w:val="1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There’s a l</w:t>
            </w:r>
            <w:r w:rsidRPr="00326A53">
              <w:rPr>
                <w:rFonts w:eastAsia="Times New Roman"/>
                <w:b w:val="0"/>
                <w:bCs w:val="0"/>
              </w:rPr>
              <w:t>imited understanding of AI technology as applied to healthcare research.</w:t>
            </w:r>
          </w:p>
          <w:p w14:paraId="244C6E45" w14:textId="77777777" w:rsidR="00055A80" w:rsidRPr="009D493F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L</w:t>
            </w:r>
            <w:r w:rsidRPr="00326A53">
              <w:rPr>
                <w:rFonts w:eastAsia="Times New Roman"/>
                <w:b w:val="0"/>
                <w:bCs w:val="0"/>
              </w:rPr>
              <w:t xml:space="preserve">ack of AI-focussed expertise and experience that intersects with the </w:t>
            </w:r>
            <w:r>
              <w:rPr>
                <w:rFonts w:eastAsia="Times New Roman"/>
                <w:b w:val="0"/>
                <w:bCs w:val="0"/>
              </w:rPr>
              <w:t>National Research Infrastructure (N</w:t>
            </w:r>
            <w:r w:rsidRPr="00326A53">
              <w:rPr>
                <w:rFonts w:eastAsia="Times New Roman"/>
                <w:b w:val="0"/>
                <w:bCs w:val="0"/>
              </w:rPr>
              <w:t>RI</w:t>
            </w:r>
            <w:r>
              <w:rPr>
                <w:rFonts w:eastAsia="Times New Roman"/>
                <w:b w:val="0"/>
                <w:bCs w:val="0"/>
              </w:rPr>
              <w:t>)</w:t>
            </w:r>
            <w:r w:rsidRPr="00326A53">
              <w:rPr>
                <w:rFonts w:eastAsia="Times New Roman"/>
                <w:b w:val="0"/>
                <w:bCs w:val="0"/>
              </w:rPr>
              <w:t xml:space="preserve"> workforce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32F01AB" w14:textId="77777777" w:rsidR="00055A80" w:rsidRPr="009D493F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S</w:t>
            </w:r>
            <w:r w:rsidRPr="00EF1C22">
              <w:rPr>
                <w:rFonts w:eastAsia="Times New Roman"/>
                <w:b w:val="0"/>
                <w:bCs w:val="0"/>
              </w:rPr>
              <w:t>kills gap in digital literacy and data management among researchers.</w:t>
            </w:r>
          </w:p>
          <w:p w14:paraId="5D5FC43A" w14:textId="77777777" w:rsidR="00055A80" w:rsidRPr="00D073D0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Insufficient access to o</w:t>
            </w:r>
            <w:r w:rsidRPr="0038474F">
              <w:rPr>
                <w:rFonts w:eastAsia="Times New Roman"/>
                <w:b w:val="0"/>
                <w:bCs w:val="0"/>
              </w:rPr>
              <w:t>pen</w:t>
            </w:r>
            <w:r>
              <w:rPr>
                <w:rFonts w:eastAsia="Times New Roman"/>
                <w:b w:val="0"/>
                <w:bCs w:val="0"/>
              </w:rPr>
              <w:t>-</w:t>
            </w:r>
            <w:r w:rsidRPr="0038474F">
              <w:rPr>
                <w:rFonts w:eastAsia="Times New Roman"/>
                <w:b w:val="0"/>
                <w:bCs w:val="0"/>
              </w:rPr>
              <w:t xml:space="preserve">access peak </w:t>
            </w:r>
            <w:r>
              <w:rPr>
                <w:rFonts w:eastAsia="Times New Roman"/>
                <w:b w:val="0"/>
                <w:bCs w:val="0"/>
              </w:rPr>
              <w:t>HPC</w:t>
            </w:r>
            <w:r w:rsidRPr="0038474F">
              <w:rPr>
                <w:rFonts w:eastAsia="Times New Roman"/>
                <w:b w:val="0"/>
                <w:bCs w:val="0"/>
              </w:rPr>
              <w:t xml:space="preserve"> resourc</w:t>
            </w:r>
            <w:r>
              <w:rPr>
                <w:rFonts w:eastAsia="Times New Roman"/>
                <w:b w:val="0"/>
                <w:bCs w:val="0"/>
              </w:rPr>
              <w:t>es comparable to</w:t>
            </w:r>
            <w:r w:rsidRPr="0038474F">
              <w:rPr>
                <w:rFonts w:eastAsia="Times New Roman"/>
                <w:b w:val="0"/>
                <w:bCs w:val="0"/>
              </w:rPr>
              <w:t xml:space="preserve"> peer countries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DF7CD5F" w14:textId="77777777" w:rsidR="00055A80" w:rsidRPr="00EF1C22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EF1C22">
              <w:rPr>
                <w:rFonts w:eastAsia="Times New Roman"/>
                <w:b w:val="0"/>
                <w:bCs w:val="0"/>
              </w:rPr>
              <w:t>nconsistent data management practices and standards across institutions.</w:t>
            </w:r>
          </w:p>
          <w:p w14:paraId="668E895B" w14:textId="77777777" w:rsidR="00055A80" w:rsidRPr="00EF1C22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EF1C22">
              <w:rPr>
                <w:rFonts w:eastAsia="Times New Roman"/>
                <w:b w:val="0"/>
                <w:bCs w:val="0"/>
              </w:rPr>
              <w:t>Inadequacy in existing cybersecurity and data privacy protection measures.</w:t>
            </w:r>
          </w:p>
          <w:p w14:paraId="05384BB8" w14:textId="77777777" w:rsidR="00055A80" w:rsidRPr="008906D0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6F6CBC">
              <w:rPr>
                <w:rFonts w:eastAsia="Times New Roman"/>
                <w:b w:val="0"/>
                <w:bCs w:val="0"/>
              </w:rPr>
              <w:t>n current funding and merit schemes for computing infrastructure, there are vast gaps between research institutions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BBD7549" w14:textId="77777777" w:rsidR="00055A80" w:rsidRPr="008906D0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Lack of</w:t>
            </w:r>
            <w:r w:rsidRPr="001B7F07">
              <w:rPr>
                <w:rFonts w:eastAsia="Times New Roman"/>
                <w:b w:val="0"/>
                <w:bCs w:val="0"/>
              </w:rPr>
              <w:t xml:space="preserve"> an entity that can provide a leadership role in defining a national strategy for computing </w:t>
            </w:r>
            <w:r>
              <w:rPr>
                <w:rFonts w:eastAsia="Times New Roman"/>
                <w:b w:val="0"/>
                <w:bCs w:val="0"/>
              </w:rPr>
              <w:t>grand</w:t>
            </w:r>
            <w:r w:rsidRPr="001B7F07">
              <w:rPr>
                <w:rFonts w:eastAsia="Times New Roman"/>
                <w:b w:val="0"/>
                <w:bCs w:val="0"/>
              </w:rPr>
              <w:t xml:space="preserve"> challenge</w:t>
            </w:r>
            <w:r>
              <w:rPr>
                <w:rFonts w:eastAsia="Times New Roman"/>
                <w:b w:val="0"/>
                <w:bCs w:val="0"/>
              </w:rPr>
              <w:t>s.</w:t>
            </w:r>
          </w:p>
          <w:p w14:paraId="0E494824" w14:textId="77777777" w:rsidR="00055A80" w:rsidRPr="00385DA5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N</w:t>
            </w:r>
            <w:r w:rsidRPr="007D6E1E">
              <w:rPr>
                <w:rFonts w:eastAsia="Times New Roman"/>
                <w:b w:val="0"/>
                <w:bCs w:val="0"/>
              </w:rPr>
              <w:t>o incentive mechanism to facilitate the sharing of HPC capabilities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C613FA8" w14:textId="77777777" w:rsidR="00055A80" w:rsidRPr="00DA500C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L</w:t>
            </w:r>
            <w:r w:rsidRPr="00E21D46">
              <w:rPr>
                <w:rFonts w:eastAsia="Times New Roman"/>
                <w:b w:val="0"/>
                <w:bCs w:val="0"/>
              </w:rPr>
              <w:t>ack of visibility and awareness about the importance, scale, sophistication and long-term sustaining capabilities being provided by institutional research data repositories.</w:t>
            </w:r>
          </w:p>
          <w:p w14:paraId="29D3DAD0" w14:textId="77777777" w:rsidR="00055A80" w:rsidRPr="008E3AAF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Non-availability of e</w:t>
            </w:r>
            <w:r w:rsidRPr="003F72BF">
              <w:rPr>
                <w:rFonts w:eastAsia="Times New Roman"/>
                <w:b w:val="0"/>
                <w:bCs w:val="0"/>
              </w:rPr>
              <w:t xml:space="preserve">asily accessible and affordable storage and compute </w:t>
            </w:r>
            <w:r>
              <w:rPr>
                <w:rFonts w:eastAsia="Times New Roman"/>
                <w:b w:val="0"/>
                <w:bCs w:val="0"/>
              </w:rPr>
              <w:t>f</w:t>
            </w:r>
            <w:r w:rsidRPr="003F72BF">
              <w:rPr>
                <w:rFonts w:eastAsia="Times New Roman"/>
                <w:b w:val="0"/>
                <w:bCs w:val="0"/>
              </w:rPr>
              <w:t>or smaller institutions who don</w:t>
            </w:r>
            <w:r>
              <w:rPr>
                <w:rFonts w:eastAsia="Times New Roman"/>
                <w:b w:val="0"/>
                <w:bCs w:val="0"/>
              </w:rPr>
              <w:t>’t</w:t>
            </w:r>
            <w:r w:rsidRPr="003F72BF">
              <w:rPr>
                <w:rFonts w:eastAsia="Times New Roman"/>
                <w:b w:val="0"/>
                <w:bCs w:val="0"/>
              </w:rPr>
              <w:t xml:space="preserve"> have their own infrastructure and human resources to provide support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F7E1BAE" w14:textId="77777777" w:rsidR="00055A80" w:rsidRPr="008E3AAF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M</w:t>
            </w:r>
            <w:r w:rsidRPr="008E3AAF">
              <w:rPr>
                <w:rFonts w:eastAsia="Times New Roman"/>
                <w:b w:val="0"/>
                <w:bCs w:val="0"/>
              </w:rPr>
              <w:t>ultiple HPC providers across the Australian research sector, with each provider employing different workflows and access processes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3F8ABF0" w14:textId="77777777" w:rsidR="00055A80" w:rsidRPr="009A6942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A</w:t>
            </w:r>
            <w:r w:rsidRPr="00235413">
              <w:rPr>
                <w:rFonts w:eastAsia="Times New Roman"/>
                <w:b w:val="0"/>
                <w:bCs w:val="0"/>
              </w:rPr>
              <w:t xml:space="preserve"> fragmented user experience for researchers with different identities, access management approaches, and workflows in use at each HPC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5E90C33" w14:textId="77777777" w:rsidR="00055A80" w:rsidRPr="00300282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F23BCF">
              <w:rPr>
                <w:rFonts w:eastAsia="Times New Roman"/>
                <w:b w:val="0"/>
                <w:bCs w:val="0"/>
              </w:rPr>
              <w:t>Current NCRIS-funded supercomputers lack specialized systems required for secure handling of sensitive health data.</w:t>
            </w:r>
          </w:p>
          <w:p w14:paraId="6885DD96" w14:textId="77777777" w:rsidR="00055A80" w:rsidRPr="00130409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00282">
              <w:rPr>
                <w:rFonts w:eastAsia="Times New Roman"/>
                <w:b w:val="0"/>
                <w:bCs w:val="0"/>
              </w:rPr>
              <w:t>Lack of sufficient GPU based computing to enable training of AI based weather, climate and ocean models.</w:t>
            </w:r>
          </w:p>
          <w:p w14:paraId="7292B442" w14:textId="77777777" w:rsidR="00055A80" w:rsidRPr="00001098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30409">
              <w:rPr>
                <w:rFonts w:eastAsia="Times New Roman"/>
                <w:b w:val="0"/>
                <w:bCs w:val="0"/>
              </w:rPr>
              <w:t>Insufficient tools/processes to transform "not-research ready" data into "research ready" datasets suitable for robust analysis. Lack of cross-team/institution collaboration for easier data access.</w:t>
            </w:r>
          </w:p>
          <w:p w14:paraId="011A2FFB" w14:textId="77777777" w:rsidR="00055A80" w:rsidRPr="002C5200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C5200">
              <w:rPr>
                <w:rFonts w:eastAsia="Times New Roman"/>
                <w:b w:val="0"/>
                <w:bCs w:val="0"/>
              </w:rPr>
              <w:t>Absence of a national repository for research data archiving and rewards for properly constructing reusable datasets.</w:t>
            </w:r>
          </w:p>
          <w:p w14:paraId="64AF6827" w14:textId="77777777" w:rsidR="00055A80" w:rsidRPr="00573318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L</w:t>
            </w:r>
            <w:r w:rsidRPr="00573318">
              <w:rPr>
                <w:rFonts w:eastAsia="Times New Roman"/>
                <w:b w:val="0"/>
                <w:bCs w:val="0"/>
              </w:rPr>
              <w:t xml:space="preserve">ack of integration across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573318">
              <w:rPr>
                <w:rFonts w:eastAsia="Times New Roman"/>
                <w:b w:val="0"/>
                <w:bCs w:val="0"/>
              </w:rPr>
              <w:t xml:space="preserve"> and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573318">
              <w:rPr>
                <w:rFonts w:eastAsia="Times New Roman"/>
                <w:b w:val="0"/>
                <w:bCs w:val="0"/>
              </w:rPr>
              <w:t xml:space="preserve"> computing facilities.</w:t>
            </w:r>
          </w:p>
          <w:p w14:paraId="383B944F" w14:textId="77777777" w:rsidR="00055A80" w:rsidRPr="00293540" w:rsidRDefault="00055A80" w:rsidP="00055A80">
            <w:pPr>
              <w:pStyle w:val="ListParagraph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1255B">
              <w:rPr>
                <w:rFonts w:eastAsia="Times New Roman"/>
                <w:b w:val="0"/>
                <w:bCs w:val="0"/>
              </w:rPr>
              <w:t>The national computational resources that are available to researchers are split between supercomputers (NCI &amp; Pawsey) and generic cloud resources (Nectar)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</w:tc>
      </w:tr>
      <w:tr w:rsidR="00055A80" w14:paraId="0566140D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5BCE48" w14:textId="77777777" w:rsidR="00055A80" w:rsidRDefault="00055A80" w:rsidP="008625CC">
            <w:pPr>
              <w:rPr>
                <w:b w:val="0"/>
                <w:bCs w:val="0"/>
              </w:rPr>
            </w:pPr>
            <w:r w:rsidRPr="000C4BED">
              <w:lastRenderedPageBreak/>
              <w:t>Q10 - What should Australia's supercomputing/high-performance compute landscape look like in 5 years from now?</w:t>
            </w:r>
          </w:p>
          <w:p w14:paraId="7C056E14" w14:textId="77777777" w:rsidR="00055A80" w:rsidRPr="00617751" w:rsidRDefault="00055A80" w:rsidP="008625CC"/>
        </w:tc>
        <w:tc>
          <w:tcPr>
            <w:tcW w:w="11907" w:type="dxa"/>
          </w:tcPr>
          <w:p w14:paraId="775CF1DE" w14:textId="77777777" w:rsidR="00055A80" w:rsidRPr="00E048AA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Cost-effective investment would be allocating more of the available computing time to open merit-based processes to improve return of investment.</w:t>
            </w:r>
          </w:p>
          <w:p w14:paraId="43B7D48C" w14:textId="77777777" w:rsidR="00055A80" w:rsidRPr="00293540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293540">
              <w:rPr>
                <w:rFonts w:eastAsia="Times New Roman"/>
                <w:b w:val="0"/>
                <w:bCs w:val="0"/>
              </w:rPr>
              <w:t xml:space="preserve">Aligning with international standards, enabling equal access to computing resources for all researchers regardless of institutions.  </w:t>
            </w:r>
          </w:p>
          <w:p w14:paraId="7E61E548" w14:textId="77777777" w:rsidR="00055A80" w:rsidRPr="00585EEB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Availability of more user-friendly options.</w:t>
            </w:r>
          </w:p>
          <w:p w14:paraId="0CA606FA" w14:textId="77777777" w:rsidR="00055A80" w:rsidRPr="00347F66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B1140">
              <w:rPr>
                <w:rFonts w:eastAsia="Times New Roman"/>
                <w:b w:val="0"/>
                <w:bCs w:val="0"/>
              </w:rPr>
              <w:t xml:space="preserve">Federated AI and </w:t>
            </w:r>
            <w:r>
              <w:rPr>
                <w:rFonts w:eastAsia="Times New Roman"/>
                <w:b w:val="0"/>
                <w:bCs w:val="0"/>
              </w:rPr>
              <w:t>c</w:t>
            </w:r>
            <w:r w:rsidRPr="006B1140">
              <w:rPr>
                <w:rFonts w:eastAsia="Times New Roman"/>
                <w:b w:val="0"/>
                <w:bCs w:val="0"/>
              </w:rPr>
              <w:t>ompute capability, with HPC nodes embedded within all research settings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8665632" w14:textId="77777777" w:rsidR="00055A80" w:rsidRPr="00ED1AA0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Availability of</w:t>
            </w:r>
            <w:r w:rsidRPr="00632ABE">
              <w:rPr>
                <w:rFonts w:eastAsia="Times New Roman"/>
                <w:b w:val="0"/>
                <w:bCs w:val="0"/>
              </w:rPr>
              <w:t xml:space="preserve"> a</w:t>
            </w:r>
            <w:r>
              <w:rPr>
                <w:rFonts w:eastAsia="Times New Roman"/>
                <w:b w:val="0"/>
                <w:bCs w:val="0"/>
              </w:rPr>
              <w:t>n</w:t>
            </w:r>
            <w:r w:rsidRPr="00632ABE">
              <w:rPr>
                <w:rFonts w:eastAsia="Times New Roman"/>
                <w:b w:val="0"/>
                <w:bCs w:val="0"/>
              </w:rPr>
              <w:t xml:space="preserve"> onboarding and training pipeline for staff to learn about and get access to compute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905B0E6" w14:textId="77777777" w:rsidR="00055A80" w:rsidRPr="00D909F2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231E05">
              <w:rPr>
                <w:rFonts w:eastAsia="Times New Roman"/>
                <w:b w:val="0"/>
                <w:bCs w:val="0"/>
              </w:rPr>
              <w:t>nvestment in GPU support for CPU-based software and workflows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A60679C" w14:textId="77777777" w:rsidR="00055A80" w:rsidRPr="00B734F5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B36DB4">
              <w:rPr>
                <w:rFonts w:eastAsia="Times New Roman"/>
                <w:b w:val="0"/>
                <w:bCs w:val="0"/>
              </w:rPr>
              <w:t>Continued investment in energy-efficient technologies</w:t>
            </w:r>
            <w:r>
              <w:rPr>
                <w:rFonts w:eastAsia="Times New Roman"/>
                <w:b w:val="0"/>
                <w:bCs w:val="0"/>
              </w:rPr>
              <w:t xml:space="preserve"> </w:t>
            </w:r>
            <w:r w:rsidRPr="00B36DB4">
              <w:rPr>
                <w:rFonts w:eastAsia="Times New Roman"/>
                <w:b w:val="0"/>
                <w:bCs w:val="0"/>
              </w:rPr>
              <w:t>to ensure that HPC systems are sustainable and environmentally friendly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F738F67" w14:textId="77777777" w:rsidR="00055A80" w:rsidRPr="002A1D5F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55E61">
              <w:rPr>
                <w:rFonts w:eastAsia="Times New Roman"/>
                <w:b w:val="0"/>
                <w:bCs w:val="0"/>
              </w:rPr>
              <w:t>Improved access to HPC resources for researchers across all disciplines, including humanities and social sciences.</w:t>
            </w:r>
          </w:p>
          <w:p w14:paraId="0F516A6B" w14:textId="77777777" w:rsidR="00055A80" w:rsidRPr="00497773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497773">
              <w:rPr>
                <w:rFonts w:eastAsia="Times New Roman"/>
                <w:b w:val="0"/>
                <w:bCs w:val="0"/>
              </w:rPr>
              <w:t>Development of integrated platforms that allow seamless data sharing and collaboration across different research institutions and disciplines.</w:t>
            </w:r>
          </w:p>
          <w:p w14:paraId="416C320F" w14:textId="77777777" w:rsidR="00055A80" w:rsidRPr="006E712C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E712C">
              <w:rPr>
                <w:rFonts w:eastAsia="Times New Roman"/>
                <w:b w:val="0"/>
                <w:bCs w:val="0"/>
              </w:rPr>
              <w:t>Robust cybersecurity measures to protect sensitive data and ensure the integrity of computational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EC94336" w14:textId="77777777" w:rsidR="00055A80" w:rsidRPr="003B7736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F5711C">
              <w:rPr>
                <w:rFonts w:eastAsia="Times New Roman"/>
                <w:b w:val="0"/>
                <w:bCs w:val="0"/>
              </w:rPr>
              <w:t xml:space="preserve">Ensuring that HPC investments respect </w:t>
            </w:r>
            <w:r w:rsidRPr="00076A84">
              <w:rPr>
                <w:b w:val="0"/>
                <w:bCs w:val="0"/>
              </w:rPr>
              <w:t>Aboriginal and Torres Strait Islander people</w:t>
            </w:r>
            <w:r w:rsidRPr="00F5711C">
              <w:rPr>
                <w:rFonts w:eastAsia="Times New Roman"/>
                <w:b w:val="0"/>
                <w:bCs w:val="0"/>
              </w:rPr>
              <w:t xml:space="preserve"> data sovereignty principles, providing </w:t>
            </w:r>
            <w:r>
              <w:rPr>
                <w:rFonts w:eastAsia="Times New Roman"/>
                <w:b w:val="0"/>
                <w:bCs w:val="0"/>
              </w:rPr>
              <w:t>their</w:t>
            </w:r>
            <w:r w:rsidRPr="00F5711C">
              <w:rPr>
                <w:rFonts w:eastAsia="Times New Roman"/>
                <w:b w:val="0"/>
                <w:bCs w:val="0"/>
              </w:rPr>
              <w:t xml:space="preserve"> communities with control over their data and its use in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A245FAF" w14:textId="77777777" w:rsidR="00055A80" w:rsidRPr="009B7EA4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B7EA4">
              <w:rPr>
                <w:rFonts w:eastAsia="Times New Roman"/>
                <w:b w:val="0"/>
                <w:bCs w:val="0"/>
              </w:rPr>
              <w:t>An aligned/common governance model for Aus</w:t>
            </w:r>
            <w:r>
              <w:rPr>
                <w:rFonts w:eastAsia="Times New Roman"/>
                <w:b w:val="0"/>
                <w:bCs w:val="0"/>
              </w:rPr>
              <w:t>tralia</w:t>
            </w:r>
            <w:r w:rsidRPr="009B7EA4">
              <w:rPr>
                <w:rFonts w:eastAsia="Times New Roman"/>
                <w:b w:val="0"/>
                <w:bCs w:val="0"/>
              </w:rPr>
              <w:t xml:space="preserve"> HPC as a whole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0779A29" w14:textId="77777777" w:rsidR="00055A80" w:rsidRPr="00577EF6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E4DFC">
              <w:rPr>
                <w:rFonts w:eastAsia="Times New Roman"/>
                <w:b w:val="0"/>
                <w:bCs w:val="0"/>
              </w:rPr>
              <w:t xml:space="preserve">Common entry method for seamless transition for users between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3E4DFC">
              <w:rPr>
                <w:rFonts w:eastAsia="Times New Roman"/>
                <w:b w:val="0"/>
                <w:bCs w:val="0"/>
              </w:rPr>
              <w:t xml:space="preserve"> facilities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761EBB7" w14:textId="77777777" w:rsidR="00055A80" w:rsidRPr="00BA0327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577EF6">
              <w:rPr>
                <w:rFonts w:eastAsia="Times New Roman"/>
                <w:b w:val="0"/>
                <w:bCs w:val="0"/>
              </w:rPr>
              <w:t xml:space="preserve">Increased availability of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577EF6">
              <w:rPr>
                <w:rFonts w:eastAsia="Times New Roman"/>
                <w:b w:val="0"/>
                <w:bCs w:val="0"/>
              </w:rPr>
              <w:t xml:space="preserve"> HPC resources accessible to a wider range of researchers, complementing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577EF6">
              <w:rPr>
                <w:rFonts w:eastAsia="Times New Roman"/>
                <w:b w:val="0"/>
                <w:bCs w:val="0"/>
              </w:rPr>
              <w:t xml:space="preserve"> national systems like NCI and Pawsey.</w:t>
            </w:r>
          </w:p>
          <w:p w14:paraId="729C96A1" w14:textId="77777777" w:rsidR="00055A80" w:rsidRPr="003D58AC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8F5D9E">
              <w:rPr>
                <w:rFonts w:eastAsia="Times New Roman"/>
                <w:b w:val="0"/>
                <w:bCs w:val="0"/>
              </w:rPr>
              <w:t xml:space="preserve">Augmented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8F5D9E">
              <w:rPr>
                <w:rFonts w:eastAsia="Times New Roman"/>
                <w:b w:val="0"/>
                <w:bCs w:val="0"/>
              </w:rPr>
              <w:t xml:space="preserve"> HPC capabilities through international partnerships and compute resource sharing agreements with the US and E</w:t>
            </w:r>
            <w:r>
              <w:rPr>
                <w:rFonts w:eastAsia="Times New Roman"/>
                <w:b w:val="0"/>
                <w:bCs w:val="0"/>
              </w:rPr>
              <w:t xml:space="preserve">U </w:t>
            </w:r>
            <w:r w:rsidRPr="00C21FD7">
              <w:rPr>
                <w:rFonts w:eastAsia="Times New Roman"/>
                <w:b w:val="0"/>
                <w:bCs w:val="0"/>
              </w:rPr>
              <w:t>coupled with exabyte-scale data systems and collaborative software environments operating as an integrated "laboratory" for sharing tools, data, and methods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C4BA5CE" w14:textId="59D599C7" w:rsidR="00055A80" w:rsidRPr="008D1831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725DA2">
              <w:rPr>
                <w:rFonts w:eastAsia="Times New Roman"/>
                <w:b w:val="0"/>
                <w:bCs w:val="0"/>
              </w:rPr>
              <w:t>Speciali</w:t>
            </w:r>
            <w:r>
              <w:rPr>
                <w:rFonts w:eastAsia="Times New Roman"/>
                <w:b w:val="0"/>
                <w:bCs w:val="0"/>
              </w:rPr>
              <w:t>s</w:t>
            </w:r>
            <w:r w:rsidRPr="00725DA2">
              <w:rPr>
                <w:rFonts w:eastAsia="Times New Roman"/>
                <w:b w:val="0"/>
                <w:bCs w:val="0"/>
              </w:rPr>
              <w:t>ed large-scale clusters optimi</w:t>
            </w:r>
            <w:r w:rsidR="008412EF">
              <w:rPr>
                <w:rFonts w:eastAsia="Times New Roman"/>
                <w:b w:val="0"/>
                <w:bCs w:val="0"/>
              </w:rPr>
              <w:t>s</w:t>
            </w:r>
            <w:r w:rsidRPr="00725DA2">
              <w:rPr>
                <w:rFonts w:eastAsia="Times New Roman"/>
                <w:b w:val="0"/>
                <w:bCs w:val="0"/>
              </w:rPr>
              <w:t>ed for specific domains/architectures developing alongside flagship systems</w:t>
            </w:r>
            <w:r w:rsidR="008412EF">
              <w:rPr>
                <w:rFonts w:eastAsia="Times New Roman"/>
                <w:b w:val="0"/>
                <w:bCs w:val="0"/>
              </w:rPr>
              <w:t>.</w:t>
            </w:r>
          </w:p>
          <w:p w14:paraId="7D24D1D5" w14:textId="77777777" w:rsidR="00055A80" w:rsidRPr="007666E8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8D1831">
              <w:rPr>
                <w:rFonts w:eastAsia="Times New Roman"/>
                <w:b w:val="0"/>
                <w:bCs w:val="0"/>
              </w:rPr>
              <w:t>Significant growth in access to GPU nodes, essential for processing large datasets and running complex simulations, will be vital to support the diverse needs of the research community.</w:t>
            </w:r>
          </w:p>
          <w:p w14:paraId="0892DE48" w14:textId="77777777" w:rsidR="00055A80" w:rsidRPr="00DA6F3E" w:rsidRDefault="00055A80" w:rsidP="00055A80">
            <w:pPr>
              <w:pStyle w:val="ListParagraph"/>
              <w:numPr>
                <w:ilvl w:val="0"/>
                <w:numId w:val="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7666E8">
              <w:rPr>
                <w:rFonts w:eastAsia="Times New Roman"/>
                <w:b w:val="0"/>
                <w:bCs w:val="0"/>
              </w:rPr>
              <w:t xml:space="preserve">A robust and scalable HPC framework that includes broad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7666E8">
              <w:rPr>
                <w:rFonts w:eastAsia="Times New Roman"/>
                <w:b w:val="0"/>
                <w:bCs w:val="0"/>
              </w:rPr>
              <w:t xml:space="preserve"> capacity and strategically developed </w:t>
            </w:r>
            <w:r>
              <w:rPr>
                <w:rFonts w:eastAsia="Times New Roman"/>
                <w:b w:val="0"/>
                <w:bCs w:val="0"/>
              </w:rPr>
              <w:t xml:space="preserve">Tier- </w:t>
            </w:r>
            <w:r w:rsidRPr="007666E8">
              <w:rPr>
                <w:rFonts w:eastAsia="Times New Roman"/>
                <w:b w:val="0"/>
                <w:bCs w:val="0"/>
              </w:rPr>
              <w:t>1 compute resources to accommodate growing demand, including to support exascale computing.</w:t>
            </w:r>
          </w:p>
        </w:tc>
      </w:tr>
      <w:tr w:rsidR="00055A80" w14:paraId="5505245E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1BEA6D" w14:textId="77777777" w:rsidR="00055A80" w:rsidRDefault="00055A80" w:rsidP="008625CC">
            <w:pPr>
              <w:rPr>
                <w:b w:val="0"/>
                <w:bCs w:val="0"/>
              </w:rPr>
            </w:pPr>
            <w:r w:rsidRPr="00E84420">
              <w:lastRenderedPageBreak/>
              <w:t>Q11 - To what extent should NCRIS investments extend to Tier-2? What would make these "collaborative" and "national"?</w:t>
            </w:r>
          </w:p>
          <w:p w14:paraId="21FD17D0" w14:textId="77777777" w:rsidR="00055A80" w:rsidRPr="00F261FE" w:rsidRDefault="00055A80" w:rsidP="008625CC"/>
        </w:tc>
        <w:tc>
          <w:tcPr>
            <w:tcW w:w="11907" w:type="dxa"/>
          </w:tcPr>
          <w:p w14:paraId="05875398" w14:textId="77777777" w:rsidR="00055A80" w:rsidRPr="009907E3" w:rsidRDefault="00055A80" w:rsidP="00055A80">
            <w:pPr>
              <w:pStyle w:val="ListParagraph"/>
              <w:numPr>
                <w:ilvl w:val="0"/>
                <w:numId w:val="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0F6453">
              <w:rPr>
                <w:rFonts w:eastAsia="Times New Roman"/>
                <w:b w:val="0"/>
                <w:bCs w:val="0"/>
              </w:rPr>
              <w:t xml:space="preserve">o support and encourage a federated </w:t>
            </w:r>
            <w:r>
              <w:rPr>
                <w:rFonts w:eastAsia="Times New Roman"/>
                <w:b w:val="0"/>
                <w:bCs w:val="0"/>
              </w:rPr>
              <w:t>c</w:t>
            </w:r>
            <w:r w:rsidRPr="000F6453">
              <w:rPr>
                <w:rFonts w:eastAsia="Times New Roman"/>
                <w:b w:val="0"/>
                <w:bCs w:val="0"/>
              </w:rPr>
              <w:t>ompute and AI capability. This can include flexible models of technical, scientific, and health governance in response to local capability.</w:t>
            </w:r>
          </w:p>
          <w:p w14:paraId="339E9735" w14:textId="77777777" w:rsidR="00055A80" w:rsidRPr="00406D01" w:rsidRDefault="00055A80" w:rsidP="00055A80">
            <w:pPr>
              <w:pStyle w:val="ListParagraph"/>
              <w:numPr>
                <w:ilvl w:val="0"/>
                <w:numId w:val="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P</w:t>
            </w:r>
            <w:r w:rsidRPr="00406D01">
              <w:rPr>
                <w:rFonts w:eastAsia="Times New Roman"/>
                <w:b w:val="0"/>
                <w:bCs w:val="0"/>
              </w:rPr>
              <w:t xml:space="preserve">roject-based support for access to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406D01">
              <w:rPr>
                <w:rFonts w:eastAsia="Times New Roman"/>
                <w:b w:val="0"/>
                <w:bCs w:val="0"/>
              </w:rPr>
              <w:t xml:space="preserve"> capabilities, especially for projects that would not make full use of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406D01">
              <w:rPr>
                <w:rFonts w:eastAsia="Times New Roman"/>
                <w:b w:val="0"/>
                <w:bCs w:val="0"/>
              </w:rPr>
              <w:t xml:space="preserve"> facilities.</w:t>
            </w:r>
          </w:p>
          <w:p w14:paraId="661B8D71" w14:textId="77777777" w:rsidR="00055A80" w:rsidRPr="00493ACC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E</w:t>
            </w:r>
            <w:r w:rsidRPr="00493ACC">
              <w:rPr>
                <w:rFonts w:eastAsia="Times New Roman"/>
                <w:b w:val="0"/>
                <w:bCs w:val="0"/>
              </w:rPr>
              <w:t>nabled by a model akin to a voucher access scheme, which is responsive to demand, without allocating scarce long-term operational funding.</w:t>
            </w:r>
          </w:p>
          <w:p w14:paraId="4A0E02F0" w14:textId="77777777" w:rsidR="00055A80" w:rsidRPr="001E3BC0" w:rsidRDefault="00055A80" w:rsidP="00055A80">
            <w:pPr>
              <w:pStyle w:val="ListParagraph"/>
              <w:numPr>
                <w:ilvl w:val="0"/>
                <w:numId w:val="1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Tier-2</w:t>
            </w:r>
            <w:r w:rsidRPr="00B05C5C">
              <w:rPr>
                <w:rFonts w:eastAsia="Times New Roman"/>
                <w:b w:val="0"/>
                <w:bCs w:val="0"/>
              </w:rPr>
              <w:t xml:space="preserve"> facilities should continue to be funded</w:t>
            </w:r>
            <w:r w:rsidRPr="00B05C5C">
              <w:rPr>
                <w:rFonts w:eastAsia="Times New Roman"/>
              </w:rPr>
              <w:t>,</w:t>
            </w:r>
            <w:r w:rsidRPr="00B05C5C">
              <w:rPr>
                <w:rFonts w:eastAsia="Times New Roman"/>
                <w:b w:val="0"/>
                <w:bCs w:val="0"/>
              </w:rPr>
              <w:t xml:space="preserve"> </w:t>
            </w:r>
            <w:r>
              <w:rPr>
                <w:rFonts w:eastAsia="Times New Roman"/>
                <w:b w:val="0"/>
                <w:bCs w:val="0"/>
              </w:rPr>
              <w:t xml:space="preserve">and </w:t>
            </w:r>
            <w:r w:rsidRPr="00B05C5C">
              <w:rPr>
                <w:rFonts w:eastAsia="Times New Roman"/>
                <w:b w:val="0"/>
                <w:bCs w:val="0"/>
              </w:rPr>
              <w:t>the number of such facilities should be increased.</w:t>
            </w:r>
          </w:p>
          <w:p w14:paraId="169397B1" w14:textId="77777777" w:rsidR="00055A80" w:rsidRPr="00BF7602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771F0F">
              <w:rPr>
                <w:rFonts w:eastAsia="Times New Roman"/>
                <w:b w:val="0"/>
                <w:bCs w:val="0"/>
              </w:rPr>
              <w:t xml:space="preserve">hese new facilities should be geographically distributed and could be optimised for discipline specific cases (e.g. GPU clusters for AI/ML processing). These play a critical role in training </w:t>
            </w:r>
            <w:r>
              <w:rPr>
                <w:rFonts w:eastAsia="Times New Roman"/>
                <w:b w:val="0"/>
                <w:bCs w:val="0"/>
              </w:rPr>
              <w:t xml:space="preserve">higher degree researchers (including </w:t>
            </w:r>
            <w:r w:rsidRPr="00771F0F">
              <w:rPr>
                <w:rFonts w:eastAsia="Times New Roman"/>
                <w:b w:val="0"/>
                <w:bCs w:val="0"/>
              </w:rPr>
              <w:t>students</w:t>
            </w:r>
            <w:r>
              <w:rPr>
                <w:rFonts w:eastAsia="Times New Roman"/>
                <w:b w:val="0"/>
                <w:bCs w:val="0"/>
              </w:rPr>
              <w:t>)</w:t>
            </w:r>
            <w:r w:rsidRPr="00771F0F">
              <w:rPr>
                <w:rFonts w:eastAsia="Times New Roman"/>
                <w:b w:val="0"/>
                <w:bCs w:val="0"/>
              </w:rPr>
              <w:t xml:space="preserve"> and </w:t>
            </w:r>
            <w:r>
              <w:rPr>
                <w:rFonts w:eastAsia="Times New Roman"/>
                <w:b w:val="0"/>
                <w:bCs w:val="0"/>
              </w:rPr>
              <w:t>early career researchers</w:t>
            </w:r>
            <w:r w:rsidRPr="00771F0F">
              <w:rPr>
                <w:rFonts w:eastAsia="Times New Roman"/>
                <w:b w:val="0"/>
                <w:bCs w:val="0"/>
              </w:rPr>
              <w:t xml:space="preserve"> in HPC and data.</w:t>
            </w:r>
          </w:p>
          <w:p w14:paraId="372F275C" w14:textId="77777777" w:rsidR="00055A80" w:rsidRPr="00337964" w:rsidRDefault="00055A80" w:rsidP="00055A80">
            <w:pPr>
              <w:pStyle w:val="ListParagraph"/>
              <w:numPr>
                <w:ilvl w:val="0"/>
                <w:numId w:val="1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553D09">
              <w:rPr>
                <w:rFonts w:eastAsia="Times New Roman"/>
                <w:b w:val="0"/>
                <w:bCs w:val="0"/>
              </w:rPr>
              <w:t xml:space="preserve">o </w:t>
            </w:r>
            <w:r w:rsidRPr="00D028EA">
              <w:rPr>
                <w:rFonts w:eastAsia="Times New Roman"/>
                <w:b w:val="0"/>
                <w:bCs w:val="0"/>
              </w:rPr>
              <w:t xml:space="preserve">provide more researchers, especially those in smaller institutions and diverse disciplines, with access to </w:t>
            </w:r>
            <w:r>
              <w:rPr>
                <w:rFonts w:eastAsia="Times New Roman"/>
                <w:b w:val="0"/>
                <w:bCs w:val="0"/>
              </w:rPr>
              <w:t>HPC</w:t>
            </w:r>
            <w:r w:rsidRPr="00D028EA">
              <w:rPr>
                <w:rFonts w:eastAsia="Times New Roman"/>
                <w:b w:val="0"/>
                <w:bCs w:val="0"/>
              </w:rPr>
              <w:t xml:space="preserve"> resources.</w:t>
            </w:r>
          </w:p>
          <w:p w14:paraId="2705C7E5" w14:textId="77777777" w:rsidR="00055A80" w:rsidRPr="000C255E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D028EA">
              <w:rPr>
                <w:rFonts w:eastAsia="Times New Roman"/>
                <w:b w:val="0"/>
                <w:bCs w:val="0"/>
              </w:rPr>
              <w:t>his democratizes access to advanced computational tools, fostering innovation across the board.</w:t>
            </w:r>
          </w:p>
          <w:p w14:paraId="23D25D02" w14:textId="77777777" w:rsidR="00055A80" w:rsidRPr="00F77B93" w:rsidRDefault="00055A80" w:rsidP="00055A80">
            <w:pPr>
              <w:pStyle w:val="ListParagraph"/>
              <w:numPr>
                <w:ilvl w:val="0"/>
                <w:numId w:val="1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To </w:t>
            </w:r>
            <w:r w:rsidRPr="0017295B">
              <w:rPr>
                <w:rFonts w:eastAsia="Times New Roman"/>
                <w:b w:val="0"/>
                <w:bCs w:val="0"/>
              </w:rPr>
              <w:t xml:space="preserve">support regional and smaller institutions, ensuring that research capabilities are not concentrated in major cities alone. </w:t>
            </w:r>
          </w:p>
          <w:p w14:paraId="5846CDC6" w14:textId="77777777" w:rsidR="00055A80" w:rsidRPr="00575F2B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17295B">
              <w:rPr>
                <w:rFonts w:eastAsia="Times New Roman"/>
                <w:b w:val="0"/>
                <w:bCs w:val="0"/>
              </w:rPr>
              <w:t>his promotes equitable development and utilization of research infrastructure across the country.</w:t>
            </w:r>
          </w:p>
          <w:p w14:paraId="2F50F9AD" w14:textId="77777777" w:rsidR="00055A80" w:rsidRPr="00D462E7" w:rsidRDefault="00055A80" w:rsidP="00055A80">
            <w:pPr>
              <w:pStyle w:val="ListParagraph"/>
              <w:numPr>
                <w:ilvl w:val="0"/>
                <w:numId w:val="1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81AFA">
              <w:rPr>
                <w:rFonts w:eastAsia="Times New Roman"/>
                <w:b w:val="0"/>
                <w:bCs w:val="0"/>
              </w:rPr>
              <w:t xml:space="preserve">NDRI investment into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181AFA">
              <w:rPr>
                <w:rFonts w:eastAsia="Times New Roman"/>
                <w:b w:val="0"/>
                <w:bCs w:val="0"/>
              </w:rPr>
              <w:t xml:space="preserve"> computing needs to be accompanied with institutional accountabilities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0872608" w14:textId="77777777" w:rsidR="00055A80" w:rsidRPr="00A06EA3" w:rsidRDefault="00055A80" w:rsidP="00055A80">
            <w:pPr>
              <w:pStyle w:val="ListParagraph"/>
              <w:numPr>
                <w:ilvl w:val="0"/>
                <w:numId w:val="1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NCRIS investments can be made “collaborative and “national” through:</w:t>
            </w:r>
          </w:p>
          <w:p w14:paraId="6BCAE5FB" w14:textId="77777777" w:rsidR="00055A80" w:rsidRPr="00996B5B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B95B50">
              <w:rPr>
                <w:rFonts w:eastAsia="Times New Roman"/>
                <w:b w:val="0"/>
                <w:bCs w:val="0"/>
              </w:rPr>
              <w:t>ntegrat</w:t>
            </w:r>
            <w:r>
              <w:rPr>
                <w:rFonts w:eastAsia="Times New Roman"/>
                <w:b w:val="0"/>
                <w:bCs w:val="0"/>
              </w:rPr>
              <w:t>ion</w:t>
            </w:r>
            <w:r w:rsidRPr="00B95B50">
              <w:rPr>
                <w:rFonts w:eastAsia="Times New Roman"/>
                <w:b w:val="0"/>
                <w:bCs w:val="0"/>
              </w:rPr>
              <w:t xml:space="preserve"> under a single strategy and oversight structure for Australian HPC.</w:t>
            </w:r>
          </w:p>
          <w:p w14:paraId="61E5CFA8" w14:textId="77777777" w:rsidR="00055A80" w:rsidRPr="00AB41E0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C</w:t>
            </w:r>
            <w:r w:rsidRPr="00C17290">
              <w:rPr>
                <w:rFonts w:eastAsia="Times New Roman"/>
                <w:b w:val="0"/>
                <w:bCs w:val="0"/>
              </w:rPr>
              <w:t>learly define</w:t>
            </w:r>
            <w:r>
              <w:rPr>
                <w:rFonts w:eastAsia="Times New Roman"/>
                <w:b w:val="0"/>
                <w:bCs w:val="0"/>
              </w:rPr>
              <w:t xml:space="preserve">d </w:t>
            </w:r>
            <w:r w:rsidRPr="00C17290">
              <w:rPr>
                <w:rFonts w:eastAsia="Times New Roman"/>
                <w:b w:val="0"/>
                <w:bCs w:val="0"/>
              </w:rPr>
              <w:t>purpose of NCRIS investment.</w:t>
            </w:r>
          </w:p>
          <w:p w14:paraId="485C5B70" w14:textId="77777777" w:rsidR="00055A80" w:rsidRPr="008D2F9D" w:rsidRDefault="00055A80" w:rsidP="00055A80">
            <w:pPr>
              <w:pStyle w:val="ListParagraph"/>
              <w:numPr>
                <w:ilvl w:val="0"/>
                <w:numId w:val="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F</w:t>
            </w:r>
            <w:r w:rsidRPr="008D2F9D">
              <w:rPr>
                <w:rFonts w:eastAsia="Times New Roman"/>
                <w:b w:val="0"/>
                <w:bCs w:val="0"/>
              </w:rPr>
              <w:t>ocussed investment to specialise rather than duplicate efforts.</w:t>
            </w:r>
          </w:p>
          <w:p w14:paraId="1A2CB7C0" w14:textId="77777777" w:rsidR="00055A80" w:rsidRPr="0079570D" w:rsidRDefault="00055A80" w:rsidP="00055A80">
            <w:pPr>
              <w:pStyle w:val="ListParagraph"/>
              <w:numPr>
                <w:ilvl w:val="0"/>
                <w:numId w:val="1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116D6">
              <w:rPr>
                <w:rFonts w:eastAsia="Times New Roman"/>
                <w:b w:val="0"/>
                <w:bCs w:val="0"/>
              </w:rPr>
              <w:t>Direct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D116D6">
              <w:rPr>
                <w:rFonts w:eastAsia="Times New Roman"/>
                <w:b w:val="0"/>
                <w:bCs w:val="0"/>
              </w:rPr>
              <w:t xml:space="preserve"> NCRIS investment into hardware will facilitate long-term plan</w:t>
            </w:r>
            <w:r>
              <w:rPr>
                <w:rFonts w:eastAsia="Times New Roman"/>
                <w:b w:val="0"/>
                <w:bCs w:val="0"/>
              </w:rPr>
              <w:t>n</w:t>
            </w:r>
            <w:r w:rsidRPr="00D116D6">
              <w:rPr>
                <w:rFonts w:eastAsia="Times New Roman"/>
                <w:b w:val="0"/>
                <w:bCs w:val="0"/>
              </w:rPr>
              <w:t xml:space="preserve">ing for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D116D6">
              <w:rPr>
                <w:rFonts w:eastAsia="Times New Roman"/>
                <w:b w:val="0"/>
                <w:bCs w:val="0"/>
              </w:rPr>
              <w:t xml:space="preserve"> and support for personnel</w:t>
            </w:r>
            <w:r>
              <w:rPr>
                <w:rFonts w:eastAsia="Times New Roman"/>
                <w:b w:val="0"/>
                <w:bCs w:val="0"/>
              </w:rPr>
              <w:t xml:space="preserve">. It </w:t>
            </w:r>
            <w:r w:rsidRPr="00D116D6">
              <w:rPr>
                <w:rFonts w:eastAsia="Times New Roman"/>
                <w:b w:val="0"/>
                <w:bCs w:val="0"/>
              </w:rPr>
              <w:t>will drive sharing of expertise across facilities to create a national network.</w:t>
            </w:r>
          </w:p>
          <w:p w14:paraId="4091EEFB" w14:textId="77777777" w:rsidR="00055A80" w:rsidRPr="008E186C" w:rsidRDefault="00055A80" w:rsidP="00055A80">
            <w:pPr>
              <w:pStyle w:val="ListParagraph"/>
              <w:numPr>
                <w:ilvl w:val="0"/>
                <w:numId w:val="1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A2474A">
              <w:rPr>
                <w:rFonts w:eastAsia="Times New Roman"/>
                <w:b w:val="0"/>
                <w:bCs w:val="0"/>
              </w:rPr>
              <w:t>A merit-based national access model similar to NCI would be required, rather than allocation tied to institutional investment.</w:t>
            </w:r>
          </w:p>
          <w:p w14:paraId="3989EFCC" w14:textId="77777777" w:rsidR="00055A80" w:rsidRPr="002B26E1" w:rsidRDefault="00055A80" w:rsidP="00055A80">
            <w:pPr>
              <w:pStyle w:val="ListParagraph"/>
              <w:numPr>
                <w:ilvl w:val="0"/>
                <w:numId w:val="1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A </w:t>
            </w:r>
            <w:r w:rsidRPr="00B668CE">
              <w:rPr>
                <w:rFonts w:eastAsia="Times New Roman"/>
                <w:b w:val="0"/>
                <w:bCs w:val="0"/>
              </w:rPr>
              <w:t>focused</w:t>
            </w:r>
            <w:r w:rsidRPr="00312E54">
              <w:rPr>
                <w:rFonts w:eastAsia="Times New Roman"/>
                <w:b w:val="0"/>
                <w:bCs w:val="0"/>
              </w:rPr>
              <w:t xml:space="preserve"> training program is essential to equip users with the skills needed to effectively leverage </w:t>
            </w:r>
            <w:r>
              <w:rPr>
                <w:rFonts w:eastAsia="Times New Roman"/>
                <w:b w:val="0"/>
                <w:bCs w:val="0"/>
              </w:rPr>
              <w:t>Tier-2</w:t>
            </w:r>
            <w:r w:rsidRPr="00312E54">
              <w:rPr>
                <w:rFonts w:eastAsia="Times New Roman"/>
                <w:b w:val="0"/>
                <w:bCs w:val="0"/>
              </w:rPr>
              <w:t xml:space="preserve"> facilities.</w:t>
            </w:r>
          </w:p>
          <w:p w14:paraId="7BC12C10" w14:textId="77777777" w:rsidR="00055A80" w:rsidRPr="00D116D6" w:rsidRDefault="00055A80" w:rsidP="00055A80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12E54">
              <w:rPr>
                <w:rFonts w:eastAsia="Times New Roman"/>
                <w:b w:val="0"/>
                <w:bCs w:val="0"/>
              </w:rPr>
              <w:t xml:space="preserve">This program should also facilitate interactions with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312E54">
              <w:rPr>
                <w:rFonts w:eastAsia="Times New Roman"/>
                <w:b w:val="0"/>
                <w:bCs w:val="0"/>
              </w:rPr>
              <w:t xml:space="preserve"> facilities, ensuring that researchers and industry professionals can fully utilise these advanced computing resources.</w:t>
            </w:r>
          </w:p>
          <w:p w14:paraId="3CC4628A" w14:textId="77777777" w:rsidR="00055A80" w:rsidRPr="00553D09" w:rsidRDefault="00055A80" w:rsidP="008625CC">
            <w:pPr>
              <w:pStyle w:val="ListParagraph"/>
              <w:ind w:left="14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</w:tc>
      </w:tr>
      <w:tr w:rsidR="00055A80" w14:paraId="11F67192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511AFE" w14:textId="77777777" w:rsidR="00055A80" w:rsidRDefault="00055A80" w:rsidP="008625CC">
            <w:pPr>
              <w:rPr>
                <w:b w:val="0"/>
                <w:bCs w:val="0"/>
              </w:rPr>
            </w:pPr>
            <w:r w:rsidRPr="00CA2578">
              <w:lastRenderedPageBreak/>
              <w:t>Q12 - To what extent should future investments consider AI sympathetic architecture?</w:t>
            </w:r>
          </w:p>
          <w:p w14:paraId="5F854AE1" w14:textId="77777777" w:rsidR="00055A80" w:rsidRPr="00F261FE" w:rsidRDefault="00055A80" w:rsidP="008625CC"/>
        </w:tc>
        <w:tc>
          <w:tcPr>
            <w:tcW w:w="11907" w:type="dxa"/>
          </w:tcPr>
          <w:p w14:paraId="179673F4" w14:textId="77777777" w:rsidR="00055A80" w:rsidRPr="007A466D" w:rsidRDefault="00055A80" w:rsidP="00055A80">
            <w:pPr>
              <w:pStyle w:val="ListParagraph"/>
              <w:numPr>
                <w:ilvl w:val="0"/>
                <w:numId w:val="13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7A466D">
              <w:rPr>
                <w:rFonts w:eastAsia="Times New Roman"/>
                <w:b w:val="0"/>
                <w:bCs w:val="0"/>
              </w:rPr>
              <w:t>nvestment into architectures that can be dual use for both AI and non-AI applications to maximise flexibility.</w:t>
            </w:r>
          </w:p>
          <w:p w14:paraId="01EB25CC" w14:textId="77777777" w:rsidR="00055A80" w:rsidRPr="00661AAC" w:rsidRDefault="00055A80" w:rsidP="00055A80">
            <w:pPr>
              <w:pStyle w:val="ListParagraph"/>
              <w:numPr>
                <w:ilvl w:val="0"/>
                <w:numId w:val="13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F</w:t>
            </w:r>
            <w:r w:rsidRPr="00661AAC">
              <w:rPr>
                <w:rFonts w:eastAsia="Times New Roman"/>
                <w:b w:val="0"/>
                <w:bCs w:val="0"/>
              </w:rPr>
              <w:t>uture investments (at least at the</w:t>
            </w:r>
            <w:r>
              <w:rPr>
                <w:rFonts w:eastAsia="Times New Roman"/>
                <w:b w:val="0"/>
                <w:bCs w:val="0"/>
              </w:rPr>
              <w:t xml:space="preserve"> Tier-2</w:t>
            </w:r>
            <w:r w:rsidRPr="00661AAC">
              <w:rPr>
                <w:rFonts w:eastAsia="Times New Roman"/>
                <w:b w:val="0"/>
                <w:bCs w:val="0"/>
              </w:rPr>
              <w:t xml:space="preserve"> level) </w:t>
            </w:r>
            <w:r>
              <w:rPr>
                <w:rFonts w:eastAsia="Times New Roman"/>
                <w:b w:val="0"/>
                <w:bCs w:val="0"/>
              </w:rPr>
              <w:t xml:space="preserve">should be </w:t>
            </w:r>
            <w:r w:rsidRPr="00661AAC">
              <w:rPr>
                <w:rFonts w:eastAsia="Times New Roman"/>
                <w:b w:val="0"/>
                <w:bCs w:val="0"/>
              </w:rPr>
              <w:t>towards new computers with AI sympathetic hardware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515A188" w14:textId="77777777" w:rsidR="00055A80" w:rsidRPr="00DC3FBC" w:rsidRDefault="00055A80" w:rsidP="00055A80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Matched </w:t>
            </w:r>
            <w:r w:rsidRPr="00916D29">
              <w:rPr>
                <w:rFonts w:eastAsia="Times New Roman"/>
                <w:b w:val="0"/>
                <w:bCs w:val="0"/>
              </w:rPr>
              <w:t>by investment in AI specialists who can support researchers to take advantage of these powerful techniques.</w:t>
            </w:r>
          </w:p>
          <w:p w14:paraId="19E2AE82" w14:textId="77777777" w:rsidR="00055A80" w:rsidRPr="00D41879" w:rsidRDefault="00055A80" w:rsidP="00055A80">
            <w:pPr>
              <w:pStyle w:val="ListParagraph"/>
              <w:numPr>
                <w:ilvl w:val="0"/>
                <w:numId w:val="14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417B9">
              <w:rPr>
                <w:rFonts w:eastAsia="Times New Roman"/>
                <w:b w:val="0"/>
                <w:bCs w:val="0"/>
              </w:rPr>
              <w:t xml:space="preserve">Investments should focus on architectures </w:t>
            </w:r>
            <w:r>
              <w:rPr>
                <w:rFonts w:eastAsia="Times New Roman"/>
                <w:b w:val="0"/>
                <w:bCs w:val="0"/>
              </w:rPr>
              <w:t>such as:</w:t>
            </w:r>
          </w:p>
          <w:p w14:paraId="284D8260" w14:textId="77777777" w:rsidR="00055A80" w:rsidRPr="005B0E9F" w:rsidRDefault="00055A80" w:rsidP="00055A80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A</w:t>
            </w:r>
            <w:r w:rsidRPr="00D417B9">
              <w:rPr>
                <w:rFonts w:eastAsia="Times New Roman"/>
                <w:b w:val="0"/>
                <w:bCs w:val="0"/>
              </w:rPr>
              <w:t>llocat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D417B9">
              <w:rPr>
                <w:rFonts w:eastAsia="Times New Roman"/>
                <w:b w:val="0"/>
                <w:bCs w:val="0"/>
              </w:rPr>
              <w:t xml:space="preserve"> resources to handle varying AI demands, ensuring efficient use of computational power.</w:t>
            </w:r>
          </w:p>
          <w:p w14:paraId="408F6BDA" w14:textId="77777777" w:rsidR="00055A80" w:rsidRPr="00814E73" w:rsidRDefault="00055A80" w:rsidP="00055A80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E</w:t>
            </w:r>
            <w:r w:rsidRPr="00814E73">
              <w:rPr>
                <w:rFonts w:eastAsia="Times New Roman"/>
                <w:b w:val="0"/>
                <w:bCs w:val="0"/>
              </w:rPr>
              <w:t>nergy-efficient architectures, such as those using advanced cooling systems and renewable energy sources, will help meet sustainability goals and reduce operational costs.</w:t>
            </w:r>
          </w:p>
          <w:p w14:paraId="59294EE7" w14:textId="77777777" w:rsidR="00055A80" w:rsidRPr="005B0E9F" w:rsidRDefault="00055A80" w:rsidP="00055A80">
            <w:pPr>
              <w:pStyle w:val="ListParagraph"/>
              <w:numPr>
                <w:ilvl w:val="0"/>
                <w:numId w:val="1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R</w:t>
            </w:r>
            <w:r w:rsidRPr="0068281D">
              <w:rPr>
                <w:rFonts w:eastAsia="Times New Roman"/>
                <w:b w:val="0"/>
                <w:bCs w:val="0"/>
              </w:rPr>
              <w:t>obust data management and storage solutions that ensure data is easily accessible, secure, and compliant with FAIR principles.</w:t>
            </w:r>
          </w:p>
          <w:p w14:paraId="20C4E36A" w14:textId="77777777" w:rsidR="00055A80" w:rsidRPr="003B61BA" w:rsidRDefault="00055A80" w:rsidP="00055A80">
            <w:pPr>
              <w:pStyle w:val="ListParagraph"/>
              <w:numPr>
                <w:ilvl w:val="0"/>
                <w:numId w:val="14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3B61BA">
              <w:rPr>
                <w:rFonts w:eastAsia="Times New Roman"/>
                <w:b w:val="0"/>
                <w:bCs w:val="0"/>
              </w:rPr>
              <w:t>Patient-</w:t>
            </w:r>
            <w:r>
              <w:rPr>
                <w:rFonts w:eastAsia="Times New Roman"/>
                <w:b w:val="0"/>
                <w:bCs w:val="0"/>
              </w:rPr>
              <w:t>c</w:t>
            </w:r>
            <w:r w:rsidRPr="003B61BA">
              <w:rPr>
                <w:rFonts w:eastAsia="Times New Roman"/>
                <w:b w:val="0"/>
                <w:bCs w:val="0"/>
              </w:rPr>
              <w:t xml:space="preserve">entred Care: AI can help design systems that prioritise patient needs and experiences.  </w:t>
            </w:r>
          </w:p>
          <w:p w14:paraId="3C5517C6" w14:textId="77777777" w:rsidR="00055A80" w:rsidRPr="00DA79BF" w:rsidRDefault="00055A80" w:rsidP="00055A80">
            <w:pPr>
              <w:pStyle w:val="ListParagraph"/>
              <w:numPr>
                <w:ilvl w:val="0"/>
                <w:numId w:val="14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4680E">
              <w:rPr>
                <w:rFonts w:eastAsia="Times New Roman"/>
                <w:b w:val="0"/>
                <w:bCs w:val="0"/>
              </w:rPr>
              <w:t xml:space="preserve">NDRI investment in AI-sympathetic hardware needs critical assessment in prioritisation, taking into consideration other national funding streams such as </w:t>
            </w:r>
            <w:r>
              <w:rPr>
                <w:rFonts w:eastAsia="Times New Roman"/>
                <w:b w:val="0"/>
                <w:bCs w:val="0"/>
              </w:rPr>
              <w:t xml:space="preserve">the </w:t>
            </w:r>
            <w:r w:rsidRPr="0014680E">
              <w:rPr>
                <w:rFonts w:eastAsia="Times New Roman"/>
                <w:b w:val="0"/>
                <w:bCs w:val="0"/>
              </w:rPr>
              <w:t>A</w:t>
            </w:r>
            <w:r>
              <w:rPr>
                <w:rFonts w:eastAsia="Times New Roman"/>
                <w:b w:val="0"/>
                <w:bCs w:val="0"/>
              </w:rPr>
              <w:t>ustralian Research Council’s</w:t>
            </w:r>
            <w:r w:rsidRPr="0014680E">
              <w:rPr>
                <w:rFonts w:eastAsia="Times New Roman"/>
                <w:b w:val="0"/>
                <w:bCs w:val="0"/>
              </w:rPr>
              <w:t xml:space="preserve"> </w:t>
            </w:r>
            <w:r>
              <w:rPr>
                <w:rFonts w:eastAsia="Times New Roman"/>
                <w:b w:val="0"/>
                <w:bCs w:val="0"/>
              </w:rPr>
              <w:t xml:space="preserve">Linkage Infrastructure, Equipment and Facilities (LIEF) scheme </w:t>
            </w:r>
            <w:r w:rsidRPr="0014680E">
              <w:rPr>
                <w:rFonts w:eastAsia="Times New Roman"/>
                <w:b w:val="0"/>
                <w:bCs w:val="0"/>
              </w:rPr>
              <w:t>and</w:t>
            </w:r>
            <w:r>
              <w:rPr>
                <w:rFonts w:eastAsia="Times New Roman"/>
                <w:b w:val="0"/>
                <w:bCs w:val="0"/>
              </w:rPr>
              <w:t xml:space="preserve"> the Australian Government Department of Health and Aged Care’s Medical Research Future Fund</w:t>
            </w:r>
            <w:r w:rsidRPr="0014680E">
              <w:rPr>
                <w:rFonts w:eastAsia="Times New Roman"/>
                <w:b w:val="0"/>
                <w:bCs w:val="0"/>
              </w:rPr>
              <w:t xml:space="preserve"> </w:t>
            </w:r>
            <w:r>
              <w:rPr>
                <w:rFonts w:eastAsia="Times New Roman"/>
                <w:b w:val="0"/>
                <w:bCs w:val="0"/>
              </w:rPr>
              <w:t>(</w:t>
            </w:r>
            <w:r w:rsidRPr="0014680E">
              <w:rPr>
                <w:rFonts w:eastAsia="Times New Roman"/>
                <w:b w:val="0"/>
                <w:bCs w:val="0"/>
              </w:rPr>
              <w:t>MRFF</w:t>
            </w:r>
            <w:r>
              <w:rPr>
                <w:rFonts w:eastAsia="Times New Roman"/>
                <w:b w:val="0"/>
                <w:bCs w:val="0"/>
              </w:rPr>
              <w:t>).</w:t>
            </w:r>
          </w:p>
          <w:p w14:paraId="277DDE99" w14:textId="77777777" w:rsidR="00055A80" w:rsidRPr="004E4B06" w:rsidRDefault="00055A80" w:rsidP="00055A80">
            <w:pPr>
              <w:pStyle w:val="ListParagraph"/>
              <w:numPr>
                <w:ilvl w:val="0"/>
                <w:numId w:val="14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4E4B06">
              <w:rPr>
                <w:rFonts w:eastAsia="Times New Roman"/>
                <w:b w:val="0"/>
                <w:bCs w:val="0"/>
              </w:rPr>
              <w:t>nvestment in the upskilling of users &amp; growing the skilled software engineering expertise needed to realise the potential of exascale computing as well as expanding access to AI architectures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2D15AFE" w14:textId="77777777" w:rsidR="00055A80" w:rsidRPr="00D7686C" w:rsidRDefault="00055A80" w:rsidP="00055A80">
            <w:pPr>
              <w:pStyle w:val="ListParagraph"/>
              <w:numPr>
                <w:ilvl w:val="0"/>
                <w:numId w:val="14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C70331">
              <w:rPr>
                <w:rFonts w:eastAsia="Times New Roman"/>
                <w:b w:val="0"/>
                <w:bCs w:val="0"/>
              </w:rPr>
              <w:t>nvest</w:t>
            </w:r>
            <w:r>
              <w:rPr>
                <w:rFonts w:eastAsia="Times New Roman"/>
                <w:b w:val="0"/>
                <w:bCs w:val="0"/>
              </w:rPr>
              <w:t>ment</w:t>
            </w:r>
            <w:r w:rsidRPr="00C70331">
              <w:rPr>
                <w:rFonts w:eastAsia="Times New Roman"/>
                <w:b w:val="0"/>
                <w:bCs w:val="0"/>
              </w:rPr>
              <w:t xml:space="preserve"> in international partnerships or partner with companies like Google to resource foundational </w:t>
            </w:r>
            <w:r>
              <w:rPr>
                <w:rFonts w:eastAsia="Times New Roman"/>
                <w:b w:val="0"/>
                <w:bCs w:val="0"/>
              </w:rPr>
              <w:t>large language model</w:t>
            </w:r>
            <w:r w:rsidRPr="00C70331">
              <w:rPr>
                <w:rFonts w:eastAsia="Times New Roman"/>
                <w:b w:val="0"/>
                <w:bCs w:val="0"/>
              </w:rPr>
              <w:t xml:space="preserve"> research.</w:t>
            </w:r>
          </w:p>
          <w:p w14:paraId="549C79B8" w14:textId="77777777" w:rsidR="00055A80" w:rsidRPr="00D665EE" w:rsidRDefault="00055A80" w:rsidP="008625CC">
            <w:pPr>
              <w:tabs>
                <w:tab w:val="left" w:pos="1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055A80" w14:paraId="12C89DAA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6FACD4" w14:textId="77777777" w:rsidR="00055A80" w:rsidRDefault="00055A80" w:rsidP="008625CC">
            <w:pPr>
              <w:rPr>
                <w:b w:val="0"/>
                <w:bCs w:val="0"/>
              </w:rPr>
            </w:pPr>
            <w:r w:rsidRPr="00CA2578">
              <w:lastRenderedPageBreak/>
              <w:t>Q13 - How can Australia sustainably invest in new NDRI technologies that align with the Australian Government's Net Zero greenhouse gas emission target by 2050?</w:t>
            </w:r>
          </w:p>
          <w:p w14:paraId="75462318" w14:textId="77777777" w:rsidR="00055A80" w:rsidRPr="00CA2578" w:rsidRDefault="00055A80" w:rsidP="008625CC"/>
        </w:tc>
        <w:tc>
          <w:tcPr>
            <w:tcW w:w="11907" w:type="dxa"/>
          </w:tcPr>
          <w:p w14:paraId="1EBD4702" w14:textId="77777777" w:rsidR="00055A80" w:rsidRPr="00EA1B6E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EA1B6E">
              <w:rPr>
                <w:rFonts w:eastAsia="Times New Roman"/>
                <w:b w:val="0"/>
                <w:bCs w:val="0"/>
              </w:rPr>
              <w:t>Invest</w:t>
            </w:r>
            <w:r>
              <w:rPr>
                <w:rFonts w:eastAsia="Times New Roman"/>
                <w:b w:val="0"/>
                <w:bCs w:val="0"/>
              </w:rPr>
              <w:t xml:space="preserve">ment </w:t>
            </w:r>
            <w:r w:rsidRPr="00EA1B6E">
              <w:rPr>
                <w:rFonts w:eastAsia="Times New Roman"/>
                <w:b w:val="0"/>
                <w:bCs w:val="0"/>
              </w:rPr>
              <w:t>in energy-efficient data centres and</w:t>
            </w:r>
            <w:r>
              <w:rPr>
                <w:rFonts w:eastAsia="Times New Roman"/>
                <w:b w:val="0"/>
                <w:bCs w:val="0"/>
              </w:rPr>
              <w:t xml:space="preserve"> HPC</w:t>
            </w:r>
            <w:r w:rsidRPr="00EA1B6E">
              <w:rPr>
                <w:rFonts w:eastAsia="Times New Roman"/>
                <w:b w:val="0"/>
                <w:bCs w:val="0"/>
              </w:rPr>
              <w:t xml:space="preserve"> systems. This includes using advanced cooling technologies, renewable energy sources, and energy-efficient hardware to reduce the carbon footprint of digital research infrastructure.</w:t>
            </w:r>
          </w:p>
          <w:p w14:paraId="5E59D1CB" w14:textId="77777777" w:rsidR="00055A80" w:rsidRPr="00391A13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E</w:t>
            </w:r>
            <w:r w:rsidRPr="00A23E22">
              <w:rPr>
                <w:rFonts w:eastAsia="Times New Roman"/>
                <w:b w:val="0"/>
                <w:bCs w:val="0"/>
              </w:rPr>
              <w:t>nsur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A23E22">
              <w:rPr>
                <w:rFonts w:eastAsia="Times New Roman"/>
                <w:b w:val="0"/>
                <w:bCs w:val="0"/>
              </w:rPr>
              <w:t xml:space="preserve"> that any design of new hard infrastructure takes full account of current and future sustainability requirements at the design phase. Post-build modification is extremely expensive.</w:t>
            </w:r>
          </w:p>
          <w:p w14:paraId="36D2502F" w14:textId="77777777" w:rsidR="00055A80" w:rsidRPr="00540EAE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517E78">
              <w:rPr>
                <w:rFonts w:eastAsia="Times New Roman"/>
                <w:b w:val="0"/>
                <w:bCs w:val="0"/>
              </w:rPr>
              <w:t>Reducing the demand for compute resources by supporting efficient code writing. Efficient code uses less power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D5AE315" w14:textId="77777777" w:rsidR="00055A80" w:rsidRPr="00C74F2E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C74F2E">
              <w:rPr>
                <w:rFonts w:eastAsia="Times New Roman"/>
                <w:b w:val="0"/>
                <w:bCs w:val="0"/>
              </w:rPr>
              <w:t>Ensuring significant compute resources are powered via renewable resources (</w:t>
            </w:r>
            <w:r>
              <w:rPr>
                <w:rFonts w:eastAsia="Times New Roman"/>
                <w:b w:val="0"/>
                <w:bCs w:val="0"/>
              </w:rPr>
              <w:t>for example,</w:t>
            </w:r>
            <w:r w:rsidRPr="00C74F2E">
              <w:rPr>
                <w:rFonts w:eastAsia="Times New Roman"/>
                <w:b w:val="0"/>
                <w:bCs w:val="0"/>
              </w:rPr>
              <w:t xml:space="preserve"> through power purchase agreements)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62C66575" w14:textId="77777777" w:rsidR="00055A80" w:rsidRPr="000D77BB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0D77BB">
              <w:rPr>
                <w:rFonts w:eastAsia="Times New Roman"/>
                <w:b w:val="0"/>
                <w:bCs w:val="0"/>
              </w:rPr>
              <w:t>Supporting the construction of efficient compute facilities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02F289F" w14:textId="77777777" w:rsidR="00055A80" w:rsidRPr="00DF2965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F2965">
              <w:rPr>
                <w:rFonts w:eastAsia="Times New Roman"/>
                <w:b w:val="0"/>
                <w:bCs w:val="0"/>
              </w:rPr>
              <w:t>Explor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DF2965">
              <w:rPr>
                <w:rFonts w:eastAsia="Times New Roman"/>
                <w:b w:val="0"/>
                <w:bCs w:val="0"/>
              </w:rPr>
              <w:t xml:space="preserve"> the use of compute facilities as a demand management tool (</w:t>
            </w:r>
            <w:r>
              <w:rPr>
                <w:rFonts w:eastAsia="Times New Roman"/>
                <w:b w:val="0"/>
                <w:bCs w:val="0"/>
              </w:rPr>
              <w:t xml:space="preserve">for example, </w:t>
            </w:r>
            <w:r w:rsidRPr="00DF2965">
              <w:rPr>
                <w:rFonts w:eastAsia="Times New Roman"/>
                <w:b w:val="0"/>
                <w:bCs w:val="0"/>
              </w:rPr>
              <w:t>adjusting compute speed according to time of day and/or percentage renewable power).</w:t>
            </w:r>
          </w:p>
          <w:p w14:paraId="5C3643E9" w14:textId="77777777" w:rsidR="00055A80" w:rsidRPr="00DC1434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C1434">
              <w:rPr>
                <w:rFonts w:eastAsia="Times New Roman"/>
                <w:b w:val="0"/>
                <w:bCs w:val="0"/>
              </w:rPr>
              <w:t>Invest</w:t>
            </w:r>
            <w:r>
              <w:rPr>
                <w:rFonts w:eastAsia="Times New Roman"/>
                <w:b w:val="0"/>
                <w:bCs w:val="0"/>
              </w:rPr>
              <w:t xml:space="preserve">ment </w:t>
            </w:r>
            <w:r w:rsidRPr="00DC1434">
              <w:rPr>
                <w:rFonts w:eastAsia="Times New Roman"/>
                <w:b w:val="0"/>
                <w:bCs w:val="0"/>
              </w:rPr>
              <w:t xml:space="preserve">in </w:t>
            </w:r>
            <w:r>
              <w:rPr>
                <w:rFonts w:eastAsia="Times New Roman"/>
                <w:b w:val="0"/>
                <w:bCs w:val="0"/>
              </w:rPr>
              <w:t>research and development of</w:t>
            </w:r>
            <w:r w:rsidRPr="00DC1434">
              <w:rPr>
                <w:rFonts w:eastAsia="Times New Roman"/>
                <w:b w:val="0"/>
                <w:bCs w:val="0"/>
              </w:rPr>
              <w:t xml:space="preserve"> sustainable technologies and practices. This includes developing new methods for reducing energy consumption in data processing and storage.</w:t>
            </w:r>
          </w:p>
          <w:p w14:paraId="28D82E11" w14:textId="77777777" w:rsidR="00055A80" w:rsidRPr="006C5218" w:rsidRDefault="00055A80" w:rsidP="00055A80">
            <w:pPr>
              <w:pStyle w:val="ListParagraph"/>
              <w:numPr>
                <w:ilvl w:val="0"/>
                <w:numId w:val="15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AB0B73">
              <w:rPr>
                <w:rFonts w:eastAsia="Times New Roman"/>
                <w:b w:val="0"/>
                <w:bCs w:val="0"/>
              </w:rPr>
              <w:t>Adopt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AB0B73">
              <w:rPr>
                <w:rFonts w:eastAsia="Times New Roman"/>
                <w:b w:val="0"/>
                <w:bCs w:val="0"/>
              </w:rPr>
              <w:t xml:space="preserve"> sustainable procurement practices for NDRI technologies. This involves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086C15A6" w14:textId="77777777" w:rsidR="00055A80" w:rsidRPr="006C5218" w:rsidRDefault="00055A80" w:rsidP="00055A80">
            <w:pPr>
              <w:pStyle w:val="ListParagraph"/>
              <w:numPr>
                <w:ilvl w:val="0"/>
                <w:numId w:val="1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S</w:t>
            </w:r>
            <w:r w:rsidRPr="00AB0B73">
              <w:rPr>
                <w:rFonts w:eastAsia="Times New Roman"/>
                <w:b w:val="0"/>
                <w:bCs w:val="0"/>
              </w:rPr>
              <w:t>electing vendors and products that prioritise sustainability, energy efficiency, and minimal environmental impact.</w:t>
            </w:r>
          </w:p>
          <w:p w14:paraId="3587421E" w14:textId="77777777" w:rsidR="00055A80" w:rsidRPr="006A6BA2" w:rsidRDefault="00055A80" w:rsidP="00055A80">
            <w:pPr>
              <w:pStyle w:val="ListParagraph"/>
              <w:numPr>
                <w:ilvl w:val="0"/>
                <w:numId w:val="1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E5620">
              <w:rPr>
                <w:rFonts w:eastAsia="Times New Roman"/>
                <w:b w:val="0"/>
                <w:bCs w:val="0"/>
              </w:rPr>
              <w:t>Implement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DE5620">
              <w:rPr>
                <w:rFonts w:eastAsia="Times New Roman"/>
                <w:b w:val="0"/>
                <w:bCs w:val="0"/>
              </w:rPr>
              <w:t xml:space="preserve"> lifecycle management practices for NDRI technologies to ensure that equipment is used efficiently and recycled responsibly at the end of its life. This reduces electronic waste and promotes a circular economy.</w:t>
            </w:r>
          </w:p>
          <w:p w14:paraId="2100574F" w14:textId="77777777" w:rsidR="00055A80" w:rsidRPr="006A6BA2" w:rsidRDefault="00055A80" w:rsidP="00055A80">
            <w:pPr>
              <w:pStyle w:val="ListParagraph"/>
              <w:numPr>
                <w:ilvl w:val="0"/>
                <w:numId w:val="1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A6BA2">
              <w:rPr>
                <w:rFonts w:eastAsia="Times New Roman"/>
                <w:b w:val="0"/>
                <w:bCs w:val="0"/>
              </w:rPr>
              <w:t>Investment in skilled supercomputing specialists who can assist users in fine-tuning workflows and algorithms to efficiently utilise cutting edge supercomputing resources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25224672" w14:textId="77777777" w:rsidR="00055A80" w:rsidRPr="008E13A0" w:rsidRDefault="00055A80" w:rsidP="00055A80">
            <w:pPr>
              <w:pStyle w:val="ListParagraph"/>
              <w:numPr>
                <w:ilvl w:val="0"/>
                <w:numId w:val="1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960B1B">
              <w:rPr>
                <w:rFonts w:eastAsia="Times New Roman"/>
                <w:b w:val="0"/>
                <w:bCs w:val="0"/>
              </w:rPr>
              <w:t xml:space="preserve">nvestments in developing robust energy consumption monitoring and control systems at </w:t>
            </w:r>
            <w:r>
              <w:rPr>
                <w:rFonts w:eastAsia="Times New Roman"/>
                <w:b w:val="0"/>
                <w:bCs w:val="0"/>
              </w:rPr>
              <w:t>Tier-1</w:t>
            </w:r>
            <w:r w:rsidRPr="00960B1B">
              <w:rPr>
                <w:rFonts w:eastAsia="Times New Roman"/>
                <w:b w:val="0"/>
                <w:bCs w:val="0"/>
              </w:rPr>
              <w:t xml:space="preserve"> facilities.</w:t>
            </w:r>
          </w:p>
          <w:p w14:paraId="2EF5479A" w14:textId="77777777" w:rsidR="00055A80" w:rsidRPr="00DE5620" w:rsidRDefault="00055A80" w:rsidP="00055A80">
            <w:pPr>
              <w:pStyle w:val="ListParagraph"/>
              <w:numPr>
                <w:ilvl w:val="0"/>
                <w:numId w:val="1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AD65FC">
              <w:rPr>
                <w:rFonts w:eastAsia="Times New Roman"/>
                <w:b w:val="0"/>
                <w:bCs w:val="0"/>
              </w:rPr>
              <w:t>Integrat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AD65FC">
              <w:rPr>
                <w:rFonts w:eastAsia="Times New Roman"/>
                <w:b w:val="0"/>
                <w:bCs w:val="0"/>
              </w:rPr>
              <w:t xml:space="preserve"> carbon targets into infrastructure investment guidelines and NCRIS reporting processes.</w:t>
            </w:r>
          </w:p>
        </w:tc>
      </w:tr>
      <w:tr w:rsidR="00055A80" w14:paraId="37C89CA6" w14:textId="77777777" w:rsidTr="00862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6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5553782" w14:textId="77777777" w:rsidR="00055A80" w:rsidRDefault="00055A80" w:rsidP="008625CC">
            <w:pPr>
              <w:rPr>
                <w:b w:val="0"/>
                <w:bCs w:val="0"/>
              </w:rPr>
            </w:pPr>
            <w:r w:rsidRPr="00CA2578">
              <w:lastRenderedPageBreak/>
              <w:t>Q14 - What are the priority NDRI investments in compute and AI that would enhance Australia's research efforts?</w:t>
            </w:r>
          </w:p>
          <w:p w14:paraId="213F4B46" w14:textId="77777777" w:rsidR="00055A80" w:rsidRPr="00CA2578" w:rsidRDefault="00055A80" w:rsidP="008625CC"/>
        </w:tc>
        <w:tc>
          <w:tcPr>
            <w:tcW w:w="11907" w:type="dxa"/>
          </w:tcPr>
          <w:p w14:paraId="14377621" w14:textId="77777777" w:rsidR="00055A80" w:rsidRPr="00031361" w:rsidRDefault="00055A80" w:rsidP="00055A80">
            <w:pPr>
              <w:pStyle w:val="ListParagraph"/>
              <w:numPr>
                <w:ilvl w:val="0"/>
                <w:numId w:val="1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031361">
              <w:rPr>
                <w:rFonts w:eastAsia="Times New Roman"/>
                <w:b w:val="0"/>
                <w:bCs w:val="0"/>
              </w:rPr>
              <w:t>Establish</w:t>
            </w:r>
            <w:r>
              <w:rPr>
                <w:rFonts w:eastAsia="Times New Roman"/>
                <w:b w:val="0"/>
                <w:bCs w:val="0"/>
              </w:rPr>
              <w:t xml:space="preserve">ing </w:t>
            </w:r>
            <w:r w:rsidRPr="00031361">
              <w:rPr>
                <w:rFonts w:eastAsia="Times New Roman"/>
                <w:b w:val="0"/>
                <w:bCs w:val="0"/>
              </w:rPr>
              <w:t>quality data assets</w:t>
            </w:r>
            <w:r>
              <w:rPr>
                <w:rFonts w:eastAsia="Times New Roman"/>
                <w:b w:val="0"/>
                <w:bCs w:val="0"/>
              </w:rPr>
              <w:t xml:space="preserve"> and making it accessible.</w:t>
            </w:r>
          </w:p>
          <w:p w14:paraId="2EBB7E38" w14:textId="77777777" w:rsidR="00055A80" w:rsidRPr="001429D6" w:rsidRDefault="00055A80" w:rsidP="00055A80">
            <w:pPr>
              <w:pStyle w:val="ListParagraph"/>
              <w:numPr>
                <w:ilvl w:val="0"/>
                <w:numId w:val="1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429D6">
              <w:rPr>
                <w:rFonts w:eastAsia="Times New Roman"/>
                <w:b w:val="0"/>
                <w:bCs w:val="0"/>
              </w:rPr>
              <w:t xml:space="preserve">Developing capability and enabling outreach from existing centres of technical and intersectional expertise that enable federated AI and </w:t>
            </w:r>
            <w:r>
              <w:rPr>
                <w:rFonts w:eastAsia="Times New Roman"/>
                <w:b w:val="0"/>
                <w:bCs w:val="0"/>
              </w:rPr>
              <w:t>c</w:t>
            </w:r>
            <w:r w:rsidRPr="001429D6">
              <w:rPr>
                <w:rFonts w:eastAsia="Times New Roman"/>
                <w:b w:val="0"/>
                <w:bCs w:val="0"/>
              </w:rPr>
              <w:t>ompute platforms.</w:t>
            </w:r>
          </w:p>
          <w:p w14:paraId="69E606F4" w14:textId="77777777" w:rsidR="00055A80" w:rsidRPr="00E36359" w:rsidRDefault="00055A80" w:rsidP="00055A80">
            <w:pPr>
              <w:pStyle w:val="ListParagraph"/>
              <w:numPr>
                <w:ilvl w:val="0"/>
                <w:numId w:val="18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Investment in:</w:t>
            </w:r>
          </w:p>
          <w:p w14:paraId="38A5ABF6" w14:textId="77777777" w:rsidR="00055A80" w:rsidRPr="00886BE5" w:rsidRDefault="00055A80" w:rsidP="00055A80">
            <w:pPr>
              <w:pStyle w:val="ListParagraph"/>
              <w:numPr>
                <w:ilvl w:val="0"/>
                <w:numId w:val="1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635370">
              <w:rPr>
                <w:rFonts w:eastAsia="Times New Roman"/>
                <w:b w:val="0"/>
                <w:bCs w:val="0"/>
              </w:rPr>
              <w:t>GPU architectures and in the specialists (data, software, and platform) that can help to migrate the research community</w:t>
            </w:r>
            <w:r>
              <w:rPr>
                <w:rFonts w:eastAsia="Times New Roman"/>
                <w:b w:val="0"/>
                <w:bCs w:val="0"/>
              </w:rPr>
              <w:t>’</w:t>
            </w:r>
            <w:r w:rsidRPr="00635370">
              <w:rPr>
                <w:rFonts w:eastAsia="Times New Roman"/>
                <w:b w:val="0"/>
                <w:bCs w:val="0"/>
              </w:rPr>
              <w:t>s codebase to take advantage of these architectures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6C2D6BB" w14:textId="77777777" w:rsidR="00055A80" w:rsidRPr="00886BE5" w:rsidRDefault="00055A80" w:rsidP="00055A80">
            <w:pPr>
              <w:pStyle w:val="ListParagraph"/>
              <w:numPr>
                <w:ilvl w:val="0"/>
                <w:numId w:val="1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T</w:t>
            </w:r>
            <w:r w:rsidRPr="00886BE5">
              <w:rPr>
                <w:rFonts w:eastAsia="Times New Roman"/>
                <w:b w:val="0"/>
                <w:bCs w:val="0"/>
              </w:rPr>
              <w:t>raining to ensure researchers are trained in best practice coding, and facilitate collaborations between research teams and data, software, platform specialists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BB4A005" w14:textId="77777777" w:rsidR="00055A80" w:rsidRPr="00AE00D5" w:rsidRDefault="00055A80" w:rsidP="00055A80">
            <w:pPr>
              <w:pStyle w:val="ListParagraph"/>
              <w:numPr>
                <w:ilvl w:val="0"/>
                <w:numId w:val="16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S</w:t>
            </w:r>
            <w:r w:rsidRPr="00AE00D5">
              <w:rPr>
                <w:rFonts w:eastAsia="Times New Roman"/>
                <w:b w:val="0"/>
                <w:bCs w:val="0"/>
              </w:rPr>
              <w:t>cience platforms that bring data and compute into a common hardware and software infrastructure, making deployment of AI driven analysis and curation as straightforward as possible.</w:t>
            </w:r>
          </w:p>
          <w:p w14:paraId="1B6BC2B9" w14:textId="77777777" w:rsidR="00055A80" w:rsidRPr="00EC05CE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BC13BD">
              <w:rPr>
                <w:rFonts w:eastAsia="Times New Roman"/>
                <w:b w:val="0"/>
                <w:bCs w:val="0"/>
              </w:rPr>
              <w:t>Expanding and</w:t>
            </w:r>
            <w:r>
              <w:rPr>
                <w:rFonts w:eastAsia="Times New Roman"/>
                <w:b w:val="0"/>
                <w:bCs w:val="0"/>
              </w:rPr>
              <w:t xml:space="preserve"> upgrading </w:t>
            </w:r>
            <w:r w:rsidRPr="00EC05CE">
              <w:rPr>
                <w:rFonts w:eastAsia="Times New Roman"/>
                <w:b w:val="0"/>
                <w:bCs w:val="0"/>
              </w:rPr>
              <w:t xml:space="preserve">HPC infrastructure to support large-scale simulations, complex data analyses, and AI model training. </w:t>
            </w:r>
          </w:p>
          <w:p w14:paraId="101A040F" w14:textId="77777777" w:rsidR="00055A80" w:rsidRPr="00E466F3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E466F3">
              <w:rPr>
                <w:rFonts w:eastAsia="Times New Roman"/>
                <w:b w:val="0"/>
                <w:bCs w:val="0"/>
              </w:rPr>
              <w:t>Develop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E466F3">
              <w:rPr>
                <w:rFonts w:eastAsia="Times New Roman"/>
                <w:b w:val="0"/>
                <w:bCs w:val="0"/>
              </w:rPr>
              <w:t xml:space="preserve"> and integrat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E466F3">
              <w:rPr>
                <w:rFonts w:eastAsia="Times New Roman"/>
                <w:b w:val="0"/>
                <w:bCs w:val="0"/>
              </w:rPr>
              <w:t xml:space="preserve"> cloud computing services that provide scalable and flexible resources for researchers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511A668D" w14:textId="77777777" w:rsidR="00055A80" w:rsidRPr="0053610E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26C9E">
              <w:rPr>
                <w:rFonts w:eastAsia="Times New Roman"/>
                <w:b w:val="0"/>
                <w:bCs w:val="0"/>
              </w:rPr>
              <w:t>Invest</w:t>
            </w:r>
            <w:r>
              <w:rPr>
                <w:rFonts w:eastAsia="Times New Roman"/>
                <w:b w:val="0"/>
                <w:bCs w:val="0"/>
              </w:rPr>
              <w:t>ment</w:t>
            </w:r>
            <w:r w:rsidRPr="00126C9E">
              <w:rPr>
                <w:rFonts w:eastAsia="Times New Roman"/>
                <w:b w:val="0"/>
                <w:bCs w:val="0"/>
              </w:rPr>
              <w:t xml:space="preserve"> in robust data management and storage solutions to handle the vast amounts of data generated by AI and computational research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CDD046A" w14:textId="77777777" w:rsidR="00055A80" w:rsidRPr="00D36B93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D36B93">
              <w:rPr>
                <w:rFonts w:eastAsia="Times New Roman"/>
                <w:b w:val="0"/>
                <w:bCs w:val="0"/>
              </w:rPr>
              <w:t>Enhanc</w:t>
            </w:r>
            <w:r>
              <w:rPr>
                <w:rFonts w:eastAsia="Times New Roman"/>
                <w:b w:val="0"/>
                <w:bCs w:val="0"/>
              </w:rPr>
              <w:t>ing</w:t>
            </w:r>
            <w:r w:rsidRPr="00D36B93">
              <w:rPr>
                <w:rFonts w:eastAsia="Times New Roman"/>
                <w:b w:val="0"/>
                <w:bCs w:val="0"/>
              </w:rPr>
              <w:t xml:space="preserve"> cybersecurity measures to protect sensitive research data and ensure the integrity of AI models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45FF4481" w14:textId="77777777" w:rsidR="00055A80" w:rsidRPr="00532A4D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532A4D">
              <w:rPr>
                <w:rFonts w:eastAsia="Times New Roman"/>
                <w:b w:val="0"/>
                <w:bCs w:val="0"/>
              </w:rPr>
              <w:t>Invest</w:t>
            </w:r>
            <w:r>
              <w:rPr>
                <w:rFonts w:eastAsia="Times New Roman"/>
                <w:b w:val="0"/>
                <w:bCs w:val="0"/>
              </w:rPr>
              <w:t>ment</w:t>
            </w:r>
            <w:r w:rsidRPr="00532A4D">
              <w:rPr>
                <w:rFonts w:eastAsia="Times New Roman"/>
                <w:b w:val="0"/>
                <w:bCs w:val="0"/>
              </w:rPr>
              <w:t xml:space="preserve"> in NRI capability to establish foundational AI/ML models as operational research infrastructure, commencing with a use case around biodiversity data synthesis and ecosystem prediction.</w:t>
            </w:r>
          </w:p>
          <w:p w14:paraId="6CF3D536" w14:textId="77777777" w:rsidR="00055A80" w:rsidRPr="008F76B8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B740DA">
              <w:rPr>
                <w:rFonts w:eastAsia="Times New Roman"/>
                <w:b w:val="0"/>
                <w:bCs w:val="0"/>
              </w:rPr>
              <w:t xml:space="preserve">Developing a sound data and compute infrastructure capability for </w:t>
            </w:r>
            <w:r>
              <w:rPr>
                <w:rFonts w:eastAsia="Times New Roman"/>
                <w:b w:val="0"/>
                <w:bCs w:val="0"/>
              </w:rPr>
              <w:t>b</w:t>
            </w:r>
            <w:r w:rsidRPr="00B740DA">
              <w:rPr>
                <w:rFonts w:eastAsia="Times New Roman"/>
                <w:b w:val="0"/>
                <w:bCs w:val="0"/>
              </w:rPr>
              <w:t>iobanking for clinical data and environmental and resources data.</w:t>
            </w:r>
          </w:p>
          <w:p w14:paraId="61477C57" w14:textId="77777777" w:rsidR="00055A80" w:rsidRPr="00193FE1" w:rsidRDefault="00055A80" w:rsidP="00055A80">
            <w:pPr>
              <w:pStyle w:val="ListParagraph"/>
              <w:numPr>
                <w:ilvl w:val="0"/>
                <w:numId w:val="19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93FE1">
              <w:rPr>
                <w:rFonts w:eastAsia="Times New Roman"/>
                <w:b w:val="0"/>
                <w:bCs w:val="0"/>
              </w:rPr>
              <w:t xml:space="preserve">Investment needs to address the </w:t>
            </w:r>
            <w:r>
              <w:rPr>
                <w:rFonts w:eastAsia="Times New Roman"/>
                <w:b w:val="0"/>
                <w:bCs w:val="0"/>
              </w:rPr>
              <w:t>trust and identity</w:t>
            </w:r>
            <w:r w:rsidRPr="00193FE1">
              <w:rPr>
                <w:rFonts w:eastAsia="Times New Roman"/>
                <w:b w:val="0"/>
                <w:bCs w:val="0"/>
              </w:rPr>
              <w:t xml:space="preserve"> requirements of a heterogenous computing environment and associated storage platforms (local or multi-site) across both </w:t>
            </w:r>
            <w:r>
              <w:rPr>
                <w:rFonts w:eastAsia="Times New Roman"/>
                <w:b w:val="0"/>
                <w:bCs w:val="0"/>
              </w:rPr>
              <w:t>Tier-1 and -2</w:t>
            </w:r>
            <w:r w:rsidRPr="00193FE1">
              <w:rPr>
                <w:rFonts w:eastAsia="Times New Roman"/>
                <w:b w:val="0"/>
                <w:bCs w:val="0"/>
              </w:rPr>
              <w:t xml:space="preserve"> facilities through a system-wide approach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0E79FC09" w14:textId="77777777" w:rsidR="00055A80" w:rsidRPr="00C62558" w:rsidRDefault="00055A80" w:rsidP="00055A80">
            <w:pPr>
              <w:pStyle w:val="ListParagraph"/>
              <w:numPr>
                <w:ilvl w:val="0"/>
                <w:numId w:val="2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C62558">
              <w:rPr>
                <w:rFonts w:eastAsia="Times New Roman"/>
                <w:b w:val="0"/>
                <w:bCs w:val="0"/>
              </w:rPr>
              <w:t>nteroperable access</w:t>
            </w:r>
          </w:p>
          <w:p w14:paraId="78C6A45B" w14:textId="77777777" w:rsidR="00055A80" w:rsidRPr="004B70C8" w:rsidRDefault="00055A80" w:rsidP="00055A80">
            <w:pPr>
              <w:pStyle w:val="ListParagraph"/>
              <w:numPr>
                <w:ilvl w:val="0"/>
                <w:numId w:val="2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i</w:t>
            </w:r>
            <w:r w:rsidRPr="004B70C8">
              <w:rPr>
                <w:rFonts w:eastAsia="Times New Roman"/>
                <w:b w:val="0"/>
                <w:bCs w:val="0"/>
              </w:rPr>
              <w:t>dentity assurance</w:t>
            </w:r>
          </w:p>
          <w:p w14:paraId="779C3503" w14:textId="77777777" w:rsidR="00055A80" w:rsidRPr="00E860E4" w:rsidRDefault="00055A80" w:rsidP="00055A80">
            <w:pPr>
              <w:pStyle w:val="ListParagraph"/>
              <w:numPr>
                <w:ilvl w:val="0"/>
                <w:numId w:val="2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s</w:t>
            </w:r>
            <w:r w:rsidRPr="00E860E4">
              <w:rPr>
                <w:rFonts w:eastAsia="Times New Roman"/>
                <w:b w:val="0"/>
                <w:bCs w:val="0"/>
              </w:rPr>
              <w:t>trong authentication</w:t>
            </w:r>
          </w:p>
          <w:p w14:paraId="3EAA9AF8" w14:textId="77777777" w:rsidR="00055A80" w:rsidRPr="00C26304" w:rsidRDefault="00055A80" w:rsidP="00055A80">
            <w:pPr>
              <w:pStyle w:val="ListParagraph"/>
              <w:numPr>
                <w:ilvl w:val="0"/>
                <w:numId w:val="20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o</w:t>
            </w:r>
            <w:r w:rsidRPr="00C26304">
              <w:rPr>
                <w:rFonts w:eastAsia="Times New Roman"/>
                <w:b w:val="0"/>
                <w:bCs w:val="0"/>
              </w:rPr>
              <w:t>pen and trusted access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3207DEB5" w14:textId="77777777" w:rsidR="00055A80" w:rsidRPr="00A332C8" w:rsidRDefault="00055A80" w:rsidP="00055A80">
            <w:pPr>
              <w:pStyle w:val="ListParagraph"/>
              <w:numPr>
                <w:ilvl w:val="0"/>
                <w:numId w:val="2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9B7282">
              <w:rPr>
                <w:rFonts w:eastAsia="Times New Roman"/>
                <w:b w:val="0"/>
                <w:bCs w:val="0"/>
              </w:rPr>
              <w:t xml:space="preserve">Leveraging AI for data cleaning, transformation, error-checking in analyses, and automating repetitive tasks like </w:t>
            </w:r>
            <w:r>
              <w:rPr>
                <w:rFonts w:eastAsia="Times New Roman"/>
                <w:b w:val="0"/>
                <w:bCs w:val="0"/>
              </w:rPr>
              <w:t>optimal character recognition</w:t>
            </w:r>
            <w:r w:rsidRPr="009B7282">
              <w:rPr>
                <w:rFonts w:eastAsia="Times New Roman"/>
                <w:b w:val="0"/>
                <w:bCs w:val="0"/>
              </w:rPr>
              <w:t>, speech-to-text (across languages), and video recognition.</w:t>
            </w:r>
          </w:p>
          <w:p w14:paraId="72F78B96" w14:textId="77777777" w:rsidR="00055A80" w:rsidRPr="00FB5D22" w:rsidRDefault="00055A80" w:rsidP="00055A80">
            <w:pPr>
              <w:pStyle w:val="ListParagraph"/>
              <w:numPr>
                <w:ilvl w:val="0"/>
                <w:numId w:val="2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FB5D22">
              <w:rPr>
                <w:rFonts w:eastAsia="Times New Roman"/>
                <w:b w:val="0"/>
                <w:bCs w:val="0"/>
              </w:rPr>
              <w:t>Establishing a national curated data repository with pathways from various disciplines, tools for proper record creation, and adopting systems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1DB2DE6C" w14:textId="77777777" w:rsidR="00055A80" w:rsidRPr="00186549" w:rsidRDefault="00055A80" w:rsidP="00055A80">
            <w:pPr>
              <w:pStyle w:val="ListParagraph"/>
              <w:numPr>
                <w:ilvl w:val="0"/>
                <w:numId w:val="2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CF06CA">
              <w:rPr>
                <w:rFonts w:eastAsia="Times New Roman"/>
                <w:b w:val="0"/>
                <w:bCs w:val="0"/>
              </w:rPr>
              <w:t>Investing in enabling Australian researchers to actively participate and collaborate with international research groups working on pre-exascale and exascale infrastructures to facilitate modern data standards adoption</w:t>
            </w:r>
            <w:r>
              <w:rPr>
                <w:rFonts w:eastAsia="Times New Roman"/>
                <w:b w:val="0"/>
                <w:bCs w:val="0"/>
              </w:rPr>
              <w:t>.</w:t>
            </w:r>
          </w:p>
          <w:p w14:paraId="720BA27C" w14:textId="77777777" w:rsidR="00055A80" w:rsidRPr="001A5852" w:rsidRDefault="00055A80" w:rsidP="00055A80">
            <w:pPr>
              <w:pStyle w:val="ListParagraph"/>
              <w:numPr>
                <w:ilvl w:val="0"/>
                <w:numId w:val="2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86549">
              <w:rPr>
                <w:rFonts w:eastAsia="Times New Roman"/>
                <w:b w:val="0"/>
                <w:bCs w:val="0"/>
              </w:rPr>
              <w:lastRenderedPageBreak/>
              <w:t>A coordinated approach across NCRIS projects to set up an image data analysis hub that develops AI-based tools will uplift researchers and keep them abreast with best practices and applications of AI in imaging data.</w:t>
            </w:r>
          </w:p>
          <w:p w14:paraId="4365534D" w14:textId="77777777" w:rsidR="00055A80" w:rsidRPr="001F2085" w:rsidRDefault="00055A80" w:rsidP="00055A80">
            <w:pPr>
              <w:pStyle w:val="ListParagraph"/>
              <w:numPr>
                <w:ilvl w:val="0"/>
                <w:numId w:val="21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 w:rsidRPr="001F2085">
              <w:rPr>
                <w:rFonts w:eastAsia="Times New Roman"/>
                <w:b w:val="0"/>
                <w:bCs w:val="0"/>
              </w:rPr>
              <w:t>Investing in domain-specific AI applications</w:t>
            </w:r>
            <w:r>
              <w:rPr>
                <w:rFonts w:eastAsia="Times New Roman"/>
                <w:b w:val="0"/>
                <w:bCs w:val="0"/>
              </w:rPr>
              <w:t>:</w:t>
            </w:r>
          </w:p>
          <w:p w14:paraId="21398C50" w14:textId="77777777" w:rsidR="00055A80" w:rsidRPr="00F11A63" w:rsidRDefault="00055A80" w:rsidP="00055A80">
            <w:pPr>
              <w:pStyle w:val="ListParagraph"/>
              <w:numPr>
                <w:ilvl w:val="0"/>
                <w:numId w:val="22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A</w:t>
            </w:r>
            <w:r w:rsidRPr="009D49AC">
              <w:rPr>
                <w:rFonts w:eastAsia="Times New Roman"/>
                <w:b w:val="0"/>
                <w:bCs w:val="0"/>
              </w:rPr>
              <w:t xml:space="preserve"> balanced investment strategy should support both mature AI and early development initiatives, to allow research domains to evolve according to their needs.</w:t>
            </w:r>
          </w:p>
        </w:tc>
      </w:tr>
    </w:tbl>
    <w:p w14:paraId="2C7B35D8" w14:textId="77777777" w:rsidR="005B0070" w:rsidRPr="005B0070" w:rsidRDefault="005B0070" w:rsidP="005B0070"/>
    <w:p w14:paraId="5B10177D" w14:textId="77777777" w:rsidR="005B0070" w:rsidRPr="005B0070" w:rsidRDefault="005B0070" w:rsidP="005B0070"/>
    <w:p w14:paraId="1361F3D9" w14:textId="77777777" w:rsidR="005B0070" w:rsidRPr="005B0070" w:rsidRDefault="005B0070" w:rsidP="005B0070">
      <w:pPr>
        <w:jc w:val="right"/>
      </w:pPr>
    </w:p>
    <w:sectPr w:rsidR="005B0070" w:rsidRPr="005B0070" w:rsidSect="001C2BC9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7D8E" w14:textId="77777777" w:rsidR="009C233B" w:rsidRDefault="009C233B" w:rsidP="000A6228">
      <w:pPr>
        <w:spacing w:after="0" w:line="240" w:lineRule="auto"/>
      </w:pPr>
      <w:r>
        <w:separator/>
      </w:r>
    </w:p>
  </w:endnote>
  <w:endnote w:type="continuationSeparator" w:id="0">
    <w:p w14:paraId="54E1F76C" w14:textId="77777777" w:rsidR="009C233B" w:rsidRDefault="009C233B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7044" w14:textId="3326DB44" w:rsidR="00221D8F" w:rsidRDefault="005B0070">
    <w:pPr>
      <w:pStyle w:val="Footer"/>
    </w:pPr>
    <w:r>
      <w:t>NDRI Investment Plan Consultation Survey Summary:</w:t>
    </w:r>
    <w:r w:rsidR="00592E79" w:rsidRPr="00592E79">
      <w:t xml:space="preserve"> </w:t>
    </w:r>
    <w:r w:rsidR="007C2C61" w:rsidRPr="007C2C61">
      <w:t>Compute and AI</w:t>
    </w:r>
    <w:r w:rsidR="00221D8F">
      <w:t xml:space="preserve">| </w:t>
    </w:r>
    <w:r w:rsidR="00221D8F" w:rsidRPr="00AF1F18">
      <w:fldChar w:fldCharType="begin"/>
    </w:r>
    <w:r w:rsidR="00221D8F" w:rsidRPr="00AF1F18">
      <w:instrText xml:space="preserve"> PAGE   \* MERGEFORMAT </w:instrText>
    </w:r>
    <w:r w:rsidR="00221D8F" w:rsidRPr="00AF1F18">
      <w:fldChar w:fldCharType="separate"/>
    </w:r>
    <w:r w:rsidR="00221D8F" w:rsidRPr="00AF1F18">
      <w:t>1</w:t>
    </w:r>
    <w:r w:rsidR="00221D8F" w:rsidRPr="00AF1F18">
      <w:fldChar w:fldCharType="end"/>
    </w:r>
    <w:r w:rsidR="00221D8F">
      <w:rPr>
        <w:noProof/>
      </w:rPr>
      <w:drawing>
        <wp:anchor distT="0" distB="0" distL="114300" distR="114300" simplePos="0" relativeHeight="251658240" behindDoc="1" locked="1" layoutInCell="1" allowOverlap="1" wp14:anchorId="45928F3D" wp14:editId="228DDF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19835" cy="645160"/>
          <wp:effectExtent l="0" t="0" r="0" b="254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4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DAA3" w14:textId="77777777" w:rsidR="009C233B" w:rsidRDefault="009C233B" w:rsidP="000A6228">
      <w:pPr>
        <w:spacing w:after="0" w:line="240" w:lineRule="auto"/>
      </w:pPr>
      <w:r>
        <w:separator/>
      </w:r>
    </w:p>
  </w:footnote>
  <w:footnote w:type="continuationSeparator" w:id="0">
    <w:p w14:paraId="17B31292" w14:textId="77777777" w:rsidR="009C233B" w:rsidRDefault="009C233B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042122"/>
    <w:multiLevelType w:val="hybridMultilevel"/>
    <w:tmpl w:val="97F2A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DD6"/>
    <w:multiLevelType w:val="hybridMultilevel"/>
    <w:tmpl w:val="5F9A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5A1F92"/>
    <w:multiLevelType w:val="hybridMultilevel"/>
    <w:tmpl w:val="CC045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94841"/>
    <w:multiLevelType w:val="hybridMultilevel"/>
    <w:tmpl w:val="3B62A0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52DB8"/>
    <w:multiLevelType w:val="hybridMultilevel"/>
    <w:tmpl w:val="2D240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6AB"/>
    <w:multiLevelType w:val="hybridMultilevel"/>
    <w:tmpl w:val="E5544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3FE6"/>
    <w:multiLevelType w:val="hybridMultilevel"/>
    <w:tmpl w:val="78503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254032"/>
    <w:multiLevelType w:val="hybridMultilevel"/>
    <w:tmpl w:val="15CC8A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0A2189"/>
    <w:multiLevelType w:val="hybridMultilevel"/>
    <w:tmpl w:val="86700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41D"/>
    <w:multiLevelType w:val="hybridMultilevel"/>
    <w:tmpl w:val="CE981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A6F0D"/>
    <w:multiLevelType w:val="hybridMultilevel"/>
    <w:tmpl w:val="4D82D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74068"/>
    <w:multiLevelType w:val="hybridMultilevel"/>
    <w:tmpl w:val="9D52E20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B621A5"/>
    <w:multiLevelType w:val="hybridMultilevel"/>
    <w:tmpl w:val="EDD6C6D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220600"/>
    <w:multiLevelType w:val="hybridMultilevel"/>
    <w:tmpl w:val="DD1C322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6C47F1"/>
    <w:multiLevelType w:val="hybridMultilevel"/>
    <w:tmpl w:val="A9049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09E3"/>
    <w:multiLevelType w:val="hybridMultilevel"/>
    <w:tmpl w:val="0F766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EE6C81"/>
    <w:multiLevelType w:val="hybridMultilevel"/>
    <w:tmpl w:val="B7D4F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2277">
    <w:abstractNumId w:val="4"/>
  </w:num>
  <w:num w:numId="2" w16cid:durableId="138153479">
    <w:abstractNumId w:val="10"/>
  </w:num>
  <w:num w:numId="3" w16cid:durableId="626543846">
    <w:abstractNumId w:val="1"/>
  </w:num>
  <w:num w:numId="4" w16cid:durableId="1511989872">
    <w:abstractNumId w:val="22"/>
  </w:num>
  <w:num w:numId="5" w16cid:durableId="692727863">
    <w:abstractNumId w:val="21"/>
  </w:num>
  <w:num w:numId="6" w16cid:durableId="1860310495">
    <w:abstractNumId w:val="19"/>
  </w:num>
  <w:num w:numId="7" w16cid:durableId="858811804">
    <w:abstractNumId w:val="20"/>
  </w:num>
  <w:num w:numId="8" w16cid:durableId="662509182">
    <w:abstractNumId w:val="6"/>
  </w:num>
  <w:num w:numId="9" w16cid:durableId="2141266165">
    <w:abstractNumId w:val="7"/>
  </w:num>
  <w:num w:numId="10" w16cid:durableId="1953894942">
    <w:abstractNumId w:val="9"/>
  </w:num>
  <w:num w:numId="11" w16cid:durableId="316344140">
    <w:abstractNumId w:val="3"/>
  </w:num>
  <w:num w:numId="12" w16cid:durableId="1179584640">
    <w:abstractNumId w:val="18"/>
  </w:num>
  <w:num w:numId="13" w16cid:durableId="1335960799">
    <w:abstractNumId w:val="15"/>
  </w:num>
  <w:num w:numId="14" w16cid:durableId="459499991">
    <w:abstractNumId w:val="13"/>
  </w:num>
  <w:num w:numId="15" w16cid:durableId="920724545">
    <w:abstractNumId w:val="5"/>
  </w:num>
  <w:num w:numId="16" w16cid:durableId="280259102">
    <w:abstractNumId w:val="16"/>
  </w:num>
  <w:num w:numId="17" w16cid:durableId="572468998">
    <w:abstractNumId w:val="8"/>
  </w:num>
  <w:num w:numId="18" w16cid:durableId="538202595">
    <w:abstractNumId w:val="14"/>
  </w:num>
  <w:num w:numId="19" w16cid:durableId="1184855594">
    <w:abstractNumId w:val="23"/>
  </w:num>
  <w:num w:numId="20" w16cid:durableId="669143797">
    <w:abstractNumId w:val="17"/>
  </w:num>
  <w:num w:numId="21" w16cid:durableId="1124467398">
    <w:abstractNumId w:val="2"/>
  </w:num>
  <w:num w:numId="22" w16cid:durableId="13141382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63"/>
    <w:rsid w:val="00012366"/>
    <w:rsid w:val="000172DC"/>
    <w:rsid w:val="0002006C"/>
    <w:rsid w:val="00021FBE"/>
    <w:rsid w:val="000521D7"/>
    <w:rsid w:val="00055A80"/>
    <w:rsid w:val="000A0B58"/>
    <w:rsid w:val="000A22DD"/>
    <w:rsid w:val="000A6228"/>
    <w:rsid w:val="000B5D40"/>
    <w:rsid w:val="000B7EC6"/>
    <w:rsid w:val="000C360B"/>
    <w:rsid w:val="00107D87"/>
    <w:rsid w:val="00107DD5"/>
    <w:rsid w:val="0012343A"/>
    <w:rsid w:val="00133B8D"/>
    <w:rsid w:val="0013611E"/>
    <w:rsid w:val="001515BF"/>
    <w:rsid w:val="00153790"/>
    <w:rsid w:val="0017134D"/>
    <w:rsid w:val="001C1523"/>
    <w:rsid w:val="001C2BC9"/>
    <w:rsid w:val="00221D8F"/>
    <w:rsid w:val="002272DB"/>
    <w:rsid w:val="00276047"/>
    <w:rsid w:val="002A3415"/>
    <w:rsid w:val="002A4458"/>
    <w:rsid w:val="002D589A"/>
    <w:rsid w:val="00337CEF"/>
    <w:rsid w:val="003A1789"/>
    <w:rsid w:val="003C6889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592E79"/>
    <w:rsid w:val="005A75C9"/>
    <w:rsid w:val="005B0070"/>
    <w:rsid w:val="005B187D"/>
    <w:rsid w:val="00617168"/>
    <w:rsid w:val="006232DC"/>
    <w:rsid w:val="0063094F"/>
    <w:rsid w:val="006368DC"/>
    <w:rsid w:val="00642F63"/>
    <w:rsid w:val="006C7866"/>
    <w:rsid w:val="006D67F3"/>
    <w:rsid w:val="006F1FFF"/>
    <w:rsid w:val="006F6D10"/>
    <w:rsid w:val="00712B94"/>
    <w:rsid w:val="007B2CA1"/>
    <w:rsid w:val="007C2C61"/>
    <w:rsid w:val="007D0ABC"/>
    <w:rsid w:val="008042F5"/>
    <w:rsid w:val="008412EF"/>
    <w:rsid w:val="00886959"/>
    <w:rsid w:val="008A36E1"/>
    <w:rsid w:val="008A37A7"/>
    <w:rsid w:val="008B0736"/>
    <w:rsid w:val="00950B06"/>
    <w:rsid w:val="00970069"/>
    <w:rsid w:val="009721EB"/>
    <w:rsid w:val="009B706E"/>
    <w:rsid w:val="009C233B"/>
    <w:rsid w:val="009C423A"/>
    <w:rsid w:val="009E79ED"/>
    <w:rsid w:val="009F6E1F"/>
    <w:rsid w:val="00A07596"/>
    <w:rsid w:val="00A17A08"/>
    <w:rsid w:val="00A20B57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A3B93"/>
    <w:rsid w:val="00BB6509"/>
    <w:rsid w:val="00BC248C"/>
    <w:rsid w:val="00BC4914"/>
    <w:rsid w:val="00C01EC0"/>
    <w:rsid w:val="00C244EE"/>
    <w:rsid w:val="00C72224"/>
    <w:rsid w:val="00C75706"/>
    <w:rsid w:val="00CA4815"/>
    <w:rsid w:val="00CF6562"/>
    <w:rsid w:val="00D5688A"/>
    <w:rsid w:val="00DC5980"/>
    <w:rsid w:val="00DD2B46"/>
    <w:rsid w:val="00E529E5"/>
    <w:rsid w:val="00EB4C2F"/>
    <w:rsid w:val="00ED0DDF"/>
    <w:rsid w:val="00ED3E86"/>
    <w:rsid w:val="00ED6F20"/>
    <w:rsid w:val="00EE56DF"/>
    <w:rsid w:val="00F1000D"/>
    <w:rsid w:val="00F311A4"/>
    <w:rsid w:val="00F66982"/>
    <w:rsid w:val="00F82C2C"/>
    <w:rsid w:val="00F85913"/>
    <w:rsid w:val="00F87F37"/>
    <w:rsid w:val="00FD4D6E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D655A"/>
  <w15:chartTrackingRefBased/>
  <w15:docId w15:val="{8949F996-960C-4A25-BB9C-40512217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82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4914"/>
    <w:pPr>
      <w:keepNext/>
      <w:keepLines/>
      <w:spacing w:before="1320" w:after="0" w:line="940" w:lineRule="exact"/>
      <w:outlineLvl w:val="0"/>
    </w:pPr>
    <w:rPr>
      <w:rFonts w:ascii="Calibri" w:eastAsiaTheme="majorEastAsia" w:hAnsi="Calibri" w:cstheme="majorBidi"/>
      <w:b/>
      <w:color w:val="5F646A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914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2DB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54A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4914"/>
    <w:rPr>
      <w:rFonts w:ascii="Calibri" w:eastAsiaTheme="majorEastAsia" w:hAnsi="Calibri" w:cstheme="majorBidi"/>
      <w:b/>
      <w:color w:val="5F646A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914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72DB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11A4"/>
    <w:rPr>
      <w:rFonts w:asciiTheme="majorHAnsi" w:eastAsiaTheme="majorEastAsia" w:hAnsiTheme="majorHAnsi" w:cstheme="majorBidi"/>
      <w:b/>
      <w:color w:val="00254A" w:themeColor="text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14"/>
    <w:pPr>
      <w:numPr>
        <w:ilvl w:val="1"/>
      </w:numPr>
      <w:spacing w:before="16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C4914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5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5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5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5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4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C4914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4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1C2BC9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F66982"/>
    <w:pPr>
      <w:spacing w:before="0" w:after="240" w:line="259" w:lineRule="auto"/>
      <w:outlineLvl w:val="9"/>
    </w:pPr>
    <w:rPr>
      <w:rFonts w:asciiTheme="majorHAnsi" w:hAnsiTheme="majorHAnsi"/>
      <w:color w:val="F16464" w:themeColor="accent5"/>
      <w:sz w:val="44"/>
      <w:lang w:val="en-US"/>
    </w:rPr>
  </w:style>
  <w:style w:type="paragraph" w:styleId="ListParagraph">
    <w:name w:val="List Paragraph"/>
    <w:aliases w:val="Brief List Paragraph 1,DDM Gen Text,List Paragraph1,List Paragraph11,Recommendation,Body Numbering,L,Numbered paragraph,CV text,F5 List Paragraph,Dot pt,List Paragraph111,Medium Grid 1 - Accent 21,Numbered Paragraph,Bullets,List Bullet Ca"/>
    <w:basedOn w:val="Normal"/>
    <w:link w:val="ListParagraphChar"/>
    <w:uiPriority w:val="34"/>
    <w:qFormat/>
    <w:rsid w:val="005B0070"/>
    <w:pPr>
      <w:spacing w:after="160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Brief List Paragraph 1 Char,DDM Gen Text Char,List Paragraph1 Char,List Paragraph11 Char,Recommendation Char,Body Numbering Char,L Char,Numbered paragraph Char,CV text Char,F5 List Paragraph Char,Dot pt Char,List Paragraph111 Char"/>
    <w:basedOn w:val="DefaultParagraphFont"/>
    <w:link w:val="ListParagraph"/>
    <w:uiPriority w:val="34"/>
    <w:qFormat/>
    <w:rsid w:val="005B0070"/>
    <w:rPr>
      <w:kern w:val="2"/>
      <w14:ligatures w14:val="standardContextual"/>
    </w:rPr>
  </w:style>
  <w:style w:type="table" w:styleId="PlainTable1">
    <w:name w:val="Plain Table 1"/>
    <w:basedOn w:val="TableNormal"/>
    <w:uiPriority w:val="41"/>
    <w:rsid w:val="005B007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3321\AppData\Local\Microsoft\Windows\INetCache\Content.MSO\3F428A99.htm" TargetMode="Externa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9" ma:contentTypeDescription="Create a new document." ma:contentTypeScope="" ma:versionID="b925b15902e2ba4c8f68fd159e922def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3e1aa8f51b88c5eb7ca86a3f9dfdd1c0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76dfe-0b17-40d1-a7b1-ac1e5e02a400">
      <Terms xmlns="http://schemas.microsoft.com/office/infopath/2007/PartnerControls"/>
    </lcf76f155ced4ddcb4097134ff3c332f>
    <TaxCatchAll xmlns="81d707e8-d43a-4c1e-95a7-0bf23a0d792f" xsi:nil="true"/>
  </documentManagement>
</p:properties>
</file>

<file path=customXml/itemProps1.xml><?xml version="1.0" encoding="utf-8"?>
<ds:datastoreItem xmlns:ds="http://schemas.openxmlformats.org/officeDocument/2006/customXml" ds:itemID="{C6FBC92A-D908-4B65-8D30-0E03CC9F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8F3FA-61B0-4197-AB84-A41307E07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9D513-998E-41A3-9810-902074DA011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81d707e8-d43a-4c1e-95a7-0bf23a0d792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b76dfe-0b17-40d1-a7b1-ac1e5e02a4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3F428A99</Template>
  <TotalTime>3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 goes here over a couple of lines</vt:lpstr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landscape report template - light</dc:title>
  <dc:subject/>
  <dc:creator>PALAZZOLO,Jason</dc:creator>
  <cp:keywords/>
  <dc:description/>
  <cp:lastModifiedBy>PALAZZOLO,Jason</cp:lastModifiedBy>
  <cp:revision>7</cp:revision>
  <dcterms:created xsi:type="dcterms:W3CDTF">2024-11-27T00:25:00Z</dcterms:created>
  <dcterms:modified xsi:type="dcterms:W3CDTF">2024-11-27T01:31:00Z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0x0101009BDF0A0F264FFD47A25234CC8EADBA89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