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462E" w14:textId="77777777" w:rsidR="00107DD5" w:rsidRDefault="00221D8F" w:rsidP="00CA4815">
      <w:r w:rsidRPr="00CA4815">
        <w:rPr>
          <w:b/>
          <w:bCs/>
          <w:noProof/>
          <w:lang w:eastAsia="en-AU"/>
        </w:rPr>
        <w:drawing>
          <wp:anchor distT="0" distB="0" distL="114300" distR="114300" simplePos="0" relativeHeight="251658240" behindDoc="1" locked="1" layoutInCell="1" allowOverlap="1" wp14:anchorId="5B30AD91" wp14:editId="757F6F03">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lang w:eastAsia="en-AU"/>
        </w:rPr>
        <w:drawing>
          <wp:inline distT="0" distB="0" distL="0" distR="0" wp14:anchorId="34D2B00A" wp14:editId="11B8437B">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43E03252" w14:textId="2CDE5DD8" w:rsidR="00221D8F" w:rsidRDefault="00760AF9" w:rsidP="00893A34">
          <w:pPr>
            <w:pStyle w:val="Heading1"/>
          </w:pPr>
          <w:r>
            <w:t>Higher Education Loan Program</w:t>
          </w:r>
        </w:p>
      </w:sdtContent>
    </w:sdt>
    <w:bookmarkEnd w:id="0" w:displacedByCustomXml="prev"/>
    <w:bookmarkEnd w:id="1" w:displacedByCustomXml="prev"/>
    <w:p w14:paraId="0AE32796" w14:textId="492029C7" w:rsidR="00760AF9" w:rsidRDefault="00F901CE" w:rsidP="00885C48">
      <w:pPr>
        <w:pStyle w:val="Subtitle"/>
      </w:pPr>
      <w:bookmarkStart w:id="2" w:name="OLE_LINK1"/>
      <w:r>
        <w:t xml:space="preserve">Making </w:t>
      </w:r>
      <w:r w:rsidR="00534508">
        <w:t xml:space="preserve">student </w:t>
      </w:r>
      <w:r w:rsidR="0025515C">
        <w:t>repayment</w:t>
      </w:r>
      <w:r w:rsidR="00CB61DC">
        <w:t>s</w:t>
      </w:r>
      <w:r w:rsidR="0025515C">
        <w:t xml:space="preserve"> </w:t>
      </w:r>
      <w:r>
        <w:t>fairer</w:t>
      </w:r>
    </w:p>
    <w:bookmarkEnd w:id="2"/>
    <w:p w14:paraId="08533933" w14:textId="7E8CD2D4" w:rsidR="00760AF9" w:rsidRPr="00885C48" w:rsidRDefault="6D436CB9" w:rsidP="225BAD62">
      <w:r>
        <w:t>T</w:t>
      </w:r>
      <w:r w:rsidR="3BF3F55D">
        <w:t>he</w:t>
      </w:r>
      <w:r>
        <w:t xml:space="preserve"> Australian</w:t>
      </w:r>
      <w:r w:rsidR="3BF3F55D">
        <w:t xml:space="preserve"> Government will reduce the financial burden of student loan repayments </w:t>
      </w:r>
      <w:r w:rsidR="3760D3E0" w:rsidRPr="225BAD62">
        <w:rPr>
          <w:rFonts w:eastAsiaTheme="minorEastAsia"/>
        </w:rPr>
        <w:t xml:space="preserve">and </w:t>
      </w:r>
      <w:r w:rsidR="74BB7F45" w:rsidRPr="225BAD62">
        <w:rPr>
          <w:rFonts w:eastAsiaTheme="minorEastAsia"/>
        </w:rPr>
        <w:t xml:space="preserve">make the repayment system fairer by </w:t>
      </w:r>
      <w:r w:rsidR="3BF3F55D">
        <w:t>moving to a system of HELP repayment</w:t>
      </w:r>
      <w:r w:rsidR="643BE72A">
        <w:t>s</w:t>
      </w:r>
      <w:r w:rsidR="3BF3F55D">
        <w:t xml:space="preserve"> based on marginal rates from 1 July next year.</w:t>
      </w:r>
    </w:p>
    <w:p w14:paraId="3D533ABC" w14:textId="19A4AAD8" w:rsidR="00885C48" w:rsidRDefault="2D45D195" w:rsidP="00885C48">
      <w:r>
        <w:t>It will also lift the minimum repayment threshold from $54,435 in 2024-25 to $67,000 in 2025-26</w:t>
      </w:r>
      <w:r w:rsidR="655940D5">
        <w:t xml:space="preserve"> (</w:t>
      </w:r>
      <w:r w:rsidR="0DD2DE6E">
        <w:t>an increase of more than 20</w:t>
      </w:r>
      <w:r w:rsidR="655940D5">
        <w:t xml:space="preserve"> per cent)</w:t>
      </w:r>
      <w:r>
        <w:t>.</w:t>
      </w:r>
    </w:p>
    <w:p w14:paraId="3CC7B8B0" w14:textId="3B23B256" w:rsidR="006A342C" w:rsidRPr="00885C48" w:rsidRDefault="1901EE83" w:rsidP="225BAD62">
      <w:r>
        <w:t xml:space="preserve">This will deliver significant cost of living relief to Australians by </w:t>
      </w:r>
      <w:r w:rsidRPr="225BAD62">
        <w:rPr>
          <w:rFonts w:eastAsiaTheme="minorEastAsia"/>
        </w:rPr>
        <w:t xml:space="preserve">increasing the amount people </w:t>
      </w:r>
      <w:r w:rsidR="005204C8">
        <w:rPr>
          <w:rFonts w:eastAsiaTheme="minorEastAsia"/>
        </w:rPr>
        <w:t xml:space="preserve">must </w:t>
      </w:r>
      <w:r w:rsidRPr="225BAD62">
        <w:rPr>
          <w:rFonts w:eastAsiaTheme="minorEastAsia"/>
        </w:rPr>
        <w:t>earn</w:t>
      </w:r>
      <w:r w:rsidR="00BD1348">
        <w:rPr>
          <w:rFonts w:eastAsiaTheme="minorEastAsia"/>
        </w:rPr>
        <w:t>,</w:t>
      </w:r>
      <w:r w:rsidRPr="225BAD62">
        <w:rPr>
          <w:rFonts w:eastAsiaTheme="minorEastAsia"/>
        </w:rPr>
        <w:t xml:space="preserve"> before they are required to start </w:t>
      </w:r>
      <w:r w:rsidR="00E90D87">
        <w:rPr>
          <w:rFonts w:eastAsiaTheme="minorEastAsia"/>
        </w:rPr>
        <w:t xml:space="preserve">making compulsory repayments on their </w:t>
      </w:r>
      <w:r w:rsidRPr="225BAD62">
        <w:rPr>
          <w:rFonts w:eastAsiaTheme="minorEastAsia"/>
        </w:rPr>
        <w:t>loan and</w:t>
      </w:r>
      <w:r w:rsidR="7684EF26">
        <w:t xml:space="preserve"> </w:t>
      </w:r>
      <w:r w:rsidR="00205F77">
        <w:t xml:space="preserve">by </w:t>
      </w:r>
      <w:r w:rsidR="7684EF26">
        <w:t xml:space="preserve">reducing </w:t>
      </w:r>
      <w:r w:rsidR="24D17DA8">
        <w:t xml:space="preserve">the amount of their </w:t>
      </w:r>
      <w:r w:rsidR="7684EF26">
        <w:t xml:space="preserve">compulsory </w:t>
      </w:r>
      <w:r w:rsidR="28C37B78">
        <w:t>HELP</w:t>
      </w:r>
      <w:r w:rsidR="7684EF26">
        <w:t xml:space="preserve"> debt repayments</w:t>
      </w:r>
      <w:r w:rsidR="00C64A66">
        <w:t xml:space="preserve"> </w:t>
      </w:r>
      <w:r w:rsidR="00E12278">
        <w:t>at any given level of income</w:t>
      </w:r>
      <w:r w:rsidR="7684EF26">
        <w:t>.</w:t>
      </w:r>
    </w:p>
    <w:p w14:paraId="74856A0E" w14:textId="77777777" w:rsidR="004925B0" w:rsidRDefault="004925B0" w:rsidP="004925B0">
      <w:pPr>
        <w:pStyle w:val="Heading3"/>
      </w:pPr>
      <w:r>
        <w:t>How will this work?</w:t>
      </w:r>
    </w:p>
    <w:p w14:paraId="5CB296F0" w14:textId="1139D525" w:rsidR="00885C48" w:rsidRDefault="5D40EAA5" w:rsidP="00885C48">
      <w:r>
        <w:t>From 1 July 2025, the Government will</w:t>
      </w:r>
      <w:r w:rsidR="6D436CB9">
        <w:t xml:space="preserve"> introduce a new minimum repayment threshold and marginal rates of repayment.</w:t>
      </w:r>
    </w:p>
    <w:p w14:paraId="2EB27BD7" w14:textId="700A8976" w:rsidR="5AA515DF" w:rsidRDefault="5AA515DF">
      <w:r>
        <w:t>The new minimum repayment threshold of $67,000 represents around 75% of average full-time earnings of a recent higher education graduate</w:t>
      </w:r>
      <w:r w:rsidR="008D14E4">
        <w:t xml:space="preserve"> as measured by the Australian Bureau of Statistics</w:t>
      </w:r>
      <w:r>
        <w:t>.</w:t>
      </w:r>
    </w:p>
    <w:p w14:paraId="018CC0CF" w14:textId="1D003534" w:rsidR="00DC1CDE" w:rsidRDefault="2CD0E2B9" w:rsidP="225BAD62">
      <w:r>
        <w:t>C</w:t>
      </w:r>
      <w:r w:rsidR="4B053AFC">
        <w:t>urrent repayment rates are set as a proportion of total income</w:t>
      </w:r>
      <w:r w:rsidR="5558A0C7">
        <w:t>. U</w:t>
      </w:r>
      <w:r w:rsidR="2C3B83EF">
        <w:t xml:space="preserve">nder </w:t>
      </w:r>
      <w:r w:rsidR="2F8810BD">
        <w:t xml:space="preserve">the new </w:t>
      </w:r>
      <w:r w:rsidR="2C3B83EF">
        <w:t xml:space="preserve">marginal repayment system, </w:t>
      </w:r>
      <w:r w:rsidR="000C6294">
        <w:t xml:space="preserve">repayments </w:t>
      </w:r>
      <w:r w:rsidR="2C3B83EF">
        <w:t xml:space="preserve">will </w:t>
      </w:r>
      <w:r w:rsidR="760D8B9A" w:rsidRPr="59E73ACC">
        <w:rPr>
          <w:rFonts w:eastAsiaTheme="minorEastAsia"/>
        </w:rPr>
        <w:t xml:space="preserve">only be </w:t>
      </w:r>
      <w:r w:rsidR="003C7748">
        <w:rPr>
          <w:rFonts w:eastAsiaTheme="minorEastAsia"/>
        </w:rPr>
        <w:t xml:space="preserve">required </w:t>
      </w:r>
      <w:r w:rsidR="2C3B83EF" w:rsidRPr="59E73ACC">
        <w:rPr>
          <w:rFonts w:eastAsiaTheme="minorEastAsia"/>
        </w:rPr>
        <w:t>based on the portion of a person’s income above the new $67,000 threshold.</w:t>
      </w:r>
      <w:r w:rsidR="00BD2BED">
        <w:rPr>
          <w:rFonts w:eastAsiaTheme="minorEastAsia"/>
        </w:rPr>
        <w:t xml:space="preserve"> </w:t>
      </w:r>
    </w:p>
    <w:p w14:paraId="0AAA020D" w14:textId="074DB41A" w:rsidR="00885C48" w:rsidRPr="00DC1CDE" w:rsidRDefault="00885C48" w:rsidP="00DC1CDE">
      <w:pPr>
        <w:pStyle w:val="Caption"/>
        <w:keepNext/>
      </w:pPr>
      <w:r w:rsidRPr="00885C48">
        <w:t xml:space="preserve">Proposed repayment thresholds </w:t>
      </w:r>
      <w:r w:rsidR="005F1805">
        <w:t xml:space="preserve">with effect </w:t>
      </w:r>
      <w:r w:rsidRPr="00885C48">
        <w:t>from 1 July 2025</w:t>
      </w:r>
    </w:p>
    <w:tbl>
      <w:tblPr>
        <w:tblStyle w:val="EDU-Basic"/>
        <w:tblW w:w="0" w:type="auto"/>
        <w:tblLook w:val="0420" w:firstRow="1" w:lastRow="0" w:firstColumn="0" w:lastColumn="0" w:noHBand="0" w:noVBand="1"/>
      </w:tblPr>
      <w:tblGrid>
        <w:gridCol w:w="2310"/>
        <w:gridCol w:w="1371"/>
        <w:gridCol w:w="4536"/>
      </w:tblGrid>
      <w:tr w:rsidR="00DC1CDE" w14:paraId="55795F37" w14:textId="77777777" w:rsidTr="00DC1CDE">
        <w:trPr>
          <w:cnfStyle w:val="100000000000" w:firstRow="1" w:lastRow="0" w:firstColumn="0" w:lastColumn="0" w:oddVBand="0" w:evenVBand="0" w:oddHBand="0" w:evenHBand="0" w:firstRowFirstColumn="0" w:firstRowLastColumn="0" w:lastRowFirstColumn="0" w:lastRowLastColumn="0"/>
          <w:trHeight w:val="397"/>
          <w:tblHeader/>
        </w:trPr>
        <w:tc>
          <w:tcPr>
            <w:tcW w:w="2310" w:type="dxa"/>
          </w:tcPr>
          <w:p w14:paraId="3E51676C" w14:textId="55E42D47" w:rsidR="00DC1CDE" w:rsidRPr="00CB61DC" w:rsidRDefault="00DC1CDE" w:rsidP="00DC1CDE">
            <w:pPr>
              <w:spacing w:after="100"/>
              <w:jc w:val="center"/>
              <w:rPr>
                <w:b/>
                <w:bCs/>
              </w:rPr>
            </w:pPr>
            <w:r w:rsidRPr="00CB61DC">
              <w:rPr>
                <w:b/>
                <w:bCs/>
              </w:rPr>
              <w:t>Income Thresholds</w:t>
            </w:r>
          </w:p>
        </w:tc>
        <w:tc>
          <w:tcPr>
            <w:tcW w:w="5907" w:type="dxa"/>
            <w:gridSpan w:val="2"/>
          </w:tcPr>
          <w:p w14:paraId="53F96503" w14:textId="241A5171" w:rsidR="00DC1CDE" w:rsidRPr="00CB61DC" w:rsidRDefault="00DC1CDE" w:rsidP="00DC1CDE">
            <w:pPr>
              <w:spacing w:after="0"/>
              <w:jc w:val="center"/>
              <w:rPr>
                <w:b/>
                <w:bCs/>
              </w:rPr>
            </w:pPr>
            <w:r w:rsidRPr="00CB61DC">
              <w:rPr>
                <w:b/>
                <w:bCs/>
              </w:rPr>
              <w:t>Marginal rate of repayment</w:t>
            </w:r>
          </w:p>
        </w:tc>
      </w:tr>
      <w:tr w:rsidR="00DC1CDE" w14:paraId="3E875F03" w14:textId="77777777" w:rsidTr="00B54678">
        <w:trPr>
          <w:trHeight w:val="397"/>
        </w:trPr>
        <w:tc>
          <w:tcPr>
            <w:tcW w:w="3681" w:type="dxa"/>
            <w:gridSpan w:val="2"/>
            <w:vAlign w:val="top"/>
          </w:tcPr>
          <w:p w14:paraId="2C469E0B" w14:textId="0A6E7838" w:rsidR="00DC1CDE" w:rsidRDefault="00DC1CDE" w:rsidP="00DC1CDE">
            <w:pPr>
              <w:spacing w:after="0"/>
            </w:pPr>
            <w:r w:rsidRPr="00885C48">
              <w:t>Below $67,000  </w:t>
            </w:r>
          </w:p>
        </w:tc>
        <w:tc>
          <w:tcPr>
            <w:tcW w:w="4536" w:type="dxa"/>
            <w:vAlign w:val="top"/>
          </w:tcPr>
          <w:p w14:paraId="2C29D667" w14:textId="6FB765BE" w:rsidR="00DC1CDE" w:rsidRDefault="00DC1CDE" w:rsidP="00DC1CDE">
            <w:pPr>
              <w:spacing w:after="0"/>
            </w:pPr>
            <w:r w:rsidRPr="00885C48">
              <w:t>Nil   </w:t>
            </w:r>
          </w:p>
        </w:tc>
      </w:tr>
      <w:tr w:rsidR="00DC1CDE" w14:paraId="44F5F5CF" w14:textId="77777777" w:rsidTr="00B54678">
        <w:trPr>
          <w:trHeight w:val="397"/>
        </w:trPr>
        <w:tc>
          <w:tcPr>
            <w:tcW w:w="3681" w:type="dxa"/>
            <w:gridSpan w:val="2"/>
            <w:vAlign w:val="top"/>
          </w:tcPr>
          <w:p w14:paraId="6A54BE65" w14:textId="598888FD" w:rsidR="00DC1CDE" w:rsidRDefault="00DC1CDE" w:rsidP="00DC1CDE">
            <w:pPr>
              <w:spacing w:after="0"/>
            </w:pPr>
            <w:r w:rsidRPr="00885C48">
              <w:t>Income above $67,000 to $124,999   </w:t>
            </w:r>
          </w:p>
        </w:tc>
        <w:tc>
          <w:tcPr>
            <w:tcW w:w="4536" w:type="dxa"/>
            <w:vAlign w:val="top"/>
          </w:tcPr>
          <w:p w14:paraId="50190D65" w14:textId="69C73025" w:rsidR="00DC1CDE" w:rsidRDefault="00DC1CDE" w:rsidP="00DC1CDE">
            <w:pPr>
              <w:spacing w:after="0"/>
            </w:pPr>
            <w:r w:rsidRPr="00885C48">
              <w:t>15c for each dollar over $67,000  </w:t>
            </w:r>
          </w:p>
        </w:tc>
      </w:tr>
      <w:tr w:rsidR="00DC1CDE" w14:paraId="1E9AD5EC" w14:textId="77777777" w:rsidTr="00B54678">
        <w:trPr>
          <w:trHeight w:val="397"/>
        </w:trPr>
        <w:tc>
          <w:tcPr>
            <w:tcW w:w="3681" w:type="dxa"/>
            <w:gridSpan w:val="2"/>
            <w:vAlign w:val="top"/>
          </w:tcPr>
          <w:p w14:paraId="2AE3D3FA" w14:textId="160797D9" w:rsidR="00DC1CDE" w:rsidRDefault="00DC1CDE" w:rsidP="00DC1CDE">
            <w:pPr>
              <w:spacing w:after="0"/>
            </w:pPr>
            <w:r w:rsidRPr="00885C48">
              <w:t>Income above $125,000  </w:t>
            </w:r>
          </w:p>
        </w:tc>
        <w:tc>
          <w:tcPr>
            <w:tcW w:w="4536" w:type="dxa"/>
            <w:vAlign w:val="top"/>
          </w:tcPr>
          <w:p w14:paraId="0147E621" w14:textId="198EDAAE" w:rsidR="00DC1CDE" w:rsidRDefault="00DC1CDE" w:rsidP="00DC1CDE">
            <w:pPr>
              <w:spacing w:after="0"/>
            </w:pPr>
            <w:r w:rsidRPr="00885C48">
              <w:t>$8,700 plus 17c for each dollar over $125,000  </w:t>
            </w:r>
          </w:p>
        </w:tc>
      </w:tr>
    </w:tbl>
    <w:p w14:paraId="413B9E8E" w14:textId="0AF52B93" w:rsidR="00A9007B" w:rsidRPr="00885C48" w:rsidRDefault="6D436CB9" w:rsidP="225BAD62">
      <w:pPr>
        <w:pStyle w:val="Heading3"/>
        <w:spacing w:after="0" w:line="240" w:lineRule="auto"/>
        <w:rPr>
          <w:rStyle w:val="eop"/>
          <w:rFonts w:asciiTheme="minorHAnsi" w:eastAsiaTheme="minorEastAsia" w:hAnsiTheme="minorHAnsi" w:cstheme="minorBidi"/>
          <w:b w:val="0"/>
          <w:color w:val="auto"/>
          <w:sz w:val="22"/>
          <w:szCs w:val="22"/>
        </w:rPr>
      </w:pPr>
      <w:r w:rsidRPr="225BAD62">
        <w:rPr>
          <w:rFonts w:asciiTheme="minorHAnsi" w:eastAsiaTheme="minorEastAsia" w:hAnsiTheme="minorHAnsi" w:cstheme="minorBidi"/>
          <w:b w:val="0"/>
          <w:color w:val="auto"/>
          <w:sz w:val="22"/>
          <w:szCs w:val="22"/>
        </w:rPr>
        <w:t>The Australian Taxation Office (ATO) will calculate an Individual</w:t>
      </w:r>
      <w:r w:rsidR="00A81ED3">
        <w:rPr>
          <w:rFonts w:asciiTheme="minorHAnsi" w:eastAsiaTheme="minorEastAsia" w:hAnsiTheme="minorHAnsi" w:cstheme="minorBidi"/>
          <w:b w:val="0"/>
          <w:color w:val="auto"/>
          <w:sz w:val="22"/>
          <w:szCs w:val="22"/>
        </w:rPr>
        <w:t>’</w:t>
      </w:r>
      <w:r w:rsidRPr="225BAD62">
        <w:rPr>
          <w:rFonts w:asciiTheme="minorHAnsi" w:eastAsiaTheme="minorEastAsia" w:hAnsiTheme="minorHAnsi" w:cstheme="minorBidi"/>
          <w:b w:val="0"/>
          <w:color w:val="auto"/>
          <w:sz w:val="22"/>
          <w:szCs w:val="22"/>
        </w:rPr>
        <w:t>s compulsory repayment based on their annual income, confirmed once their tax return is submitted. </w:t>
      </w:r>
    </w:p>
    <w:p w14:paraId="6DA40CE3" w14:textId="138E68E8" w:rsidR="225BAD62" w:rsidRDefault="225BAD62" w:rsidP="225BAD62">
      <w:pPr>
        <w:rPr>
          <w:lang w:val="en-US"/>
        </w:rPr>
      </w:pPr>
    </w:p>
    <w:p w14:paraId="3120DA3E" w14:textId="1920F058" w:rsidR="004925B0" w:rsidRDefault="004925B0" w:rsidP="00885C48">
      <w:pPr>
        <w:pStyle w:val="Heading3"/>
      </w:pPr>
      <w:r>
        <w:lastRenderedPageBreak/>
        <w:t xml:space="preserve">Why is it </w:t>
      </w:r>
      <w:r w:rsidR="6C5000A4">
        <w:t>i</w:t>
      </w:r>
      <w:r>
        <w:t>mportant?</w:t>
      </w:r>
    </w:p>
    <w:p w14:paraId="14D19D9E" w14:textId="03049E0B" w:rsidR="00885C48" w:rsidRDefault="00885C48" w:rsidP="00885C48">
      <w:r w:rsidRPr="00DC1CDE">
        <w:t xml:space="preserve">The Australian Universities Accord recommended </w:t>
      </w:r>
      <w:r w:rsidR="0015790D">
        <w:t>(Recommendation 16</w:t>
      </w:r>
      <w:r w:rsidR="00866282">
        <w:t xml:space="preserve">b) </w:t>
      </w:r>
      <w:r w:rsidRPr="00DC1CDE">
        <w:t>reducing repayments for lower income earners by moving to a system of marginal repayment rates</w:t>
      </w:r>
      <w:r w:rsidR="005F1805">
        <w:t>, having considered submissions from Professor Bruce Chapman and other experts</w:t>
      </w:r>
      <w:r w:rsidR="00DC1CDE">
        <w:t>.</w:t>
      </w:r>
    </w:p>
    <w:p w14:paraId="2FDA9E31" w14:textId="637D56AC" w:rsidR="00DC1CDE" w:rsidRPr="00885C48" w:rsidRDefault="4B053AFC" w:rsidP="00885C48">
      <w:r>
        <w:t>Individuals will be able to earn more before they need to start making compulsory repayments and the size of repayments will be less</w:t>
      </w:r>
      <w:r w:rsidR="003862FE">
        <w:t xml:space="preserve"> </w:t>
      </w:r>
      <w:r w:rsidR="00E12278">
        <w:t>at any given level of income</w:t>
      </w:r>
      <w:r>
        <w:t>.</w:t>
      </w:r>
    </w:p>
    <w:p w14:paraId="65FE5974" w14:textId="6FEE9673" w:rsidR="00DC1CDE" w:rsidRPr="002A4531" w:rsidRDefault="60B1E6AE" w:rsidP="225BAD62">
      <w:pPr>
        <w:rPr>
          <w:rFonts w:eastAsiaTheme="minorEastAsia"/>
        </w:rPr>
      </w:pPr>
      <w:r w:rsidRPr="225BAD62">
        <w:rPr>
          <w:rFonts w:eastAsiaTheme="minorEastAsia"/>
        </w:rPr>
        <w:t xml:space="preserve">By making these adjustments to repayment rates and thresholds the Government will ensure that more people have more money in their take home pay now by ‘smoothing out’ the time and pace in which they repay their debt. </w:t>
      </w:r>
    </w:p>
    <w:p w14:paraId="1935CB3F" w14:textId="2891EEF1" w:rsidR="00DC1CDE" w:rsidRPr="002A4531" w:rsidRDefault="78CF459E" w:rsidP="225BAD62">
      <w:pPr>
        <w:pStyle w:val="Caption"/>
      </w:pPr>
      <w:r w:rsidRPr="225BAD62">
        <w:rPr>
          <w:lang w:val="en-US"/>
        </w:rPr>
        <w:t>Estimated compulsory repayment amounts</w:t>
      </w:r>
    </w:p>
    <w:tbl>
      <w:tblPr>
        <w:tblStyle w:val="EDU-Basic"/>
        <w:tblW w:w="0" w:type="auto"/>
        <w:tblLook w:val="0420" w:firstRow="1" w:lastRow="0" w:firstColumn="0" w:lastColumn="0" w:noHBand="0" w:noVBand="1"/>
      </w:tblPr>
      <w:tblGrid>
        <w:gridCol w:w="2235"/>
        <w:gridCol w:w="2464"/>
        <w:gridCol w:w="1935"/>
        <w:gridCol w:w="1935"/>
      </w:tblGrid>
      <w:tr w:rsidR="225BAD62" w14:paraId="7FF0C730" w14:textId="77777777" w:rsidTr="225BAD62">
        <w:trPr>
          <w:cnfStyle w:val="100000000000" w:firstRow="1" w:lastRow="0" w:firstColumn="0" w:lastColumn="0" w:oddVBand="0" w:evenVBand="0" w:oddHBand="0" w:evenHBand="0" w:firstRowFirstColumn="0" w:firstRowLastColumn="0" w:lastRowFirstColumn="0" w:lastRowLastColumn="0"/>
          <w:trHeight w:val="397"/>
        </w:trPr>
        <w:tc>
          <w:tcPr>
            <w:tcW w:w="2235" w:type="dxa"/>
          </w:tcPr>
          <w:p w14:paraId="3745B33C" w14:textId="1CFB0D5A" w:rsidR="225BAD62" w:rsidRDefault="225BAD62" w:rsidP="225BAD62">
            <w:pPr>
              <w:spacing w:after="100"/>
            </w:pPr>
            <w:r>
              <w:t>Income Threshold</w:t>
            </w:r>
          </w:p>
        </w:tc>
        <w:tc>
          <w:tcPr>
            <w:tcW w:w="2464" w:type="dxa"/>
          </w:tcPr>
          <w:p w14:paraId="2C38C5BD" w14:textId="3E627FAB" w:rsidR="225BAD62" w:rsidRDefault="225BAD62" w:rsidP="225BAD62">
            <w:pPr>
              <w:spacing w:after="0"/>
            </w:pPr>
            <w:r>
              <w:t>Current compulsory repayment amount estimated (2025-26)</w:t>
            </w:r>
          </w:p>
        </w:tc>
        <w:tc>
          <w:tcPr>
            <w:tcW w:w="1935" w:type="dxa"/>
          </w:tcPr>
          <w:p w14:paraId="49DA7C77" w14:textId="45A4DACA" w:rsidR="225BAD62" w:rsidRDefault="225BAD62" w:rsidP="225BAD62">
            <w:pPr>
              <w:spacing w:after="0"/>
            </w:pPr>
            <w:r>
              <w:t xml:space="preserve">Compulsory repayment amount under proposed change  </w:t>
            </w:r>
          </w:p>
        </w:tc>
        <w:tc>
          <w:tcPr>
            <w:tcW w:w="1935" w:type="dxa"/>
          </w:tcPr>
          <w:p w14:paraId="54BF288B" w14:textId="4FC67768" w:rsidR="225BAD62" w:rsidRDefault="225BAD62" w:rsidP="225BAD62">
            <w:r>
              <w:t xml:space="preserve">Reduction in compulsory repayment amount  </w:t>
            </w:r>
          </w:p>
        </w:tc>
      </w:tr>
      <w:tr w:rsidR="225BAD62" w14:paraId="070C7D5E"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5E559456" w14:textId="31FDEB80" w:rsidR="225BAD62" w:rsidRDefault="225BAD62" w:rsidP="225BAD62">
            <w:pPr>
              <w:spacing w:before="120" w:after="120"/>
            </w:pPr>
            <w:r w:rsidRPr="225BAD62">
              <w:rPr>
                <w:rFonts w:eastAsiaTheme="minorEastAsia"/>
                <w:lang w:val="en-US"/>
              </w:rPr>
              <w:t>$60,000</w:t>
            </w:r>
          </w:p>
        </w:tc>
        <w:tc>
          <w:tcPr>
            <w:tcW w:w="2464" w:type="dxa"/>
            <w:tcBorders>
              <w:top w:val="nil"/>
              <w:left w:val="nil"/>
              <w:bottom w:val="single" w:sz="8" w:space="0" w:color="auto"/>
              <w:right w:val="single" w:sz="8" w:space="0" w:color="auto"/>
            </w:tcBorders>
          </w:tcPr>
          <w:p w14:paraId="3EB65484" w14:textId="455ED22B" w:rsidR="225BAD62" w:rsidRDefault="225BAD62" w:rsidP="225BAD62">
            <w:pPr>
              <w:spacing w:before="120" w:after="120"/>
            </w:pPr>
            <w:r w:rsidRPr="225BAD62">
              <w:rPr>
                <w:rFonts w:eastAsiaTheme="minorEastAsia"/>
                <w:lang w:val="en-US"/>
              </w:rPr>
              <w:t>$600</w:t>
            </w:r>
          </w:p>
        </w:tc>
        <w:tc>
          <w:tcPr>
            <w:tcW w:w="1935" w:type="dxa"/>
            <w:tcBorders>
              <w:top w:val="nil"/>
              <w:left w:val="nil"/>
              <w:bottom w:val="single" w:sz="8" w:space="0" w:color="auto"/>
              <w:right w:val="single" w:sz="8" w:space="0" w:color="auto"/>
            </w:tcBorders>
            <w:vAlign w:val="bottom"/>
          </w:tcPr>
          <w:p w14:paraId="4D5A7BA6" w14:textId="155D96F3" w:rsidR="225BAD62" w:rsidRDefault="225BAD62" w:rsidP="225BAD62">
            <w:pPr>
              <w:spacing w:before="120" w:after="120"/>
            </w:pPr>
            <w:r w:rsidRPr="225BAD62">
              <w:rPr>
                <w:rFonts w:eastAsiaTheme="minorEastAsia"/>
                <w:lang w:val="en-US"/>
              </w:rPr>
              <w:t>$0</w:t>
            </w:r>
          </w:p>
        </w:tc>
        <w:tc>
          <w:tcPr>
            <w:tcW w:w="1935" w:type="dxa"/>
            <w:tcBorders>
              <w:top w:val="nil"/>
              <w:left w:val="nil"/>
              <w:bottom w:val="single" w:sz="8" w:space="0" w:color="auto"/>
              <w:right w:val="single" w:sz="8" w:space="0" w:color="auto"/>
            </w:tcBorders>
            <w:vAlign w:val="bottom"/>
          </w:tcPr>
          <w:p w14:paraId="74F35892" w14:textId="5C868E87" w:rsidR="225BAD62" w:rsidRDefault="225BAD62" w:rsidP="225BAD62">
            <w:pPr>
              <w:spacing w:before="120" w:after="120"/>
            </w:pPr>
            <w:r w:rsidRPr="225BAD62">
              <w:rPr>
                <w:rFonts w:eastAsiaTheme="minorEastAsia"/>
                <w:lang w:val="en-US"/>
              </w:rPr>
              <w:t>$600</w:t>
            </w:r>
          </w:p>
        </w:tc>
      </w:tr>
      <w:tr w:rsidR="225BAD62" w14:paraId="20E3355E"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2B7125E0" w14:textId="540CAB42" w:rsidR="225BAD62" w:rsidRDefault="225BAD62" w:rsidP="225BAD62">
            <w:pPr>
              <w:spacing w:before="120" w:after="120"/>
            </w:pPr>
            <w:r w:rsidRPr="225BAD62">
              <w:rPr>
                <w:rFonts w:eastAsiaTheme="minorEastAsia"/>
                <w:lang w:val="en-US"/>
              </w:rPr>
              <w:t>$70,000</w:t>
            </w:r>
          </w:p>
        </w:tc>
        <w:tc>
          <w:tcPr>
            <w:tcW w:w="2464" w:type="dxa"/>
            <w:tcBorders>
              <w:top w:val="nil"/>
              <w:left w:val="nil"/>
              <w:bottom w:val="single" w:sz="8" w:space="0" w:color="auto"/>
              <w:right w:val="single" w:sz="8" w:space="0" w:color="auto"/>
            </w:tcBorders>
          </w:tcPr>
          <w:p w14:paraId="303D329A" w14:textId="35F13A35" w:rsidR="225BAD62" w:rsidRDefault="225BAD62" w:rsidP="225BAD62">
            <w:pPr>
              <w:spacing w:before="120" w:after="120"/>
            </w:pPr>
            <w:r w:rsidRPr="225BAD62">
              <w:rPr>
                <w:rFonts w:eastAsiaTheme="minorEastAsia"/>
                <w:lang w:val="en-US"/>
              </w:rPr>
              <w:t>$1,750</w:t>
            </w:r>
          </w:p>
        </w:tc>
        <w:tc>
          <w:tcPr>
            <w:tcW w:w="1935" w:type="dxa"/>
            <w:tcBorders>
              <w:top w:val="nil"/>
              <w:left w:val="nil"/>
              <w:bottom w:val="single" w:sz="8" w:space="0" w:color="auto"/>
              <w:right w:val="single" w:sz="8" w:space="0" w:color="auto"/>
            </w:tcBorders>
            <w:vAlign w:val="bottom"/>
          </w:tcPr>
          <w:p w14:paraId="28E7E7B8" w14:textId="56669C70" w:rsidR="225BAD62" w:rsidRDefault="225BAD62" w:rsidP="225BAD62">
            <w:pPr>
              <w:spacing w:before="120" w:after="120"/>
            </w:pPr>
            <w:r w:rsidRPr="225BAD62">
              <w:rPr>
                <w:rFonts w:eastAsiaTheme="minorEastAsia"/>
                <w:lang w:val="en-US"/>
              </w:rPr>
              <w:t>$450</w:t>
            </w:r>
          </w:p>
        </w:tc>
        <w:tc>
          <w:tcPr>
            <w:tcW w:w="1935" w:type="dxa"/>
            <w:tcBorders>
              <w:top w:val="nil"/>
              <w:left w:val="nil"/>
              <w:bottom w:val="single" w:sz="8" w:space="0" w:color="auto"/>
              <w:right w:val="single" w:sz="8" w:space="0" w:color="auto"/>
            </w:tcBorders>
            <w:vAlign w:val="bottom"/>
          </w:tcPr>
          <w:p w14:paraId="4660DE56" w14:textId="756FB111" w:rsidR="225BAD62" w:rsidRDefault="225BAD62" w:rsidP="225BAD62">
            <w:pPr>
              <w:spacing w:before="120" w:after="120"/>
            </w:pPr>
            <w:r w:rsidRPr="225BAD62">
              <w:rPr>
                <w:rFonts w:eastAsiaTheme="minorEastAsia"/>
                <w:lang w:val="en-US"/>
              </w:rPr>
              <w:t>$1,300</w:t>
            </w:r>
          </w:p>
        </w:tc>
      </w:tr>
      <w:tr w:rsidR="225BAD62" w14:paraId="3A5267F8"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6B76CDC3" w14:textId="1B840B5D" w:rsidR="225BAD62" w:rsidRDefault="225BAD62" w:rsidP="225BAD62">
            <w:pPr>
              <w:spacing w:before="120" w:after="120"/>
            </w:pPr>
            <w:r w:rsidRPr="225BAD62">
              <w:rPr>
                <w:rFonts w:eastAsiaTheme="minorEastAsia"/>
                <w:lang w:val="en-US"/>
              </w:rPr>
              <w:t>$80,000</w:t>
            </w:r>
          </w:p>
        </w:tc>
        <w:tc>
          <w:tcPr>
            <w:tcW w:w="2464" w:type="dxa"/>
            <w:tcBorders>
              <w:top w:val="nil"/>
              <w:left w:val="nil"/>
              <w:bottom w:val="single" w:sz="8" w:space="0" w:color="auto"/>
              <w:right w:val="single" w:sz="8" w:space="0" w:color="auto"/>
            </w:tcBorders>
          </w:tcPr>
          <w:p w14:paraId="1AD7AA4D" w14:textId="171DEB0B" w:rsidR="225BAD62" w:rsidRDefault="225BAD62" w:rsidP="225BAD62">
            <w:pPr>
              <w:spacing w:before="120" w:after="120"/>
            </w:pPr>
            <w:r w:rsidRPr="225BAD62">
              <w:rPr>
                <w:rFonts w:eastAsiaTheme="minorEastAsia"/>
                <w:lang w:val="en-US"/>
              </w:rPr>
              <w:t>$2,800</w:t>
            </w:r>
          </w:p>
        </w:tc>
        <w:tc>
          <w:tcPr>
            <w:tcW w:w="1935" w:type="dxa"/>
            <w:tcBorders>
              <w:top w:val="nil"/>
              <w:left w:val="nil"/>
              <w:bottom w:val="single" w:sz="8" w:space="0" w:color="auto"/>
              <w:right w:val="single" w:sz="8" w:space="0" w:color="auto"/>
            </w:tcBorders>
            <w:vAlign w:val="bottom"/>
          </w:tcPr>
          <w:p w14:paraId="767F292D" w14:textId="20BC219A" w:rsidR="225BAD62" w:rsidRDefault="225BAD62" w:rsidP="225BAD62">
            <w:pPr>
              <w:spacing w:before="120" w:after="120"/>
            </w:pPr>
            <w:r w:rsidRPr="225BAD62">
              <w:rPr>
                <w:rFonts w:eastAsiaTheme="minorEastAsia"/>
                <w:lang w:val="en-US"/>
              </w:rPr>
              <w:t>$1,950</w:t>
            </w:r>
          </w:p>
        </w:tc>
        <w:tc>
          <w:tcPr>
            <w:tcW w:w="1935" w:type="dxa"/>
            <w:tcBorders>
              <w:top w:val="nil"/>
              <w:left w:val="nil"/>
              <w:bottom w:val="single" w:sz="8" w:space="0" w:color="auto"/>
              <w:right w:val="single" w:sz="8" w:space="0" w:color="auto"/>
            </w:tcBorders>
            <w:vAlign w:val="bottom"/>
          </w:tcPr>
          <w:p w14:paraId="66C793C9" w14:textId="17DA728D" w:rsidR="225BAD62" w:rsidRDefault="225BAD62" w:rsidP="225BAD62">
            <w:pPr>
              <w:spacing w:before="120" w:after="120"/>
            </w:pPr>
            <w:r w:rsidRPr="225BAD62">
              <w:rPr>
                <w:rFonts w:eastAsiaTheme="minorEastAsia"/>
                <w:lang w:val="en-US"/>
              </w:rPr>
              <w:t>$850</w:t>
            </w:r>
          </w:p>
        </w:tc>
      </w:tr>
      <w:tr w:rsidR="225BAD62" w14:paraId="19C62706"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7E69E326" w14:textId="674255FB" w:rsidR="225BAD62" w:rsidRDefault="225BAD62" w:rsidP="225BAD62">
            <w:pPr>
              <w:spacing w:before="120" w:after="120"/>
            </w:pPr>
            <w:r w:rsidRPr="225BAD62">
              <w:rPr>
                <w:rFonts w:eastAsiaTheme="minorEastAsia"/>
                <w:lang w:val="en-US"/>
              </w:rPr>
              <w:t>$90,000</w:t>
            </w:r>
          </w:p>
        </w:tc>
        <w:tc>
          <w:tcPr>
            <w:tcW w:w="2464" w:type="dxa"/>
            <w:tcBorders>
              <w:top w:val="nil"/>
              <w:left w:val="nil"/>
              <w:bottom w:val="single" w:sz="8" w:space="0" w:color="auto"/>
              <w:right w:val="single" w:sz="8" w:space="0" w:color="auto"/>
            </w:tcBorders>
          </w:tcPr>
          <w:p w14:paraId="7B6B2FD0" w14:textId="2E3A71FC" w:rsidR="225BAD62" w:rsidRDefault="225BAD62" w:rsidP="225BAD62">
            <w:pPr>
              <w:spacing w:before="120" w:after="120"/>
            </w:pPr>
            <w:r w:rsidRPr="225BAD62">
              <w:rPr>
                <w:rFonts w:eastAsiaTheme="minorEastAsia"/>
                <w:lang w:val="en-US"/>
              </w:rPr>
              <w:t>$4,050</w:t>
            </w:r>
          </w:p>
        </w:tc>
        <w:tc>
          <w:tcPr>
            <w:tcW w:w="1935" w:type="dxa"/>
            <w:tcBorders>
              <w:top w:val="nil"/>
              <w:left w:val="nil"/>
              <w:bottom w:val="single" w:sz="8" w:space="0" w:color="auto"/>
              <w:right w:val="single" w:sz="8" w:space="0" w:color="auto"/>
            </w:tcBorders>
            <w:vAlign w:val="bottom"/>
          </w:tcPr>
          <w:p w14:paraId="70995C6A" w14:textId="5FC8D6D5" w:rsidR="225BAD62" w:rsidRDefault="225BAD62" w:rsidP="225BAD62">
            <w:pPr>
              <w:spacing w:before="120" w:after="120"/>
            </w:pPr>
            <w:r w:rsidRPr="225BAD62">
              <w:rPr>
                <w:rFonts w:eastAsiaTheme="minorEastAsia"/>
                <w:lang w:val="en-US"/>
              </w:rPr>
              <w:t>$3,450</w:t>
            </w:r>
          </w:p>
        </w:tc>
        <w:tc>
          <w:tcPr>
            <w:tcW w:w="1935" w:type="dxa"/>
            <w:tcBorders>
              <w:top w:val="nil"/>
              <w:left w:val="nil"/>
              <w:bottom w:val="single" w:sz="8" w:space="0" w:color="auto"/>
              <w:right w:val="single" w:sz="8" w:space="0" w:color="auto"/>
            </w:tcBorders>
            <w:vAlign w:val="bottom"/>
          </w:tcPr>
          <w:p w14:paraId="15B89684" w14:textId="33DB6A71" w:rsidR="225BAD62" w:rsidRDefault="225BAD62" w:rsidP="225BAD62">
            <w:pPr>
              <w:spacing w:before="120" w:after="120"/>
            </w:pPr>
            <w:r w:rsidRPr="225BAD62">
              <w:rPr>
                <w:rFonts w:eastAsiaTheme="minorEastAsia"/>
                <w:lang w:val="en-US"/>
              </w:rPr>
              <w:t>$600</w:t>
            </w:r>
          </w:p>
        </w:tc>
      </w:tr>
      <w:tr w:rsidR="225BAD62" w14:paraId="3F342F60" w14:textId="77777777" w:rsidTr="225BAD62">
        <w:trPr>
          <w:trHeight w:val="300"/>
        </w:trPr>
        <w:tc>
          <w:tcPr>
            <w:tcW w:w="2235" w:type="dxa"/>
            <w:tcBorders>
              <w:top w:val="nil"/>
              <w:left w:val="single" w:sz="8" w:space="0" w:color="auto"/>
              <w:bottom w:val="single" w:sz="8" w:space="0" w:color="auto"/>
              <w:right w:val="single" w:sz="8" w:space="0" w:color="auto"/>
            </w:tcBorders>
            <w:vAlign w:val="bottom"/>
          </w:tcPr>
          <w:p w14:paraId="45BE2753" w14:textId="1F66939A" w:rsidR="225BAD62" w:rsidRDefault="225BAD62" w:rsidP="225BAD62">
            <w:pPr>
              <w:spacing w:before="120" w:after="120"/>
            </w:pPr>
            <w:r w:rsidRPr="225BAD62">
              <w:rPr>
                <w:rFonts w:eastAsiaTheme="minorEastAsia"/>
                <w:lang w:val="en-US"/>
              </w:rPr>
              <w:t>$100,000</w:t>
            </w:r>
          </w:p>
        </w:tc>
        <w:tc>
          <w:tcPr>
            <w:tcW w:w="2464" w:type="dxa"/>
            <w:tcBorders>
              <w:top w:val="nil"/>
              <w:left w:val="nil"/>
              <w:bottom w:val="single" w:sz="8" w:space="0" w:color="auto"/>
              <w:right w:val="single" w:sz="8" w:space="0" w:color="auto"/>
            </w:tcBorders>
          </w:tcPr>
          <w:p w14:paraId="4B084A92" w14:textId="3EB7A6D2" w:rsidR="225BAD62" w:rsidRDefault="225BAD62" w:rsidP="225BAD62">
            <w:pPr>
              <w:spacing w:before="120" w:after="120"/>
            </w:pPr>
            <w:r w:rsidRPr="225BAD62">
              <w:rPr>
                <w:rFonts w:eastAsiaTheme="minorEastAsia"/>
                <w:lang w:val="en-US"/>
              </w:rPr>
              <w:t>$5,500</w:t>
            </w:r>
          </w:p>
        </w:tc>
        <w:tc>
          <w:tcPr>
            <w:tcW w:w="1935" w:type="dxa"/>
            <w:tcBorders>
              <w:top w:val="nil"/>
              <w:left w:val="nil"/>
              <w:bottom w:val="single" w:sz="8" w:space="0" w:color="auto"/>
              <w:right w:val="single" w:sz="8" w:space="0" w:color="auto"/>
            </w:tcBorders>
            <w:vAlign w:val="bottom"/>
          </w:tcPr>
          <w:p w14:paraId="06165B67" w14:textId="7C23C87D" w:rsidR="225BAD62" w:rsidRDefault="225BAD62" w:rsidP="225BAD62">
            <w:pPr>
              <w:spacing w:before="120" w:after="120"/>
            </w:pPr>
            <w:r w:rsidRPr="225BAD62">
              <w:rPr>
                <w:rFonts w:eastAsiaTheme="minorEastAsia"/>
                <w:lang w:val="en-US"/>
              </w:rPr>
              <w:t>$4,950</w:t>
            </w:r>
          </w:p>
        </w:tc>
        <w:tc>
          <w:tcPr>
            <w:tcW w:w="1935" w:type="dxa"/>
            <w:tcBorders>
              <w:top w:val="nil"/>
              <w:left w:val="nil"/>
              <w:bottom w:val="single" w:sz="8" w:space="0" w:color="auto"/>
              <w:right w:val="single" w:sz="8" w:space="0" w:color="auto"/>
            </w:tcBorders>
            <w:vAlign w:val="bottom"/>
          </w:tcPr>
          <w:p w14:paraId="717D3E85" w14:textId="21B858B7" w:rsidR="225BAD62" w:rsidRDefault="225BAD62" w:rsidP="225BAD62">
            <w:pPr>
              <w:spacing w:before="120" w:after="120"/>
            </w:pPr>
            <w:r w:rsidRPr="225BAD62">
              <w:rPr>
                <w:rFonts w:eastAsiaTheme="minorEastAsia"/>
                <w:lang w:val="en-US"/>
              </w:rPr>
              <w:t>$550</w:t>
            </w:r>
          </w:p>
        </w:tc>
      </w:tr>
      <w:tr w:rsidR="225BAD62" w14:paraId="003FB729"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77148960" w14:textId="6E086209" w:rsidR="225BAD62" w:rsidRDefault="225BAD62" w:rsidP="225BAD62">
            <w:pPr>
              <w:spacing w:before="120" w:after="120"/>
            </w:pPr>
            <w:r w:rsidRPr="225BAD62">
              <w:rPr>
                <w:rFonts w:eastAsiaTheme="minorEastAsia"/>
                <w:lang w:val="en-US"/>
              </w:rPr>
              <w:t>$110,000</w:t>
            </w:r>
          </w:p>
        </w:tc>
        <w:tc>
          <w:tcPr>
            <w:tcW w:w="2464" w:type="dxa"/>
            <w:tcBorders>
              <w:top w:val="nil"/>
              <w:left w:val="nil"/>
              <w:bottom w:val="single" w:sz="8" w:space="0" w:color="auto"/>
              <w:right w:val="single" w:sz="8" w:space="0" w:color="auto"/>
            </w:tcBorders>
          </w:tcPr>
          <w:p w14:paraId="76D4A3BC" w14:textId="1C7ED5A7" w:rsidR="225BAD62" w:rsidRDefault="225BAD62" w:rsidP="225BAD62">
            <w:pPr>
              <w:spacing w:before="120" w:after="120"/>
            </w:pPr>
            <w:r w:rsidRPr="225BAD62">
              <w:rPr>
                <w:rFonts w:eastAsiaTheme="minorEastAsia"/>
                <w:lang w:val="en-US"/>
              </w:rPr>
              <w:t>$7,150</w:t>
            </w:r>
          </w:p>
        </w:tc>
        <w:tc>
          <w:tcPr>
            <w:tcW w:w="1935" w:type="dxa"/>
            <w:tcBorders>
              <w:top w:val="nil"/>
              <w:left w:val="nil"/>
              <w:bottom w:val="single" w:sz="8" w:space="0" w:color="auto"/>
              <w:right w:val="single" w:sz="8" w:space="0" w:color="auto"/>
            </w:tcBorders>
            <w:vAlign w:val="bottom"/>
          </w:tcPr>
          <w:p w14:paraId="65C54B41" w14:textId="63BEC4DC" w:rsidR="225BAD62" w:rsidRDefault="225BAD62" w:rsidP="225BAD62">
            <w:pPr>
              <w:spacing w:before="120" w:after="120"/>
            </w:pPr>
            <w:r w:rsidRPr="225BAD62">
              <w:rPr>
                <w:rFonts w:eastAsiaTheme="minorEastAsia"/>
                <w:lang w:val="en-US"/>
              </w:rPr>
              <w:t>$6,450</w:t>
            </w:r>
          </w:p>
        </w:tc>
        <w:tc>
          <w:tcPr>
            <w:tcW w:w="1935" w:type="dxa"/>
            <w:tcBorders>
              <w:top w:val="nil"/>
              <w:left w:val="nil"/>
              <w:bottom w:val="single" w:sz="8" w:space="0" w:color="auto"/>
              <w:right w:val="single" w:sz="8" w:space="0" w:color="auto"/>
            </w:tcBorders>
            <w:vAlign w:val="bottom"/>
          </w:tcPr>
          <w:p w14:paraId="11DE4273" w14:textId="4EBFDFC0" w:rsidR="225BAD62" w:rsidRDefault="225BAD62" w:rsidP="225BAD62">
            <w:pPr>
              <w:spacing w:before="120" w:after="120"/>
            </w:pPr>
            <w:r w:rsidRPr="225BAD62">
              <w:rPr>
                <w:rFonts w:eastAsiaTheme="minorEastAsia"/>
                <w:lang w:val="en-US"/>
              </w:rPr>
              <w:t>$700</w:t>
            </w:r>
          </w:p>
        </w:tc>
      </w:tr>
      <w:tr w:rsidR="225BAD62" w14:paraId="41A5E340"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6C36E6D3" w14:textId="52F681E4" w:rsidR="225BAD62" w:rsidRDefault="225BAD62" w:rsidP="225BAD62">
            <w:pPr>
              <w:spacing w:before="120" w:after="120"/>
            </w:pPr>
            <w:r w:rsidRPr="225BAD62">
              <w:rPr>
                <w:rFonts w:eastAsiaTheme="minorEastAsia"/>
                <w:lang w:val="en-US"/>
              </w:rPr>
              <w:t>$120,000</w:t>
            </w:r>
          </w:p>
        </w:tc>
        <w:tc>
          <w:tcPr>
            <w:tcW w:w="2464" w:type="dxa"/>
            <w:tcBorders>
              <w:top w:val="nil"/>
              <w:left w:val="nil"/>
              <w:bottom w:val="single" w:sz="8" w:space="0" w:color="auto"/>
              <w:right w:val="single" w:sz="8" w:space="0" w:color="auto"/>
            </w:tcBorders>
          </w:tcPr>
          <w:p w14:paraId="0F753D06" w14:textId="3111F4B5" w:rsidR="225BAD62" w:rsidRDefault="225BAD62" w:rsidP="225BAD62">
            <w:pPr>
              <w:spacing w:before="120" w:after="120"/>
            </w:pPr>
            <w:r w:rsidRPr="225BAD62">
              <w:rPr>
                <w:rFonts w:eastAsiaTheme="minorEastAsia"/>
                <w:lang w:val="en-US"/>
              </w:rPr>
              <w:t>$8,400</w:t>
            </w:r>
          </w:p>
        </w:tc>
        <w:tc>
          <w:tcPr>
            <w:tcW w:w="1935" w:type="dxa"/>
            <w:tcBorders>
              <w:top w:val="nil"/>
              <w:left w:val="nil"/>
              <w:bottom w:val="single" w:sz="8" w:space="0" w:color="auto"/>
              <w:right w:val="single" w:sz="8" w:space="0" w:color="auto"/>
            </w:tcBorders>
            <w:vAlign w:val="bottom"/>
          </w:tcPr>
          <w:p w14:paraId="2B6E650B" w14:textId="634074FE" w:rsidR="225BAD62" w:rsidRDefault="225BAD62" w:rsidP="225BAD62">
            <w:pPr>
              <w:spacing w:before="120" w:after="120"/>
            </w:pPr>
            <w:r w:rsidRPr="225BAD62">
              <w:rPr>
                <w:rFonts w:eastAsiaTheme="minorEastAsia"/>
                <w:lang w:val="en-US"/>
              </w:rPr>
              <w:t>$7,950</w:t>
            </w:r>
          </w:p>
        </w:tc>
        <w:tc>
          <w:tcPr>
            <w:tcW w:w="1935" w:type="dxa"/>
            <w:tcBorders>
              <w:top w:val="nil"/>
              <w:left w:val="nil"/>
              <w:bottom w:val="single" w:sz="8" w:space="0" w:color="auto"/>
              <w:right w:val="single" w:sz="8" w:space="0" w:color="auto"/>
            </w:tcBorders>
            <w:vAlign w:val="bottom"/>
          </w:tcPr>
          <w:p w14:paraId="44A4063B" w14:textId="2F7543A0" w:rsidR="225BAD62" w:rsidRDefault="225BAD62" w:rsidP="225BAD62">
            <w:pPr>
              <w:spacing w:before="120" w:after="120"/>
            </w:pPr>
            <w:r w:rsidRPr="225BAD62">
              <w:rPr>
                <w:rFonts w:eastAsiaTheme="minorEastAsia"/>
                <w:lang w:val="en-US"/>
              </w:rPr>
              <w:t>$450</w:t>
            </w:r>
          </w:p>
        </w:tc>
      </w:tr>
      <w:tr w:rsidR="225BAD62" w14:paraId="74199E93"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18ABC91F" w14:textId="498793D0" w:rsidR="225BAD62" w:rsidRDefault="225BAD62" w:rsidP="225BAD62">
            <w:pPr>
              <w:spacing w:before="120" w:after="120"/>
            </w:pPr>
            <w:r w:rsidRPr="225BAD62">
              <w:rPr>
                <w:rFonts w:eastAsiaTheme="minorEastAsia"/>
                <w:lang w:val="en-US"/>
              </w:rPr>
              <w:t>$130,000</w:t>
            </w:r>
          </w:p>
        </w:tc>
        <w:tc>
          <w:tcPr>
            <w:tcW w:w="2464" w:type="dxa"/>
            <w:tcBorders>
              <w:top w:val="nil"/>
              <w:left w:val="nil"/>
              <w:bottom w:val="single" w:sz="8" w:space="0" w:color="auto"/>
              <w:right w:val="single" w:sz="8" w:space="0" w:color="auto"/>
            </w:tcBorders>
          </w:tcPr>
          <w:p w14:paraId="1387616B" w14:textId="6C918D15" w:rsidR="225BAD62" w:rsidRDefault="225BAD62" w:rsidP="225BAD62">
            <w:pPr>
              <w:spacing w:before="120" w:after="120"/>
            </w:pPr>
            <w:r w:rsidRPr="225BAD62">
              <w:rPr>
                <w:rFonts w:eastAsiaTheme="minorEastAsia"/>
                <w:lang w:val="en-US"/>
              </w:rPr>
              <w:t>$9,750</w:t>
            </w:r>
          </w:p>
        </w:tc>
        <w:tc>
          <w:tcPr>
            <w:tcW w:w="1935" w:type="dxa"/>
            <w:tcBorders>
              <w:top w:val="nil"/>
              <w:left w:val="nil"/>
              <w:bottom w:val="single" w:sz="8" w:space="0" w:color="auto"/>
              <w:right w:val="single" w:sz="8" w:space="0" w:color="auto"/>
            </w:tcBorders>
            <w:vAlign w:val="bottom"/>
          </w:tcPr>
          <w:p w14:paraId="5640D306" w14:textId="105E8D71" w:rsidR="225BAD62" w:rsidRDefault="225BAD62" w:rsidP="225BAD62">
            <w:pPr>
              <w:spacing w:before="120" w:after="120"/>
            </w:pPr>
            <w:r w:rsidRPr="225BAD62">
              <w:rPr>
                <w:rFonts w:eastAsiaTheme="minorEastAsia"/>
                <w:lang w:val="en-US"/>
              </w:rPr>
              <w:t>$9,550</w:t>
            </w:r>
          </w:p>
        </w:tc>
        <w:tc>
          <w:tcPr>
            <w:tcW w:w="1935" w:type="dxa"/>
            <w:tcBorders>
              <w:top w:val="nil"/>
              <w:left w:val="nil"/>
              <w:bottom w:val="single" w:sz="8" w:space="0" w:color="auto"/>
              <w:right w:val="single" w:sz="8" w:space="0" w:color="auto"/>
            </w:tcBorders>
            <w:vAlign w:val="bottom"/>
          </w:tcPr>
          <w:p w14:paraId="78A1478B" w14:textId="084D8B8C" w:rsidR="225BAD62" w:rsidRDefault="225BAD62" w:rsidP="225BAD62">
            <w:pPr>
              <w:spacing w:before="120" w:after="120"/>
            </w:pPr>
            <w:r w:rsidRPr="225BAD62">
              <w:rPr>
                <w:rFonts w:eastAsiaTheme="minorEastAsia"/>
                <w:lang w:val="en-US"/>
              </w:rPr>
              <w:t>$200</w:t>
            </w:r>
          </w:p>
        </w:tc>
      </w:tr>
      <w:tr w:rsidR="225BAD62" w14:paraId="690EC0EB"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204D22D5" w14:textId="40CCE0D9" w:rsidR="225BAD62" w:rsidRDefault="225BAD62" w:rsidP="225BAD62">
            <w:pPr>
              <w:spacing w:before="120" w:after="120"/>
            </w:pPr>
            <w:r w:rsidRPr="225BAD62">
              <w:rPr>
                <w:rFonts w:eastAsiaTheme="minorEastAsia"/>
                <w:lang w:val="en-US"/>
              </w:rPr>
              <w:t>$140,000</w:t>
            </w:r>
          </w:p>
        </w:tc>
        <w:tc>
          <w:tcPr>
            <w:tcW w:w="2464" w:type="dxa"/>
            <w:tcBorders>
              <w:top w:val="nil"/>
              <w:left w:val="nil"/>
              <w:bottom w:val="single" w:sz="8" w:space="0" w:color="auto"/>
              <w:right w:val="single" w:sz="8" w:space="0" w:color="auto"/>
            </w:tcBorders>
          </w:tcPr>
          <w:p w14:paraId="709D810D" w14:textId="4CDC2E7D" w:rsidR="225BAD62" w:rsidRDefault="225BAD62" w:rsidP="225BAD62">
            <w:pPr>
              <w:spacing w:before="120" w:after="120"/>
            </w:pPr>
            <w:r w:rsidRPr="225BAD62">
              <w:rPr>
                <w:rFonts w:eastAsiaTheme="minorEastAsia"/>
                <w:lang w:val="en-US"/>
              </w:rPr>
              <w:t>$11,900</w:t>
            </w:r>
          </w:p>
        </w:tc>
        <w:tc>
          <w:tcPr>
            <w:tcW w:w="1935" w:type="dxa"/>
            <w:tcBorders>
              <w:top w:val="nil"/>
              <w:left w:val="nil"/>
              <w:bottom w:val="single" w:sz="8" w:space="0" w:color="auto"/>
              <w:right w:val="single" w:sz="8" w:space="0" w:color="auto"/>
            </w:tcBorders>
            <w:vAlign w:val="bottom"/>
          </w:tcPr>
          <w:p w14:paraId="64E2BFA7" w14:textId="3D5C5CC2" w:rsidR="225BAD62" w:rsidRDefault="225BAD62" w:rsidP="225BAD62">
            <w:pPr>
              <w:spacing w:before="120" w:after="120"/>
            </w:pPr>
            <w:r w:rsidRPr="225BAD62">
              <w:rPr>
                <w:rFonts w:eastAsiaTheme="minorEastAsia"/>
                <w:lang w:val="en-US"/>
              </w:rPr>
              <w:t>$11,250</w:t>
            </w:r>
          </w:p>
        </w:tc>
        <w:tc>
          <w:tcPr>
            <w:tcW w:w="1935" w:type="dxa"/>
            <w:tcBorders>
              <w:top w:val="nil"/>
              <w:left w:val="nil"/>
              <w:bottom w:val="single" w:sz="8" w:space="0" w:color="auto"/>
              <w:right w:val="single" w:sz="8" w:space="0" w:color="auto"/>
            </w:tcBorders>
            <w:vAlign w:val="bottom"/>
          </w:tcPr>
          <w:p w14:paraId="7D29ABD2" w14:textId="506C9AA5" w:rsidR="225BAD62" w:rsidRDefault="225BAD62" w:rsidP="225BAD62">
            <w:pPr>
              <w:spacing w:before="120" w:after="120"/>
            </w:pPr>
            <w:r w:rsidRPr="225BAD62">
              <w:rPr>
                <w:rFonts w:eastAsiaTheme="minorEastAsia"/>
                <w:lang w:val="en-US"/>
              </w:rPr>
              <w:t>$650</w:t>
            </w:r>
          </w:p>
        </w:tc>
      </w:tr>
      <w:tr w:rsidR="225BAD62" w14:paraId="1363B0D9"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4F262D1A" w14:textId="2084EE0A" w:rsidR="225BAD62" w:rsidRDefault="225BAD62" w:rsidP="225BAD62">
            <w:pPr>
              <w:spacing w:before="120" w:after="120"/>
            </w:pPr>
            <w:r w:rsidRPr="225BAD62">
              <w:rPr>
                <w:rFonts w:eastAsiaTheme="minorEastAsia"/>
                <w:lang w:val="en-US"/>
              </w:rPr>
              <w:t>$150,000</w:t>
            </w:r>
          </w:p>
        </w:tc>
        <w:tc>
          <w:tcPr>
            <w:tcW w:w="2464" w:type="dxa"/>
            <w:tcBorders>
              <w:top w:val="nil"/>
              <w:left w:val="nil"/>
              <w:bottom w:val="single" w:sz="8" w:space="0" w:color="auto"/>
              <w:right w:val="single" w:sz="8" w:space="0" w:color="auto"/>
            </w:tcBorders>
          </w:tcPr>
          <w:p w14:paraId="10A9CA98" w14:textId="322BC175" w:rsidR="225BAD62" w:rsidRDefault="225BAD62" w:rsidP="225BAD62">
            <w:pPr>
              <w:spacing w:before="120" w:after="120"/>
            </w:pPr>
            <w:r w:rsidRPr="225BAD62">
              <w:rPr>
                <w:rFonts w:eastAsiaTheme="minorEastAsia"/>
                <w:lang w:val="en-US"/>
              </w:rPr>
              <w:t>$13,500</w:t>
            </w:r>
          </w:p>
        </w:tc>
        <w:tc>
          <w:tcPr>
            <w:tcW w:w="1935" w:type="dxa"/>
            <w:tcBorders>
              <w:top w:val="nil"/>
              <w:left w:val="nil"/>
              <w:bottom w:val="single" w:sz="8" w:space="0" w:color="auto"/>
              <w:right w:val="single" w:sz="8" w:space="0" w:color="auto"/>
            </w:tcBorders>
            <w:vAlign w:val="bottom"/>
          </w:tcPr>
          <w:p w14:paraId="548AB69F" w14:textId="560DF643" w:rsidR="225BAD62" w:rsidRDefault="225BAD62" w:rsidP="225BAD62">
            <w:pPr>
              <w:spacing w:before="120" w:after="120"/>
            </w:pPr>
            <w:r w:rsidRPr="225BAD62">
              <w:rPr>
                <w:rFonts w:eastAsiaTheme="minorEastAsia"/>
                <w:lang w:val="en-US"/>
              </w:rPr>
              <w:t>$12,950</w:t>
            </w:r>
          </w:p>
        </w:tc>
        <w:tc>
          <w:tcPr>
            <w:tcW w:w="1935" w:type="dxa"/>
            <w:tcBorders>
              <w:top w:val="nil"/>
              <w:left w:val="nil"/>
              <w:bottom w:val="single" w:sz="8" w:space="0" w:color="auto"/>
              <w:right w:val="single" w:sz="8" w:space="0" w:color="auto"/>
            </w:tcBorders>
            <w:vAlign w:val="bottom"/>
          </w:tcPr>
          <w:p w14:paraId="58C88D61" w14:textId="2B597F29" w:rsidR="225BAD62" w:rsidRDefault="225BAD62" w:rsidP="225BAD62">
            <w:pPr>
              <w:spacing w:before="120" w:after="120"/>
            </w:pPr>
            <w:r w:rsidRPr="225BAD62">
              <w:rPr>
                <w:rFonts w:eastAsiaTheme="minorEastAsia"/>
                <w:lang w:val="en-US"/>
              </w:rPr>
              <w:t>$550</w:t>
            </w:r>
          </w:p>
        </w:tc>
      </w:tr>
      <w:tr w:rsidR="225BAD62" w14:paraId="21397B8F"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0F8E8CF5" w14:textId="6BCA1ABA" w:rsidR="225BAD62" w:rsidRDefault="225BAD62" w:rsidP="225BAD62">
            <w:pPr>
              <w:spacing w:before="120" w:after="120"/>
            </w:pPr>
            <w:r w:rsidRPr="225BAD62">
              <w:rPr>
                <w:rFonts w:eastAsiaTheme="minorEastAsia"/>
                <w:lang w:val="en-US"/>
              </w:rPr>
              <w:t>$160,000</w:t>
            </w:r>
          </w:p>
        </w:tc>
        <w:tc>
          <w:tcPr>
            <w:tcW w:w="2464" w:type="dxa"/>
            <w:tcBorders>
              <w:top w:val="nil"/>
              <w:left w:val="nil"/>
              <w:bottom w:val="single" w:sz="8" w:space="0" w:color="auto"/>
              <w:right w:val="single" w:sz="8" w:space="0" w:color="auto"/>
            </w:tcBorders>
          </w:tcPr>
          <w:p w14:paraId="51B5C119" w14:textId="312A351C" w:rsidR="225BAD62" w:rsidRDefault="225BAD62" w:rsidP="225BAD62">
            <w:pPr>
              <w:spacing w:before="120" w:after="120"/>
            </w:pPr>
            <w:r w:rsidRPr="225BAD62">
              <w:rPr>
                <w:rFonts w:eastAsiaTheme="minorEastAsia"/>
                <w:lang w:val="en-US"/>
              </w:rPr>
              <w:t>$15,200</w:t>
            </w:r>
          </w:p>
        </w:tc>
        <w:tc>
          <w:tcPr>
            <w:tcW w:w="1935" w:type="dxa"/>
            <w:tcBorders>
              <w:top w:val="nil"/>
              <w:left w:val="nil"/>
              <w:bottom w:val="single" w:sz="8" w:space="0" w:color="auto"/>
              <w:right w:val="single" w:sz="8" w:space="0" w:color="auto"/>
            </w:tcBorders>
            <w:vAlign w:val="bottom"/>
          </w:tcPr>
          <w:p w14:paraId="53CBE085" w14:textId="19AED9DC" w:rsidR="225BAD62" w:rsidRDefault="225BAD62" w:rsidP="225BAD62">
            <w:pPr>
              <w:spacing w:before="120" w:after="120"/>
            </w:pPr>
            <w:r w:rsidRPr="225BAD62">
              <w:rPr>
                <w:rFonts w:eastAsiaTheme="minorEastAsia"/>
                <w:lang w:val="en-US"/>
              </w:rPr>
              <w:t>$14,650</w:t>
            </w:r>
          </w:p>
        </w:tc>
        <w:tc>
          <w:tcPr>
            <w:tcW w:w="1935" w:type="dxa"/>
            <w:tcBorders>
              <w:top w:val="nil"/>
              <w:left w:val="nil"/>
              <w:bottom w:val="single" w:sz="8" w:space="0" w:color="auto"/>
              <w:right w:val="single" w:sz="8" w:space="0" w:color="auto"/>
            </w:tcBorders>
            <w:vAlign w:val="bottom"/>
          </w:tcPr>
          <w:p w14:paraId="09C18F34" w14:textId="7156A22D" w:rsidR="225BAD62" w:rsidRDefault="225BAD62" w:rsidP="225BAD62">
            <w:pPr>
              <w:spacing w:before="120" w:after="120"/>
            </w:pPr>
            <w:r w:rsidRPr="225BAD62">
              <w:rPr>
                <w:rFonts w:eastAsiaTheme="minorEastAsia"/>
                <w:lang w:val="en-US"/>
              </w:rPr>
              <w:t>$550</w:t>
            </w:r>
          </w:p>
        </w:tc>
      </w:tr>
      <w:tr w:rsidR="225BAD62" w14:paraId="658AA2D5"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4C89AE1A" w14:textId="4C31A7BD" w:rsidR="225BAD62" w:rsidRDefault="225BAD62" w:rsidP="225BAD62">
            <w:pPr>
              <w:spacing w:before="120" w:after="120"/>
            </w:pPr>
            <w:r w:rsidRPr="225BAD62">
              <w:rPr>
                <w:rFonts w:eastAsiaTheme="minorEastAsia"/>
                <w:lang w:val="en-US"/>
              </w:rPr>
              <w:t>$170,000</w:t>
            </w:r>
          </w:p>
        </w:tc>
        <w:tc>
          <w:tcPr>
            <w:tcW w:w="2464" w:type="dxa"/>
            <w:tcBorders>
              <w:top w:val="nil"/>
              <w:left w:val="nil"/>
              <w:bottom w:val="single" w:sz="8" w:space="0" w:color="auto"/>
              <w:right w:val="single" w:sz="8" w:space="0" w:color="auto"/>
            </w:tcBorders>
          </w:tcPr>
          <w:p w14:paraId="6385CC66" w14:textId="20E3E486" w:rsidR="225BAD62" w:rsidRDefault="225BAD62" w:rsidP="225BAD62">
            <w:pPr>
              <w:spacing w:before="120" w:after="120"/>
            </w:pPr>
            <w:r w:rsidRPr="225BAD62">
              <w:rPr>
                <w:rFonts w:eastAsiaTheme="minorEastAsia"/>
                <w:lang w:val="en-US"/>
              </w:rPr>
              <w:t>$17,000</w:t>
            </w:r>
          </w:p>
        </w:tc>
        <w:tc>
          <w:tcPr>
            <w:tcW w:w="1935" w:type="dxa"/>
            <w:tcBorders>
              <w:top w:val="nil"/>
              <w:left w:val="nil"/>
              <w:bottom w:val="single" w:sz="8" w:space="0" w:color="auto"/>
              <w:right w:val="single" w:sz="8" w:space="0" w:color="auto"/>
            </w:tcBorders>
            <w:vAlign w:val="bottom"/>
          </w:tcPr>
          <w:p w14:paraId="11C1F1F6" w14:textId="6E077BD0" w:rsidR="225BAD62" w:rsidRDefault="225BAD62" w:rsidP="225BAD62">
            <w:pPr>
              <w:spacing w:before="120" w:after="120"/>
            </w:pPr>
            <w:r w:rsidRPr="225BAD62">
              <w:rPr>
                <w:rFonts w:eastAsiaTheme="minorEastAsia"/>
                <w:lang w:val="en-US"/>
              </w:rPr>
              <w:t>$16,350</w:t>
            </w:r>
          </w:p>
        </w:tc>
        <w:tc>
          <w:tcPr>
            <w:tcW w:w="1935" w:type="dxa"/>
            <w:tcBorders>
              <w:top w:val="nil"/>
              <w:left w:val="nil"/>
              <w:bottom w:val="single" w:sz="8" w:space="0" w:color="auto"/>
              <w:right w:val="single" w:sz="8" w:space="0" w:color="auto"/>
            </w:tcBorders>
            <w:vAlign w:val="bottom"/>
          </w:tcPr>
          <w:p w14:paraId="3B3E167F" w14:textId="54A2F426" w:rsidR="225BAD62" w:rsidRDefault="225BAD62" w:rsidP="225BAD62">
            <w:pPr>
              <w:spacing w:before="120" w:after="120"/>
            </w:pPr>
            <w:r w:rsidRPr="225BAD62">
              <w:rPr>
                <w:rFonts w:eastAsiaTheme="minorEastAsia"/>
                <w:lang w:val="en-US"/>
              </w:rPr>
              <w:t>$650</w:t>
            </w:r>
          </w:p>
        </w:tc>
      </w:tr>
      <w:tr w:rsidR="00965E4A" w14:paraId="5ED113E7" w14:textId="77777777" w:rsidTr="225BAD62">
        <w:trPr>
          <w:trHeight w:val="397"/>
        </w:trPr>
        <w:tc>
          <w:tcPr>
            <w:tcW w:w="2235" w:type="dxa"/>
            <w:tcBorders>
              <w:top w:val="nil"/>
              <w:left w:val="single" w:sz="8" w:space="0" w:color="auto"/>
              <w:bottom w:val="single" w:sz="8" w:space="0" w:color="auto"/>
              <w:right w:val="single" w:sz="8" w:space="0" w:color="auto"/>
            </w:tcBorders>
            <w:vAlign w:val="bottom"/>
          </w:tcPr>
          <w:p w14:paraId="268BEEEB" w14:textId="1DA61116" w:rsidR="00965E4A" w:rsidRDefault="00965E4A" w:rsidP="225BAD62">
            <w:pPr>
              <w:spacing w:before="120" w:after="120"/>
            </w:pPr>
            <w:r>
              <w:rPr>
                <w:rFonts w:eastAsiaTheme="minorEastAsia"/>
                <w:lang w:val="en-US"/>
              </w:rPr>
              <w:t xml:space="preserve">Above </w:t>
            </w:r>
            <w:r w:rsidRPr="225BAD62">
              <w:rPr>
                <w:rFonts w:eastAsiaTheme="minorEastAsia"/>
                <w:lang w:val="en-US"/>
              </w:rPr>
              <w:t>$180,000</w:t>
            </w:r>
          </w:p>
        </w:tc>
        <w:tc>
          <w:tcPr>
            <w:tcW w:w="2464" w:type="dxa"/>
            <w:tcBorders>
              <w:top w:val="nil"/>
              <w:left w:val="nil"/>
              <w:bottom w:val="single" w:sz="8" w:space="0" w:color="auto"/>
              <w:right w:val="single" w:sz="8" w:space="0" w:color="auto"/>
            </w:tcBorders>
          </w:tcPr>
          <w:p w14:paraId="697DEADB" w14:textId="023D6966" w:rsidR="00965E4A" w:rsidRDefault="00965E4A" w:rsidP="225BAD62">
            <w:pPr>
              <w:spacing w:before="120" w:after="120"/>
            </w:pPr>
            <w:r w:rsidRPr="225BAD62">
              <w:rPr>
                <w:rFonts w:eastAsiaTheme="minorEastAsia"/>
                <w:lang w:val="en-US"/>
              </w:rPr>
              <w:t>$18,000</w:t>
            </w:r>
          </w:p>
        </w:tc>
        <w:tc>
          <w:tcPr>
            <w:tcW w:w="3870" w:type="dxa"/>
            <w:gridSpan w:val="2"/>
            <w:tcBorders>
              <w:top w:val="nil"/>
              <w:left w:val="nil"/>
              <w:bottom w:val="single" w:sz="8" w:space="0" w:color="auto"/>
              <w:right w:val="single" w:sz="8" w:space="0" w:color="auto"/>
            </w:tcBorders>
            <w:vAlign w:val="bottom"/>
          </w:tcPr>
          <w:p w14:paraId="3F749B26" w14:textId="4C4128A9" w:rsidR="00965E4A" w:rsidRDefault="00965E4A" w:rsidP="225BAD62">
            <w:pPr>
              <w:spacing w:before="120" w:after="120"/>
            </w:pPr>
            <w:r w:rsidRPr="225BAD62">
              <w:rPr>
                <w:rFonts w:eastAsiaTheme="minorEastAsia"/>
                <w:lang w:val="en-US"/>
              </w:rPr>
              <w:t>No change</w:t>
            </w:r>
          </w:p>
        </w:tc>
      </w:tr>
    </w:tbl>
    <w:p w14:paraId="02FCE849" w14:textId="302A4EDE" w:rsidR="00DC1CDE" w:rsidRPr="002A4531" w:rsidRDefault="00DC1CDE" w:rsidP="225BAD62">
      <w:pPr>
        <w:keepNext/>
      </w:pPr>
    </w:p>
    <w:p w14:paraId="546141FB" w14:textId="77777777" w:rsidR="004925B0" w:rsidRDefault="004925B0" w:rsidP="004925B0">
      <w:pPr>
        <w:pStyle w:val="Heading3"/>
      </w:pPr>
      <w:r>
        <w:t>Who will benefit?</w:t>
      </w:r>
    </w:p>
    <w:p w14:paraId="1CA6DF69" w14:textId="169A3D90" w:rsidR="00753C2A" w:rsidRDefault="00136C57" w:rsidP="00753C2A">
      <w:pPr>
        <w:rPr>
          <w:rFonts w:eastAsiaTheme="minorEastAsia"/>
        </w:rPr>
      </w:pPr>
      <w:r>
        <w:rPr>
          <w:rFonts w:eastAsiaTheme="minorEastAsia"/>
        </w:rPr>
        <w:t xml:space="preserve">Every person with a HELP debt earning under $180,000 will be better off and people earning over $180,000 will see no change to their repayments. </w:t>
      </w:r>
      <w:r w:rsidR="00753C2A" w:rsidRPr="225BAD62">
        <w:rPr>
          <w:rFonts w:eastAsiaTheme="minorEastAsia"/>
        </w:rPr>
        <w:t xml:space="preserve">Importantly, people on lower incomes will benefit the most from these changes as increasing the minimum repayment threshold will mean people </w:t>
      </w:r>
      <w:r w:rsidR="008474BA">
        <w:rPr>
          <w:rFonts w:eastAsiaTheme="minorEastAsia"/>
        </w:rPr>
        <w:t>will have</w:t>
      </w:r>
      <w:r w:rsidR="00753C2A" w:rsidRPr="225BAD62">
        <w:rPr>
          <w:rFonts w:eastAsiaTheme="minorEastAsia"/>
        </w:rPr>
        <w:t xml:space="preserve"> more disposable income </w:t>
      </w:r>
      <w:r w:rsidR="008933D6">
        <w:rPr>
          <w:rFonts w:eastAsiaTheme="minorEastAsia"/>
        </w:rPr>
        <w:t xml:space="preserve">and </w:t>
      </w:r>
      <w:r w:rsidR="00171C42">
        <w:rPr>
          <w:rFonts w:eastAsiaTheme="minorEastAsia"/>
        </w:rPr>
        <w:t xml:space="preserve">they only start repaying their loan when they can afford to do so.  </w:t>
      </w:r>
      <w:r w:rsidR="001B09B4">
        <w:rPr>
          <w:rFonts w:eastAsiaTheme="minorEastAsia"/>
        </w:rPr>
        <w:t>They would then</w:t>
      </w:r>
      <w:r w:rsidR="008933D6">
        <w:rPr>
          <w:rFonts w:eastAsiaTheme="minorEastAsia"/>
        </w:rPr>
        <w:t xml:space="preserve"> make smaller repayments in the early years</w:t>
      </w:r>
      <w:r w:rsidR="0083287B">
        <w:rPr>
          <w:rFonts w:eastAsiaTheme="minorEastAsia"/>
        </w:rPr>
        <w:t xml:space="preserve"> of their loan.</w:t>
      </w:r>
      <w:r w:rsidR="00882274">
        <w:rPr>
          <w:rFonts w:eastAsiaTheme="minorEastAsia"/>
        </w:rPr>
        <w:t xml:space="preserve"> </w:t>
      </w:r>
    </w:p>
    <w:p w14:paraId="48D581D5" w14:textId="5D3AE9F9" w:rsidR="00753C2A" w:rsidRPr="002A4531" w:rsidRDefault="00753C2A" w:rsidP="00753C2A">
      <w:pPr>
        <w:rPr>
          <w:rFonts w:eastAsiaTheme="minorEastAsia"/>
        </w:rPr>
      </w:pPr>
      <w:r>
        <w:rPr>
          <w:rFonts w:eastAsiaTheme="minorEastAsia"/>
        </w:rPr>
        <w:t xml:space="preserve">These new arrangements also </w:t>
      </w:r>
      <w:r w:rsidR="00D6536E" w:rsidRPr="009F6149">
        <w:rPr>
          <w:rFonts w:eastAsiaTheme="minorEastAsia"/>
        </w:rPr>
        <w:t xml:space="preserve">fix </w:t>
      </w:r>
      <w:r w:rsidRPr="009F6149">
        <w:rPr>
          <w:rFonts w:eastAsiaTheme="minorEastAsia"/>
        </w:rPr>
        <w:t>the</w:t>
      </w:r>
      <w:r>
        <w:rPr>
          <w:rFonts w:eastAsiaTheme="minorEastAsia"/>
        </w:rPr>
        <w:t xml:space="preserve"> situation where someone earns additional income, for example by taking a second job, but </w:t>
      </w:r>
      <w:r w:rsidR="0090171B">
        <w:rPr>
          <w:rFonts w:eastAsiaTheme="minorEastAsia"/>
        </w:rPr>
        <w:t>then</w:t>
      </w:r>
      <w:r>
        <w:rPr>
          <w:rFonts w:eastAsiaTheme="minorEastAsia"/>
        </w:rPr>
        <w:t xml:space="preserve"> see a decrease in their </w:t>
      </w:r>
      <w:r w:rsidR="00C84B95">
        <w:rPr>
          <w:rFonts w:eastAsiaTheme="minorEastAsia"/>
        </w:rPr>
        <w:t>take-home pay</w:t>
      </w:r>
      <w:r w:rsidR="00B01642">
        <w:rPr>
          <w:rFonts w:eastAsiaTheme="minorEastAsia"/>
        </w:rPr>
        <w:t xml:space="preserve"> as a result of HELP repayment arrangements</w:t>
      </w:r>
      <w:r>
        <w:rPr>
          <w:rFonts w:eastAsiaTheme="minorEastAsia"/>
        </w:rPr>
        <w:t>.</w:t>
      </w:r>
    </w:p>
    <w:p w14:paraId="3D655F00" w14:textId="1B1F7F2A" w:rsidR="00722B61" w:rsidRDefault="00753C2A" w:rsidP="00722B61">
      <w:pPr>
        <w:rPr>
          <w:rFonts w:ascii="Calibri" w:hAnsi="Calibri" w:cs="Calibri"/>
        </w:rPr>
      </w:pPr>
      <w:r>
        <w:lastRenderedPageBreak/>
        <w:t xml:space="preserve">For </w:t>
      </w:r>
      <w:r w:rsidR="3C6E4719">
        <w:t xml:space="preserve">an </w:t>
      </w:r>
      <w:r>
        <w:t>individual earning $70,000, they will pay around $1,300 less per year in repayments.</w:t>
      </w:r>
      <w:r w:rsidR="00722B61" w:rsidRPr="3B9E4CCD">
        <w:rPr>
          <w:rFonts w:ascii="Calibri" w:hAnsi="Calibri" w:cs="Calibri"/>
        </w:rPr>
        <w:t xml:space="preserve"> </w:t>
      </w:r>
    </w:p>
    <w:p w14:paraId="1F2D4085" w14:textId="20998A8F" w:rsidR="00722B61" w:rsidRPr="002A6AE4" w:rsidRDefault="00722B61" w:rsidP="00722B61">
      <w:pPr>
        <w:rPr>
          <w:rFonts w:ascii="Calibri" w:hAnsi="Calibri" w:cs="Calibri"/>
        </w:rPr>
      </w:pPr>
      <w:r>
        <w:rPr>
          <w:rFonts w:ascii="Calibri" w:hAnsi="Calibri" w:cs="Calibri"/>
        </w:rPr>
        <w:t xml:space="preserve">The changes will ensure </w:t>
      </w:r>
      <w:r w:rsidRPr="00885C48">
        <w:rPr>
          <w:rFonts w:ascii="Calibri" w:hAnsi="Calibri" w:cs="Calibri"/>
        </w:rPr>
        <w:t>that no one makes higher annual compulsory repayments than they do</w:t>
      </w:r>
      <w:r>
        <w:rPr>
          <w:rFonts w:ascii="Calibri" w:hAnsi="Calibri" w:cs="Calibri"/>
        </w:rPr>
        <w:t xml:space="preserve"> under the current repayment system.</w:t>
      </w:r>
    </w:p>
    <w:p w14:paraId="089682A3" w14:textId="6D355573" w:rsidR="004925B0" w:rsidRDefault="004925B0" w:rsidP="004925B0">
      <w:pPr>
        <w:rPr>
          <w:rFonts w:ascii="Calibri" w:hAnsi="Calibri" w:cs="Calibri"/>
        </w:rPr>
      </w:pPr>
      <w:r>
        <w:rPr>
          <w:rFonts w:ascii="Calibri" w:hAnsi="Calibri" w:cs="Calibri"/>
        </w:rPr>
        <w:t xml:space="preserve">This will apply to all HELP </w:t>
      </w:r>
      <w:r w:rsidRPr="002A6AE4">
        <w:rPr>
          <w:rFonts w:ascii="Calibri" w:hAnsi="Calibri" w:cs="Calibri"/>
        </w:rPr>
        <w:t xml:space="preserve">debts and other income contingent loan </w:t>
      </w:r>
      <w:r>
        <w:rPr>
          <w:rFonts w:ascii="Calibri" w:hAnsi="Calibri" w:cs="Calibri"/>
        </w:rPr>
        <w:t xml:space="preserve">(ICL) </w:t>
      </w:r>
      <w:r w:rsidR="00D6536E">
        <w:rPr>
          <w:rFonts w:ascii="Calibri" w:hAnsi="Calibri" w:cs="Calibri"/>
        </w:rPr>
        <w:t xml:space="preserve">student loan </w:t>
      </w:r>
      <w:r w:rsidRPr="002A6AE4">
        <w:rPr>
          <w:rFonts w:ascii="Calibri" w:hAnsi="Calibri" w:cs="Calibri"/>
        </w:rPr>
        <w:t>schemes including VET Student Loans (VSL), VET FEE</w:t>
      </w:r>
      <w:r w:rsidR="002645EE">
        <w:rPr>
          <w:rFonts w:ascii="Calibri" w:hAnsi="Calibri" w:cs="Calibri"/>
        </w:rPr>
        <w:t>-</w:t>
      </w:r>
      <w:r w:rsidRPr="002A6AE4">
        <w:rPr>
          <w:rFonts w:ascii="Calibri" w:hAnsi="Calibri" w:cs="Calibri"/>
        </w:rPr>
        <w:t>HELP, Student Financial Supplement Scheme (SFSS), Australian Apprenticeship Support Loans (AASL, formerly Trade Support Loans), Student Start-up Loan (SSL), and ABSTUDY Student Start-up Loan (ABSTUDY SSL).</w:t>
      </w:r>
    </w:p>
    <w:p w14:paraId="111E5C44" w14:textId="6FFF6F24" w:rsidR="004925B0" w:rsidRDefault="004925B0" w:rsidP="004925B0">
      <w:pPr>
        <w:pStyle w:val="Heading3"/>
      </w:pPr>
      <w:r>
        <w:t xml:space="preserve">When will </w:t>
      </w:r>
      <w:r w:rsidR="00B54678">
        <w:t>this</w:t>
      </w:r>
      <w:r>
        <w:t xml:space="preserve"> happen?</w:t>
      </w:r>
    </w:p>
    <w:p w14:paraId="58908F41" w14:textId="6123F14A" w:rsidR="00885C48" w:rsidRDefault="004925B0" w:rsidP="00885C48">
      <w:pPr>
        <w:pStyle w:val="Heading5"/>
        <w:rPr>
          <w:rFonts w:ascii="Calibri" w:eastAsiaTheme="minorHAnsi" w:hAnsi="Calibri" w:cs="Calibri"/>
          <w:b w:val="0"/>
          <w:color w:val="auto"/>
          <w:sz w:val="22"/>
        </w:rPr>
      </w:pPr>
      <w:r>
        <w:rPr>
          <w:rFonts w:ascii="Calibri" w:eastAsiaTheme="minorHAnsi" w:hAnsi="Calibri" w:cs="Calibri"/>
          <w:b w:val="0"/>
          <w:color w:val="auto"/>
          <w:sz w:val="22"/>
        </w:rPr>
        <w:t>Amendments to the</w:t>
      </w:r>
      <w:r w:rsidRPr="008B57BA">
        <w:rPr>
          <w:rFonts w:ascii="Calibri" w:eastAsiaTheme="minorHAnsi" w:hAnsi="Calibri" w:cs="Calibri"/>
          <w:b w:val="0"/>
          <w:color w:val="auto"/>
          <w:sz w:val="22"/>
        </w:rPr>
        <w:t xml:space="preserve"> </w:t>
      </w:r>
      <w:r w:rsidRPr="00464737">
        <w:rPr>
          <w:rFonts w:ascii="Calibri" w:eastAsiaTheme="minorHAnsi" w:hAnsi="Calibri" w:cs="Calibri"/>
          <w:b w:val="0"/>
          <w:i/>
          <w:iCs/>
          <w:color w:val="auto"/>
          <w:sz w:val="22"/>
        </w:rPr>
        <w:t>Higher Education Support Act 2003</w:t>
      </w:r>
      <w:r w:rsidRPr="008B57BA">
        <w:rPr>
          <w:rFonts w:ascii="Calibri" w:eastAsiaTheme="minorHAnsi" w:hAnsi="Calibri" w:cs="Calibri"/>
          <w:b w:val="0"/>
          <w:color w:val="auto"/>
          <w:sz w:val="22"/>
        </w:rPr>
        <w:t xml:space="preserve"> and other relevant ICL legislation </w:t>
      </w:r>
      <w:r>
        <w:rPr>
          <w:rFonts w:ascii="Calibri" w:eastAsiaTheme="minorHAnsi" w:hAnsi="Calibri" w:cs="Calibri"/>
          <w:b w:val="0"/>
          <w:color w:val="auto"/>
          <w:sz w:val="22"/>
        </w:rPr>
        <w:t xml:space="preserve">will be introduced to </w:t>
      </w:r>
      <w:r w:rsidR="00A9007B">
        <w:rPr>
          <w:rFonts w:ascii="Calibri" w:eastAsiaTheme="minorHAnsi" w:hAnsi="Calibri" w:cs="Calibri"/>
          <w:b w:val="0"/>
          <w:color w:val="auto"/>
          <w:sz w:val="22"/>
        </w:rPr>
        <w:t xml:space="preserve">change the </w:t>
      </w:r>
      <w:r w:rsidR="00885C48">
        <w:rPr>
          <w:rFonts w:ascii="Calibri" w:eastAsiaTheme="minorHAnsi" w:hAnsi="Calibri" w:cs="Calibri"/>
          <w:b w:val="0"/>
          <w:color w:val="auto"/>
          <w:sz w:val="22"/>
        </w:rPr>
        <w:t>new minimum repayment threshold and repayment rates with</w:t>
      </w:r>
      <w:r w:rsidR="00885C48" w:rsidRPr="00885C48">
        <w:t xml:space="preserve"> </w:t>
      </w:r>
      <w:r w:rsidR="00885C48" w:rsidRPr="00885C48">
        <w:rPr>
          <w:rFonts w:ascii="Calibri" w:eastAsiaTheme="minorHAnsi" w:hAnsi="Calibri" w:cs="Calibri"/>
          <w:b w:val="0"/>
          <w:color w:val="auto"/>
          <w:sz w:val="22"/>
        </w:rPr>
        <w:t xml:space="preserve">effect </w:t>
      </w:r>
      <w:r w:rsidR="00885C48">
        <w:rPr>
          <w:rFonts w:ascii="Calibri" w:eastAsiaTheme="minorHAnsi" w:hAnsi="Calibri" w:cs="Calibri"/>
          <w:b w:val="0"/>
          <w:color w:val="auto"/>
          <w:sz w:val="22"/>
        </w:rPr>
        <w:t>from</w:t>
      </w:r>
      <w:r w:rsidR="00885C48" w:rsidRPr="00885C48">
        <w:rPr>
          <w:rFonts w:ascii="Calibri" w:eastAsiaTheme="minorHAnsi" w:hAnsi="Calibri" w:cs="Calibri"/>
          <w:b w:val="0"/>
          <w:color w:val="auto"/>
          <w:sz w:val="22"/>
        </w:rPr>
        <w:t xml:space="preserve"> 1 July 2025</w:t>
      </w:r>
      <w:r>
        <w:rPr>
          <w:rFonts w:ascii="Calibri" w:eastAsiaTheme="minorHAnsi" w:hAnsi="Calibri" w:cs="Calibri"/>
          <w:b w:val="0"/>
          <w:color w:val="auto"/>
          <w:sz w:val="22"/>
        </w:rPr>
        <w:t>.</w:t>
      </w:r>
    </w:p>
    <w:p w14:paraId="194CAF41" w14:textId="77777777" w:rsidR="00885C48" w:rsidRDefault="00885C48" w:rsidP="00885C48">
      <w:pPr>
        <w:pStyle w:val="Heading5"/>
        <w:rPr>
          <w:rFonts w:ascii="Calibri" w:eastAsiaTheme="minorHAnsi" w:hAnsi="Calibri" w:cs="Calibri"/>
          <w:b w:val="0"/>
          <w:color w:val="auto"/>
          <w:sz w:val="22"/>
        </w:rPr>
      </w:pPr>
    </w:p>
    <w:p w14:paraId="7E385B4F" w14:textId="3FAD734E" w:rsidR="00885C48" w:rsidRPr="00885C48" w:rsidRDefault="004925B0" w:rsidP="00885C48">
      <w:pPr>
        <w:pStyle w:val="Heading5"/>
        <w:rPr>
          <w:rFonts w:ascii="Calibri" w:eastAsiaTheme="minorHAnsi" w:hAnsi="Calibri" w:cs="Calibri"/>
          <w:b w:val="0"/>
          <w:color w:val="auto"/>
          <w:sz w:val="22"/>
        </w:rPr>
      </w:pPr>
      <w:r>
        <w:rPr>
          <w:rFonts w:ascii="Calibri" w:eastAsiaTheme="minorHAnsi" w:hAnsi="Calibri" w:cs="Calibri"/>
          <w:b w:val="0"/>
          <w:color w:val="auto"/>
          <w:sz w:val="22"/>
        </w:rPr>
        <w:t>The</w:t>
      </w:r>
      <w:r w:rsidR="00C57906">
        <w:rPr>
          <w:rFonts w:ascii="Calibri" w:eastAsiaTheme="minorHAnsi" w:hAnsi="Calibri" w:cs="Calibri"/>
          <w:b w:val="0"/>
          <w:color w:val="auto"/>
          <w:sz w:val="22"/>
        </w:rPr>
        <w:t xml:space="preserve">se changes are subject to the passage of </w:t>
      </w:r>
      <w:r>
        <w:rPr>
          <w:rFonts w:ascii="Calibri" w:eastAsiaTheme="minorHAnsi" w:hAnsi="Calibri" w:cs="Calibri"/>
          <w:b w:val="0"/>
          <w:color w:val="auto"/>
          <w:sz w:val="22"/>
        </w:rPr>
        <w:t>legislati</w:t>
      </w:r>
      <w:r w:rsidR="00C57906">
        <w:rPr>
          <w:rFonts w:ascii="Calibri" w:eastAsiaTheme="minorHAnsi" w:hAnsi="Calibri" w:cs="Calibri"/>
          <w:b w:val="0"/>
          <w:color w:val="auto"/>
          <w:sz w:val="22"/>
        </w:rPr>
        <w:t xml:space="preserve">on. </w:t>
      </w:r>
    </w:p>
    <w:p w14:paraId="6CAD9B6E" w14:textId="48F71F48" w:rsidR="0017134D" w:rsidRDefault="0017134D" w:rsidP="00203621">
      <w:pPr>
        <w:pStyle w:val="Source"/>
      </w:pPr>
    </w:p>
    <w:sectPr w:rsidR="0017134D"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6B19" w14:textId="77777777" w:rsidR="001C5E13" w:rsidRDefault="001C5E13" w:rsidP="000A6228">
      <w:pPr>
        <w:spacing w:after="0" w:line="240" w:lineRule="auto"/>
      </w:pPr>
      <w:r>
        <w:separator/>
      </w:r>
    </w:p>
  </w:endnote>
  <w:endnote w:type="continuationSeparator" w:id="0">
    <w:p w14:paraId="0B9D529D" w14:textId="77777777" w:rsidR="001C5E13" w:rsidRDefault="001C5E13" w:rsidP="000A6228">
      <w:pPr>
        <w:spacing w:after="0" w:line="240" w:lineRule="auto"/>
      </w:pPr>
      <w:r>
        <w:continuationSeparator/>
      </w:r>
    </w:p>
  </w:endnote>
  <w:endnote w:type="continuationNotice" w:id="1">
    <w:p w14:paraId="4B3C9885" w14:textId="77777777" w:rsidR="001C5E13" w:rsidRDefault="001C5E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1047" w14:textId="77777777" w:rsidR="00D86284" w:rsidRDefault="00D86284">
    <w:pPr>
      <w:pStyle w:val="Footer"/>
    </w:pPr>
    <w:r>
      <w:rPr>
        <w:noProof/>
        <w:lang w:eastAsia="en-AU"/>
      </w:rPr>
      <w:drawing>
        <wp:anchor distT="0" distB="0" distL="114300" distR="114300" simplePos="0" relativeHeight="251658240" behindDoc="1" locked="1" layoutInCell="1" allowOverlap="1" wp14:anchorId="20283025" wp14:editId="40CBC5FF">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3C2C" w14:textId="77777777" w:rsidR="001C5E13" w:rsidRDefault="001C5E13" w:rsidP="000A6228">
      <w:pPr>
        <w:spacing w:after="0" w:line="240" w:lineRule="auto"/>
      </w:pPr>
      <w:r>
        <w:separator/>
      </w:r>
    </w:p>
  </w:footnote>
  <w:footnote w:type="continuationSeparator" w:id="0">
    <w:p w14:paraId="249B9639" w14:textId="77777777" w:rsidR="001C5E13" w:rsidRDefault="001C5E13" w:rsidP="000A6228">
      <w:pPr>
        <w:spacing w:after="0" w:line="240" w:lineRule="auto"/>
      </w:pPr>
      <w:r>
        <w:continuationSeparator/>
      </w:r>
    </w:p>
  </w:footnote>
  <w:footnote w:type="continuationNotice" w:id="1">
    <w:p w14:paraId="2141CD97" w14:textId="77777777" w:rsidR="001C5E13" w:rsidRDefault="001C5E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9E058EB"/>
    <w:multiLevelType w:val="multilevel"/>
    <w:tmpl w:val="FD42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802798">
    <w:abstractNumId w:val="11"/>
  </w:num>
  <w:num w:numId="2" w16cid:durableId="962073824">
    <w:abstractNumId w:val="5"/>
  </w:num>
  <w:num w:numId="3" w16cid:durableId="1902910253">
    <w:abstractNumId w:val="4"/>
  </w:num>
  <w:num w:numId="4" w16cid:durableId="1479957320">
    <w:abstractNumId w:val="3"/>
  </w:num>
  <w:num w:numId="5" w16cid:durableId="1637291743">
    <w:abstractNumId w:val="13"/>
  </w:num>
  <w:num w:numId="6" w16cid:durableId="1936815096">
    <w:abstractNumId w:val="2"/>
  </w:num>
  <w:num w:numId="7" w16cid:durableId="1382751472">
    <w:abstractNumId w:val="1"/>
  </w:num>
  <w:num w:numId="8" w16cid:durableId="568660125">
    <w:abstractNumId w:val="0"/>
  </w:num>
  <w:num w:numId="9" w16cid:durableId="1273433888">
    <w:abstractNumId w:val="12"/>
  </w:num>
  <w:num w:numId="10" w16cid:durableId="1408848108">
    <w:abstractNumId w:val="7"/>
  </w:num>
  <w:num w:numId="11" w16cid:durableId="1240140689">
    <w:abstractNumId w:val="16"/>
  </w:num>
  <w:num w:numId="12" w16cid:durableId="1064722837">
    <w:abstractNumId w:val="10"/>
  </w:num>
  <w:num w:numId="13" w16cid:durableId="170226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9658370">
    <w:abstractNumId w:val="9"/>
  </w:num>
  <w:num w:numId="15" w16cid:durableId="1445226303">
    <w:abstractNumId w:val="6"/>
  </w:num>
  <w:num w:numId="16" w16cid:durableId="473371952">
    <w:abstractNumId w:val="17"/>
  </w:num>
  <w:num w:numId="17" w16cid:durableId="1103039468">
    <w:abstractNumId w:val="14"/>
  </w:num>
  <w:num w:numId="18" w16cid:durableId="704913993">
    <w:abstractNumId w:val="8"/>
  </w:num>
  <w:num w:numId="19" w16cid:durableId="624702686">
    <w:abstractNumId w:val="15"/>
  </w:num>
  <w:num w:numId="20" w16cid:durableId="3809055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28"/>
    <w:rsid w:val="00001C57"/>
    <w:rsid w:val="00012366"/>
    <w:rsid w:val="00021FBE"/>
    <w:rsid w:val="0004542C"/>
    <w:rsid w:val="000521D7"/>
    <w:rsid w:val="00055E20"/>
    <w:rsid w:val="00066B30"/>
    <w:rsid w:val="00086E72"/>
    <w:rsid w:val="000879C3"/>
    <w:rsid w:val="00097137"/>
    <w:rsid w:val="000A0B58"/>
    <w:rsid w:val="000A1816"/>
    <w:rsid w:val="000A3984"/>
    <w:rsid w:val="000A6228"/>
    <w:rsid w:val="000B5D40"/>
    <w:rsid w:val="000B7EC6"/>
    <w:rsid w:val="000C6294"/>
    <w:rsid w:val="000F3994"/>
    <w:rsid w:val="00100D42"/>
    <w:rsid w:val="00107D87"/>
    <w:rsid w:val="00107DD5"/>
    <w:rsid w:val="0012343A"/>
    <w:rsid w:val="00125EE5"/>
    <w:rsid w:val="00133B8D"/>
    <w:rsid w:val="0013611E"/>
    <w:rsid w:val="00136C57"/>
    <w:rsid w:val="001515BF"/>
    <w:rsid w:val="00153282"/>
    <w:rsid w:val="0015790D"/>
    <w:rsid w:val="001701A7"/>
    <w:rsid w:val="00170EAB"/>
    <w:rsid w:val="0017134D"/>
    <w:rsid w:val="00171C42"/>
    <w:rsid w:val="00182B7C"/>
    <w:rsid w:val="00184F29"/>
    <w:rsid w:val="001A6204"/>
    <w:rsid w:val="001A77D3"/>
    <w:rsid w:val="001B09B4"/>
    <w:rsid w:val="001B5FB8"/>
    <w:rsid w:val="001C1523"/>
    <w:rsid w:val="001C3803"/>
    <w:rsid w:val="001C5E13"/>
    <w:rsid w:val="001D09EB"/>
    <w:rsid w:val="001E1BBD"/>
    <w:rsid w:val="001F7D2F"/>
    <w:rsid w:val="00203621"/>
    <w:rsid w:val="00205F77"/>
    <w:rsid w:val="00221D8F"/>
    <w:rsid w:val="002229B4"/>
    <w:rsid w:val="002272DB"/>
    <w:rsid w:val="0025515C"/>
    <w:rsid w:val="00256AC0"/>
    <w:rsid w:val="002615B1"/>
    <w:rsid w:val="002645EE"/>
    <w:rsid w:val="00265931"/>
    <w:rsid w:val="00276047"/>
    <w:rsid w:val="00283551"/>
    <w:rsid w:val="00295F9F"/>
    <w:rsid w:val="002A4458"/>
    <w:rsid w:val="002C26EF"/>
    <w:rsid w:val="002D237D"/>
    <w:rsid w:val="002D589A"/>
    <w:rsid w:val="002E1EF5"/>
    <w:rsid w:val="002E491A"/>
    <w:rsid w:val="002E7BE3"/>
    <w:rsid w:val="002F5877"/>
    <w:rsid w:val="00313691"/>
    <w:rsid w:val="003212EE"/>
    <w:rsid w:val="00324BFD"/>
    <w:rsid w:val="00332CF1"/>
    <w:rsid w:val="00333FFE"/>
    <w:rsid w:val="00343A7F"/>
    <w:rsid w:val="00346804"/>
    <w:rsid w:val="003471F5"/>
    <w:rsid w:val="00347FE4"/>
    <w:rsid w:val="00360CE7"/>
    <w:rsid w:val="003832D9"/>
    <w:rsid w:val="003862FE"/>
    <w:rsid w:val="0038775D"/>
    <w:rsid w:val="003956DC"/>
    <w:rsid w:val="003C22DB"/>
    <w:rsid w:val="003C4932"/>
    <w:rsid w:val="003C7748"/>
    <w:rsid w:val="003E24FB"/>
    <w:rsid w:val="003E6433"/>
    <w:rsid w:val="003F42DC"/>
    <w:rsid w:val="003F5EC6"/>
    <w:rsid w:val="0040155D"/>
    <w:rsid w:val="00403693"/>
    <w:rsid w:val="00414517"/>
    <w:rsid w:val="004167FE"/>
    <w:rsid w:val="0041713E"/>
    <w:rsid w:val="00417CAF"/>
    <w:rsid w:val="00421D3F"/>
    <w:rsid w:val="00423785"/>
    <w:rsid w:val="0043196E"/>
    <w:rsid w:val="0043270B"/>
    <w:rsid w:val="00437AD3"/>
    <w:rsid w:val="00442A48"/>
    <w:rsid w:val="00442EEA"/>
    <w:rsid w:val="00452D26"/>
    <w:rsid w:val="00472D00"/>
    <w:rsid w:val="004925B0"/>
    <w:rsid w:val="004A0221"/>
    <w:rsid w:val="004A06CD"/>
    <w:rsid w:val="004A3E5C"/>
    <w:rsid w:val="004A4B6F"/>
    <w:rsid w:val="004A4CF9"/>
    <w:rsid w:val="004A62E1"/>
    <w:rsid w:val="004B6794"/>
    <w:rsid w:val="004D2965"/>
    <w:rsid w:val="004D2D9D"/>
    <w:rsid w:val="00507977"/>
    <w:rsid w:val="00511BC4"/>
    <w:rsid w:val="005204C8"/>
    <w:rsid w:val="00534508"/>
    <w:rsid w:val="00535343"/>
    <w:rsid w:val="00536027"/>
    <w:rsid w:val="005368C7"/>
    <w:rsid w:val="00565773"/>
    <w:rsid w:val="005720D9"/>
    <w:rsid w:val="005725C6"/>
    <w:rsid w:val="005A0BE1"/>
    <w:rsid w:val="005A4624"/>
    <w:rsid w:val="005A75C9"/>
    <w:rsid w:val="005B187D"/>
    <w:rsid w:val="005C6B05"/>
    <w:rsid w:val="005E0717"/>
    <w:rsid w:val="005E3DBE"/>
    <w:rsid w:val="005E744C"/>
    <w:rsid w:val="005F1805"/>
    <w:rsid w:val="005F3569"/>
    <w:rsid w:val="005F617B"/>
    <w:rsid w:val="006177FD"/>
    <w:rsid w:val="006232DC"/>
    <w:rsid w:val="0062500E"/>
    <w:rsid w:val="00627C70"/>
    <w:rsid w:val="0063094F"/>
    <w:rsid w:val="006311FB"/>
    <w:rsid w:val="0063232E"/>
    <w:rsid w:val="00640D46"/>
    <w:rsid w:val="00652E93"/>
    <w:rsid w:val="006706DE"/>
    <w:rsid w:val="00691528"/>
    <w:rsid w:val="006A342C"/>
    <w:rsid w:val="006A4C6B"/>
    <w:rsid w:val="006B23B4"/>
    <w:rsid w:val="006D67F3"/>
    <w:rsid w:val="006F19ED"/>
    <w:rsid w:val="006F1FFF"/>
    <w:rsid w:val="006F6D10"/>
    <w:rsid w:val="0070B082"/>
    <w:rsid w:val="00712B94"/>
    <w:rsid w:val="00722B61"/>
    <w:rsid w:val="00753C2A"/>
    <w:rsid w:val="007559AB"/>
    <w:rsid w:val="00760AF9"/>
    <w:rsid w:val="007754AE"/>
    <w:rsid w:val="00785B1E"/>
    <w:rsid w:val="007909E5"/>
    <w:rsid w:val="00795DF0"/>
    <w:rsid w:val="007A2D02"/>
    <w:rsid w:val="007B1A12"/>
    <w:rsid w:val="007B2923"/>
    <w:rsid w:val="007B2CA1"/>
    <w:rsid w:val="007D0ABC"/>
    <w:rsid w:val="008042F5"/>
    <w:rsid w:val="0083287B"/>
    <w:rsid w:val="008330AE"/>
    <w:rsid w:val="008474BA"/>
    <w:rsid w:val="00851986"/>
    <w:rsid w:val="0085466B"/>
    <w:rsid w:val="00866282"/>
    <w:rsid w:val="00882274"/>
    <w:rsid w:val="00885C48"/>
    <w:rsid w:val="00886959"/>
    <w:rsid w:val="008933D6"/>
    <w:rsid w:val="00893A34"/>
    <w:rsid w:val="008A0597"/>
    <w:rsid w:val="008A36E1"/>
    <w:rsid w:val="008A37A7"/>
    <w:rsid w:val="008A5AD8"/>
    <w:rsid w:val="008B0736"/>
    <w:rsid w:val="008B766A"/>
    <w:rsid w:val="008D14E4"/>
    <w:rsid w:val="008D7A50"/>
    <w:rsid w:val="008E70F5"/>
    <w:rsid w:val="008F3E7F"/>
    <w:rsid w:val="0090171B"/>
    <w:rsid w:val="00905D48"/>
    <w:rsid w:val="00925070"/>
    <w:rsid w:val="00942407"/>
    <w:rsid w:val="00943B07"/>
    <w:rsid w:val="00950B06"/>
    <w:rsid w:val="00954E6B"/>
    <w:rsid w:val="00965E4A"/>
    <w:rsid w:val="00970069"/>
    <w:rsid w:val="009721EB"/>
    <w:rsid w:val="0097469A"/>
    <w:rsid w:val="009A1EBA"/>
    <w:rsid w:val="009A3678"/>
    <w:rsid w:val="009B706E"/>
    <w:rsid w:val="009C423A"/>
    <w:rsid w:val="009D3902"/>
    <w:rsid w:val="009E79ED"/>
    <w:rsid w:val="009F6149"/>
    <w:rsid w:val="00A0220D"/>
    <w:rsid w:val="00A07596"/>
    <w:rsid w:val="00A163B1"/>
    <w:rsid w:val="00A17A08"/>
    <w:rsid w:val="00A43335"/>
    <w:rsid w:val="00A60673"/>
    <w:rsid w:val="00A69A38"/>
    <w:rsid w:val="00A819D7"/>
    <w:rsid w:val="00A81ED3"/>
    <w:rsid w:val="00A9007B"/>
    <w:rsid w:val="00AB37F8"/>
    <w:rsid w:val="00AC1872"/>
    <w:rsid w:val="00AC292A"/>
    <w:rsid w:val="00AC7CAA"/>
    <w:rsid w:val="00AD022D"/>
    <w:rsid w:val="00AD631F"/>
    <w:rsid w:val="00AE21FF"/>
    <w:rsid w:val="00AF1F18"/>
    <w:rsid w:val="00AF58F0"/>
    <w:rsid w:val="00B01642"/>
    <w:rsid w:val="00B04F00"/>
    <w:rsid w:val="00B0726E"/>
    <w:rsid w:val="00B219D1"/>
    <w:rsid w:val="00B54678"/>
    <w:rsid w:val="00B81FA4"/>
    <w:rsid w:val="00B82A2F"/>
    <w:rsid w:val="00B83657"/>
    <w:rsid w:val="00B8794C"/>
    <w:rsid w:val="00B95EF4"/>
    <w:rsid w:val="00BA46FA"/>
    <w:rsid w:val="00BB6509"/>
    <w:rsid w:val="00BC248C"/>
    <w:rsid w:val="00BC5167"/>
    <w:rsid w:val="00BD1348"/>
    <w:rsid w:val="00BD2BED"/>
    <w:rsid w:val="00BD5071"/>
    <w:rsid w:val="00C00351"/>
    <w:rsid w:val="00C01EC0"/>
    <w:rsid w:val="00C244EE"/>
    <w:rsid w:val="00C27358"/>
    <w:rsid w:val="00C44517"/>
    <w:rsid w:val="00C57906"/>
    <w:rsid w:val="00C617A9"/>
    <w:rsid w:val="00C61F56"/>
    <w:rsid w:val="00C64A66"/>
    <w:rsid w:val="00C708DC"/>
    <w:rsid w:val="00C72224"/>
    <w:rsid w:val="00C75706"/>
    <w:rsid w:val="00C84B95"/>
    <w:rsid w:val="00CA429D"/>
    <w:rsid w:val="00CA4815"/>
    <w:rsid w:val="00CB61DC"/>
    <w:rsid w:val="00CD6AD1"/>
    <w:rsid w:val="00CF10BA"/>
    <w:rsid w:val="00CF6562"/>
    <w:rsid w:val="00CF6816"/>
    <w:rsid w:val="00D07458"/>
    <w:rsid w:val="00D14168"/>
    <w:rsid w:val="00D16716"/>
    <w:rsid w:val="00D353B0"/>
    <w:rsid w:val="00D37D59"/>
    <w:rsid w:val="00D45D8B"/>
    <w:rsid w:val="00D5688A"/>
    <w:rsid w:val="00D6536E"/>
    <w:rsid w:val="00D832AA"/>
    <w:rsid w:val="00D86284"/>
    <w:rsid w:val="00DC1CDE"/>
    <w:rsid w:val="00DC5980"/>
    <w:rsid w:val="00DC5AD9"/>
    <w:rsid w:val="00DD2B46"/>
    <w:rsid w:val="00DD355A"/>
    <w:rsid w:val="00DE466D"/>
    <w:rsid w:val="00DE46E3"/>
    <w:rsid w:val="00E06ED6"/>
    <w:rsid w:val="00E12278"/>
    <w:rsid w:val="00E477B8"/>
    <w:rsid w:val="00E529E5"/>
    <w:rsid w:val="00E54108"/>
    <w:rsid w:val="00E8251B"/>
    <w:rsid w:val="00E85A59"/>
    <w:rsid w:val="00E90D87"/>
    <w:rsid w:val="00E95F65"/>
    <w:rsid w:val="00EB4C2F"/>
    <w:rsid w:val="00EB5B7A"/>
    <w:rsid w:val="00EC2422"/>
    <w:rsid w:val="00ED0DDF"/>
    <w:rsid w:val="00ED74AE"/>
    <w:rsid w:val="00EE3675"/>
    <w:rsid w:val="00F1000D"/>
    <w:rsid w:val="00F12E02"/>
    <w:rsid w:val="00F311A4"/>
    <w:rsid w:val="00F459BD"/>
    <w:rsid w:val="00F46E6C"/>
    <w:rsid w:val="00F64B52"/>
    <w:rsid w:val="00F6667E"/>
    <w:rsid w:val="00F82C2C"/>
    <w:rsid w:val="00F85913"/>
    <w:rsid w:val="00F901CE"/>
    <w:rsid w:val="00F93C39"/>
    <w:rsid w:val="00FA33C5"/>
    <w:rsid w:val="00FD4D6E"/>
    <w:rsid w:val="00FD6383"/>
    <w:rsid w:val="00FD6755"/>
    <w:rsid w:val="00FE1D8D"/>
    <w:rsid w:val="00FF5BC8"/>
    <w:rsid w:val="00FF64E9"/>
    <w:rsid w:val="0701D2DB"/>
    <w:rsid w:val="0DD2DE6E"/>
    <w:rsid w:val="0F8FF241"/>
    <w:rsid w:val="0F98A790"/>
    <w:rsid w:val="11814B63"/>
    <w:rsid w:val="12367F6E"/>
    <w:rsid w:val="15520E1D"/>
    <w:rsid w:val="1812790E"/>
    <w:rsid w:val="1901EE83"/>
    <w:rsid w:val="190E75DC"/>
    <w:rsid w:val="1D401AA8"/>
    <w:rsid w:val="1FA0C610"/>
    <w:rsid w:val="225BAD62"/>
    <w:rsid w:val="24D17DA8"/>
    <w:rsid w:val="25DD68F7"/>
    <w:rsid w:val="27F5DA8D"/>
    <w:rsid w:val="28C37B78"/>
    <w:rsid w:val="2950747F"/>
    <w:rsid w:val="2C3B83EF"/>
    <w:rsid w:val="2CD0E2B9"/>
    <w:rsid w:val="2CDC4047"/>
    <w:rsid w:val="2D45D195"/>
    <w:rsid w:val="2ED52721"/>
    <w:rsid w:val="2F8810BD"/>
    <w:rsid w:val="30CC7858"/>
    <w:rsid w:val="3760D3E0"/>
    <w:rsid w:val="3B9E4CCD"/>
    <w:rsid w:val="3BF3F55D"/>
    <w:rsid w:val="3C6E4719"/>
    <w:rsid w:val="3EEB1167"/>
    <w:rsid w:val="405663CE"/>
    <w:rsid w:val="43C8D068"/>
    <w:rsid w:val="4768EC5A"/>
    <w:rsid w:val="4B053AFC"/>
    <w:rsid w:val="4F8FCA9A"/>
    <w:rsid w:val="51D81B48"/>
    <w:rsid w:val="529F25E7"/>
    <w:rsid w:val="5558A0C7"/>
    <w:rsid w:val="59E73ACC"/>
    <w:rsid w:val="5AA515DF"/>
    <w:rsid w:val="5D40EAA5"/>
    <w:rsid w:val="60B1E6AE"/>
    <w:rsid w:val="6137B444"/>
    <w:rsid w:val="6163BBAF"/>
    <w:rsid w:val="637C0685"/>
    <w:rsid w:val="637C7EEF"/>
    <w:rsid w:val="643BE72A"/>
    <w:rsid w:val="6487ECA2"/>
    <w:rsid w:val="655940D5"/>
    <w:rsid w:val="65652C5D"/>
    <w:rsid w:val="6583D9D0"/>
    <w:rsid w:val="689B0BE5"/>
    <w:rsid w:val="6BB0CA4C"/>
    <w:rsid w:val="6C5000A4"/>
    <w:rsid w:val="6D436CB9"/>
    <w:rsid w:val="6D820FC5"/>
    <w:rsid w:val="6E87382F"/>
    <w:rsid w:val="6F780185"/>
    <w:rsid w:val="74BB7F45"/>
    <w:rsid w:val="760D8B9A"/>
    <w:rsid w:val="76324D52"/>
    <w:rsid w:val="7684EF26"/>
    <w:rsid w:val="78CF459E"/>
    <w:rsid w:val="79889A6C"/>
    <w:rsid w:val="79E49D64"/>
    <w:rsid w:val="7CFCA5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BCA4"/>
  <w15:chartTrackingRefBased/>
  <w15:docId w15:val="{F7E6324C-7ED7-4B11-AE45-3F8AFDB0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customStyle="1" w:styleId="UnresolvedMention1">
    <w:name w:val="Unresolved Mention1"/>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character" w:styleId="CommentReference">
    <w:name w:val="annotation reference"/>
    <w:basedOn w:val="DefaultParagraphFont"/>
    <w:uiPriority w:val="99"/>
    <w:semiHidden/>
    <w:unhideWhenUsed/>
    <w:rsid w:val="004925B0"/>
    <w:rPr>
      <w:sz w:val="16"/>
      <w:szCs w:val="16"/>
    </w:rPr>
  </w:style>
  <w:style w:type="paragraph" w:styleId="CommentText">
    <w:name w:val="annotation text"/>
    <w:basedOn w:val="Normal"/>
    <w:link w:val="CommentTextChar"/>
    <w:uiPriority w:val="99"/>
    <w:unhideWhenUsed/>
    <w:rsid w:val="004925B0"/>
    <w:pPr>
      <w:spacing w:line="240" w:lineRule="auto"/>
    </w:pPr>
    <w:rPr>
      <w:sz w:val="20"/>
      <w:szCs w:val="20"/>
    </w:rPr>
  </w:style>
  <w:style w:type="character" w:customStyle="1" w:styleId="CommentTextChar">
    <w:name w:val="Comment Text Char"/>
    <w:basedOn w:val="DefaultParagraphFont"/>
    <w:link w:val="CommentText"/>
    <w:uiPriority w:val="99"/>
    <w:rsid w:val="004925B0"/>
    <w:rPr>
      <w:sz w:val="20"/>
      <w:szCs w:val="20"/>
    </w:rPr>
  </w:style>
  <w:style w:type="character" w:customStyle="1" w:styleId="normaltextrun">
    <w:name w:val="normaltextrun"/>
    <w:basedOn w:val="DefaultParagraphFont"/>
    <w:rsid w:val="00A9007B"/>
  </w:style>
  <w:style w:type="character" w:customStyle="1" w:styleId="eop">
    <w:name w:val="eop"/>
    <w:basedOn w:val="DefaultParagraphFont"/>
    <w:rsid w:val="00A9007B"/>
  </w:style>
  <w:style w:type="paragraph" w:customStyle="1" w:styleId="paragraph">
    <w:name w:val="paragraph"/>
    <w:basedOn w:val="Normal"/>
    <w:rsid w:val="00885C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5725C6"/>
    <w:rPr>
      <w:b/>
      <w:bCs/>
    </w:rPr>
  </w:style>
  <w:style w:type="character" w:customStyle="1" w:styleId="CommentSubjectChar">
    <w:name w:val="Comment Subject Char"/>
    <w:basedOn w:val="CommentTextChar"/>
    <w:link w:val="CommentSubject"/>
    <w:uiPriority w:val="99"/>
    <w:semiHidden/>
    <w:rsid w:val="005725C6"/>
    <w:rPr>
      <w:b/>
      <w:bCs/>
      <w:sz w:val="20"/>
      <w:szCs w:val="20"/>
    </w:rPr>
  </w:style>
  <w:style w:type="paragraph" w:styleId="Revision">
    <w:name w:val="Revision"/>
    <w:hidden/>
    <w:uiPriority w:val="99"/>
    <w:semiHidden/>
    <w:rsid w:val="00E54108"/>
    <w:pPr>
      <w:spacing w:after="0" w:line="240" w:lineRule="auto"/>
    </w:pPr>
  </w:style>
  <w:style w:type="paragraph" w:styleId="BalloonText">
    <w:name w:val="Balloon Text"/>
    <w:basedOn w:val="Normal"/>
    <w:link w:val="BalloonTextChar"/>
    <w:uiPriority w:val="99"/>
    <w:semiHidden/>
    <w:unhideWhenUsed/>
    <w:rsid w:val="00136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3129">
      <w:bodyDiv w:val="1"/>
      <w:marLeft w:val="0"/>
      <w:marRight w:val="0"/>
      <w:marTop w:val="0"/>
      <w:marBottom w:val="0"/>
      <w:divBdr>
        <w:top w:val="none" w:sz="0" w:space="0" w:color="auto"/>
        <w:left w:val="none" w:sz="0" w:space="0" w:color="auto"/>
        <w:bottom w:val="none" w:sz="0" w:space="0" w:color="auto"/>
        <w:right w:val="none" w:sz="0" w:space="0" w:color="auto"/>
      </w:divBdr>
      <w:divsChild>
        <w:div w:id="568809557">
          <w:marLeft w:val="0"/>
          <w:marRight w:val="0"/>
          <w:marTop w:val="0"/>
          <w:marBottom w:val="0"/>
          <w:divBdr>
            <w:top w:val="none" w:sz="0" w:space="0" w:color="auto"/>
            <w:left w:val="none" w:sz="0" w:space="0" w:color="auto"/>
            <w:bottom w:val="none" w:sz="0" w:space="0" w:color="auto"/>
            <w:right w:val="none" w:sz="0" w:space="0" w:color="auto"/>
          </w:divBdr>
        </w:div>
        <w:div w:id="2038117665">
          <w:marLeft w:val="0"/>
          <w:marRight w:val="0"/>
          <w:marTop w:val="0"/>
          <w:marBottom w:val="0"/>
          <w:divBdr>
            <w:top w:val="none" w:sz="0" w:space="0" w:color="auto"/>
            <w:left w:val="none" w:sz="0" w:space="0" w:color="auto"/>
            <w:bottom w:val="none" w:sz="0" w:space="0" w:color="auto"/>
            <w:right w:val="none" w:sz="0" w:space="0" w:color="auto"/>
          </w:divBdr>
          <w:divsChild>
            <w:div w:id="2090077071">
              <w:marLeft w:val="-75"/>
              <w:marRight w:val="0"/>
              <w:marTop w:val="30"/>
              <w:marBottom w:val="30"/>
              <w:divBdr>
                <w:top w:val="none" w:sz="0" w:space="0" w:color="auto"/>
                <w:left w:val="none" w:sz="0" w:space="0" w:color="auto"/>
                <w:bottom w:val="none" w:sz="0" w:space="0" w:color="auto"/>
                <w:right w:val="none" w:sz="0" w:space="0" w:color="auto"/>
              </w:divBdr>
              <w:divsChild>
                <w:div w:id="483083235">
                  <w:marLeft w:val="0"/>
                  <w:marRight w:val="0"/>
                  <w:marTop w:val="0"/>
                  <w:marBottom w:val="0"/>
                  <w:divBdr>
                    <w:top w:val="none" w:sz="0" w:space="0" w:color="auto"/>
                    <w:left w:val="none" w:sz="0" w:space="0" w:color="auto"/>
                    <w:bottom w:val="none" w:sz="0" w:space="0" w:color="auto"/>
                    <w:right w:val="none" w:sz="0" w:space="0" w:color="auto"/>
                  </w:divBdr>
                  <w:divsChild>
                    <w:div w:id="1438939492">
                      <w:marLeft w:val="0"/>
                      <w:marRight w:val="0"/>
                      <w:marTop w:val="0"/>
                      <w:marBottom w:val="0"/>
                      <w:divBdr>
                        <w:top w:val="none" w:sz="0" w:space="0" w:color="auto"/>
                        <w:left w:val="none" w:sz="0" w:space="0" w:color="auto"/>
                        <w:bottom w:val="none" w:sz="0" w:space="0" w:color="auto"/>
                        <w:right w:val="none" w:sz="0" w:space="0" w:color="auto"/>
                      </w:divBdr>
                    </w:div>
                  </w:divsChild>
                </w:div>
                <w:div w:id="785199628">
                  <w:marLeft w:val="0"/>
                  <w:marRight w:val="0"/>
                  <w:marTop w:val="0"/>
                  <w:marBottom w:val="0"/>
                  <w:divBdr>
                    <w:top w:val="none" w:sz="0" w:space="0" w:color="auto"/>
                    <w:left w:val="none" w:sz="0" w:space="0" w:color="auto"/>
                    <w:bottom w:val="none" w:sz="0" w:space="0" w:color="auto"/>
                    <w:right w:val="none" w:sz="0" w:space="0" w:color="auto"/>
                  </w:divBdr>
                  <w:divsChild>
                    <w:div w:id="754595561">
                      <w:marLeft w:val="0"/>
                      <w:marRight w:val="0"/>
                      <w:marTop w:val="0"/>
                      <w:marBottom w:val="0"/>
                      <w:divBdr>
                        <w:top w:val="none" w:sz="0" w:space="0" w:color="auto"/>
                        <w:left w:val="none" w:sz="0" w:space="0" w:color="auto"/>
                        <w:bottom w:val="none" w:sz="0" w:space="0" w:color="auto"/>
                        <w:right w:val="none" w:sz="0" w:space="0" w:color="auto"/>
                      </w:divBdr>
                    </w:div>
                  </w:divsChild>
                </w:div>
                <w:div w:id="887181929">
                  <w:marLeft w:val="0"/>
                  <w:marRight w:val="0"/>
                  <w:marTop w:val="0"/>
                  <w:marBottom w:val="0"/>
                  <w:divBdr>
                    <w:top w:val="none" w:sz="0" w:space="0" w:color="auto"/>
                    <w:left w:val="none" w:sz="0" w:space="0" w:color="auto"/>
                    <w:bottom w:val="none" w:sz="0" w:space="0" w:color="auto"/>
                    <w:right w:val="none" w:sz="0" w:space="0" w:color="auto"/>
                  </w:divBdr>
                  <w:divsChild>
                    <w:div w:id="1402826524">
                      <w:marLeft w:val="0"/>
                      <w:marRight w:val="0"/>
                      <w:marTop w:val="0"/>
                      <w:marBottom w:val="0"/>
                      <w:divBdr>
                        <w:top w:val="none" w:sz="0" w:space="0" w:color="auto"/>
                        <w:left w:val="none" w:sz="0" w:space="0" w:color="auto"/>
                        <w:bottom w:val="none" w:sz="0" w:space="0" w:color="auto"/>
                        <w:right w:val="none" w:sz="0" w:space="0" w:color="auto"/>
                      </w:divBdr>
                    </w:div>
                  </w:divsChild>
                </w:div>
                <w:div w:id="1434476309">
                  <w:marLeft w:val="0"/>
                  <w:marRight w:val="0"/>
                  <w:marTop w:val="0"/>
                  <w:marBottom w:val="0"/>
                  <w:divBdr>
                    <w:top w:val="none" w:sz="0" w:space="0" w:color="auto"/>
                    <w:left w:val="none" w:sz="0" w:space="0" w:color="auto"/>
                    <w:bottom w:val="none" w:sz="0" w:space="0" w:color="auto"/>
                    <w:right w:val="none" w:sz="0" w:space="0" w:color="auto"/>
                  </w:divBdr>
                  <w:divsChild>
                    <w:div w:id="3211753">
                      <w:marLeft w:val="0"/>
                      <w:marRight w:val="0"/>
                      <w:marTop w:val="0"/>
                      <w:marBottom w:val="0"/>
                      <w:divBdr>
                        <w:top w:val="none" w:sz="0" w:space="0" w:color="auto"/>
                        <w:left w:val="none" w:sz="0" w:space="0" w:color="auto"/>
                        <w:bottom w:val="none" w:sz="0" w:space="0" w:color="auto"/>
                        <w:right w:val="none" w:sz="0" w:space="0" w:color="auto"/>
                      </w:divBdr>
                    </w:div>
                  </w:divsChild>
                </w:div>
                <w:div w:id="1462262457">
                  <w:marLeft w:val="0"/>
                  <w:marRight w:val="0"/>
                  <w:marTop w:val="0"/>
                  <w:marBottom w:val="0"/>
                  <w:divBdr>
                    <w:top w:val="none" w:sz="0" w:space="0" w:color="auto"/>
                    <w:left w:val="none" w:sz="0" w:space="0" w:color="auto"/>
                    <w:bottom w:val="none" w:sz="0" w:space="0" w:color="auto"/>
                    <w:right w:val="none" w:sz="0" w:space="0" w:color="auto"/>
                  </w:divBdr>
                  <w:divsChild>
                    <w:div w:id="1963806708">
                      <w:marLeft w:val="0"/>
                      <w:marRight w:val="0"/>
                      <w:marTop w:val="0"/>
                      <w:marBottom w:val="0"/>
                      <w:divBdr>
                        <w:top w:val="none" w:sz="0" w:space="0" w:color="auto"/>
                        <w:left w:val="none" w:sz="0" w:space="0" w:color="auto"/>
                        <w:bottom w:val="none" w:sz="0" w:space="0" w:color="auto"/>
                        <w:right w:val="none" w:sz="0" w:space="0" w:color="auto"/>
                      </w:divBdr>
                    </w:div>
                  </w:divsChild>
                </w:div>
                <w:div w:id="1675572681">
                  <w:marLeft w:val="0"/>
                  <w:marRight w:val="0"/>
                  <w:marTop w:val="0"/>
                  <w:marBottom w:val="0"/>
                  <w:divBdr>
                    <w:top w:val="none" w:sz="0" w:space="0" w:color="auto"/>
                    <w:left w:val="none" w:sz="0" w:space="0" w:color="auto"/>
                    <w:bottom w:val="none" w:sz="0" w:space="0" w:color="auto"/>
                    <w:right w:val="none" w:sz="0" w:space="0" w:color="auto"/>
                  </w:divBdr>
                  <w:divsChild>
                    <w:div w:id="1597326250">
                      <w:marLeft w:val="0"/>
                      <w:marRight w:val="0"/>
                      <w:marTop w:val="0"/>
                      <w:marBottom w:val="0"/>
                      <w:divBdr>
                        <w:top w:val="none" w:sz="0" w:space="0" w:color="auto"/>
                        <w:left w:val="none" w:sz="0" w:space="0" w:color="auto"/>
                        <w:bottom w:val="none" w:sz="0" w:space="0" w:color="auto"/>
                        <w:right w:val="none" w:sz="0" w:space="0" w:color="auto"/>
                      </w:divBdr>
                    </w:div>
                  </w:divsChild>
                </w:div>
                <w:div w:id="1721125776">
                  <w:marLeft w:val="0"/>
                  <w:marRight w:val="0"/>
                  <w:marTop w:val="0"/>
                  <w:marBottom w:val="0"/>
                  <w:divBdr>
                    <w:top w:val="none" w:sz="0" w:space="0" w:color="auto"/>
                    <w:left w:val="none" w:sz="0" w:space="0" w:color="auto"/>
                    <w:bottom w:val="none" w:sz="0" w:space="0" w:color="auto"/>
                    <w:right w:val="none" w:sz="0" w:space="0" w:color="auto"/>
                  </w:divBdr>
                  <w:divsChild>
                    <w:div w:id="1844857830">
                      <w:marLeft w:val="0"/>
                      <w:marRight w:val="0"/>
                      <w:marTop w:val="0"/>
                      <w:marBottom w:val="0"/>
                      <w:divBdr>
                        <w:top w:val="none" w:sz="0" w:space="0" w:color="auto"/>
                        <w:left w:val="none" w:sz="0" w:space="0" w:color="auto"/>
                        <w:bottom w:val="none" w:sz="0" w:space="0" w:color="auto"/>
                        <w:right w:val="none" w:sz="0" w:space="0" w:color="auto"/>
                      </w:divBdr>
                    </w:div>
                  </w:divsChild>
                </w:div>
                <w:div w:id="2072658540">
                  <w:marLeft w:val="0"/>
                  <w:marRight w:val="0"/>
                  <w:marTop w:val="0"/>
                  <w:marBottom w:val="0"/>
                  <w:divBdr>
                    <w:top w:val="none" w:sz="0" w:space="0" w:color="auto"/>
                    <w:left w:val="none" w:sz="0" w:space="0" w:color="auto"/>
                    <w:bottom w:val="none" w:sz="0" w:space="0" w:color="auto"/>
                    <w:right w:val="none" w:sz="0" w:space="0" w:color="auto"/>
                  </w:divBdr>
                  <w:divsChild>
                    <w:div w:id="732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1E"/>
    <w:rsid w:val="000879C3"/>
    <w:rsid w:val="000C784F"/>
    <w:rsid w:val="00125EE5"/>
    <w:rsid w:val="001F7D2F"/>
    <w:rsid w:val="002B3ACA"/>
    <w:rsid w:val="003E6433"/>
    <w:rsid w:val="004218F0"/>
    <w:rsid w:val="0043196E"/>
    <w:rsid w:val="004D15C9"/>
    <w:rsid w:val="00511BC4"/>
    <w:rsid w:val="005A2BB0"/>
    <w:rsid w:val="006311FB"/>
    <w:rsid w:val="00640D46"/>
    <w:rsid w:val="0065548A"/>
    <w:rsid w:val="00772180"/>
    <w:rsid w:val="0077329F"/>
    <w:rsid w:val="00785B1E"/>
    <w:rsid w:val="007B2CF9"/>
    <w:rsid w:val="008A5AD8"/>
    <w:rsid w:val="00905D48"/>
    <w:rsid w:val="00A17319"/>
    <w:rsid w:val="00B308FB"/>
    <w:rsid w:val="00C00351"/>
    <w:rsid w:val="00C44517"/>
    <w:rsid w:val="00D37D59"/>
    <w:rsid w:val="00D62CA1"/>
    <w:rsid w:val="00D86B30"/>
    <w:rsid w:val="00F77089"/>
    <w:rsid w:val="00FC0B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7" ma:contentTypeDescription="Create a new document." ma:contentTypeScope="" ma:versionID="01cddbf9a7747597ea96a2739bb53746">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4c27c456d923fc57988cd327c4bc9fd6"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HP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HPText" ma:index="24" nillable="true" ma:displayName="HP Text" ma:format="Dropdown" ma:internalName="HP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dc30c4-6a9c-4965-9d7a-1fd52c9a685a}"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HPText xmlns="21934866-407e-4eb7-84a5-689e8997aac6" xsi:nil="true"/>
  </documentManagement>
</p:properties>
</file>

<file path=customXml/itemProps1.xml><?xml version="1.0" encoding="utf-8"?>
<ds:datastoreItem xmlns:ds="http://schemas.openxmlformats.org/officeDocument/2006/customXml" ds:itemID="{DA9A036D-A167-4859-8BBF-DB4FEE316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558CE-B333-437D-B4DB-F3014E6D76DC}">
  <ds:schemaRefs>
    <ds:schemaRef ds:uri="http://schemas.microsoft.com/sharepoint/v3/contenttype/forms"/>
  </ds:schemaRefs>
</ds:datastoreItem>
</file>

<file path=customXml/itemProps3.xml><?xml version="1.0" encoding="utf-8"?>
<ds:datastoreItem xmlns:ds="http://schemas.openxmlformats.org/officeDocument/2006/customXml" ds:itemID="{4FC983B2-C884-44FE-8D00-5E2343BE8FD9}">
  <ds:schemaRefs>
    <ds:schemaRef ds:uri="http://schemas.openxmlformats.org/officeDocument/2006/bibliography"/>
  </ds:schemaRefs>
</ds:datastoreItem>
</file>

<file path=customXml/itemProps4.xml><?xml version="1.0" encoding="utf-8"?>
<ds:datastoreItem xmlns:ds="http://schemas.openxmlformats.org/officeDocument/2006/customXml" ds:itemID="{5656AF54-0AC9-4E9B-AAAF-E3A20E0E2668}">
  <ds:schemaRefs>
    <ds:schemaRef ds:uri="http://schemas.microsoft.com/office/2006/metadata/properties"/>
    <ds:schemaRef ds:uri="http://schemas.microsoft.com/office/infopath/2007/PartnerControls"/>
    <ds:schemaRef ds:uri="21934866-407e-4eb7-84a5-689e8997aac6"/>
    <ds:schemaRef ds:uri="1d95c80d-1bfc-4284-8ead-90dee9a0b47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Loan Program</dc:title>
  <dc:subject/>
  <dc:creator>PACEY,Robert</dc:creator>
  <cp:keywords/>
  <dc:description/>
  <cp:lastModifiedBy>RANIERI,Nicole</cp:lastModifiedBy>
  <cp:revision>4</cp:revision>
  <cp:lastPrinted>2024-11-01T20:22:00Z</cp:lastPrinted>
  <dcterms:created xsi:type="dcterms:W3CDTF">2024-11-01T20:21:00Z</dcterms:created>
  <dcterms:modified xsi:type="dcterms:W3CDTF">2024-11-01T20:24:00Z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0x010100D0A9CCE9CD21384385A19063B05DA87A</vt:lpwstr>
  </property>
  <property fmtid="{D5CDD505-2E9C-101B-9397-08002B2CF9AE}" pid="10" name="MediaServiceImageTags">
    <vt:lpwstr/>
  </property>
</Properties>
</file>