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Caption w:val="CoverGrid"/>
      </w:tblPr>
      <w:tblGrid>
        <w:gridCol w:w="9639"/>
      </w:tblGrid>
      <w:tr w:rsidR="00111A33" w:rsidRPr="00292D9C" w14:paraId="20A778C4" w14:textId="77777777" w:rsidTr="007F74EB">
        <w:tc>
          <w:tcPr>
            <w:tcW w:w="9639" w:type="dxa"/>
          </w:tcPr>
          <w:p w14:paraId="7852EEFE" w14:textId="77777777" w:rsidR="00111A33" w:rsidRPr="00292D9C" w:rsidRDefault="00111A33" w:rsidP="00A616D5">
            <w:bookmarkStart w:id="0" w:name="CoverGrid"/>
          </w:p>
        </w:tc>
      </w:tr>
      <w:tr w:rsidR="00111A33" w:rsidRPr="00292D9C" w14:paraId="0D82D6E1" w14:textId="77777777" w:rsidTr="007F74EB">
        <w:trPr>
          <w:trHeight w:val="6746"/>
        </w:trPr>
        <w:tc>
          <w:tcPr>
            <w:tcW w:w="9639" w:type="dxa"/>
            <w:vAlign w:val="bottom"/>
          </w:tcPr>
          <w:p w14:paraId="53D0BFA8" w14:textId="77777777" w:rsidR="00111A33" w:rsidRPr="00292D9C" w:rsidRDefault="00887DB6" w:rsidP="00A616D5">
            <w:pPr>
              <w:pStyle w:val="CoverTitle"/>
              <w:spacing w:after="120" w:line="360" w:lineRule="auto"/>
              <w:rPr>
                <w:rFonts w:asciiTheme="minorHAnsi" w:hAnsiTheme="minorHAnsi"/>
              </w:rPr>
            </w:pPr>
            <w:sdt>
              <w:sdtPr>
                <w:rPr>
                  <w:rFonts w:asciiTheme="minorHAnsi" w:eastAsia="Times New Roman" w:hAnsiTheme="minorHAnsi" w:cs="Times New Roman"/>
                  <w:color w:val="91192D"/>
                  <w:szCs w:val="72"/>
                  <w:lang w:eastAsia="en-GB"/>
                </w:rPr>
                <w:alias w:val="Title"/>
                <w:tag w:val=""/>
                <w:id w:val="363874275"/>
                <w:placeholder>
                  <w:docPart w:val="57CD1B3847469F4081F69837C58E57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84AAD" w:rsidRPr="00292D9C">
                  <w:rPr>
                    <w:rFonts w:asciiTheme="minorHAnsi" w:eastAsia="Times New Roman" w:hAnsiTheme="minorHAnsi" w:cs="Times New Roman"/>
                    <w:color w:val="91192D"/>
                    <w:szCs w:val="72"/>
                    <w:lang w:eastAsia="en-GB"/>
                  </w:rPr>
                  <w:t>EVALUATION OF EARLY LEARNING AND SCHOOLS INITIATIVES IN THE NATIONAL INNOVATION AND SCIENCE AGENDA</w:t>
                </w:r>
              </w:sdtContent>
            </w:sdt>
          </w:p>
          <w:p w14:paraId="0A5582AD" w14:textId="03BB853B" w:rsidR="00111A33" w:rsidRPr="00292D9C" w:rsidRDefault="00887DB6" w:rsidP="00A41A07">
            <w:pPr>
              <w:pStyle w:val="CoverSubtitle"/>
              <w:spacing w:before="0" w:line="360" w:lineRule="auto"/>
              <w:rPr>
                <w:rFonts w:asciiTheme="minorHAnsi" w:hAnsiTheme="minorHAnsi"/>
              </w:rPr>
            </w:pPr>
            <w:sdt>
              <w:sdtPr>
                <w:rPr>
                  <w:rFonts w:asciiTheme="minorHAnsi" w:hAnsiTheme="minorHAnsi"/>
                </w:rPr>
                <w:alias w:val="Subject"/>
                <w:tag w:val=""/>
                <w:id w:val="618257504"/>
                <w:placeholder>
                  <w:docPart w:val="2A0AC8A2FB1D7744812344AB2B592BCD"/>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41A07" w:rsidRPr="00292D9C">
                  <w:rPr>
                    <w:rFonts w:asciiTheme="minorHAnsi" w:hAnsiTheme="minorHAnsi"/>
                  </w:rPr>
                  <w:t>REPORT TO THE DEPARTMENT OF EDUCATION</w:t>
                </w:r>
                <w:r w:rsidR="00A41A07" w:rsidRPr="00292D9C">
                  <w:rPr>
                    <w:rFonts w:asciiTheme="minorHAnsi" w:hAnsiTheme="minorHAnsi"/>
                  </w:rPr>
                  <w:br/>
                </w:r>
                <w:r w:rsidR="00A41A07" w:rsidRPr="00292D9C">
                  <w:rPr>
                    <w:rFonts w:asciiTheme="minorHAnsi" w:hAnsiTheme="minorHAnsi"/>
                  </w:rPr>
                  <w:br/>
                </w:r>
                <w:r w:rsidR="00A41A07">
                  <w:rPr>
                    <w:rFonts w:asciiTheme="minorHAnsi" w:hAnsiTheme="minorHAnsi"/>
                  </w:rPr>
                  <w:t>JANUARY 2020</w:t>
                </w:r>
              </w:sdtContent>
            </w:sdt>
          </w:p>
        </w:tc>
      </w:tr>
    </w:tbl>
    <w:p w14:paraId="6F7A39C5" w14:textId="77777777" w:rsidR="00111A33" w:rsidRPr="00292D9C" w:rsidRDefault="00111A33" w:rsidP="00A616D5">
      <w:r w:rsidRPr="00292D9C">
        <w:br w:type="page"/>
      </w:r>
      <w:bookmarkEnd w:id="0"/>
    </w:p>
    <w:p w14:paraId="3F073812" w14:textId="77777777" w:rsidR="00111A33" w:rsidRPr="00292D9C" w:rsidRDefault="00DD3061" w:rsidP="00A616D5">
      <w:pPr>
        <w:pStyle w:val="Heading1"/>
        <w:numPr>
          <w:ilvl w:val="0"/>
          <w:numId w:val="0"/>
        </w:numPr>
        <w:spacing w:before="0" w:after="120" w:line="360" w:lineRule="auto"/>
        <w:ind w:left="567" w:hanging="567"/>
        <w:rPr>
          <w:rFonts w:asciiTheme="minorHAnsi" w:hAnsiTheme="minorHAnsi"/>
        </w:rPr>
      </w:pPr>
      <w:bookmarkStart w:id="1" w:name="_Toc25162022"/>
      <w:r w:rsidRPr="00292D9C">
        <w:rPr>
          <w:rFonts w:asciiTheme="minorHAnsi" w:hAnsiTheme="minorHAnsi"/>
        </w:rPr>
        <w:lastRenderedPageBreak/>
        <w:t>Table of Content</w:t>
      </w:r>
      <w:r w:rsidR="00A769FD" w:rsidRPr="00292D9C">
        <w:rPr>
          <w:rFonts w:asciiTheme="minorHAnsi" w:hAnsiTheme="minorHAnsi"/>
        </w:rPr>
        <w:t>s</w:t>
      </w:r>
      <w:bookmarkEnd w:id="1"/>
    </w:p>
    <w:p w14:paraId="1DBB0971" w14:textId="397FFC30" w:rsidR="00762B5A" w:rsidRDefault="001B22A7">
      <w:pPr>
        <w:pStyle w:val="TOC1"/>
        <w:rPr>
          <w:rFonts w:eastAsiaTheme="minorEastAsia"/>
          <w:color w:val="auto"/>
          <w:szCs w:val="24"/>
        </w:rPr>
      </w:pPr>
      <w:r w:rsidRPr="00292D9C">
        <w:fldChar w:fldCharType="begin"/>
      </w:r>
      <w:r w:rsidRPr="00292D9C">
        <w:instrText xml:space="preserve"> TOC \o "1-2" \h \z \u </w:instrText>
      </w:r>
      <w:r w:rsidRPr="00292D9C">
        <w:fldChar w:fldCharType="separate"/>
      </w:r>
      <w:hyperlink w:anchor="_Toc25162022" w:history="1">
        <w:r w:rsidR="00762B5A" w:rsidRPr="0018137D">
          <w:rPr>
            <w:rStyle w:val="Hyperlink"/>
          </w:rPr>
          <w:t>Table of Contents</w:t>
        </w:r>
        <w:r w:rsidR="00762B5A">
          <w:rPr>
            <w:webHidden/>
          </w:rPr>
          <w:tab/>
        </w:r>
        <w:r w:rsidR="00762B5A">
          <w:rPr>
            <w:webHidden/>
          </w:rPr>
          <w:fldChar w:fldCharType="begin"/>
        </w:r>
        <w:r w:rsidR="00762B5A">
          <w:rPr>
            <w:webHidden/>
          </w:rPr>
          <w:instrText xml:space="preserve"> PAGEREF _Toc25162022 \h </w:instrText>
        </w:r>
        <w:r w:rsidR="00762B5A">
          <w:rPr>
            <w:webHidden/>
          </w:rPr>
        </w:r>
        <w:r w:rsidR="00762B5A">
          <w:rPr>
            <w:webHidden/>
          </w:rPr>
          <w:fldChar w:fldCharType="separate"/>
        </w:r>
        <w:r w:rsidR="00887DB6">
          <w:rPr>
            <w:webHidden/>
          </w:rPr>
          <w:t>2</w:t>
        </w:r>
        <w:r w:rsidR="00762B5A">
          <w:rPr>
            <w:webHidden/>
          </w:rPr>
          <w:fldChar w:fldCharType="end"/>
        </w:r>
      </w:hyperlink>
    </w:p>
    <w:p w14:paraId="2B660127" w14:textId="139C865A" w:rsidR="00762B5A" w:rsidRDefault="00887DB6">
      <w:pPr>
        <w:pStyle w:val="TOC1"/>
        <w:rPr>
          <w:rFonts w:eastAsiaTheme="minorEastAsia"/>
          <w:color w:val="auto"/>
          <w:szCs w:val="24"/>
        </w:rPr>
      </w:pPr>
      <w:hyperlink w:anchor="_Toc25162023" w:history="1">
        <w:r w:rsidR="00762B5A" w:rsidRPr="0018137D">
          <w:rPr>
            <w:rStyle w:val="Hyperlink"/>
          </w:rPr>
          <w:t>Executive Summary</w:t>
        </w:r>
        <w:r w:rsidR="00762B5A">
          <w:rPr>
            <w:webHidden/>
          </w:rPr>
          <w:tab/>
        </w:r>
        <w:r w:rsidR="00762B5A">
          <w:rPr>
            <w:webHidden/>
          </w:rPr>
          <w:fldChar w:fldCharType="begin"/>
        </w:r>
        <w:r w:rsidR="00762B5A">
          <w:rPr>
            <w:webHidden/>
          </w:rPr>
          <w:instrText xml:space="preserve"> PAGEREF _Toc25162023 \h </w:instrText>
        </w:r>
        <w:r w:rsidR="00762B5A">
          <w:rPr>
            <w:webHidden/>
          </w:rPr>
        </w:r>
        <w:r w:rsidR="00762B5A">
          <w:rPr>
            <w:webHidden/>
          </w:rPr>
          <w:fldChar w:fldCharType="separate"/>
        </w:r>
        <w:r>
          <w:rPr>
            <w:webHidden/>
          </w:rPr>
          <w:t>3</w:t>
        </w:r>
        <w:r w:rsidR="00762B5A">
          <w:rPr>
            <w:webHidden/>
          </w:rPr>
          <w:fldChar w:fldCharType="end"/>
        </w:r>
      </w:hyperlink>
    </w:p>
    <w:p w14:paraId="340AEAAA" w14:textId="47F413DA" w:rsidR="00762B5A" w:rsidRDefault="00887DB6">
      <w:pPr>
        <w:pStyle w:val="TOC1"/>
        <w:rPr>
          <w:rFonts w:eastAsiaTheme="minorEastAsia"/>
          <w:color w:val="auto"/>
          <w:szCs w:val="24"/>
        </w:rPr>
      </w:pPr>
      <w:hyperlink w:anchor="_Toc25162035" w:history="1">
        <w:r w:rsidR="00762B5A" w:rsidRPr="0018137D">
          <w:rPr>
            <w:rStyle w:val="Hyperlink"/>
          </w:rPr>
          <w:t>Introduction</w:t>
        </w:r>
        <w:r w:rsidR="00762B5A">
          <w:rPr>
            <w:webHidden/>
          </w:rPr>
          <w:tab/>
        </w:r>
        <w:r w:rsidR="00762B5A">
          <w:rPr>
            <w:webHidden/>
          </w:rPr>
          <w:fldChar w:fldCharType="begin"/>
        </w:r>
        <w:r w:rsidR="00762B5A">
          <w:rPr>
            <w:webHidden/>
          </w:rPr>
          <w:instrText xml:space="preserve"> PAGEREF _Toc25162035 \h </w:instrText>
        </w:r>
        <w:r w:rsidR="00762B5A">
          <w:rPr>
            <w:webHidden/>
          </w:rPr>
        </w:r>
        <w:r w:rsidR="00762B5A">
          <w:rPr>
            <w:webHidden/>
          </w:rPr>
          <w:fldChar w:fldCharType="separate"/>
        </w:r>
        <w:r>
          <w:rPr>
            <w:webHidden/>
          </w:rPr>
          <w:t>9</w:t>
        </w:r>
        <w:r w:rsidR="00762B5A">
          <w:rPr>
            <w:webHidden/>
          </w:rPr>
          <w:fldChar w:fldCharType="end"/>
        </w:r>
      </w:hyperlink>
    </w:p>
    <w:p w14:paraId="21D93CB9" w14:textId="19642DED" w:rsidR="00762B5A" w:rsidRDefault="00887DB6">
      <w:pPr>
        <w:pStyle w:val="TOC1"/>
        <w:rPr>
          <w:rFonts w:eastAsiaTheme="minorEastAsia"/>
          <w:color w:val="auto"/>
          <w:szCs w:val="24"/>
        </w:rPr>
      </w:pPr>
      <w:hyperlink w:anchor="_Toc25162036" w:history="1">
        <w:r w:rsidR="00762B5A" w:rsidRPr="0018137D">
          <w:rPr>
            <w:rStyle w:val="Hyperlink"/>
          </w:rPr>
          <w:t>1</w:t>
        </w:r>
        <w:r w:rsidR="00762B5A">
          <w:rPr>
            <w:rFonts w:eastAsiaTheme="minorEastAsia"/>
            <w:color w:val="auto"/>
            <w:szCs w:val="24"/>
          </w:rPr>
          <w:tab/>
        </w:r>
        <w:r w:rsidR="00762B5A" w:rsidRPr="0018137D">
          <w:rPr>
            <w:rStyle w:val="Hyperlink"/>
          </w:rPr>
          <w:t>Approach to this evaluation</w:t>
        </w:r>
        <w:r w:rsidR="00762B5A">
          <w:rPr>
            <w:webHidden/>
          </w:rPr>
          <w:tab/>
        </w:r>
        <w:r w:rsidR="00762B5A">
          <w:rPr>
            <w:webHidden/>
          </w:rPr>
          <w:fldChar w:fldCharType="begin"/>
        </w:r>
        <w:r w:rsidR="00762B5A">
          <w:rPr>
            <w:webHidden/>
          </w:rPr>
          <w:instrText xml:space="preserve"> PAGEREF _Toc25162036 \h </w:instrText>
        </w:r>
        <w:r w:rsidR="00762B5A">
          <w:rPr>
            <w:webHidden/>
          </w:rPr>
        </w:r>
        <w:r w:rsidR="00762B5A">
          <w:rPr>
            <w:webHidden/>
          </w:rPr>
          <w:fldChar w:fldCharType="separate"/>
        </w:r>
        <w:r>
          <w:rPr>
            <w:webHidden/>
          </w:rPr>
          <w:t>11</w:t>
        </w:r>
        <w:r w:rsidR="00762B5A">
          <w:rPr>
            <w:webHidden/>
          </w:rPr>
          <w:fldChar w:fldCharType="end"/>
        </w:r>
      </w:hyperlink>
    </w:p>
    <w:p w14:paraId="25FB4B31" w14:textId="203A74D4" w:rsidR="00762B5A" w:rsidRDefault="00887DB6">
      <w:pPr>
        <w:pStyle w:val="TOC1"/>
        <w:rPr>
          <w:rFonts w:eastAsiaTheme="minorEastAsia"/>
          <w:color w:val="auto"/>
          <w:szCs w:val="24"/>
        </w:rPr>
      </w:pPr>
      <w:hyperlink w:anchor="_Toc25162037" w:history="1">
        <w:r w:rsidR="00762B5A" w:rsidRPr="0018137D">
          <w:rPr>
            <w:rStyle w:val="Hyperlink"/>
          </w:rPr>
          <w:t>2</w:t>
        </w:r>
        <w:r w:rsidR="00762B5A">
          <w:rPr>
            <w:rFonts w:eastAsiaTheme="minorEastAsia"/>
            <w:color w:val="auto"/>
            <w:szCs w:val="24"/>
          </w:rPr>
          <w:tab/>
        </w:r>
        <w:r w:rsidR="00762B5A" w:rsidRPr="0018137D">
          <w:rPr>
            <w:rStyle w:val="Hyperlink"/>
          </w:rPr>
          <w:t>Overview of STEM education</w:t>
        </w:r>
        <w:r w:rsidR="00762B5A">
          <w:rPr>
            <w:webHidden/>
          </w:rPr>
          <w:tab/>
        </w:r>
        <w:r w:rsidR="00762B5A">
          <w:rPr>
            <w:webHidden/>
          </w:rPr>
          <w:fldChar w:fldCharType="begin"/>
        </w:r>
        <w:r w:rsidR="00762B5A">
          <w:rPr>
            <w:webHidden/>
          </w:rPr>
          <w:instrText xml:space="preserve"> PAGEREF _Toc25162037 \h </w:instrText>
        </w:r>
        <w:r w:rsidR="00762B5A">
          <w:rPr>
            <w:webHidden/>
          </w:rPr>
        </w:r>
        <w:r w:rsidR="00762B5A">
          <w:rPr>
            <w:webHidden/>
          </w:rPr>
          <w:fldChar w:fldCharType="separate"/>
        </w:r>
        <w:r>
          <w:rPr>
            <w:webHidden/>
          </w:rPr>
          <w:t>17</w:t>
        </w:r>
        <w:r w:rsidR="00762B5A">
          <w:rPr>
            <w:webHidden/>
          </w:rPr>
          <w:fldChar w:fldCharType="end"/>
        </w:r>
      </w:hyperlink>
    </w:p>
    <w:p w14:paraId="733C7119" w14:textId="19047864" w:rsidR="00762B5A" w:rsidRDefault="00887DB6">
      <w:pPr>
        <w:pStyle w:val="TOC1"/>
        <w:rPr>
          <w:rFonts w:eastAsiaTheme="minorEastAsia"/>
          <w:color w:val="auto"/>
          <w:szCs w:val="24"/>
        </w:rPr>
      </w:pPr>
      <w:hyperlink w:anchor="_Toc25162040" w:history="1">
        <w:r w:rsidR="00762B5A" w:rsidRPr="0018137D">
          <w:rPr>
            <w:rStyle w:val="Hyperlink"/>
            <w:lang w:eastAsia="en-GB"/>
          </w:rPr>
          <w:t>3</w:t>
        </w:r>
        <w:r w:rsidR="00762B5A">
          <w:rPr>
            <w:rFonts w:eastAsiaTheme="minorEastAsia"/>
            <w:color w:val="auto"/>
            <w:szCs w:val="24"/>
          </w:rPr>
          <w:tab/>
        </w:r>
        <w:r w:rsidR="00762B5A" w:rsidRPr="0018137D">
          <w:rPr>
            <w:rStyle w:val="Hyperlink"/>
          </w:rPr>
          <w:t>Evaluation of NISA initiatives as a package</w:t>
        </w:r>
        <w:r w:rsidR="00762B5A">
          <w:rPr>
            <w:webHidden/>
          </w:rPr>
          <w:tab/>
        </w:r>
        <w:r w:rsidR="00762B5A">
          <w:rPr>
            <w:webHidden/>
          </w:rPr>
          <w:fldChar w:fldCharType="begin"/>
        </w:r>
        <w:r w:rsidR="00762B5A">
          <w:rPr>
            <w:webHidden/>
          </w:rPr>
          <w:instrText xml:space="preserve"> PAGEREF _Toc25162040 \h </w:instrText>
        </w:r>
        <w:r w:rsidR="00762B5A">
          <w:rPr>
            <w:webHidden/>
          </w:rPr>
        </w:r>
        <w:r w:rsidR="00762B5A">
          <w:rPr>
            <w:webHidden/>
          </w:rPr>
          <w:fldChar w:fldCharType="separate"/>
        </w:r>
        <w:r>
          <w:rPr>
            <w:webHidden/>
          </w:rPr>
          <w:t>20</w:t>
        </w:r>
        <w:r w:rsidR="00762B5A">
          <w:rPr>
            <w:webHidden/>
          </w:rPr>
          <w:fldChar w:fldCharType="end"/>
        </w:r>
      </w:hyperlink>
    </w:p>
    <w:p w14:paraId="46BF5E3B" w14:textId="0C73574D" w:rsidR="00762B5A" w:rsidRDefault="00887DB6">
      <w:pPr>
        <w:pStyle w:val="TOC1"/>
        <w:rPr>
          <w:rFonts w:eastAsiaTheme="minorEastAsia"/>
          <w:color w:val="auto"/>
          <w:szCs w:val="24"/>
        </w:rPr>
      </w:pPr>
      <w:hyperlink w:anchor="_Toc25162056" w:history="1">
        <w:r w:rsidR="00762B5A" w:rsidRPr="0018137D">
          <w:rPr>
            <w:rStyle w:val="Hyperlink"/>
          </w:rPr>
          <w:t>4</w:t>
        </w:r>
        <w:r w:rsidR="00762B5A">
          <w:rPr>
            <w:rFonts w:eastAsiaTheme="minorEastAsia"/>
            <w:color w:val="auto"/>
            <w:szCs w:val="24"/>
          </w:rPr>
          <w:tab/>
        </w:r>
        <w:r w:rsidR="00762B5A" w:rsidRPr="0018137D">
          <w:rPr>
            <w:rStyle w:val="Hyperlink"/>
          </w:rPr>
          <w:t>Changes in the operating environment</w:t>
        </w:r>
        <w:r w:rsidR="00762B5A">
          <w:rPr>
            <w:webHidden/>
          </w:rPr>
          <w:tab/>
        </w:r>
        <w:r w:rsidR="00762B5A">
          <w:rPr>
            <w:webHidden/>
          </w:rPr>
          <w:fldChar w:fldCharType="begin"/>
        </w:r>
        <w:r w:rsidR="00762B5A">
          <w:rPr>
            <w:webHidden/>
          </w:rPr>
          <w:instrText xml:space="preserve"> PAGEREF _Toc25162056 \h </w:instrText>
        </w:r>
        <w:r w:rsidR="00762B5A">
          <w:rPr>
            <w:webHidden/>
          </w:rPr>
        </w:r>
        <w:r w:rsidR="00762B5A">
          <w:rPr>
            <w:webHidden/>
          </w:rPr>
          <w:fldChar w:fldCharType="separate"/>
        </w:r>
        <w:r>
          <w:rPr>
            <w:webHidden/>
          </w:rPr>
          <w:t>40</w:t>
        </w:r>
        <w:r w:rsidR="00762B5A">
          <w:rPr>
            <w:webHidden/>
          </w:rPr>
          <w:fldChar w:fldCharType="end"/>
        </w:r>
      </w:hyperlink>
    </w:p>
    <w:p w14:paraId="0820BC60" w14:textId="62404B65" w:rsidR="00762B5A" w:rsidRDefault="00887DB6">
      <w:pPr>
        <w:pStyle w:val="TOC1"/>
        <w:rPr>
          <w:rFonts w:eastAsiaTheme="minorEastAsia"/>
          <w:color w:val="auto"/>
          <w:szCs w:val="24"/>
        </w:rPr>
      </w:pPr>
      <w:hyperlink w:anchor="_Toc25162060" w:history="1">
        <w:r w:rsidR="00762B5A" w:rsidRPr="0018137D">
          <w:rPr>
            <w:rStyle w:val="Hyperlink"/>
          </w:rPr>
          <w:t>5</w:t>
        </w:r>
        <w:r w:rsidR="00762B5A">
          <w:rPr>
            <w:rFonts w:eastAsiaTheme="minorEastAsia"/>
            <w:color w:val="auto"/>
            <w:szCs w:val="24"/>
          </w:rPr>
          <w:tab/>
        </w:r>
        <w:r w:rsidR="00762B5A" w:rsidRPr="0018137D">
          <w:rPr>
            <w:rStyle w:val="Hyperlink"/>
          </w:rPr>
          <w:t>Towards a forward strategy for investment in STEM education</w:t>
        </w:r>
        <w:r w:rsidR="00762B5A">
          <w:rPr>
            <w:webHidden/>
          </w:rPr>
          <w:tab/>
        </w:r>
        <w:r w:rsidR="00762B5A">
          <w:rPr>
            <w:webHidden/>
          </w:rPr>
          <w:fldChar w:fldCharType="begin"/>
        </w:r>
        <w:r w:rsidR="00762B5A">
          <w:rPr>
            <w:webHidden/>
          </w:rPr>
          <w:instrText xml:space="preserve"> PAGEREF _Toc25162060 \h </w:instrText>
        </w:r>
        <w:r w:rsidR="00762B5A">
          <w:rPr>
            <w:webHidden/>
          </w:rPr>
        </w:r>
        <w:r w:rsidR="00762B5A">
          <w:rPr>
            <w:webHidden/>
          </w:rPr>
          <w:fldChar w:fldCharType="separate"/>
        </w:r>
        <w:r>
          <w:rPr>
            <w:webHidden/>
          </w:rPr>
          <w:t>50</w:t>
        </w:r>
        <w:r w:rsidR="00762B5A">
          <w:rPr>
            <w:webHidden/>
          </w:rPr>
          <w:fldChar w:fldCharType="end"/>
        </w:r>
      </w:hyperlink>
    </w:p>
    <w:p w14:paraId="4CC2C531" w14:textId="31E5E485" w:rsidR="00762B5A" w:rsidRDefault="00887DB6">
      <w:pPr>
        <w:pStyle w:val="TOC1"/>
        <w:rPr>
          <w:rFonts w:eastAsiaTheme="minorEastAsia"/>
          <w:color w:val="auto"/>
          <w:szCs w:val="24"/>
        </w:rPr>
      </w:pPr>
      <w:hyperlink w:anchor="_Toc25162062" w:history="1">
        <w:r w:rsidR="00762B5A" w:rsidRPr="0018137D">
          <w:rPr>
            <w:rStyle w:val="Hyperlink"/>
            <w:lang w:eastAsia="en-GB"/>
          </w:rPr>
          <w:t>6</w:t>
        </w:r>
        <w:r w:rsidR="00762B5A">
          <w:rPr>
            <w:rFonts w:eastAsiaTheme="minorEastAsia"/>
            <w:color w:val="auto"/>
            <w:szCs w:val="24"/>
          </w:rPr>
          <w:tab/>
        </w:r>
        <w:r w:rsidR="00762B5A" w:rsidRPr="0018137D">
          <w:rPr>
            <w:rStyle w:val="Hyperlink"/>
          </w:rPr>
          <w:t>Where should the Australian Government place its focus?</w:t>
        </w:r>
        <w:r w:rsidR="00762B5A">
          <w:rPr>
            <w:webHidden/>
          </w:rPr>
          <w:tab/>
        </w:r>
        <w:r w:rsidR="00762B5A">
          <w:rPr>
            <w:webHidden/>
          </w:rPr>
          <w:fldChar w:fldCharType="begin"/>
        </w:r>
        <w:r w:rsidR="00762B5A">
          <w:rPr>
            <w:webHidden/>
          </w:rPr>
          <w:instrText xml:space="preserve"> PAGEREF _Toc25162062 \h </w:instrText>
        </w:r>
        <w:r w:rsidR="00762B5A">
          <w:rPr>
            <w:webHidden/>
          </w:rPr>
        </w:r>
        <w:r w:rsidR="00762B5A">
          <w:rPr>
            <w:webHidden/>
          </w:rPr>
          <w:fldChar w:fldCharType="separate"/>
        </w:r>
        <w:r>
          <w:rPr>
            <w:webHidden/>
          </w:rPr>
          <w:t>59</w:t>
        </w:r>
        <w:r w:rsidR="00762B5A">
          <w:rPr>
            <w:webHidden/>
          </w:rPr>
          <w:fldChar w:fldCharType="end"/>
        </w:r>
      </w:hyperlink>
    </w:p>
    <w:p w14:paraId="3D776DAB" w14:textId="55AAC5C6" w:rsidR="00762B5A" w:rsidRDefault="00887DB6">
      <w:pPr>
        <w:pStyle w:val="TOC1"/>
        <w:rPr>
          <w:rFonts w:eastAsiaTheme="minorEastAsia"/>
          <w:color w:val="auto"/>
          <w:szCs w:val="24"/>
        </w:rPr>
      </w:pPr>
      <w:hyperlink w:anchor="_Toc25162077" w:history="1">
        <w:r w:rsidR="00762B5A" w:rsidRPr="0018137D">
          <w:rPr>
            <w:rStyle w:val="Hyperlink"/>
          </w:rPr>
          <w:t>Appendix 1: Stakeholder consultation detail</w:t>
        </w:r>
        <w:r w:rsidR="00762B5A">
          <w:rPr>
            <w:webHidden/>
          </w:rPr>
          <w:tab/>
        </w:r>
        <w:r w:rsidR="00762B5A">
          <w:rPr>
            <w:webHidden/>
          </w:rPr>
          <w:fldChar w:fldCharType="begin"/>
        </w:r>
        <w:r w:rsidR="00762B5A">
          <w:rPr>
            <w:webHidden/>
          </w:rPr>
          <w:instrText xml:space="preserve"> PAGEREF _Toc25162077 \h </w:instrText>
        </w:r>
        <w:r w:rsidR="00762B5A">
          <w:rPr>
            <w:webHidden/>
          </w:rPr>
        </w:r>
        <w:r w:rsidR="00762B5A">
          <w:rPr>
            <w:webHidden/>
          </w:rPr>
          <w:fldChar w:fldCharType="separate"/>
        </w:r>
        <w:r>
          <w:rPr>
            <w:webHidden/>
          </w:rPr>
          <w:t>72</w:t>
        </w:r>
        <w:r w:rsidR="00762B5A">
          <w:rPr>
            <w:webHidden/>
          </w:rPr>
          <w:fldChar w:fldCharType="end"/>
        </w:r>
      </w:hyperlink>
    </w:p>
    <w:p w14:paraId="29B70E51" w14:textId="1A845961" w:rsidR="00762B5A" w:rsidRDefault="00887DB6">
      <w:pPr>
        <w:pStyle w:val="TOC1"/>
        <w:rPr>
          <w:rFonts w:eastAsiaTheme="minorEastAsia"/>
          <w:color w:val="auto"/>
          <w:szCs w:val="24"/>
        </w:rPr>
      </w:pPr>
      <w:hyperlink w:anchor="_Toc25162078" w:history="1">
        <w:r w:rsidR="00762B5A" w:rsidRPr="0018137D">
          <w:rPr>
            <w:rStyle w:val="Hyperlink"/>
          </w:rPr>
          <w:t>Appendix 2: Evaluation summaries</w:t>
        </w:r>
        <w:r w:rsidR="00762B5A">
          <w:rPr>
            <w:webHidden/>
          </w:rPr>
          <w:tab/>
        </w:r>
        <w:r w:rsidR="00762B5A">
          <w:rPr>
            <w:webHidden/>
          </w:rPr>
          <w:fldChar w:fldCharType="begin"/>
        </w:r>
        <w:r w:rsidR="00762B5A">
          <w:rPr>
            <w:webHidden/>
          </w:rPr>
          <w:instrText xml:space="preserve"> PAGEREF _Toc25162078 \h </w:instrText>
        </w:r>
        <w:r w:rsidR="00762B5A">
          <w:rPr>
            <w:webHidden/>
          </w:rPr>
        </w:r>
        <w:r w:rsidR="00762B5A">
          <w:rPr>
            <w:webHidden/>
          </w:rPr>
          <w:fldChar w:fldCharType="separate"/>
        </w:r>
        <w:r>
          <w:rPr>
            <w:webHidden/>
          </w:rPr>
          <w:t>75</w:t>
        </w:r>
        <w:r w:rsidR="00762B5A">
          <w:rPr>
            <w:webHidden/>
          </w:rPr>
          <w:fldChar w:fldCharType="end"/>
        </w:r>
      </w:hyperlink>
    </w:p>
    <w:p w14:paraId="1EF95A6E" w14:textId="70068EF5" w:rsidR="00762B5A" w:rsidRDefault="00887DB6">
      <w:pPr>
        <w:pStyle w:val="TOC1"/>
        <w:rPr>
          <w:rFonts w:eastAsiaTheme="minorEastAsia"/>
          <w:color w:val="auto"/>
          <w:szCs w:val="24"/>
        </w:rPr>
      </w:pPr>
      <w:hyperlink w:anchor="_Toc25162094" w:history="1">
        <w:r w:rsidR="00762B5A" w:rsidRPr="0018137D">
          <w:rPr>
            <w:rStyle w:val="Hyperlink"/>
          </w:rPr>
          <w:t>Appendix 3: State and territory STEM strategies</w:t>
        </w:r>
        <w:r w:rsidR="00762B5A">
          <w:rPr>
            <w:webHidden/>
          </w:rPr>
          <w:tab/>
        </w:r>
        <w:r w:rsidR="00762B5A">
          <w:rPr>
            <w:webHidden/>
          </w:rPr>
          <w:fldChar w:fldCharType="begin"/>
        </w:r>
        <w:r w:rsidR="00762B5A">
          <w:rPr>
            <w:webHidden/>
          </w:rPr>
          <w:instrText xml:space="preserve"> PAGEREF _Toc25162094 \h </w:instrText>
        </w:r>
        <w:r w:rsidR="00762B5A">
          <w:rPr>
            <w:webHidden/>
          </w:rPr>
        </w:r>
        <w:r w:rsidR="00762B5A">
          <w:rPr>
            <w:webHidden/>
          </w:rPr>
          <w:fldChar w:fldCharType="separate"/>
        </w:r>
        <w:r>
          <w:rPr>
            <w:webHidden/>
          </w:rPr>
          <w:t>142</w:t>
        </w:r>
        <w:r w:rsidR="00762B5A">
          <w:rPr>
            <w:webHidden/>
          </w:rPr>
          <w:fldChar w:fldCharType="end"/>
        </w:r>
      </w:hyperlink>
    </w:p>
    <w:p w14:paraId="33D47B31" w14:textId="66AB429B" w:rsidR="00EF74BF" w:rsidRPr="00292D9C" w:rsidRDefault="001B22A7" w:rsidP="00A616D5">
      <w:r w:rsidRPr="00292D9C">
        <w:rPr>
          <w:noProof/>
          <w:color w:val="931B2F" w:themeColor="background2"/>
          <w:sz w:val="24"/>
        </w:rPr>
        <w:fldChar w:fldCharType="end"/>
      </w:r>
    </w:p>
    <w:p w14:paraId="7986D579" w14:textId="77777777" w:rsidR="004F7C22" w:rsidRPr="00292D9C" w:rsidRDefault="004F7C22" w:rsidP="00A616D5"/>
    <w:p w14:paraId="44B87885" w14:textId="77777777" w:rsidR="00A36D25" w:rsidRPr="00292D9C" w:rsidRDefault="00A36D25" w:rsidP="00A616D5"/>
    <w:p w14:paraId="73F46001" w14:textId="77777777" w:rsidR="00A36D25" w:rsidRPr="00292D9C" w:rsidRDefault="00A36D25" w:rsidP="00A616D5"/>
    <w:p w14:paraId="0113F077" w14:textId="77777777" w:rsidR="00A36D25" w:rsidRPr="00292D9C" w:rsidRDefault="00A36D25" w:rsidP="00A616D5"/>
    <w:p w14:paraId="74FCC07F" w14:textId="77777777" w:rsidR="00A36D25" w:rsidRPr="00292D9C" w:rsidRDefault="00A36D25" w:rsidP="00A616D5"/>
    <w:p w14:paraId="1F71BBFB" w14:textId="77777777" w:rsidR="00D11E32" w:rsidRPr="00292D9C" w:rsidRDefault="00D11E32" w:rsidP="00A616D5"/>
    <w:p w14:paraId="69454427" w14:textId="77777777" w:rsidR="00D11E32" w:rsidRPr="00292D9C" w:rsidRDefault="00D11E32" w:rsidP="00A616D5"/>
    <w:p w14:paraId="2154804F" w14:textId="77777777" w:rsidR="00A36D25" w:rsidRPr="00292D9C" w:rsidRDefault="00A36D25" w:rsidP="00A616D5"/>
    <w:p w14:paraId="41CB1F01" w14:textId="77777777" w:rsidR="00A36D25" w:rsidRPr="00292D9C" w:rsidRDefault="00A36D25" w:rsidP="00A616D5"/>
    <w:p w14:paraId="28714E12" w14:textId="77777777" w:rsidR="00607212" w:rsidRPr="00292D9C" w:rsidRDefault="00607212" w:rsidP="00A616D5">
      <w:pPr>
        <w:pStyle w:val="Heading1"/>
        <w:numPr>
          <w:ilvl w:val="0"/>
          <w:numId w:val="0"/>
        </w:numPr>
        <w:spacing w:before="0" w:after="120" w:line="360" w:lineRule="auto"/>
        <w:ind w:left="567" w:hanging="567"/>
        <w:rPr>
          <w:rFonts w:asciiTheme="minorHAnsi" w:hAnsiTheme="minorHAnsi"/>
        </w:rPr>
      </w:pPr>
      <w:bookmarkStart w:id="2" w:name="_Toc25162023"/>
      <w:r w:rsidRPr="00292D9C">
        <w:rPr>
          <w:rFonts w:asciiTheme="minorHAnsi" w:hAnsiTheme="minorHAnsi"/>
        </w:rPr>
        <w:t>Executive Summary</w:t>
      </w:r>
      <w:bookmarkEnd w:id="2"/>
      <w:r w:rsidRPr="00292D9C">
        <w:rPr>
          <w:rFonts w:asciiTheme="minorHAnsi" w:hAnsiTheme="minorHAnsi"/>
        </w:rPr>
        <w:t xml:space="preserve"> </w:t>
      </w:r>
    </w:p>
    <w:p w14:paraId="1DCCC0D0" w14:textId="77777777" w:rsidR="00086E12" w:rsidRPr="00292D9C" w:rsidRDefault="004F7C22" w:rsidP="00A616D5">
      <w:pPr>
        <w:rPr>
          <w:szCs w:val="22"/>
        </w:rPr>
      </w:pPr>
      <w:r w:rsidRPr="00292D9C">
        <w:rPr>
          <w:szCs w:val="22"/>
        </w:rPr>
        <w:t xml:space="preserve">Through the National </w:t>
      </w:r>
      <w:r w:rsidR="008D5AC7">
        <w:rPr>
          <w:szCs w:val="22"/>
        </w:rPr>
        <w:t xml:space="preserve">Innovation and </w:t>
      </w:r>
      <w:r w:rsidRPr="00292D9C">
        <w:rPr>
          <w:szCs w:val="22"/>
        </w:rPr>
        <w:t xml:space="preserve">Science Agenda (NISA), announced in 2015, the Australian Government </w:t>
      </w:r>
      <w:r w:rsidR="0017079D">
        <w:rPr>
          <w:szCs w:val="22"/>
        </w:rPr>
        <w:t xml:space="preserve">has </w:t>
      </w:r>
      <w:r w:rsidRPr="00292D9C">
        <w:rPr>
          <w:szCs w:val="22"/>
        </w:rPr>
        <w:t xml:space="preserve">allocated funding to 15 </w:t>
      </w:r>
      <w:r w:rsidR="00086E12" w:rsidRPr="00292D9C">
        <w:rPr>
          <w:szCs w:val="22"/>
        </w:rPr>
        <w:t xml:space="preserve">STEM-focused </w:t>
      </w:r>
      <w:r w:rsidRPr="00292D9C">
        <w:rPr>
          <w:szCs w:val="22"/>
        </w:rPr>
        <w:t xml:space="preserve">initiatives </w:t>
      </w:r>
      <w:r w:rsidR="00086E12" w:rsidRPr="00292D9C">
        <w:rPr>
          <w:szCs w:val="22"/>
        </w:rPr>
        <w:t>across</w:t>
      </w:r>
      <w:r w:rsidRPr="00292D9C">
        <w:rPr>
          <w:szCs w:val="22"/>
        </w:rPr>
        <w:t xml:space="preserve"> the education portfolio</w:t>
      </w:r>
      <w:r w:rsidR="00086E12" w:rsidRPr="00292D9C">
        <w:rPr>
          <w:szCs w:val="22"/>
        </w:rPr>
        <w:t xml:space="preserve">. </w:t>
      </w:r>
      <w:r w:rsidR="0087538D" w:rsidRPr="00292D9C">
        <w:rPr>
          <w:szCs w:val="22"/>
        </w:rPr>
        <w:t>T</w:t>
      </w:r>
      <w:r w:rsidR="006836AD" w:rsidRPr="00292D9C">
        <w:rPr>
          <w:szCs w:val="22"/>
        </w:rPr>
        <w:t xml:space="preserve">eachers, principals, students and industry </w:t>
      </w:r>
      <w:r w:rsidR="0087538D" w:rsidRPr="00292D9C">
        <w:rPr>
          <w:szCs w:val="22"/>
        </w:rPr>
        <w:t xml:space="preserve">have now been engaging with </w:t>
      </w:r>
      <w:r w:rsidR="0017079D">
        <w:rPr>
          <w:szCs w:val="22"/>
        </w:rPr>
        <w:t xml:space="preserve">most of these </w:t>
      </w:r>
      <w:r w:rsidR="0087538D" w:rsidRPr="00292D9C">
        <w:rPr>
          <w:szCs w:val="22"/>
        </w:rPr>
        <w:t xml:space="preserve">initiatives for </w:t>
      </w:r>
      <w:r w:rsidR="00E54346" w:rsidRPr="00292D9C">
        <w:rPr>
          <w:szCs w:val="22"/>
        </w:rPr>
        <w:t>approximately</w:t>
      </w:r>
      <w:r w:rsidR="0087538D" w:rsidRPr="00292D9C">
        <w:rPr>
          <w:szCs w:val="22"/>
        </w:rPr>
        <w:t xml:space="preserve"> three years</w:t>
      </w:r>
      <w:r w:rsidR="006836AD" w:rsidRPr="00292D9C">
        <w:rPr>
          <w:szCs w:val="22"/>
        </w:rPr>
        <w:t>.</w:t>
      </w:r>
    </w:p>
    <w:p w14:paraId="530DAED9" w14:textId="77777777" w:rsidR="00D40D9C" w:rsidRPr="00292D9C" w:rsidRDefault="006836AD" w:rsidP="00A616D5">
      <w:pPr>
        <w:rPr>
          <w:szCs w:val="22"/>
        </w:rPr>
      </w:pPr>
      <w:r w:rsidRPr="00292D9C">
        <w:rPr>
          <w:szCs w:val="22"/>
        </w:rPr>
        <w:t xml:space="preserve">The Department </w:t>
      </w:r>
      <w:r w:rsidR="004F7C22" w:rsidRPr="00292D9C">
        <w:rPr>
          <w:szCs w:val="22"/>
        </w:rPr>
        <w:t xml:space="preserve">of Education (the Department) </w:t>
      </w:r>
      <w:r w:rsidRPr="00292D9C">
        <w:rPr>
          <w:szCs w:val="22"/>
        </w:rPr>
        <w:t xml:space="preserve">wants to </w:t>
      </w:r>
      <w:r w:rsidR="0087538D" w:rsidRPr="00292D9C">
        <w:rPr>
          <w:szCs w:val="22"/>
        </w:rPr>
        <w:t xml:space="preserve">understand </w:t>
      </w:r>
      <w:r w:rsidRPr="00292D9C">
        <w:rPr>
          <w:szCs w:val="22"/>
        </w:rPr>
        <w:t>what the impact of these initiatives has been — individually and as a package</w:t>
      </w:r>
      <w:r w:rsidR="000D6A6A" w:rsidRPr="00292D9C">
        <w:rPr>
          <w:szCs w:val="22"/>
        </w:rPr>
        <w:t xml:space="preserve"> of initiatives</w:t>
      </w:r>
      <w:r w:rsidR="0087538D" w:rsidRPr="00292D9C">
        <w:rPr>
          <w:szCs w:val="22"/>
        </w:rPr>
        <w:t>.</w:t>
      </w:r>
      <w:r w:rsidRPr="00292D9C">
        <w:rPr>
          <w:szCs w:val="22"/>
        </w:rPr>
        <w:t xml:space="preserve"> </w:t>
      </w:r>
      <w:r w:rsidR="00575957" w:rsidRPr="00292D9C">
        <w:rPr>
          <w:szCs w:val="22"/>
        </w:rPr>
        <w:t>They have</w:t>
      </w:r>
      <w:r w:rsidRPr="00292D9C">
        <w:rPr>
          <w:szCs w:val="22"/>
        </w:rPr>
        <w:t xml:space="preserve"> commissioned </w:t>
      </w:r>
      <w:proofErr w:type="spellStart"/>
      <w:r w:rsidRPr="00292D9C">
        <w:rPr>
          <w:szCs w:val="22"/>
        </w:rPr>
        <w:t>dandolopartners</w:t>
      </w:r>
      <w:proofErr w:type="spellEnd"/>
      <w:r w:rsidR="00E54346" w:rsidRPr="00292D9C">
        <w:rPr>
          <w:szCs w:val="22"/>
        </w:rPr>
        <w:t xml:space="preserve"> (</w:t>
      </w:r>
      <w:proofErr w:type="spellStart"/>
      <w:r w:rsidR="00E54346" w:rsidRPr="00292D9C">
        <w:rPr>
          <w:szCs w:val="22"/>
        </w:rPr>
        <w:t>dandolo</w:t>
      </w:r>
      <w:proofErr w:type="spellEnd"/>
      <w:r w:rsidR="00E54346" w:rsidRPr="00292D9C">
        <w:rPr>
          <w:szCs w:val="22"/>
        </w:rPr>
        <w:t>)</w:t>
      </w:r>
      <w:r w:rsidRPr="00292D9C">
        <w:rPr>
          <w:szCs w:val="22"/>
        </w:rPr>
        <w:t xml:space="preserve"> to conduct an evaluation that provides a sound evidence base for future decisions </w:t>
      </w:r>
      <w:r w:rsidR="00086E12" w:rsidRPr="00292D9C">
        <w:rPr>
          <w:szCs w:val="22"/>
        </w:rPr>
        <w:t xml:space="preserve">about </w:t>
      </w:r>
      <w:r w:rsidRPr="00292D9C">
        <w:rPr>
          <w:szCs w:val="22"/>
        </w:rPr>
        <w:t xml:space="preserve">support for STEM teaching and learning in schools and the early years. </w:t>
      </w:r>
    </w:p>
    <w:p w14:paraId="4EF99904" w14:textId="77777777" w:rsidR="00E60B05" w:rsidRPr="00292D9C" w:rsidRDefault="00E60B05" w:rsidP="00164DDE">
      <w:pPr>
        <w:pStyle w:val="Heading2"/>
        <w:numPr>
          <w:ilvl w:val="1"/>
          <w:numId w:val="32"/>
        </w:numPr>
        <w:spacing w:before="0" w:after="120"/>
        <w:rPr>
          <w:rFonts w:asciiTheme="minorHAnsi" w:hAnsiTheme="minorHAnsi"/>
        </w:rPr>
      </w:pPr>
      <w:bookmarkStart w:id="3" w:name="_Toc16707141"/>
      <w:bookmarkStart w:id="4" w:name="_Toc21088233"/>
      <w:bookmarkStart w:id="5" w:name="_Toc23504190"/>
      <w:bookmarkStart w:id="6" w:name="_Toc25162024"/>
      <w:r w:rsidRPr="00292D9C">
        <w:rPr>
          <w:rFonts w:asciiTheme="minorHAnsi" w:hAnsiTheme="minorHAnsi"/>
        </w:rPr>
        <w:t xml:space="preserve">Evaluation </w:t>
      </w:r>
      <w:bookmarkEnd w:id="3"/>
      <w:r w:rsidR="00E54346" w:rsidRPr="00292D9C">
        <w:rPr>
          <w:rFonts w:asciiTheme="minorHAnsi" w:hAnsiTheme="minorHAnsi"/>
        </w:rPr>
        <w:t>findings</w:t>
      </w:r>
      <w:bookmarkEnd w:id="4"/>
      <w:bookmarkEnd w:id="5"/>
      <w:bookmarkEnd w:id="6"/>
      <w:r w:rsidRPr="00292D9C">
        <w:rPr>
          <w:rFonts w:asciiTheme="minorHAnsi" w:hAnsiTheme="minorHAnsi"/>
        </w:rPr>
        <w:t xml:space="preserve"> </w:t>
      </w:r>
    </w:p>
    <w:p w14:paraId="587014A7" w14:textId="77777777" w:rsidR="006541D4" w:rsidRPr="00292D9C" w:rsidRDefault="006541D4" w:rsidP="00A616D5">
      <w:pPr>
        <w:pStyle w:val="Heading3Normal"/>
        <w:spacing w:before="0" w:after="120"/>
        <w:rPr>
          <w:rFonts w:asciiTheme="minorHAnsi" w:hAnsiTheme="minorHAnsi"/>
        </w:rPr>
      </w:pPr>
      <w:r w:rsidRPr="00292D9C">
        <w:rPr>
          <w:rFonts w:asciiTheme="minorHAnsi" w:hAnsiTheme="minorHAnsi"/>
        </w:rPr>
        <w:t xml:space="preserve">The NISA initiatives are well-regarded by stakeholders with many positive outcomes for STEM education </w:t>
      </w:r>
    </w:p>
    <w:p w14:paraId="5ED54194" w14:textId="77777777" w:rsidR="006541D4" w:rsidRPr="00292D9C" w:rsidRDefault="006541D4" w:rsidP="00A616D5">
      <w:pPr>
        <w:rPr>
          <w:szCs w:val="22"/>
        </w:rPr>
      </w:pPr>
      <w:r w:rsidRPr="00292D9C">
        <w:rPr>
          <w:szCs w:val="22"/>
        </w:rPr>
        <w:t xml:space="preserve">Given there are 15 separate NISA initiatives, </w:t>
      </w:r>
      <w:proofErr w:type="spellStart"/>
      <w:r w:rsidRPr="00292D9C">
        <w:rPr>
          <w:szCs w:val="22"/>
        </w:rPr>
        <w:t>dandolo</w:t>
      </w:r>
      <w:proofErr w:type="spellEnd"/>
      <w:r w:rsidRPr="00292D9C">
        <w:rPr>
          <w:szCs w:val="22"/>
        </w:rPr>
        <w:t xml:space="preserve"> approached the evaluation in two ways. We evaluated each initiative individually, and all initiatives together as a package. This approach included relying on existing evaluation data available to </w:t>
      </w:r>
      <w:proofErr w:type="spellStart"/>
      <w:r w:rsidRPr="00292D9C">
        <w:rPr>
          <w:szCs w:val="22"/>
        </w:rPr>
        <w:t>dandolo</w:t>
      </w:r>
      <w:proofErr w:type="spellEnd"/>
      <w:r w:rsidRPr="00292D9C">
        <w:rPr>
          <w:szCs w:val="22"/>
        </w:rPr>
        <w:t xml:space="preserve">, and supplementing this data with our own consultation processes through interviews and focus groups.  </w:t>
      </w:r>
    </w:p>
    <w:p w14:paraId="3641AEB9" w14:textId="77777777" w:rsidR="006541D4" w:rsidRPr="00292D9C" w:rsidRDefault="006541D4" w:rsidP="00A616D5">
      <w:pPr>
        <w:rPr>
          <w:szCs w:val="22"/>
        </w:rPr>
      </w:pPr>
      <w:r w:rsidRPr="00292D9C">
        <w:rPr>
          <w:szCs w:val="22"/>
        </w:rPr>
        <w:t>Overall, for individual initiatives we found that:</w:t>
      </w:r>
    </w:p>
    <w:p w14:paraId="10D8AE86" w14:textId="77777777" w:rsidR="00E54346" w:rsidRPr="00292D9C" w:rsidRDefault="00E54346" w:rsidP="00164DDE">
      <w:pPr>
        <w:pStyle w:val="ListParagraph"/>
        <w:numPr>
          <w:ilvl w:val="0"/>
          <w:numId w:val="161"/>
        </w:numPr>
        <w:rPr>
          <w:szCs w:val="22"/>
        </w:rPr>
      </w:pPr>
      <w:r w:rsidRPr="00292D9C">
        <w:rPr>
          <w:szCs w:val="22"/>
        </w:rPr>
        <w:t xml:space="preserve">Programs or activities successfully reached their target audiences </w:t>
      </w:r>
    </w:p>
    <w:p w14:paraId="63AC10D0" w14:textId="77777777" w:rsidR="00E54346" w:rsidRPr="00292D9C" w:rsidRDefault="00E54346" w:rsidP="00164DDE">
      <w:pPr>
        <w:pStyle w:val="ListParagraph"/>
        <w:numPr>
          <w:ilvl w:val="0"/>
          <w:numId w:val="161"/>
        </w:numPr>
        <w:rPr>
          <w:szCs w:val="22"/>
        </w:rPr>
      </w:pPr>
      <w:r w:rsidRPr="00292D9C">
        <w:rPr>
          <w:szCs w:val="22"/>
        </w:rPr>
        <w:t xml:space="preserve">Most were positively received </w:t>
      </w:r>
    </w:p>
    <w:p w14:paraId="5B0DD600" w14:textId="77777777" w:rsidR="00E54346" w:rsidRPr="00292D9C" w:rsidRDefault="00E54346" w:rsidP="00164DDE">
      <w:pPr>
        <w:pStyle w:val="ListParagraph"/>
        <w:numPr>
          <w:ilvl w:val="0"/>
          <w:numId w:val="161"/>
        </w:numPr>
        <w:rPr>
          <w:szCs w:val="22"/>
        </w:rPr>
      </w:pPr>
      <w:r w:rsidRPr="00292D9C">
        <w:rPr>
          <w:szCs w:val="22"/>
        </w:rPr>
        <w:t>Most achieved their objectives through increased STEM confidence and engagement in their target audiences.</w:t>
      </w:r>
    </w:p>
    <w:p w14:paraId="3CD7A10E" w14:textId="77777777" w:rsidR="006541D4" w:rsidRPr="00292D9C" w:rsidRDefault="006541D4" w:rsidP="00A616D5">
      <w:pPr>
        <w:rPr>
          <w:szCs w:val="22"/>
        </w:rPr>
      </w:pPr>
      <w:r w:rsidRPr="00292D9C">
        <w:rPr>
          <w:szCs w:val="22"/>
        </w:rPr>
        <w:t>For our evaluation of NISA initiatives as a package,</w:t>
      </w:r>
      <w:r w:rsidRPr="00292D9C">
        <w:rPr>
          <w:rStyle w:val="FootnoteReference"/>
          <w:szCs w:val="22"/>
        </w:rPr>
        <w:footnoteReference w:id="2"/>
      </w:r>
      <w:r w:rsidRPr="00292D9C">
        <w:rPr>
          <w:szCs w:val="22"/>
        </w:rPr>
        <w:t xml:space="preserve"> findings were generally positive and affirm the Australian Government’s current approach. However, there are some clear opportunities for future focus. Figure 1 outlines a summary of these findings. </w:t>
      </w:r>
    </w:p>
    <w:p w14:paraId="374A74DF" w14:textId="77777777" w:rsidR="00B54914" w:rsidRDefault="00B54914">
      <w:pPr>
        <w:spacing w:after="240" w:line="240" w:lineRule="auto"/>
        <w:rPr>
          <w:b/>
          <w:bCs/>
          <w:szCs w:val="22"/>
        </w:rPr>
      </w:pPr>
      <w:r>
        <w:rPr>
          <w:b/>
          <w:bCs/>
          <w:szCs w:val="22"/>
        </w:rPr>
        <w:br w:type="page"/>
      </w:r>
    </w:p>
    <w:p w14:paraId="3E72603C" w14:textId="2F0BABBA" w:rsidR="008516CE" w:rsidRPr="00B54914" w:rsidRDefault="00B54914" w:rsidP="00B54914">
      <w:pPr>
        <w:tabs>
          <w:tab w:val="left" w:pos="6480"/>
        </w:tabs>
        <w:rPr>
          <w:b/>
          <w:bCs/>
          <w:szCs w:val="22"/>
        </w:rPr>
      </w:pPr>
      <w:r w:rsidRPr="00292D9C">
        <w:rPr>
          <w:b/>
          <w:bCs/>
          <w:szCs w:val="22"/>
        </w:rPr>
        <w:t xml:space="preserve">Figure </w:t>
      </w:r>
      <w:r w:rsidRPr="00292D9C">
        <w:rPr>
          <w:b/>
          <w:bCs/>
          <w:szCs w:val="22"/>
        </w:rPr>
        <w:fldChar w:fldCharType="begin"/>
      </w:r>
      <w:r w:rsidRPr="00292D9C">
        <w:rPr>
          <w:b/>
          <w:bCs/>
          <w:szCs w:val="22"/>
        </w:rPr>
        <w:instrText xml:space="preserve"> SEQ Figure \* ARABIC </w:instrText>
      </w:r>
      <w:r w:rsidRPr="00292D9C">
        <w:rPr>
          <w:b/>
          <w:bCs/>
          <w:szCs w:val="22"/>
        </w:rPr>
        <w:fldChar w:fldCharType="separate"/>
      </w:r>
      <w:r w:rsidR="00887DB6">
        <w:rPr>
          <w:b/>
          <w:bCs/>
          <w:noProof/>
          <w:szCs w:val="22"/>
        </w:rPr>
        <w:t>1</w:t>
      </w:r>
      <w:r w:rsidRPr="00292D9C">
        <w:rPr>
          <w:b/>
          <w:bCs/>
          <w:szCs w:val="22"/>
        </w:rPr>
        <w:fldChar w:fldCharType="end"/>
      </w:r>
      <w:r w:rsidRPr="00292D9C">
        <w:rPr>
          <w:b/>
          <w:bCs/>
          <w:szCs w:val="22"/>
        </w:rPr>
        <w:t>. Summary of findings from evaluation of NISA as a package</w:t>
      </w:r>
    </w:p>
    <w:p w14:paraId="44E2B3BD" w14:textId="77777777" w:rsidR="00A36D25" w:rsidRPr="00292D9C" w:rsidRDefault="007C359D" w:rsidP="00A616D5">
      <w:pPr>
        <w:ind w:left="360" w:hanging="360"/>
      </w:pPr>
      <w:r w:rsidRPr="00292D9C">
        <w:t xml:space="preserve"> </w:t>
      </w:r>
    </w:p>
    <w:tbl>
      <w:tblPr>
        <w:tblStyle w:val="TableGrid"/>
        <w:tblW w:w="10915" w:type="dxa"/>
        <w:tblInd w:w="-572" w:type="dxa"/>
        <w:tblLook w:val="04A0" w:firstRow="1" w:lastRow="0" w:firstColumn="1" w:lastColumn="0" w:noHBand="0" w:noVBand="1"/>
      </w:tblPr>
      <w:tblGrid>
        <w:gridCol w:w="567"/>
        <w:gridCol w:w="2410"/>
        <w:gridCol w:w="2693"/>
        <w:gridCol w:w="5245"/>
      </w:tblGrid>
      <w:tr w:rsidR="00115974" w:rsidRPr="009743E1" w14:paraId="212013C6" w14:textId="77777777" w:rsidTr="009743E1">
        <w:trPr>
          <w:trHeight w:val="558"/>
        </w:trPr>
        <w:tc>
          <w:tcPr>
            <w:tcW w:w="567" w:type="dxa"/>
            <w:tcBorders>
              <w:top w:val="single" w:sz="4" w:space="0" w:color="FFFFFF"/>
              <w:left w:val="single" w:sz="4" w:space="0" w:color="FFFFFF"/>
              <w:bottom w:val="dashed" w:sz="4" w:space="0" w:color="FFFFFF"/>
              <w:right w:val="single" w:sz="4" w:space="0" w:color="FFFFFF"/>
            </w:tcBorders>
          </w:tcPr>
          <w:p w14:paraId="4816409D" w14:textId="77777777" w:rsidR="00115974" w:rsidRPr="009743E1" w:rsidRDefault="00115974" w:rsidP="004E42A3">
            <w:pPr>
              <w:pStyle w:val="Heading2"/>
              <w:spacing w:line="276" w:lineRule="auto"/>
              <w:rPr>
                <w:color w:val="4D4D4D" w:themeColor="text2"/>
                <w:sz w:val="21"/>
                <w:szCs w:val="21"/>
              </w:rPr>
            </w:pPr>
          </w:p>
        </w:tc>
        <w:tc>
          <w:tcPr>
            <w:tcW w:w="2410" w:type="dxa"/>
            <w:tcBorders>
              <w:top w:val="single" w:sz="4" w:space="0" w:color="FFFFFF"/>
              <w:left w:val="single" w:sz="4" w:space="0" w:color="FFFFFF"/>
              <w:right w:val="single" w:sz="4" w:space="0" w:color="FFFFFF"/>
            </w:tcBorders>
            <w:vAlign w:val="center"/>
          </w:tcPr>
          <w:p w14:paraId="18B9908B" w14:textId="77777777" w:rsidR="00115974" w:rsidRPr="009743E1" w:rsidRDefault="00115974" w:rsidP="004E42A3">
            <w:pPr>
              <w:spacing w:line="276" w:lineRule="auto"/>
              <w:jc w:val="center"/>
              <w:rPr>
                <w:b/>
                <w:bCs/>
                <w:sz w:val="21"/>
                <w:szCs w:val="21"/>
                <w:lang w:val="en-US"/>
              </w:rPr>
            </w:pPr>
            <w:r w:rsidRPr="009743E1">
              <w:rPr>
                <w:b/>
                <w:bCs/>
                <w:sz w:val="21"/>
                <w:szCs w:val="21"/>
              </w:rPr>
              <w:t>Analytical lens</w:t>
            </w:r>
          </w:p>
        </w:tc>
        <w:tc>
          <w:tcPr>
            <w:tcW w:w="2693" w:type="dxa"/>
            <w:tcBorders>
              <w:top w:val="single" w:sz="4" w:space="0" w:color="FFFFFF"/>
              <w:left w:val="single" w:sz="4" w:space="0" w:color="FFFFFF"/>
              <w:right w:val="single" w:sz="4" w:space="0" w:color="FFFFFF"/>
            </w:tcBorders>
            <w:vAlign w:val="center"/>
          </w:tcPr>
          <w:p w14:paraId="21EADF3E" w14:textId="77777777" w:rsidR="00115974" w:rsidRPr="009743E1" w:rsidRDefault="00115974" w:rsidP="004E42A3">
            <w:pPr>
              <w:spacing w:line="276" w:lineRule="auto"/>
              <w:jc w:val="center"/>
              <w:rPr>
                <w:b/>
                <w:bCs/>
                <w:sz w:val="21"/>
                <w:szCs w:val="21"/>
              </w:rPr>
            </w:pPr>
            <w:r w:rsidRPr="009743E1">
              <w:rPr>
                <w:b/>
                <w:bCs/>
                <w:sz w:val="21"/>
                <w:szCs w:val="21"/>
              </w:rPr>
              <w:t>Finding</w:t>
            </w:r>
          </w:p>
        </w:tc>
        <w:tc>
          <w:tcPr>
            <w:tcW w:w="5245" w:type="dxa"/>
            <w:tcBorders>
              <w:top w:val="single" w:sz="4" w:space="0" w:color="FFFFFF"/>
              <w:left w:val="single" w:sz="4" w:space="0" w:color="FFFFFF"/>
              <w:right w:val="single" w:sz="4" w:space="0" w:color="FFFFFF"/>
            </w:tcBorders>
            <w:vAlign w:val="center"/>
          </w:tcPr>
          <w:p w14:paraId="4A831095" w14:textId="77777777" w:rsidR="00115974" w:rsidRPr="009743E1" w:rsidRDefault="00115974" w:rsidP="004E42A3">
            <w:pPr>
              <w:spacing w:line="276" w:lineRule="auto"/>
              <w:jc w:val="center"/>
              <w:rPr>
                <w:b/>
                <w:bCs/>
                <w:sz w:val="21"/>
                <w:szCs w:val="21"/>
              </w:rPr>
            </w:pPr>
            <w:r w:rsidRPr="009743E1">
              <w:rPr>
                <w:b/>
                <w:bCs/>
                <w:sz w:val="21"/>
                <w:szCs w:val="21"/>
              </w:rPr>
              <w:t>Commentary on finding</w:t>
            </w:r>
          </w:p>
        </w:tc>
      </w:tr>
      <w:tr w:rsidR="00115974" w:rsidRPr="009743E1" w14:paraId="60BAC269" w14:textId="77777777" w:rsidTr="009743E1">
        <w:trPr>
          <w:trHeight w:val="1083"/>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66A35F21" w14:textId="77777777" w:rsidR="00115974" w:rsidRPr="009743E1" w:rsidRDefault="00115974" w:rsidP="004E42A3">
            <w:pPr>
              <w:pStyle w:val="Heading2"/>
              <w:spacing w:before="0" w:line="276" w:lineRule="auto"/>
              <w:jc w:val="center"/>
              <w:rPr>
                <w:b/>
                <w:bCs/>
                <w:i/>
                <w:iCs/>
                <w:color w:val="4D4D4D" w:themeColor="text2"/>
                <w:sz w:val="21"/>
                <w:szCs w:val="21"/>
              </w:rPr>
            </w:pPr>
            <w:bookmarkStart w:id="7" w:name="_Toc23504191"/>
            <w:bookmarkStart w:id="8" w:name="_Toc25162025"/>
            <w:r w:rsidRPr="009743E1">
              <w:rPr>
                <w:b/>
                <w:bCs/>
                <w:i/>
                <w:iCs/>
                <w:color w:val="FFFFFF" w:themeColor="background1"/>
                <w:sz w:val="21"/>
                <w:szCs w:val="21"/>
              </w:rPr>
              <w:t>Why</w:t>
            </w:r>
            <w:bookmarkEnd w:id="7"/>
            <w:bookmarkEnd w:id="8"/>
          </w:p>
        </w:tc>
        <w:tc>
          <w:tcPr>
            <w:tcW w:w="2410" w:type="dxa"/>
            <w:tcBorders>
              <w:left w:val="dashed" w:sz="4" w:space="0" w:color="FFFFFF"/>
            </w:tcBorders>
          </w:tcPr>
          <w:p w14:paraId="24856AC7" w14:textId="77777777" w:rsidR="00115974" w:rsidRPr="009743E1" w:rsidRDefault="00115974" w:rsidP="004E42A3">
            <w:pPr>
              <w:spacing w:line="276" w:lineRule="auto"/>
              <w:rPr>
                <w:b/>
                <w:bCs/>
                <w:sz w:val="21"/>
                <w:szCs w:val="21"/>
              </w:rPr>
            </w:pPr>
            <w:r w:rsidRPr="009743E1">
              <w:rPr>
                <w:b/>
                <w:bCs/>
                <w:sz w:val="21"/>
                <w:szCs w:val="21"/>
                <w:lang w:val="en-US"/>
              </w:rPr>
              <w:t>Do initiatives focus on student engagement or achievement?</w:t>
            </w:r>
          </w:p>
          <w:p w14:paraId="2D5E1C73" w14:textId="77777777" w:rsidR="00115974" w:rsidRPr="009743E1" w:rsidRDefault="00115974" w:rsidP="004E42A3">
            <w:pPr>
              <w:spacing w:line="276" w:lineRule="auto"/>
              <w:rPr>
                <w:sz w:val="21"/>
                <w:szCs w:val="21"/>
              </w:rPr>
            </w:pPr>
          </w:p>
        </w:tc>
        <w:tc>
          <w:tcPr>
            <w:tcW w:w="2693" w:type="dxa"/>
          </w:tcPr>
          <w:p w14:paraId="0E763E8C" w14:textId="77777777" w:rsidR="00115974" w:rsidRPr="009743E1" w:rsidRDefault="00115974" w:rsidP="004E42A3">
            <w:pPr>
              <w:spacing w:line="276" w:lineRule="auto"/>
              <w:rPr>
                <w:sz w:val="21"/>
                <w:szCs w:val="21"/>
              </w:rPr>
            </w:pPr>
            <w:r w:rsidRPr="009743E1">
              <w:rPr>
                <w:sz w:val="21"/>
                <w:szCs w:val="21"/>
                <w:lang w:val="en-US"/>
              </w:rPr>
              <w:t>Most initiatives focus on improving engagement through building teacher capability</w:t>
            </w:r>
          </w:p>
        </w:tc>
        <w:tc>
          <w:tcPr>
            <w:tcW w:w="5245" w:type="dxa"/>
          </w:tcPr>
          <w:p w14:paraId="694A415F" w14:textId="77777777" w:rsidR="00115974" w:rsidRPr="009743E1" w:rsidRDefault="00115974" w:rsidP="004E42A3">
            <w:pPr>
              <w:spacing w:line="276" w:lineRule="auto"/>
              <w:rPr>
                <w:sz w:val="21"/>
                <w:szCs w:val="21"/>
              </w:rPr>
            </w:pPr>
            <w:r w:rsidRPr="009743E1">
              <w:rPr>
                <w:sz w:val="21"/>
                <w:szCs w:val="21"/>
                <w:lang w:val="en-US"/>
              </w:rPr>
              <w:t>It’s positive that most initiatives focus on increasing student engagement given it’s a precursor to increasing achievement.</w:t>
            </w:r>
          </w:p>
        </w:tc>
      </w:tr>
      <w:tr w:rsidR="00115974" w:rsidRPr="009743E1" w14:paraId="5F6D2B8F" w14:textId="77777777" w:rsidTr="009743E1">
        <w:trPr>
          <w:trHeight w:val="1287"/>
        </w:trPr>
        <w:tc>
          <w:tcPr>
            <w:tcW w:w="567" w:type="dxa"/>
            <w:vMerge/>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77C11B5F" w14:textId="77777777" w:rsidR="00115974" w:rsidRPr="009743E1" w:rsidRDefault="00115974" w:rsidP="004E42A3">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4643F490" w14:textId="77777777" w:rsidR="00115974" w:rsidRPr="009743E1" w:rsidRDefault="00115974" w:rsidP="004E42A3">
            <w:pPr>
              <w:spacing w:line="276" w:lineRule="auto"/>
              <w:rPr>
                <w:b/>
                <w:bCs/>
                <w:sz w:val="21"/>
                <w:szCs w:val="21"/>
              </w:rPr>
            </w:pPr>
            <w:r w:rsidRPr="009743E1">
              <w:rPr>
                <w:b/>
                <w:bCs/>
                <w:sz w:val="21"/>
                <w:szCs w:val="21"/>
                <w:lang w:val="en-US"/>
              </w:rPr>
              <w:t>Do the initiatives have a universal focus or are they trying to increase equity or excellence?</w:t>
            </w:r>
          </w:p>
          <w:p w14:paraId="380A0544" w14:textId="77777777" w:rsidR="00115974" w:rsidRPr="009743E1" w:rsidRDefault="00115974" w:rsidP="004E42A3">
            <w:pPr>
              <w:spacing w:line="276" w:lineRule="auto"/>
              <w:rPr>
                <w:sz w:val="21"/>
                <w:szCs w:val="21"/>
              </w:rPr>
            </w:pPr>
          </w:p>
        </w:tc>
        <w:tc>
          <w:tcPr>
            <w:tcW w:w="2693" w:type="dxa"/>
          </w:tcPr>
          <w:p w14:paraId="7378CA15" w14:textId="77777777" w:rsidR="00115974" w:rsidRPr="009743E1" w:rsidRDefault="00115974" w:rsidP="004E42A3">
            <w:pPr>
              <w:spacing w:line="276" w:lineRule="auto"/>
              <w:rPr>
                <w:sz w:val="21"/>
                <w:szCs w:val="21"/>
              </w:rPr>
            </w:pPr>
            <w:r w:rsidRPr="009743E1">
              <w:rPr>
                <w:sz w:val="21"/>
                <w:szCs w:val="21"/>
                <w:lang w:val="en-US"/>
              </w:rPr>
              <w:t>Most initiatives have a universal focus but there’s a notable segment (30%) focusing on specific equity groups</w:t>
            </w:r>
          </w:p>
        </w:tc>
        <w:tc>
          <w:tcPr>
            <w:tcW w:w="5245" w:type="dxa"/>
          </w:tcPr>
          <w:p w14:paraId="7BED734C" w14:textId="77777777" w:rsidR="00115974" w:rsidRPr="009743E1" w:rsidRDefault="00115974" w:rsidP="004E42A3">
            <w:pPr>
              <w:spacing w:line="276" w:lineRule="auto"/>
              <w:rPr>
                <w:sz w:val="21"/>
                <w:szCs w:val="21"/>
                <w:lang w:val="en-US"/>
              </w:rPr>
            </w:pPr>
            <w:r w:rsidRPr="009743E1">
              <w:rPr>
                <w:sz w:val="21"/>
                <w:szCs w:val="21"/>
                <w:lang w:val="en-US"/>
              </w:rPr>
              <w:t xml:space="preserve">The mix of universal and equity focus achieves a balance between </w:t>
            </w:r>
            <w:proofErr w:type="spellStart"/>
            <w:r w:rsidRPr="009743E1">
              <w:rPr>
                <w:sz w:val="21"/>
                <w:szCs w:val="21"/>
                <w:lang w:val="en-US"/>
              </w:rPr>
              <w:t>maximising</w:t>
            </w:r>
            <w:proofErr w:type="spellEnd"/>
            <w:r w:rsidRPr="009743E1">
              <w:rPr>
                <w:sz w:val="21"/>
                <w:szCs w:val="21"/>
                <w:lang w:val="en-US"/>
              </w:rPr>
              <w:t xml:space="preserve"> breadth of coverage and addressing inequities. Particularly for underrepresented cohorts (e.g. STEM participation and achievement by female, low SES and Indigenous students).</w:t>
            </w:r>
          </w:p>
        </w:tc>
      </w:tr>
      <w:tr w:rsidR="00115974" w:rsidRPr="009743E1" w14:paraId="458AFB16" w14:textId="77777777" w:rsidTr="009743E1">
        <w:trPr>
          <w:trHeight w:val="1437"/>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7A2CFE03" w14:textId="77777777" w:rsidR="00115974" w:rsidRPr="009743E1" w:rsidRDefault="00115974" w:rsidP="004E42A3">
            <w:pPr>
              <w:pStyle w:val="Heading2"/>
              <w:spacing w:before="0" w:line="276" w:lineRule="auto"/>
              <w:jc w:val="center"/>
              <w:rPr>
                <w:b/>
                <w:bCs/>
                <w:i/>
                <w:iCs/>
                <w:color w:val="4D4D4D" w:themeColor="text2"/>
                <w:sz w:val="21"/>
                <w:szCs w:val="21"/>
              </w:rPr>
            </w:pPr>
            <w:bookmarkStart w:id="9" w:name="_Toc23504192"/>
            <w:bookmarkStart w:id="10" w:name="_Toc25162026"/>
            <w:r w:rsidRPr="009743E1">
              <w:rPr>
                <w:b/>
                <w:bCs/>
                <w:i/>
                <w:iCs/>
                <w:color w:val="000000" w:themeColor="text1"/>
                <w:sz w:val="21"/>
                <w:szCs w:val="21"/>
              </w:rPr>
              <w:t>Who</w:t>
            </w:r>
            <w:bookmarkEnd w:id="9"/>
            <w:bookmarkEnd w:id="10"/>
          </w:p>
        </w:tc>
        <w:tc>
          <w:tcPr>
            <w:tcW w:w="2410" w:type="dxa"/>
            <w:tcBorders>
              <w:left w:val="dashed" w:sz="4" w:space="0" w:color="FFFFFF"/>
            </w:tcBorders>
          </w:tcPr>
          <w:p w14:paraId="2B19BCF7" w14:textId="77777777" w:rsidR="00115974" w:rsidRPr="009743E1" w:rsidRDefault="00115974" w:rsidP="004E42A3">
            <w:pPr>
              <w:spacing w:line="276" w:lineRule="auto"/>
              <w:rPr>
                <w:b/>
                <w:bCs/>
                <w:sz w:val="21"/>
                <w:szCs w:val="21"/>
              </w:rPr>
            </w:pPr>
            <w:r w:rsidRPr="009743E1">
              <w:rPr>
                <w:b/>
                <w:bCs/>
                <w:sz w:val="21"/>
                <w:szCs w:val="21"/>
                <w:lang w:val="en-US"/>
              </w:rPr>
              <w:t>Who is the main target audience for the initiatives?</w:t>
            </w:r>
          </w:p>
          <w:p w14:paraId="15731D95" w14:textId="77777777" w:rsidR="00115974" w:rsidRPr="009743E1" w:rsidRDefault="00115974" w:rsidP="004E42A3">
            <w:pPr>
              <w:spacing w:line="276" w:lineRule="auto"/>
              <w:rPr>
                <w:sz w:val="21"/>
                <w:szCs w:val="21"/>
              </w:rPr>
            </w:pPr>
          </w:p>
        </w:tc>
        <w:tc>
          <w:tcPr>
            <w:tcW w:w="2693" w:type="dxa"/>
          </w:tcPr>
          <w:p w14:paraId="7C42AC66" w14:textId="77777777" w:rsidR="00115974" w:rsidRPr="009743E1" w:rsidRDefault="00115974" w:rsidP="004E42A3">
            <w:pPr>
              <w:spacing w:line="276" w:lineRule="auto"/>
              <w:rPr>
                <w:sz w:val="21"/>
                <w:szCs w:val="21"/>
              </w:rPr>
            </w:pPr>
            <w:r w:rsidRPr="009743E1">
              <w:rPr>
                <w:sz w:val="21"/>
                <w:szCs w:val="21"/>
                <w:lang w:val="en-US"/>
              </w:rPr>
              <w:t>Most initiatives have teachers as the target audience</w:t>
            </w:r>
          </w:p>
        </w:tc>
        <w:tc>
          <w:tcPr>
            <w:tcW w:w="5245" w:type="dxa"/>
          </w:tcPr>
          <w:p w14:paraId="24DCCC01" w14:textId="77777777" w:rsidR="00115974" w:rsidRPr="009743E1" w:rsidRDefault="00115974" w:rsidP="004E42A3">
            <w:pPr>
              <w:spacing w:line="276" w:lineRule="auto"/>
              <w:rPr>
                <w:sz w:val="21"/>
                <w:szCs w:val="21"/>
              </w:rPr>
            </w:pPr>
            <w:r w:rsidRPr="009743E1">
              <w:rPr>
                <w:sz w:val="21"/>
                <w:szCs w:val="21"/>
                <w:lang w:val="en-US"/>
              </w:rPr>
              <w:t>This focus indicates initiatives are responding to the current area of greatest need in STEM education (building teacher capabilities). However, there are potential future opportunities to also support other important stakeholders (principals, parents and pre-service teachers) to better ensure a long-term improvement in STEM education.</w:t>
            </w:r>
          </w:p>
        </w:tc>
      </w:tr>
      <w:tr w:rsidR="00115974" w:rsidRPr="009743E1" w14:paraId="15CF9556" w14:textId="77777777" w:rsidTr="009743E1">
        <w:trPr>
          <w:trHeight w:val="1477"/>
        </w:trPr>
        <w:tc>
          <w:tcPr>
            <w:tcW w:w="567" w:type="dxa"/>
            <w:vMerge/>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7FCF41B9" w14:textId="77777777" w:rsidR="00115974" w:rsidRPr="009743E1" w:rsidRDefault="00115974" w:rsidP="004E42A3">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4D194207" w14:textId="77777777" w:rsidR="00115974" w:rsidRPr="009743E1" w:rsidRDefault="00115974" w:rsidP="004E42A3">
            <w:pPr>
              <w:spacing w:line="276" w:lineRule="auto"/>
              <w:rPr>
                <w:b/>
                <w:bCs/>
                <w:sz w:val="21"/>
                <w:szCs w:val="21"/>
              </w:rPr>
            </w:pPr>
            <w:r w:rsidRPr="009743E1">
              <w:rPr>
                <w:b/>
                <w:bCs/>
                <w:sz w:val="21"/>
                <w:szCs w:val="21"/>
                <w:lang w:val="en-US"/>
              </w:rPr>
              <w:t>What education level do the initiatives target?</w:t>
            </w:r>
          </w:p>
          <w:p w14:paraId="5D06EF11" w14:textId="77777777" w:rsidR="00115974" w:rsidRPr="009743E1" w:rsidRDefault="00115974" w:rsidP="004E42A3">
            <w:pPr>
              <w:spacing w:line="276" w:lineRule="auto"/>
              <w:rPr>
                <w:sz w:val="21"/>
                <w:szCs w:val="21"/>
              </w:rPr>
            </w:pPr>
          </w:p>
        </w:tc>
        <w:tc>
          <w:tcPr>
            <w:tcW w:w="2693" w:type="dxa"/>
          </w:tcPr>
          <w:p w14:paraId="6E0E47EC" w14:textId="77777777" w:rsidR="00115974" w:rsidRPr="009743E1" w:rsidRDefault="004E42A3" w:rsidP="004E42A3">
            <w:pPr>
              <w:spacing w:line="276" w:lineRule="auto"/>
              <w:rPr>
                <w:sz w:val="21"/>
                <w:szCs w:val="21"/>
              </w:rPr>
            </w:pPr>
            <w:r w:rsidRPr="009743E1">
              <w:rPr>
                <w:sz w:val="21"/>
                <w:szCs w:val="21"/>
                <w:lang w:val="en-US"/>
              </w:rPr>
              <w:t>While there are some early years initiatives, m</w:t>
            </w:r>
            <w:r w:rsidR="00115974" w:rsidRPr="009743E1">
              <w:rPr>
                <w:sz w:val="21"/>
                <w:szCs w:val="21"/>
                <w:lang w:val="en-US"/>
              </w:rPr>
              <w:t>ost initiatives take a broad focus across the school years (primary and secondary)</w:t>
            </w:r>
          </w:p>
        </w:tc>
        <w:tc>
          <w:tcPr>
            <w:tcW w:w="5245" w:type="dxa"/>
          </w:tcPr>
          <w:p w14:paraId="34EA2664" w14:textId="77777777" w:rsidR="00115974" w:rsidRPr="009743E1" w:rsidRDefault="00115974" w:rsidP="00A93626">
            <w:pPr>
              <w:spacing w:line="276" w:lineRule="auto"/>
              <w:rPr>
                <w:sz w:val="21"/>
                <w:szCs w:val="21"/>
                <w:lang w:val="en-US"/>
              </w:rPr>
            </w:pPr>
            <w:r w:rsidRPr="009743E1">
              <w:rPr>
                <w:sz w:val="21"/>
                <w:szCs w:val="21"/>
                <w:lang w:val="en-US"/>
              </w:rPr>
              <w:t xml:space="preserve">The broad focus is a sensible way to </w:t>
            </w:r>
            <w:proofErr w:type="spellStart"/>
            <w:r w:rsidRPr="009743E1">
              <w:rPr>
                <w:sz w:val="21"/>
                <w:szCs w:val="21"/>
                <w:lang w:val="en-US"/>
              </w:rPr>
              <w:t>maximise</w:t>
            </w:r>
            <w:proofErr w:type="spellEnd"/>
            <w:r w:rsidRPr="009743E1">
              <w:rPr>
                <w:sz w:val="21"/>
                <w:szCs w:val="21"/>
                <w:lang w:val="en-US"/>
              </w:rPr>
              <w:t xml:space="preserve"> the reach of initiatives. </w:t>
            </w:r>
            <w:proofErr w:type="gramStart"/>
            <w:r w:rsidRPr="009743E1">
              <w:rPr>
                <w:sz w:val="21"/>
                <w:szCs w:val="21"/>
                <w:lang w:val="en-US"/>
              </w:rPr>
              <w:t>However</w:t>
            </w:r>
            <w:proofErr w:type="gramEnd"/>
            <w:r w:rsidRPr="009743E1">
              <w:rPr>
                <w:sz w:val="21"/>
                <w:szCs w:val="21"/>
                <w:lang w:val="en-US"/>
              </w:rPr>
              <w:t xml:space="preserve"> there are trade-offs to this decision; e.g. missing specific opportunities to improve STEM at important points of transition (e.g. subject selection). There’s also less focus on early years, where foundational STEM skills are developed.</w:t>
            </w:r>
            <w:r w:rsidR="00492891" w:rsidRPr="009743E1">
              <w:rPr>
                <w:sz w:val="21"/>
                <w:szCs w:val="21"/>
                <w:lang w:val="en-US"/>
              </w:rPr>
              <w:t xml:space="preserve"> Future strategies should consider increasing focus on the early years.  </w:t>
            </w:r>
          </w:p>
        </w:tc>
      </w:tr>
      <w:tr w:rsidR="00115974" w:rsidRPr="009743E1" w14:paraId="5EC761DC" w14:textId="77777777" w:rsidTr="009743E1">
        <w:trPr>
          <w:trHeight w:val="1083"/>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57A0B0E6" w14:textId="77777777" w:rsidR="00115974" w:rsidRPr="009743E1" w:rsidRDefault="00115974" w:rsidP="004E42A3">
            <w:pPr>
              <w:pStyle w:val="Heading2"/>
              <w:spacing w:before="0" w:line="276" w:lineRule="auto"/>
              <w:jc w:val="center"/>
              <w:rPr>
                <w:b/>
                <w:bCs/>
                <w:i/>
                <w:iCs/>
                <w:color w:val="4D4D4D" w:themeColor="text2"/>
                <w:sz w:val="21"/>
                <w:szCs w:val="21"/>
              </w:rPr>
            </w:pPr>
            <w:bookmarkStart w:id="11" w:name="_Toc23504193"/>
            <w:bookmarkStart w:id="12" w:name="_Toc25162027"/>
            <w:r w:rsidRPr="009743E1">
              <w:rPr>
                <w:b/>
                <w:bCs/>
                <w:i/>
                <w:iCs/>
                <w:color w:val="000000" w:themeColor="text1"/>
                <w:sz w:val="21"/>
                <w:szCs w:val="21"/>
              </w:rPr>
              <w:t>What</w:t>
            </w:r>
            <w:bookmarkEnd w:id="11"/>
            <w:bookmarkEnd w:id="12"/>
          </w:p>
        </w:tc>
        <w:tc>
          <w:tcPr>
            <w:tcW w:w="2410" w:type="dxa"/>
            <w:tcBorders>
              <w:left w:val="dashed" w:sz="4" w:space="0" w:color="FFFFFF"/>
            </w:tcBorders>
          </w:tcPr>
          <w:p w14:paraId="4AAF4B49" w14:textId="77777777" w:rsidR="00115974" w:rsidRPr="009743E1" w:rsidRDefault="00115974" w:rsidP="004E42A3">
            <w:pPr>
              <w:spacing w:line="276" w:lineRule="auto"/>
              <w:rPr>
                <w:b/>
                <w:bCs/>
                <w:sz w:val="21"/>
                <w:szCs w:val="21"/>
              </w:rPr>
            </w:pPr>
            <w:r w:rsidRPr="009743E1">
              <w:rPr>
                <w:b/>
                <w:bCs/>
                <w:sz w:val="21"/>
                <w:szCs w:val="21"/>
                <w:lang w:val="en-US"/>
              </w:rPr>
              <w:t>What is the main output of the initiatives?</w:t>
            </w:r>
          </w:p>
          <w:p w14:paraId="41E8004B" w14:textId="77777777" w:rsidR="00115974" w:rsidRPr="009743E1" w:rsidRDefault="00115974" w:rsidP="004E42A3">
            <w:pPr>
              <w:spacing w:line="276" w:lineRule="auto"/>
              <w:rPr>
                <w:sz w:val="21"/>
                <w:szCs w:val="21"/>
              </w:rPr>
            </w:pPr>
          </w:p>
        </w:tc>
        <w:tc>
          <w:tcPr>
            <w:tcW w:w="2693" w:type="dxa"/>
          </w:tcPr>
          <w:p w14:paraId="7C600FBD" w14:textId="77777777" w:rsidR="00115974" w:rsidRPr="009743E1" w:rsidRDefault="00115974" w:rsidP="004E42A3">
            <w:pPr>
              <w:spacing w:line="276" w:lineRule="auto"/>
              <w:rPr>
                <w:sz w:val="21"/>
                <w:szCs w:val="21"/>
              </w:rPr>
            </w:pPr>
            <w:r w:rsidRPr="009743E1">
              <w:rPr>
                <w:sz w:val="21"/>
                <w:szCs w:val="21"/>
                <w:lang w:val="en-US"/>
              </w:rPr>
              <w:t>Most initiatives offer professional learning, rather than specific resources</w:t>
            </w:r>
          </w:p>
        </w:tc>
        <w:tc>
          <w:tcPr>
            <w:tcW w:w="5245" w:type="dxa"/>
          </w:tcPr>
          <w:p w14:paraId="0C48C557" w14:textId="77777777" w:rsidR="00115974" w:rsidRPr="009743E1" w:rsidRDefault="00115974" w:rsidP="004E42A3">
            <w:pPr>
              <w:spacing w:line="276" w:lineRule="auto"/>
              <w:rPr>
                <w:sz w:val="21"/>
                <w:szCs w:val="21"/>
                <w:lang w:val="en-US"/>
              </w:rPr>
            </w:pPr>
            <w:r w:rsidRPr="009743E1">
              <w:rPr>
                <w:sz w:val="21"/>
                <w:szCs w:val="21"/>
                <w:lang w:val="en-US"/>
              </w:rPr>
              <w:t>Professional learning to build teacher capability is a valuable focus area. Stakeholders suggest there could be more support to use specific resources provided. Approximately one third of the initiatives currently do this, but this approach could be more consistent among initiatives.</w:t>
            </w:r>
          </w:p>
        </w:tc>
      </w:tr>
      <w:tr w:rsidR="00115974" w:rsidRPr="009743E1" w14:paraId="1709E113" w14:textId="77777777" w:rsidTr="00B54914">
        <w:trPr>
          <w:trHeight w:val="615"/>
        </w:trPr>
        <w:tc>
          <w:tcPr>
            <w:tcW w:w="567" w:type="dxa"/>
            <w:vMerge/>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22022B29" w14:textId="77777777" w:rsidR="00115974" w:rsidRPr="009743E1" w:rsidRDefault="00115974" w:rsidP="004E42A3">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483E8F7F" w14:textId="77777777" w:rsidR="00115974" w:rsidRPr="009743E1" w:rsidRDefault="00115974" w:rsidP="004E42A3">
            <w:pPr>
              <w:spacing w:line="276" w:lineRule="auto"/>
              <w:rPr>
                <w:b/>
                <w:bCs/>
                <w:sz w:val="21"/>
                <w:szCs w:val="21"/>
              </w:rPr>
            </w:pPr>
            <w:r w:rsidRPr="009743E1">
              <w:rPr>
                <w:b/>
                <w:bCs/>
                <w:sz w:val="21"/>
                <w:szCs w:val="21"/>
                <w:lang w:val="en-US"/>
              </w:rPr>
              <w:t>What curriculum area do the initiatives focus on?</w:t>
            </w:r>
          </w:p>
          <w:p w14:paraId="2313DF8B" w14:textId="77777777" w:rsidR="00115974" w:rsidRPr="009743E1" w:rsidRDefault="00115974" w:rsidP="004E42A3">
            <w:pPr>
              <w:spacing w:line="276" w:lineRule="auto"/>
              <w:rPr>
                <w:sz w:val="21"/>
                <w:szCs w:val="21"/>
              </w:rPr>
            </w:pPr>
          </w:p>
        </w:tc>
        <w:tc>
          <w:tcPr>
            <w:tcW w:w="2693" w:type="dxa"/>
          </w:tcPr>
          <w:p w14:paraId="4C739A42" w14:textId="77777777" w:rsidR="00115974" w:rsidRPr="009743E1" w:rsidRDefault="00115974" w:rsidP="004E42A3">
            <w:pPr>
              <w:spacing w:line="276" w:lineRule="auto"/>
              <w:rPr>
                <w:sz w:val="21"/>
                <w:szCs w:val="21"/>
              </w:rPr>
            </w:pPr>
            <w:r w:rsidRPr="009743E1">
              <w:rPr>
                <w:sz w:val="21"/>
                <w:szCs w:val="21"/>
                <w:lang w:val="en-US"/>
              </w:rPr>
              <w:t>Most initiatives focus on Digital Technolog</w:t>
            </w:r>
            <w:r w:rsidR="00A93626">
              <w:rPr>
                <w:sz w:val="21"/>
                <w:szCs w:val="21"/>
                <w:lang w:val="en-US"/>
              </w:rPr>
              <w:t>ies</w:t>
            </w:r>
            <w:r w:rsidRPr="009743E1">
              <w:rPr>
                <w:sz w:val="21"/>
                <w:szCs w:val="21"/>
                <w:lang w:val="en-US"/>
              </w:rPr>
              <w:t xml:space="preserve"> (DT)</w:t>
            </w:r>
          </w:p>
        </w:tc>
        <w:tc>
          <w:tcPr>
            <w:tcW w:w="5245" w:type="dxa"/>
          </w:tcPr>
          <w:p w14:paraId="09F1A9C0" w14:textId="5AC5F1E6" w:rsidR="00115974" w:rsidRPr="009743E1" w:rsidRDefault="00115974" w:rsidP="007E2D07">
            <w:pPr>
              <w:spacing w:line="276" w:lineRule="auto"/>
              <w:rPr>
                <w:sz w:val="21"/>
                <w:szCs w:val="21"/>
              </w:rPr>
            </w:pPr>
            <w:r w:rsidRPr="009743E1">
              <w:rPr>
                <w:sz w:val="21"/>
                <w:szCs w:val="21"/>
                <w:lang w:val="en-US"/>
              </w:rPr>
              <w:t>This is a strategic decision to support the rollout of DT in the Australian Curriculum. T</w:t>
            </w:r>
            <w:r w:rsidR="00CA66A8">
              <w:rPr>
                <w:sz w:val="21"/>
                <w:szCs w:val="21"/>
                <w:lang w:val="en-US"/>
              </w:rPr>
              <w:t>o an extent, t</w:t>
            </w:r>
            <w:r w:rsidRPr="009743E1">
              <w:rPr>
                <w:sz w:val="21"/>
                <w:szCs w:val="21"/>
                <w:lang w:val="en-US"/>
              </w:rPr>
              <w:t xml:space="preserve">his inadvertently reduced the focus on math, </w:t>
            </w:r>
            <w:r w:rsidR="004E42A3" w:rsidRPr="009743E1">
              <w:rPr>
                <w:sz w:val="21"/>
                <w:szCs w:val="21"/>
                <w:lang w:val="en-US"/>
              </w:rPr>
              <w:t xml:space="preserve">which </w:t>
            </w:r>
            <w:r w:rsidR="007E2D07">
              <w:rPr>
                <w:sz w:val="21"/>
                <w:szCs w:val="21"/>
                <w:lang w:val="en-US"/>
              </w:rPr>
              <w:t>provides</w:t>
            </w:r>
            <w:r w:rsidR="004E42A3" w:rsidRPr="009743E1">
              <w:rPr>
                <w:sz w:val="21"/>
                <w:szCs w:val="21"/>
                <w:lang w:val="en-US"/>
              </w:rPr>
              <w:t xml:space="preserve"> important foundational skills for STEM and other subjects, </w:t>
            </w:r>
            <w:r w:rsidRPr="009743E1">
              <w:rPr>
                <w:sz w:val="21"/>
                <w:szCs w:val="21"/>
                <w:lang w:val="en-US"/>
              </w:rPr>
              <w:t>but this is now bein</w:t>
            </w:r>
            <w:r w:rsidR="004E42A3" w:rsidRPr="009743E1">
              <w:rPr>
                <w:sz w:val="21"/>
                <w:szCs w:val="21"/>
                <w:lang w:val="en-US"/>
              </w:rPr>
              <w:t>g addressed through a targeted budget measure.</w:t>
            </w:r>
          </w:p>
        </w:tc>
      </w:tr>
      <w:tr w:rsidR="00991B80" w:rsidRPr="009743E1" w14:paraId="6391A109" w14:textId="77777777" w:rsidTr="00991B80">
        <w:trPr>
          <w:trHeight w:val="1040"/>
        </w:trPr>
        <w:tc>
          <w:tcPr>
            <w:tcW w:w="567" w:type="dxa"/>
            <w:tcBorders>
              <w:top w:val="dashed" w:sz="4" w:space="0" w:color="FFFFFF"/>
              <w:left w:val="dashed" w:sz="4" w:space="0" w:color="FFFFFF"/>
              <w:bottom w:val="dashed" w:sz="4" w:space="0" w:color="FFFFFF"/>
              <w:right w:val="dashed" w:sz="4" w:space="0" w:color="FFFFFF"/>
            </w:tcBorders>
            <w:shd w:val="clear" w:color="auto" w:fill="4D4D4D" w:themeFill="text2"/>
            <w:vAlign w:val="center"/>
          </w:tcPr>
          <w:p w14:paraId="710C63D3" w14:textId="77777777" w:rsidR="00991B80" w:rsidRPr="009743E1" w:rsidRDefault="00991B80" w:rsidP="004E42A3">
            <w:pPr>
              <w:pStyle w:val="Heading2"/>
              <w:spacing w:before="0" w:line="276" w:lineRule="auto"/>
              <w:jc w:val="center"/>
              <w:rPr>
                <w:b/>
                <w:bCs/>
                <w:i/>
                <w:iCs/>
                <w:color w:val="4D4D4D" w:themeColor="text2"/>
                <w:sz w:val="21"/>
                <w:szCs w:val="21"/>
              </w:rPr>
            </w:pPr>
            <w:bookmarkStart w:id="13" w:name="_Toc23504194"/>
            <w:bookmarkStart w:id="14" w:name="_Toc25162028"/>
            <w:r w:rsidRPr="009743E1">
              <w:rPr>
                <w:b/>
                <w:bCs/>
                <w:i/>
                <w:iCs/>
                <w:color w:val="FFFFFF" w:themeColor="background1"/>
                <w:sz w:val="21"/>
                <w:szCs w:val="21"/>
              </w:rPr>
              <w:t>How</w:t>
            </w:r>
            <w:bookmarkEnd w:id="13"/>
            <w:bookmarkEnd w:id="14"/>
          </w:p>
        </w:tc>
        <w:tc>
          <w:tcPr>
            <w:tcW w:w="2410" w:type="dxa"/>
            <w:tcBorders>
              <w:left w:val="dashed" w:sz="4" w:space="0" w:color="FFFFFF"/>
            </w:tcBorders>
          </w:tcPr>
          <w:p w14:paraId="035E9243" w14:textId="77777777" w:rsidR="00991B80" w:rsidRPr="00991B80" w:rsidRDefault="00991B80" w:rsidP="004E42A3">
            <w:pPr>
              <w:spacing w:line="276" w:lineRule="auto"/>
              <w:rPr>
                <w:b/>
                <w:bCs/>
                <w:sz w:val="21"/>
                <w:szCs w:val="21"/>
              </w:rPr>
            </w:pPr>
            <w:r w:rsidRPr="009743E1">
              <w:rPr>
                <w:b/>
                <w:bCs/>
                <w:sz w:val="21"/>
                <w:szCs w:val="21"/>
                <w:lang w:val="en-US"/>
              </w:rPr>
              <w:t>What are the partnerships, processes and supports that have been used?</w:t>
            </w:r>
          </w:p>
        </w:tc>
        <w:tc>
          <w:tcPr>
            <w:tcW w:w="2693" w:type="dxa"/>
          </w:tcPr>
          <w:p w14:paraId="5E1DCA83" w14:textId="77777777" w:rsidR="00991B80" w:rsidRPr="009743E1" w:rsidRDefault="00991B80" w:rsidP="004E42A3">
            <w:pPr>
              <w:spacing w:line="276" w:lineRule="auto"/>
              <w:rPr>
                <w:sz w:val="21"/>
                <w:szCs w:val="21"/>
              </w:rPr>
            </w:pPr>
            <w:r w:rsidRPr="009743E1">
              <w:rPr>
                <w:sz w:val="21"/>
                <w:szCs w:val="21"/>
                <w:lang w:val="en-US"/>
              </w:rPr>
              <w:t>Most initiatives engaged and consulted widely with the education sector</w:t>
            </w:r>
          </w:p>
        </w:tc>
        <w:tc>
          <w:tcPr>
            <w:tcW w:w="5245" w:type="dxa"/>
          </w:tcPr>
          <w:p w14:paraId="37EEE9F1" w14:textId="77777777" w:rsidR="00991B80" w:rsidRPr="009743E1" w:rsidRDefault="00991B80" w:rsidP="004E42A3">
            <w:pPr>
              <w:spacing w:line="276" w:lineRule="auto"/>
              <w:rPr>
                <w:sz w:val="21"/>
                <w:szCs w:val="21"/>
              </w:rPr>
            </w:pPr>
            <w:r w:rsidRPr="009743E1">
              <w:rPr>
                <w:sz w:val="21"/>
                <w:szCs w:val="21"/>
                <w:lang w:val="en-US"/>
              </w:rPr>
              <w:t>The Australian Government is well-regarded for its stakeholder engagement and contributions in the sector.</w:t>
            </w:r>
          </w:p>
        </w:tc>
      </w:tr>
    </w:tbl>
    <w:p w14:paraId="64DBB1FB" w14:textId="77777777" w:rsidR="00A36D25" w:rsidRPr="00292D9C" w:rsidRDefault="00B40066" w:rsidP="00A616D5">
      <w:pPr>
        <w:tabs>
          <w:tab w:val="left" w:pos="6480"/>
        </w:tabs>
        <w:rPr>
          <w:b/>
          <w:bCs/>
        </w:rPr>
      </w:pPr>
      <w:r w:rsidRPr="00292D9C">
        <w:rPr>
          <w:b/>
          <w:bCs/>
        </w:rPr>
        <w:tab/>
      </w:r>
    </w:p>
    <w:p w14:paraId="5B47D09C" w14:textId="77777777" w:rsidR="009743E1" w:rsidRDefault="006541D4" w:rsidP="00A616D5">
      <w:pPr>
        <w:rPr>
          <w:b/>
          <w:color w:val="8C8686" w:themeColor="accent4"/>
        </w:rPr>
      </w:pPr>
      <w:r w:rsidRPr="009743E1">
        <w:rPr>
          <w:b/>
          <w:color w:val="8C8686" w:themeColor="accent4"/>
        </w:rPr>
        <w:t>However, there are some limitations</w:t>
      </w:r>
      <w:r w:rsidRPr="00292D9C">
        <w:rPr>
          <w:szCs w:val="22"/>
        </w:rPr>
        <w:t xml:space="preserve"> </w:t>
      </w:r>
      <w:r w:rsidR="009743E1" w:rsidRPr="009743E1">
        <w:rPr>
          <w:b/>
          <w:color w:val="8C8686" w:themeColor="accent4"/>
        </w:rPr>
        <w:t xml:space="preserve">to this </w:t>
      </w:r>
      <w:r w:rsidR="00724E34">
        <w:rPr>
          <w:b/>
          <w:color w:val="8C8686" w:themeColor="accent4"/>
        </w:rPr>
        <w:t>evaluation</w:t>
      </w:r>
      <w:r w:rsidR="00724E34" w:rsidRPr="009743E1">
        <w:rPr>
          <w:b/>
          <w:color w:val="8C8686" w:themeColor="accent4"/>
        </w:rPr>
        <w:t xml:space="preserve"> </w:t>
      </w:r>
      <w:r w:rsidR="009743E1">
        <w:rPr>
          <w:b/>
          <w:color w:val="8C8686" w:themeColor="accent4"/>
        </w:rPr>
        <w:t>as it relates to comparing impact between initiatives</w:t>
      </w:r>
    </w:p>
    <w:p w14:paraId="6D1AD61F" w14:textId="77777777" w:rsidR="006541D4" w:rsidRPr="00292D9C" w:rsidRDefault="009743E1" w:rsidP="00A616D5">
      <w:pPr>
        <w:rPr>
          <w:szCs w:val="22"/>
        </w:rPr>
      </w:pPr>
      <w:r>
        <w:rPr>
          <w:szCs w:val="22"/>
        </w:rPr>
        <w:t>There are some limitations to this evaluation and findings, for example:</w:t>
      </w:r>
    </w:p>
    <w:p w14:paraId="39956138" w14:textId="77777777" w:rsidR="006541D4" w:rsidRPr="00292D9C" w:rsidRDefault="006541D4" w:rsidP="00164DDE">
      <w:pPr>
        <w:pStyle w:val="ListParagraph"/>
        <w:numPr>
          <w:ilvl w:val="0"/>
          <w:numId w:val="162"/>
        </w:numPr>
        <w:rPr>
          <w:szCs w:val="22"/>
        </w:rPr>
      </w:pPr>
      <w:r w:rsidRPr="00292D9C">
        <w:rPr>
          <w:szCs w:val="22"/>
        </w:rPr>
        <w:t xml:space="preserve">Existing evaluations are inconsistent. This means that they each use different measures and language to describe success. </w:t>
      </w:r>
    </w:p>
    <w:p w14:paraId="32BF61DC" w14:textId="77777777" w:rsidR="006541D4" w:rsidRPr="00292D9C" w:rsidRDefault="006541D4" w:rsidP="00164DDE">
      <w:pPr>
        <w:pStyle w:val="ListParagraph"/>
        <w:numPr>
          <w:ilvl w:val="0"/>
          <w:numId w:val="162"/>
        </w:numPr>
        <w:rPr>
          <w:szCs w:val="22"/>
        </w:rPr>
      </w:pPr>
      <w:r w:rsidRPr="00292D9C">
        <w:rPr>
          <w:szCs w:val="22"/>
        </w:rPr>
        <w:t xml:space="preserve">Each initiative varies in terms of their goals and approaches. </w:t>
      </w:r>
    </w:p>
    <w:p w14:paraId="7319F775" w14:textId="77777777" w:rsidR="006541D4" w:rsidRPr="00292D9C" w:rsidRDefault="006541D4" w:rsidP="00164DDE">
      <w:pPr>
        <w:pStyle w:val="ListParagraph"/>
        <w:numPr>
          <w:ilvl w:val="0"/>
          <w:numId w:val="162"/>
        </w:numPr>
        <w:rPr>
          <w:szCs w:val="22"/>
        </w:rPr>
      </w:pPr>
      <w:r w:rsidRPr="00292D9C">
        <w:rPr>
          <w:szCs w:val="22"/>
        </w:rPr>
        <w:t xml:space="preserve">There is varying reliability of evidence of impact, with most relying on proxy measures.  </w:t>
      </w:r>
    </w:p>
    <w:p w14:paraId="463728BB" w14:textId="77777777" w:rsidR="001D4C6F" w:rsidRPr="00292D9C" w:rsidRDefault="006541D4" w:rsidP="00A616D5">
      <w:pPr>
        <w:rPr>
          <w:szCs w:val="22"/>
        </w:rPr>
      </w:pPr>
      <w:r w:rsidRPr="00292D9C">
        <w:rPr>
          <w:szCs w:val="22"/>
        </w:rPr>
        <w:t>These challenges mean that while our individual evaluations remain robust, they may not necessarily provide a clear and comparable indication of impact between each</w:t>
      </w:r>
      <w:r w:rsidR="001D4C6F" w:rsidRPr="00292D9C">
        <w:rPr>
          <w:szCs w:val="22"/>
        </w:rPr>
        <w:t xml:space="preserve"> initiative</w:t>
      </w:r>
      <w:r w:rsidRPr="00292D9C">
        <w:rPr>
          <w:szCs w:val="22"/>
        </w:rPr>
        <w:t xml:space="preserve">. </w:t>
      </w:r>
    </w:p>
    <w:p w14:paraId="4D22770F" w14:textId="77777777" w:rsidR="006541D4" w:rsidRPr="00292D9C" w:rsidRDefault="001D4C6F" w:rsidP="00A616D5">
      <w:pPr>
        <w:rPr>
          <w:szCs w:val="22"/>
        </w:rPr>
      </w:pPr>
      <w:r w:rsidRPr="00292D9C">
        <w:rPr>
          <w:szCs w:val="22"/>
        </w:rPr>
        <w:br w:type="page"/>
      </w:r>
    </w:p>
    <w:p w14:paraId="3E3E4E38" w14:textId="77777777" w:rsidR="00C30878" w:rsidRPr="00292D9C" w:rsidRDefault="00C30878" w:rsidP="00164DDE">
      <w:pPr>
        <w:pStyle w:val="Heading2"/>
        <w:numPr>
          <w:ilvl w:val="1"/>
          <w:numId w:val="32"/>
        </w:numPr>
        <w:spacing w:before="0" w:after="120"/>
        <w:rPr>
          <w:rFonts w:asciiTheme="minorHAnsi" w:hAnsiTheme="minorHAnsi"/>
        </w:rPr>
      </w:pPr>
      <w:bookmarkStart w:id="15" w:name="_Toc16707142"/>
      <w:bookmarkStart w:id="16" w:name="_Toc21088234"/>
      <w:bookmarkStart w:id="17" w:name="_Toc23504195"/>
      <w:bookmarkStart w:id="18" w:name="_Toc25162029"/>
      <w:r w:rsidRPr="00292D9C">
        <w:rPr>
          <w:rFonts w:asciiTheme="minorHAnsi" w:hAnsiTheme="minorHAnsi"/>
        </w:rPr>
        <w:t>Changes in the operating environment</w:t>
      </w:r>
      <w:bookmarkEnd w:id="15"/>
      <w:bookmarkEnd w:id="16"/>
      <w:bookmarkEnd w:id="17"/>
      <w:bookmarkEnd w:id="18"/>
      <w:r w:rsidRPr="00292D9C">
        <w:rPr>
          <w:rFonts w:asciiTheme="minorHAnsi" w:hAnsiTheme="minorHAnsi"/>
        </w:rPr>
        <w:t xml:space="preserve"> </w:t>
      </w:r>
    </w:p>
    <w:p w14:paraId="774B9707" w14:textId="77777777" w:rsidR="00A616D5" w:rsidRPr="00292D9C" w:rsidRDefault="00A616D5" w:rsidP="00A616D5">
      <w:pPr>
        <w:pStyle w:val="Heading3Normal"/>
        <w:spacing w:before="0" w:after="120"/>
        <w:rPr>
          <w:rFonts w:asciiTheme="minorHAnsi" w:hAnsiTheme="minorHAnsi"/>
        </w:rPr>
      </w:pPr>
      <w:r w:rsidRPr="00292D9C">
        <w:rPr>
          <w:rFonts w:asciiTheme="minorHAnsi" w:hAnsiTheme="minorHAnsi"/>
        </w:rPr>
        <w:t xml:space="preserve">It’s important to consider the future of the NISA initiatives within the context of the changing operating environment </w:t>
      </w:r>
    </w:p>
    <w:p w14:paraId="29EDDBD5" w14:textId="77777777" w:rsidR="007E0AC4" w:rsidRDefault="00D55BB7" w:rsidP="00A616D5">
      <w:r w:rsidRPr="00292D9C">
        <w:rPr>
          <w:szCs w:val="22"/>
        </w:rPr>
        <w:t xml:space="preserve">In addition to evaluating the NISA initiatives, </w:t>
      </w:r>
      <w:proofErr w:type="spellStart"/>
      <w:r w:rsidR="0010795D" w:rsidRPr="00292D9C">
        <w:rPr>
          <w:szCs w:val="22"/>
        </w:rPr>
        <w:t>dandolo</w:t>
      </w:r>
      <w:proofErr w:type="spellEnd"/>
      <w:r w:rsidR="0010795D" w:rsidRPr="00292D9C">
        <w:rPr>
          <w:szCs w:val="22"/>
        </w:rPr>
        <w:t xml:space="preserve"> </w:t>
      </w:r>
      <w:r w:rsidR="003E590B" w:rsidRPr="00292D9C">
        <w:rPr>
          <w:szCs w:val="22"/>
        </w:rPr>
        <w:t>identified</w:t>
      </w:r>
      <w:r w:rsidRPr="00292D9C">
        <w:rPr>
          <w:szCs w:val="22"/>
        </w:rPr>
        <w:t xml:space="preserve"> changes in</w:t>
      </w:r>
      <w:r w:rsidR="003E590B" w:rsidRPr="00292D9C">
        <w:rPr>
          <w:szCs w:val="22"/>
        </w:rPr>
        <w:t xml:space="preserve"> the</w:t>
      </w:r>
      <w:r w:rsidR="0010795D" w:rsidRPr="00292D9C">
        <w:rPr>
          <w:szCs w:val="22"/>
        </w:rPr>
        <w:t xml:space="preserve"> operating environment </w:t>
      </w:r>
      <w:r w:rsidRPr="00292D9C">
        <w:rPr>
          <w:szCs w:val="22"/>
        </w:rPr>
        <w:t xml:space="preserve">that </w:t>
      </w:r>
      <w:r w:rsidR="00315865">
        <w:rPr>
          <w:szCs w:val="22"/>
        </w:rPr>
        <w:t>may</w:t>
      </w:r>
      <w:r w:rsidRPr="00292D9C">
        <w:rPr>
          <w:szCs w:val="22"/>
        </w:rPr>
        <w:t xml:space="preserve"> influence decisions </w:t>
      </w:r>
      <w:r w:rsidR="003E590B" w:rsidRPr="00292D9C">
        <w:rPr>
          <w:szCs w:val="22"/>
        </w:rPr>
        <w:t>about future funding</w:t>
      </w:r>
      <w:r w:rsidRPr="00292D9C">
        <w:rPr>
          <w:szCs w:val="22"/>
        </w:rPr>
        <w:t xml:space="preserve">. </w:t>
      </w:r>
      <w:r w:rsidR="00F02DA2" w:rsidRPr="00292D9C">
        <w:rPr>
          <w:szCs w:val="22"/>
        </w:rPr>
        <w:t>S</w:t>
      </w:r>
      <w:r w:rsidR="0010795D" w:rsidRPr="00292D9C">
        <w:rPr>
          <w:szCs w:val="22"/>
        </w:rPr>
        <w:t>ince</w:t>
      </w:r>
      <w:r w:rsidR="00C30878" w:rsidRPr="00292D9C">
        <w:t xml:space="preserve"> NISA funding </w:t>
      </w:r>
      <w:r w:rsidR="00591DB5" w:rsidRPr="00292D9C">
        <w:t>was announced in 2015</w:t>
      </w:r>
      <w:r w:rsidRPr="00292D9C">
        <w:t xml:space="preserve"> </w:t>
      </w:r>
      <w:r w:rsidR="00591DB5" w:rsidRPr="00292D9C">
        <w:t xml:space="preserve">the policy environment has </w:t>
      </w:r>
      <w:r w:rsidR="00315865">
        <w:t>continued to evolve</w:t>
      </w:r>
      <w:r w:rsidR="00591DB5" w:rsidRPr="00292D9C">
        <w:t>.</w:t>
      </w:r>
      <w:r w:rsidR="00D17EAB" w:rsidRPr="00292D9C">
        <w:t xml:space="preserve"> For example, the Digital Technologies curriculum is no longer new, although it is far from being fully and effectively implemented. Additionally, a number of </w:t>
      </w:r>
      <w:r w:rsidR="00315865">
        <w:t xml:space="preserve">other STEM-related </w:t>
      </w:r>
      <w:r w:rsidR="00D17EAB" w:rsidRPr="00292D9C">
        <w:t>strategies and packages have been released</w:t>
      </w:r>
      <w:r w:rsidR="00EC036C" w:rsidRPr="00292D9C">
        <w:t>. These include</w:t>
      </w:r>
      <w:r w:rsidR="007E0AC4">
        <w:t>:</w:t>
      </w:r>
    </w:p>
    <w:p w14:paraId="251750A0" w14:textId="77777777" w:rsidR="007E0AC4" w:rsidRPr="007E0AC4" w:rsidRDefault="007E0AC4" w:rsidP="00164DDE">
      <w:pPr>
        <w:pStyle w:val="ListParagraph"/>
        <w:numPr>
          <w:ilvl w:val="0"/>
          <w:numId w:val="168"/>
        </w:numPr>
        <w:rPr>
          <w:szCs w:val="22"/>
        </w:rPr>
      </w:pPr>
      <w:r>
        <w:t>Greater Choice for Australian Women: Women’s Economic Security Statement (2018</w:t>
      </w:r>
      <w:r w:rsidR="00BA21DC">
        <w:t>)</w:t>
      </w:r>
    </w:p>
    <w:p w14:paraId="0A7CC03A" w14:textId="77777777" w:rsidR="007E0AC4" w:rsidRPr="007E0AC4" w:rsidRDefault="007E0AC4" w:rsidP="00164DDE">
      <w:pPr>
        <w:pStyle w:val="ListParagraph"/>
        <w:numPr>
          <w:ilvl w:val="0"/>
          <w:numId w:val="168"/>
        </w:numPr>
        <w:rPr>
          <w:szCs w:val="22"/>
        </w:rPr>
      </w:pPr>
      <w:r>
        <w:t xml:space="preserve">Women in STEM </w:t>
      </w:r>
      <w:r w:rsidR="00BA21DC">
        <w:t>Decadal Plan (2019)</w:t>
      </w:r>
    </w:p>
    <w:p w14:paraId="6EE72A17" w14:textId="77777777" w:rsidR="007E0AC4" w:rsidRPr="007E0AC4" w:rsidRDefault="007E0AC4" w:rsidP="00164DDE">
      <w:pPr>
        <w:pStyle w:val="ListParagraph"/>
        <w:numPr>
          <w:ilvl w:val="0"/>
          <w:numId w:val="168"/>
        </w:numPr>
        <w:rPr>
          <w:szCs w:val="22"/>
        </w:rPr>
      </w:pPr>
      <w:r>
        <w:t xml:space="preserve">Advancing Women in STEM strategy (2019) </w:t>
      </w:r>
    </w:p>
    <w:p w14:paraId="354696F6" w14:textId="77777777" w:rsidR="00BA21DC" w:rsidRPr="00BA21DC" w:rsidRDefault="00BA21DC" w:rsidP="00164DDE">
      <w:pPr>
        <w:pStyle w:val="ListParagraph"/>
        <w:numPr>
          <w:ilvl w:val="0"/>
          <w:numId w:val="168"/>
        </w:numPr>
        <w:rPr>
          <w:szCs w:val="22"/>
        </w:rPr>
      </w:pPr>
      <w:r>
        <w:t>Federal budget investments in:</w:t>
      </w:r>
    </w:p>
    <w:p w14:paraId="701A36B4" w14:textId="77777777" w:rsidR="007E0AC4" w:rsidRPr="00BA21DC" w:rsidRDefault="00BA21DC" w:rsidP="00164DDE">
      <w:pPr>
        <w:pStyle w:val="ListParagraph"/>
        <w:numPr>
          <w:ilvl w:val="1"/>
          <w:numId w:val="168"/>
        </w:numPr>
        <w:rPr>
          <w:szCs w:val="22"/>
        </w:rPr>
      </w:pPr>
      <w:r>
        <w:t>Strengthening Australia’s capability in artificial intelligence and machine learning over four years (2018-19)</w:t>
      </w:r>
    </w:p>
    <w:p w14:paraId="38B18157" w14:textId="77777777" w:rsidR="00BA21DC" w:rsidRPr="007E0AC4" w:rsidRDefault="00BA21DC" w:rsidP="00164DDE">
      <w:pPr>
        <w:pStyle w:val="ListParagraph"/>
        <w:numPr>
          <w:ilvl w:val="1"/>
          <w:numId w:val="168"/>
        </w:numPr>
        <w:rPr>
          <w:szCs w:val="22"/>
        </w:rPr>
      </w:pPr>
      <w:r>
        <w:t>Cyber security arrangements and workforce capability (2019).</w:t>
      </w:r>
    </w:p>
    <w:p w14:paraId="0CBBBA74" w14:textId="77777777" w:rsidR="007E0AC4" w:rsidRDefault="007E0AC4" w:rsidP="007E0AC4">
      <w:r>
        <w:t>Beyond commitments made at a federal level, states and territories are also continuing to advance their own STEM strategies and agendas</w:t>
      </w:r>
      <w:r w:rsidR="00BA21DC">
        <w:t xml:space="preserve">, contributing to the national landscape of STEM investment. </w:t>
      </w:r>
    </w:p>
    <w:p w14:paraId="18ECB16F" w14:textId="77777777" w:rsidR="0010795D" w:rsidRPr="00292D9C" w:rsidRDefault="00F02DA2" w:rsidP="00164DDE">
      <w:pPr>
        <w:pStyle w:val="Heading2"/>
        <w:numPr>
          <w:ilvl w:val="1"/>
          <w:numId w:val="32"/>
        </w:numPr>
        <w:spacing w:before="0" w:after="120"/>
        <w:rPr>
          <w:rFonts w:asciiTheme="minorHAnsi" w:hAnsiTheme="minorHAnsi"/>
        </w:rPr>
      </w:pPr>
      <w:bookmarkStart w:id="19" w:name="_Toc16707143"/>
      <w:bookmarkStart w:id="20" w:name="_Toc21088235"/>
      <w:bookmarkStart w:id="21" w:name="_Toc23504196"/>
      <w:bookmarkStart w:id="22" w:name="_Toc25162030"/>
      <w:r w:rsidRPr="00292D9C">
        <w:rPr>
          <w:rFonts w:asciiTheme="minorHAnsi" w:hAnsiTheme="minorHAnsi"/>
        </w:rPr>
        <w:t>Towards a forward strategy for investment in STEM education</w:t>
      </w:r>
      <w:bookmarkEnd w:id="19"/>
      <w:bookmarkEnd w:id="20"/>
      <w:bookmarkEnd w:id="21"/>
      <w:bookmarkEnd w:id="22"/>
      <w:r w:rsidRPr="00292D9C">
        <w:rPr>
          <w:rFonts w:asciiTheme="minorHAnsi" w:hAnsiTheme="minorHAnsi"/>
        </w:rPr>
        <w:t xml:space="preserve"> </w:t>
      </w:r>
    </w:p>
    <w:p w14:paraId="4B5FB921" w14:textId="77777777" w:rsidR="006959E1" w:rsidRPr="00292D9C" w:rsidRDefault="006959E1" w:rsidP="00A616D5">
      <w:pPr>
        <w:pStyle w:val="Heading3Normal"/>
        <w:spacing w:before="0" w:after="120"/>
        <w:rPr>
          <w:rFonts w:asciiTheme="minorHAnsi" w:hAnsiTheme="minorHAnsi"/>
        </w:rPr>
      </w:pPr>
      <w:r w:rsidRPr="00292D9C">
        <w:rPr>
          <w:rFonts w:asciiTheme="minorHAnsi" w:hAnsiTheme="minorHAnsi"/>
        </w:rPr>
        <w:t>There are some clear opportunities forward in considering a future approach to STEM investment</w:t>
      </w:r>
    </w:p>
    <w:p w14:paraId="324DFD9B" w14:textId="77777777" w:rsidR="006959E1" w:rsidRPr="00292D9C" w:rsidRDefault="006959E1" w:rsidP="00A616D5">
      <w:r w:rsidRPr="00292D9C">
        <w:t xml:space="preserve">Our analysis suggests that there are some clear areas </w:t>
      </w:r>
      <w:r w:rsidR="002B60FD">
        <w:t>where</w:t>
      </w:r>
      <w:r w:rsidR="002B60FD" w:rsidRPr="00292D9C">
        <w:t xml:space="preserve"> </w:t>
      </w:r>
      <w:r w:rsidRPr="00292D9C">
        <w:t xml:space="preserve">the Australian Government could maximise its </w:t>
      </w:r>
      <w:r w:rsidR="002B60FD">
        <w:t>impact</w:t>
      </w:r>
      <w:r w:rsidR="002B60FD" w:rsidRPr="00292D9C">
        <w:t xml:space="preserve"> </w:t>
      </w:r>
      <w:r w:rsidRPr="00292D9C">
        <w:t>in supporting STEM education.</w:t>
      </w:r>
      <w:r w:rsidRPr="00292D9C">
        <w:rPr>
          <w:rStyle w:val="FootnoteReference"/>
        </w:rPr>
        <w:footnoteReference w:id="3"/>
      </w:r>
      <w:r w:rsidRPr="00292D9C">
        <w:t xml:space="preserve"> The</w:t>
      </w:r>
      <w:r w:rsidR="002B60FD">
        <w:t>se include</w:t>
      </w:r>
      <w:r w:rsidRPr="00292D9C">
        <w:t>:</w:t>
      </w:r>
    </w:p>
    <w:p w14:paraId="7506FC3F" w14:textId="77777777" w:rsidR="006959E1" w:rsidRPr="00292D9C" w:rsidRDefault="006959E1" w:rsidP="00164DDE">
      <w:pPr>
        <w:pStyle w:val="ListParagraph"/>
        <w:numPr>
          <w:ilvl w:val="0"/>
          <w:numId w:val="164"/>
        </w:numPr>
      </w:pPr>
      <w:r w:rsidRPr="00292D9C">
        <w:t xml:space="preserve">Continuing to </w:t>
      </w:r>
      <w:r w:rsidRPr="00292D9C">
        <w:rPr>
          <w:b/>
          <w:bCs/>
        </w:rPr>
        <w:t xml:space="preserve">build </w:t>
      </w:r>
      <w:r w:rsidR="009743E1">
        <w:rPr>
          <w:b/>
          <w:bCs/>
        </w:rPr>
        <w:t xml:space="preserve">STEM </w:t>
      </w:r>
      <w:r w:rsidRPr="00292D9C">
        <w:rPr>
          <w:b/>
          <w:bCs/>
        </w:rPr>
        <w:t>capability</w:t>
      </w:r>
      <w:r w:rsidRPr="00292D9C">
        <w:t xml:space="preserve"> </w:t>
      </w:r>
      <w:r w:rsidR="009743E1">
        <w:t xml:space="preserve">among educators </w:t>
      </w:r>
      <w:r w:rsidRPr="00292D9C">
        <w:t xml:space="preserve">across the </w:t>
      </w:r>
      <w:r w:rsidR="00492891">
        <w:t xml:space="preserve">education </w:t>
      </w:r>
      <w:r w:rsidRPr="00292D9C">
        <w:t>system</w:t>
      </w:r>
    </w:p>
    <w:p w14:paraId="2807EE08" w14:textId="77777777" w:rsidR="006959E1" w:rsidRPr="00292D9C" w:rsidRDefault="00BA21DC" w:rsidP="00164DDE">
      <w:pPr>
        <w:pStyle w:val="ListParagraph"/>
        <w:numPr>
          <w:ilvl w:val="0"/>
          <w:numId w:val="164"/>
        </w:numPr>
      </w:pPr>
      <w:r w:rsidRPr="00BA21DC">
        <w:t>Continuing to prioritise</w:t>
      </w:r>
      <w:r>
        <w:rPr>
          <w:b/>
          <w:bCs/>
        </w:rPr>
        <w:t xml:space="preserve"> s</w:t>
      </w:r>
      <w:r w:rsidR="006959E1" w:rsidRPr="00292D9C">
        <w:rPr>
          <w:b/>
          <w:bCs/>
        </w:rPr>
        <w:t>caling up</w:t>
      </w:r>
      <w:r w:rsidR="006959E1" w:rsidRPr="00292D9C">
        <w:t xml:space="preserve"> initiatives to a national level </w:t>
      </w:r>
    </w:p>
    <w:p w14:paraId="5343672C" w14:textId="77777777" w:rsidR="006959E1" w:rsidRPr="00292D9C" w:rsidRDefault="006959E1" w:rsidP="00164DDE">
      <w:pPr>
        <w:pStyle w:val="ListParagraph"/>
        <w:numPr>
          <w:ilvl w:val="0"/>
          <w:numId w:val="164"/>
        </w:numPr>
      </w:pPr>
      <w:r w:rsidRPr="00292D9C">
        <w:t xml:space="preserve">Building a robust and consistent </w:t>
      </w:r>
      <w:r w:rsidRPr="00292D9C">
        <w:rPr>
          <w:b/>
          <w:bCs/>
        </w:rPr>
        <w:t>national evidence base</w:t>
      </w:r>
      <w:r w:rsidRPr="00292D9C">
        <w:t xml:space="preserve"> on what success looks like in STEM education </w:t>
      </w:r>
    </w:p>
    <w:p w14:paraId="5BD9DAA6" w14:textId="77777777" w:rsidR="006959E1" w:rsidRPr="00292D9C" w:rsidRDefault="006959E1" w:rsidP="00164DDE">
      <w:pPr>
        <w:pStyle w:val="ListParagraph"/>
        <w:numPr>
          <w:ilvl w:val="0"/>
          <w:numId w:val="164"/>
        </w:numPr>
      </w:pPr>
      <w:r w:rsidRPr="00292D9C">
        <w:t xml:space="preserve">Leveraging existing networks and relationships to </w:t>
      </w:r>
      <w:r w:rsidRPr="00292D9C">
        <w:rPr>
          <w:b/>
          <w:bCs/>
        </w:rPr>
        <w:t>coordinate and link actors</w:t>
      </w:r>
      <w:r w:rsidRPr="00292D9C">
        <w:t xml:space="preserve"> in the STEM space for collaboration  </w:t>
      </w:r>
    </w:p>
    <w:p w14:paraId="4FA60013" w14:textId="77777777" w:rsidR="00861D14" w:rsidRPr="00292D9C" w:rsidRDefault="006959E1" w:rsidP="00A616D5">
      <w:r w:rsidRPr="00292D9C">
        <w:t xml:space="preserve">This does not mean to suggest that the Australian Government should </w:t>
      </w:r>
      <w:r w:rsidRPr="00292D9C">
        <w:rPr>
          <w:b/>
          <w:bCs/>
        </w:rPr>
        <w:t xml:space="preserve">only </w:t>
      </w:r>
      <w:r w:rsidRPr="00292D9C">
        <w:t xml:space="preserve">focus on </w:t>
      </w:r>
      <w:r w:rsidR="002B60FD">
        <w:t>these areas</w:t>
      </w:r>
      <w:r w:rsidRPr="00292D9C">
        <w:t xml:space="preserve">. Rather, it is a useful framing to inform where it might make sense to intervene and invest based on need and potential for impact. </w:t>
      </w:r>
      <w:r w:rsidR="00B2632E" w:rsidRPr="00292D9C">
        <w:t xml:space="preserve">Beyond this analysis, we considered specific recommendations in line with evaluation findings. These are shown in the image below. </w:t>
      </w:r>
    </w:p>
    <w:p w14:paraId="2E5DB6B7" w14:textId="77777777" w:rsidR="00F374C7" w:rsidRDefault="00F374C7" w:rsidP="00A616D5">
      <w:pPr>
        <w:rPr>
          <w:b/>
          <w:bCs/>
          <w:lang w:eastAsia="en-GB"/>
        </w:rPr>
      </w:pPr>
      <w:r w:rsidRPr="00292D9C">
        <w:rPr>
          <w:b/>
          <w:bCs/>
          <w:lang w:eastAsia="en-GB"/>
        </w:rPr>
        <w:t xml:space="preserve">Figure </w:t>
      </w:r>
      <w:r w:rsidR="00DE5FF6" w:rsidRPr="00292D9C">
        <w:rPr>
          <w:b/>
          <w:bCs/>
          <w:lang w:eastAsia="en-GB"/>
        </w:rPr>
        <w:t>2</w:t>
      </w:r>
      <w:r w:rsidR="005D45DF" w:rsidRPr="00292D9C">
        <w:rPr>
          <w:b/>
          <w:bCs/>
          <w:lang w:eastAsia="en-GB"/>
        </w:rPr>
        <w:t>.</w:t>
      </w:r>
      <w:r w:rsidRPr="00292D9C">
        <w:rPr>
          <w:b/>
          <w:bCs/>
          <w:lang w:eastAsia="en-GB"/>
        </w:rPr>
        <w:t xml:space="preserve"> Summary of recommendations and rationale</w:t>
      </w:r>
    </w:p>
    <w:tbl>
      <w:tblPr>
        <w:tblStyle w:val="TableGrid"/>
        <w:tblW w:w="11341" w:type="dxa"/>
        <w:tblInd w:w="-856" w:type="dxa"/>
        <w:tblLook w:val="04A0" w:firstRow="1" w:lastRow="0" w:firstColumn="1" w:lastColumn="0" w:noHBand="0" w:noVBand="1"/>
      </w:tblPr>
      <w:tblGrid>
        <w:gridCol w:w="851"/>
        <w:gridCol w:w="2410"/>
        <w:gridCol w:w="4536"/>
        <w:gridCol w:w="3544"/>
      </w:tblGrid>
      <w:tr w:rsidR="00B54914" w:rsidRPr="00B54914" w14:paraId="1435A4FD" w14:textId="77777777" w:rsidTr="00B54914">
        <w:trPr>
          <w:trHeight w:val="589"/>
        </w:trPr>
        <w:tc>
          <w:tcPr>
            <w:tcW w:w="851" w:type="dxa"/>
            <w:tcBorders>
              <w:top w:val="single" w:sz="4" w:space="0" w:color="FFFFFF"/>
              <w:left w:val="single" w:sz="4" w:space="0" w:color="FFFFFF"/>
              <w:bottom w:val="dashed" w:sz="4" w:space="0" w:color="FFFFFF"/>
              <w:right w:val="single" w:sz="4" w:space="0" w:color="FFFFFF"/>
            </w:tcBorders>
          </w:tcPr>
          <w:p w14:paraId="5C374DD7" w14:textId="77777777" w:rsidR="00B54914" w:rsidRPr="00B54914" w:rsidRDefault="00B54914" w:rsidP="00112E70">
            <w:pPr>
              <w:pStyle w:val="Heading2"/>
              <w:spacing w:line="276" w:lineRule="auto"/>
              <w:rPr>
                <w:color w:val="4D4D4D" w:themeColor="text2"/>
                <w:sz w:val="21"/>
                <w:szCs w:val="21"/>
              </w:rPr>
            </w:pPr>
          </w:p>
          <w:p w14:paraId="50B21642" w14:textId="77777777" w:rsidR="00B54914" w:rsidRPr="00B54914" w:rsidRDefault="00B54914" w:rsidP="00112E70">
            <w:pPr>
              <w:spacing w:line="276" w:lineRule="auto"/>
              <w:rPr>
                <w:sz w:val="21"/>
                <w:szCs w:val="21"/>
              </w:rPr>
            </w:pPr>
          </w:p>
        </w:tc>
        <w:tc>
          <w:tcPr>
            <w:tcW w:w="2410" w:type="dxa"/>
            <w:tcBorders>
              <w:top w:val="single" w:sz="4" w:space="0" w:color="FFFFFF"/>
              <w:left w:val="single" w:sz="4" w:space="0" w:color="FFFFFF"/>
              <w:right w:val="single" w:sz="4" w:space="0" w:color="FFFFFF"/>
            </w:tcBorders>
            <w:vAlign w:val="center"/>
          </w:tcPr>
          <w:p w14:paraId="5B0CC40E" w14:textId="77777777" w:rsidR="00B54914" w:rsidRPr="00B54914" w:rsidRDefault="00B54914" w:rsidP="00112E70">
            <w:pPr>
              <w:spacing w:line="276" w:lineRule="auto"/>
              <w:jc w:val="center"/>
              <w:rPr>
                <w:b/>
                <w:bCs/>
                <w:sz w:val="21"/>
                <w:szCs w:val="21"/>
                <w:lang w:val="en-US"/>
              </w:rPr>
            </w:pPr>
            <w:r w:rsidRPr="00B54914">
              <w:rPr>
                <w:b/>
                <w:bCs/>
                <w:sz w:val="21"/>
                <w:szCs w:val="21"/>
              </w:rPr>
              <w:t>Analytical lens</w:t>
            </w:r>
          </w:p>
        </w:tc>
        <w:tc>
          <w:tcPr>
            <w:tcW w:w="4536" w:type="dxa"/>
            <w:tcBorders>
              <w:top w:val="single" w:sz="4" w:space="0" w:color="FFFFFF"/>
              <w:left w:val="single" w:sz="4" w:space="0" w:color="FFFFFF"/>
              <w:right w:val="single" w:sz="4" w:space="0" w:color="FFFFFF"/>
            </w:tcBorders>
            <w:vAlign w:val="center"/>
          </w:tcPr>
          <w:p w14:paraId="13CA4460" w14:textId="77777777" w:rsidR="00B54914" w:rsidRPr="00B54914" w:rsidRDefault="00B54914" w:rsidP="00112E70">
            <w:pPr>
              <w:spacing w:line="276" w:lineRule="auto"/>
              <w:jc w:val="center"/>
              <w:rPr>
                <w:b/>
                <w:bCs/>
                <w:sz w:val="21"/>
                <w:szCs w:val="21"/>
              </w:rPr>
            </w:pPr>
            <w:r w:rsidRPr="00B54914">
              <w:rPr>
                <w:b/>
                <w:bCs/>
                <w:sz w:val="21"/>
                <w:szCs w:val="21"/>
              </w:rPr>
              <w:t>Conclusion / recommendation</w:t>
            </w:r>
          </w:p>
        </w:tc>
        <w:tc>
          <w:tcPr>
            <w:tcW w:w="3544" w:type="dxa"/>
            <w:tcBorders>
              <w:top w:val="single" w:sz="4" w:space="0" w:color="FFFFFF"/>
              <w:left w:val="single" w:sz="4" w:space="0" w:color="FFFFFF"/>
              <w:right w:val="single" w:sz="4" w:space="0" w:color="FFFFFF"/>
            </w:tcBorders>
            <w:vAlign w:val="center"/>
          </w:tcPr>
          <w:p w14:paraId="51ADD0F2" w14:textId="77777777" w:rsidR="00B54914" w:rsidRPr="00B54914" w:rsidRDefault="00B54914" w:rsidP="00112E70">
            <w:pPr>
              <w:spacing w:line="276" w:lineRule="auto"/>
              <w:jc w:val="center"/>
              <w:rPr>
                <w:b/>
                <w:bCs/>
                <w:sz w:val="21"/>
                <w:szCs w:val="21"/>
              </w:rPr>
            </w:pPr>
            <w:r w:rsidRPr="00B54914">
              <w:rPr>
                <w:b/>
                <w:bCs/>
                <w:sz w:val="21"/>
                <w:szCs w:val="21"/>
              </w:rPr>
              <w:t>Rationale</w:t>
            </w:r>
          </w:p>
        </w:tc>
      </w:tr>
      <w:tr w:rsidR="00B54914" w:rsidRPr="00B54914" w14:paraId="0218F8C8" w14:textId="77777777" w:rsidTr="00112E70">
        <w:tc>
          <w:tcPr>
            <w:tcW w:w="851" w:type="dxa"/>
            <w:vMerge w:val="restart"/>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690745EA" w14:textId="77777777" w:rsidR="00B54914" w:rsidRPr="00B54914" w:rsidRDefault="00B54914" w:rsidP="00112E70">
            <w:pPr>
              <w:pStyle w:val="Heading2"/>
              <w:spacing w:line="276" w:lineRule="auto"/>
              <w:jc w:val="center"/>
              <w:rPr>
                <w:b/>
                <w:bCs/>
                <w:i/>
                <w:iCs/>
                <w:color w:val="4D4D4D" w:themeColor="text2"/>
                <w:sz w:val="21"/>
                <w:szCs w:val="21"/>
              </w:rPr>
            </w:pPr>
            <w:bookmarkStart w:id="23" w:name="_Toc23504197"/>
            <w:bookmarkStart w:id="24" w:name="_Toc25162031"/>
            <w:r w:rsidRPr="00B54914">
              <w:rPr>
                <w:b/>
                <w:bCs/>
                <w:i/>
                <w:iCs/>
                <w:color w:val="FFFFFF" w:themeColor="background1"/>
                <w:sz w:val="21"/>
                <w:szCs w:val="21"/>
              </w:rPr>
              <w:t>Why</w:t>
            </w:r>
            <w:bookmarkEnd w:id="23"/>
            <w:bookmarkEnd w:id="24"/>
          </w:p>
        </w:tc>
        <w:tc>
          <w:tcPr>
            <w:tcW w:w="2410" w:type="dxa"/>
            <w:tcBorders>
              <w:left w:val="dashed" w:sz="4" w:space="0" w:color="FFFFFF"/>
            </w:tcBorders>
          </w:tcPr>
          <w:p w14:paraId="57121133" w14:textId="77777777" w:rsidR="00B54914" w:rsidRPr="00B54914" w:rsidRDefault="00B54914" w:rsidP="00112E70">
            <w:pPr>
              <w:spacing w:line="276" w:lineRule="auto"/>
              <w:rPr>
                <w:sz w:val="21"/>
                <w:szCs w:val="21"/>
              </w:rPr>
            </w:pPr>
            <w:r w:rsidRPr="00B54914">
              <w:rPr>
                <w:b/>
                <w:bCs/>
                <w:sz w:val="21"/>
                <w:szCs w:val="21"/>
                <w:lang w:val="en-US"/>
              </w:rPr>
              <w:t>Should initiatives focus on student engagement or achievement?</w:t>
            </w:r>
          </w:p>
        </w:tc>
        <w:tc>
          <w:tcPr>
            <w:tcW w:w="4536" w:type="dxa"/>
          </w:tcPr>
          <w:p w14:paraId="6B2AC0A5" w14:textId="77777777" w:rsidR="00B54914" w:rsidRPr="00B54914" w:rsidRDefault="00B54914" w:rsidP="00164DDE">
            <w:pPr>
              <w:pStyle w:val="ListParagraph"/>
              <w:numPr>
                <w:ilvl w:val="0"/>
                <w:numId w:val="178"/>
              </w:numPr>
              <w:spacing w:after="0" w:line="276" w:lineRule="auto"/>
              <w:rPr>
                <w:sz w:val="21"/>
                <w:szCs w:val="21"/>
              </w:rPr>
            </w:pPr>
            <w:r w:rsidRPr="00B54914">
              <w:rPr>
                <w:sz w:val="21"/>
                <w:szCs w:val="21"/>
              </w:rPr>
              <w:t>The Australian Government should continue investing in initiatives that promote both engagement and achievement, particularly noting that engagement is integral to future STEM education outcomes.</w:t>
            </w:r>
          </w:p>
        </w:tc>
        <w:tc>
          <w:tcPr>
            <w:tcW w:w="3544" w:type="dxa"/>
          </w:tcPr>
          <w:p w14:paraId="622D6217" w14:textId="77777777" w:rsidR="00B54914" w:rsidRPr="00B54914" w:rsidRDefault="00B54914" w:rsidP="00112E70">
            <w:pPr>
              <w:spacing w:line="276" w:lineRule="auto"/>
              <w:rPr>
                <w:sz w:val="21"/>
                <w:szCs w:val="21"/>
              </w:rPr>
            </w:pPr>
            <w:r w:rsidRPr="00B54914">
              <w:rPr>
                <w:sz w:val="21"/>
                <w:szCs w:val="21"/>
                <w:lang w:val="en-US"/>
              </w:rPr>
              <w:t>This approach acknowledges the interdependence of the twin goals of engagement and achievement, while ensuring investment in both.</w:t>
            </w:r>
          </w:p>
        </w:tc>
      </w:tr>
      <w:tr w:rsidR="00B54914" w:rsidRPr="00B54914" w14:paraId="2A28E193" w14:textId="77777777" w:rsidTr="00112E70">
        <w:tc>
          <w:tcPr>
            <w:tcW w:w="851" w:type="dxa"/>
            <w:vMerge/>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130CBDC4" w14:textId="77777777" w:rsidR="00B54914" w:rsidRPr="00B54914" w:rsidRDefault="00B54914" w:rsidP="00112E70">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6AD8C904" w14:textId="77777777" w:rsidR="00B54914" w:rsidRPr="00B54914" w:rsidRDefault="00B54914" w:rsidP="00112E70">
            <w:pPr>
              <w:spacing w:line="276" w:lineRule="auto"/>
              <w:rPr>
                <w:sz w:val="21"/>
                <w:szCs w:val="21"/>
              </w:rPr>
            </w:pPr>
            <w:r w:rsidRPr="00B54914">
              <w:rPr>
                <w:b/>
                <w:bCs/>
                <w:sz w:val="21"/>
                <w:szCs w:val="21"/>
                <w:lang w:val="en-US"/>
              </w:rPr>
              <w:t xml:space="preserve">Should initiatives have a universal </w:t>
            </w:r>
            <w:proofErr w:type="gramStart"/>
            <w:r w:rsidRPr="00B54914">
              <w:rPr>
                <w:b/>
                <w:bCs/>
                <w:sz w:val="21"/>
                <w:szCs w:val="21"/>
                <w:lang w:val="en-US"/>
              </w:rPr>
              <w:t>focus</w:t>
            </w:r>
            <w:proofErr w:type="gramEnd"/>
            <w:r w:rsidRPr="00B54914">
              <w:rPr>
                <w:b/>
                <w:bCs/>
                <w:sz w:val="21"/>
                <w:szCs w:val="21"/>
                <w:lang w:val="en-US"/>
              </w:rPr>
              <w:t xml:space="preserve"> or should they aim to increase equity or excellence?</w:t>
            </w:r>
          </w:p>
        </w:tc>
        <w:tc>
          <w:tcPr>
            <w:tcW w:w="4536" w:type="dxa"/>
          </w:tcPr>
          <w:p w14:paraId="19A493DE" w14:textId="77777777" w:rsidR="00B54914" w:rsidRPr="00B54914" w:rsidRDefault="00B54914" w:rsidP="00164DDE">
            <w:pPr>
              <w:numPr>
                <w:ilvl w:val="0"/>
                <w:numId w:val="178"/>
              </w:numPr>
              <w:spacing w:after="0" w:line="276" w:lineRule="auto"/>
              <w:rPr>
                <w:sz w:val="21"/>
                <w:szCs w:val="21"/>
              </w:rPr>
            </w:pPr>
            <w:proofErr w:type="spellStart"/>
            <w:r w:rsidRPr="00B54914">
              <w:rPr>
                <w:sz w:val="21"/>
                <w:szCs w:val="21"/>
                <w:lang w:val="en-US"/>
              </w:rPr>
              <w:t>Prioritise</w:t>
            </w:r>
            <w:proofErr w:type="spellEnd"/>
            <w:r w:rsidRPr="00B54914">
              <w:rPr>
                <w:sz w:val="21"/>
                <w:szCs w:val="21"/>
                <w:lang w:val="en-US"/>
              </w:rPr>
              <w:t xml:space="preserve"> initiatives with a focus on universal service </w:t>
            </w:r>
            <w:proofErr w:type="gramStart"/>
            <w:r w:rsidRPr="00B54914">
              <w:rPr>
                <w:sz w:val="21"/>
                <w:szCs w:val="21"/>
                <w:lang w:val="en-US"/>
              </w:rPr>
              <w:t>provision, but</w:t>
            </w:r>
            <w:proofErr w:type="gramEnd"/>
            <w:r w:rsidRPr="00B54914">
              <w:rPr>
                <w:sz w:val="21"/>
                <w:szCs w:val="21"/>
                <w:lang w:val="en-US"/>
              </w:rPr>
              <w:t xml:space="preserve"> encourage targeted initiatives for equity purposes.</w:t>
            </w:r>
          </w:p>
          <w:p w14:paraId="59C97766"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Continue to limit investment in approaches that focus on achieving excellence alone.</w:t>
            </w:r>
          </w:p>
        </w:tc>
        <w:tc>
          <w:tcPr>
            <w:tcW w:w="3544" w:type="dxa"/>
          </w:tcPr>
          <w:p w14:paraId="20F67666" w14:textId="77777777" w:rsidR="00B54914" w:rsidRPr="00B54914" w:rsidRDefault="00B54914" w:rsidP="00112E70">
            <w:pPr>
              <w:spacing w:line="276" w:lineRule="auto"/>
              <w:rPr>
                <w:sz w:val="21"/>
                <w:szCs w:val="21"/>
                <w:lang w:val="en-US"/>
              </w:rPr>
            </w:pPr>
            <w:r w:rsidRPr="00B54914">
              <w:rPr>
                <w:sz w:val="21"/>
                <w:szCs w:val="21"/>
                <w:lang w:val="en-US"/>
              </w:rPr>
              <w:t xml:space="preserve">This approach </w:t>
            </w:r>
            <w:proofErr w:type="spellStart"/>
            <w:r w:rsidRPr="00B54914">
              <w:rPr>
                <w:sz w:val="21"/>
                <w:szCs w:val="21"/>
                <w:lang w:val="en-US"/>
              </w:rPr>
              <w:t>maximises</w:t>
            </w:r>
            <w:proofErr w:type="spellEnd"/>
            <w:r w:rsidRPr="00B54914">
              <w:rPr>
                <w:sz w:val="21"/>
                <w:szCs w:val="21"/>
                <w:lang w:val="en-US"/>
              </w:rPr>
              <w:t xml:space="preserve"> the Australian Government’s reach and impact while still helping to address the persistent inequities in STEM education.</w:t>
            </w:r>
          </w:p>
        </w:tc>
      </w:tr>
      <w:tr w:rsidR="00B54914" w:rsidRPr="00B54914" w14:paraId="18F1BE40" w14:textId="77777777" w:rsidTr="00B54914">
        <w:trPr>
          <w:trHeight w:val="1234"/>
        </w:trPr>
        <w:tc>
          <w:tcPr>
            <w:tcW w:w="851" w:type="dxa"/>
            <w:vMerge w:val="restart"/>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7D6298EB" w14:textId="77777777" w:rsidR="00B54914" w:rsidRPr="00B54914" w:rsidRDefault="00B54914" w:rsidP="00112E70">
            <w:pPr>
              <w:pStyle w:val="Heading2"/>
              <w:spacing w:line="276" w:lineRule="auto"/>
              <w:jc w:val="center"/>
              <w:rPr>
                <w:b/>
                <w:bCs/>
                <w:i/>
                <w:iCs/>
                <w:color w:val="4D4D4D" w:themeColor="text2"/>
                <w:sz w:val="21"/>
                <w:szCs w:val="21"/>
              </w:rPr>
            </w:pPr>
            <w:bookmarkStart w:id="25" w:name="_Toc23504198"/>
            <w:bookmarkStart w:id="26" w:name="_Toc25162032"/>
            <w:r w:rsidRPr="00B54914">
              <w:rPr>
                <w:b/>
                <w:bCs/>
                <w:i/>
                <w:iCs/>
                <w:color w:val="000000" w:themeColor="text1"/>
                <w:sz w:val="21"/>
                <w:szCs w:val="21"/>
              </w:rPr>
              <w:t>Who</w:t>
            </w:r>
            <w:bookmarkEnd w:id="25"/>
            <w:bookmarkEnd w:id="26"/>
          </w:p>
        </w:tc>
        <w:tc>
          <w:tcPr>
            <w:tcW w:w="2410" w:type="dxa"/>
            <w:tcBorders>
              <w:left w:val="dashed" w:sz="4" w:space="0" w:color="FFFFFF"/>
            </w:tcBorders>
          </w:tcPr>
          <w:p w14:paraId="4A916B61" w14:textId="77777777" w:rsidR="00B54914" w:rsidRPr="00B54914" w:rsidRDefault="00B54914" w:rsidP="00112E70">
            <w:pPr>
              <w:spacing w:line="276" w:lineRule="auto"/>
              <w:rPr>
                <w:sz w:val="21"/>
                <w:szCs w:val="21"/>
              </w:rPr>
            </w:pPr>
            <w:r w:rsidRPr="00B54914">
              <w:rPr>
                <w:b/>
                <w:bCs/>
                <w:sz w:val="21"/>
                <w:szCs w:val="21"/>
                <w:lang w:val="en-US"/>
              </w:rPr>
              <w:t>Who should be the main target audience for the initiatives?</w:t>
            </w:r>
          </w:p>
        </w:tc>
        <w:tc>
          <w:tcPr>
            <w:tcW w:w="4536" w:type="dxa"/>
          </w:tcPr>
          <w:p w14:paraId="47D13364"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 xml:space="preserve">Continue to </w:t>
            </w:r>
            <w:proofErr w:type="spellStart"/>
            <w:r w:rsidRPr="00B54914">
              <w:rPr>
                <w:sz w:val="21"/>
                <w:szCs w:val="21"/>
                <w:lang w:val="en-US"/>
              </w:rPr>
              <w:t>prioritise</w:t>
            </w:r>
            <w:proofErr w:type="spellEnd"/>
            <w:r w:rsidRPr="00B54914">
              <w:rPr>
                <w:sz w:val="21"/>
                <w:szCs w:val="21"/>
                <w:lang w:val="en-US"/>
              </w:rPr>
              <w:t xml:space="preserve"> building system capability through teachers, while decreasing focus on individual schools and students.</w:t>
            </w:r>
          </w:p>
          <w:p w14:paraId="3FAD6449"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Consider expanding reach to principals and pre-service teachers through existing initiatives.</w:t>
            </w:r>
          </w:p>
        </w:tc>
        <w:tc>
          <w:tcPr>
            <w:tcW w:w="3544" w:type="dxa"/>
          </w:tcPr>
          <w:p w14:paraId="79ED2001" w14:textId="77777777" w:rsidR="00B54914" w:rsidRPr="00B54914" w:rsidRDefault="00B54914" w:rsidP="00112E70">
            <w:pPr>
              <w:spacing w:line="276" w:lineRule="auto"/>
              <w:rPr>
                <w:sz w:val="21"/>
                <w:szCs w:val="21"/>
                <w:lang w:val="en-US"/>
              </w:rPr>
            </w:pPr>
            <w:r w:rsidRPr="00B54914">
              <w:rPr>
                <w:sz w:val="21"/>
                <w:szCs w:val="21"/>
                <w:lang w:val="en-US"/>
              </w:rPr>
              <w:t>This approach makes the most of the Australian Government’s existing relationships. It is also well-suited to delivering mechanisms that lift system capability.</w:t>
            </w:r>
          </w:p>
        </w:tc>
      </w:tr>
      <w:tr w:rsidR="00B54914" w:rsidRPr="00B54914" w14:paraId="663A42A0" w14:textId="77777777" w:rsidTr="00112E70">
        <w:tc>
          <w:tcPr>
            <w:tcW w:w="851" w:type="dxa"/>
            <w:vMerge/>
            <w:tcBorders>
              <w:top w:val="dashed" w:sz="4" w:space="0" w:color="FFFFFF"/>
              <w:left w:val="dashed" w:sz="4" w:space="0" w:color="FFFFFF"/>
              <w:bottom w:val="dashed" w:sz="4" w:space="0" w:color="FFFFFF"/>
              <w:right w:val="dashed" w:sz="4" w:space="0" w:color="FFFFFF"/>
            </w:tcBorders>
            <w:vAlign w:val="center"/>
          </w:tcPr>
          <w:p w14:paraId="0D1C68B5" w14:textId="77777777" w:rsidR="00B54914" w:rsidRPr="00B54914" w:rsidRDefault="00B54914" w:rsidP="00112E70">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15E997DC" w14:textId="77777777" w:rsidR="00B54914" w:rsidRPr="00B54914" w:rsidRDefault="00B54914" w:rsidP="00112E70">
            <w:pPr>
              <w:spacing w:line="276" w:lineRule="auto"/>
              <w:rPr>
                <w:sz w:val="21"/>
                <w:szCs w:val="21"/>
              </w:rPr>
            </w:pPr>
            <w:r w:rsidRPr="00B54914">
              <w:rPr>
                <w:b/>
                <w:bCs/>
                <w:sz w:val="21"/>
                <w:szCs w:val="21"/>
                <w:lang w:val="en-US"/>
              </w:rPr>
              <w:t>What education level should the initiatives target?</w:t>
            </w:r>
          </w:p>
        </w:tc>
        <w:tc>
          <w:tcPr>
            <w:tcW w:w="4536" w:type="dxa"/>
          </w:tcPr>
          <w:p w14:paraId="3D739DED"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 xml:space="preserve">While the Australian Government should continue investing in school years, it’s a crowded space and there are other opportunities to consider. For example, </w:t>
            </w:r>
            <w:r w:rsidR="00724E34">
              <w:rPr>
                <w:sz w:val="21"/>
                <w:szCs w:val="21"/>
                <w:lang w:val="en-US"/>
              </w:rPr>
              <w:t>further investing in</w:t>
            </w:r>
            <w:r w:rsidRPr="00B54914">
              <w:rPr>
                <w:sz w:val="21"/>
                <w:szCs w:val="21"/>
                <w:lang w:val="en-US"/>
              </w:rPr>
              <w:t xml:space="preserve"> the early years.</w:t>
            </w:r>
            <w:r>
              <w:rPr>
                <w:sz w:val="21"/>
                <w:szCs w:val="21"/>
                <w:lang w:val="en-US"/>
              </w:rPr>
              <w:t xml:space="preserve"> </w:t>
            </w:r>
            <w:r w:rsidRPr="009743E1">
              <w:rPr>
                <w:sz w:val="21"/>
                <w:szCs w:val="21"/>
                <w:lang w:val="en-US"/>
              </w:rPr>
              <w:t xml:space="preserve">  </w:t>
            </w:r>
          </w:p>
        </w:tc>
        <w:tc>
          <w:tcPr>
            <w:tcW w:w="3544" w:type="dxa"/>
          </w:tcPr>
          <w:p w14:paraId="177E601F" w14:textId="77777777" w:rsidR="00B54914" w:rsidRPr="00B54914" w:rsidRDefault="00B54914" w:rsidP="00112E70">
            <w:pPr>
              <w:spacing w:line="276" w:lineRule="auto"/>
              <w:rPr>
                <w:sz w:val="21"/>
                <w:szCs w:val="21"/>
              </w:rPr>
            </w:pPr>
            <w:r w:rsidRPr="00B54914">
              <w:rPr>
                <w:sz w:val="21"/>
                <w:szCs w:val="21"/>
                <w:lang w:val="en-US"/>
              </w:rPr>
              <w:t>This approach ensures the Australian Government’s investment in STEM education fills gaps and avoids duplication.</w:t>
            </w:r>
          </w:p>
        </w:tc>
      </w:tr>
      <w:tr w:rsidR="00B54914" w:rsidRPr="00B54914" w14:paraId="02803718" w14:textId="77777777" w:rsidTr="00112E70">
        <w:tc>
          <w:tcPr>
            <w:tcW w:w="851" w:type="dxa"/>
            <w:vMerge w:val="restart"/>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641AEB42" w14:textId="77777777" w:rsidR="00B54914" w:rsidRPr="00B54914" w:rsidRDefault="00B54914" w:rsidP="00112E70">
            <w:pPr>
              <w:pStyle w:val="Heading2"/>
              <w:spacing w:line="276" w:lineRule="auto"/>
              <w:jc w:val="center"/>
              <w:rPr>
                <w:b/>
                <w:bCs/>
                <w:i/>
                <w:iCs/>
                <w:color w:val="4D4D4D" w:themeColor="text2"/>
                <w:sz w:val="21"/>
                <w:szCs w:val="21"/>
              </w:rPr>
            </w:pPr>
            <w:bookmarkStart w:id="27" w:name="_Toc23504199"/>
            <w:bookmarkStart w:id="28" w:name="_Toc25162033"/>
            <w:r w:rsidRPr="00B54914">
              <w:rPr>
                <w:b/>
                <w:bCs/>
                <w:i/>
                <w:iCs/>
                <w:color w:val="000000" w:themeColor="text1"/>
                <w:sz w:val="21"/>
                <w:szCs w:val="21"/>
              </w:rPr>
              <w:t>What</w:t>
            </w:r>
            <w:bookmarkEnd w:id="27"/>
            <w:bookmarkEnd w:id="28"/>
          </w:p>
        </w:tc>
        <w:tc>
          <w:tcPr>
            <w:tcW w:w="2410" w:type="dxa"/>
            <w:tcBorders>
              <w:left w:val="dashed" w:sz="4" w:space="0" w:color="FFFFFF"/>
            </w:tcBorders>
          </w:tcPr>
          <w:p w14:paraId="77C03BD5" w14:textId="77777777" w:rsidR="00B54914" w:rsidRPr="00B54914" w:rsidRDefault="00B54914" w:rsidP="00112E70">
            <w:pPr>
              <w:spacing w:line="276" w:lineRule="auto"/>
              <w:rPr>
                <w:sz w:val="21"/>
                <w:szCs w:val="21"/>
              </w:rPr>
            </w:pPr>
            <w:r w:rsidRPr="00B54914">
              <w:rPr>
                <w:b/>
                <w:bCs/>
                <w:sz w:val="21"/>
                <w:szCs w:val="21"/>
                <w:lang w:val="en-US"/>
              </w:rPr>
              <w:t>What should be the main output of the initiatives?</w:t>
            </w:r>
          </w:p>
        </w:tc>
        <w:tc>
          <w:tcPr>
            <w:tcW w:w="4536" w:type="dxa"/>
          </w:tcPr>
          <w:p w14:paraId="24C45A0F"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Continue to support existing professional learning and resources</w:t>
            </w:r>
          </w:p>
          <w:p w14:paraId="1BBFB8B5"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Invest in approaches that focus on coordination, evidence and communication across the national STEM landscape.</w:t>
            </w:r>
          </w:p>
        </w:tc>
        <w:tc>
          <w:tcPr>
            <w:tcW w:w="3544" w:type="dxa"/>
          </w:tcPr>
          <w:p w14:paraId="251DC7A1" w14:textId="77777777" w:rsidR="00B54914" w:rsidRPr="00B54914" w:rsidRDefault="00B54914" w:rsidP="00112E70">
            <w:pPr>
              <w:spacing w:line="276" w:lineRule="auto"/>
              <w:rPr>
                <w:sz w:val="21"/>
                <w:szCs w:val="21"/>
              </w:rPr>
            </w:pPr>
            <w:r w:rsidRPr="00B54914">
              <w:rPr>
                <w:sz w:val="21"/>
                <w:szCs w:val="21"/>
                <w:lang w:val="en-US"/>
              </w:rPr>
              <w:t>There is positive work in this space, and professional learning is incredibly important to lifting STEM outcomes. There is a need for a more evidence-based, coordinated approach to STEM education.</w:t>
            </w:r>
          </w:p>
        </w:tc>
      </w:tr>
      <w:tr w:rsidR="00B54914" w:rsidRPr="00B54914" w14:paraId="2C0F6A81" w14:textId="77777777" w:rsidTr="00112E70">
        <w:tc>
          <w:tcPr>
            <w:tcW w:w="851" w:type="dxa"/>
            <w:vMerge/>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0BCE51C3" w14:textId="77777777" w:rsidR="00B54914" w:rsidRPr="00B54914" w:rsidRDefault="00B54914" w:rsidP="00112E70">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0523689B" w14:textId="77777777" w:rsidR="00B54914" w:rsidRPr="00B54914" w:rsidRDefault="00B54914" w:rsidP="00112E70">
            <w:pPr>
              <w:spacing w:line="276" w:lineRule="auto"/>
              <w:rPr>
                <w:sz w:val="21"/>
                <w:szCs w:val="21"/>
              </w:rPr>
            </w:pPr>
            <w:r w:rsidRPr="00B54914">
              <w:rPr>
                <w:b/>
                <w:bCs/>
                <w:sz w:val="21"/>
                <w:szCs w:val="21"/>
                <w:lang w:val="en-US"/>
              </w:rPr>
              <w:t>What curriculum area should the initiatives focus on?</w:t>
            </w:r>
          </w:p>
        </w:tc>
        <w:tc>
          <w:tcPr>
            <w:tcW w:w="4536" w:type="dxa"/>
          </w:tcPr>
          <w:p w14:paraId="3A70C6B6"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Continue to define STEM broadly but promote approaches that build general capabilities and incorporate real world experiences.</w:t>
            </w:r>
          </w:p>
          <w:p w14:paraId="1383F87C"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 xml:space="preserve">Continue to support digital technologies, however, balance this with the need to invest in </w:t>
            </w:r>
            <w:proofErr w:type="spellStart"/>
            <w:r w:rsidRPr="00B54914">
              <w:rPr>
                <w:sz w:val="21"/>
                <w:szCs w:val="21"/>
                <w:lang w:val="en-US"/>
              </w:rPr>
              <w:t>maths</w:t>
            </w:r>
            <w:proofErr w:type="spellEnd"/>
            <w:r w:rsidRPr="00B54914">
              <w:rPr>
                <w:sz w:val="21"/>
                <w:szCs w:val="21"/>
                <w:lang w:val="en-US"/>
              </w:rPr>
              <w:t>.</w:t>
            </w:r>
          </w:p>
          <w:p w14:paraId="48E05AC1" w14:textId="77777777" w:rsidR="00B54914" w:rsidRPr="00B54914" w:rsidRDefault="00B54914" w:rsidP="00112E70">
            <w:pPr>
              <w:spacing w:after="0" w:line="276" w:lineRule="auto"/>
              <w:ind w:left="360"/>
              <w:rPr>
                <w:sz w:val="21"/>
                <w:szCs w:val="21"/>
              </w:rPr>
            </w:pPr>
          </w:p>
        </w:tc>
        <w:tc>
          <w:tcPr>
            <w:tcW w:w="3544" w:type="dxa"/>
          </w:tcPr>
          <w:p w14:paraId="6206704F" w14:textId="77777777" w:rsidR="00B54914" w:rsidRPr="00B54914" w:rsidRDefault="00B54914" w:rsidP="00112E70">
            <w:pPr>
              <w:spacing w:line="276" w:lineRule="auto"/>
              <w:rPr>
                <w:sz w:val="21"/>
                <w:szCs w:val="21"/>
              </w:rPr>
            </w:pPr>
            <w:r w:rsidRPr="00B54914">
              <w:rPr>
                <w:sz w:val="21"/>
                <w:szCs w:val="21"/>
                <w:lang w:val="en-US"/>
              </w:rPr>
              <w:t xml:space="preserve">This approach </w:t>
            </w:r>
            <w:proofErr w:type="spellStart"/>
            <w:r w:rsidRPr="00B54914">
              <w:rPr>
                <w:sz w:val="21"/>
                <w:szCs w:val="21"/>
                <w:lang w:val="en-US"/>
              </w:rPr>
              <w:t>recognises</w:t>
            </w:r>
            <w:proofErr w:type="spellEnd"/>
            <w:r w:rsidRPr="00B54914">
              <w:rPr>
                <w:sz w:val="21"/>
                <w:szCs w:val="21"/>
                <w:lang w:val="en-US"/>
              </w:rPr>
              <w:t xml:space="preserve"> the unresolved debates in STEM education, addresses areas of significant need and advances other Australian Government education policy agendas.</w:t>
            </w:r>
          </w:p>
        </w:tc>
      </w:tr>
      <w:tr w:rsidR="00B54914" w:rsidRPr="00B54914" w14:paraId="376A6F52" w14:textId="77777777" w:rsidTr="00112E70">
        <w:trPr>
          <w:trHeight w:val="67"/>
        </w:trPr>
        <w:tc>
          <w:tcPr>
            <w:tcW w:w="851" w:type="dxa"/>
            <w:tcBorders>
              <w:top w:val="dashed" w:sz="4" w:space="0" w:color="FFFFFF"/>
              <w:left w:val="dashed" w:sz="4" w:space="0" w:color="FFFFFF"/>
              <w:bottom w:val="dashed" w:sz="4" w:space="0" w:color="FFFFFF"/>
              <w:right w:val="dashed" w:sz="4" w:space="0" w:color="FFFFFF"/>
            </w:tcBorders>
            <w:shd w:val="clear" w:color="auto" w:fill="4D4D4D" w:themeFill="text2"/>
            <w:vAlign w:val="center"/>
          </w:tcPr>
          <w:p w14:paraId="6675AE9A" w14:textId="77777777" w:rsidR="00B54914" w:rsidRPr="00B54914" w:rsidRDefault="00B54914" w:rsidP="00112E70">
            <w:pPr>
              <w:pStyle w:val="Heading2"/>
              <w:spacing w:line="276" w:lineRule="auto"/>
              <w:jc w:val="center"/>
              <w:rPr>
                <w:b/>
                <w:bCs/>
                <w:i/>
                <w:iCs/>
                <w:color w:val="4D4D4D" w:themeColor="text2"/>
                <w:sz w:val="21"/>
                <w:szCs w:val="21"/>
              </w:rPr>
            </w:pPr>
            <w:bookmarkStart w:id="29" w:name="_Toc23504200"/>
            <w:bookmarkStart w:id="30" w:name="_Toc25162034"/>
            <w:r w:rsidRPr="00B54914">
              <w:rPr>
                <w:b/>
                <w:bCs/>
                <w:i/>
                <w:iCs/>
                <w:color w:val="FFFFFF" w:themeColor="background1"/>
                <w:sz w:val="21"/>
                <w:szCs w:val="21"/>
              </w:rPr>
              <w:t>How</w:t>
            </w:r>
            <w:bookmarkEnd w:id="29"/>
            <w:bookmarkEnd w:id="30"/>
          </w:p>
        </w:tc>
        <w:tc>
          <w:tcPr>
            <w:tcW w:w="2410" w:type="dxa"/>
            <w:tcBorders>
              <w:left w:val="dashed" w:sz="4" w:space="0" w:color="FFFFFF"/>
            </w:tcBorders>
          </w:tcPr>
          <w:p w14:paraId="4BB83EAF" w14:textId="77777777" w:rsidR="00B54914" w:rsidRPr="00B54914" w:rsidRDefault="00B54914" w:rsidP="00112E70">
            <w:pPr>
              <w:spacing w:line="276" w:lineRule="auto"/>
              <w:rPr>
                <w:sz w:val="21"/>
                <w:szCs w:val="21"/>
              </w:rPr>
            </w:pPr>
            <w:r w:rsidRPr="00B54914">
              <w:rPr>
                <w:b/>
                <w:bCs/>
                <w:sz w:val="21"/>
                <w:szCs w:val="21"/>
                <w:lang w:val="en-US"/>
              </w:rPr>
              <w:t>What partnerships, processes and supports should be in place?</w:t>
            </w:r>
          </w:p>
        </w:tc>
        <w:tc>
          <w:tcPr>
            <w:tcW w:w="4536" w:type="dxa"/>
          </w:tcPr>
          <w:p w14:paraId="76499943" w14:textId="77777777" w:rsidR="00B54914" w:rsidRPr="00B54914" w:rsidRDefault="00B54914" w:rsidP="00164DDE">
            <w:pPr>
              <w:numPr>
                <w:ilvl w:val="0"/>
                <w:numId w:val="178"/>
              </w:numPr>
              <w:spacing w:after="0" w:line="276" w:lineRule="auto"/>
              <w:rPr>
                <w:sz w:val="21"/>
                <w:szCs w:val="21"/>
              </w:rPr>
            </w:pPr>
            <w:r w:rsidRPr="00B54914">
              <w:rPr>
                <w:sz w:val="21"/>
                <w:szCs w:val="21"/>
                <w:lang w:val="en-US"/>
              </w:rPr>
              <w:t>Celebrate successes on positive stakeholder engagement</w:t>
            </w:r>
          </w:p>
        </w:tc>
        <w:tc>
          <w:tcPr>
            <w:tcW w:w="3544" w:type="dxa"/>
          </w:tcPr>
          <w:p w14:paraId="00898971" w14:textId="77777777" w:rsidR="00B54914" w:rsidRPr="00B54914" w:rsidRDefault="00B54914" w:rsidP="00112E70">
            <w:pPr>
              <w:spacing w:line="276" w:lineRule="auto"/>
              <w:rPr>
                <w:sz w:val="21"/>
                <w:szCs w:val="21"/>
              </w:rPr>
            </w:pPr>
            <w:r>
              <w:rPr>
                <w:sz w:val="21"/>
                <w:szCs w:val="21"/>
                <w:lang w:val="en-US"/>
              </w:rPr>
              <w:t>T</w:t>
            </w:r>
            <w:r w:rsidRPr="00B54914">
              <w:rPr>
                <w:sz w:val="21"/>
                <w:szCs w:val="21"/>
                <w:lang w:val="en-US"/>
              </w:rPr>
              <w:t>he Australian Government is also well-regarded by stakeholders for their approach to, and investment in, STEM education.</w:t>
            </w:r>
          </w:p>
        </w:tc>
      </w:tr>
    </w:tbl>
    <w:p w14:paraId="093D6A45" w14:textId="77777777" w:rsidR="00B54914" w:rsidRPr="00292D9C" w:rsidRDefault="00B54914" w:rsidP="00A616D5">
      <w:pPr>
        <w:rPr>
          <w:b/>
          <w:bCs/>
          <w:lang w:eastAsia="en-GB"/>
        </w:rPr>
      </w:pPr>
    </w:p>
    <w:p w14:paraId="142290F7" w14:textId="77777777" w:rsidR="00493F7B" w:rsidRPr="00292D9C" w:rsidRDefault="00E7050F" w:rsidP="00A616D5">
      <w:pPr>
        <w:rPr>
          <w:lang w:eastAsia="en-GB"/>
        </w:rPr>
      </w:pPr>
      <w:r w:rsidRPr="00292D9C">
        <w:rPr>
          <w:iCs/>
          <w:sz w:val="12"/>
          <w:szCs w:val="12"/>
        </w:rPr>
        <w:br w:type="page"/>
      </w:r>
    </w:p>
    <w:p w14:paraId="0D201A8B" w14:textId="77777777" w:rsidR="00DF5050" w:rsidRPr="00292D9C" w:rsidRDefault="00C705EE" w:rsidP="00A616D5">
      <w:pPr>
        <w:pStyle w:val="Heading1"/>
        <w:numPr>
          <w:ilvl w:val="0"/>
          <w:numId w:val="0"/>
        </w:numPr>
        <w:spacing w:before="0" w:after="120" w:line="360" w:lineRule="auto"/>
        <w:ind w:left="567" w:hanging="567"/>
        <w:rPr>
          <w:rFonts w:asciiTheme="minorHAnsi" w:hAnsiTheme="minorHAnsi"/>
        </w:rPr>
      </w:pPr>
      <w:bookmarkStart w:id="31" w:name="_Toc25162035"/>
      <w:r w:rsidRPr="00292D9C">
        <w:rPr>
          <w:rFonts w:asciiTheme="minorHAnsi" w:hAnsiTheme="minorHAnsi"/>
        </w:rPr>
        <w:t>Introduction</w:t>
      </w:r>
      <w:bookmarkEnd w:id="31"/>
      <w:r w:rsidRPr="00292D9C">
        <w:rPr>
          <w:rFonts w:asciiTheme="minorHAnsi" w:hAnsiTheme="minorHAnsi"/>
        </w:rPr>
        <w:t xml:space="preserve"> </w:t>
      </w:r>
    </w:p>
    <w:p w14:paraId="23A6EC90" w14:textId="77777777" w:rsidR="00DA3A10" w:rsidRPr="00292D9C" w:rsidRDefault="00A232DD" w:rsidP="00A616D5">
      <w:r w:rsidRPr="00292D9C">
        <w:t xml:space="preserve">In 2015, the Australian Government recognised the importance of STEM education by allocating funding </w:t>
      </w:r>
      <w:r w:rsidR="00A9553F">
        <w:t>for a range of early years and schools initiatives</w:t>
      </w:r>
      <w:r w:rsidRPr="00292D9C">
        <w:t xml:space="preserve"> through the National Science and Innovation Agenda (NISA)</w:t>
      </w:r>
      <w:r w:rsidR="007A5658" w:rsidRPr="00292D9C">
        <w:t xml:space="preserve">. </w:t>
      </w:r>
      <w:r w:rsidR="00112770">
        <w:t xml:space="preserve">Since 2016, funding has been provided for 15 </w:t>
      </w:r>
      <w:r w:rsidR="00A9553F">
        <w:t>Initiatives through the NISA</w:t>
      </w:r>
      <w:r w:rsidR="00A36D25" w:rsidRPr="00292D9C">
        <w:t xml:space="preserve"> includ</w:t>
      </w:r>
      <w:r w:rsidR="00871F91">
        <w:t>ing</w:t>
      </w:r>
      <w:r w:rsidR="007A5658" w:rsidRPr="00292D9C">
        <w:t>:</w:t>
      </w:r>
      <w:r w:rsidR="00EE71A9" w:rsidRPr="00292D9C">
        <w:rPr>
          <w:rStyle w:val="FootnoteReference"/>
        </w:rPr>
        <w:footnoteReference w:id="4"/>
      </w:r>
    </w:p>
    <w:p w14:paraId="55CE0E47" w14:textId="77777777" w:rsidR="00DA3A10" w:rsidRPr="00292D9C" w:rsidRDefault="00DA3A10" w:rsidP="00164DDE">
      <w:pPr>
        <w:pStyle w:val="ListParagraph"/>
        <w:numPr>
          <w:ilvl w:val="0"/>
          <w:numId w:val="29"/>
        </w:numPr>
      </w:pPr>
      <w:r w:rsidRPr="00292D9C">
        <w:t>Digital Technologies Massive Open Online Courses</w:t>
      </w:r>
      <w:r w:rsidR="00A36D25" w:rsidRPr="00292D9C">
        <w:t xml:space="preserve"> (MOOCs)</w:t>
      </w:r>
    </w:p>
    <w:p w14:paraId="5D069BF3" w14:textId="77777777" w:rsidR="00DA3A10" w:rsidRPr="00292D9C" w:rsidRDefault="00DA3A10" w:rsidP="00164DDE">
      <w:pPr>
        <w:pStyle w:val="ListParagraph"/>
        <w:numPr>
          <w:ilvl w:val="0"/>
          <w:numId w:val="29"/>
        </w:numPr>
      </w:pPr>
      <w:r w:rsidRPr="00292D9C">
        <w:t xml:space="preserve">Digital Technologies in Focus </w:t>
      </w:r>
      <w:r w:rsidR="00A36D25" w:rsidRPr="00292D9C">
        <w:t>(</w:t>
      </w:r>
      <w:proofErr w:type="spellStart"/>
      <w:r w:rsidR="00A36D25" w:rsidRPr="00292D9C">
        <w:t>DTiF</w:t>
      </w:r>
      <w:proofErr w:type="spellEnd"/>
      <w:r w:rsidR="00A36D25" w:rsidRPr="00292D9C">
        <w:t>)</w:t>
      </w:r>
    </w:p>
    <w:p w14:paraId="6199912B" w14:textId="77777777" w:rsidR="00DA3A10" w:rsidRPr="00292D9C" w:rsidRDefault="00DA3A10" w:rsidP="00164DDE">
      <w:pPr>
        <w:pStyle w:val="ListParagraph"/>
        <w:numPr>
          <w:ilvl w:val="0"/>
          <w:numId w:val="29"/>
        </w:numPr>
      </w:pPr>
      <w:r w:rsidRPr="00292D9C">
        <w:t xml:space="preserve">STEM </w:t>
      </w:r>
      <w:r w:rsidR="007A5658" w:rsidRPr="00292D9C">
        <w:t>P</w:t>
      </w:r>
      <w:r w:rsidRPr="00292D9C">
        <w:t xml:space="preserve">rofessionals in Schools </w:t>
      </w:r>
    </w:p>
    <w:p w14:paraId="5B62FAEE" w14:textId="77777777" w:rsidR="00DA3A10" w:rsidRPr="00292D9C" w:rsidRDefault="00DA3A10" w:rsidP="00164DDE">
      <w:pPr>
        <w:pStyle w:val="ListParagraph"/>
        <w:numPr>
          <w:ilvl w:val="0"/>
          <w:numId w:val="29"/>
        </w:numPr>
      </w:pPr>
      <w:r w:rsidRPr="00292D9C">
        <w:t xml:space="preserve">Digital Literacy Schools Grants </w:t>
      </w:r>
    </w:p>
    <w:p w14:paraId="7F417445" w14:textId="77777777" w:rsidR="00DA3A10" w:rsidRPr="00292D9C" w:rsidRDefault="00DA3A10" w:rsidP="00164DDE">
      <w:pPr>
        <w:pStyle w:val="ListParagraph"/>
        <w:numPr>
          <w:ilvl w:val="0"/>
          <w:numId w:val="29"/>
        </w:numPr>
      </w:pPr>
      <w:r w:rsidRPr="00292D9C">
        <w:t>Australian Digital Technologies Challenges and Dive into Code</w:t>
      </w:r>
    </w:p>
    <w:p w14:paraId="0D1665EB" w14:textId="77777777" w:rsidR="00DA3A10" w:rsidRPr="00292D9C" w:rsidRDefault="00DA3A10" w:rsidP="00164DDE">
      <w:pPr>
        <w:pStyle w:val="ListParagraph"/>
        <w:numPr>
          <w:ilvl w:val="0"/>
          <w:numId w:val="29"/>
        </w:numPr>
      </w:pPr>
      <w:proofErr w:type="spellStart"/>
      <w:r w:rsidRPr="00292D9C">
        <w:t>digIT</w:t>
      </w:r>
      <w:proofErr w:type="spellEnd"/>
      <w:r w:rsidRPr="00292D9C">
        <w:t xml:space="preserve"> summer schools </w:t>
      </w:r>
    </w:p>
    <w:p w14:paraId="2F509CBF" w14:textId="77777777" w:rsidR="00DA3A10" w:rsidRPr="00292D9C" w:rsidRDefault="00DA3A10" w:rsidP="00164DDE">
      <w:pPr>
        <w:pStyle w:val="ListParagraph"/>
        <w:numPr>
          <w:ilvl w:val="0"/>
          <w:numId w:val="29"/>
        </w:numPr>
      </w:pPr>
      <w:r w:rsidRPr="00292D9C">
        <w:t xml:space="preserve">Principals as STEM leaders </w:t>
      </w:r>
    </w:p>
    <w:p w14:paraId="429A23F4" w14:textId="77777777" w:rsidR="00DA3A10" w:rsidRPr="00292D9C" w:rsidRDefault="00DA3A10" w:rsidP="00164DDE">
      <w:pPr>
        <w:pStyle w:val="ListParagraph"/>
        <w:numPr>
          <w:ilvl w:val="0"/>
          <w:numId w:val="29"/>
        </w:numPr>
      </w:pPr>
      <w:r w:rsidRPr="00292D9C">
        <w:t>Science ASSIST Advisory Service</w:t>
      </w:r>
    </w:p>
    <w:p w14:paraId="2E6215F1" w14:textId="77777777" w:rsidR="007A5658" w:rsidRPr="00292D9C" w:rsidRDefault="007A5658" w:rsidP="00164DDE">
      <w:pPr>
        <w:pStyle w:val="ListParagraph"/>
        <w:numPr>
          <w:ilvl w:val="0"/>
          <w:numId w:val="29"/>
        </w:numPr>
      </w:pPr>
      <w:r w:rsidRPr="00292D9C">
        <w:t>Curious Minds summer school for girls</w:t>
      </w:r>
    </w:p>
    <w:p w14:paraId="03F09147" w14:textId="77777777" w:rsidR="007A5658" w:rsidRDefault="007A5658" w:rsidP="00164DDE">
      <w:pPr>
        <w:pStyle w:val="ListParagraph"/>
        <w:numPr>
          <w:ilvl w:val="0"/>
          <w:numId w:val="29"/>
        </w:numPr>
      </w:pPr>
      <w:r w:rsidRPr="00292D9C">
        <w:t>Primary Connections: Linking Science with Literacy</w:t>
      </w:r>
    </w:p>
    <w:p w14:paraId="3F01F249" w14:textId="77777777" w:rsidR="00D206F0" w:rsidRPr="00292D9C" w:rsidRDefault="00D206F0" w:rsidP="00164DDE">
      <w:pPr>
        <w:pStyle w:val="ListParagraph"/>
        <w:numPr>
          <w:ilvl w:val="0"/>
          <w:numId w:val="29"/>
        </w:numPr>
      </w:pPr>
      <w:r>
        <w:t>Science by Doing</w:t>
      </w:r>
    </w:p>
    <w:p w14:paraId="48B8BBC7" w14:textId="77777777" w:rsidR="007A5658" w:rsidRPr="00292D9C" w:rsidRDefault="007A5658" w:rsidP="00164DDE">
      <w:pPr>
        <w:pStyle w:val="ListParagraph"/>
        <w:numPr>
          <w:ilvl w:val="0"/>
          <w:numId w:val="29"/>
        </w:numPr>
      </w:pPr>
      <w:proofErr w:type="spellStart"/>
      <w:r w:rsidRPr="00292D9C">
        <w:t>reSolve</w:t>
      </w:r>
      <w:proofErr w:type="spellEnd"/>
      <w:r w:rsidRPr="00292D9C">
        <w:t>: Mathematics by Inquiry</w:t>
      </w:r>
    </w:p>
    <w:p w14:paraId="7208924A" w14:textId="77777777" w:rsidR="007A5658" w:rsidRPr="00292D9C" w:rsidRDefault="007A5658" w:rsidP="00164DDE">
      <w:pPr>
        <w:pStyle w:val="ListParagraph"/>
        <w:numPr>
          <w:ilvl w:val="0"/>
          <w:numId w:val="29"/>
        </w:numPr>
      </w:pPr>
      <w:r w:rsidRPr="00292D9C">
        <w:t xml:space="preserve">Early Learning STEM Australia (ELSA) Pilot </w:t>
      </w:r>
    </w:p>
    <w:p w14:paraId="4DE10849" w14:textId="77777777" w:rsidR="007A5658" w:rsidRPr="00292D9C" w:rsidRDefault="007A5658" w:rsidP="00164DDE">
      <w:pPr>
        <w:pStyle w:val="ListParagraph"/>
        <w:numPr>
          <w:ilvl w:val="0"/>
          <w:numId w:val="29"/>
        </w:numPr>
      </w:pPr>
      <w:r w:rsidRPr="00292D9C">
        <w:t xml:space="preserve">Let’s Count </w:t>
      </w:r>
    </w:p>
    <w:p w14:paraId="4D07A578" w14:textId="77777777" w:rsidR="007A5658" w:rsidRPr="00292D9C" w:rsidRDefault="007A5658" w:rsidP="00164DDE">
      <w:pPr>
        <w:pStyle w:val="ListParagraph"/>
        <w:numPr>
          <w:ilvl w:val="0"/>
          <w:numId w:val="29"/>
        </w:numPr>
      </w:pPr>
      <w:r w:rsidRPr="00292D9C">
        <w:t xml:space="preserve">Little Scientists </w:t>
      </w:r>
    </w:p>
    <w:p w14:paraId="3963DB57" w14:textId="77777777" w:rsidR="008260AE" w:rsidRPr="00292D9C" w:rsidRDefault="003771D7" w:rsidP="00A616D5">
      <w:r w:rsidRPr="00292D9C">
        <w:rPr>
          <w:szCs w:val="22"/>
        </w:rPr>
        <w:t xml:space="preserve">Teachers, principals, students and industry have now been engaging with </w:t>
      </w:r>
      <w:r w:rsidR="00D206F0">
        <w:rPr>
          <w:szCs w:val="22"/>
        </w:rPr>
        <w:t xml:space="preserve">most of </w:t>
      </w:r>
      <w:r w:rsidRPr="00292D9C">
        <w:rPr>
          <w:szCs w:val="22"/>
        </w:rPr>
        <w:t xml:space="preserve">these initiatives for </w:t>
      </w:r>
      <w:r w:rsidR="00D206F0">
        <w:rPr>
          <w:szCs w:val="22"/>
        </w:rPr>
        <w:t>at least</w:t>
      </w:r>
      <w:r w:rsidR="00D206F0" w:rsidRPr="00292D9C">
        <w:rPr>
          <w:szCs w:val="22"/>
        </w:rPr>
        <w:t xml:space="preserve"> </w:t>
      </w:r>
      <w:r w:rsidRPr="00292D9C">
        <w:rPr>
          <w:szCs w:val="22"/>
        </w:rPr>
        <w:t>three years</w:t>
      </w:r>
      <w:r w:rsidR="00D206F0">
        <w:rPr>
          <w:szCs w:val="22"/>
        </w:rPr>
        <w:t xml:space="preserve"> (noting some are continuations of previously funded programs)</w:t>
      </w:r>
      <w:r w:rsidR="00A232DD" w:rsidRPr="00292D9C">
        <w:t xml:space="preserve">. The Department wants to </w:t>
      </w:r>
      <w:r w:rsidRPr="00292D9C">
        <w:t xml:space="preserve">understand </w:t>
      </w:r>
      <w:r w:rsidR="00A232DD" w:rsidRPr="00292D9C">
        <w:t>what the impact of these initiatives has been — individually and as a package of initiatives</w:t>
      </w:r>
      <w:r w:rsidR="00633853" w:rsidRPr="00292D9C">
        <w:t xml:space="preserve"> </w:t>
      </w:r>
      <w:r w:rsidR="00A232DD" w:rsidRPr="00292D9C">
        <w:t xml:space="preserve">— and has commissioned </w:t>
      </w:r>
      <w:proofErr w:type="spellStart"/>
      <w:r w:rsidR="00A232DD" w:rsidRPr="00292D9C">
        <w:t>dandolo</w:t>
      </w:r>
      <w:proofErr w:type="spellEnd"/>
      <w:r w:rsidR="00A232DD" w:rsidRPr="00292D9C">
        <w:t xml:space="preserve"> partners to conduct an evaluation that provides a sound evidence base for future decisions about support for STEM teaching and learning in schools and the early years. </w:t>
      </w:r>
    </w:p>
    <w:p w14:paraId="46E25DEA" w14:textId="77777777" w:rsidR="00160BA8" w:rsidRPr="00292D9C" w:rsidRDefault="00160BA8" w:rsidP="00A616D5">
      <w:pPr>
        <w:rPr>
          <w:szCs w:val="22"/>
        </w:rPr>
      </w:pPr>
      <w:r w:rsidRPr="00292D9C">
        <w:rPr>
          <w:szCs w:val="22"/>
        </w:rPr>
        <w:t xml:space="preserve">This report is structured in </w:t>
      </w:r>
      <w:r w:rsidR="005B3A6B" w:rsidRPr="00292D9C">
        <w:rPr>
          <w:szCs w:val="22"/>
        </w:rPr>
        <w:t>six</w:t>
      </w:r>
      <w:r w:rsidRPr="00292D9C">
        <w:rPr>
          <w:szCs w:val="22"/>
        </w:rPr>
        <w:t xml:space="preserve"> major sections</w:t>
      </w:r>
      <w:r w:rsidR="008260AE" w:rsidRPr="00292D9C">
        <w:rPr>
          <w:szCs w:val="22"/>
        </w:rPr>
        <w:t>:</w:t>
      </w:r>
    </w:p>
    <w:tbl>
      <w:tblPr>
        <w:tblStyle w:val="TableGrid"/>
        <w:tblW w:w="9395" w:type="dxa"/>
        <w:tblLook w:val="04A0" w:firstRow="1" w:lastRow="0" w:firstColumn="1" w:lastColumn="0" w:noHBand="0" w:noVBand="1"/>
      </w:tblPr>
      <w:tblGrid>
        <w:gridCol w:w="2197"/>
        <w:gridCol w:w="7198"/>
      </w:tblGrid>
      <w:tr w:rsidR="00160BA8" w:rsidRPr="00292D9C" w14:paraId="41CF3C57" w14:textId="77777777" w:rsidTr="00160BA8">
        <w:trPr>
          <w:trHeight w:val="367"/>
        </w:trPr>
        <w:tc>
          <w:tcPr>
            <w:tcW w:w="9395" w:type="dxa"/>
            <w:gridSpan w:val="2"/>
            <w:shd w:val="clear" w:color="auto" w:fill="931B2F" w:themeFill="accent1"/>
          </w:tcPr>
          <w:p w14:paraId="7539B485" w14:textId="77777777" w:rsidR="00160BA8" w:rsidRPr="00292D9C" w:rsidRDefault="00160BA8" w:rsidP="00A616D5">
            <w:pPr>
              <w:rPr>
                <w:szCs w:val="22"/>
              </w:rPr>
            </w:pPr>
            <w:r w:rsidRPr="00292D9C">
              <w:rPr>
                <w:color w:val="FFFFFF" w:themeColor="background1"/>
                <w:szCs w:val="22"/>
              </w:rPr>
              <w:t xml:space="preserve">This report  </w:t>
            </w:r>
          </w:p>
        </w:tc>
      </w:tr>
      <w:tr w:rsidR="00160BA8" w:rsidRPr="00292D9C" w14:paraId="755A6E11" w14:textId="77777777" w:rsidTr="005B3A6B">
        <w:trPr>
          <w:trHeight w:val="395"/>
        </w:trPr>
        <w:tc>
          <w:tcPr>
            <w:tcW w:w="2197" w:type="dxa"/>
          </w:tcPr>
          <w:p w14:paraId="464AB058" w14:textId="77777777" w:rsidR="00160BA8" w:rsidRPr="00292D9C" w:rsidRDefault="00160BA8" w:rsidP="00A616D5">
            <w:pPr>
              <w:rPr>
                <w:b/>
                <w:bCs/>
                <w:szCs w:val="22"/>
              </w:rPr>
            </w:pPr>
            <w:r w:rsidRPr="00292D9C">
              <w:rPr>
                <w:b/>
                <w:bCs/>
                <w:szCs w:val="22"/>
              </w:rPr>
              <w:t>Section 1</w:t>
            </w:r>
          </w:p>
        </w:tc>
        <w:tc>
          <w:tcPr>
            <w:tcW w:w="7198" w:type="dxa"/>
          </w:tcPr>
          <w:p w14:paraId="3A5BF889" w14:textId="77777777" w:rsidR="00160BA8" w:rsidRPr="00292D9C" w:rsidRDefault="00160BA8" w:rsidP="00A616D5">
            <w:pPr>
              <w:rPr>
                <w:szCs w:val="22"/>
              </w:rPr>
            </w:pPr>
            <w:r w:rsidRPr="00292D9C">
              <w:rPr>
                <w:szCs w:val="22"/>
              </w:rPr>
              <w:t xml:space="preserve">Approach to this evaluation </w:t>
            </w:r>
          </w:p>
        </w:tc>
      </w:tr>
      <w:tr w:rsidR="00160BA8" w:rsidRPr="00292D9C" w14:paraId="5F9F3C6B" w14:textId="77777777" w:rsidTr="005B3A6B">
        <w:trPr>
          <w:trHeight w:val="303"/>
        </w:trPr>
        <w:tc>
          <w:tcPr>
            <w:tcW w:w="2197" w:type="dxa"/>
          </w:tcPr>
          <w:p w14:paraId="293D7B43" w14:textId="77777777" w:rsidR="00160BA8" w:rsidRPr="00292D9C" w:rsidRDefault="00160BA8" w:rsidP="00A616D5">
            <w:pPr>
              <w:rPr>
                <w:b/>
                <w:bCs/>
                <w:szCs w:val="22"/>
              </w:rPr>
            </w:pPr>
            <w:r w:rsidRPr="00292D9C">
              <w:rPr>
                <w:b/>
                <w:bCs/>
                <w:szCs w:val="22"/>
              </w:rPr>
              <w:t>Section 2</w:t>
            </w:r>
          </w:p>
        </w:tc>
        <w:tc>
          <w:tcPr>
            <w:tcW w:w="7198" w:type="dxa"/>
          </w:tcPr>
          <w:p w14:paraId="36AE8132" w14:textId="77777777" w:rsidR="00160BA8" w:rsidRPr="00292D9C" w:rsidRDefault="00160BA8" w:rsidP="00A616D5">
            <w:pPr>
              <w:rPr>
                <w:szCs w:val="22"/>
              </w:rPr>
            </w:pPr>
            <w:r w:rsidRPr="00292D9C">
              <w:rPr>
                <w:szCs w:val="22"/>
              </w:rPr>
              <w:t xml:space="preserve">An overview of STEM education </w:t>
            </w:r>
          </w:p>
        </w:tc>
      </w:tr>
      <w:tr w:rsidR="00160BA8" w:rsidRPr="00292D9C" w14:paraId="180810B2" w14:textId="77777777" w:rsidTr="005B3A6B">
        <w:trPr>
          <w:trHeight w:val="304"/>
        </w:trPr>
        <w:tc>
          <w:tcPr>
            <w:tcW w:w="2197" w:type="dxa"/>
          </w:tcPr>
          <w:p w14:paraId="7ADDCC3B" w14:textId="77777777" w:rsidR="00160BA8" w:rsidRPr="00292D9C" w:rsidRDefault="00160BA8" w:rsidP="00A616D5">
            <w:pPr>
              <w:rPr>
                <w:b/>
                <w:bCs/>
                <w:szCs w:val="22"/>
              </w:rPr>
            </w:pPr>
            <w:r w:rsidRPr="00292D9C">
              <w:rPr>
                <w:b/>
                <w:bCs/>
                <w:szCs w:val="22"/>
              </w:rPr>
              <w:t xml:space="preserve">Section </w:t>
            </w:r>
            <w:r w:rsidR="005B3A6B" w:rsidRPr="00292D9C">
              <w:rPr>
                <w:b/>
                <w:bCs/>
                <w:szCs w:val="22"/>
              </w:rPr>
              <w:t>3</w:t>
            </w:r>
          </w:p>
        </w:tc>
        <w:tc>
          <w:tcPr>
            <w:tcW w:w="7198" w:type="dxa"/>
          </w:tcPr>
          <w:p w14:paraId="29F0DAD6" w14:textId="77777777" w:rsidR="00160BA8" w:rsidRPr="00292D9C" w:rsidRDefault="00160BA8" w:rsidP="00A616D5">
            <w:pPr>
              <w:rPr>
                <w:szCs w:val="22"/>
              </w:rPr>
            </w:pPr>
            <w:r w:rsidRPr="00292D9C">
              <w:rPr>
                <w:szCs w:val="22"/>
              </w:rPr>
              <w:t xml:space="preserve">Findings on NISA initiatives in aggregate </w:t>
            </w:r>
          </w:p>
        </w:tc>
      </w:tr>
      <w:tr w:rsidR="00160BA8" w:rsidRPr="00292D9C" w14:paraId="4BFB54A2" w14:textId="77777777" w:rsidTr="005B3A6B">
        <w:trPr>
          <w:trHeight w:val="225"/>
        </w:trPr>
        <w:tc>
          <w:tcPr>
            <w:tcW w:w="2197" w:type="dxa"/>
          </w:tcPr>
          <w:p w14:paraId="0875450C" w14:textId="77777777" w:rsidR="00160BA8" w:rsidRPr="00292D9C" w:rsidRDefault="00160BA8" w:rsidP="00A616D5">
            <w:pPr>
              <w:rPr>
                <w:b/>
                <w:bCs/>
                <w:szCs w:val="22"/>
              </w:rPr>
            </w:pPr>
            <w:r w:rsidRPr="00292D9C">
              <w:rPr>
                <w:b/>
                <w:bCs/>
                <w:szCs w:val="22"/>
              </w:rPr>
              <w:t xml:space="preserve">Section </w:t>
            </w:r>
            <w:r w:rsidR="005B3A6B" w:rsidRPr="00292D9C">
              <w:rPr>
                <w:b/>
                <w:bCs/>
                <w:szCs w:val="22"/>
              </w:rPr>
              <w:t>4</w:t>
            </w:r>
          </w:p>
        </w:tc>
        <w:tc>
          <w:tcPr>
            <w:tcW w:w="7198" w:type="dxa"/>
          </w:tcPr>
          <w:p w14:paraId="15E6A2AC" w14:textId="77777777" w:rsidR="00160BA8" w:rsidRPr="00292D9C" w:rsidRDefault="00160BA8" w:rsidP="00A616D5">
            <w:pPr>
              <w:rPr>
                <w:szCs w:val="22"/>
              </w:rPr>
            </w:pPr>
            <w:r w:rsidRPr="00292D9C">
              <w:rPr>
                <w:szCs w:val="22"/>
              </w:rPr>
              <w:t xml:space="preserve">Changes in the operating environment </w:t>
            </w:r>
          </w:p>
        </w:tc>
      </w:tr>
      <w:tr w:rsidR="00160BA8" w:rsidRPr="00292D9C" w14:paraId="051EE13C" w14:textId="77777777" w:rsidTr="005B3A6B">
        <w:trPr>
          <w:trHeight w:val="289"/>
        </w:trPr>
        <w:tc>
          <w:tcPr>
            <w:tcW w:w="2197" w:type="dxa"/>
          </w:tcPr>
          <w:p w14:paraId="03EAB4E1" w14:textId="77777777" w:rsidR="00160BA8" w:rsidRPr="00292D9C" w:rsidRDefault="00160BA8" w:rsidP="00A616D5">
            <w:pPr>
              <w:rPr>
                <w:b/>
                <w:bCs/>
                <w:szCs w:val="22"/>
              </w:rPr>
            </w:pPr>
            <w:r w:rsidRPr="00292D9C">
              <w:rPr>
                <w:b/>
                <w:bCs/>
                <w:szCs w:val="22"/>
              </w:rPr>
              <w:t xml:space="preserve">Section </w:t>
            </w:r>
            <w:r w:rsidR="005B3A6B" w:rsidRPr="00292D9C">
              <w:rPr>
                <w:b/>
                <w:bCs/>
                <w:szCs w:val="22"/>
              </w:rPr>
              <w:t>5</w:t>
            </w:r>
          </w:p>
        </w:tc>
        <w:tc>
          <w:tcPr>
            <w:tcW w:w="7198" w:type="dxa"/>
          </w:tcPr>
          <w:p w14:paraId="5E29D009" w14:textId="77777777" w:rsidR="00160BA8" w:rsidRPr="00292D9C" w:rsidRDefault="00160BA8" w:rsidP="00A616D5">
            <w:pPr>
              <w:rPr>
                <w:szCs w:val="22"/>
              </w:rPr>
            </w:pPr>
            <w:r w:rsidRPr="00292D9C">
              <w:rPr>
                <w:szCs w:val="22"/>
              </w:rPr>
              <w:t xml:space="preserve">Approach to recommendations </w:t>
            </w:r>
          </w:p>
        </w:tc>
      </w:tr>
      <w:tr w:rsidR="00160BA8" w:rsidRPr="00292D9C" w14:paraId="461EDCA9" w14:textId="77777777" w:rsidTr="005B3A6B">
        <w:trPr>
          <w:trHeight w:val="367"/>
        </w:trPr>
        <w:tc>
          <w:tcPr>
            <w:tcW w:w="2197" w:type="dxa"/>
          </w:tcPr>
          <w:p w14:paraId="0CB366DC" w14:textId="77777777" w:rsidR="00160BA8" w:rsidRPr="00292D9C" w:rsidRDefault="00160BA8" w:rsidP="00A616D5">
            <w:pPr>
              <w:rPr>
                <w:b/>
                <w:bCs/>
                <w:szCs w:val="22"/>
              </w:rPr>
            </w:pPr>
            <w:r w:rsidRPr="00292D9C">
              <w:rPr>
                <w:b/>
                <w:bCs/>
                <w:szCs w:val="22"/>
              </w:rPr>
              <w:t xml:space="preserve">Section </w:t>
            </w:r>
            <w:r w:rsidR="005B3A6B" w:rsidRPr="00292D9C">
              <w:rPr>
                <w:b/>
                <w:bCs/>
                <w:szCs w:val="22"/>
              </w:rPr>
              <w:t>6</w:t>
            </w:r>
          </w:p>
        </w:tc>
        <w:tc>
          <w:tcPr>
            <w:tcW w:w="7198" w:type="dxa"/>
          </w:tcPr>
          <w:p w14:paraId="597DB1E7" w14:textId="77777777" w:rsidR="00160BA8" w:rsidRPr="00292D9C" w:rsidRDefault="00160BA8" w:rsidP="00A616D5">
            <w:pPr>
              <w:rPr>
                <w:szCs w:val="22"/>
              </w:rPr>
            </w:pPr>
            <w:r w:rsidRPr="00292D9C">
              <w:rPr>
                <w:szCs w:val="22"/>
              </w:rPr>
              <w:t xml:space="preserve">Recommendations </w:t>
            </w:r>
          </w:p>
        </w:tc>
      </w:tr>
    </w:tbl>
    <w:p w14:paraId="29040EE5" w14:textId="77777777" w:rsidR="00160BA8" w:rsidRPr="00292D9C" w:rsidRDefault="00160BA8" w:rsidP="00A616D5">
      <w:pPr>
        <w:rPr>
          <w:szCs w:val="22"/>
        </w:rPr>
      </w:pPr>
    </w:p>
    <w:p w14:paraId="1BBC3651" w14:textId="77777777" w:rsidR="007A5658" w:rsidRPr="00292D9C" w:rsidRDefault="005B3A6B" w:rsidP="00A616D5">
      <w:pPr>
        <w:rPr>
          <w:szCs w:val="22"/>
        </w:rPr>
      </w:pPr>
      <w:r w:rsidRPr="00292D9C">
        <w:rPr>
          <w:szCs w:val="22"/>
        </w:rPr>
        <w:t xml:space="preserve">Detailed information on funding and evaluations of individual initiatives </w:t>
      </w:r>
      <w:r w:rsidR="00871F91">
        <w:rPr>
          <w:szCs w:val="22"/>
        </w:rPr>
        <w:t>is</w:t>
      </w:r>
      <w:r w:rsidRPr="00292D9C">
        <w:rPr>
          <w:szCs w:val="22"/>
        </w:rPr>
        <w:t xml:space="preserve"> provided in the Appendix. </w:t>
      </w:r>
    </w:p>
    <w:p w14:paraId="1E7C9413" w14:textId="77777777" w:rsidR="007A5658" w:rsidRPr="00292D9C" w:rsidRDefault="007A5658" w:rsidP="00A616D5">
      <w:pPr>
        <w:rPr>
          <w:szCs w:val="22"/>
        </w:rPr>
      </w:pPr>
    </w:p>
    <w:p w14:paraId="2C495DCB" w14:textId="77777777" w:rsidR="007A5658" w:rsidRPr="00292D9C" w:rsidRDefault="007A5658" w:rsidP="00A616D5">
      <w:pPr>
        <w:rPr>
          <w:szCs w:val="22"/>
        </w:rPr>
      </w:pPr>
    </w:p>
    <w:p w14:paraId="159FF3C4" w14:textId="77777777" w:rsidR="007A5658" w:rsidRPr="00292D9C" w:rsidRDefault="007A5658" w:rsidP="00A616D5">
      <w:pPr>
        <w:rPr>
          <w:szCs w:val="22"/>
        </w:rPr>
      </w:pPr>
    </w:p>
    <w:p w14:paraId="34575077" w14:textId="77777777" w:rsidR="007A5658" w:rsidRPr="00292D9C" w:rsidRDefault="007A5658" w:rsidP="00A616D5">
      <w:pPr>
        <w:rPr>
          <w:szCs w:val="22"/>
        </w:rPr>
      </w:pPr>
    </w:p>
    <w:p w14:paraId="14B6A9CB" w14:textId="77777777" w:rsidR="007A5658" w:rsidRPr="00292D9C" w:rsidRDefault="007A5658" w:rsidP="00A616D5">
      <w:pPr>
        <w:rPr>
          <w:szCs w:val="22"/>
        </w:rPr>
      </w:pPr>
    </w:p>
    <w:p w14:paraId="3E9C8BF1" w14:textId="77777777" w:rsidR="007A5658" w:rsidRPr="00292D9C" w:rsidRDefault="007A5658" w:rsidP="00A616D5">
      <w:pPr>
        <w:rPr>
          <w:szCs w:val="22"/>
        </w:rPr>
      </w:pPr>
    </w:p>
    <w:p w14:paraId="16B16310" w14:textId="77777777" w:rsidR="007A5658" w:rsidRPr="00292D9C" w:rsidRDefault="007A5658" w:rsidP="00A616D5">
      <w:pPr>
        <w:rPr>
          <w:szCs w:val="22"/>
        </w:rPr>
      </w:pPr>
    </w:p>
    <w:p w14:paraId="2E320D5E" w14:textId="77777777" w:rsidR="00A36D25" w:rsidRPr="00292D9C" w:rsidRDefault="00A36D25" w:rsidP="00A616D5">
      <w:pPr>
        <w:rPr>
          <w:szCs w:val="22"/>
        </w:rPr>
      </w:pPr>
    </w:p>
    <w:p w14:paraId="51379D99" w14:textId="77777777" w:rsidR="00A36D25" w:rsidRPr="00292D9C" w:rsidRDefault="00A36D25" w:rsidP="00A616D5">
      <w:pPr>
        <w:rPr>
          <w:szCs w:val="22"/>
        </w:rPr>
      </w:pPr>
    </w:p>
    <w:p w14:paraId="5DA5D73D" w14:textId="77777777" w:rsidR="00DF5050" w:rsidRPr="00292D9C" w:rsidRDefault="00DF5050" w:rsidP="00A616D5"/>
    <w:p w14:paraId="3E3F2523" w14:textId="77777777" w:rsidR="00DE5FF6" w:rsidRPr="00292D9C" w:rsidRDefault="00DE5FF6">
      <w:pPr>
        <w:spacing w:after="240" w:line="240" w:lineRule="auto"/>
        <w:rPr>
          <w:rFonts w:cs="Century Gothic"/>
          <w:color w:val="931B2F" w:themeColor="background2"/>
          <w:sz w:val="54"/>
        </w:rPr>
      </w:pPr>
      <w:r w:rsidRPr="00292D9C">
        <w:br w:type="page"/>
      </w:r>
    </w:p>
    <w:p w14:paraId="178091B9" w14:textId="77777777" w:rsidR="00C47BE9" w:rsidRPr="00292D9C" w:rsidRDefault="00C47BE9" w:rsidP="00A616D5">
      <w:pPr>
        <w:pStyle w:val="Heading1"/>
        <w:spacing w:before="0" w:after="120" w:line="360" w:lineRule="auto"/>
        <w:rPr>
          <w:rFonts w:asciiTheme="minorHAnsi" w:hAnsiTheme="minorHAnsi"/>
        </w:rPr>
      </w:pPr>
      <w:bookmarkStart w:id="32" w:name="_Toc25162036"/>
      <w:r w:rsidRPr="00292D9C">
        <w:rPr>
          <w:rFonts w:asciiTheme="minorHAnsi" w:hAnsiTheme="minorHAnsi"/>
        </w:rPr>
        <w:t>Approach to this evaluation</w:t>
      </w:r>
      <w:bookmarkEnd w:id="32"/>
    </w:p>
    <w:p w14:paraId="3A633029" w14:textId="77777777" w:rsidR="008516CE" w:rsidRPr="00292D9C" w:rsidRDefault="008516CE" w:rsidP="00A616D5">
      <w:pPr>
        <w:rPr>
          <w:szCs w:val="22"/>
        </w:rPr>
      </w:pPr>
      <w:r w:rsidRPr="00292D9C">
        <w:rPr>
          <w:szCs w:val="22"/>
        </w:rPr>
        <w:t xml:space="preserve">We conducted </w:t>
      </w:r>
      <w:r w:rsidR="000B6BC2">
        <w:rPr>
          <w:szCs w:val="22"/>
        </w:rPr>
        <w:t xml:space="preserve">an </w:t>
      </w:r>
      <w:r w:rsidRPr="00292D9C">
        <w:rPr>
          <w:szCs w:val="22"/>
        </w:rPr>
        <w:t xml:space="preserve"> individual evaluation for each NISA</w:t>
      </w:r>
      <w:r w:rsidR="00112770">
        <w:rPr>
          <w:szCs w:val="22"/>
        </w:rPr>
        <w:t>-funded</w:t>
      </w:r>
      <w:r w:rsidRPr="00292D9C">
        <w:rPr>
          <w:szCs w:val="22"/>
        </w:rPr>
        <w:t xml:space="preserve"> initiative</w:t>
      </w:r>
      <w:r w:rsidR="000B6BC2">
        <w:rPr>
          <w:szCs w:val="22"/>
        </w:rPr>
        <w:t xml:space="preserve"> (15 in total)</w:t>
      </w:r>
      <w:r w:rsidRPr="00292D9C">
        <w:rPr>
          <w:szCs w:val="22"/>
        </w:rPr>
        <w:t>, and an overall evaluation for the initiatives as a package. This section describes our approach to this process.</w:t>
      </w:r>
    </w:p>
    <w:p w14:paraId="0A3B7974" w14:textId="77777777" w:rsidR="008516CE" w:rsidRPr="00292D9C" w:rsidRDefault="00921474" w:rsidP="00A616D5">
      <w:pPr>
        <w:pStyle w:val="Heading3Normal"/>
        <w:spacing w:before="0" w:after="120"/>
        <w:rPr>
          <w:rFonts w:asciiTheme="minorHAnsi" w:hAnsiTheme="minorHAnsi"/>
        </w:rPr>
      </w:pPr>
      <w:r w:rsidRPr="00292D9C">
        <w:rPr>
          <w:rFonts w:asciiTheme="minorHAnsi" w:hAnsiTheme="minorHAnsi"/>
        </w:rPr>
        <w:t>NISA initiatives and their evaluations have diverse goals and approaches</w:t>
      </w:r>
    </w:p>
    <w:p w14:paraId="26AF017A" w14:textId="77777777" w:rsidR="00921474" w:rsidRPr="00292D9C" w:rsidRDefault="00921474" w:rsidP="00A616D5">
      <w:pPr>
        <w:rPr>
          <w:rFonts w:eastAsia="Times New Roman" w:cs="Times New Roman"/>
          <w:color w:val="auto"/>
          <w:szCs w:val="22"/>
          <w:lang w:eastAsia="en-GB"/>
        </w:rPr>
      </w:pPr>
      <w:r w:rsidRPr="00292D9C">
        <w:rPr>
          <w:szCs w:val="22"/>
        </w:rPr>
        <w:t xml:space="preserve">The NISA initiatives represent 15 discrete programs which broadly aim to increase STEM outcomes for students in </w:t>
      </w:r>
      <w:r w:rsidR="00112770">
        <w:rPr>
          <w:szCs w:val="22"/>
        </w:rPr>
        <w:t xml:space="preserve">schools and early years </w:t>
      </w:r>
      <w:r w:rsidRPr="00292D9C">
        <w:rPr>
          <w:szCs w:val="22"/>
        </w:rPr>
        <w:t>education.</w:t>
      </w:r>
      <w:r w:rsidR="00CD2F48" w:rsidRPr="00292D9C">
        <w:rPr>
          <w:rStyle w:val="FootnoteReference"/>
          <w:szCs w:val="22"/>
        </w:rPr>
        <w:footnoteReference w:id="5"/>
      </w:r>
      <w:r w:rsidRPr="00292D9C">
        <w:rPr>
          <w:szCs w:val="22"/>
        </w:rPr>
        <w:t xml:space="preserve"> Each incorporate varying goals</w:t>
      </w:r>
      <w:r w:rsidRPr="00292D9C">
        <w:rPr>
          <w:rFonts w:eastAsia="Times New Roman" w:cs="Times New Roman"/>
          <w:color w:val="auto"/>
          <w:szCs w:val="22"/>
          <w:lang w:eastAsia="en-GB"/>
        </w:rPr>
        <w:t xml:space="preserve"> (e.g. building teacher capacity in inquiry-based maths, to supporting principals to be leaders of STEM in their schools), age groups (e.g. F to 10) and approaches (e.g. online courses, to student camps, to placing STEM professional in schools).</w:t>
      </w:r>
    </w:p>
    <w:p w14:paraId="22D870DA" w14:textId="77777777" w:rsidR="00921474" w:rsidRPr="00292D9C" w:rsidRDefault="00921474" w:rsidP="00A616D5">
      <w:pPr>
        <w:rPr>
          <w:szCs w:val="22"/>
        </w:rPr>
      </w:pPr>
      <w:r w:rsidRPr="00292D9C">
        <w:rPr>
          <w:szCs w:val="22"/>
        </w:rPr>
        <w:t xml:space="preserve">Given the importance of initiatives at an individual level, as well as looking at the wider investment in aggregate, we </w:t>
      </w:r>
      <w:r w:rsidR="00871F91">
        <w:rPr>
          <w:szCs w:val="22"/>
        </w:rPr>
        <w:t xml:space="preserve">utilised </w:t>
      </w:r>
      <w:r w:rsidR="0059119F" w:rsidRPr="00292D9C">
        <w:rPr>
          <w:szCs w:val="22"/>
        </w:rPr>
        <w:t xml:space="preserve">two evaluation approaches. </w:t>
      </w:r>
      <w:r w:rsidRPr="00292D9C">
        <w:rPr>
          <w:szCs w:val="22"/>
        </w:rPr>
        <w:t xml:space="preserve"> </w:t>
      </w:r>
    </w:p>
    <w:p w14:paraId="646E1244" w14:textId="77777777" w:rsidR="00921474" w:rsidRPr="00292D9C" w:rsidRDefault="001D7C6E" w:rsidP="00A616D5">
      <w:pPr>
        <w:pStyle w:val="Heading3Normal"/>
        <w:spacing w:before="0" w:after="120"/>
        <w:rPr>
          <w:rFonts w:asciiTheme="minorHAnsi" w:hAnsiTheme="minorHAnsi"/>
        </w:rPr>
      </w:pPr>
      <w:r w:rsidRPr="00292D9C">
        <w:rPr>
          <w:rFonts w:asciiTheme="minorHAnsi" w:hAnsiTheme="minorHAnsi"/>
        </w:rPr>
        <w:t xml:space="preserve">We conducted two separate kinds of evaluations to appreciate the individual and wider impact of the NISA initiatives </w:t>
      </w:r>
    </w:p>
    <w:p w14:paraId="6DBFA7F2" w14:textId="77777777" w:rsidR="00921474" w:rsidRPr="00292D9C" w:rsidRDefault="00DE5FF6" w:rsidP="00A616D5">
      <w:r w:rsidRPr="00292D9C">
        <w:rPr>
          <w:szCs w:val="22"/>
        </w:rPr>
        <w:t xml:space="preserve">In addition to establishing impact between different kinds of initiatives, </w:t>
      </w:r>
      <w:proofErr w:type="spellStart"/>
      <w:r w:rsidRPr="00292D9C">
        <w:rPr>
          <w:szCs w:val="22"/>
        </w:rPr>
        <w:t>dandolo</w:t>
      </w:r>
      <w:proofErr w:type="spellEnd"/>
      <w:r w:rsidRPr="00292D9C">
        <w:rPr>
          <w:szCs w:val="22"/>
        </w:rPr>
        <w:t xml:space="preserve"> also relied heavily on existing evaluations of NISA initiatives to inform data collection. </w:t>
      </w:r>
      <w:r w:rsidRPr="00292D9C">
        <w:t xml:space="preserve">There are some limitations to this process, for example: </w:t>
      </w:r>
    </w:p>
    <w:p w14:paraId="6C9AE8AC" w14:textId="77777777" w:rsidR="00DE5FF6" w:rsidRPr="00292D9C" w:rsidRDefault="00DE5FF6" w:rsidP="00164DDE">
      <w:pPr>
        <w:pStyle w:val="ListParagraph"/>
        <w:numPr>
          <w:ilvl w:val="0"/>
          <w:numId w:val="163"/>
        </w:numPr>
        <w:rPr>
          <w:szCs w:val="22"/>
        </w:rPr>
      </w:pPr>
      <w:r w:rsidRPr="00292D9C">
        <w:rPr>
          <w:szCs w:val="22"/>
        </w:rPr>
        <w:t xml:space="preserve">Existing evaluations are inconsistent. This means that they each use different measures and language to describe success. </w:t>
      </w:r>
    </w:p>
    <w:p w14:paraId="0DDCEEC5" w14:textId="77777777" w:rsidR="00DE5FF6" w:rsidRPr="00292D9C" w:rsidRDefault="00DE5FF6" w:rsidP="00164DDE">
      <w:pPr>
        <w:pStyle w:val="ListParagraph"/>
        <w:numPr>
          <w:ilvl w:val="0"/>
          <w:numId w:val="163"/>
        </w:numPr>
        <w:rPr>
          <w:szCs w:val="22"/>
        </w:rPr>
      </w:pPr>
      <w:r w:rsidRPr="00292D9C">
        <w:rPr>
          <w:szCs w:val="22"/>
        </w:rPr>
        <w:t xml:space="preserve">Each initiative varies in terms of their goals and approaches. </w:t>
      </w:r>
    </w:p>
    <w:p w14:paraId="6FC0BEC6" w14:textId="77777777" w:rsidR="00DE5FF6" w:rsidRPr="00292D9C" w:rsidRDefault="00DE5FF6" w:rsidP="00164DDE">
      <w:pPr>
        <w:pStyle w:val="ListParagraph"/>
        <w:numPr>
          <w:ilvl w:val="0"/>
          <w:numId w:val="163"/>
        </w:numPr>
        <w:rPr>
          <w:szCs w:val="22"/>
        </w:rPr>
      </w:pPr>
      <w:r w:rsidRPr="00292D9C">
        <w:rPr>
          <w:szCs w:val="22"/>
        </w:rPr>
        <w:t>There is varying reliability of evidence of impact, with most relying on proxy measures</w:t>
      </w:r>
      <w:r w:rsidR="00E6451D">
        <w:rPr>
          <w:szCs w:val="22"/>
        </w:rPr>
        <w:t>.</w:t>
      </w:r>
      <w:r w:rsidRPr="00292D9C">
        <w:rPr>
          <w:szCs w:val="22"/>
        </w:rPr>
        <w:t xml:space="preserve">  </w:t>
      </w:r>
    </w:p>
    <w:p w14:paraId="5063AF82" w14:textId="77777777" w:rsidR="008516CE" w:rsidRPr="00292D9C" w:rsidRDefault="00515BED" w:rsidP="00DE5FF6">
      <w:pPr>
        <w:rPr>
          <w:szCs w:val="22"/>
        </w:rPr>
      </w:pPr>
      <w:r>
        <w:rPr>
          <w:szCs w:val="22"/>
        </w:rPr>
        <w:t xml:space="preserve">Together, these limitations mean that it is difficult to compare the relative success (or otherwise) of the individual initiatives. </w:t>
      </w:r>
      <w:r w:rsidR="00DE5FF6" w:rsidRPr="00292D9C">
        <w:rPr>
          <w:szCs w:val="22"/>
        </w:rPr>
        <w:t xml:space="preserve">Our methodology is described in full below. </w:t>
      </w:r>
    </w:p>
    <w:p w14:paraId="1B50F88D" w14:textId="77777777" w:rsidR="00BA21DC" w:rsidRDefault="00BA21DC">
      <w:pPr>
        <w:spacing w:after="240" w:line="240" w:lineRule="auto"/>
        <w:rPr>
          <w:b/>
          <w:szCs w:val="22"/>
        </w:rPr>
      </w:pPr>
      <w:r>
        <w:rPr>
          <w:szCs w:val="22"/>
        </w:rPr>
        <w:br w:type="page"/>
      </w:r>
    </w:p>
    <w:p w14:paraId="0C5C0966" w14:textId="77777777" w:rsidR="00DE5FF6" w:rsidRPr="00292D9C" w:rsidRDefault="00DE5FF6" w:rsidP="00DE5FF6">
      <w:pPr>
        <w:pStyle w:val="Heading3Normal"/>
        <w:spacing w:before="0" w:after="120"/>
        <w:jc w:val="both"/>
        <w:rPr>
          <w:rFonts w:asciiTheme="minorHAnsi" w:hAnsiTheme="minorHAnsi"/>
          <w:szCs w:val="22"/>
        </w:rPr>
      </w:pPr>
      <w:r w:rsidRPr="00292D9C">
        <w:rPr>
          <w:rFonts w:asciiTheme="minorHAnsi" w:hAnsiTheme="minorHAnsi"/>
          <w:color w:val="000000" w:themeColor="text1"/>
          <w:szCs w:val="22"/>
        </w:rPr>
        <w:t>Figure 3. Methodology to evaluate NISA initiatives</w:t>
      </w:r>
      <w:r w:rsidR="00720FFC">
        <w:rPr>
          <w:rStyle w:val="FootnoteReference"/>
          <w:rFonts w:asciiTheme="minorHAnsi" w:hAnsiTheme="minorHAnsi"/>
          <w:color w:val="000000" w:themeColor="text1"/>
          <w:szCs w:val="22"/>
        </w:rPr>
        <w:footnoteReference w:id="6"/>
      </w:r>
    </w:p>
    <w:tbl>
      <w:tblPr>
        <w:tblStyle w:val="TableGrid"/>
        <w:tblW w:w="11197" w:type="dxa"/>
        <w:tblInd w:w="-856" w:type="dxa"/>
        <w:tblLook w:val="04A0" w:firstRow="1" w:lastRow="0" w:firstColumn="1" w:lastColumn="0" w:noHBand="0" w:noVBand="1"/>
      </w:tblPr>
      <w:tblGrid>
        <w:gridCol w:w="2694"/>
        <w:gridCol w:w="5059"/>
        <w:gridCol w:w="3444"/>
      </w:tblGrid>
      <w:tr w:rsidR="00BA21DC" w:rsidRPr="000B1573" w14:paraId="561EC83C" w14:textId="77777777" w:rsidTr="00112E70">
        <w:trPr>
          <w:trHeight w:val="424"/>
        </w:trPr>
        <w:tc>
          <w:tcPr>
            <w:tcW w:w="2694" w:type="dxa"/>
            <w:tcBorders>
              <w:top w:val="single" w:sz="4" w:space="0" w:color="FFFFFF"/>
              <w:left w:val="single" w:sz="4" w:space="0" w:color="FFFFFF"/>
              <w:right w:val="single" w:sz="4" w:space="0" w:color="FFFFFF"/>
            </w:tcBorders>
            <w:shd w:val="clear" w:color="auto" w:fill="931B2F" w:themeFill="background2"/>
            <w:vAlign w:val="center"/>
          </w:tcPr>
          <w:p w14:paraId="41E14F2B" w14:textId="77777777" w:rsidR="00BA21DC" w:rsidRPr="000B1573" w:rsidRDefault="00BA21DC" w:rsidP="00112E70">
            <w:pPr>
              <w:jc w:val="center"/>
              <w:rPr>
                <w:b/>
                <w:bCs/>
                <w:color w:val="FFFFFF" w:themeColor="background1"/>
                <w:sz w:val="21"/>
                <w:szCs w:val="21"/>
              </w:rPr>
            </w:pPr>
            <w:r w:rsidRPr="000B1573">
              <w:rPr>
                <w:b/>
                <w:bCs/>
                <w:color w:val="FFFFFF" w:themeColor="background1"/>
                <w:sz w:val="21"/>
                <w:szCs w:val="21"/>
              </w:rPr>
              <w:t>Project establishment</w:t>
            </w:r>
          </w:p>
        </w:tc>
        <w:tc>
          <w:tcPr>
            <w:tcW w:w="5059" w:type="dxa"/>
            <w:tcBorders>
              <w:top w:val="single" w:sz="4" w:space="0" w:color="FFFFFF"/>
              <w:left w:val="single" w:sz="4" w:space="0" w:color="FFFFFF"/>
              <w:right w:val="single" w:sz="4" w:space="0" w:color="FFFFFF"/>
            </w:tcBorders>
            <w:shd w:val="clear" w:color="auto" w:fill="931B2F" w:themeFill="background2"/>
            <w:vAlign w:val="center"/>
          </w:tcPr>
          <w:p w14:paraId="7BA6F88A" w14:textId="77777777" w:rsidR="00BA21DC" w:rsidRPr="000B1573" w:rsidRDefault="00BA21DC" w:rsidP="00112E70">
            <w:pPr>
              <w:jc w:val="center"/>
              <w:rPr>
                <w:b/>
                <w:bCs/>
                <w:color w:val="FFFFFF" w:themeColor="background1"/>
                <w:sz w:val="21"/>
                <w:szCs w:val="21"/>
              </w:rPr>
            </w:pPr>
            <w:r w:rsidRPr="000B1573">
              <w:rPr>
                <w:b/>
                <w:bCs/>
                <w:color w:val="FFFFFF" w:themeColor="background1"/>
                <w:sz w:val="21"/>
                <w:szCs w:val="21"/>
              </w:rPr>
              <w:t>Research and field work</w:t>
            </w:r>
          </w:p>
        </w:tc>
        <w:tc>
          <w:tcPr>
            <w:tcW w:w="3444" w:type="dxa"/>
            <w:tcBorders>
              <w:top w:val="single" w:sz="4" w:space="0" w:color="FFFFFF"/>
              <w:left w:val="single" w:sz="4" w:space="0" w:color="FFFFFF"/>
              <w:right w:val="single" w:sz="4" w:space="0" w:color="FFFFFF"/>
            </w:tcBorders>
            <w:shd w:val="clear" w:color="auto" w:fill="931B2F" w:themeFill="background2"/>
            <w:vAlign w:val="center"/>
          </w:tcPr>
          <w:p w14:paraId="4F99B0C1" w14:textId="77777777" w:rsidR="00BA21DC" w:rsidRPr="000B1573" w:rsidRDefault="00BA21DC" w:rsidP="00112E70">
            <w:pPr>
              <w:jc w:val="center"/>
              <w:rPr>
                <w:b/>
                <w:bCs/>
                <w:color w:val="FFFFFF" w:themeColor="background1"/>
                <w:sz w:val="21"/>
                <w:szCs w:val="21"/>
              </w:rPr>
            </w:pPr>
            <w:r w:rsidRPr="000B1573">
              <w:rPr>
                <w:b/>
                <w:bCs/>
                <w:color w:val="FFFFFF" w:themeColor="background1"/>
                <w:sz w:val="21"/>
                <w:szCs w:val="21"/>
              </w:rPr>
              <w:t>Reporting</w:t>
            </w:r>
          </w:p>
        </w:tc>
      </w:tr>
      <w:tr w:rsidR="00BA21DC" w:rsidRPr="000B1573" w14:paraId="72D30A55" w14:textId="77777777" w:rsidTr="00112E70">
        <w:trPr>
          <w:trHeight w:val="824"/>
        </w:trPr>
        <w:tc>
          <w:tcPr>
            <w:tcW w:w="2694" w:type="dxa"/>
          </w:tcPr>
          <w:p w14:paraId="75F483C1" w14:textId="0E173E9F" w:rsidR="00BA21DC" w:rsidRPr="000B1573" w:rsidRDefault="00BA21DC" w:rsidP="00112E70">
            <w:pPr>
              <w:spacing w:line="276" w:lineRule="auto"/>
              <w:rPr>
                <w:b/>
                <w:bCs/>
                <w:sz w:val="21"/>
                <w:szCs w:val="21"/>
                <w:lang w:val="en-US"/>
              </w:rPr>
            </w:pPr>
            <w:r w:rsidRPr="000B1573">
              <w:rPr>
                <w:b/>
                <w:bCs/>
                <w:sz w:val="21"/>
                <w:szCs w:val="21"/>
                <w:lang w:val="en-US"/>
              </w:rPr>
              <w:t>Project</w:t>
            </w:r>
            <w:r w:rsidR="00854CB9">
              <w:rPr>
                <w:b/>
                <w:bCs/>
                <w:sz w:val="21"/>
                <w:szCs w:val="21"/>
                <w:lang w:val="en-US"/>
              </w:rPr>
              <w:t xml:space="preserve"> </w:t>
            </w:r>
            <w:r w:rsidRPr="000B1573">
              <w:rPr>
                <w:b/>
                <w:bCs/>
                <w:sz w:val="21"/>
                <w:szCs w:val="21"/>
                <w:lang w:val="en-US"/>
              </w:rPr>
              <w:t>initiation</w:t>
            </w:r>
          </w:p>
          <w:p w14:paraId="406F7AC6" w14:textId="77777777" w:rsidR="00BA21DC" w:rsidRPr="000B1573" w:rsidRDefault="00BA21DC" w:rsidP="00164DDE">
            <w:pPr>
              <w:pStyle w:val="ListParagraph"/>
              <w:numPr>
                <w:ilvl w:val="0"/>
                <w:numId w:val="169"/>
              </w:numPr>
              <w:spacing w:after="0" w:line="276" w:lineRule="auto"/>
              <w:rPr>
                <w:sz w:val="21"/>
                <w:szCs w:val="21"/>
                <w:lang w:val="en-US"/>
              </w:rPr>
            </w:pPr>
            <w:r w:rsidRPr="000B1573">
              <w:rPr>
                <w:sz w:val="21"/>
                <w:szCs w:val="21"/>
                <w:lang w:val="en-US"/>
              </w:rPr>
              <w:t>Inception meeting to agree on project objectives and scope</w:t>
            </w:r>
          </w:p>
          <w:p w14:paraId="0FC5DAEB" w14:textId="77777777" w:rsidR="00BA21DC" w:rsidRPr="000B1573" w:rsidRDefault="00BA21DC" w:rsidP="00164DDE">
            <w:pPr>
              <w:pStyle w:val="ListParagraph"/>
              <w:numPr>
                <w:ilvl w:val="0"/>
                <w:numId w:val="169"/>
              </w:numPr>
              <w:spacing w:after="0" w:line="276" w:lineRule="auto"/>
              <w:rPr>
                <w:sz w:val="21"/>
                <w:szCs w:val="21"/>
                <w:lang w:val="en-US"/>
              </w:rPr>
            </w:pPr>
            <w:r w:rsidRPr="000B1573">
              <w:rPr>
                <w:sz w:val="21"/>
                <w:szCs w:val="21"/>
                <w:lang w:val="en-US"/>
              </w:rPr>
              <w:t>Develop project plan</w:t>
            </w:r>
          </w:p>
        </w:tc>
        <w:tc>
          <w:tcPr>
            <w:tcW w:w="5059" w:type="dxa"/>
          </w:tcPr>
          <w:p w14:paraId="346C2CCF" w14:textId="77777777" w:rsidR="00BA21DC" w:rsidRPr="000B1573" w:rsidRDefault="00BA21DC" w:rsidP="00112E70">
            <w:pPr>
              <w:spacing w:line="276" w:lineRule="auto"/>
              <w:rPr>
                <w:b/>
                <w:bCs/>
                <w:sz w:val="21"/>
                <w:szCs w:val="21"/>
                <w:lang w:val="en-US"/>
              </w:rPr>
            </w:pPr>
            <w:r w:rsidRPr="000B1573">
              <w:rPr>
                <w:b/>
                <w:bCs/>
                <w:sz w:val="21"/>
                <w:szCs w:val="21"/>
                <w:lang w:val="en-US"/>
              </w:rPr>
              <w:t>Desktop research</w:t>
            </w:r>
          </w:p>
          <w:p w14:paraId="34FFC6F5" w14:textId="77777777" w:rsidR="00BA21DC" w:rsidRPr="000B1573" w:rsidRDefault="00BA21DC" w:rsidP="00164DDE">
            <w:pPr>
              <w:pStyle w:val="ListParagraph"/>
              <w:numPr>
                <w:ilvl w:val="0"/>
                <w:numId w:val="172"/>
              </w:numPr>
              <w:spacing w:after="0" w:line="276" w:lineRule="auto"/>
              <w:rPr>
                <w:sz w:val="21"/>
                <w:szCs w:val="21"/>
                <w:lang w:val="en-US"/>
              </w:rPr>
            </w:pPr>
            <w:r w:rsidRPr="000B1573">
              <w:rPr>
                <w:sz w:val="21"/>
                <w:szCs w:val="21"/>
                <w:lang w:val="en-US"/>
              </w:rPr>
              <w:t>Desktop review of publicly available data to identify gaps to request data</w:t>
            </w:r>
          </w:p>
          <w:p w14:paraId="538082F7" w14:textId="77777777" w:rsidR="00BA21DC" w:rsidRPr="000B1573" w:rsidRDefault="00BA21DC" w:rsidP="00164DDE">
            <w:pPr>
              <w:pStyle w:val="ListParagraph"/>
              <w:numPr>
                <w:ilvl w:val="0"/>
                <w:numId w:val="172"/>
              </w:numPr>
              <w:spacing w:after="0" w:line="276" w:lineRule="auto"/>
              <w:rPr>
                <w:sz w:val="21"/>
                <w:szCs w:val="21"/>
                <w:lang w:val="en-US"/>
              </w:rPr>
            </w:pPr>
            <w:r w:rsidRPr="000B1573">
              <w:rPr>
                <w:sz w:val="21"/>
                <w:szCs w:val="21"/>
                <w:lang w:val="en-US"/>
              </w:rPr>
              <w:t>Submit data request to evaluators of initiatives, e.g. performance and participation data, web analytics, policy documents</w:t>
            </w:r>
          </w:p>
          <w:p w14:paraId="042D0F08" w14:textId="77777777" w:rsidR="00BA21DC" w:rsidRPr="000B1573" w:rsidRDefault="00BA21DC" w:rsidP="00164DDE">
            <w:pPr>
              <w:pStyle w:val="ListParagraph"/>
              <w:numPr>
                <w:ilvl w:val="0"/>
                <w:numId w:val="172"/>
              </w:numPr>
              <w:spacing w:after="0" w:line="276" w:lineRule="auto"/>
              <w:rPr>
                <w:sz w:val="21"/>
                <w:szCs w:val="21"/>
                <w:lang w:val="en-US"/>
              </w:rPr>
            </w:pPr>
            <w:r w:rsidRPr="000B1573">
              <w:rPr>
                <w:sz w:val="21"/>
                <w:szCs w:val="21"/>
                <w:lang w:val="en-US"/>
              </w:rPr>
              <w:t>Review secondary data to establish initial fact base</w:t>
            </w:r>
          </w:p>
        </w:tc>
        <w:tc>
          <w:tcPr>
            <w:tcW w:w="3444" w:type="dxa"/>
          </w:tcPr>
          <w:p w14:paraId="4FA65C74" w14:textId="77777777" w:rsidR="00BA21DC" w:rsidRPr="000B1573" w:rsidRDefault="00BA21DC" w:rsidP="00112E70">
            <w:pPr>
              <w:spacing w:line="276" w:lineRule="auto"/>
              <w:rPr>
                <w:b/>
                <w:bCs/>
                <w:sz w:val="21"/>
                <w:szCs w:val="21"/>
                <w:lang w:val="en-US"/>
              </w:rPr>
            </w:pPr>
            <w:r w:rsidRPr="000B1573">
              <w:rPr>
                <w:b/>
                <w:bCs/>
                <w:sz w:val="21"/>
                <w:szCs w:val="21"/>
                <w:lang w:val="en-US"/>
              </w:rPr>
              <w:t>Individual evaluation reports</w:t>
            </w:r>
          </w:p>
          <w:p w14:paraId="3C35B0F9" w14:textId="77777777" w:rsidR="00BA21DC" w:rsidRPr="000B1573" w:rsidRDefault="00BA21DC" w:rsidP="00164DDE">
            <w:pPr>
              <w:pStyle w:val="ListParagraph"/>
              <w:numPr>
                <w:ilvl w:val="0"/>
                <w:numId w:val="177"/>
              </w:numPr>
              <w:spacing w:after="0" w:line="276" w:lineRule="auto"/>
              <w:rPr>
                <w:b/>
                <w:bCs/>
                <w:sz w:val="21"/>
                <w:szCs w:val="21"/>
                <w:lang w:val="en-US"/>
              </w:rPr>
            </w:pPr>
            <w:r w:rsidRPr="000B1573">
              <w:rPr>
                <w:sz w:val="21"/>
                <w:szCs w:val="21"/>
                <w:lang w:val="en-US"/>
              </w:rPr>
              <w:t>Produce short reports on each initiative using the evaluation framework to assess their impact</w:t>
            </w:r>
          </w:p>
        </w:tc>
      </w:tr>
      <w:tr w:rsidR="00BA21DC" w:rsidRPr="000B1573" w14:paraId="7CBB2862" w14:textId="77777777" w:rsidTr="00B805A9">
        <w:trPr>
          <w:trHeight w:val="824"/>
        </w:trPr>
        <w:tc>
          <w:tcPr>
            <w:tcW w:w="2694" w:type="dxa"/>
          </w:tcPr>
          <w:p w14:paraId="254062D4" w14:textId="77777777" w:rsidR="00BA21DC" w:rsidRPr="000B1573" w:rsidRDefault="00BA21DC" w:rsidP="00112E70">
            <w:pPr>
              <w:spacing w:line="276" w:lineRule="auto"/>
              <w:rPr>
                <w:b/>
                <w:bCs/>
                <w:sz w:val="21"/>
                <w:szCs w:val="21"/>
                <w:lang w:val="en-US"/>
              </w:rPr>
            </w:pPr>
            <w:r w:rsidRPr="000B1573">
              <w:rPr>
                <w:b/>
                <w:bCs/>
                <w:sz w:val="21"/>
                <w:szCs w:val="21"/>
                <w:lang w:val="en-US"/>
              </w:rPr>
              <w:t>The Department’s data request and review</w:t>
            </w:r>
          </w:p>
          <w:p w14:paraId="321C33E9" w14:textId="77777777" w:rsidR="00BA21DC" w:rsidRPr="000B1573" w:rsidRDefault="00BA21DC" w:rsidP="00164DDE">
            <w:pPr>
              <w:pStyle w:val="ListParagraph"/>
              <w:numPr>
                <w:ilvl w:val="0"/>
                <w:numId w:val="170"/>
              </w:numPr>
              <w:spacing w:after="0" w:line="276" w:lineRule="auto"/>
              <w:rPr>
                <w:sz w:val="21"/>
                <w:szCs w:val="21"/>
                <w:lang w:val="en-US"/>
              </w:rPr>
            </w:pPr>
            <w:r w:rsidRPr="000B1573">
              <w:rPr>
                <w:sz w:val="21"/>
                <w:szCs w:val="21"/>
                <w:lang w:val="en-US"/>
              </w:rPr>
              <w:t>Submit data request to the Department for existing evaluation</w:t>
            </w:r>
          </w:p>
          <w:p w14:paraId="7F0043C3" w14:textId="77777777" w:rsidR="00BA21DC" w:rsidRPr="000B1573" w:rsidRDefault="00BA21DC" w:rsidP="00164DDE">
            <w:pPr>
              <w:pStyle w:val="ListParagraph"/>
              <w:numPr>
                <w:ilvl w:val="0"/>
                <w:numId w:val="170"/>
              </w:numPr>
              <w:spacing w:after="0" w:line="276" w:lineRule="auto"/>
              <w:rPr>
                <w:sz w:val="21"/>
                <w:szCs w:val="21"/>
                <w:lang w:val="en-US"/>
              </w:rPr>
            </w:pPr>
            <w:r w:rsidRPr="000B1573">
              <w:rPr>
                <w:sz w:val="21"/>
                <w:szCs w:val="21"/>
                <w:lang w:val="en-US"/>
              </w:rPr>
              <w:t>Liaise with DIIS to understand and align with their NISA evaluation</w:t>
            </w:r>
          </w:p>
        </w:tc>
        <w:tc>
          <w:tcPr>
            <w:tcW w:w="5059" w:type="dxa"/>
            <w:tcBorders>
              <w:bottom w:val="single" w:sz="4" w:space="0" w:color="auto"/>
            </w:tcBorders>
          </w:tcPr>
          <w:p w14:paraId="4834930A" w14:textId="77777777" w:rsidR="00BA21DC" w:rsidRPr="000B1573" w:rsidRDefault="00BA21DC" w:rsidP="00112E70">
            <w:pPr>
              <w:spacing w:line="276" w:lineRule="auto"/>
              <w:rPr>
                <w:b/>
                <w:bCs/>
                <w:sz w:val="21"/>
                <w:szCs w:val="21"/>
                <w:lang w:val="en-US"/>
              </w:rPr>
            </w:pPr>
            <w:r w:rsidRPr="000B1573">
              <w:rPr>
                <w:b/>
                <w:bCs/>
                <w:sz w:val="21"/>
                <w:szCs w:val="21"/>
                <w:lang w:val="en-US"/>
              </w:rPr>
              <w:t>Interviews</w:t>
            </w:r>
          </w:p>
          <w:p w14:paraId="23F9C292" w14:textId="77777777" w:rsidR="00BA21DC" w:rsidRPr="000B1573" w:rsidRDefault="00BA21DC" w:rsidP="00164DDE">
            <w:pPr>
              <w:pStyle w:val="ListParagraph"/>
              <w:numPr>
                <w:ilvl w:val="0"/>
                <w:numId w:val="173"/>
              </w:numPr>
              <w:spacing w:after="0" w:line="276" w:lineRule="auto"/>
              <w:rPr>
                <w:sz w:val="21"/>
                <w:szCs w:val="21"/>
                <w:lang w:val="en-US"/>
              </w:rPr>
            </w:pPr>
            <w:r w:rsidRPr="000B1573">
              <w:rPr>
                <w:sz w:val="21"/>
                <w:szCs w:val="21"/>
                <w:lang w:val="en-US"/>
              </w:rPr>
              <w:t>Conduct phone interviews with:</w:t>
            </w:r>
          </w:p>
          <w:p w14:paraId="3FAA3002"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Providers of each initiative (15)</w:t>
            </w:r>
          </w:p>
          <w:p w14:paraId="7F0095D0"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Evaluators of initiatives (~9)</w:t>
            </w:r>
          </w:p>
          <w:p w14:paraId="54804BA4"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All State and Territory authorities to understand the policy context and unique aims from each jurisdiction (8)</w:t>
            </w:r>
          </w:p>
        </w:tc>
        <w:tc>
          <w:tcPr>
            <w:tcW w:w="3444" w:type="dxa"/>
            <w:tcBorders>
              <w:bottom w:val="single" w:sz="4" w:space="0" w:color="auto"/>
            </w:tcBorders>
          </w:tcPr>
          <w:p w14:paraId="58E2AED0" w14:textId="77777777" w:rsidR="00BA21DC" w:rsidRPr="000B1573" w:rsidRDefault="00BA21DC" w:rsidP="00112E70">
            <w:pPr>
              <w:spacing w:line="276" w:lineRule="auto"/>
              <w:rPr>
                <w:b/>
                <w:bCs/>
                <w:sz w:val="21"/>
                <w:szCs w:val="21"/>
                <w:lang w:val="en-US"/>
              </w:rPr>
            </w:pPr>
            <w:r w:rsidRPr="000B1573">
              <w:rPr>
                <w:b/>
                <w:bCs/>
                <w:sz w:val="21"/>
                <w:szCs w:val="21"/>
                <w:lang w:val="en-US"/>
              </w:rPr>
              <w:t>Draft evaluation report</w:t>
            </w:r>
          </w:p>
          <w:p w14:paraId="0B595268" w14:textId="77777777" w:rsidR="00BA21DC" w:rsidRPr="000B1573" w:rsidRDefault="00BA21DC" w:rsidP="00164DDE">
            <w:pPr>
              <w:pStyle w:val="ListParagraph"/>
              <w:numPr>
                <w:ilvl w:val="0"/>
                <w:numId w:val="173"/>
              </w:numPr>
              <w:spacing w:after="0" w:line="276" w:lineRule="auto"/>
              <w:rPr>
                <w:b/>
                <w:bCs/>
                <w:sz w:val="21"/>
                <w:szCs w:val="21"/>
                <w:lang w:val="en-US"/>
              </w:rPr>
            </w:pPr>
            <w:r w:rsidRPr="000B1573">
              <w:rPr>
                <w:sz w:val="21"/>
                <w:szCs w:val="21"/>
                <w:lang w:val="en-US"/>
              </w:rPr>
              <w:t>Develop draft report that assesses initiatives as a whole package and draws out common lessons from individual evaluations</w:t>
            </w:r>
          </w:p>
        </w:tc>
      </w:tr>
      <w:tr w:rsidR="00BA21DC" w:rsidRPr="000B1573" w14:paraId="6465E2A3" w14:textId="77777777" w:rsidTr="00B805A9">
        <w:trPr>
          <w:trHeight w:val="824"/>
        </w:trPr>
        <w:tc>
          <w:tcPr>
            <w:tcW w:w="2694" w:type="dxa"/>
          </w:tcPr>
          <w:p w14:paraId="3309382E" w14:textId="77777777" w:rsidR="00BA21DC" w:rsidRPr="000B1573" w:rsidRDefault="00BA21DC" w:rsidP="00112E70">
            <w:pPr>
              <w:spacing w:line="276" w:lineRule="auto"/>
              <w:rPr>
                <w:b/>
                <w:bCs/>
                <w:sz w:val="21"/>
                <w:szCs w:val="21"/>
                <w:lang w:val="en-US"/>
              </w:rPr>
            </w:pPr>
            <w:proofErr w:type="spellStart"/>
            <w:r w:rsidRPr="000B1573">
              <w:rPr>
                <w:b/>
                <w:bCs/>
                <w:sz w:val="21"/>
                <w:szCs w:val="21"/>
                <w:lang w:val="en-US"/>
              </w:rPr>
              <w:t>Finalise</w:t>
            </w:r>
            <w:proofErr w:type="spellEnd"/>
            <w:r w:rsidRPr="000B1573">
              <w:rPr>
                <w:b/>
                <w:bCs/>
                <w:sz w:val="21"/>
                <w:szCs w:val="21"/>
                <w:lang w:val="en-US"/>
              </w:rPr>
              <w:t xml:space="preserve"> framework and field work approach</w:t>
            </w:r>
          </w:p>
          <w:p w14:paraId="03BD0ADD" w14:textId="77777777" w:rsidR="00BA21DC" w:rsidRPr="000B1573" w:rsidRDefault="00BA21DC" w:rsidP="00164DDE">
            <w:pPr>
              <w:pStyle w:val="ListParagraph"/>
              <w:numPr>
                <w:ilvl w:val="0"/>
                <w:numId w:val="171"/>
              </w:numPr>
              <w:spacing w:after="0" w:line="276" w:lineRule="auto"/>
              <w:rPr>
                <w:sz w:val="21"/>
                <w:szCs w:val="21"/>
                <w:lang w:val="en-US"/>
              </w:rPr>
            </w:pPr>
            <w:r w:rsidRPr="000B1573">
              <w:rPr>
                <w:sz w:val="21"/>
                <w:szCs w:val="21"/>
                <w:lang w:val="en-US"/>
              </w:rPr>
              <w:t>Refine evaluation framework based on data provided</w:t>
            </w:r>
          </w:p>
          <w:p w14:paraId="06568513" w14:textId="77777777" w:rsidR="00BA21DC" w:rsidRPr="000B1573" w:rsidRDefault="00BA21DC" w:rsidP="00164DDE">
            <w:pPr>
              <w:pStyle w:val="ListParagraph"/>
              <w:numPr>
                <w:ilvl w:val="0"/>
                <w:numId w:val="171"/>
              </w:numPr>
              <w:spacing w:after="0" w:line="276" w:lineRule="auto"/>
              <w:rPr>
                <w:sz w:val="21"/>
                <w:szCs w:val="21"/>
                <w:lang w:val="en-US"/>
              </w:rPr>
            </w:pPr>
            <w:r w:rsidRPr="000B1573">
              <w:rPr>
                <w:sz w:val="21"/>
                <w:szCs w:val="21"/>
                <w:lang w:val="en-US"/>
              </w:rPr>
              <w:t xml:space="preserve">Test and </w:t>
            </w:r>
            <w:proofErr w:type="spellStart"/>
            <w:r w:rsidRPr="000B1573">
              <w:rPr>
                <w:sz w:val="21"/>
                <w:szCs w:val="21"/>
                <w:lang w:val="en-US"/>
              </w:rPr>
              <w:t>finalise</w:t>
            </w:r>
            <w:proofErr w:type="spellEnd"/>
            <w:r w:rsidRPr="000B1573">
              <w:rPr>
                <w:sz w:val="21"/>
                <w:szCs w:val="21"/>
                <w:lang w:val="en-US"/>
              </w:rPr>
              <w:t xml:space="preserve"> the framework with the Department</w:t>
            </w:r>
          </w:p>
        </w:tc>
        <w:tc>
          <w:tcPr>
            <w:tcW w:w="5059" w:type="dxa"/>
            <w:tcBorders>
              <w:bottom w:val="single" w:sz="4" w:space="0" w:color="auto"/>
            </w:tcBorders>
          </w:tcPr>
          <w:p w14:paraId="403BD3A3" w14:textId="77777777" w:rsidR="00BA21DC" w:rsidRPr="000B1573" w:rsidRDefault="00BA21DC" w:rsidP="00112E70">
            <w:pPr>
              <w:spacing w:line="276" w:lineRule="auto"/>
              <w:rPr>
                <w:b/>
                <w:bCs/>
                <w:sz w:val="21"/>
                <w:szCs w:val="21"/>
                <w:lang w:val="en-US"/>
              </w:rPr>
            </w:pPr>
            <w:r w:rsidRPr="000B1573">
              <w:rPr>
                <w:b/>
                <w:bCs/>
                <w:sz w:val="21"/>
                <w:szCs w:val="21"/>
                <w:lang w:val="en-US"/>
              </w:rPr>
              <w:t>Focus groups</w:t>
            </w:r>
          </w:p>
          <w:p w14:paraId="5232F4B9" w14:textId="77777777" w:rsidR="00BA21DC" w:rsidRPr="000B1573" w:rsidRDefault="00BA21DC" w:rsidP="00164DDE">
            <w:pPr>
              <w:pStyle w:val="ListParagraph"/>
              <w:numPr>
                <w:ilvl w:val="0"/>
                <w:numId w:val="175"/>
              </w:numPr>
              <w:spacing w:after="0" w:line="276" w:lineRule="auto"/>
              <w:rPr>
                <w:sz w:val="21"/>
                <w:szCs w:val="21"/>
                <w:lang w:val="en-US"/>
              </w:rPr>
            </w:pPr>
            <w:r w:rsidRPr="000B1573">
              <w:rPr>
                <w:sz w:val="21"/>
                <w:szCs w:val="21"/>
                <w:lang w:val="en-US"/>
              </w:rPr>
              <w:t>Conduct 10 online focus groups with initiative participants to understand their experience and the initiative’s impact</w:t>
            </w:r>
          </w:p>
        </w:tc>
        <w:tc>
          <w:tcPr>
            <w:tcW w:w="3444" w:type="dxa"/>
            <w:tcBorders>
              <w:bottom w:val="single" w:sz="4" w:space="0" w:color="auto"/>
            </w:tcBorders>
          </w:tcPr>
          <w:p w14:paraId="07E33540" w14:textId="77777777" w:rsidR="00BA21DC" w:rsidRPr="000B1573" w:rsidRDefault="00BA21DC" w:rsidP="00112E70">
            <w:pPr>
              <w:spacing w:line="276" w:lineRule="auto"/>
              <w:rPr>
                <w:b/>
                <w:bCs/>
                <w:sz w:val="21"/>
                <w:szCs w:val="21"/>
                <w:lang w:val="en-US"/>
              </w:rPr>
            </w:pPr>
            <w:r w:rsidRPr="000B1573">
              <w:rPr>
                <w:b/>
                <w:bCs/>
                <w:sz w:val="21"/>
                <w:szCs w:val="21"/>
                <w:lang w:val="en-US"/>
              </w:rPr>
              <w:t>Final report</w:t>
            </w:r>
          </w:p>
          <w:p w14:paraId="327E9C23" w14:textId="77777777" w:rsidR="00BA21DC" w:rsidRPr="000B1573" w:rsidRDefault="00BA21DC" w:rsidP="00164DDE">
            <w:pPr>
              <w:pStyle w:val="ListParagraph"/>
              <w:numPr>
                <w:ilvl w:val="0"/>
                <w:numId w:val="175"/>
              </w:numPr>
              <w:spacing w:after="0" w:line="276" w:lineRule="auto"/>
              <w:rPr>
                <w:sz w:val="21"/>
                <w:szCs w:val="21"/>
                <w:lang w:val="en-US"/>
              </w:rPr>
            </w:pPr>
            <w:r w:rsidRPr="000B1573">
              <w:rPr>
                <w:sz w:val="21"/>
                <w:szCs w:val="21"/>
                <w:lang w:val="en-US"/>
              </w:rPr>
              <w:t>Test draft report and seek feedback from key Department staff</w:t>
            </w:r>
          </w:p>
          <w:p w14:paraId="3E38B3EC" w14:textId="77777777" w:rsidR="00BA21DC" w:rsidRPr="000B1573" w:rsidRDefault="00BA21DC" w:rsidP="00164DDE">
            <w:pPr>
              <w:pStyle w:val="ListParagraph"/>
              <w:numPr>
                <w:ilvl w:val="0"/>
                <w:numId w:val="175"/>
              </w:numPr>
              <w:spacing w:after="0" w:line="276" w:lineRule="auto"/>
              <w:rPr>
                <w:sz w:val="21"/>
                <w:szCs w:val="21"/>
                <w:lang w:val="en-US"/>
              </w:rPr>
            </w:pPr>
            <w:r w:rsidRPr="000B1573">
              <w:rPr>
                <w:sz w:val="21"/>
                <w:szCs w:val="21"/>
                <w:lang w:val="en-US"/>
              </w:rPr>
              <w:t xml:space="preserve">Incorporate feedback and </w:t>
            </w:r>
            <w:proofErr w:type="spellStart"/>
            <w:r w:rsidRPr="000B1573">
              <w:rPr>
                <w:sz w:val="21"/>
                <w:szCs w:val="21"/>
                <w:lang w:val="en-US"/>
              </w:rPr>
              <w:t>finalise</w:t>
            </w:r>
            <w:proofErr w:type="spellEnd"/>
            <w:r w:rsidRPr="000B1573">
              <w:rPr>
                <w:sz w:val="21"/>
                <w:szCs w:val="21"/>
                <w:lang w:val="en-US"/>
              </w:rPr>
              <w:t xml:space="preserve"> report</w:t>
            </w:r>
          </w:p>
          <w:p w14:paraId="205B29F8" w14:textId="77777777" w:rsidR="00BA21DC" w:rsidRPr="000B1573" w:rsidRDefault="00BA21DC" w:rsidP="00164DDE">
            <w:pPr>
              <w:pStyle w:val="ListParagraph"/>
              <w:numPr>
                <w:ilvl w:val="0"/>
                <w:numId w:val="175"/>
              </w:numPr>
              <w:spacing w:after="0" w:line="276" w:lineRule="auto"/>
              <w:rPr>
                <w:sz w:val="21"/>
                <w:szCs w:val="21"/>
                <w:lang w:val="en-US"/>
              </w:rPr>
            </w:pPr>
            <w:r w:rsidRPr="000B1573">
              <w:rPr>
                <w:sz w:val="21"/>
                <w:szCs w:val="21"/>
                <w:lang w:val="en-US"/>
              </w:rPr>
              <w:t>Present to the Department and provide final report</w:t>
            </w:r>
          </w:p>
        </w:tc>
      </w:tr>
      <w:tr w:rsidR="00BA21DC" w:rsidRPr="000B1573" w14:paraId="20517D74" w14:textId="77777777" w:rsidTr="00B805A9">
        <w:trPr>
          <w:trHeight w:val="824"/>
        </w:trPr>
        <w:tc>
          <w:tcPr>
            <w:tcW w:w="2694" w:type="dxa"/>
            <w:tcBorders>
              <w:top w:val="dashed" w:sz="4" w:space="0" w:color="FFFFFF" w:themeColor="background1"/>
              <w:left w:val="dashed" w:sz="4" w:space="0" w:color="FFFFFF" w:themeColor="background1"/>
              <w:bottom w:val="dashed" w:sz="4" w:space="0" w:color="FFFFFF" w:themeColor="background1"/>
              <w:right w:val="single" w:sz="4" w:space="0" w:color="auto"/>
            </w:tcBorders>
          </w:tcPr>
          <w:p w14:paraId="33B4755C" w14:textId="77777777" w:rsidR="00BA21DC" w:rsidRPr="000B1573" w:rsidRDefault="00BA21DC" w:rsidP="00112E70">
            <w:pPr>
              <w:spacing w:line="276" w:lineRule="auto"/>
              <w:rPr>
                <w:b/>
                <w:bCs/>
                <w:sz w:val="21"/>
                <w:szCs w:val="21"/>
                <w:lang w:val="en-US"/>
              </w:rPr>
            </w:pPr>
          </w:p>
        </w:tc>
        <w:tc>
          <w:tcPr>
            <w:tcW w:w="5059" w:type="dxa"/>
            <w:tcBorders>
              <w:top w:val="single" w:sz="4" w:space="0" w:color="auto"/>
              <w:left w:val="single" w:sz="4" w:space="0" w:color="auto"/>
              <w:bottom w:val="single" w:sz="4" w:space="0" w:color="auto"/>
              <w:right w:val="single" w:sz="4" w:space="0" w:color="auto"/>
            </w:tcBorders>
          </w:tcPr>
          <w:p w14:paraId="2D0724B6" w14:textId="77777777" w:rsidR="00BA21DC" w:rsidRPr="000B1573" w:rsidRDefault="00BA21DC" w:rsidP="00112E70">
            <w:pPr>
              <w:spacing w:line="276" w:lineRule="auto"/>
              <w:rPr>
                <w:b/>
                <w:bCs/>
                <w:sz w:val="21"/>
                <w:szCs w:val="21"/>
                <w:lang w:val="en-US"/>
              </w:rPr>
            </w:pPr>
            <w:r w:rsidRPr="000B1573">
              <w:rPr>
                <w:b/>
                <w:bCs/>
                <w:sz w:val="21"/>
                <w:szCs w:val="21"/>
                <w:lang w:val="en-US"/>
              </w:rPr>
              <w:t>Additional fieldwork for non-evaluated initiatives</w:t>
            </w:r>
          </w:p>
          <w:p w14:paraId="06182F3D" w14:textId="77777777" w:rsidR="00BA21DC" w:rsidRPr="000B1573" w:rsidRDefault="00BA21DC" w:rsidP="00164DDE">
            <w:pPr>
              <w:pStyle w:val="ListParagraph"/>
              <w:numPr>
                <w:ilvl w:val="0"/>
                <w:numId w:val="175"/>
              </w:numPr>
              <w:spacing w:after="0" w:line="276" w:lineRule="auto"/>
              <w:rPr>
                <w:b/>
                <w:bCs/>
                <w:sz w:val="21"/>
                <w:szCs w:val="21"/>
                <w:lang w:val="en-US"/>
              </w:rPr>
            </w:pPr>
            <w:r w:rsidRPr="000B1573">
              <w:rPr>
                <w:sz w:val="21"/>
                <w:szCs w:val="21"/>
                <w:lang w:val="en-US"/>
              </w:rPr>
              <w:t>Conduct initiative-specific fieldwork to collect data on initiatives that do not have evaluations, which will include some:</w:t>
            </w:r>
          </w:p>
          <w:p w14:paraId="68D8F7D2" w14:textId="77777777" w:rsidR="00BA21DC" w:rsidRPr="000B1573" w:rsidRDefault="00BA21DC" w:rsidP="00164DDE">
            <w:pPr>
              <w:pStyle w:val="ListParagraph"/>
              <w:numPr>
                <w:ilvl w:val="0"/>
                <w:numId w:val="174"/>
              </w:numPr>
              <w:spacing w:after="0" w:line="276" w:lineRule="auto"/>
              <w:rPr>
                <w:b/>
                <w:bCs/>
                <w:sz w:val="21"/>
                <w:szCs w:val="21"/>
                <w:lang w:val="en-US"/>
              </w:rPr>
            </w:pPr>
            <w:r w:rsidRPr="000B1573">
              <w:rPr>
                <w:sz w:val="21"/>
                <w:szCs w:val="21"/>
                <w:lang w:val="en-US"/>
              </w:rPr>
              <w:t>Web analytics</w:t>
            </w:r>
          </w:p>
          <w:p w14:paraId="66A82A20" w14:textId="77777777" w:rsidR="00BA21DC" w:rsidRPr="000B1573" w:rsidRDefault="00BA21DC" w:rsidP="00164DDE">
            <w:pPr>
              <w:pStyle w:val="ListParagraph"/>
              <w:numPr>
                <w:ilvl w:val="0"/>
                <w:numId w:val="174"/>
              </w:numPr>
              <w:spacing w:after="0" w:line="276" w:lineRule="auto"/>
              <w:rPr>
                <w:b/>
                <w:bCs/>
                <w:sz w:val="21"/>
                <w:szCs w:val="21"/>
                <w:lang w:val="en-US"/>
              </w:rPr>
            </w:pPr>
            <w:r w:rsidRPr="000B1573">
              <w:rPr>
                <w:sz w:val="21"/>
                <w:szCs w:val="21"/>
                <w:lang w:val="en-US"/>
              </w:rPr>
              <w:t>Online focus groups</w:t>
            </w:r>
          </w:p>
          <w:p w14:paraId="5C64EA9C" w14:textId="77777777" w:rsidR="00BA21DC" w:rsidRPr="000B1573" w:rsidRDefault="00BA21DC" w:rsidP="00164DDE">
            <w:pPr>
              <w:pStyle w:val="ListParagraph"/>
              <w:numPr>
                <w:ilvl w:val="0"/>
                <w:numId w:val="174"/>
              </w:numPr>
              <w:spacing w:after="0" w:line="276" w:lineRule="auto"/>
              <w:rPr>
                <w:b/>
                <w:bCs/>
                <w:sz w:val="21"/>
                <w:szCs w:val="21"/>
                <w:lang w:val="en-US"/>
              </w:rPr>
            </w:pPr>
            <w:r w:rsidRPr="000B1573">
              <w:rPr>
                <w:sz w:val="21"/>
                <w:szCs w:val="21"/>
                <w:lang w:val="en-US"/>
              </w:rPr>
              <w:t>Pop-up survey</w:t>
            </w:r>
          </w:p>
          <w:p w14:paraId="26894C79" w14:textId="77777777" w:rsidR="00BA21DC" w:rsidRPr="000B1573" w:rsidRDefault="00BA21DC" w:rsidP="00164DDE">
            <w:pPr>
              <w:pStyle w:val="ListParagraph"/>
              <w:numPr>
                <w:ilvl w:val="0"/>
                <w:numId w:val="174"/>
              </w:numPr>
              <w:spacing w:after="0" w:line="276" w:lineRule="auto"/>
              <w:rPr>
                <w:b/>
                <w:bCs/>
                <w:sz w:val="21"/>
                <w:szCs w:val="21"/>
                <w:lang w:val="en-US"/>
              </w:rPr>
            </w:pPr>
            <w:r w:rsidRPr="000B1573">
              <w:rPr>
                <w:sz w:val="21"/>
                <w:szCs w:val="21"/>
                <w:lang w:val="en-US"/>
              </w:rPr>
              <w:t>Reviews of applications / acquittal forms</w:t>
            </w:r>
          </w:p>
          <w:p w14:paraId="7C4783B6"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Reviews of feedback forms or surveys</w:t>
            </w:r>
          </w:p>
          <w:p w14:paraId="5E94E170" w14:textId="77777777" w:rsidR="00BA21DC" w:rsidRPr="000B1573" w:rsidRDefault="00BA21DC" w:rsidP="00164DDE">
            <w:pPr>
              <w:pStyle w:val="ListParagraph"/>
              <w:numPr>
                <w:ilvl w:val="0"/>
                <w:numId w:val="174"/>
              </w:numPr>
              <w:spacing w:after="0" w:line="276" w:lineRule="auto"/>
              <w:rPr>
                <w:b/>
                <w:bCs/>
                <w:sz w:val="21"/>
                <w:szCs w:val="21"/>
                <w:lang w:val="en-US"/>
              </w:rPr>
            </w:pPr>
            <w:r w:rsidRPr="000B1573">
              <w:rPr>
                <w:sz w:val="21"/>
                <w:szCs w:val="21"/>
                <w:lang w:val="en-US"/>
              </w:rPr>
              <w:t>Desktop research</w:t>
            </w:r>
          </w:p>
        </w:tc>
        <w:tc>
          <w:tcPr>
            <w:tcW w:w="3444" w:type="dxa"/>
            <w:tcBorders>
              <w:top w:val="single" w:sz="4" w:space="0" w:color="auto"/>
              <w:left w:val="single" w:sz="4" w:space="0" w:color="auto"/>
              <w:bottom w:val="single" w:sz="4" w:space="0" w:color="auto"/>
            </w:tcBorders>
          </w:tcPr>
          <w:p w14:paraId="10997D80" w14:textId="77777777" w:rsidR="00BA21DC" w:rsidRPr="000B1573" w:rsidRDefault="00BA21DC" w:rsidP="00112E70">
            <w:pPr>
              <w:spacing w:line="276" w:lineRule="auto"/>
              <w:rPr>
                <w:b/>
                <w:bCs/>
                <w:sz w:val="21"/>
                <w:szCs w:val="21"/>
                <w:lang w:val="en-US"/>
              </w:rPr>
            </w:pPr>
            <w:r w:rsidRPr="000B1573">
              <w:rPr>
                <w:b/>
                <w:bCs/>
                <w:sz w:val="21"/>
                <w:szCs w:val="21"/>
                <w:lang w:val="en-US"/>
              </w:rPr>
              <w:t>Evaluation training workshop</w:t>
            </w:r>
          </w:p>
          <w:p w14:paraId="6B705BFB" w14:textId="77777777" w:rsidR="00BA21DC" w:rsidRPr="000B1573" w:rsidRDefault="00BA21DC" w:rsidP="00164DDE">
            <w:pPr>
              <w:pStyle w:val="ListParagraph"/>
              <w:numPr>
                <w:ilvl w:val="0"/>
                <w:numId w:val="175"/>
              </w:numPr>
              <w:spacing w:after="0" w:line="276" w:lineRule="auto"/>
              <w:rPr>
                <w:sz w:val="21"/>
                <w:szCs w:val="21"/>
                <w:lang w:val="en-US"/>
              </w:rPr>
            </w:pPr>
            <w:r w:rsidRPr="000B1573">
              <w:rPr>
                <w:sz w:val="21"/>
                <w:szCs w:val="21"/>
                <w:lang w:val="en-US"/>
              </w:rPr>
              <w:t>Workshop with Department’s staff to</w:t>
            </w:r>
          </w:p>
          <w:p w14:paraId="5085AD22"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Present frameworks and evaluation guide</w:t>
            </w:r>
          </w:p>
          <w:p w14:paraId="334FE26B"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Share lessons and suggestions for evaluating packages of initiatives / programs</w:t>
            </w:r>
          </w:p>
          <w:p w14:paraId="1AAE0062" w14:textId="77777777" w:rsidR="00BA21DC" w:rsidRPr="000B1573" w:rsidRDefault="00BA21DC" w:rsidP="00164DDE">
            <w:pPr>
              <w:pStyle w:val="ListParagraph"/>
              <w:numPr>
                <w:ilvl w:val="0"/>
                <w:numId w:val="174"/>
              </w:numPr>
              <w:spacing w:after="0" w:line="276" w:lineRule="auto"/>
              <w:rPr>
                <w:sz w:val="21"/>
                <w:szCs w:val="21"/>
                <w:lang w:val="en-US"/>
              </w:rPr>
            </w:pPr>
            <w:r w:rsidRPr="000B1573">
              <w:rPr>
                <w:sz w:val="21"/>
                <w:szCs w:val="21"/>
                <w:lang w:val="en-US"/>
              </w:rPr>
              <w:t>Build internal capabilities</w:t>
            </w:r>
          </w:p>
        </w:tc>
      </w:tr>
      <w:tr w:rsidR="00BA21DC" w:rsidRPr="000B1573" w14:paraId="1D7E7BC6" w14:textId="77777777" w:rsidTr="00B805A9">
        <w:trPr>
          <w:trHeight w:val="824"/>
        </w:trPr>
        <w:tc>
          <w:tcPr>
            <w:tcW w:w="2694" w:type="dxa"/>
            <w:tcBorders>
              <w:top w:val="dashed" w:sz="4" w:space="0" w:color="FFFFFF" w:themeColor="background1"/>
              <w:left w:val="dashed" w:sz="4" w:space="0" w:color="FFFFFF" w:themeColor="background1"/>
              <w:bottom w:val="dashed" w:sz="4" w:space="0" w:color="FFFFFF" w:themeColor="background1"/>
            </w:tcBorders>
          </w:tcPr>
          <w:p w14:paraId="71469A69" w14:textId="77777777" w:rsidR="00BA21DC" w:rsidRPr="000B1573" w:rsidRDefault="00BA21DC" w:rsidP="00112E70">
            <w:pPr>
              <w:spacing w:line="276" w:lineRule="auto"/>
              <w:rPr>
                <w:b/>
                <w:bCs/>
                <w:sz w:val="21"/>
                <w:szCs w:val="21"/>
                <w:lang w:val="en-US"/>
              </w:rPr>
            </w:pPr>
          </w:p>
        </w:tc>
        <w:tc>
          <w:tcPr>
            <w:tcW w:w="5059" w:type="dxa"/>
            <w:tcBorders>
              <w:top w:val="single" w:sz="4" w:space="0" w:color="auto"/>
            </w:tcBorders>
          </w:tcPr>
          <w:p w14:paraId="3C9EB517" w14:textId="77777777" w:rsidR="00BA21DC" w:rsidRPr="000B1573" w:rsidRDefault="00BA21DC" w:rsidP="00112E70">
            <w:pPr>
              <w:spacing w:line="276" w:lineRule="auto"/>
              <w:rPr>
                <w:b/>
                <w:bCs/>
                <w:sz w:val="21"/>
                <w:szCs w:val="21"/>
                <w:lang w:val="en-US"/>
              </w:rPr>
            </w:pPr>
            <w:r w:rsidRPr="000B1573">
              <w:rPr>
                <w:b/>
                <w:bCs/>
                <w:sz w:val="21"/>
                <w:szCs w:val="21"/>
                <w:lang w:val="en-US"/>
              </w:rPr>
              <w:t>Initiative mapping</w:t>
            </w:r>
          </w:p>
          <w:p w14:paraId="2F961271" w14:textId="77777777" w:rsidR="00BA21DC" w:rsidRPr="000B1573" w:rsidRDefault="00BA21DC" w:rsidP="00164DDE">
            <w:pPr>
              <w:pStyle w:val="ListParagraph"/>
              <w:numPr>
                <w:ilvl w:val="0"/>
                <w:numId w:val="176"/>
              </w:numPr>
              <w:spacing w:after="0" w:line="276" w:lineRule="auto"/>
              <w:rPr>
                <w:sz w:val="21"/>
                <w:szCs w:val="21"/>
                <w:lang w:val="en-US"/>
              </w:rPr>
            </w:pPr>
            <w:r w:rsidRPr="000B1573">
              <w:rPr>
                <w:sz w:val="21"/>
                <w:szCs w:val="21"/>
                <w:lang w:val="en-US"/>
              </w:rPr>
              <w:t>Map reach and scope of initiatives</w:t>
            </w:r>
          </w:p>
          <w:p w14:paraId="2B4E3FC9" w14:textId="77777777" w:rsidR="00BA21DC" w:rsidRPr="000B1573" w:rsidRDefault="00BA21DC" w:rsidP="00164DDE">
            <w:pPr>
              <w:pStyle w:val="ListParagraph"/>
              <w:numPr>
                <w:ilvl w:val="0"/>
                <w:numId w:val="176"/>
              </w:numPr>
              <w:spacing w:after="0" w:line="276" w:lineRule="auto"/>
              <w:rPr>
                <w:sz w:val="21"/>
                <w:szCs w:val="21"/>
                <w:lang w:val="en-US"/>
              </w:rPr>
            </w:pPr>
            <w:r w:rsidRPr="000B1573">
              <w:rPr>
                <w:sz w:val="21"/>
                <w:szCs w:val="21"/>
                <w:lang w:val="en-US"/>
              </w:rPr>
              <w:t>Compare with State and Territory initiatives</w:t>
            </w:r>
          </w:p>
        </w:tc>
        <w:tc>
          <w:tcPr>
            <w:tcW w:w="3444" w:type="dxa"/>
            <w:tcBorders>
              <w:top w:val="single" w:sz="4" w:space="0" w:color="auto"/>
              <w:bottom w:val="dashed" w:sz="4" w:space="0" w:color="FFFFFF"/>
              <w:right w:val="dashed" w:sz="4" w:space="0" w:color="FFFFFF"/>
            </w:tcBorders>
          </w:tcPr>
          <w:p w14:paraId="73F1C77A" w14:textId="77777777" w:rsidR="00BA21DC" w:rsidRPr="000B1573" w:rsidRDefault="00BA21DC" w:rsidP="00112E70">
            <w:pPr>
              <w:spacing w:line="276" w:lineRule="auto"/>
              <w:rPr>
                <w:b/>
                <w:bCs/>
                <w:sz w:val="21"/>
                <w:szCs w:val="21"/>
                <w:lang w:val="en-US"/>
              </w:rPr>
            </w:pPr>
          </w:p>
        </w:tc>
      </w:tr>
    </w:tbl>
    <w:p w14:paraId="185F1680" w14:textId="77777777" w:rsidR="00BE6BEF" w:rsidRDefault="00BE6BEF" w:rsidP="00AA5183">
      <w:pPr>
        <w:rPr>
          <w:szCs w:val="22"/>
        </w:rPr>
      </w:pPr>
    </w:p>
    <w:p w14:paraId="12EEEF7D" w14:textId="77777777" w:rsidR="00AA5183" w:rsidRPr="00292D9C" w:rsidRDefault="00AA5183" w:rsidP="00AA5183">
      <w:pPr>
        <w:rPr>
          <w:szCs w:val="22"/>
        </w:rPr>
      </w:pPr>
      <w:r w:rsidRPr="00292D9C">
        <w:rPr>
          <w:szCs w:val="22"/>
        </w:rPr>
        <w:t xml:space="preserve">In order to remedy some of these limitations we: </w:t>
      </w:r>
    </w:p>
    <w:p w14:paraId="736650B8" w14:textId="77777777" w:rsidR="00DE3ECC" w:rsidRPr="00292D9C" w:rsidRDefault="00AA5183" w:rsidP="00164DDE">
      <w:pPr>
        <w:pStyle w:val="ListParagraph"/>
        <w:numPr>
          <w:ilvl w:val="0"/>
          <w:numId w:val="166"/>
        </w:numPr>
        <w:rPr>
          <w:rFonts w:eastAsia="Times New Roman" w:cs="Times New Roman"/>
          <w:color w:val="auto"/>
          <w:szCs w:val="22"/>
          <w:lang w:eastAsia="en-GB"/>
        </w:rPr>
      </w:pPr>
      <w:r w:rsidRPr="00292D9C">
        <w:rPr>
          <w:szCs w:val="22"/>
        </w:rPr>
        <w:t>Supplemented existing data with</w:t>
      </w:r>
      <w:r w:rsidR="00DE3ECC" w:rsidRPr="00292D9C">
        <w:rPr>
          <w:szCs w:val="22"/>
        </w:rPr>
        <w:t>:</w:t>
      </w:r>
    </w:p>
    <w:p w14:paraId="37339988" w14:textId="77777777" w:rsidR="00DE3ECC" w:rsidRPr="00292D9C" w:rsidRDefault="00DE3ECC" w:rsidP="00164DDE">
      <w:pPr>
        <w:pStyle w:val="ListParagraph"/>
        <w:numPr>
          <w:ilvl w:val="1"/>
          <w:numId w:val="166"/>
        </w:numPr>
        <w:rPr>
          <w:rFonts w:eastAsia="Times New Roman" w:cs="Times New Roman"/>
          <w:color w:val="auto"/>
          <w:szCs w:val="22"/>
          <w:lang w:eastAsia="en-GB"/>
        </w:rPr>
      </w:pPr>
      <w:r w:rsidRPr="00292D9C">
        <w:rPr>
          <w:szCs w:val="22"/>
        </w:rPr>
        <w:t>A deep dive into desktop research, including the analysis of internal reports, contracts and existing evaluation reports</w:t>
      </w:r>
    </w:p>
    <w:p w14:paraId="5195C574" w14:textId="77777777" w:rsidR="00DE3ECC" w:rsidRPr="00292D9C" w:rsidRDefault="00DE3ECC" w:rsidP="00164DDE">
      <w:pPr>
        <w:pStyle w:val="ListParagraph"/>
        <w:numPr>
          <w:ilvl w:val="1"/>
          <w:numId w:val="166"/>
        </w:numPr>
        <w:rPr>
          <w:rFonts w:eastAsia="Times New Roman" w:cs="Times New Roman"/>
          <w:color w:val="auto"/>
          <w:szCs w:val="22"/>
          <w:lang w:eastAsia="en-GB"/>
        </w:rPr>
      </w:pPr>
      <w:r w:rsidRPr="00292D9C">
        <w:rPr>
          <w:szCs w:val="22"/>
        </w:rPr>
        <w:t>O</w:t>
      </w:r>
      <w:r w:rsidR="00AA5183" w:rsidRPr="00292D9C">
        <w:rPr>
          <w:szCs w:val="22"/>
        </w:rPr>
        <w:t>ur own consultation process</w:t>
      </w:r>
      <w:r w:rsidR="00AB1438">
        <w:rPr>
          <w:szCs w:val="22"/>
        </w:rPr>
        <w:t xml:space="preserve"> included interviews, online and face-to-face focus groups</w:t>
      </w:r>
      <w:r w:rsidRPr="00292D9C">
        <w:rPr>
          <w:szCs w:val="22"/>
        </w:rPr>
        <w:t xml:space="preserve"> with a</w:t>
      </w:r>
      <w:r w:rsidR="00FE2045">
        <w:rPr>
          <w:szCs w:val="22"/>
        </w:rPr>
        <w:t xml:space="preserve">pproximately </w:t>
      </w:r>
      <w:r w:rsidR="004A7133">
        <w:rPr>
          <w:szCs w:val="22"/>
        </w:rPr>
        <w:t>207</w:t>
      </w:r>
      <w:r w:rsidRPr="00292D9C">
        <w:rPr>
          <w:szCs w:val="22"/>
        </w:rPr>
        <w:t xml:space="preserve"> stakeholders including:</w:t>
      </w:r>
      <w:r w:rsidR="005F4F3C">
        <w:rPr>
          <w:rStyle w:val="FootnoteReference"/>
          <w:szCs w:val="22"/>
        </w:rPr>
        <w:footnoteReference w:id="7"/>
      </w:r>
    </w:p>
    <w:p w14:paraId="79C4E52E" w14:textId="77777777" w:rsidR="00DE3ECC" w:rsidRPr="00292D9C" w:rsidRDefault="000C46F4" w:rsidP="00164DDE">
      <w:pPr>
        <w:pStyle w:val="ListParagraph"/>
        <w:numPr>
          <w:ilvl w:val="2"/>
          <w:numId w:val="166"/>
        </w:numPr>
        <w:rPr>
          <w:rFonts w:eastAsia="Times New Roman" w:cs="Times New Roman"/>
          <w:color w:val="auto"/>
          <w:szCs w:val="22"/>
          <w:lang w:eastAsia="en-GB"/>
        </w:rPr>
      </w:pPr>
      <w:r>
        <w:t>Providers</w:t>
      </w:r>
      <w:r w:rsidR="00DE3ECC" w:rsidRPr="00292D9C">
        <w:t xml:space="preserve"> and evaluators of programs</w:t>
      </w:r>
      <w:r>
        <w:t xml:space="preserve"> (approximately 22 stakeholders)</w:t>
      </w:r>
    </w:p>
    <w:p w14:paraId="11990116" w14:textId="77777777" w:rsidR="00DE3ECC" w:rsidRPr="00292D9C" w:rsidRDefault="00DE3ECC" w:rsidP="00164DDE">
      <w:pPr>
        <w:pStyle w:val="ListParagraph"/>
        <w:numPr>
          <w:ilvl w:val="2"/>
          <w:numId w:val="166"/>
        </w:numPr>
        <w:rPr>
          <w:rFonts w:eastAsia="Times New Roman" w:cs="Times New Roman"/>
          <w:color w:val="auto"/>
          <w:szCs w:val="22"/>
          <w:lang w:eastAsia="en-GB"/>
        </w:rPr>
      </w:pPr>
      <w:r w:rsidRPr="00292D9C">
        <w:t>Peak bodies for STEM, teacher associations and industry representatives</w:t>
      </w:r>
      <w:r w:rsidR="000C46F4">
        <w:t xml:space="preserve"> (approximately </w:t>
      </w:r>
      <w:r w:rsidR="002300C5">
        <w:t>12</w:t>
      </w:r>
      <w:r w:rsidR="000C46F4">
        <w:t>).</w:t>
      </w:r>
    </w:p>
    <w:p w14:paraId="35CB67B5" w14:textId="77777777" w:rsidR="00DE3ECC" w:rsidRPr="00292D9C" w:rsidRDefault="00DE3ECC" w:rsidP="00164DDE">
      <w:pPr>
        <w:pStyle w:val="ListParagraph"/>
        <w:numPr>
          <w:ilvl w:val="2"/>
          <w:numId w:val="166"/>
        </w:numPr>
        <w:rPr>
          <w:rFonts w:eastAsia="Times New Roman" w:cs="Times New Roman"/>
          <w:color w:val="auto"/>
          <w:szCs w:val="22"/>
          <w:lang w:eastAsia="en-GB"/>
        </w:rPr>
      </w:pPr>
      <w:r w:rsidRPr="00292D9C">
        <w:t>Teachers, early childhood educators, principals and parents</w:t>
      </w:r>
      <w:r w:rsidR="000C46F4">
        <w:t xml:space="preserve"> </w:t>
      </w:r>
      <w:r w:rsidR="005F4F3C">
        <w:t xml:space="preserve">(approximately </w:t>
      </w:r>
      <w:r w:rsidR="002300C5">
        <w:t>149</w:t>
      </w:r>
      <w:r w:rsidR="005F4F3C">
        <w:t>)</w:t>
      </w:r>
    </w:p>
    <w:p w14:paraId="575665DE" w14:textId="77777777" w:rsidR="00DE3ECC" w:rsidRPr="00FA6421" w:rsidRDefault="00DE3ECC" w:rsidP="00164DDE">
      <w:pPr>
        <w:pStyle w:val="ListParagraph"/>
        <w:numPr>
          <w:ilvl w:val="2"/>
          <w:numId w:val="166"/>
        </w:numPr>
        <w:rPr>
          <w:rFonts w:eastAsia="Times New Roman" w:cs="Times New Roman"/>
          <w:color w:val="auto"/>
          <w:szCs w:val="22"/>
          <w:lang w:eastAsia="en-GB"/>
        </w:rPr>
      </w:pPr>
      <w:r w:rsidRPr="00292D9C">
        <w:t>A combination of government and non-government education authorities</w:t>
      </w:r>
      <w:r w:rsidR="00FA6421">
        <w:t xml:space="preserve"> </w:t>
      </w:r>
      <w:r w:rsidR="000C46F4">
        <w:t xml:space="preserve">(approximately </w:t>
      </w:r>
      <w:r w:rsidR="002300C5">
        <w:t>24</w:t>
      </w:r>
      <w:r w:rsidR="000C46F4">
        <w:t>)</w:t>
      </w:r>
      <w:r w:rsidRPr="00292D9C">
        <w:t>.</w:t>
      </w:r>
    </w:p>
    <w:p w14:paraId="288ECAB2" w14:textId="77777777" w:rsidR="00AA5183" w:rsidRPr="00292D9C" w:rsidRDefault="00AA5183" w:rsidP="00164DDE">
      <w:pPr>
        <w:pStyle w:val="ListParagraph"/>
        <w:numPr>
          <w:ilvl w:val="0"/>
          <w:numId w:val="166"/>
        </w:numPr>
        <w:rPr>
          <w:rFonts w:eastAsia="Times New Roman" w:cs="Times New Roman"/>
          <w:color w:val="auto"/>
          <w:szCs w:val="22"/>
          <w:lang w:eastAsia="en-GB"/>
        </w:rPr>
      </w:pPr>
      <w:r w:rsidRPr="00292D9C">
        <w:rPr>
          <w:szCs w:val="22"/>
        </w:rPr>
        <w:t>Used the standardised evaluation framework from the STEM Education Resources Toolkit</w:t>
      </w:r>
      <w:r w:rsidR="000B1573">
        <w:rPr>
          <w:rStyle w:val="FootnoteReference"/>
          <w:szCs w:val="22"/>
        </w:rPr>
        <w:footnoteReference w:id="8"/>
      </w:r>
      <w:r w:rsidRPr="00292D9C">
        <w:rPr>
          <w:szCs w:val="22"/>
        </w:rPr>
        <w:t xml:space="preserve"> to establish some consistency between initiatives </w:t>
      </w:r>
      <w:r w:rsidR="00326AF6" w:rsidRPr="00292D9C">
        <w:rPr>
          <w:szCs w:val="22"/>
        </w:rPr>
        <w:t xml:space="preserve">(shown in </w:t>
      </w:r>
      <w:r w:rsidR="00CD2F48" w:rsidRPr="00292D9C">
        <w:rPr>
          <w:szCs w:val="22"/>
        </w:rPr>
        <w:t>Figure 4 below)</w:t>
      </w:r>
    </w:p>
    <w:p w14:paraId="0902C85D" w14:textId="77777777" w:rsidR="000B1573" w:rsidRDefault="00AA5183" w:rsidP="00164DDE">
      <w:pPr>
        <w:pStyle w:val="ListParagraph"/>
        <w:numPr>
          <w:ilvl w:val="0"/>
          <w:numId w:val="166"/>
        </w:numPr>
        <w:rPr>
          <w:rFonts w:eastAsia="Times New Roman" w:cs="Times New Roman"/>
          <w:color w:val="auto"/>
          <w:szCs w:val="22"/>
          <w:lang w:eastAsia="en-GB"/>
        </w:rPr>
      </w:pPr>
      <w:r w:rsidRPr="00292D9C">
        <w:rPr>
          <w:szCs w:val="22"/>
        </w:rPr>
        <w:t>Developed a conceptual framework which outlines key questions to frame our understanding of the NISA initiative in aggregate</w:t>
      </w:r>
      <w:r w:rsidR="00CD2F48" w:rsidRPr="00292D9C">
        <w:rPr>
          <w:szCs w:val="22"/>
        </w:rPr>
        <w:t>. A rationale for these categories is provided in Table 1 below.</w:t>
      </w:r>
    </w:p>
    <w:p w14:paraId="4ACD4604" w14:textId="77777777" w:rsidR="008516CE" w:rsidRPr="000B1573" w:rsidRDefault="00CD2F48" w:rsidP="000B1573">
      <w:pPr>
        <w:pStyle w:val="Heading3Normal"/>
        <w:rPr>
          <w:rFonts w:eastAsia="Times New Roman" w:cs="Times New Roman"/>
          <w:color w:val="auto"/>
          <w:szCs w:val="22"/>
          <w:lang w:eastAsia="en-GB"/>
        </w:rPr>
      </w:pPr>
      <w:r w:rsidRPr="000B1573">
        <w:rPr>
          <w:lang w:eastAsia="en-GB"/>
        </w:rPr>
        <w:t xml:space="preserve">An evaluation framework helps organise information we need to assess impact </w:t>
      </w:r>
    </w:p>
    <w:p w14:paraId="4003E411" w14:textId="77777777" w:rsidR="007C71B9" w:rsidRPr="00292D9C" w:rsidRDefault="00CD2F48" w:rsidP="00A616D5">
      <w:pPr>
        <w:rPr>
          <w:rFonts w:eastAsia="Times New Roman" w:cs="Times New Roman"/>
          <w:color w:val="auto"/>
          <w:szCs w:val="22"/>
          <w:lang w:eastAsia="en-GB"/>
        </w:rPr>
      </w:pPr>
      <w:r w:rsidRPr="00292D9C">
        <w:rPr>
          <w:rFonts w:eastAsia="Times New Roman" w:cs="Times New Roman"/>
          <w:color w:val="auto"/>
          <w:szCs w:val="22"/>
          <w:lang w:eastAsia="en-GB"/>
        </w:rPr>
        <w:t xml:space="preserve">This evaluation was </w:t>
      </w:r>
      <w:r w:rsidR="00515BED">
        <w:rPr>
          <w:rFonts w:eastAsia="Times New Roman" w:cs="Times New Roman"/>
          <w:color w:val="auto"/>
          <w:szCs w:val="22"/>
          <w:lang w:eastAsia="en-GB"/>
        </w:rPr>
        <w:t xml:space="preserve">used as </w:t>
      </w:r>
      <w:r w:rsidRPr="00292D9C">
        <w:rPr>
          <w:rFonts w:eastAsia="Times New Roman" w:cs="Times New Roman"/>
          <w:color w:val="auto"/>
          <w:szCs w:val="22"/>
          <w:lang w:eastAsia="en-GB"/>
        </w:rPr>
        <w:t>an opportunity to road-test the evaluation framework proposed in the STEM Education Resources Toolkit</w:t>
      </w:r>
      <w:r w:rsidR="000B1573">
        <w:rPr>
          <w:rFonts w:eastAsia="Times New Roman" w:cs="Times New Roman"/>
          <w:color w:val="auto"/>
          <w:szCs w:val="22"/>
          <w:lang w:eastAsia="en-GB"/>
        </w:rPr>
        <w:t xml:space="preserve">. </w:t>
      </w:r>
      <w:r w:rsidRPr="00292D9C">
        <w:rPr>
          <w:rFonts w:eastAsia="Times New Roman" w:cs="Times New Roman"/>
          <w:color w:val="auto"/>
          <w:szCs w:val="22"/>
          <w:lang w:eastAsia="en-GB"/>
        </w:rPr>
        <w:t xml:space="preserve">This evaluation </w:t>
      </w:r>
      <w:r w:rsidR="004B5F3E" w:rsidRPr="00292D9C">
        <w:t xml:space="preserve">framework was developed with the intention that it would be able to be applied to </w:t>
      </w:r>
      <w:r w:rsidR="00515BED">
        <w:t xml:space="preserve">a broad range of </w:t>
      </w:r>
      <w:r w:rsidR="004B5F3E" w:rsidRPr="00292D9C">
        <w:t>STEM</w:t>
      </w:r>
      <w:r w:rsidR="00515BED">
        <w:t xml:space="preserve"> education</w:t>
      </w:r>
      <w:r w:rsidR="004B5F3E" w:rsidRPr="00292D9C">
        <w:t xml:space="preserve"> initiatives, only requiring that the detail and effort involved would need to be </w:t>
      </w:r>
      <w:r w:rsidR="00E81908" w:rsidRPr="00292D9C">
        <w:t xml:space="preserve">scaled </w:t>
      </w:r>
      <w:r w:rsidR="004B5F3E" w:rsidRPr="00292D9C">
        <w:t>depending on the initiative size. Figur</w:t>
      </w:r>
      <w:r w:rsidR="00DD2B33" w:rsidRPr="00292D9C">
        <w:t xml:space="preserve">e </w:t>
      </w:r>
      <w:r w:rsidRPr="00292D9C">
        <w:t>4</w:t>
      </w:r>
      <w:r w:rsidR="004B5F3E" w:rsidRPr="00292D9C">
        <w:t xml:space="preserve"> outlines this evaluation framework. </w:t>
      </w:r>
    </w:p>
    <w:p w14:paraId="70512721" w14:textId="77777777" w:rsidR="000B1573" w:rsidRDefault="000B1573">
      <w:pPr>
        <w:spacing w:after="240" w:line="240" w:lineRule="auto"/>
        <w:rPr>
          <w:b/>
        </w:rPr>
      </w:pPr>
      <w:r>
        <w:br w:type="page"/>
      </w:r>
    </w:p>
    <w:p w14:paraId="74571DB6" w14:textId="77777777" w:rsidR="00CD2F48" w:rsidRPr="000B1573" w:rsidRDefault="00CD2F48" w:rsidP="000B1573">
      <w:pPr>
        <w:pStyle w:val="Heading3Normal"/>
        <w:spacing w:before="0" w:after="120"/>
        <w:rPr>
          <w:rFonts w:asciiTheme="minorHAnsi" w:hAnsiTheme="minorHAnsi"/>
          <w:color w:val="000000" w:themeColor="text1"/>
        </w:rPr>
      </w:pPr>
      <w:r w:rsidRPr="00292D9C">
        <w:rPr>
          <w:rFonts w:asciiTheme="minorHAnsi" w:hAnsiTheme="minorHAnsi"/>
          <w:color w:val="000000" w:themeColor="text1"/>
        </w:rPr>
        <w:t>Figure 4. High-level evaluation framework developed in STEM Education Resources Toolkit</w:t>
      </w:r>
    </w:p>
    <w:tbl>
      <w:tblPr>
        <w:tblStyle w:val="TableGrid"/>
        <w:tblW w:w="10482" w:type="dxa"/>
        <w:tblInd w:w="-572" w:type="dxa"/>
        <w:tblBorders>
          <w:top w:val="single" w:sz="6" w:space="0" w:color="4D4D4D" w:themeColor="text2"/>
          <w:left w:val="single" w:sz="6" w:space="0" w:color="4D4D4D" w:themeColor="text2"/>
          <w:bottom w:val="single" w:sz="6" w:space="0" w:color="4D4D4D" w:themeColor="text2"/>
          <w:right w:val="single" w:sz="6" w:space="0" w:color="4D4D4D" w:themeColor="text2"/>
          <w:insideH w:val="single" w:sz="6" w:space="0" w:color="4D4D4D" w:themeColor="text2"/>
          <w:insideV w:val="single" w:sz="6" w:space="0" w:color="4D4D4D" w:themeColor="text2"/>
        </w:tblBorders>
        <w:tblLook w:val="04A0" w:firstRow="1" w:lastRow="0" w:firstColumn="1" w:lastColumn="0" w:noHBand="0" w:noVBand="1"/>
      </w:tblPr>
      <w:tblGrid>
        <w:gridCol w:w="2069"/>
        <w:gridCol w:w="2206"/>
        <w:gridCol w:w="2758"/>
        <w:gridCol w:w="1655"/>
        <w:gridCol w:w="1794"/>
      </w:tblGrid>
      <w:tr w:rsidR="000B1573" w:rsidRPr="00AF03B5" w14:paraId="3F494A66" w14:textId="77777777" w:rsidTr="00112E70">
        <w:trPr>
          <w:trHeight w:val="52"/>
        </w:trPr>
        <w:tc>
          <w:tcPr>
            <w:tcW w:w="1048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4D1BD1B7" w14:textId="77777777" w:rsidR="000B1573" w:rsidRPr="00AF03B5" w:rsidRDefault="000B1573" w:rsidP="00112E70">
            <w:pPr>
              <w:jc w:val="center"/>
              <w:rPr>
                <w:sz w:val="21"/>
                <w:szCs w:val="21"/>
              </w:rPr>
            </w:pPr>
            <w:r w:rsidRPr="00AF03B5">
              <w:rPr>
                <w:b/>
                <w:bCs/>
                <w:sz w:val="21"/>
                <w:szCs w:val="21"/>
              </w:rPr>
              <w:t xml:space="preserve">Key evaluation question: </w:t>
            </w:r>
            <w:r w:rsidRPr="00AF03B5">
              <w:rPr>
                <w:sz w:val="21"/>
                <w:szCs w:val="21"/>
              </w:rPr>
              <w:t>Did the initiative achieve its intended outcomes?</w:t>
            </w:r>
          </w:p>
        </w:tc>
      </w:tr>
      <w:tr w:rsidR="000B1573" w:rsidRPr="00AF03B5" w14:paraId="72DB98FE" w14:textId="77777777" w:rsidTr="00112E70">
        <w:trPr>
          <w:trHeight w:val="279"/>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79B7FAA0" w14:textId="77777777" w:rsidR="000B1573" w:rsidRPr="00AF03B5" w:rsidRDefault="000B1573" w:rsidP="00112E70">
            <w:pPr>
              <w:jc w:val="center"/>
              <w:rPr>
                <w:b/>
                <w:bCs/>
                <w:sz w:val="21"/>
                <w:szCs w:val="21"/>
              </w:rPr>
            </w:pPr>
            <w:r w:rsidRPr="00AF03B5">
              <w:rPr>
                <w:b/>
                <w:bCs/>
                <w:sz w:val="21"/>
                <w:szCs w:val="21"/>
              </w:rPr>
              <w:t>Design</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2216C895" w14:textId="77777777" w:rsidR="000B1573" w:rsidRPr="00AF03B5" w:rsidRDefault="000B1573" w:rsidP="00112E70">
            <w:pPr>
              <w:jc w:val="center"/>
              <w:rPr>
                <w:b/>
                <w:bCs/>
                <w:sz w:val="21"/>
                <w:szCs w:val="21"/>
              </w:rPr>
            </w:pPr>
            <w:r w:rsidRPr="00AF03B5">
              <w:rPr>
                <w:b/>
                <w:bCs/>
                <w:sz w:val="21"/>
                <w:szCs w:val="21"/>
              </w:rPr>
              <w:t>Implementation</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5F19CABA" w14:textId="77777777" w:rsidR="000B1573" w:rsidRPr="00AF03B5" w:rsidRDefault="000B1573" w:rsidP="00112E70">
            <w:pPr>
              <w:jc w:val="center"/>
              <w:rPr>
                <w:b/>
                <w:bCs/>
                <w:sz w:val="21"/>
                <w:szCs w:val="21"/>
              </w:rPr>
            </w:pPr>
            <w:r w:rsidRPr="00AF03B5">
              <w:rPr>
                <w:b/>
                <w:bCs/>
                <w:sz w:val="21"/>
                <w:szCs w:val="21"/>
              </w:rPr>
              <w:t>Outputs</w:t>
            </w:r>
          </w:p>
        </w:tc>
        <w:tc>
          <w:tcPr>
            <w:tcW w:w="34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7B833029" w14:textId="77777777" w:rsidR="000B1573" w:rsidRPr="00AF03B5" w:rsidRDefault="000B1573" w:rsidP="00112E70">
            <w:pPr>
              <w:jc w:val="center"/>
              <w:rPr>
                <w:b/>
                <w:bCs/>
                <w:sz w:val="21"/>
                <w:szCs w:val="21"/>
              </w:rPr>
            </w:pPr>
            <w:r w:rsidRPr="00AF03B5">
              <w:rPr>
                <w:b/>
                <w:bCs/>
                <w:sz w:val="21"/>
                <w:szCs w:val="21"/>
              </w:rPr>
              <w:t>Outcomes</w:t>
            </w:r>
          </w:p>
        </w:tc>
      </w:tr>
      <w:tr w:rsidR="000B1573" w:rsidRPr="00AF03B5" w14:paraId="511A81BF" w14:textId="77777777" w:rsidTr="00112E70">
        <w:trPr>
          <w:trHeight w:val="579"/>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6D892B1A" w14:textId="77777777" w:rsidR="000B1573" w:rsidRPr="00AF03B5" w:rsidRDefault="000B1573" w:rsidP="00112E70">
            <w:pPr>
              <w:rPr>
                <w:sz w:val="21"/>
                <w:szCs w:val="21"/>
              </w:rPr>
            </w:pPr>
            <w:r w:rsidRPr="00AF03B5">
              <w:rPr>
                <w:sz w:val="21"/>
                <w:szCs w:val="21"/>
              </w:rPr>
              <w:t>Does the initiative’s design set it up for success?</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424774C3" w14:textId="77777777" w:rsidR="000B1573" w:rsidRPr="00AF03B5" w:rsidRDefault="000B1573" w:rsidP="00112E70">
            <w:pPr>
              <w:rPr>
                <w:sz w:val="21"/>
                <w:szCs w:val="21"/>
              </w:rPr>
            </w:pPr>
            <w:r w:rsidRPr="00AF03B5">
              <w:rPr>
                <w:sz w:val="21"/>
                <w:szCs w:val="21"/>
              </w:rPr>
              <w:t>How has the initiative been implemented in practice?</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4A574178" w14:textId="77777777" w:rsidR="000B1573" w:rsidRPr="00AF03B5" w:rsidRDefault="000B1573" w:rsidP="00112E70">
            <w:pPr>
              <w:rPr>
                <w:sz w:val="21"/>
                <w:szCs w:val="21"/>
              </w:rPr>
            </w:pPr>
            <w:r w:rsidRPr="00AF03B5">
              <w:rPr>
                <w:sz w:val="21"/>
                <w:szCs w:val="21"/>
              </w:rPr>
              <w:t>What has the initiative produced or delivered?</w:t>
            </w:r>
          </w:p>
        </w:tc>
        <w:tc>
          <w:tcPr>
            <w:tcW w:w="34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10777043" w14:textId="77777777" w:rsidR="000B1573" w:rsidRPr="00AF03B5" w:rsidRDefault="000B1573" w:rsidP="00112E70">
            <w:pPr>
              <w:rPr>
                <w:sz w:val="21"/>
                <w:szCs w:val="21"/>
              </w:rPr>
            </w:pPr>
            <w:r w:rsidRPr="00AF03B5">
              <w:rPr>
                <w:sz w:val="21"/>
                <w:szCs w:val="21"/>
              </w:rPr>
              <w:t>What impacts or consequences did the initiative have for students?</w:t>
            </w:r>
          </w:p>
        </w:tc>
      </w:tr>
      <w:tr w:rsidR="000B1573" w:rsidRPr="00AF03B5" w14:paraId="4C81DCCB" w14:textId="77777777" w:rsidTr="00112E70">
        <w:trPr>
          <w:trHeight w:val="503"/>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00F05A33" w14:textId="77777777" w:rsidR="000B1573" w:rsidRPr="00AF03B5" w:rsidRDefault="000B1573" w:rsidP="00112E70">
            <w:pPr>
              <w:rPr>
                <w:sz w:val="21"/>
                <w:szCs w:val="21"/>
              </w:rPr>
            </w:pPr>
            <w:r w:rsidRPr="00AF03B5">
              <w:rPr>
                <w:sz w:val="21"/>
                <w:szCs w:val="21"/>
              </w:rPr>
              <w:t>Potential measures for design</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1FC119E4" w14:textId="77777777" w:rsidR="000B1573" w:rsidRPr="00AF03B5" w:rsidRDefault="000B1573" w:rsidP="00112E70">
            <w:pPr>
              <w:rPr>
                <w:sz w:val="21"/>
                <w:szCs w:val="21"/>
              </w:rPr>
            </w:pPr>
            <w:r w:rsidRPr="00AF03B5">
              <w:rPr>
                <w:sz w:val="21"/>
                <w:szCs w:val="21"/>
              </w:rPr>
              <w:t>Potential measures for rollout</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4E0AFE9E" w14:textId="77777777" w:rsidR="000B1573" w:rsidRPr="00AF03B5" w:rsidRDefault="000B1573" w:rsidP="00112E70">
            <w:pPr>
              <w:rPr>
                <w:sz w:val="21"/>
                <w:szCs w:val="21"/>
              </w:rPr>
            </w:pPr>
            <w:r w:rsidRPr="00AF03B5">
              <w:rPr>
                <w:sz w:val="21"/>
                <w:szCs w:val="21"/>
              </w:rPr>
              <w:t>Potential measures for things produced</w:t>
            </w:r>
          </w:p>
        </w:tc>
        <w:tc>
          <w:tcPr>
            <w:tcW w:w="34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16D6E0FC" w14:textId="77777777" w:rsidR="000B1573" w:rsidRPr="00AF03B5" w:rsidRDefault="000B1573" w:rsidP="00112E70">
            <w:pPr>
              <w:rPr>
                <w:sz w:val="21"/>
                <w:szCs w:val="21"/>
              </w:rPr>
            </w:pPr>
            <w:r w:rsidRPr="00AF03B5">
              <w:rPr>
                <w:sz w:val="21"/>
                <w:szCs w:val="21"/>
              </w:rPr>
              <w:t>Direct measures of engagement and achievement</w:t>
            </w:r>
          </w:p>
        </w:tc>
      </w:tr>
      <w:tr w:rsidR="000B1573" w:rsidRPr="00AF03B5" w14:paraId="14D81D9E" w14:textId="77777777" w:rsidTr="00112E70">
        <w:trPr>
          <w:trHeight w:val="464"/>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D0028E5" w14:textId="77777777" w:rsidR="000B1573" w:rsidRPr="00AF03B5" w:rsidRDefault="000B1573" w:rsidP="00112E70">
            <w:pPr>
              <w:rPr>
                <w:sz w:val="21"/>
                <w:szCs w:val="21"/>
              </w:rPr>
            </w:pP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7A2DA82A" w14:textId="77777777" w:rsidR="000B1573" w:rsidRPr="00AF03B5" w:rsidRDefault="000B1573" w:rsidP="00112E70">
            <w:pPr>
              <w:rPr>
                <w:sz w:val="21"/>
                <w:szCs w:val="21"/>
              </w:rPr>
            </w:pPr>
            <w:r w:rsidRPr="00AF03B5">
              <w:rPr>
                <w:sz w:val="21"/>
                <w:szCs w:val="21"/>
              </w:rPr>
              <w:t>Generic program measures</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44993E55" w14:textId="77777777" w:rsidR="000B1573" w:rsidRPr="00AF03B5" w:rsidRDefault="000B1573" w:rsidP="00112E70">
            <w:pPr>
              <w:rPr>
                <w:sz w:val="21"/>
                <w:szCs w:val="21"/>
              </w:rPr>
            </w:pPr>
            <w:r w:rsidRPr="00AF03B5">
              <w:rPr>
                <w:sz w:val="21"/>
                <w:szCs w:val="21"/>
              </w:rPr>
              <w:t>Potential measures for people reached</w:t>
            </w:r>
          </w:p>
        </w:tc>
        <w:tc>
          <w:tcPr>
            <w:tcW w:w="1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C6CD" w:themeFill="background2" w:themeFillTint="33"/>
            <w:vAlign w:val="center"/>
          </w:tcPr>
          <w:p w14:paraId="45F90C15" w14:textId="77777777" w:rsidR="000B1573" w:rsidRPr="00AF03B5" w:rsidRDefault="000B1573" w:rsidP="00112E70">
            <w:pPr>
              <w:rPr>
                <w:sz w:val="21"/>
                <w:szCs w:val="21"/>
              </w:rPr>
            </w:pPr>
            <w:r w:rsidRPr="00AF03B5">
              <w:rPr>
                <w:sz w:val="21"/>
                <w:szCs w:val="21"/>
              </w:rPr>
              <w:t>Direct measures of engagement</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C6CD" w:themeFill="background2" w:themeFillTint="33"/>
            <w:vAlign w:val="center"/>
          </w:tcPr>
          <w:p w14:paraId="7E516D39" w14:textId="77777777" w:rsidR="000B1573" w:rsidRPr="00AF03B5" w:rsidRDefault="000B1573" w:rsidP="00112E70">
            <w:pPr>
              <w:rPr>
                <w:sz w:val="21"/>
                <w:szCs w:val="21"/>
              </w:rPr>
            </w:pPr>
            <w:r w:rsidRPr="00AF03B5">
              <w:rPr>
                <w:sz w:val="21"/>
                <w:szCs w:val="21"/>
              </w:rPr>
              <w:t>Direct measures of achievement</w:t>
            </w:r>
          </w:p>
        </w:tc>
      </w:tr>
      <w:tr w:rsidR="000B1573" w:rsidRPr="00AF03B5" w14:paraId="3A4812E3" w14:textId="77777777" w:rsidTr="00112E70">
        <w:trPr>
          <w:trHeight w:val="501"/>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1F4FE41" w14:textId="77777777" w:rsidR="000B1573" w:rsidRPr="00AF03B5" w:rsidRDefault="000B1573" w:rsidP="00112E70">
            <w:pPr>
              <w:rPr>
                <w:sz w:val="21"/>
                <w:szCs w:val="21"/>
              </w:rPr>
            </w:pP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ECAE4DE" w14:textId="77777777" w:rsidR="000B1573" w:rsidRPr="00AF03B5" w:rsidRDefault="000B1573" w:rsidP="00112E70">
            <w:pPr>
              <w:rPr>
                <w:sz w:val="21"/>
                <w:szCs w:val="21"/>
              </w:rPr>
            </w:pP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78BB1002" w14:textId="77777777" w:rsidR="000B1573" w:rsidRPr="00AF03B5" w:rsidRDefault="000B1573" w:rsidP="00112E70">
            <w:pPr>
              <w:rPr>
                <w:sz w:val="21"/>
                <w:szCs w:val="21"/>
              </w:rPr>
            </w:pPr>
            <w:r w:rsidRPr="00AF03B5">
              <w:rPr>
                <w:sz w:val="21"/>
                <w:szCs w:val="21"/>
              </w:rPr>
              <w:t>Potential measures for time spent</w:t>
            </w:r>
          </w:p>
        </w:tc>
        <w:tc>
          <w:tcPr>
            <w:tcW w:w="344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3B620434" w14:textId="77777777" w:rsidR="000B1573" w:rsidRPr="00AF03B5" w:rsidRDefault="000B1573" w:rsidP="00112E70">
            <w:pPr>
              <w:rPr>
                <w:sz w:val="21"/>
                <w:szCs w:val="21"/>
              </w:rPr>
            </w:pPr>
            <w:r w:rsidRPr="00AF03B5">
              <w:rPr>
                <w:sz w:val="21"/>
                <w:szCs w:val="21"/>
              </w:rPr>
              <w:t>Proxies to measure engagement and achievement</w:t>
            </w:r>
          </w:p>
        </w:tc>
      </w:tr>
      <w:tr w:rsidR="000B1573" w:rsidRPr="00AF03B5" w14:paraId="511BE667" w14:textId="77777777" w:rsidTr="00112E70">
        <w:trPr>
          <w:trHeight w:val="613"/>
        </w:trPr>
        <w:tc>
          <w:tcPr>
            <w:tcW w:w="2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A0959B1" w14:textId="77777777" w:rsidR="000B1573" w:rsidRPr="00AF03B5" w:rsidRDefault="000B1573" w:rsidP="00112E70">
            <w:pPr>
              <w:rPr>
                <w:sz w:val="21"/>
                <w:szCs w:val="21"/>
              </w:rPr>
            </w:pP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3C2C33A" w14:textId="77777777" w:rsidR="000B1573" w:rsidRPr="00AF03B5" w:rsidRDefault="000B1573" w:rsidP="00112E70">
            <w:pPr>
              <w:rPr>
                <w:sz w:val="21"/>
                <w:szCs w:val="21"/>
              </w:rPr>
            </w:pP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8E7E7" w:themeFill="accent3"/>
            <w:vAlign w:val="center"/>
          </w:tcPr>
          <w:p w14:paraId="71C85F82" w14:textId="77777777" w:rsidR="000B1573" w:rsidRPr="00AF03B5" w:rsidRDefault="000B1573" w:rsidP="00112E70">
            <w:pPr>
              <w:rPr>
                <w:sz w:val="21"/>
                <w:szCs w:val="21"/>
              </w:rPr>
            </w:pPr>
            <w:r w:rsidRPr="00AF03B5">
              <w:rPr>
                <w:sz w:val="21"/>
                <w:szCs w:val="21"/>
              </w:rPr>
              <w:t>Potential measures about who received the initiative</w:t>
            </w:r>
          </w:p>
        </w:tc>
        <w:tc>
          <w:tcPr>
            <w:tcW w:w="1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C6CD" w:themeFill="background2" w:themeFillTint="33"/>
            <w:vAlign w:val="center"/>
          </w:tcPr>
          <w:p w14:paraId="2F04FD75" w14:textId="77777777" w:rsidR="000B1573" w:rsidRPr="00AF03B5" w:rsidRDefault="000B1573" w:rsidP="00112E70">
            <w:pPr>
              <w:rPr>
                <w:sz w:val="21"/>
                <w:szCs w:val="21"/>
              </w:rPr>
            </w:pPr>
            <w:r w:rsidRPr="00AF03B5">
              <w:rPr>
                <w:sz w:val="21"/>
                <w:szCs w:val="21"/>
              </w:rPr>
              <w:t xml:space="preserve">Potential behaviours to use as proxies </w:t>
            </w:r>
          </w:p>
        </w:tc>
        <w:tc>
          <w:tcPr>
            <w:tcW w:w="17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C6CD" w:themeFill="background2" w:themeFillTint="33"/>
            <w:vAlign w:val="center"/>
          </w:tcPr>
          <w:p w14:paraId="6D7C3576" w14:textId="77777777" w:rsidR="000B1573" w:rsidRPr="00AF03B5" w:rsidRDefault="000B1573" w:rsidP="00112E70">
            <w:pPr>
              <w:rPr>
                <w:sz w:val="21"/>
                <w:szCs w:val="21"/>
              </w:rPr>
            </w:pPr>
            <w:r w:rsidRPr="00AF03B5">
              <w:rPr>
                <w:sz w:val="21"/>
                <w:szCs w:val="21"/>
              </w:rPr>
              <w:t>Potential beliefs to use as proxies</w:t>
            </w:r>
          </w:p>
        </w:tc>
      </w:tr>
    </w:tbl>
    <w:p w14:paraId="3662E50B" w14:textId="77777777" w:rsidR="000B1573" w:rsidRDefault="000B1573" w:rsidP="00CD2F48">
      <w:pPr>
        <w:pStyle w:val="Heading3Normal"/>
        <w:rPr>
          <w:rFonts w:asciiTheme="minorHAnsi" w:hAnsiTheme="minorHAnsi"/>
        </w:rPr>
      </w:pPr>
    </w:p>
    <w:p w14:paraId="0AF9B8DB" w14:textId="77777777" w:rsidR="008260AE" w:rsidRPr="00292D9C" w:rsidRDefault="00CD2F48" w:rsidP="00CD2F48">
      <w:pPr>
        <w:pStyle w:val="Heading3Normal"/>
        <w:rPr>
          <w:rFonts w:asciiTheme="minorHAnsi" w:hAnsiTheme="minorHAnsi"/>
        </w:rPr>
      </w:pPr>
      <w:r w:rsidRPr="00292D9C">
        <w:rPr>
          <w:rFonts w:asciiTheme="minorHAnsi" w:hAnsiTheme="minorHAnsi"/>
        </w:rPr>
        <w:t>A conceptual framework helps us frame information we collect through important key questions</w:t>
      </w:r>
    </w:p>
    <w:p w14:paraId="29356594" w14:textId="77777777" w:rsidR="00CD2F48" w:rsidRPr="00292D9C" w:rsidRDefault="00CD2F48" w:rsidP="00CD2F48">
      <w:r w:rsidRPr="00292D9C">
        <w:t>Our conceptual framework for this project is organised into four major questions:</w:t>
      </w:r>
    </w:p>
    <w:p w14:paraId="0086A534" w14:textId="77777777" w:rsidR="00CD2F48" w:rsidRPr="00292D9C" w:rsidRDefault="00CD2F48" w:rsidP="00164DDE">
      <w:pPr>
        <w:pStyle w:val="ListParagraph"/>
        <w:numPr>
          <w:ilvl w:val="0"/>
          <w:numId w:val="167"/>
        </w:numPr>
      </w:pPr>
      <w:r w:rsidRPr="00292D9C">
        <w:rPr>
          <w:b/>
          <w:bCs/>
        </w:rPr>
        <w:t>Why?</w:t>
      </w:r>
      <w:r w:rsidRPr="00292D9C">
        <w:t xml:space="preserve"> </w:t>
      </w:r>
      <w:r w:rsidRPr="00292D9C">
        <w:rPr>
          <w:i/>
          <w:iCs/>
        </w:rPr>
        <w:t>What are the NISA initiatives trying to achieve?</w:t>
      </w:r>
    </w:p>
    <w:p w14:paraId="487C657A" w14:textId="77777777" w:rsidR="00CD2F48" w:rsidRPr="00292D9C" w:rsidRDefault="00CD2F48" w:rsidP="00164DDE">
      <w:pPr>
        <w:pStyle w:val="ListParagraph"/>
        <w:numPr>
          <w:ilvl w:val="0"/>
          <w:numId w:val="167"/>
        </w:numPr>
      </w:pPr>
      <w:r w:rsidRPr="00292D9C">
        <w:rPr>
          <w:b/>
          <w:bCs/>
        </w:rPr>
        <w:t>Who?</w:t>
      </w:r>
      <w:r w:rsidRPr="00292D9C">
        <w:t xml:space="preserve"> </w:t>
      </w:r>
      <w:r w:rsidRPr="00292D9C">
        <w:rPr>
          <w:i/>
          <w:iCs/>
        </w:rPr>
        <w:t>Who is the target audience?</w:t>
      </w:r>
    </w:p>
    <w:p w14:paraId="674DCBE4" w14:textId="77777777" w:rsidR="00CD2F48" w:rsidRPr="00292D9C" w:rsidRDefault="00CD2F48" w:rsidP="00164DDE">
      <w:pPr>
        <w:pStyle w:val="ListParagraph"/>
        <w:numPr>
          <w:ilvl w:val="0"/>
          <w:numId w:val="167"/>
        </w:numPr>
      </w:pPr>
      <w:r w:rsidRPr="00292D9C">
        <w:rPr>
          <w:b/>
          <w:bCs/>
        </w:rPr>
        <w:t>What?</w:t>
      </w:r>
      <w:r w:rsidRPr="00292D9C">
        <w:t xml:space="preserve"> </w:t>
      </w:r>
      <w:r w:rsidRPr="00292D9C">
        <w:rPr>
          <w:i/>
          <w:iCs/>
        </w:rPr>
        <w:t xml:space="preserve">What are the initiatives delivering? </w:t>
      </w:r>
    </w:p>
    <w:p w14:paraId="2E93D594" w14:textId="77777777" w:rsidR="00CD2F48" w:rsidRPr="00292D9C" w:rsidRDefault="00CD2F48" w:rsidP="00164DDE">
      <w:pPr>
        <w:pStyle w:val="ListParagraph"/>
        <w:numPr>
          <w:ilvl w:val="0"/>
          <w:numId w:val="167"/>
        </w:numPr>
      </w:pPr>
      <w:r w:rsidRPr="00292D9C">
        <w:rPr>
          <w:b/>
          <w:bCs/>
        </w:rPr>
        <w:t>How?</w:t>
      </w:r>
      <w:r w:rsidRPr="00292D9C">
        <w:t xml:space="preserve"> </w:t>
      </w:r>
      <w:r w:rsidRPr="00292D9C">
        <w:rPr>
          <w:i/>
          <w:iCs/>
        </w:rPr>
        <w:t xml:space="preserve">How are they being delivered? </w:t>
      </w:r>
    </w:p>
    <w:p w14:paraId="787549E2" w14:textId="77777777" w:rsidR="00CD2F48" w:rsidRPr="00292D9C" w:rsidRDefault="00CD2F48" w:rsidP="00CD2F48">
      <w:r w:rsidRPr="00292D9C">
        <w:t xml:space="preserve">We’ve provided a table that outlines are rationale for each lens below. </w:t>
      </w:r>
    </w:p>
    <w:p w14:paraId="46A04901" w14:textId="77777777" w:rsidR="000B1573" w:rsidRDefault="000B1573">
      <w:pPr>
        <w:spacing w:after="240" w:line="240" w:lineRule="auto"/>
        <w:rPr>
          <w:b/>
        </w:rPr>
      </w:pPr>
      <w:r>
        <w:rPr>
          <w:b/>
        </w:rPr>
        <w:br w:type="page"/>
      </w:r>
    </w:p>
    <w:p w14:paraId="0E1D8668" w14:textId="77777777" w:rsidR="00CD2F48" w:rsidRPr="00292D9C" w:rsidRDefault="00292D9C" w:rsidP="00CD2F48">
      <w:r>
        <w:rPr>
          <w:b/>
        </w:rPr>
        <w:t>Table 1</w:t>
      </w:r>
      <w:r w:rsidR="00CD2F48" w:rsidRPr="00292D9C">
        <w:rPr>
          <w:b/>
        </w:rPr>
        <w:t>. Rationale for conceptual framework</w:t>
      </w:r>
    </w:p>
    <w:tbl>
      <w:tblPr>
        <w:tblStyle w:val="BoxGrid-Coloured"/>
        <w:tblpPr w:leftFromText="180" w:rightFromText="180" w:vertAnchor="text" w:horzAnchor="margin" w:tblpY="512"/>
        <w:tblW w:w="9093" w:type="dxa"/>
        <w:tblLook w:val="04A0" w:firstRow="1" w:lastRow="0" w:firstColumn="1" w:lastColumn="0" w:noHBand="0" w:noVBand="1"/>
      </w:tblPr>
      <w:tblGrid>
        <w:gridCol w:w="988"/>
        <w:gridCol w:w="2458"/>
        <w:gridCol w:w="5647"/>
      </w:tblGrid>
      <w:tr w:rsidR="00CD2F48" w:rsidRPr="00292D9C" w14:paraId="1193700F" w14:textId="77777777" w:rsidTr="008D5AC7">
        <w:trPr>
          <w:trHeight w:val="286"/>
        </w:trPr>
        <w:tc>
          <w:tcPr>
            <w:tcW w:w="988" w:type="dxa"/>
          </w:tcPr>
          <w:p w14:paraId="1DB9EB7F" w14:textId="77777777" w:rsidR="00CD2F48" w:rsidRPr="00292D9C" w:rsidRDefault="00CD2F48" w:rsidP="008D5AC7">
            <w:pPr>
              <w:pStyle w:val="TableHeadingBlack"/>
              <w:spacing w:after="120" w:line="360" w:lineRule="auto"/>
              <w:rPr>
                <w:rFonts w:asciiTheme="minorHAnsi" w:hAnsiTheme="minorHAnsi"/>
                <w:sz w:val="20"/>
                <w:lang w:val="en"/>
              </w:rPr>
            </w:pPr>
          </w:p>
        </w:tc>
        <w:tc>
          <w:tcPr>
            <w:tcW w:w="2458" w:type="dxa"/>
          </w:tcPr>
          <w:p w14:paraId="008C24F5"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Analytical Lens</w:t>
            </w:r>
          </w:p>
        </w:tc>
        <w:tc>
          <w:tcPr>
            <w:tcW w:w="5647" w:type="dxa"/>
          </w:tcPr>
          <w:p w14:paraId="1B7278DD"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Rationale</w:t>
            </w:r>
          </w:p>
        </w:tc>
      </w:tr>
      <w:tr w:rsidR="00CD2F48" w:rsidRPr="00292D9C" w14:paraId="56916856" w14:textId="77777777" w:rsidTr="008D5AC7">
        <w:trPr>
          <w:trHeight w:val="263"/>
        </w:trPr>
        <w:tc>
          <w:tcPr>
            <w:tcW w:w="988" w:type="dxa"/>
            <w:vMerge w:val="restart"/>
          </w:tcPr>
          <w:p w14:paraId="603EB026"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 xml:space="preserve">Why </w:t>
            </w:r>
          </w:p>
        </w:tc>
        <w:tc>
          <w:tcPr>
            <w:tcW w:w="2458" w:type="dxa"/>
          </w:tcPr>
          <w:p w14:paraId="5FF888F1" w14:textId="77777777" w:rsidR="00CD2F48" w:rsidRPr="00292D9C" w:rsidRDefault="00CD2F48" w:rsidP="008D5AC7">
            <w:pPr>
              <w:rPr>
                <w:sz w:val="20"/>
                <w:lang w:val="en"/>
              </w:rPr>
            </w:pPr>
            <w:r w:rsidRPr="00292D9C">
              <w:rPr>
                <w:sz w:val="20"/>
                <w:lang w:val="en"/>
              </w:rPr>
              <w:t>Do initiatives focus on student engagement or achievement?</w:t>
            </w:r>
          </w:p>
        </w:tc>
        <w:tc>
          <w:tcPr>
            <w:tcW w:w="5647" w:type="dxa"/>
          </w:tcPr>
          <w:p w14:paraId="5CAA73B2" w14:textId="77777777" w:rsidR="00CD2F48" w:rsidRPr="00292D9C" w:rsidRDefault="00CD2F48" w:rsidP="008D5AC7">
            <w:pPr>
              <w:rPr>
                <w:sz w:val="20"/>
                <w:lang w:val="en"/>
              </w:rPr>
            </w:pPr>
            <w:r w:rsidRPr="00292D9C">
              <w:rPr>
                <w:sz w:val="20"/>
                <w:lang w:val="en"/>
              </w:rPr>
              <w:t>STEM education initiatives aim to improve STEM outcomes for students. This typically focuses on two factors:</w:t>
            </w:r>
          </w:p>
          <w:p w14:paraId="12254DF5" w14:textId="77777777" w:rsidR="00CD2F48" w:rsidRPr="00292D9C" w:rsidRDefault="00CD2F48" w:rsidP="00164DDE">
            <w:pPr>
              <w:pStyle w:val="ListParagraph"/>
              <w:numPr>
                <w:ilvl w:val="0"/>
                <w:numId w:val="31"/>
              </w:numPr>
              <w:rPr>
                <w:sz w:val="20"/>
                <w:lang w:val="en"/>
              </w:rPr>
            </w:pPr>
            <w:r w:rsidRPr="00292D9C">
              <w:rPr>
                <w:sz w:val="20"/>
                <w:lang w:val="en"/>
              </w:rPr>
              <w:t xml:space="preserve">Increasing engagement in STEM </w:t>
            </w:r>
          </w:p>
          <w:p w14:paraId="3C2C5EC2" w14:textId="77777777" w:rsidR="00CD2F48" w:rsidRPr="00292D9C" w:rsidRDefault="00CD2F48" w:rsidP="00164DDE">
            <w:pPr>
              <w:pStyle w:val="ListParagraph"/>
              <w:numPr>
                <w:ilvl w:val="0"/>
                <w:numId w:val="31"/>
              </w:numPr>
              <w:rPr>
                <w:sz w:val="20"/>
                <w:lang w:val="en"/>
              </w:rPr>
            </w:pPr>
            <w:r w:rsidRPr="00292D9C">
              <w:rPr>
                <w:sz w:val="20"/>
                <w:lang w:val="en"/>
              </w:rPr>
              <w:t xml:space="preserve">Increasing achievement in STEM </w:t>
            </w:r>
          </w:p>
          <w:p w14:paraId="0D3C1F82" w14:textId="77777777" w:rsidR="00CD2F48" w:rsidRPr="00292D9C" w:rsidRDefault="00CD2F48" w:rsidP="008D5AC7">
            <w:pPr>
              <w:rPr>
                <w:sz w:val="20"/>
                <w:lang w:val="en"/>
              </w:rPr>
            </w:pPr>
            <w:r w:rsidRPr="00292D9C">
              <w:rPr>
                <w:sz w:val="20"/>
                <w:lang w:val="en"/>
              </w:rPr>
              <w:t xml:space="preserve">These two factors directly influence student outcomes. Student engagement is understood as the degree of attention and interest a </w:t>
            </w:r>
            <w:proofErr w:type="gramStart"/>
            <w:r w:rsidRPr="00292D9C">
              <w:rPr>
                <w:sz w:val="20"/>
                <w:lang w:val="en"/>
              </w:rPr>
              <w:t>student shows</w:t>
            </w:r>
            <w:proofErr w:type="gramEnd"/>
            <w:r w:rsidRPr="00292D9C">
              <w:rPr>
                <w:sz w:val="20"/>
                <w:lang w:val="en"/>
              </w:rPr>
              <w:t xml:space="preserve"> when they are being taught which extends to the motivation they have to learn. Student achievement refers to improved performance, knowledge or skills. Both are closely interlinked and influence the other. It’s a useful way to understand what different STEM initiatives are seeking to achieve, and to ensure there are initiatives that serve both purposes. </w:t>
            </w:r>
          </w:p>
        </w:tc>
      </w:tr>
      <w:tr w:rsidR="00CD2F48" w:rsidRPr="00292D9C" w14:paraId="5D4D9DC8" w14:textId="77777777" w:rsidTr="008D5AC7">
        <w:trPr>
          <w:trHeight w:val="256"/>
        </w:trPr>
        <w:tc>
          <w:tcPr>
            <w:tcW w:w="988" w:type="dxa"/>
            <w:vMerge/>
          </w:tcPr>
          <w:p w14:paraId="235C883B" w14:textId="77777777" w:rsidR="00CD2F48" w:rsidRPr="00292D9C" w:rsidRDefault="00CD2F48" w:rsidP="008D5AC7">
            <w:pPr>
              <w:pStyle w:val="TableHeadingBlack"/>
              <w:spacing w:after="120" w:line="360" w:lineRule="auto"/>
              <w:rPr>
                <w:rFonts w:asciiTheme="minorHAnsi" w:hAnsiTheme="minorHAnsi"/>
                <w:sz w:val="20"/>
                <w:lang w:val="en"/>
              </w:rPr>
            </w:pPr>
          </w:p>
        </w:tc>
        <w:tc>
          <w:tcPr>
            <w:tcW w:w="2458" w:type="dxa"/>
          </w:tcPr>
          <w:p w14:paraId="2FE302DF" w14:textId="77777777" w:rsidR="00CD2F48" w:rsidRPr="00292D9C" w:rsidRDefault="00CD2F48" w:rsidP="008D5AC7">
            <w:pPr>
              <w:rPr>
                <w:sz w:val="20"/>
                <w:lang w:val="en"/>
              </w:rPr>
            </w:pPr>
            <w:r w:rsidRPr="00292D9C">
              <w:rPr>
                <w:sz w:val="20"/>
                <w:lang w:val="en"/>
              </w:rPr>
              <w:t>Do the initiatives have a universal focus or are they trying to increase equity or excellence?</w:t>
            </w:r>
          </w:p>
        </w:tc>
        <w:tc>
          <w:tcPr>
            <w:tcW w:w="5647" w:type="dxa"/>
          </w:tcPr>
          <w:p w14:paraId="32F1EAC5" w14:textId="77777777" w:rsidR="00CD2F48" w:rsidRPr="00292D9C" w:rsidRDefault="00CD2F48" w:rsidP="008D5AC7">
            <w:pPr>
              <w:rPr>
                <w:sz w:val="20"/>
                <w:lang w:val="en"/>
              </w:rPr>
            </w:pPr>
            <w:r w:rsidRPr="00292D9C">
              <w:rPr>
                <w:sz w:val="20"/>
                <w:lang w:val="en"/>
              </w:rPr>
              <w:t>Generally, there are two ways to design a program to reach participants:</w:t>
            </w:r>
          </w:p>
          <w:p w14:paraId="05C86588" w14:textId="77777777" w:rsidR="00CD2F48" w:rsidRPr="00292D9C" w:rsidRDefault="00CD2F48" w:rsidP="00164DDE">
            <w:pPr>
              <w:pStyle w:val="ListParagraph"/>
              <w:numPr>
                <w:ilvl w:val="0"/>
                <w:numId w:val="30"/>
              </w:numPr>
              <w:rPr>
                <w:sz w:val="20"/>
                <w:lang w:val="en"/>
              </w:rPr>
            </w:pPr>
            <w:r w:rsidRPr="00292D9C">
              <w:rPr>
                <w:sz w:val="20"/>
                <w:lang w:val="en"/>
              </w:rPr>
              <w:t>Universal approach</w:t>
            </w:r>
          </w:p>
          <w:p w14:paraId="73EBBD56" w14:textId="77777777" w:rsidR="00CD2F48" w:rsidRPr="00292D9C" w:rsidRDefault="00CD2F48" w:rsidP="00164DDE">
            <w:pPr>
              <w:pStyle w:val="ListParagraph"/>
              <w:numPr>
                <w:ilvl w:val="0"/>
                <w:numId w:val="30"/>
              </w:numPr>
              <w:rPr>
                <w:sz w:val="20"/>
                <w:lang w:val="en"/>
              </w:rPr>
            </w:pPr>
            <w:r w:rsidRPr="00292D9C">
              <w:rPr>
                <w:sz w:val="20"/>
                <w:lang w:val="en"/>
              </w:rPr>
              <w:t>Targeted approach.</w:t>
            </w:r>
          </w:p>
          <w:p w14:paraId="35CB8F84" w14:textId="77777777" w:rsidR="00CD2F48" w:rsidRPr="00292D9C" w:rsidRDefault="00CD2F48" w:rsidP="008D5AC7">
            <w:pPr>
              <w:rPr>
                <w:sz w:val="20"/>
                <w:lang w:val="en"/>
              </w:rPr>
            </w:pPr>
            <w:r w:rsidRPr="00292D9C">
              <w:rPr>
                <w:sz w:val="20"/>
                <w:lang w:val="en"/>
              </w:rPr>
              <w:t xml:space="preserve">Initiatives with a universal focus aim to serve a wide population, e.g. all students, or all students in Year 7. They do not target people with a particular background. Equity-focused initiatives target groups that are underrepresented in STEM such as students who are female, Indigenous or from low SES backgrounds. Excellence-focused initiatives target high-performing students in STEM. Universal and targeted programs may have different objectives and impact. For example, a universal program may reach a lot of people but have shallow impact, while a targeted program may reach a smaller cohort of people but leave a greater impression. </w:t>
            </w:r>
          </w:p>
        </w:tc>
      </w:tr>
      <w:tr w:rsidR="00CD2F48" w:rsidRPr="00292D9C" w14:paraId="25CD69B6" w14:textId="77777777" w:rsidTr="008D5AC7">
        <w:trPr>
          <w:trHeight w:val="263"/>
        </w:trPr>
        <w:tc>
          <w:tcPr>
            <w:tcW w:w="988" w:type="dxa"/>
            <w:vMerge w:val="restart"/>
          </w:tcPr>
          <w:p w14:paraId="05AAF1E7"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Who</w:t>
            </w:r>
          </w:p>
        </w:tc>
        <w:tc>
          <w:tcPr>
            <w:tcW w:w="2458" w:type="dxa"/>
          </w:tcPr>
          <w:p w14:paraId="0A0EE225" w14:textId="77777777" w:rsidR="00CD2F48" w:rsidRPr="00292D9C" w:rsidRDefault="00CD2F48" w:rsidP="008D5AC7">
            <w:pPr>
              <w:rPr>
                <w:sz w:val="20"/>
                <w:lang w:val="en"/>
              </w:rPr>
            </w:pPr>
            <w:r w:rsidRPr="00292D9C">
              <w:rPr>
                <w:sz w:val="20"/>
                <w:lang w:val="en"/>
              </w:rPr>
              <w:t>Who is the main target audience for the initiatives?</w:t>
            </w:r>
          </w:p>
        </w:tc>
        <w:tc>
          <w:tcPr>
            <w:tcW w:w="5647" w:type="dxa"/>
          </w:tcPr>
          <w:p w14:paraId="780653E5" w14:textId="77777777" w:rsidR="00CD2F48" w:rsidRPr="00292D9C" w:rsidRDefault="00CD2F48" w:rsidP="008D5AC7">
            <w:pPr>
              <w:rPr>
                <w:sz w:val="20"/>
                <w:lang w:val="en"/>
              </w:rPr>
            </w:pPr>
            <w:r w:rsidRPr="00292D9C">
              <w:rPr>
                <w:sz w:val="20"/>
                <w:lang w:val="en"/>
              </w:rPr>
              <w:t xml:space="preserve">Initiatives can target school leadership, teaching staff, students directly or other groups such as parents. Outcomes will vary depending on intended target audience. </w:t>
            </w:r>
          </w:p>
        </w:tc>
      </w:tr>
      <w:tr w:rsidR="00CD2F48" w:rsidRPr="00292D9C" w14:paraId="4FCBA809" w14:textId="77777777" w:rsidTr="008D5AC7">
        <w:trPr>
          <w:trHeight w:val="256"/>
        </w:trPr>
        <w:tc>
          <w:tcPr>
            <w:tcW w:w="988" w:type="dxa"/>
            <w:vMerge/>
          </w:tcPr>
          <w:p w14:paraId="545D25C9" w14:textId="77777777" w:rsidR="00CD2F48" w:rsidRPr="00292D9C" w:rsidRDefault="00CD2F48" w:rsidP="008D5AC7">
            <w:pPr>
              <w:pStyle w:val="TableHeadingBlack"/>
              <w:spacing w:after="120" w:line="360" w:lineRule="auto"/>
              <w:rPr>
                <w:rFonts w:asciiTheme="minorHAnsi" w:hAnsiTheme="minorHAnsi"/>
                <w:sz w:val="20"/>
                <w:lang w:val="en"/>
              </w:rPr>
            </w:pPr>
          </w:p>
        </w:tc>
        <w:tc>
          <w:tcPr>
            <w:tcW w:w="2458" w:type="dxa"/>
          </w:tcPr>
          <w:p w14:paraId="147F727A" w14:textId="77777777" w:rsidR="00CD2F48" w:rsidRPr="00292D9C" w:rsidRDefault="00CD2F48" w:rsidP="008D5AC7">
            <w:pPr>
              <w:rPr>
                <w:sz w:val="20"/>
                <w:lang w:val="en"/>
              </w:rPr>
            </w:pPr>
            <w:r w:rsidRPr="00292D9C">
              <w:rPr>
                <w:sz w:val="20"/>
                <w:lang w:val="en"/>
              </w:rPr>
              <w:t>What education level do the initiatives target?</w:t>
            </w:r>
          </w:p>
        </w:tc>
        <w:tc>
          <w:tcPr>
            <w:tcW w:w="5647" w:type="dxa"/>
          </w:tcPr>
          <w:p w14:paraId="78577FB8" w14:textId="77777777" w:rsidR="00CD2F48" w:rsidRPr="00292D9C" w:rsidRDefault="00CD2F48" w:rsidP="008D5AC7">
            <w:pPr>
              <w:rPr>
                <w:sz w:val="20"/>
                <w:lang w:val="en"/>
              </w:rPr>
            </w:pPr>
            <w:r w:rsidRPr="00292D9C">
              <w:rPr>
                <w:sz w:val="20"/>
                <w:lang w:val="en"/>
              </w:rPr>
              <w:t xml:space="preserve">Initiatives can focus solely on one education level such as the early years, primary or secondary, or span across two or three different education levels. </w:t>
            </w:r>
          </w:p>
        </w:tc>
      </w:tr>
      <w:tr w:rsidR="00CD2F48" w:rsidRPr="00292D9C" w14:paraId="4BE5707E" w14:textId="77777777" w:rsidTr="008D5AC7">
        <w:trPr>
          <w:trHeight w:val="263"/>
        </w:trPr>
        <w:tc>
          <w:tcPr>
            <w:tcW w:w="988" w:type="dxa"/>
            <w:vMerge w:val="restart"/>
          </w:tcPr>
          <w:p w14:paraId="52FA3437"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 xml:space="preserve">What  </w:t>
            </w:r>
          </w:p>
        </w:tc>
        <w:tc>
          <w:tcPr>
            <w:tcW w:w="2458" w:type="dxa"/>
          </w:tcPr>
          <w:p w14:paraId="63B1FEBD" w14:textId="77777777" w:rsidR="00CD2F48" w:rsidRPr="00292D9C" w:rsidRDefault="00CD2F48" w:rsidP="008D5AC7">
            <w:pPr>
              <w:rPr>
                <w:sz w:val="20"/>
                <w:lang w:val="en"/>
              </w:rPr>
            </w:pPr>
            <w:r w:rsidRPr="00292D9C">
              <w:rPr>
                <w:sz w:val="20"/>
                <w:lang w:val="en"/>
              </w:rPr>
              <w:t>What is the main output of the initiatives?</w:t>
            </w:r>
          </w:p>
        </w:tc>
        <w:tc>
          <w:tcPr>
            <w:tcW w:w="5647" w:type="dxa"/>
          </w:tcPr>
          <w:p w14:paraId="3E8693EB" w14:textId="77777777" w:rsidR="00CD2F48" w:rsidRPr="00292D9C" w:rsidRDefault="00CD2F48" w:rsidP="008D5AC7">
            <w:pPr>
              <w:rPr>
                <w:sz w:val="20"/>
                <w:lang w:val="en"/>
              </w:rPr>
            </w:pPr>
            <w:r w:rsidRPr="00292D9C">
              <w:rPr>
                <w:sz w:val="20"/>
                <w:lang w:val="en"/>
              </w:rPr>
              <w:t xml:space="preserve">The main outputs include resources, professional learning or student mentoring. Resources refers to those initiatives that produce materials such as lesson plans or contribute information to online portals. Professional learning, although linked to resource-use, relates to initiatives which involve workshops or conferences to train and coach educators on delivering STEM curriculum or using digital technologies (either via online, face-to-face or mixed mode delivery). </w:t>
            </w:r>
          </w:p>
        </w:tc>
      </w:tr>
      <w:tr w:rsidR="00CD2F48" w:rsidRPr="00292D9C" w14:paraId="711285C6" w14:textId="77777777" w:rsidTr="008D5AC7">
        <w:trPr>
          <w:trHeight w:val="256"/>
        </w:trPr>
        <w:tc>
          <w:tcPr>
            <w:tcW w:w="988" w:type="dxa"/>
            <w:vMerge/>
          </w:tcPr>
          <w:p w14:paraId="3C196E9C" w14:textId="77777777" w:rsidR="00CD2F48" w:rsidRPr="00292D9C" w:rsidRDefault="00CD2F48" w:rsidP="008D5AC7">
            <w:pPr>
              <w:pStyle w:val="TableHeadingBlack"/>
              <w:spacing w:after="120" w:line="360" w:lineRule="auto"/>
              <w:rPr>
                <w:rFonts w:asciiTheme="minorHAnsi" w:hAnsiTheme="minorHAnsi"/>
                <w:sz w:val="20"/>
                <w:lang w:val="en"/>
              </w:rPr>
            </w:pPr>
          </w:p>
        </w:tc>
        <w:tc>
          <w:tcPr>
            <w:tcW w:w="2458" w:type="dxa"/>
          </w:tcPr>
          <w:p w14:paraId="36B53289" w14:textId="77777777" w:rsidR="00CD2F48" w:rsidRPr="00292D9C" w:rsidRDefault="00CD2F48" w:rsidP="008D5AC7">
            <w:pPr>
              <w:rPr>
                <w:sz w:val="20"/>
                <w:lang w:val="en"/>
              </w:rPr>
            </w:pPr>
            <w:r w:rsidRPr="00292D9C">
              <w:rPr>
                <w:sz w:val="20"/>
                <w:lang w:val="en"/>
              </w:rPr>
              <w:t>What curriculum area do the initiatives focus on?</w:t>
            </w:r>
          </w:p>
        </w:tc>
        <w:tc>
          <w:tcPr>
            <w:tcW w:w="5647" w:type="dxa"/>
          </w:tcPr>
          <w:p w14:paraId="60607FC5" w14:textId="77777777" w:rsidR="00CD2F48" w:rsidRPr="00292D9C" w:rsidRDefault="00CD2F48" w:rsidP="008D5AC7">
            <w:pPr>
              <w:rPr>
                <w:sz w:val="20"/>
                <w:lang w:val="en"/>
              </w:rPr>
            </w:pPr>
            <w:r w:rsidRPr="00292D9C">
              <w:rPr>
                <w:sz w:val="20"/>
                <w:lang w:val="en"/>
              </w:rPr>
              <w:t xml:space="preserve">Curriculum areas specific to STEM include science, mathematics and digital technology learning areas. Engineering is part of STEM but is not a learning area in the Australian curriculum. General STEM is the </w:t>
            </w:r>
            <w:proofErr w:type="spellStart"/>
            <w:r w:rsidRPr="00292D9C">
              <w:rPr>
                <w:sz w:val="20"/>
                <w:lang w:val="en"/>
              </w:rPr>
              <w:t>categorisation</w:t>
            </w:r>
            <w:proofErr w:type="spellEnd"/>
            <w:r w:rsidRPr="00292D9C">
              <w:rPr>
                <w:sz w:val="20"/>
                <w:lang w:val="en"/>
              </w:rPr>
              <w:t xml:space="preserve"> given to initiatives which span more than one subject or have an interdisciplinary focus. </w:t>
            </w:r>
          </w:p>
        </w:tc>
      </w:tr>
      <w:tr w:rsidR="00CD2F48" w:rsidRPr="00292D9C" w14:paraId="3C77C30C" w14:textId="77777777" w:rsidTr="008D5AC7">
        <w:trPr>
          <w:trHeight w:val="256"/>
        </w:trPr>
        <w:tc>
          <w:tcPr>
            <w:tcW w:w="988" w:type="dxa"/>
          </w:tcPr>
          <w:p w14:paraId="6EA2FBA2" w14:textId="77777777" w:rsidR="00CD2F48" w:rsidRPr="00292D9C" w:rsidRDefault="00CD2F48" w:rsidP="008D5AC7">
            <w:pPr>
              <w:pStyle w:val="TableHeadingBlack"/>
              <w:spacing w:after="120" w:line="360" w:lineRule="auto"/>
              <w:rPr>
                <w:rFonts w:asciiTheme="minorHAnsi" w:hAnsiTheme="minorHAnsi"/>
                <w:sz w:val="20"/>
                <w:lang w:val="en"/>
              </w:rPr>
            </w:pPr>
            <w:r w:rsidRPr="00292D9C">
              <w:rPr>
                <w:rFonts w:asciiTheme="minorHAnsi" w:hAnsiTheme="minorHAnsi"/>
                <w:sz w:val="20"/>
                <w:lang w:val="en"/>
              </w:rPr>
              <w:t>How</w:t>
            </w:r>
          </w:p>
        </w:tc>
        <w:tc>
          <w:tcPr>
            <w:tcW w:w="2458" w:type="dxa"/>
          </w:tcPr>
          <w:p w14:paraId="7D9C55AE" w14:textId="77777777" w:rsidR="00CD2F48" w:rsidRPr="00292D9C" w:rsidRDefault="00CD2F48" w:rsidP="008D5AC7">
            <w:pPr>
              <w:rPr>
                <w:sz w:val="20"/>
                <w:lang w:val="en"/>
              </w:rPr>
            </w:pPr>
            <w:r w:rsidRPr="00292D9C">
              <w:rPr>
                <w:sz w:val="20"/>
                <w:lang w:val="en"/>
              </w:rPr>
              <w:t>What are the partnerships, processes and supports that have been used?</w:t>
            </w:r>
          </w:p>
        </w:tc>
        <w:tc>
          <w:tcPr>
            <w:tcW w:w="5647" w:type="dxa"/>
          </w:tcPr>
          <w:p w14:paraId="719000B3" w14:textId="77777777" w:rsidR="00CD2F48" w:rsidRPr="00292D9C" w:rsidRDefault="00CD2F48" w:rsidP="008D5AC7">
            <w:pPr>
              <w:rPr>
                <w:sz w:val="20"/>
              </w:rPr>
            </w:pPr>
            <w:r w:rsidRPr="00292D9C">
              <w:rPr>
                <w:sz w:val="20"/>
              </w:rPr>
              <w:t>NISA initiatives have been delivered in partnership with providers. It’s important to understand the nature of these relationships and any perceived or real challenges that might create barriers for initiative success.</w:t>
            </w:r>
          </w:p>
        </w:tc>
      </w:tr>
    </w:tbl>
    <w:p w14:paraId="59826C1D" w14:textId="77777777" w:rsidR="00CD2F48" w:rsidRPr="00292D9C" w:rsidRDefault="00CD2F48" w:rsidP="00CD2F48"/>
    <w:p w14:paraId="7B7A7CAF" w14:textId="77777777" w:rsidR="0050550E" w:rsidRPr="0028773F" w:rsidRDefault="00CD2F48" w:rsidP="0028773F">
      <w:r w:rsidRPr="00292D9C">
        <w:rPr>
          <w:b/>
        </w:rPr>
        <w:br w:type="page"/>
      </w:r>
    </w:p>
    <w:p w14:paraId="250E31D9" w14:textId="77777777" w:rsidR="00DF5050" w:rsidRPr="00292D9C" w:rsidRDefault="00DF5050" w:rsidP="00A616D5">
      <w:pPr>
        <w:pStyle w:val="Heading1"/>
        <w:spacing w:before="0" w:after="120" w:line="360" w:lineRule="auto"/>
        <w:rPr>
          <w:rFonts w:asciiTheme="minorHAnsi" w:hAnsiTheme="minorHAnsi"/>
        </w:rPr>
      </w:pPr>
      <w:bookmarkStart w:id="33" w:name="_Toc25162037"/>
      <w:r w:rsidRPr="00292D9C">
        <w:rPr>
          <w:rFonts w:asciiTheme="minorHAnsi" w:hAnsiTheme="minorHAnsi"/>
        </w:rPr>
        <w:t>Overview of STEM education</w:t>
      </w:r>
      <w:bookmarkEnd w:id="33"/>
      <w:r w:rsidRPr="00292D9C">
        <w:rPr>
          <w:rFonts w:asciiTheme="minorHAnsi" w:hAnsiTheme="minorHAnsi"/>
        </w:rPr>
        <w:t xml:space="preserve"> </w:t>
      </w:r>
    </w:p>
    <w:p w14:paraId="2C9B1771" w14:textId="77777777" w:rsidR="00F72ECD" w:rsidRPr="00292D9C" w:rsidRDefault="00F72ECD" w:rsidP="00A616D5">
      <w:r w:rsidRPr="00292D9C">
        <w:t xml:space="preserve">This section sets out </w:t>
      </w:r>
      <w:r w:rsidR="00D07BB8" w:rsidRPr="00292D9C">
        <w:t xml:space="preserve">why quality </w:t>
      </w:r>
      <w:r w:rsidRPr="00292D9C">
        <w:t>STEM education</w:t>
      </w:r>
      <w:r w:rsidR="00D07BB8" w:rsidRPr="00292D9C">
        <w:t xml:space="preserve"> is an important goal for Australi</w:t>
      </w:r>
      <w:r w:rsidR="000E4666" w:rsidRPr="00292D9C">
        <w:t xml:space="preserve">a. It </w:t>
      </w:r>
      <w:r w:rsidR="00D07BB8" w:rsidRPr="00292D9C">
        <w:t xml:space="preserve">outlines what </w:t>
      </w:r>
      <w:r w:rsidRPr="00292D9C">
        <w:t xml:space="preserve">actions </w:t>
      </w:r>
      <w:r w:rsidR="00D07BB8" w:rsidRPr="00292D9C">
        <w:t>have been taken by the Australian</w:t>
      </w:r>
      <w:r w:rsidR="00902E10" w:rsidRPr="00292D9C">
        <w:t>,</w:t>
      </w:r>
      <w:r w:rsidR="00D07BB8" w:rsidRPr="00292D9C">
        <w:t xml:space="preserve"> an</w:t>
      </w:r>
      <w:r w:rsidR="00D17EAB" w:rsidRPr="00292D9C">
        <w:t>d</w:t>
      </w:r>
      <w:r w:rsidR="00D07BB8" w:rsidRPr="00292D9C">
        <w:t xml:space="preserve"> State and Territory governments</w:t>
      </w:r>
      <w:r w:rsidR="00902E10" w:rsidRPr="00292D9C">
        <w:t>,</w:t>
      </w:r>
      <w:r w:rsidR="00D07BB8" w:rsidRPr="00292D9C">
        <w:t xml:space="preserve"> </w:t>
      </w:r>
      <w:r w:rsidRPr="00292D9C">
        <w:t xml:space="preserve">to make progress against this </w:t>
      </w:r>
      <w:r w:rsidR="00D07BB8" w:rsidRPr="00292D9C">
        <w:t>goal</w:t>
      </w:r>
      <w:r w:rsidRPr="00292D9C">
        <w:t>.</w:t>
      </w:r>
    </w:p>
    <w:p w14:paraId="54DF1A13" w14:textId="77777777" w:rsidR="00F72ECD" w:rsidRPr="00292D9C" w:rsidRDefault="00D11E32" w:rsidP="00A616D5">
      <w:pPr>
        <w:pStyle w:val="Heading2Normal"/>
        <w:spacing w:before="0" w:after="120"/>
        <w:rPr>
          <w:rFonts w:asciiTheme="minorHAnsi" w:hAnsiTheme="minorHAnsi"/>
        </w:rPr>
      </w:pPr>
      <w:bookmarkStart w:id="34" w:name="_Toc16707147"/>
      <w:bookmarkStart w:id="35" w:name="_Toc21088239"/>
      <w:bookmarkStart w:id="36" w:name="_Toc23504204"/>
      <w:bookmarkStart w:id="37" w:name="_Toc25162038"/>
      <w:r w:rsidRPr="00292D9C">
        <w:rPr>
          <w:rFonts w:asciiTheme="minorHAnsi" w:hAnsiTheme="minorHAnsi"/>
        </w:rPr>
        <w:t xml:space="preserve">4.1. </w:t>
      </w:r>
      <w:r w:rsidR="00F72ECD" w:rsidRPr="00292D9C">
        <w:rPr>
          <w:rFonts w:asciiTheme="minorHAnsi" w:hAnsiTheme="minorHAnsi"/>
        </w:rPr>
        <w:t>STEM education in Australia</w:t>
      </w:r>
      <w:bookmarkEnd w:id="34"/>
      <w:bookmarkEnd w:id="35"/>
      <w:bookmarkEnd w:id="36"/>
      <w:bookmarkEnd w:id="37"/>
      <w:r w:rsidR="00F72ECD" w:rsidRPr="00292D9C">
        <w:rPr>
          <w:rFonts w:asciiTheme="minorHAnsi" w:hAnsiTheme="minorHAnsi"/>
        </w:rPr>
        <w:t xml:space="preserve"> </w:t>
      </w:r>
    </w:p>
    <w:p w14:paraId="0DF82472" w14:textId="77777777" w:rsidR="00C705EE" w:rsidRPr="00292D9C" w:rsidRDefault="00C705EE" w:rsidP="00A616D5">
      <w:pPr>
        <w:pStyle w:val="Heading3Normal"/>
        <w:spacing w:before="0" w:after="120"/>
        <w:rPr>
          <w:rFonts w:asciiTheme="minorHAnsi" w:hAnsiTheme="minorHAnsi"/>
        </w:rPr>
      </w:pPr>
      <w:r w:rsidRPr="00292D9C">
        <w:rPr>
          <w:rFonts w:asciiTheme="minorHAnsi" w:hAnsiTheme="minorHAnsi"/>
        </w:rPr>
        <w:t xml:space="preserve">STEM education </w:t>
      </w:r>
      <w:r w:rsidR="00430FEB" w:rsidRPr="00292D9C">
        <w:rPr>
          <w:rFonts w:asciiTheme="minorHAnsi" w:hAnsiTheme="minorHAnsi"/>
        </w:rPr>
        <w:t xml:space="preserve">is </w:t>
      </w:r>
      <w:r w:rsidRPr="00292D9C">
        <w:rPr>
          <w:rFonts w:asciiTheme="minorHAnsi" w:hAnsiTheme="minorHAnsi"/>
        </w:rPr>
        <w:t xml:space="preserve">a national priority  </w:t>
      </w:r>
    </w:p>
    <w:p w14:paraId="039ADF37" w14:textId="77777777" w:rsidR="00C705EE" w:rsidRPr="00292D9C" w:rsidRDefault="00C705EE" w:rsidP="00A616D5">
      <w:pPr>
        <w:rPr>
          <w:szCs w:val="22"/>
        </w:rPr>
      </w:pPr>
      <w:r w:rsidRPr="00292D9C">
        <w:rPr>
          <w:szCs w:val="22"/>
        </w:rPr>
        <w:t>Governments across Australia recognise the importance of high-quality STEM education to the nation’s current and future economic productivity and wellbeing. Today’s pre-schoolers will be employed in jobs yet to</w:t>
      </w:r>
      <w:r w:rsidR="00902E10" w:rsidRPr="00292D9C">
        <w:rPr>
          <w:szCs w:val="22"/>
        </w:rPr>
        <w:t xml:space="preserve"> be</w:t>
      </w:r>
      <w:r w:rsidRPr="00292D9C">
        <w:rPr>
          <w:szCs w:val="22"/>
        </w:rPr>
        <w:t xml:space="preserve"> created and </w:t>
      </w:r>
      <w:r w:rsidR="00902E10" w:rsidRPr="00292D9C">
        <w:rPr>
          <w:szCs w:val="22"/>
        </w:rPr>
        <w:t>face</w:t>
      </w:r>
      <w:r w:rsidRPr="00292D9C">
        <w:rPr>
          <w:szCs w:val="22"/>
        </w:rPr>
        <w:t xml:space="preserve"> enormous social, economic and environmental challenges with technologies yet to be imagined. </w:t>
      </w:r>
    </w:p>
    <w:p w14:paraId="6772047D" w14:textId="77777777" w:rsidR="00C705EE" w:rsidRPr="00292D9C" w:rsidRDefault="00C705EE" w:rsidP="00A616D5">
      <w:pPr>
        <w:rPr>
          <w:szCs w:val="22"/>
        </w:rPr>
      </w:pPr>
      <w:r w:rsidRPr="00292D9C">
        <w:rPr>
          <w:szCs w:val="22"/>
        </w:rPr>
        <w:t>A strong STEM education is integral in preparing students for these changes</w:t>
      </w:r>
      <w:r w:rsidR="00B0588C" w:rsidRPr="00292D9C">
        <w:rPr>
          <w:szCs w:val="22"/>
        </w:rPr>
        <w:t xml:space="preserve"> by</w:t>
      </w:r>
      <w:r w:rsidRPr="00292D9C">
        <w:rPr>
          <w:szCs w:val="22"/>
        </w:rPr>
        <w:t xml:space="preserve"> build</w:t>
      </w:r>
      <w:r w:rsidR="00B0588C" w:rsidRPr="00292D9C">
        <w:rPr>
          <w:szCs w:val="22"/>
        </w:rPr>
        <w:t>ing</w:t>
      </w:r>
      <w:r w:rsidRPr="00292D9C">
        <w:rPr>
          <w:szCs w:val="22"/>
        </w:rPr>
        <w:t xml:space="preserve"> students’ skills in critical and creative thinking,</w:t>
      </w:r>
      <w:r w:rsidR="00B0588C" w:rsidRPr="00292D9C">
        <w:rPr>
          <w:szCs w:val="22"/>
        </w:rPr>
        <w:t xml:space="preserve"> </w:t>
      </w:r>
      <w:r w:rsidRPr="00292D9C">
        <w:rPr>
          <w:szCs w:val="22"/>
        </w:rPr>
        <w:t>problem solving,</w:t>
      </w:r>
      <w:r w:rsidR="00B0588C" w:rsidRPr="00292D9C">
        <w:rPr>
          <w:szCs w:val="22"/>
        </w:rPr>
        <w:t xml:space="preserve"> </w:t>
      </w:r>
      <w:r w:rsidRPr="00292D9C">
        <w:rPr>
          <w:szCs w:val="22"/>
        </w:rPr>
        <w:t>analysing and communicating quantitative data. These skills enable students to think adaptively and access a range of careers. The best investment in STEM education starts in the early years and in schools and continues through vocational education and training (VET) and higher education.</w:t>
      </w:r>
      <w:r w:rsidRPr="00292D9C">
        <w:rPr>
          <w:rStyle w:val="FootnoteReference"/>
          <w:rFonts w:cs="Calibri"/>
          <w:szCs w:val="21"/>
          <w:lang w:val="en"/>
        </w:rPr>
        <w:footnoteReference w:id="9"/>
      </w:r>
      <w:r w:rsidRPr="00292D9C">
        <w:rPr>
          <w:szCs w:val="22"/>
          <w:lang w:val="en"/>
        </w:rPr>
        <w:t xml:space="preserve"> </w:t>
      </w:r>
    </w:p>
    <w:p w14:paraId="1C232281" w14:textId="77777777" w:rsidR="007D5163" w:rsidRPr="00292D9C" w:rsidRDefault="00430FEB" w:rsidP="00A616D5">
      <w:pPr>
        <w:pStyle w:val="Heading3Normal"/>
        <w:spacing w:before="0" w:after="120"/>
        <w:rPr>
          <w:rFonts w:asciiTheme="minorHAnsi" w:hAnsiTheme="minorHAnsi"/>
          <w:lang w:val="en"/>
        </w:rPr>
      </w:pPr>
      <w:r w:rsidRPr="00292D9C">
        <w:rPr>
          <w:rFonts w:asciiTheme="minorHAnsi" w:hAnsiTheme="minorHAnsi"/>
          <w:lang w:val="en"/>
        </w:rPr>
        <w:t>There are different d</w:t>
      </w:r>
      <w:r w:rsidR="007D5163" w:rsidRPr="00292D9C">
        <w:rPr>
          <w:rFonts w:asciiTheme="minorHAnsi" w:hAnsiTheme="minorHAnsi"/>
          <w:lang w:val="en"/>
        </w:rPr>
        <w:t xml:space="preserve">efinitions of </w:t>
      </w:r>
      <w:r w:rsidR="007D5163" w:rsidRPr="00292D9C">
        <w:rPr>
          <w:rFonts w:asciiTheme="minorHAnsi" w:hAnsiTheme="minorHAnsi"/>
        </w:rPr>
        <w:t>STEM</w:t>
      </w:r>
      <w:r w:rsidRPr="00292D9C">
        <w:rPr>
          <w:rFonts w:asciiTheme="minorHAnsi" w:hAnsiTheme="minorHAnsi"/>
        </w:rPr>
        <w:t xml:space="preserve"> </w:t>
      </w:r>
    </w:p>
    <w:p w14:paraId="0AEF6258" w14:textId="77777777" w:rsidR="007D5163" w:rsidRPr="00292D9C" w:rsidRDefault="007D5163" w:rsidP="00A616D5">
      <w:pPr>
        <w:rPr>
          <w:vertAlign w:val="superscript"/>
        </w:rPr>
      </w:pPr>
      <w:r w:rsidRPr="00292D9C">
        <w:t>The term ‘STEM’ can mean different things in different contexts. Under the</w:t>
      </w:r>
      <w:r w:rsidR="002324B9" w:rsidRPr="00292D9C">
        <w:t xml:space="preserve"> </w:t>
      </w:r>
      <w:r w:rsidR="002324B9" w:rsidRPr="00292D9C">
        <w:rPr>
          <w:i/>
          <w:iCs/>
        </w:rPr>
        <w:t>National STEM School Education Strategy 2016-2026</w:t>
      </w:r>
      <w:r w:rsidR="00BD5F81" w:rsidRPr="00292D9C">
        <w:t xml:space="preserve"> (National Strategy)</w:t>
      </w:r>
      <w:r w:rsidR="00687448" w:rsidRPr="00292D9C">
        <w:t>,</w:t>
      </w:r>
      <w:r w:rsidRPr="00292D9C">
        <w:t xml:space="preserve"> STEM refers collectively to the teaching of the disciplines within its umbrella – science, technology, engineering and mathematics – and also to a cross-disciplinary approach to teaching that increases student interest in STEM related fields and improves students’ problem solving and critical analysis skills. STEM sits within a broader foundational knowledge base and the teaching of STEM is </w:t>
      </w:r>
      <w:r w:rsidR="00312806" w:rsidRPr="00292D9C">
        <w:t xml:space="preserve">only </w:t>
      </w:r>
      <w:r w:rsidRPr="00292D9C">
        <w:t>a part, albeit important, of a balanced program of learning.</w:t>
      </w:r>
      <w:r w:rsidR="007F74EB" w:rsidRPr="00292D9C">
        <w:rPr>
          <w:rStyle w:val="FootnoteReference"/>
        </w:rPr>
        <w:footnoteReference w:id="10"/>
      </w:r>
      <w:r w:rsidRPr="00292D9C">
        <w:t xml:space="preserve"> </w:t>
      </w:r>
    </w:p>
    <w:p w14:paraId="1C9C7548" w14:textId="77777777" w:rsidR="00C705EE" w:rsidRPr="00292D9C" w:rsidRDefault="00430FEB" w:rsidP="00A616D5">
      <w:pPr>
        <w:pStyle w:val="Heading3Normal"/>
        <w:spacing w:before="0" w:after="120"/>
        <w:rPr>
          <w:rFonts w:asciiTheme="minorHAnsi" w:hAnsiTheme="minorHAnsi"/>
        </w:rPr>
      </w:pPr>
      <w:r w:rsidRPr="00292D9C">
        <w:rPr>
          <w:rFonts w:asciiTheme="minorHAnsi" w:hAnsiTheme="minorHAnsi"/>
          <w:szCs w:val="22"/>
        </w:rPr>
        <w:t xml:space="preserve">There are widespread concerns about current levels of student achievement and engagement in STEM </w:t>
      </w:r>
      <w:r w:rsidR="00DB4950" w:rsidRPr="00292D9C">
        <w:rPr>
          <w:rFonts w:asciiTheme="minorHAnsi" w:hAnsiTheme="minorHAnsi"/>
          <w:szCs w:val="22"/>
        </w:rPr>
        <w:t xml:space="preserve">as well as </w:t>
      </w:r>
      <w:r w:rsidRPr="00292D9C">
        <w:rPr>
          <w:rFonts w:asciiTheme="minorHAnsi" w:hAnsiTheme="minorHAnsi"/>
          <w:szCs w:val="22"/>
        </w:rPr>
        <w:t>under-representation of some groups in STEM</w:t>
      </w:r>
      <w:r w:rsidRPr="00292D9C">
        <w:rPr>
          <w:rFonts w:asciiTheme="minorHAnsi" w:hAnsiTheme="minorHAnsi"/>
        </w:rPr>
        <w:t xml:space="preserve"> </w:t>
      </w:r>
    </w:p>
    <w:p w14:paraId="394BFE2F" w14:textId="77777777" w:rsidR="00DB4950" w:rsidRPr="00292D9C" w:rsidRDefault="00C705EE" w:rsidP="00A616D5">
      <w:pPr>
        <w:rPr>
          <w:szCs w:val="22"/>
        </w:rPr>
      </w:pPr>
      <w:r w:rsidRPr="00292D9C">
        <w:rPr>
          <w:szCs w:val="22"/>
        </w:rPr>
        <w:t xml:space="preserve">Despite the future opportunities associated with STEM education, </w:t>
      </w:r>
      <w:r w:rsidR="00DB4950" w:rsidRPr="00292D9C">
        <w:rPr>
          <w:szCs w:val="22"/>
        </w:rPr>
        <w:t xml:space="preserve">Australia could improve the following </w:t>
      </w:r>
      <w:r w:rsidR="00312806" w:rsidRPr="00292D9C">
        <w:rPr>
          <w:szCs w:val="22"/>
        </w:rPr>
        <w:t xml:space="preserve">aspects of </w:t>
      </w:r>
      <w:r w:rsidR="00DB4950" w:rsidRPr="00292D9C">
        <w:rPr>
          <w:szCs w:val="22"/>
        </w:rPr>
        <w:t>STEM education:</w:t>
      </w:r>
    </w:p>
    <w:p w14:paraId="33631F4D" w14:textId="77777777" w:rsidR="006F7068" w:rsidRPr="00292D9C" w:rsidRDefault="006F7068" w:rsidP="00A616D5">
      <w:pPr>
        <w:pStyle w:val="ListParagraph"/>
        <w:numPr>
          <w:ilvl w:val="0"/>
          <w:numId w:val="17"/>
        </w:numPr>
        <w:rPr>
          <w:szCs w:val="22"/>
        </w:rPr>
      </w:pPr>
      <w:r w:rsidRPr="00292D9C">
        <w:rPr>
          <w:b/>
          <w:bCs/>
          <w:szCs w:val="22"/>
        </w:rPr>
        <w:t>Student engagement</w:t>
      </w:r>
      <w:r w:rsidR="00B0588C" w:rsidRPr="00292D9C">
        <w:rPr>
          <w:szCs w:val="22"/>
        </w:rPr>
        <w:t xml:space="preserve"> –</w:t>
      </w:r>
      <w:r w:rsidRPr="00292D9C">
        <w:rPr>
          <w:szCs w:val="22"/>
        </w:rPr>
        <w:t xml:space="preserve"> Student </w:t>
      </w:r>
      <w:r w:rsidR="0050550E" w:rsidRPr="00292D9C">
        <w:rPr>
          <w:szCs w:val="22"/>
        </w:rPr>
        <w:t xml:space="preserve">enrolment </w:t>
      </w:r>
      <w:r w:rsidRPr="00292D9C">
        <w:rPr>
          <w:szCs w:val="22"/>
        </w:rPr>
        <w:t xml:space="preserve">in STEM subjects </w:t>
      </w:r>
      <w:r w:rsidR="0050550E" w:rsidRPr="00292D9C">
        <w:rPr>
          <w:szCs w:val="22"/>
        </w:rPr>
        <w:t>in senior secondary has decreased</w:t>
      </w:r>
      <w:r w:rsidRPr="00292D9C">
        <w:rPr>
          <w:szCs w:val="22"/>
        </w:rPr>
        <w:t>, particularly in advanced STEM subjects and among girls.</w:t>
      </w:r>
      <w:r w:rsidRPr="00292D9C">
        <w:rPr>
          <w:rStyle w:val="FootnoteReference"/>
          <w:szCs w:val="22"/>
        </w:rPr>
        <w:footnoteReference w:id="11"/>
      </w:r>
      <w:r w:rsidR="0050550E" w:rsidRPr="00292D9C">
        <w:rPr>
          <w:szCs w:val="22"/>
        </w:rPr>
        <w:t xml:space="preserve"> While none of the NISA initiatives target senior secondary directly, student engagement and interest in STEM at F-10 can define later decisions about electives in senior secondary and work or tertiary pathways. </w:t>
      </w:r>
    </w:p>
    <w:p w14:paraId="7CB498B9" w14:textId="77777777" w:rsidR="00DB4950" w:rsidRPr="00292D9C" w:rsidRDefault="00DB4950" w:rsidP="00A616D5">
      <w:pPr>
        <w:pStyle w:val="ListParagraph"/>
        <w:numPr>
          <w:ilvl w:val="0"/>
          <w:numId w:val="17"/>
        </w:numPr>
        <w:rPr>
          <w:szCs w:val="22"/>
        </w:rPr>
      </w:pPr>
      <w:r w:rsidRPr="00292D9C">
        <w:rPr>
          <w:b/>
          <w:bCs/>
          <w:szCs w:val="22"/>
        </w:rPr>
        <w:t>Student achievement</w:t>
      </w:r>
      <w:r w:rsidR="00B0588C" w:rsidRPr="00292D9C">
        <w:rPr>
          <w:szCs w:val="22"/>
        </w:rPr>
        <w:t xml:space="preserve"> –</w:t>
      </w:r>
      <w:r w:rsidRPr="00292D9C">
        <w:rPr>
          <w:szCs w:val="22"/>
        </w:rPr>
        <w:t xml:space="preserve"> I</w:t>
      </w:r>
      <w:r w:rsidR="00C705EE" w:rsidRPr="00292D9C">
        <w:rPr>
          <w:szCs w:val="22"/>
        </w:rPr>
        <w:t>nternational tests</w:t>
      </w:r>
      <w:r w:rsidR="00B0588C" w:rsidRPr="00292D9C">
        <w:rPr>
          <w:szCs w:val="22"/>
        </w:rPr>
        <w:t>,</w:t>
      </w:r>
      <w:r w:rsidR="00C705EE" w:rsidRPr="00292D9C">
        <w:rPr>
          <w:szCs w:val="22"/>
        </w:rPr>
        <w:t xml:space="preserve"> </w:t>
      </w:r>
      <w:r w:rsidR="00B0588C" w:rsidRPr="00292D9C">
        <w:rPr>
          <w:szCs w:val="22"/>
        </w:rPr>
        <w:t xml:space="preserve">such as the </w:t>
      </w:r>
      <w:r w:rsidR="00BD5F81" w:rsidRPr="00292D9C">
        <w:rPr>
          <w:szCs w:val="22"/>
        </w:rPr>
        <w:t>Program for International Student Assessment (PISA) and the Trends in International Mathematics and Science Study (TIMSS)</w:t>
      </w:r>
      <w:r w:rsidR="00B0588C" w:rsidRPr="00292D9C">
        <w:rPr>
          <w:szCs w:val="22"/>
        </w:rPr>
        <w:t xml:space="preserve">, </w:t>
      </w:r>
      <w:r w:rsidR="00C705EE" w:rsidRPr="00292D9C">
        <w:rPr>
          <w:szCs w:val="22"/>
        </w:rPr>
        <w:t xml:space="preserve">show that Australian students’ </w:t>
      </w:r>
      <w:r w:rsidRPr="00292D9C">
        <w:rPr>
          <w:szCs w:val="22"/>
        </w:rPr>
        <w:t xml:space="preserve">achievement </w:t>
      </w:r>
      <w:r w:rsidR="00C705EE" w:rsidRPr="00292D9C">
        <w:rPr>
          <w:szCs w:val="22"/>
        </w:rPr>
        <w:t>scores in science and mathematics have either declined or remained stagnant</w:t>
      </w:r>
      <w:r w:rsidRPr="00292D9C">
        <w:rPr>
          <w:szCs w:val="22"/>
        </w:rPr>
        <w:t>.</w:t>
      </w:r>
      <w:r w:rsidR="00C705EE" w:rsidRPr="00292D9C">
        <w:rPr>
          <w:rStyle w:val="FootnoteReference"/>
          <w:rFonts w:cs="Calibri"/>
          <w:szCs w:val="21"/>
        </w:rPr>
        <w:footnoteReference w:id="12"/>
      </w:r>
      <w:r w:rsidR="00C705EE" w:rsidRPr="00292D9C">
        <w:rPr>
          <w:szCs w:val="22"/>
        </w:rPr>
        <w:t xml:space="preserve"> </w:t>
      </w:r>
    </w:p>
    <w:p w14:paraId="3753E38C" w14:textId="77777777" w:rsidR="00C705EE" w:rsidRPr="00292D9C" w:rsidRDefault="00DB4950" w:rsidP="00A616D5">
      <w:pPr>
        <w:pStyle w:val="ListParagraph"/>
        <w:numPr>
          <w:ilvl w:val="0"/>
          <w:numId w:val="17"/>
        </w:numPr>
        <w:rPr>
          <w:szCs w:val="22"/>
        </w:rPr>
      </w:pPr>
      <w:r w:rsidRPr="00292D9C">
        <w:rPr>
          <w:b/>
          <w:bCs/>
          <w:szCs w:val="22"/>
        </w:rPr>
        <w:t xml:space="preserve">Representation and achievement of </w:t>
      </w:r>
      <w:r w:rsidR="0050550E" w:rsidRPr="00292D9C">
        <w:rPr>
          <w:b/>
          <w:bCs/>
          <w:szCs w:val="22"/>
        </w:rPr>
        <w:t xml:space="preserve">specific cohorts </w:t>
      </w:r>
      <w:r w:rsidR="00B0588C" w:rsidRPr="00292D9C">
        <w:rPr>
          <w:szCs w:val="22"/>
        </w:rPr>
        <w:t xml:space="preserve">– </w:t>
      </w:r>
      <w:r w:rsidRPr="00292D9C">
        <w:rPr>
          <w:szCs w:val="22"/>
        </w:rPr>
        <w:t xml:space="preserve">Currently, </w:t>
      </w:r>
      <w:r w:rsidR="0050550E" w:rsidRPr="00292D9C">
        <w:rPr>
          <w:szCs w:val="22"/>
        </w:rPr>
        <w:t>specific cohorts are underrepresented in STEM education. This includes disparities in STEM outcomes for students living in rural or regional areas of Australia, Aboriginal and Torres Strait Islander students and students from low-socio economic backgrounds</w:t>
      </w:r>
      <w:r w:rsidR="00DD7A19" w:rsidRPr="00292D9C">
        <w:rPr>
          <w:szCs w:val="22"/>
        </w:rPr>
        <w:t>.</w:t>
      </w:r>
      <w:r w:rsidR="00C705EE" w:rsidRPr="00292D9C">
        <w:rPr>
          <w:rStyle w:val="FootnoteReference"/>
          <w:rFonts w:cs="Calibri"/>
          <w:bCs/>
          <w:szCs w:val="21"/>
        </w:rPr>
        <w:footnoteReference w:id="13"/>
      </w:r>
    </w:p>
    <w:p w14:paraId="284D52E5" w14:textId="77777777" w:rsidR="00D07BB8" w:rsidRPr="00292D9C" w:rsidRDefault="00D11E32" w:rsidP="00A616D5">
      <w:pPr>
        <w:pStyle w:val="Heading2"/>
        <w:spacing w:before="0" w:after="120"/>
        <w:rPr>
          <w:rFonts w:asciiTheme="minorHAnsi" w:hAnsiTheme="minorHAnsi"/>
        </w:rPr>
      </w:pPr>
      <w:bookmarkStart w:id="38" w:name="_Toc16707148"/>
      <w:bookmarkStart w:id="39" w:name="_Toc21088240"/>
      <w:bookmarkStart w:id="40" w:name="_Toc23504205"/>
      <w:bookmarkStart w:id="41" w:name="_Toc25162039"/>
      <w:r w:rsidRPr="00292D9C">
        <w:rPr>
          <w:rFonts w:asciiTheme="minorHAnsi" w:hAnsiTheme="minorHAnsi"/>
        </w:rPr>
        <w:t xml:space="preserve">4.2. </w:t>
      </w:r>
      <w:r w:rsidR="00B1597C" w:rsidRPr="00292D9C">
        <w:rPr>
          <w:rFonts w:asciiTheme="minorHAnsi" w:hAnsiTheme="minorHAnsi"/>
        </w:rPr>
        <w:t>Commitments and actions to improve STEM education</w:t>
      </w:r>
      <w:bookmarkEnd w:id="38"/>
      <w:bookmarkEnd w:id="39"/>
      <w:bookmarkEnd w:id="40"/>
      <w:bookmarkEnd w:id="41"/>
    </w:p>
    <w:p w14:paraId="3971D749" w14:textId="77777777" w:rsidR="00267F27" w:rsidRPr="00292D9C" w:rsidRDefault="000E4666" w:rsidP="00A616D5">
      <w:r w:rsidRPr="00292D9C">
        <w:t xml:space="preserve">Governments have sought to improve </w:t>
      </w:r>
      <w:r w:rsidR="00267F27" w:rsidRPr="00292D9C">
        <w:t>STEM education — at a national, state and territory level. NISA represents an important part of the Australian Government’s contribution in this space.</w:t>
      </w:r>
    </w:p>
    <w:p w14:paraId="5F5CD8EB" w14:textId="77777777" w:rsidR="00C705EE" w:rsidRPr="00292D9C" w:rsidRDefault="00C705EE" w:rsidP="00A616D5">
      <w:pPr>
        <w:pStyle w:val="Heading3Normal"/>
        <w:spacing w:before="0" w:after="120"/>
        <w:rPr>
          <w:rFonts w:asciiTheme="minorHAnsi" w:hAnsiTheme="minorHAnsi"/>
        </w:rPr>
      </w:pPr>
      <w:r w:rsidRPr="00292D9C">
        <w:rPr>
          <w:rFonts w:asciiTheme="minorHAnsi" w:hAnsiTheme="minorHAnsi"/>
        </w:rPr>
        <w:t>National, State and Territory Strategies</w:t>
      </w:r>
    </w:p>
    <w:p w14:paraId="07FAA191" w14:textId="77777777" w:rsidR="00C705EE" w:rsidRPr="00292D9C" w:rsidRDefault="00C705EE" w:rsidP="00A616D5">
      <w:pPr>
        <w:rPr>
          <w:szCs w:val="22"/>
        </w:rPr>
      </w:pPr>
      <w:r w:rsidRPr="00292D9C">
        <w:rPr>
          <w:szCs w:val="22"/>
        </w:rPr>
        <w:t xml:space="preserve">The </w:t>
      </w:r>
      <w:r w:rsidRPr="00292D9C">
        <w:rPr>
          <w:i/>
          <w:szCs w:val="22"/>
        </w:rPr>
        <w:t>National STEM School Education Strategy 2016-2026</w:t>
      </w:r>
      <w:r w:rsidRPr="00292D9C">
        <w:rPr>
          <w:szCs w:val="22"/>
        </w:rPr>
        <w:t xml:space="preserve"> strives to ensure that students have a stronger foundation in STEM and are inspired to engage with more challenging STEM subjects. It has two high-level goals: </w:t>
      </w:r>
    </w:p>
    <w:p w14:paraId="3514E442" w14:textId="77777777" w:rsidR="00C705EE" w:rsidRPr="00292D9C" w:rsidRDefault="00C705EE" w:rsidP="00A616D5">
      <w:pPr>
        <w:pStyle w:val="ListParagraph"/>
        <w:numPr>
          <w:ilvl w:val="0"/>
          <w:numId w:val="14"/>
        </w:numPr>
        <w:rPr>
          <w:bCs/>
          <w:iCs/>
          <w:szCs w:val="22"/>
        </w:rPr>
      </w:pPr>
      <w:r w:rsidRPr="00292D9C">
        <w:rPr>
          <w:szCs w:val="22"/>
        </w:rPr>
        <w:t xml:space="preserve">To ensure all students </w:t>
      </w:r>
      <w:r w:rsidRPr="00292D9C">
        <w:rPr>
          <w:bCs/>
          <w:iCs/>
          <w:szCs w:val="22"/>
        </w:rPr>
        <w:t>finish school with strong foundational knowledge in STEM and related skills</w:t>
      </w:r>
    </w:p>
    <w:p w14:paraId="7D8594BC" w14:textId="77777777" w:rsidR="00C705EE" w:rsidRPr="00292D9C" w:rsidRDefault="00C705EE" w:rsidP="00A616D5">
      <w:pPr>
        <w:pStyle w:val="ListParagraph"/>
        <w:numPr>
          <w:ilvl w:val="0"/>
          <w:numId w:val="14"/>
        </w:numPr>
        <w:rPr>
          <w:rFonts w:cs="Calibri"/>
          <w:sz w:val="21"/>
          <w:szCs w:val="21"/>
        </w:rPr>
      </w:pPr>
      <w:r w:rsidRPr="00292D9C">
        <w:rPr>
          <w:szCs w:val="22"/>
        </w:rPr>
        <w:t xml:space="preserve">To </w:t>
      </w:r>
      <w:r w:rsidRPr="00292D9C">
        <w:rPr>
          <w:bCs/>
          <w:iCs/>
          <w:szCs w:val="22"/>
        </w:rPr>
        <w:t xml:space="preserve">ensure that students are inspired to take on more challenging STEM subjects. </w:t>
      </w:r>
    </w:p>
    <w:p w14:paraId="08A7EB8F" w14:textId="77777777" w:rsidR="00267F27" w:rsidRPr="00292D9C" w:rsidRDefault="00C705EE" w:rsidP="00A616D5">
      <w:pPr>
        <w:rPr>
          <w:bCs/>
          <w:iCs/>
          <w:szCs w:val="22"/>
        </w:rPr>
      </w:pPr>
      <w:r w:rsidRPr="00292D9C">
        <w:rPr>
          <w:szCs w:val="22"/>
        </w:rPr>
        <w:t>The National Strategy acknowledges the work that is being done by the states and territories of Australia. Each state</w:t>
      </w:r>
      <w:r w:rsidR="00902E10" w:rsidRPr="00292D9C">
        <w:rPr>
          <w:szCs w:val="22"/>
        </w:rPr>
        <w:t>,</w:t>
      </w:r>
      <w:r w:rsidRPr="00292D9C">
        <w:rPr>
          <w:szCs w:val="22"/>
        </w:rPr>
        <w:t xml:space="preserve"> a</w:t>
      </w:r>
      <w:r w:rsidR="00902E10" w:rsidRPr="00292D9C">
        <w:rPr>
          <w:szCs w:val="22"/>
        </w:rPr>
        <w:t>s well as</w:t>
      </w:r>
      <w:r w:rsidRPr="00292D9C">
        <w:rPr>
          <w:szCs w:val="22"/>
        </w:rPr>
        <w:t xml:space="preserve"> the Northern Territory</w:t>
      </w:r>
      <w:r w:rsidR="00902E10" w:rsidRPr="00292D9C">
        <w:rPr>
          <w:szCs w:val="22"/>
        </w:rPr>
        <w:t>,</w:t>
      </w:r>
      <w:r w:rsidRPr="00292D9C">
        <w:rPr>
          <w:szCs w:val="22"/>
        </w:rPr>
        <w:t xml:space="preserve"> </w:t>
      </w:r>
      <w:r w:rsidR="00902E10" w:rsidRPr="00292D9C">
        <w:rPr>
          <w:szCs w:val="22"/>
        </w:rPr>
        <w:t>ha</w:t>
      </w:r>
      <w:r w:rsidR="007A05FB" w:rsidRPr="00292D9C">
        <w:rPr>
          <w:szCs w:val="22"/>
        </w:rPr>
        <w:t>s</w:t>
      </w:r>
      <w:r w:rsidRPr="00292D9C">
        <w:rPr>
          <w:szCs w:val="22"/>
        </w:rPr>
        <w:t xml:space="preserve"> developed </w:t>
      </w:r>
      <w:r w:rsidR="007A05FB" w:rsidRPr="00292D9C">
        <w:rPr>
          <w:szCs w:val="22"/>
        </w:rPr>
        <w:t>its</w:t>
      </w:r>
      <w:r w:rsidRPr="00292D9C">
        <w:rPr>
          <w:szCs w:val="22"/>
        </w:rPr>
        <w:t xml:space="preserve"> own strategy while the Australian Capital Territory</w:t>
      </w:r>
      <w:r w:rsidRPr="00292D9C" w:rsidDel="004D122B">
        <w:rPr>
          <w:szCs w:val="22"/>
        </w:rPr>
        <w:t xml:space="preserve"> </w:t>
      </w:r>
      <w:r w:rsidRPr="00292D9C">
        <w:rPr>
          <w:szCs w:val="22"/>
        </w:rPr>
        <w:t>has adopted the National Strategy directly. While state</w:t>
      </w:r>
      <w:r w:rsidR="007A05FB" w:rsidRPr="00292D9C">
        <w:rPr>
          <w:szCs w:val="22"/>
        </w:rPr>
        <w:t>s</w:t>
      </w:r>
      <w:r w:rsidRPr="00292D9C">
        <w:rPr>
          <w:szCs w:val="22"/>
        </w:rPr>
        <w:t xml:space="preserve"> and territor</w:t>
      </w:r>
      <w:r w:rsidR="007A05FB" w:rsidRPr="00292D9C">
        <w:rPr>
          <w:szCs w:val="22"/>
        </w:rPr>
        <w:t>ies</w:t>
      </w:r>
      <w:r w:rsidRPr="00292D9C">
        <w:rPr>
          <w:szCs w:val="22"/>
        </w:rPr>
        <w:t xml:space="preserve"> differ slightly in their approach, their end goal, like the National Strategy, is to build students’ STEM capabilities to encourage students to take up STEM-related career pathways when exiting school. The NISA initiatives</w:t>
      </w:r>
      <w:r w:rsidRPr="00292D9C">
        <w:rPr>
          <w:bCs/>
          <w:iCs/>
          <w:szCs w:val="22"/>
        </w:rPr>
        <w:t xml:space="preserve"> also include a focus on early years STEM education, as a pivotal point to develop the foundational STEM knowledge of a child.</w:t>
      </w:r>
    </w:p>
    <w:p w14:paraId="2D0478C9" w14:textId="77777777" w:rsidR="00C705EE" w:rsidRPr="00292D9C" w:rsidRDefault="00C705EE" w:rsidP="00A616D5">
      <w:pPr>
        <w:pStyle w:val="Heading3Normal"/>
        <w:spacing w:before="0" w:after="120"/>
        <w:rPr>
          <w:rFonts w:asciiTheme="minorHAnsi" w:hAnsiTheme="minorHAnsi"/>
        </w:rPr>
      </w:pPr>
      <w:r w:rsidRPr="00292D9C">
        <w:rPr>
          <w:rFonts w:asciiTheme="minorHAnsi" w:hAnsiTheme="minorHAnsi"/>
        </w:rPr>
        <w:t>National Science and Innovation Agenda (NISA)</w:t>
      </w:r>
    </w:p>
    <w:p w14:paraId="1F9A7477" w14:textId="77777777" w:rsidR="00E328DA" w:rsidRPr="00292D9C" w:rsidRDefault="00C705EE" w:rsidP="00A616D5">
      <w:pPr>
        <w:rPr>
          <w:rFonts w:cstheme="minorHAnsi"/>
          <w:bCs/>
          <w:szCs w:val="21"/>
        </w:rPr>
      </w:pPr>
      <w:r w:rsidRPr="00292D9C">
        <w:rPr>
          <w:szCs w:val="22"/>
        </w:rPr>
        <w:t xml:space="preserve">The Australian Government’s NISA is a $1.1 billion four-year whole-of-government package focused </w:t>
      </w:r>
      <w:r w:rsidRPr="00292D9C">
        <w:rPr>
          <w:szCs w:val="22"/>
          <w:lang w:val="en"/>
        </w:rPr>
        <w:t xml:space="preserve">on science, research and innovation as long-term drivers of economic prosperity, jobs and growth. NISA allocated </w:t>
      </w:r>
      <w:r w:rsidRPr="00292D9C">
        <w:rPr>
          <w:bCs/>
          <w:szCs w:val="22"/>
          <w:lang w:val="en"/>
        </w:rPr>
        <w:t>$</w:t>
      </w:r>
      <w:r w:rsidR="00CC2266" w:rsidRPr="00292D9C">
        <w:rPr>
          <w:bCs/>
          <w:szCs w:val="22"/>
          <w:lang w:val="en"/>
        </w:rPr>
        <w:t>6</w:t>
      </w:r>
      <w:r w:rsidR="005952BE">
        <w:rPr>
          <w:bCs/>
          <w:szCs w:val="22"/>
          <w:lang w:val="en"/>
        </w:rPr>
        <w:t>4</w:t>
      </w:r>
      <w:r w:rsidR="00942B20">
        <w:rPr>
          <w:bCs/>
          <w:szCs w:val="22"/>
          <w:lang w:val="en"/>
        </w:rPr>
        <w:t>.6</w:t>
      </w:r>
      <w:r w:rsidRPr="00292D9C">
        <w:rPr>
          <w:bCs/>
          <w:szCs w:val="22"/>
          <w:lang w:val="en"/>
        </w:rPr>
        <w:t xml:space="preserve"> million worth of funding for </w:t>
      </w:r>
      <w:r w:rsidR="00CC2266" w:rsidRPr="00292D9C">
        <w:rPr>
          <w:bCs/>
          <w:szCs w:val="22"/>
          <w:lang w:val="en"/>
        </w:rPr>
        <w:t>three early years initiatives ($14</w:t>
      </w:r>
      <w:r w:rsidR="00942B20">
        <w:rPr>
          <w:bCs/>
          <w:szCs w:val="22"/>
          <w:lang w:val="en"/>
        </w:rPr>
        <w:t>.0</w:t>
      </w:r>
      <w:r w:rsidR="00CC2266" w:rsidRPr="00292D9C">
        <w:rPr>
          <w:bCs/>
          <w:szCs w:val="22"/>
          <w:lang w:val="en"/>
        </w:rPr>
        <w:t xml:space="preserve"> million) and </w:t>
      </w:r>
      <w:r w:rsidRPr="00292D9C">
        <w:rPr>
          <w:bCs/>
          <w:szCs w:val="22"/>
          <w:lang w:val="en"/>
        </w:rPr>
        <w:t>six school initiatives ($</w:t>
      </w:r>
      <w:r w:rsidR="00CC2266" w:rsidRPr="00292D9C">
        <w:rPr>
          <w:bCs/>
          <w:szCs w:val="22"/>
          <w:lang w:val="en"/>
        </w:rPr>
        <w:t>5</w:t>
      </w:r>
      <w:r w:rsidR="00942B20">
        <w:rPr>
          <w:bCs/>
          <w:szCs w:val="22"/>
          <w:lang w:val="en"/>
        </w:rPr>
        <w:t>0.6</w:t>
      </w:r>
      <w:r w:rsidRPr="00292D9C">
        <w:rPr>
          <w:bCs/>
          <w:szCs w:val="22"/>
          <w:lang w:val="en"/>
        </w:rPr>
        <w:t xml:space="preserve"> million)</w:t>
      </w:r>
      <w:r w:rsidR="00CC2266" w:rsidRPr="00292D9C">
        <w:rPr>
          <w:bCs/>
          <w:szCs w:val="22"/>
          <w:lang w:val="en"/>
        </w:rPr>
        <w:t xml:space="preserve"> </w:t>
      </w:r>
      <w:r w:rsidRPr="00292D9C">
        <w:rPr>
          <w:bCs/>
          <w:szCs w:val="22"/>
          <w:lang w:val="en"/>
        </w:rPr>
        <w:t xml:space="preserve">to prepare students with the STEM skills for a changing future. </w:t>
      </w:r>
      <w:r w:rsidR="003B3701" w:rsidRPr="00292D9C">
        <w:rPr>
          <w:bCs/>
          <w:szCs w:val="22"/>
          <w:lang w:val="en"/>
        </w:rPr>
        <w:t xml:space="preserve">However, </w:t>
      </w:r>
      <w:r w:rsidR="003B3701" w:rsidRPr="00292D9C">
        <w:rPr>
          <w:rFonts w:cstheme="minorHAnsi"/>
          <w:bCs/>
          <w:szCs w:val="21"/>
          <w:lang w:val="en"/>
        </w:rPr>
        <w:t>a</w:t>
      </w:r>
      <w:r w:rsidRPr="00292D9C">
        <w:rPr>
          <w:rFonts w:cstheme="minorHAnsi"/>
          <w:bCs/>
          <w:szCs w:val="21"/>
          <w:lang w:val="en"/>
        </w:rPr>
        <w:t>s implementation of the</w:t>
      </w:r>
      <w:r w:rsidR="00CC2266" w:rsidRPr="00292D9C">
        <w:rPr>
          <w:rFonts w:cstheme="minorHAnsi"/>
          <w:bCs/>
          <w:szCs w:val="21"/>
          <w:lang w:val="en"/>
        </w:rPr>
        <w:t xml:space="preserve"> </w:t>
      </w:r>
      <w:r w:rsidRPr="00292D9C">
        <w:rPr>
          <w:rFonts w:cstheme="minorHAnsi"/>
          <w:bCs/>
          <w:szCs w:val="21"/>
          <w:lang w:val="en"/>
        </w:rPr>
        <w:t>school initiatives proceeded</w:t>
      </w:r>
      <w:r w:rsidR="003B3701" w:rsidRPr="00292D9C">
        <w:rPr>
          <w:rFonts w:cstheme="minorHAnsi"/>
          <w:bCs/>
          <w:szCs w:val="21"/>
          <w:lang w:val="en"/>
        </w:rPr>
        <w:t xml:space="preserve">, </w:t>
      </w:r>
      <w:r w:rsidR="00435A7E">
        <w:rPr>
          <w:rFonts w:cstheme="minorHAnsi"/>
          <w:bCs/>
          <w:szCs w:val="21"/>
          <w:lang w:val="en"/>
        </w:rPr>
        <w:t xml:space="preserve">the overall </w:t>
      </w:r>
      <w:r w:rsidRPr="00292D9C">
        <w:rPr>
          <w:rFonts w:cstheme="minorHAnsi"/>
          <w:bCs/>
          <w:szCs w:val="21"/>
          <w:lang w:val="en"/>
        </w:rPr>
        <w:t xml:space="preserve">cost </w:t>
      </w:r>
      <w:r w:rsidR="00435A7E">
        <w:rPr>
          <w:rFonts w:cstheme="minorHAnsi"/>
          <w:bCs/>
          <w:szCs w:val="21"/>
          <w:lang w:val="en"/>
        </w:rPr>
        <w:t>of</w:t>
      </w:r>
      <w:r w:rsidRPr="00292D9C">
        <w:rPr>
          <w:rFonts w:cstheme="minorHAnsi"/>
          <w:bCs/>
          <w:szCs w:val="21"/>
          <w:lang w:val="en"/>
        </w:rPr>
        <w:t xml:space="preserve"> the initial projects w</w:t>
      </w:r>
      <w:r w:rsidR="00435A7E">
        <w:rPr>
          <w:rFonts w:cstheme="minorHAnsi"/>
          <w:bCs/>
          <w:szCs w:val="21"/>
          <w:lang w:val="en"/>
        </w:rPr>
        <w:t>as</w:t>
      </w:r>
      <w:r w:rsidRPr="00292D9C">
        <w:rPr>
          <w:rFonts w:cstheme="minorHAnsi"/>
          <w:bCs/>
          <w:szCs w:val="21"/>
          <w:lang w:val="en"/>
        </w:rPr>
        <w:t xml:space="preserve"> lower than anticipated</w:t>
      </w:r>
      <w:r w:rsidR="00387EE6" w:rsidRPr="00292D9C">
        <w:rPr>
          <w:rFonts w:cstheme="minorHAnsi"/>
          <w:bCs/>
          <w:szCs w:val="21"/>
          <w:lang w:val="en"/>
        </w:rPr>
        <w:t xml:space="preserve">. </w:t>
      </w:r>
      <w:r w:rsidR="003B3701" w:rsidRPr="00292D9C">
        <w:rPr>
          <w:rFonts w:cstheme="minorHAnsi"/>
          <w:bCs/>
          <w:szCs w:val="21"/>
          <w:lang w:val="en"/>
        </w:rPr>
        <w:t xml:space="preserve">This </w:t>
      </w:r>
      <w:r w:rsidRPr="00292D9C">
        <w:rPr>
          <w:rFonts w:cstheme="minorHAnsi"/>
          <w:bCs/>
          <w:szCs w:val="21"/>
          <w:lang w:val="en"/>
        </w:rPr>
        <w:t>enab</w:t>
      </w:r>
      <w:r w:rsidR="003B3701" w:rsidRPr="00292D9C">
        <w:rPr>
          <w:rFonts w:cstheme="minorHAnsi"/>
          <w:bCs/>
          <w:szCs w:val="21"/>
          <w:lang w:val="en"/>
        </w:rPr>
        <w:t>led</w:t>
      </w:r>
      <w:r w:rsidR="006B43A9" w:rsidRPr="00292D9C">
        <w:rPr>
          <w:rFonts w:cstheme="minorHAnsi"/>
          <w:bCs/>
          <w:szCs w:val="21"/>
          <w:lang w:val="en"/>
        </w:rPr>
        <w:t xml:space="preserve"> the</w:t>
      </w:r>
      <w:r w:rsidR="00CC2266" w:rsidRPr="00292D9C">
        <w:rPr>
          <w:rFonts w:cstheme="minorHAnsi"/>
          <w:bCs/>
          <w:szCs w:val="21"/>
          <w:lang w:val="en"/>
        </w:rPr>
        <w:t xml:space="preserve"> remaining</w:t>
      </w:r>
      <w:r w:rsidR="006B43A9" w:rsidRPr="00292D9C">
        <w:rPr>
          <w:rFonts w:cstheme="minorHAnsi"/>
          <w:bCs/>
          <w:szCs w:val="21"/>
          <w:lang w:val="en"/>
        </w:rPr>
        <w:t xml:space="preserve"> </w:t>
      </w:r>
      <w:r w:rsidRPr="00292D9C">
        <w:rPr>
          <w:rFonts w:cstheme="minorHAnsi"/>
          <w:bCs/>
          <w:szCs w:val="21"/>
          <w:lang w:val="en"/>
        </w:rPr>
        <w:t>funding</w:t>
      </w:r>
      <w:r w:rsidRPr="00292D9C">
        <w:rPr>
          <w:rFonts w:cstheme="minorHAnsi"/>
          <w:bCs/>
          <w:szCs w:val="21"/>
        </w:rPr>
        <w:t xml:space="preserve"> to be </w:t>
      </w:r>
      <w:r w:rsidR="00C5355B">
        <w:rPr>
          <w:rFonts w:cstheme="minorHAnsi"/>
          <w:bCs/>
          <w:szCs w:val="21"/>
        </w:rPr>
        <w:t>utilised</w:t>
      </w:r>
      <w:r w:rsidR="00C5355B" w:rsidRPr="00292D9C">
        <w:rPr>
          <w:rFonts w:cstheme="minorHAnsi"/>
          <w:bCs/>
          <w:szCs w:val="21"/>
        </w:rPr>
        <w:t xml:space="preserve"> </w:t>
      </w:r>
      <w:r w:rsidRPr="00292D9C">
        <w:rPr>
          <w:rFonts w:cstheme="minorHAnsi"/>
          <w:bCs/>
          <w:szCs w:val="21"/>
        </w:rPr>
        <w:t xml:space="preserve">for </w:t>
      </w:r>
      <w:r w:rsidRPr="00292D9C">
        <w:rPr>
          <w:rFonts w:cstheme="minorHAnsi"/>
          <w:bCs/>
          <w:szCs w:val="21"/>
          <w:lang w:val="en"/>
        </w:rPr>
        <w:t xml:space="preserve">a new research project with principals and to extend </w:t>
      </w:r>
      <w:r w:rsidRPr="00292D9C">
        <w:rPr>
          <w:rFonts w:cstheme="minorHAnsi"/>
          <w:bCs/>
          <w:szCs w:val="21"/>
        </w:rPr>
        <w:t>five pre-existing STEM initiatives that were due to cease.</w:t>
      </w:r>
    </w:p>
    <w:p w14:paraId="0372AA9D" w14:textId="77777777" w:rsidR="00C705EE" w:rsidRPr="00292D9C" w:rsidRDefault="00C705EE" w:rsidP="00A616D5">
      <w:pPr>
        <w:pStyle w:val="Heading3Normal"/>
        <w:spacing w:before="0" w:after="120"/>
        <w:rPr>
          <w:rFonts w:asciiTheme="minorHAnsi" w:hAnsiTheme="minorHAnsi"/>
          <w:lang w:val="en"/>
        </w:rPr>
      </w:pPr>
      <w:r w:rsidRPr="00292D9C">
        <w:rPr>
          <w:rFonts w:asciiTheme="minorHAnsi" w:hAnsiTheme="minorHAnsi"/>
          <w:lang w:val="en"/>
        </w:rPr>
        <w:t>NISA early learning and school STEM initiatives</w:t>
      </w:r>
    </w:p>
    <w:p w14:paraId="6107F10C" w14:textId="77777777" w:rsidR="00C307B4" w:rsidRPr="00292D9C" w:rsidRDefault="00C705EE" w:rsidP="00A616D5">
      <w:pPr>
        <w:rPr>
          <w:lang w:val="en"/>
        </w:rPr>
      </w:pPr>
      <w:r w:rsidRPr="00292D9C">
        <w:rPr>
          <w:bCs/>
          <w:szCs w:val="22"/>
          <w:lang w:val="en"/>
        </w:rPr>
        <w:t>The NISA school initiatives</w:t>
      </w:r>
      <w:r w:rsidR="000B25D6" w:rsidRPr="00292D9C">
        <w:rPr>
          <w:bCs/>
          <w:szCs w:val="22"/>
          <w:lang w:val="en"/>
        </w:rPr>
        <w:t xml:space="preserve"> are designed to</w:t>
      </w:r>
      <w:r w:rsidRPr="00292D9C">
        <w:rPr>
          <w:bCs/>
          <w:szCs w:val="22"/>
          <w:lang w:val="en"/>
        </w:rPr>
        <w:t xml:space="preserve"> support implementation of the </w:t>
      </w:r>
      <w:r w:rsidRPr="00292D9C">
        <w:rPr>
          <w:bCs/>
          <w:i/>
          <w:szCs w:val="22"/>
          <w:lang w:val="en"/>
        </w:rPr>
        <w:t>National STEM School Education Strategy</w:t>
      </w:r>
      <w:r w:rsidRPr="00292D9C">
        <w:rPr>
          <w:bCs/>
          <w:szCs w:val="22"/>
          <w:lang w:val="en"/>
        </w:rPr>
        <w:t xml:space="preserve">. The early years initiatives also aim to support such implementation by contributing to a smooth transition from preschool to Foundation and throughout the early primary years. </w:t>
      </w:r>
      <w:r w:rsidR="003A68E7" w:rsidRPr="00292D9C">
        <w:rPr>
          <w:bCs/>
          <w:szCs w:val="22"/>
          <w:lang w:val="en"/>
        </w:rPr>
        <w:t xml:space="preserve">Figure </w:t>
      </w:r>
      <w:r w:rsidR="00C5355B">
        <w:rPr>
          <w:bCs/>
          <w:szCs w:val="22"/>
          <w:lang w:val="en"/>
        </w:rPr>
        <w:t>5</w:t>
      </w:r>
      <w:r w:rsidR="003A68E7" w:rsidRPr="00292D9C">
        <w:rPr>
          <w:bCs/>
          <w:szCs w:val="22"/>
          <w:lang w:val="en"/>
        </w:rPr>
        <w:t xml:space="preserve"> provides a short description of each initiative. </w:t>
      </w:r>
      <w:r w:rsidR="003B3701" w:rsidRPr="00292D9C">
        <w:rPr>
          <w:bCs/>
          <w:szCs w:val="22"/>
          <w:lang w:val="en"/>
        </w:rPr>
        <w:t xml:space="preserve">Appendix </w:t>
      </w:r>
      <w:r w:rsidR="00AB1438">
        <w:rPr>
          <w:bCs/>
          <w:szCs w:val="22"/>
          <w:lang w:val="en"/>
        </w:rPr>
        <w:t>2</w:t>
      </w:r>
      <w:r w:rsidR="003B3701" w:rsidRPr="00292D9C">
        <w:rPr>
          <w:bCs/>
          <w:szCs w:val="22"/>
          <w:lang w:val="en"/>
        </w:rPr>
        <w:t xml:space="preserve"> provides </w:t>
      </w:r>
      <w:r w:rsidR="00E7050F" w:rsidRPr="00292D9C">
        <w:rPr>
          <w:bCs/>
          <w:szCs w:val="22"/>
          <w:lang w:val="en"/>
        </w:rPr>
        <w:t xml:space="preserve">more detail about each </w:t>
      </w:r>
      <w:r w:rsidR="003B3701" w:rsidRPr="00292D9C">
        <w:rPr>
          <w:bCs/>
          <w:szCs w:val="22"/>
          <w:lang w:val="en"/>
        </w:rPr>
        <w:t>initiative</w:t>
      </w:r>
      <w:r w:rsidR="00E7050F" w:rsidRPr="00292D9C">
        <w:rPr>
          <w:bCs/>
          <w:szCs w:val="22"/>
          <w:lang w:val="en"/>
        </w:rPr>
        <w:t>, including a summar</w:t>
      </w:r>
      <w:r w:rsidR="000E4666" w:rsidRPr="00292D9C">
        <w:rPr>
          <w:bCs/>
          <w:szCs w:val="22"/>
          <w:lang w:val="en"/>
        </w:rPr>
        <w:t>y</w:t>
      </w:r>
      <w:r w:rsidR="003B3701" w:rsidRPr="00292D9C">
        <w:rPr>
          <w:bCs/>
          <w:szCs w:val="22"/>
          <w:lang w:val="en"/>
        </w:rPr>
        <w:t xml:space="preserve"> of</w:t>
      </w:r>
      <w:r w:rsidR="006B43A9" w:rsidRPr="00292D9C">
        <w:rPr>
          <w:bCs/>
          <w:szCs w:val="22"/>
          <w:lang w:val="en"/>
        </w:rPr>
        <w:t xml:space="preserve"> the</w:t>
      </w:r>
      <w:r w:rsidR="003B3701" w:rsidRPr="00292D9C">
        <w:rPr>
          <w:bCs/>
          <w:szCs w:val="22"/>
          <w:lang w:val="en"/>
        </w:rPr>
        <w:t xml:space="preserve"> completed </w:t>
      </w:r>
      <w:r w:rsidR="00E7050F" w:rsidRPr="00292D9C">
        <w:rPr>
          <w:bCs/>
          <w:szCs w:val="22"/>
          <w:lang w:val="en"/>
        </w:rPr>
        <w:t xml:space="preserve">evaluation </w:t>
      </w:r>
      <w:r w:rsidR="003B3701" w:rsidRPr="00292D9C">
        <w:rPr>
          <w:bCs/>
          <w:szCs w:val="22"/>
          <w:lang w:val="en"/>
        </w:rPr>
        <w:t xml:space="preserve">and </w:t>
      </w:r>
      <w:r w:rsidR="00E7050F" w:rsidRPr="00292D9C">
        <w:rPr>
          <w:bCs/>
          <w:szCs w:val="22"/>
          <w:lang w:val="en"/>
        </w:rPr>
        <w:t xml:space="preserve">the challenges and future plans for each </w:t>
      </w:r>
      <w:r w:rsidR="00B575F6" w:rsidRPr="00292D9C">
        <w:rPr>
          <w:bCs/>
          <w:szCs w:val="22"/>
          <w:lang w:val="en"/>
        </w:rPr>
        <w:t>initiative</w:t>
      </w:r>
      <w:r w:rsidR="000E4666" w:rsidRPr="00292D9C">
        <w:rPr>
          <w:bCs/>
          <w:szCs w:val="22"/>
          <w:lang w:val="en"/>
        </w:rPr>
        <w:t>.</w:t>
      </w:r>
    </w:p>
    <w:p w14:paraId="08B7330D" w14:textId="77777777" w:rsidR="00E52FA8" w:rsidRPr="00292D9C" w:rsidRDefault="00E52FA8" w:rsidP="00A616D5">
      <w:pPr>
        <w:pStyle w:val="Heading3Normal"/>
        <w:spacing w:before="0" w:after="120"/>
        <w:jc w:val="both"/>
        <w:rPr>
          <w:rFonts w:asciiTheme="minorHAnsi" w:hAnsiTheme="minorHAnsi"/>
          <w:color w:val="000000" w:themeColor="text1"/>
        </w:rPr>
      </w:pPr>
      <w:r w:rsidRPr="00292D9C">
        <w:rPr>
          <w:rFonts w:asciiTheme="minorHAnsi" w:hAnsiTheme="minorHAnsi"/>
          <w:color w:val="000000" w:themeColor="text1"/>
        </w:rPr>
        <w:t xml:space="preserve">Figure </w:t>
      </w:r>
      <w:r w:rsidR="00292D9C">
        <w:rPr>
          <w:rFonts w:asciiTheme="minorHAnsi" w:hAnsiTheme="minorHAnsi"/>
          <w:color w:val="000000" w:themeColor="text1"/>
        </w:rPr>
        <w:t>5</w:t>
      </w:r>
      <w:r w:rsidR="00A10FE8" w:rsidRPr="00292D9C">
        <w:rPr>
          <w:rFonts w:asciiTheme="minorHAnsi" w:hAnsiTheme="minorHAnsi"/>
          <w:color w:val="000000" w:themeColor="text1"/>
        </w:rPr>
        <w:t>.</w:t>
      </w:r>
      <w:r w:rsidRPr="00292D9C">
        <w:rPr>
          <w:rFonts w:asciiTheme="minorHAnsi" w:hAnsiTheme="minorHAnsi"/>
          <w:color w:val="000000" w:themeColor="text1"/>
        </w:rPr>
        <w:t xml:space="preserve"> NISA early learning and school STEM initiatives</w:t>
      </w:r>
    </w:p>
    <w:tbl>
      <w:tblPr>
        <w:tblStyle w:val="BoxGrid-Coloured"/>
        <w:tblpPr w:leftFromText="180" w:rightFromText="180" w:vertAnchor="text" w:horzAnchor="margin" w:tblpY="512"/>
        <w:tblW w:w="9742" w:type="dxa"/>
        <w:tblLook w:val="04A0" w:firstRow="1" w:lastRow="0" w:firstColumn="1" w:lastColumn="0" w:noHBand="0" w:noVBand="1"/>
      </w:tblPr>
      <w:tblGrid>
        <w:gridCol w:w="1058"/>
        <w:gridCol w:w="2633"/>
        <w:gridCol w:w="6051"/>
      </w:tblGrid>
      <w:tr w:rsidR="003B3701" w:rsidRPr="00292D9C" w14:paraId="2E1FD178" w14:textId="77777777" w:rsidTr="000B1573">
        <w:trPr>
          <w:trHeight w:val="285"/>
        </w:trPr>
        <w:tc>
          <w:tcPr>
            <w:tcW w:w="1058" w:type="dxa"/>
          </w:tcPr>
          <w:p w14:paraId="772E3D74"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Focus</w:t>
            </w:r>
          </w:p>
        </w:tc>
        <w:tc>
          <w:tcPr>
            <w:tcW w:w="2633" w:type="dxa"/>
          </w:tcPr>
          <w:p w14:paraId="43F89323"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 xml:space="preserve">Initiative </w:t>
            </w:r>
          </w:p>
        </w:tc>
        <w:tc>
          <w:tcPr>
            <w:tcW w:w="6051" w:type="dxa"/>
          </w:tcPr>
          <w:p w14:paraId="32317344"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Description</w:t>
            </w:r>
          </w:p>
        </w:tc>
      </w:tr>
      <w:tr w:rsidR="003B3701" w:rsidRPr="00292D9C" w14:paraId="0DDC76D0" w14:textId="77777777" w:rsidTr="000B1573">
        <w:trPr>
          <w:trHeight w:val="262"/>
        </w:trPr>
        <w:tc>
          <w:tcPr>
            <w:tcW w:w="1058" w:type="dxa"/>
            <w:vMerge w:val="restart"/>
          </w:tcPr>
          <w:p w14:paraId="15B3B34D"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 xml:space="preserve">School initiatives </w:t>
            </w:r>
          </w:p>
        </w:tc>
        <w:tc>
          <w:tcPr>
            <w:tcW w:w="2633" w:type="dxa"/>
          </w:tcPr>
          <w:p w14:paraId="29F2481F" w14:textId="77777777" w:rsidR="003B3701" w:rsidRPr="00292D9C" w:rsidRDefault="003B3701" w:rsidP="00A616D5">
            <w:pPr>
              <w:rPr>
                <w:sz w:val="16"/>
                <w:szCs w:val="16"/>
                <w:lang w:val="en"/>
              </w:rPr>
            </w:pPr>
            <w:r w:rsidRPr="00292D9C">
              <w:rPr>
                <w:sz w:val="16"/>
                <w:szCs w:val="16"/>
                <w:lang w:val="en"/>
              </w:rPr>
              <w:t>Digital Technologies Massive Open Online Courses (University of Adelaide)</w:t>
            </w:r>
          </w:p>
        </w:tc>
        <w:tc>
          <w:tcPr>
            <w:tcW w:w="6051" w:type="dxa"/>
          </w:tcPr>
          <w:p w14:paraId="4EC59B1D" w14:textId="77777777" w:rsidR="003B3701" w:rsidRPr="00292D9C" w:rsidRDefault="003B3701" w:rsidP="00A616D5">
            <w:pPr>
              <w:rPr>
                <w:sz w:val="16"/>
                <w:szCs w:val="16"/>
                <w:lang w:val="en"/>
              </w:rPr>
            </w:pPr>
            <w:r w:rsidRPr="00292D9C">
              <w:rPr>
                <w:sz w:val="16"/>
                <w:szCs w:val="16"/>
              </w:rPr>
              <w:t>Expansion of the University of Adelaide’s MOOCs for teachers on implementing the A</w:t>
            </w:r>
            <w:r w:rsidR="00912EEF" w:rsidRPr="00292D9C">
              <w:rPr>
                <w:sz w:val="16"/>
                <w:szCs w:val="16"/>
              </w:rPr>
              <w:t>ustralian Curriculum: Digital Technologies (AC: DT).</w:t>
            </w:r>
          </w:p>
        </w:tc>
      </w:tr>
      <w:tr w:rsidR="003B3701" w:rsidRPr="00292D9C" w14:paraId="5ED0EF0B" w14:textId="77777777" w:rsidTr="000B1573">
        <w:trPr>
          <w:trHeight w:val="255"/>
        </w:trPr>
        <w:tc>
          <w:tcPr>
            <w:tcW w:w="1058" w:type="dxa"/>
            <w:vMerge/>
          </w:tcPr>
          <w:p w14:paraId="5DC6C3C8"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2D51AEAB" w14:textId="77777777" w:rsidR="003B3701" w:rsidRPr="00292D9C" w:rsidRDefault="003B3701" w:rsidP="00A616D5">
            <w:pPr>
              <w:rPr>
                <w:sz w:val="16"/>
                <w:szCs w:val="16"/>
                <w:lang w:val="en"/>
              </w:rPr>
            </w:pPr>
            <w:r w:rsidRPr="00292D9C">
              <w:rPr>
                <w:sz w:val="16"/>
                <w:szCs w:val="16"/>
                <w:lang w:val="en"/>
              </w:rPr>
              <w:t>Digital Technologies in Focus (ACARA)</w:t>
            </w:r>
          </w:p>
        </w:tc>
        <w:tc>
          <w:tcPr>
            <w:tcW w:w="6051" w:type="dxa"/>
          </w:tcPr>
          <w:p w14:paraId="31A695E3" w14:textId="77777777" w:rsidR="003B3701" w:rsidRPr="00292D9C" w:rsidRDefault="003B3701" w:rsidP="00A616D5">
            <w:pPr>
              <w:rPr>
                <w:sz w:val="16"/>
                <w:szCs w:val="16"/>
                <w:lang w:val="en"/>
              </w:rPr>
            </w:pPr>
            <w:r w:rsidRPr="00292D9C">
              <w:rPr>
                <w:sz w:val="16"/>
                <w:szCs w:val="16"/>
              </w:rPr>
              <w:t>Digital Technologies educators are working with school leaders of</w:t>
            </w:r>
            <w:r w:rsidR="00C5355B">
              <w:rPr>
                <w:sz w:val="16"/>
                <w:szCs w:val="16"/>
              </w:rPr>
              <w:t xml:space="preserve"> around 155</w:t>
            </w:r>
            <w:r w:rsidRPr="00292D9C">
              <w:rPr>
                <w:sz w:val="16"/>
                <w:szCs w:val="16"/>
              </w:rPr>
              <w:t xml:space="preserve"> disadvantaged schools to drive change in their schools through face-to-face workshops, webinars and online mentoring</w:t>
            </w:r>
          </w:p>
        </w:tc>
      </w:tr>
      <w:tr w:rsidR="003B3701" w:rsidRPr="00292D9C" w14:paraId="6216904E" w14:textId="77777777" w:rsidTr="000B1573">
        <w:trPr>
          <w:trHeight w:val="255"/>
        </w:trPr>
        <w:tc>
          <w:tcPr>
            <w:tcW w:w="1058" w:type="dxa"/>
            <w:vMerge/>
          </w:tcPr>
          <w:p w14:paraId="106F6113"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1BEBD4D8" w14:textId="77777777" w:rsidR="003B3701" w:rsidRPr="00292D9C" w:rsidRDefault="003B3701" w:rsidP="00A616D5">
            <w:pPr>
              <w:rPr>
                <w:sz w:val="16"/>
                <w:szCs w:val="16"/>
                <w:lang w:val="en"/>
              </w:rPr>
            </w:pPr>
            <w:r w:rsidRPr="00292D9C">
              <w:rPr>
                <w:sz w:val="16"/>
                <w:szCs w:val="16"/>
                <w:lang w:val="en"/>
              </w:rPr>
              <w:t>STEM Professionals in Schools (CSIRO)</w:t>
            </w:r>
          </w:p>
        </w:tc>
        <w:tc>
          <w:tcPr>
            <w:tcW w:w="6051" w:type="dxa"/>
          </w:tcPr>
          <w:p w14:paraId="41512C20" w14:textId="77777777" w:rsidR="003B3701" w:rsidRPr="00292D9C" w:rsidRDefault="003B3701" w:rsidP="00A616D5">
            <w:pPr>
              <w:rPr>
                <w:sz w:val="16"/>
                <w:szCs w:val="16"/>
                <w:lang w:val="en"/>
              </w:rPr>
            </w:pPr>
            <w:r w:rsidRPr="00292D9C">
              <w:rPr>
                <w:sz w:val="16"/>
                <w:szCs w:val="16"/>
              </w:rPr>
              <w:t>Flexible partnerships between STEM professionals and schools, which will help students to understand how STEM is applied in the real world</w:t>
            </w:r>
          </w:p>
        </w:tc>
      </w:tr>
      <w:tr w:rsidR="003B3701" w:rsidRPr="00292D9C" w14:paraId="74445A59" w14:textId="77777777" w:rsidTr="000B1573">
        <w:trPr>
          <w:trHeight w:val="262"/>
        </w:trPr>
        <w:tc>
          <w:tcPr>
            <w:tcW w:w="1058" w:type="dxa"/>
            <w:vMerge/>
          </w:tcPr>
          <w:p w14:paraId="16AAE185"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349A7559" w14:textId="77777777" w:rsidR="003B3701" w:rsidRPr="00292D9C" w:rsidRDefault="003B3701" w:rsidP="00A616D5">
            <w:pPr>
              <w:rPr>
                <w:sz w:val="16"/>
                <w:szCs w:val="16"/>
                <w:lang w:val="en"/>
              </w:rPr>
            </w:pPr>
            <w:r w:rsidRPr="00292D9C">
              <w:rPr>
                <w:sz w:val="16"/>
                <w:szCs w:val="16"/>
                <w:lang w:val="en"/>
              </w:rPr>
              <w:t>Digital Literacy School Grants (schools)</w:t>
            </w:r>
          </w:p>
        </w:tc>
        <w:tc>
          <w:tcPr>
            <w:tcW w:w="6051" w:type="dxa"/>
          </w:tcPr>
          <w:p w14:paraId="24949C7E" w14:textId="77777777" w:rsidR="003B3701" w:rsidRPr="00292D9C" w:rsidRDefault="003B3701" w:rsidP="00A616D5">
            <w:pPr>
              <w:rPr>
                <w:sz w:val="16"/>
                <w:szCs w:val="16"/>
                <w:lang w:val="en"/>
              </w:rPr>
            </w:pPr>
            <w:r w:rsidRPr="00292D9C">
              <w:rPr>
                <w:sz w:val="16"/>
                <w:szCs w:val="16"/>
                <w:lang w:val="en"/>
              </w:rPr>
              <w:t xml:space="preserve">Funding for schools to implement their own innovative projects </w:t>
            </w:r>
          </w:p>
        </w:tc>
      </w:tr>
      <w:tr w:rsidR="003B3701" w:rsidRPr="00292D9C" w14:paraId="65117252" w14:textId="77777777" w:rsidTr="000B1573">
        <w:trPr>
          <w:trHeight w:val="255"/>
        </w:trPr>
        <w:tc>
          <w:tcPr>
            <w:tcW w:w="1058" w:type="dxa"/>
            <w:vMerge/>
          </w:tcPr>
          <w:p w14:paraId="7D4AFA98"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07C9992" w14:textId="77777777" w:rsidR="003B3701" w:rsidRPr="00292D9C" w:rsidRDefault="003B3701" w:rsidP="00A616D5">
            <w:pPr>
              <w:rPr>
                <w:sz w:val="16"/>
                <w:szCs w:val="16"/>
                <w:lang w:val="en"/>
              </w:rPr>
            </w:pPr>
            <w:r w:rsidRPr="00292D9C">
              <w:rPr>
                <w:sz w:val="16"/>
                <w:szCs w:val="16"/>
                <w:lang w:val="en"/>
              </w:rPr>
              <w:t>Australian Digital Technologies Challenges and Dive into Code (University of Sydney – Australian Computing Academy)</w:t>
            </w:r>
          </w:p>
        </w:tc>
        <w:tc>
          <w:tcPr>
            <w:tcW w:w="6051" w:type="dxa"/>
          </w:tcPr>
          <w:p w14:paraId="071C55BA" w14:textId="77777777" w:rsidR="003B3701" w:rsidRPr="00292D9C" w:rsidRDefault="003B3701" w:rsidP="00576DC3">
            <w:pPr>
              <w:rPr>
                <w:sz w:val="16"/>
                <w:szCs w:val="16"/>
              </w:rPr>
            </w:pPr>
            <w:r w:rsidRPr="00292D9C">
              <w:rPr>
                <w:sz w:val="16"/>
                <w:szCs w:val="16"/>
              </w:rPr>
              <w:t>An online series of structured, progressive teaching and learning activities and challenges for Year 3-8 students and professional learning workshops for teachers. Dive into Code—fun and engaging coding activities and challenges for Year 3-</w:t>
            </w:r>
            <w:r w:rsidR="00576DC3">
              <w:rPr>
                <w:sz w:val="16"/>
                <w:szCs w:val="16"/>
              </w:rPr>
              <w:t>12</w:t>
            </w:r>
            <w:r w:rsidRPr="00292D9C">
              <w:rPr>
                <w:sz w:val="16"/>
                <w:szCs w:val="16"/>
              </w:rPr>
              <w:t xml:space="preserve"> students</w:t>
            </w:r>
          </w:p>
        </w:tc>
      </w:tr>
      <w:tr w:rsidR="003B3701" w:rsidRPr="00292D9C" w14:paraId="38518715" w14:textId="77777777" w:rsidTr="000B1573">
        <w:trPr>
          <w:trHeight w:val="255"/>
        </w:trPr>
        <w:tc>
          <w:tcPr>
            <w:tcW w:w="1058" w:type="dxa"/>
            <w:vMerge/>
          </w:tcPr>
          <w:p w14:paraId="695BA501"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7BD602CF" w14:textId="77777777" w:rsidR="003B3701" w:rsidRPr="00292D9C" w:rsidRDefault="003B3701" w:rsidP="00A616D5">
            <w:pPr>
              <w:rPr>
                <w:sz w:val="16"/>
                <w:szCs w:val="16"/>
                <w:lang w:val="en"/>
              </w:rPr>
            </w:pPr>
            <w:proofErr w:type="spellStart"/>
            <w:r w:rsidRPr="00292D9C">
              <w:rPr>
                <w:sz w:val="16"/>
                <w:szCs w:val="16"/>
                <w:lang w:val="en"/>
              </w:rPr>
              <w:t>digIT</w:t>
            </w:r>
            <w:proofErr w:type="spellEnd"/>
            <w:r w:rsidRPr="00292D9C">
              <w:rPr>
                <w:sz w:val="16"/>
                <w:szCs w:val="16"/>
                <w:lang w:val="en"/>
              </w:rPr>
              <w:t xml:space="preserve"> summer schools (Australian Mathematics Trust)</w:t>
            </w:r>
          </w:p>
        </w:tc>
        <w:tc>
          <w:tcPr>
            <w:tcW w:w="6051" w:type="dxa"/>
          </w:tcPr>
          <w:p w14:paraId="5C36AB2B" w14:textId="77777777" w:rsidR="003B3701" w:rsidRPr="00292D9C" w:rsidRDefault="003B3701" w:rsidP="00A616D5">
            <w:pPr>
              <w:rPr>
                <w:sz w:val="16"/>
                <w:szCs w:val="16"/>
                <w:lang w:val="en"/>
              </w:rPr>
            </w:pPr>
            <w:r w:rsidRPr="00292D9C">
              <w:rPr>
                <w:sz w:val="16"/>
                <w:szCs w:val="16"/>
              </w:rPr>
              <w:t>Intensive camps and mentoring to target students at risk of not benefiting from the AC: DT to engage them in ICT and future careers</w:t>
            </w:r>
          </w:p>
        </w:tc>
      </w:tr>
      <w:tr w:rsidR="003B3701" w:rsidRPr="00292D9C" w14:paraId="5A631223" w14:textId="77777777" w:rsidTr="000B1573">
        <w:trPr>
          <w:trHeight w:val="262"/>
        </w:trPr>
        <w:tc>
          <w:tcPr>
            <w:tcW w:w="1058" w:type="dxa"/>
            <w:vMerge w:val="restart"/>
          </w:tcPr>
          <w:p w14:paraId="2AB81123"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 xml:space="preserve">Additional school initiatives </w:t>
            </w:r>
          </w:p>
        </w:tc>
        <w:tc>
          <w:tcPr>
            <w:tcW w:w="2633" w:type="dxa"/>
          </w:tcPr>
          <w:p w14:paraId="727643C1" w14:textId="77777777" w:rsidR="003B3701" w:rsidRPr="00292D9C" w:rsidRDefault="003B3701" w:rsidP="00A616D5">
            <w:pPr>
              <w:rPr>
                <w:sz w:val="16"/>
                <w:szCs w:val="16"/>
                <w:lang w:val="en"/>
              </w:rPr>
            </w:pPr>
            <w:r w:rsidRPr="00292D9C">
              <w:rPr>
                <w:sz w:val="16"/>
                <w:szCs w:val="16"/>
                <w:lang w:val="en"/>
              </w:rPr>
              <w:t>Principals as STEM leaders (University of Tasmania)</w:t>
            </w:r>
          </w:p>
        </w:tc>
        <w:tc>
          <w:tcPr>
            <w:tcW w:w="6051" w:type="dxa"/>
          </w:tcPr>
          <w:p w14:paraId="3E122D5D" w14:textId="77777777" w:rsidR="003B3701" w:rsidRPr="00292D9C" w:rsidRDefault="00C5355B" w:rsidP="00A616D5">
            <w:pPr>
              <w:rPr>
                <w:sz w:val="16"/>
                <w:szCs w:val="16"/>
                <w:lang w:val="en"/>
              </w:rPr>
            </w:pPr>
            <w:r>
              <w:rPr>
                <w:sz w:val="16"/>
                <w:szCs w:val="16"/>
              </w:rPr>
              <w:t>Developing and trialling s</w:t>
            </w:r>
            <w:r w:rsidR="003B3701" w:rsidRPr="00292D9C">
              <w:rPr>
                <w:sz w:val="16"/>
                <w:szCs w:val="16"/>
              </w:rPr>
              <w:t>upport for principals to provide high quality STEM leadership in schools. The resources developed through the project will be made available for all Australian schools to use at the end of the project</w:t>
            </w:r>
          </w:p>
        </w:tc>
      </w:tr>
      <w:tr w:rsidR="003B3701" w:rsidRPr="00292D9C" w14:paraId="3FF8DE25" w14:textId="77777777" w:rsidTr="000B1573">
        <w:trPr>
          <w:trHeight w:val="255"/>
        </w:trPr>
        <w:tc>
          <w:tcPr>
            <w:tcW w:w="1058" w:type="dxa"/>
            <w:vMerge/>
          </w:tcPr>
          <w:p w14:paraId="25BBC240"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2F17DC8E" w14:textId="77777777" w:rsidR="003B3701" w:rsidRPr="00292D9C" w:rsidRDefault="003B3701" w:rsidP="00A616D5">
            <w:pPr>
              <w:rPr>
                <w:sz w:val="16"/>
                <w:szCs w:val="16"/>
                <w:lang w:val="en"/>
              </w:rPr>
            </w:pPr>
            <w:r w:rsidRPr="00292D9C">
              <w:rPr>
                <w:sz w:val="16"/>
                <w:szCs w:val="16"/>
                <w:lang w:val="en"/>
              </w:rPr>
              <w:t>Science ASSIST Advisory Service (Australian Science Teachers Association)</w:t>
            </w:r>
          </w:p>
        </w:tc>
        <w:tc>
          <w:tcPr>
            <w:tcW w:w="6051" w:type="dxa"/>
          </w:tcPr>
          <w:p w14:paraId="4174FC1E" w14:textId="77777777" w:rsidR="003B3701" w:rsidRPr="00292D9C" w:rsidRDefault="003B3701" w:rsidP="00A616D5">
            <w:pPr>
              <w:rPr>
                <w:sz w:val="16"/>
                <w:szCs w:val="16"/>
                <w:lang w:val="en"/>
              </w:rPr>
            </w:pPr>
            <w:r w:rsidRPr="00292D9C">
              <w:rPr>
                <w:sz w:val="16"/>
                <w:szCs w:val="16"/>
              </w:rPr>
              <w:t>An online advisory service for science teachers and laboratory technicians that provide</w:t>
            </w:r>
            <w:r w:rsidR="00435A7E">
              <w:rPr>
                <w:sz w:val="16"/>
                <w:szCs w:val="16"/>
              </w:rPr>
              <w:t>d</w:t>
            </w:r>
            <w:r w:rsidRPr="00292D9C">
              <w:rPr>
                <w:sz w:val="16"/>
                <w:szCs w:val="16"/>
              </w:rPr>
              <w:t xml:space="preserve"> advice on science laboratory safety and procedures, including factsheets and a Q&amp;A service</w:t>
            </w:r>
          </w:p>
        </w:tc>
      </w:tr>
      <w:tr w:rsidR="003B3701" w:rsidRPr="00292D9C" w14:paraId="65650F86" w14:textId="77777777" w:rsidTr="000B1573">
        <w:trPr>
          <w:trHeight w:val="255"/>
        </w:trPr>
        <w:tc>
          <w:tcPr>
            <w:tcW w:w="1058" w:type="dxa"/>
            <w:vMerge/>
          </w:tcPr>
          <w:p w14:paraId="496F03B6"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2EE47E4" w14:textId="77777777" w:rsidR="003B3701" w:rsidRPr="00292D9C" w:rsidRDefault="003B3701" w:rsidP="00A616D5">
            <w:pPr>
              <w:rPr>
                <w:sz w:val="16"/>
                <w:szCs w:val="16"/>
                <w:lang w:val="en"/>
              </w:rPr>
            </w:pPr>
            <w:r w:rsidRPr="00292D9C">
              <w:rPr>
                <w:sz w:val="16"/>
                <w:szCs w:val="16"/>
                <w:lang w:val="en"/>
              </w:rPr>
              <w:t>Curious Minds summer schools for girls (Australian Mathematics Trust)</w:t>
            </w:r>
          </w:p>
        </w:tc>
        <w:tc>
          <w:tcPr>
            <w:tcW w:w="6051" w:type="dxa"/>
          </w:tcPr>
          <w:p w14:paraId="4A48C973" w14:textId="77777777" w:rsidR="003B3701" w:rsidRPr="00292D9C" w:rsidRDefault="003B3701" w:rsidP="00A616D5">
            <w:pPr>
              <w:rPr>
                <w:sz w:val="16"/>
                <w:szCs w:val="16"/>
                <w:lang w:val="en"/>
              </w:rPr>
            </w:pPr>
            <w:r w:rsidRPr="00292D9C">
              <w:rPr>
                <w:sz w:val="16"/>
                <w:szCs w:val="16"/>
              </w:rPr>
              <w:t>A hands-on extension program that combines residential camps and a mentoring program to ignite girls’ passion in STEM</w:t>
            </w:r>
          </w:p>
        </w:tc>
      </w:tr>
      <w:tr w:rsidR="003B3701" w:rsidRPr="00292D9C" w14:paraId="335AF8F3" w14:textId="77777777" w:rsidTr="000B1573">
        <w:trPr>
          <w:trHeight w:val="255"/>
        </w:trPr>
        <w:tc>
          <w:tcPr>
            <w:tcW w:w="1058" w:type="dxa"/>
            <w:vMerge/>
          </w:tcPr>
          <w:p w14:paraId="71118435"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809E11C" w14:textId="77777777" w:rsidR="003B3701" w:rsidRPr="00292D9C" w:rsidRDefault="003B3701" w:rsidP="00A616D5">
            <w:pPr>
              <w:rPr>
                <w:sz w:val="16"/>
                <w:szCs w:val="16"/>
                <w:lang w:val="en"/>
              </w:rPr>
            </w:pPr>
            <w:r w:rsidRPr="00292D9C">
              <w:rPr>
                <w:sz w:val="16"/>
                <w:szCs w:val="16"/>
                <w:lang w:val="en"/>
              </w:rPr>
              <w:t xml:space="preserve">Primary Connections: Linking Science with Literacy (Australian Academy of Science) </w:t>
            </w:r>
          </w:p>
        </w:tc>
        <w:tc>
          <w:tcPr>
            <w:tcW w:w="6051" w:type="dxa"/>
          </w:tcPr>
          <w:p w14:paraId="3E0DD2C1" w14:textId="77777777" w:rsidR="003B3701" w:rsidRPr="00292D9C" w:rsidRDefault="003B3701" w:rsidP="00A616D5">
            <w:pPr>
              <w:rPr>
                <w:sz w:val="16"/>
                <w:szCs w:val="16"/>
                <w:lang w:val="en"/>
              </w:rPr>
            </w:pPr>
            <w:r w:rsidRPr="00292D9C">
              <w:rPr>
                <w:sz w:val="16"/>
                <w:szCs w:val="16"/>
              </w:rPr>
              <w:t>Professional learning and inquiry curriculum resources for primary teachers linking science and literacy teaching</w:t>
            </w:r>
          </w:p>
        </w:tc>
      </w:tr>
      <w:tr w:rsidR="003B3701" w:rsidRPr="00292D9C" w14:paraId="16B53A9F" w14:textId="77777777" w:rsidTr="000B1573">
        <w:trPr>
          <w:trHeight w:val="262"/>
        </w:trPr>
        <w:tc>
          <w:tcPr>
            <w:tcW w:w="1058" w:type="dxa"/>
            <w:vMerge/>
          </w:tcPr>
          <w:p w14:paraId="440D5D04"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FB63B05" w14:textId="77777777" w:rsidR="003B3701" w:rsidRPr="00292D9C" w:rsidRDefault="003B3701" w:rsidP="00A616D5">
            <w:pPr>
              <w:rPr>
                <w:sz w:val="16"/>
                <w:szCs w:val="16"/>
                <w:lang w:val="en"/>
              </w:rPr>
            </w:pPr>
            <w:r w:rsidRPr="00292D9C">
              <w:rPr>
                <w:sz w:val="16"/>
                <w:szCs w:val="16"/>
                <w:lang w:val="en"/>
              </w:rPr>
              <w:t>Science by Doing (Australian Academy of Science)</w:t>
            </w:r>
          </w:p>
        </w:tc>
        <w:tc>
          <w:tcPr>
            <w:tcW w:w="6051" w:type="dxa"/>
          </w:tcPr>
          <w:p w14:paraId="1D02FD1E" w14:textId="77777777" w:rsidR="003B3701" w:rsidRPr="00292D9C" w:rsidRDefault="003B3701" w:rsidP="00A616D5">
            <w:pPr>
              <w:rPr>
                <w:sz w:val="16"/>
                <w:szCs w:val="16"/>
                <w:lang w:val="en"/>
              </w:rPr>
            </w:pPr>
            <w:r w:rsidRPr="00292D9C">
              <w:rPr>
                <w:sz w:val="16"/>
                <w:szCs w:val="16"/>
              </w:rPr>
              <w:t>Professional learning modules for secondary science teachers and online science resources for students in Years 7 to 10</w:t>
            </w:r>
          </w:p>
        </w:tc>
      </w:tr>
      <w:tr w:rsidR="003B3701" w:rsidRPr="00292D9C" w14:paraId="703218F1" w14:textId="77777777" w:rsidTr="000B1573">
        <w:trPr>
          <w:trHeight w:val="255"/>
        </w:trPr>
        <w:tc>
          <w:tcPr>
            <w:tcW w:w="1058" w:type="dxa"/>
            <w:vMerge/>
          </w:tcPr>
          <w:p w14:paraId="4196AD9E"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C8F67A8" w14:textId="77777777" w:rsidR="003B3701" w:rsidRPr="00292D9C" w:rsidRDefault="003B3701" w:rsidP="00A616D5">
            <w:pPr>
              <w:rPr>
                <w:sz w:val="16"/>
                <w:szCs w:val="16"/>
                <w:lang w:val="en"/>
              </w:rPr>
            </w:pPr>
            <w:proofErr w:type="spellStart"/>
            <w:r w:rsidRPr="00292D9C">
              <w:rPr>
                <w:sz w:val="16"/>
                <w:szCs w:val="16"/>
                <w:lang w:val="en"/>
              </w:rPr>
              <w:t>reSolve</w:t>
            </w:r>
            <w:proofErr w:type="spellEnd"/>
            <w:r w:rsidRPr="00292D9C">
              <w:rPr>
                <w:sz w:val="16"/>
                <w:szCs w:val="16"/>
                <w:lang w:val="en"/>
              </w:rPr>
              <w:t>: Mathematics by Inquiry (Australian Academy of Science)</w:t>
            </w:r>
          </w:p>
        </w:tc>
        <w:tc>
          <w:tcPr>
            <w:tcW w:w="6051" w:type="dxa"/>
          </w:tcPr>
          <w:p w14:paraId="34886908" w14:textId="77777777" w:rsidR="003B3701" w:rsidRPr="00292D9C" w:rsidRDefault="003B3701" w:rsidP="00A616D5">
            <w:pPr>
              <w:rPr>
                <w:sz w:val="16"/>
                <w:szCs w:val="16"/>
                <w:lang w:val="en"/>
              </w:rPr>
            </w:pPr>
            <w:r w:rsidRPr="00292D9C">
              <w:rPr>
                <w:sz w:val="16"/>
                <w:szCs w:val="16"/>
              </w:rPr>
              <w:t>Teaching and professional learning resources that support teaching mathematics from F-10 through inquiry-based methods</w:t>
            </w:r>
          </w:p>
        </w:tc>
      </w:tr>
      <w:tr w:rsidR="003B3701" w:rsidRPr="00292D9C" w14:paraId="4702B762" w14:textId="77777777" w:rsidTr="000B1573">
        <w:trPr>
          <w:trHeight w:val="262"/>
        </w:trPr>
        <w:tc>
          <w:tcPr>
            <w:tcW w:w="1058" w:type="dxa"/>
            <w:vMerge w:val="restart"/>
          </w:tcPr>
          <w:p w14:paraId="4CF3C8DD" w14:textId="77777777" w:rsidR="003B3701" w:rsidRPr="00292D9C" w:rsidRDefault="003B3701" w:rsidP="00A616D5">
            <w:pPr>
              <w:pStyle w:val="TableHeadingBlack"/>
              <w:spacing w:after="120" w:line="360" w:lineRule="auto"/>
              <w:rPr>
                <w:rFonts w:asciiTheme="minorHAnsi" w:hAnsiTheme="minorHAnsi"/>
                <w:sz w:val="16"/>
                <w:szCs w:val="16"/>
                <w:lang w:val="en"/>
              </w:rPr>
            </w:pPr>
            <w:r w:rsidRPr="00292D9C">
              <w:rPr>
                <w:rFonts w:asciiTheme="minorHAnsi" w:hAnsiTheme="minorHAnsi"/>
                <w:sz w:val="16"/>
                <w:szCs w:val="16"/>
                <w:lang w:val="en"/>
              </w:rPr>
              <w:t xml:space="preserve">Early years initiatives </w:t>
            </w:r>
          </w:p>
        </w:tc>
        <w:tc>
          <w:tcPr>
            <w:tcW w:w="2633" w:type="dxa"/>
          </w:tcPr>
          <w:p w14:paraId="3F6DB51B" w14:textId="77777777" w:rsidR="003B3701" w:rsidRPr="00292D9C" w:rsidRDefault="003B3701" w:rsidP="00A616D5">
            <w:pPr>
              <w:rPr>
                <w:sz w:val="16"/>
                <w:szCs w:val="16"/>
                <w:lang w:val="en"/>
              </w:rPr>
            </w:pPr>
            <w:r w:rsidRPr="00292D9C">
              <w:rPr>
                <w:sz w:val="16"/>
                <w:szCs w:val="16"/>
                <w:lang w:val="en"/>
              </w:rPr>
              <w:t>Early Learning STEM Australia (ELSA) Pilot (University of Canberra)</w:t>
            </w:r>
          </w:p>
        </w:tc>
        <w:tc>
          <w:tcPr>
            <w:tcW w:w="6051" w:type="dxa"/>
          </w:tcPr>
          <w:p w14:paraId="6EC99915" w14:textId="77777777" w:rsidR="003B3701" w:rsidRPr="00292D9C" w:rsidRDefault="00BD1F6C" w:rsidP="00A616D5">
            <w:pPr>
              <w:rPr>
                <w:sz w:val="16"/>
                <w:szCs w:val="16"/>
                <w:lang w:val="en"/>
              </w:rPr>
            </w:pPr>
            <w:r>
              <w:rPr>
                <w:sz w:val="16"/>
                <w:szCs w:val="16"/>
              </w:rPr>
              <w:t>Developing and piloting p</w:t>
            </w:r>
            <w:r w:rsidR="003B3701" w:rsidRPr="00292D9C">
              <w:rPr>
                <w:sz w:val="16"/>
                <w:szCs w:val="16"/>
              </w:rPr>
              <w:t xml:space="preserve">lay-based digital apps for preschool children with a focus on foundation STEM learning concepts to inspire curiosity and engagement in STEM, including a supporting app for educators and families </w:t>
            </w:r>
          </w:p>
        </w:tc>
      </w:tr>
      <w:tr w:rsidR="003B3701" w:rsidRPr="00292D9C" w14:paraId="424026D2" w14:textId="77777777" w:rsidTr="000B1573">
        <w:trPr>
          <w:trHeight w:val="255"/>
        </w:trPr>
        <w:tc>
          <w:tcPr>
            <w:tcW w:w="1058" w:type="dxa"/>
            <w:vMerge/>
          </w:tcPr>
          <w:p w14:paraId="4E421513"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582F5803" w14:textId="77777777" w:rsidR="003B3701" w:rsidRPr="00292D9C" w:rsidRDefault="003B3701" w:rsidP="00A616D5">
            <w:pPr>
              <w:rPr>
                <w:sz w:val="16"/>
                <w:szCs w:val="16"/>
                <w:lang w:val="en"/>
              </w:rPr>
            </w:pPr>
            <w:r w:rsidRPr="00292D9C">
              <w:rPr>
                <w:sz w:val="16"/>
                <w:szCs w:val="16"/>
                <w:lang w:val="en"/>
              </w:rPr>
              <w:t>Let’s Count (The Smith Family)</w:t>
            </w:r>
          </w:p>
        </w:tc>
        <w:tc>
          <w:tcPr>
            <w:tcW w:w="6051" w:type="dxa"/>
          </w:tcPr>
          <w:p w14:paraId="2B504A53" w14:textId="77777777" w:rsidR="003B3701" w:rsidRPr="00292D9C" w:rsidRDefault="003B3701" w:rsidP="00A616D5">
            <w:pPr>
              <w:rPr>
                <w:sz w:val="16"/>
                <w:szCs w:val="16"/>
                <w:lang w:val="en"/>
              </w:rPr>
            </w:pPr>
            <w:r w:rsidRPr="00292D9C">
              <w:rPr>
                <w:sz w:val="16"/>
                <w:szCs w:val="16"/>
              </w:rPr>
              <w:t xml:space="preserve">An early mathematics program for children aged 3-5 that supports early years’ educators and parents to develop the mathematics skills of the children in their care by noticing, exploring, and talking about mathematics using everyday activities. The program involves professional learning for educators, and information and physical resources for parents. </w:t>
            </w:r>
          </w:p>
        </w:tc>
      </w:tr>
      <w:tr w:rsidR="003B3701" w:rsidRPr="00292D9C" w14:paraId="0DD15E9C" w14:textId="77777777" w:rsidTr="000B1573">
        <w:trPr>
          <w:trHeight w:val="255"/>
        </w:trPr>
        <w:tc>
          <w:tcPr>
            <w:tcW w:w="1058" w:type="dxa"/>
            <w:vMerge/>
          </w:tcPr>
          <w:p w14:paraId="321E29DF" w14:textId="77777777" w:rsidR="003B3701" w:rsidRPr="00292D9C" w:rsidRDefault="003B3701" w:rsidP="00A616D5">
            <w:pPr>
              <w:pStyle w:val="TableHeadingBlack"/>
              <w:spacing w:after="120" w:line="360" w:lineRule="auto"/>
              <w:rPr>
                <w:rFonts w:asciiTheme="minorHAnsi" w:hAnsiTheme="minorHAnsi"/>
                <w:sz w:val="16"/>
                <w:szCs w:val="16"/>
                <w:lang w:val="en"/>
              </w:rPr>
            </w:pPr>
          </w:p>
        </w:tc>
        <w:tc>
          <w:tcPr>
            <w:tcW w:w="2633" w:type="dxa"/>
          </w:tcPr>
          <w:p w14:paraId="4A3912D9" w14:textId="77777777" w:rsidR="003B3701" w:rsidRPr="00292D9C" w:rsidRDefault="003B3701" w:rsidP="00A616D5">
            <w:pPr>
              <w:rPr>
                <w:sz w:val="16"/>
                <w:szCs w:val="16"/>
                <w:lang w:val="en"/>
              </w:rPr>
            </w:pPr>
            <w:r w:rsidRPr="00292D9C">
              <w:rPr>
                <w:sz w:val="16"/>
                <w:szCs w:val="16"/>
                <w:lang w:val="en"/>
              </w:rPr>
              <w:t>Little Scientists (Froebel Australia)</w:t>
            </w:r>
          </w:p>
        </w:tc>
        <w:tc>
          <w:tcPr>
            <w:tcW w:w="6051" w:type="dxa"/>
          </w:tcPr>
          <w:p w14:paraId="0A94E993" w14:textId="77777777" w:rsidR="003B3701" w:rsidRPr="00292D9C" w:rsidRDefault="003B3701" w:rsidP="00A616D5">
            <w:pPr>
              <w:rPr>
                <w:sz w:val="16"/>
                <w:szCs w:val="16"/>
                <w:lang w:val="en"/>
              </w:rPr>
            </w:pPr>
            <w:r w:rsidRPr="00292D9C">
              <w:rPr>
                <w:sz w:val="16"/>
                <w:szCs w:val="16"/>
              </w:rPr>
              <w:t>A series of education workshops for early learning educators to improve their confidence and ability to introduce STEM concepts in a fun and engaging way to children in their care</w:t>
            </w:r>
          </w:p>
        </w:tc>
      </w:tr>
    </w:tbl>
    <w:p w14:paraId="34272E9C" w14:textId="77777777" w:rsidR="006A0AA0" w:rsidRPr="00292D9C" w:rsidRDefault="00A521DD" w:rsidP="00A616D5">
      <w:pPr>
        <w:pStyle w:val="Heading1"/>
        <w:spacing w:before="0" w:after="120" w:line="360" w:lineRule="auto"/>
        <w:rPr>
          <w:rFonts w:asciiTheme="minorHAnsi" w:hAnsiTheme="minorHAnsi"/>
          <w:lang w:eastAsia="en-GB"/>
        </w:rPr>
      </w:pPr>
      <w:bookmarkStart w:id="42" w:name="_Toc25162040"/>
      <w:r w:rsidRPr="00292D9C">
        <w:rPr>
          <w:rFonts w:asciiTheme="minorHAnsi" w:hAnsiTheme="minorHAnsi"/>
        </w:rPr>
        <w:t>Evaluation of NISA initiatives as a package</w:t>
      </w:r>
      <w:bookmarkEnd w:id="42"/>
      <w:r w:rsidR="001646B2" w:rsidRPr="00292D9C">
        <w:rPr>
          <w:rFonts w:asciiTheme="minorHAnsi" w:hAnsiTheme="minorHAnsi"/>
        </w:rPr>
        <w:t xml:space="preserve"> </w:t>
      </w:r>
    </w:p>
    <w:p w14:paraId="5E33E964" w14:textId="77777777" w:rsidR="003B3701" w:rsidRPr="00292D9C" w:rsidRDefault="003B3701" w:rsidP="00A616D5">
      <w:pPr>
        <w:rPr>
          <w:lang w:eastAsia="en-GB"/>
        </w:rPr>
      </w:pPr>
      <w:r w:rsidRPr="00292D9C">
        <w:rPr>
          <w:lang w:eastAsia="en-GB"/>
        </w:rPr>
        <w:t>The NISA initiatives</w:t>
      </w:r>
      <w:r w:rsidR="000E4666" w:rsidRPr="00292D9C">
        <w:rPr>
          <w:lang w:eastAsia="en-GB"/>
        </w:rPr>
        <w:t xml:space="preserve"> were designed to be</w:t>
      </w:r>
      <w:r w:rsidRPr="00292D9C">
        <w:rPr>
          <w:lang w:eastAsia="en-GB"/>
        </w:rPr>
        <w:t xml:space="preserve"> more than the sum of their parts</w:t>
      </w:r>
      <w:r w:rsidR="000E4666" w:rsidRPr="00292D9C">
        <w:rPr>
          <w:lang w:eastAsia="en-GB"/>
        </w:rPr>
        <w:t xml:space="preserve">. This </w:t>
      </w:r>
      <w:r w:rsidRPr="00292D9C">
        <w:rPr>
          <w:lang w:eastAsia="en-GB"/>
        </w:rPr>
        <w:t xml:space="preserve">evaluation reflects this by </w:t>
      </w:r>
      <w:r w:rsidR="0086714D" w:rsidRPr="00292D9C">
        <w:rPr>
          <w:lang w:eastAsia="en-GB"/>
        </w:rPr>
        <w:t xml:space="preserve">evaluating the initiatives </w:t>
      </w:r>
      <w:r w:rsidRPr="00292D9C">
        <w:rPr>
          <w:lang w:eastAsia="en-GB"/>
        </w:rPr>
        <w:t xml:space="preserve">as a package. The evaluation of the NISA initiatives as a whole provides a better assessment of </w:t>
      </w:r>
      <w:r w:rsidR="006A0AA0" w:rsidRPr="00292D9C">
        <w:rPr>
          <w:lang w:eastAsia="en-GB"/>
        </w:rPr>
        <w:t xml:space="preserve">the impact of the </w:t>
      </w:r>
      <w:r w:rsidR="00BD1F6C">
        <w:rPr>
          <w:lang w:eastAsia="en-GB"/>
        </w:rPr>
        <w:t>Government</w:t>
      </w:r>
      <w:r w:rsidR="00BD1F6C" w:rsidRPr="00292D9C">
        <w:rPr>
          <w:lang w:eastAsia="en-GB"/>
        </w:rPr>
        <w:t xml:space="preserve">’s </w:t>
      </w:r>
      <w:r w:rsidR="006A0AA0" w:rsidRPr="00292D9C">
        <w:rPr>
          <w:lang w:eastAsia="en-GB"/>
        </w:rPr>
        <w:t>investment in STEM education</w:t>
      </w:r>
      <w:r w:rsidR="007933B2" w:rsidRPr="00292D9C">
        <w:rPr>
          <w:lang w:eastAsia="en-GB"/>
        </w:rPr>
        <w:t xml:space="preserve"> and help</w:t>
      </w:r>
      <w:r w:rsidR="009C7ED8" w:rsidRPr="00292D9C">
        <w:rPr>
          <w:lang w:eastAsia="en-GB"/>
        </w:rPr>
        <w:t>s</w:t>
      </w:r>
      <w:r w:rsidR="007933B2" w:rsidRPr="00292D9C">
        <w:rPr>
          <w:lang w:eastAsia="en-GB"/>
        </w:rPr>
        <w:t xml:space="preserve"> with future decision-making</w:t>
      </w:r>
      <w:r w:rsidRPr="00292D9C">
        <w:rPr>
          <w:lang w:eastAsia="en-GB"/>
        </w:rPr>
        <w:t xml:space="preserve"> by understanding:</w:t>
      </w:r>
    </w:p>
    <w:p w14:paraId="088D8F8D" w14:textId="77777777" w:rsidR="003B3701" w:rsidRPr="00292D9C" w:rsidRDefault="003B3701" w:rsidP="00F04CCE">
      <w:pPr>
        <w:pStyle w:val="ListParagraph"/>
        <w:numPr>
          <w:ilvl w:val="0"/>
          <w:numId w:val="22"/>
        </w:numPr>
        <w:rPr>
          <w:lang w:eastAsia="en-GB"/>
        </w:rPr>
      </w:pPr>
      <w:r w:rsidRPr="00292D9C">
        <w:rPr>
          <w:lang w:eastAsia="en-GB"/>
        </w:rPr>
        <w:t>T</w:t>
      </w:r>
      <w:r w:rsidR="006A0AA0" w:rsidRPr="00292D9C">
        <w:rPr>
          <w:lang w:eastAsia="en-GB"/>
        </w:rPr>
        <w:t xml:space="preserve">he benefits and potential improvements to </w:t>
      </w:r>
      <w:r w:rsidRPr="00292D9C">
        <w:rPr>
          <w:lang w:eastAsia="en-GB"/>
        </w:rPr>
        <w:t xml:space="preserve">the NISA initiatives’ </w:t>
      </w:r>
      <w:r w:rsidR="006A0AA0" w:rsidRPr="00292D9C">
        <w:rPr>
          <w:lang w:eastAsia="en-GB"/>
        </w:rPr>
        <w:t>approach</w:t>
      </w:r>
    </w:p>
    <w:p w14:paraId="39C8CF1E" w14:textId="77777777" w:rsidR="003B3701" w:rsidRPr="00292D9C" w:rsidRDefault="003B3701" w:rsidP="00F04CCE">
      <w:pPr>
        <w:pStyle w:val="ListParagraph"/>
        <w:numPr>
          <w:ilvl w:val="0"/>
          <w:numId w:val="22"/>
        </w:numPr>
        <w:rPr>
          <w:lang w:eastAsia="en-GB"/>
        </w:rPr>
      </w:pPr>
      <w:r w:rsidRPr="00292D9C">
        <w:rPr>
          <w:lang w:eastAsia="en-GB"/>
        </w:rPr>
        <w:t>H</w:t>
      </w:r>
      <w:r w:rsidR="0086714D" w:rsidRPr="00292D9C">
        <w:rPr>
          <w:lang w:eastAsia="en-GB"/>
        </w:rPr>
        <w:t xml:space="preserve">ow </w:t>
      </w:r>
      <w:r w:rsidRPr="00292D9C">
        <w:rPr>
          <w:lang w:eastAsia="en-GB"/>
        </w:rPr>
        <w:t xml:space="preserve">NISA initiatives </w:t>
      </w:r>
      <w:r w:rsidR="0086714D" w:rsidRPr="00292D9C">
        <w:rPr>
          <w:lang w:eastAsia="en-GB"/>
        </w:rPr>
        <w:t>map</w:t>
      </w:r>
      <w:r w:rsidRPr="00292D9C">
        <w:rPr>
          <w:lang w:eastAsia="en-GB"/>
        </w:rPr>
        <w:t xml:space="preserve"> </w:t>
      </w:r>
      <w:r w:rsidR="0086714D" w:rsidRPr="00292D9C">
        <w:rPr>
          <w:lang w:eastAsia="en-GB"/>
        </w:rPr>
        <w:t>to the</w:t>
      </w:r>
      <w:r w:rsidR="006A0AA0" w:rsidRPr="00292D9C">
        <w:rPr>
          <w:lang w:eastAsia="en-GB"/>
        </w:rPr>
        <w:t xml:space="preserve"> needs of schools and early childhood settings</w:t>
      </w:r>
    </w:p>
    <w:p w14:paraId="67BE82E5" w14:textId="77777777" w:rsidR="006A0AA0" w:rsidRPr="00292D9C" w:rsidRDefault="003B3701" w:rsidP="00F04CCE">
      <w:pPr>
        <w:pStyle w:val="ListParagraph"/>
        <w:numPr>
          <w:ilvl w:val="0"/>
          <w:numId w:val="22"/>
        </w:numPr>
        <w:rPr>
          <w:lang w:eastAsia="en-GB"/>
        </w:rPr>
      </w:pPr>
      <w:r w:rsidRPr="00292D9C">
        <w:rPr>
          <w:lang w:eastAsia="en-GB"/>
        </w:rPr>
        <w:t xml:space="preserve">Whether </w:t>
      </w:r>
      <w:r w:rsidR="006A0AA0" w:rsidRPr="00292D9C">
        <w:rPr>
          <w:lang w:eastAsia="en-GB"/>
        </w:rPr>
        <w:t>there are gaps, duplicat</w:t>
      </w:r>
      <w:r w:rsidR="008B4957" w:rsidRPr="00292D9C">
        <w:rPr>
          <w:lang w:eastAsia="en-GB"/>
        </w:rPr>
        <w:t>ions</w:t>
      </w:r>
      <w:r w:rsidR="006A0AA0" w:rsidRPr="00292D9C">
        <w:rPr>
          <w:lang w:eastAsia="en-GB"/>
        </w:rPr>
        <w:t xml:space="preserve"> or opportunities for change (including relative to other programs provided by individual jurisdictions)</w:t>
      </w:r>
    </w:p>
    <w:p w14:paraId="12B07298" w14:textId="77777777" w:rsidR="0086714D" w:rsidRPr="00292D9C" w:rsidRDefault="0086714D" w:rsidP="00A616D5">
      <w:pPr>
        <w:pStyle w:val="Heading3Normal"/>
        <w:spacing w:before="0" w:after="120"/>
        <w:rPr>
          <w:rFonts w:asciiTheme="minorHAnsi" w:hAnsiTheme="minorHAnsi"/>
        </w:rPr>
      </w:pPr>
      <w:r w:rsidRPr="00292D9C">
        <w:rPr>
          <w:rFonts w:asciiTheme="minorHAnsi" w:hAnsiTheme="minorHAnsi"/>
        </w:rPr>
        <w:t xml:space="preserve">The evaluation of the initiatives as a package has been challenging due to variation in initiatives and their individual evaluations </w:t>
      </w:r>
    </w:p>
    <w:p w14:paraId="1628FE2C" w14:textId="77777777" w:rsidR="0086714D" w:rsidRPr="00292D9C" w:rsidRDefault="0086714D" w:rsidP="00A616D5">
      <w:pPr>
        <w:rPr>
          <w:sz w:val="24"/>
          <w:szCs w:val="24"/>
          <w:lang w:eastAsia="en-GB"/>
        </w:rPr>
      </w:pPr>
      <w:r w:rsidRPr="00292D9C">
        <w:rPr>
          <w:lang w:eastAsia="en-GB"/>
        </w:rPr>
        <w:t xml:space="preserve">While valuable, assessing a package of initiatives is not straightforward. </w:t>
      </w:r>
      <w:proofErr w:type="spellStart"/>
      <w:r w:rsidR="0062237F" w:rsidRPr="00292D9C">
        <w:rPr>
          <w:lang w:eastAsia="en-GB"/>
        </w:rPr>
        <w:t>d</w:t>
      </w:r>
      <w:r w:rsidRPr="00292D9C">
        <w:rPr>
          <w:lang w:eastAsia="en-GB"/>
        </w:rPr>
        <w:t>andolo</w:t>
      </w:r>
      <w:proofErr w:type="spellEnd"/>
      <w:r w:rsidRPr="00292D9C">
        <w:rPr>
          <w:i/>
          <w:iCs/>
          <w:lang w:eastAsia="en-GB"/>
        </w:rPr>
        <w:t xml:space="preserve"> </w:t>
      </w:r>
      <w:r w:rsidRPr="00292D9C">
        <w:rPr>
          <w:lang w:eastAsia="en-GB"/>
        </w:rPr>
        <w:t xml:space="preserve">encountered the following challenges during this evaluation: </w:t>
      </w:r>
    </w:p>
    <w:p w14:paraId="3DABA65E" w14:textId="77777777" w:rsidR="00EB2991" w:rsidRPr="00292D9C" w:rsidRDefault="0086714D" w:rsidP="00164DDE">
      <w:pPr>
        <w:pStyle w:val="ListParagraph"/>
        <w:numPr>
          <w:ilvl w:val="0"/>
          <w:numId w:val="33"/>
        </w:numPr>
        <w:rPr>
          <w:lang w:eastAsia="en-GB"/>
        </w:rPr>
      </w:pPr>
      <w:r w:rsidRPr="00292D9C">
        <w:rPr>
          <w:rFonts w:eastAsia="Times New Roman" w:cs="Times New Roman"/>
          <w:b/>
          <w:bCs/>
          <w:color w:val="auto"/>
          <w:szCs w:val="22"/>
          <w:lang w:eastAsia="en-GB"/>
        </w:rPr>
        <w:t xml:space="preserve">Not all of the NISA initiatives have been or will be evaluated individually. </w:t>
      </w:r>
      <w:r w:rsidRPr="00292D9C">
        <w:rPr>
          <w:lang w:eastAsia="en-GB"/>
        </w:rPr>
        <w:t xml:space="preserve">Nine initiatives have been evaluated externally </w:t>
      </w:r>
      <w:r w:rsidR="007F74EB" w:rsidRPr="00292D9C">
        <w:rPr>
          <w:lang w:eastAsia="en-GB"/>
        </w:rPr>
        <w:t xml:space="preserve">by independent evaluators </w:t>
      </w:r>
      <w:r w:rsidRPr="00292D9C">
        <w:rPr>
          <w:lang w:eastAsia="en-GB"/>
        </w:rPr>
        <w:t xml:space="preserve">while </w:t>
      </w:r>
      <w:r w:rsidR="00475B1B" w:rsidRPr="00292D9C">
        <w:rPr>
          <w:lang w:eastAsia="en-GB"/>
        </w:rPr>
        <w:t>two</w:t>
      </w:r>
      <w:r w:rsidRPr="00292D9C">
        <w:rPr>
          <w:lang w:eastAsia="en-GB"/>
        </w:rPr>
        <w:t xml:space="preserve"> </w:t>
      </w:r>
      <w:r w:rsidR="00E52FA8" w:rsidRPr="00292D9C">
        <w:rPr>
          <w:lang w:eastAsia="en-GB"/>
        </w:rPr>
        <w:t xml:space="preserve">have </w:t>
      </w:r>
      <w:r w:rsidRPr="00292D9C">
        <w:rPr>
          <w:lang w:eastAsia="en-GB"/>
        </w:rPr>
        <w:t xml:space="preserve">internal evaluations. Four have not been </w:t>
      </w:r>
      <w:r w:rsidR="00435A7E">
        <w:rPr>
          <w:lang w:eastAsia="en-GB"/>
        </w:rPr>
        <w:t xml:space="preserve">formally </w:t>
      </w:r>
      <w:r w:rsidRPr="00292D9C">
        <w:rPr>
          <w:lang w:eastAsia="en-GB"/>
        </w:rPr>
        <w:t xml:space="preserve">evaluated. </w:t>
      </w:r>
    </w:p>
    <w:p w14:paraId="7D1A2974" w14:textId="77777777" w:rsidR="002303F2" w:rsidRPr="00292D9C" w:rsidRDefault="00086E12" w:rsidP="00A616D5">
      <w:pPr>
        <w:rPr>
          <w:lang w:eastAsia="en-GB"/>
        </w:rPr>
      </w:pPr>
      <w:r w:rsidRPr="00292D9C">
        <w:rPr>
          <w:rFonts w:eastAsia="Times New Roman" w:cs="Times New Roman"/>
          <w:noProof/>
          <w:color w:val="auto"/>
          <w:szCs w:val="22"/>
          <w:lang w:eastAsia="en-AU"/>
        </w:rPr>
        <w:drawing>
          <wp:anchor distT="0" distB="0" distL="114300" distR="114300" simplePos="0" relativeHeight="251673600" behindDoc="0" locked="0" layoutInCell="1" allowOverlap="1" wp14:anchorId="1CECA87A" wp14:editId="7F15D687">
            <wp:simplePos x="0" y="0"/>
            <wp:positionH relativeFrom="column">
              <wp:posOffset>555625</wp:posOffset>
            </wp:positionH>
            <wp:positionV relativeFrom="paragraph">
              <wp:posOffset>181610</wp:posOffset>
            </wp:positionV>
            <wp:extent cx="4796790" cy="1587500"/>
            <wp:effectExtent l="0" t="0" r="3810" b="0"/>
            <wp:wrapSquare wrapText="bothSides"/>
            <wp:docPr id="27" name="Picture 27"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Figure 6"/>
                    <pic:cNvPicPr/>
                  </pic:nvPicPr>
                  <pic:blipFill rotWithShape="1">
                    <a:blip r:embed="rId10"/>
                    <a:srcRect l="18160" t="34017" r="31557" b="40718"/>
                    <a:stretch/>
                  </pic:blipFill>
                  <pic:spPr bwMode="auto">
                    <a:xfrm>
                      <a:off x="0" y="0"/>
                      <a:ext cx="4796790" cy="1587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2B33" w:rsidRPr="00292D9C">
        <w:rPr>
          <w:b/>
          <w:bCs/>
          <w:lang w:eastAsia="en-GB"/>
        </w:rPr>
        <w:t xml:space="preserve">Figure </w:t>
      </w:r>
      <w:r w:rsidR="00292D9C">
        <w:rPr>
          <w:b/>
          <w:bCs/>
          <w:lang w:eastAsia="en-GB"/>
        </w:rPr>
        <w:t>6</w:t>
      </w:r>
      <w:r w:rsidR="00A10FE8" w:rsidRPr="00292D9C">
        <w:rPr>
          <w:b/>
          <w:bCs/>
          <w:lang w:eastAsia="en-GB"/>
        </w:rPr>
        <w:t>.</w:t>
      </w:r>
      <w:r w:rsidR="00DD2B33" w:rsidRPr="00292D9C">
        <w:rPr>
          <w:b/>
          <w:bCs/>
          <w:lang w:eastAsia="en-GB"/>
        </w:rPr>
        <w:t xml:space="preserve"> Initiatives broken down by evaluation status</w:t>
      </w:r>
    </w:p>
    <w:p w14:paraId="6FB54804" w14:textId="77777777" w:rsidR="002303F2" w:rsidRPr="00292D9C" w:rsidRDefault="002303F2" w:rsidP="00A616D5">
      <w:pPr>
        <w:rPr>
          <w:lang w:eastAsia="en-GB"/>
        </w:rPr>
      </w:pPr>
    </w:p>
    <w:p w14:paraId="1898AB7B" w14:textId="77777777" w:rsidR="002303F2" w:rsidRPr="00292D9C" w:rsidRDefault="002303F2" w:rsidP="00A616D5">
      <w:pPr>
        <w:rPr>
          <w:lang w:eastAsia="en-GB"/>
        </w:rPr>
      </w:pPr>
    </w:p>
    <w:p w14:paraId="33F7420F" w14:textId="77777777" w:rsidR="002303F2" w:rsidRPr="00292D9C" w:rsidRDefault="002303F2" w:rsidP="00A616D5">
      <w:pPr>
        <w:rPr>
          <w:lang w:eastAsia="en-GB"/>
        </w:rPr>
      </w:pPr>
    </w:p>
    <w:p w14:paraId="2FAE1204" w14:textId="77777777" w:rsidR="00475B1B" w:rsidRPr="00292D9C" w:rsidRDefault="00475B1B" w:rsidP="00A616D5">
      <w:pPr>
        <w:rPr>
          <w:b/>
          <w:bCs/>
          <w:lang w:eastAsia="en-GB"/>
        </w:rPr>
      </w:pPr>
      <w:r w:rsidRPr="00292D9C">
        <w:rPr>
          <w:b/>
          <w:bCs/>
          <w:lang w:eastAsia="en-GB"/>
        </w:rPr>
        <w:br/>
      </w:r>
      <w:r w:rsidRPr="00292D9C">
        <w:rPr>
          <w:b/>
          <w:bCs/>
          <w:lang w:eastAsia="en-GB"/>
        </w:rPr>
        <w:br/>
      </w:r>
    </w:p>
    <w:p w14:paraId="43F5F1C1" w14:textId="77777777" w:rsidR="003A68E7" w:rsidRPr="00292D9C" w:rsidRDefault="003A68E7" w:rsidP="00164DDE">
      <w:pPr>
        <w:pStyle w:val="ListParagraph"/>
        <w:numPr>
          <w:ilvl w:val="0"/>
          <w:numId w:val="33"/>
        </w:numPr>
        <w:rPr>
          <w:lang w:eastAsia="en-GB"/>
        </w:rPr>
      </w:pPr>
      <w:r w:rsidRPr="00292D9C">
        <w:rPr>
          <w:b/>
          <w:bCs/>
          <w:lang w:eastAsia="en-GB"/>
        </w:rPr>
        <w:t>Initiatives that</w:t>
      </w:r>
      <w:r w:rsidR="00086E12" w:rsidRPr="00292D9C">
        <w:rPr>
          <w:b/>
          <w:bCs/>
          <w:lang w:eastAsia="en-GB"/>
        </w:rPr>
        <w:t xml:space="preserve"> </w:t>
      </w:r>
      <w:r w:rsidRPr="00292D9C">
        <w:rPr>
          <w:b/>
          <w:bCs/>
          <w:lang w:eastAsia="en-GB"/>
        </w:rPr>
        <w:t>have been evaluated have not necessarily been evaluated consistently, making it difficult to draw comparisons.</w:t>
      </w:r>
      <w:r w:rsidR="00C307B4" w:rsidRPr="00292D9C">
        <w:rPr>
          <w:b/>
          <w:bCs/>
          <w:lang w:eastAsia="en-GB"/>
        </w:rPr>
        <w:t xml:space="preserve"> </w:t>
      </w:r>
      <w:r w:rsidR="00C307B4" w:rsidRPr="00292D9C">
        <w:rPr>
          <w:lang w:eastAsia="en-GB"/>
        </w:rPr>
        <w:t>Where external evaluations took place, most providers organised their own evaluators, however some had a</w:t>
      </w:r>
      <w:r w:rsidR="006C52B3" w:rsidRPr="00292D9C">
        <w:rPr>
          <w:lang w:eastAsia="en-GB"/>
        </w:rPr>
        <w:t xml:space="preserve">n </w:t>
      </w:r>
      <w:r w:rsidR="00C307B4" w:rsidRPr="00292D9C">
        <w:rPr>
          <w:lang w:eastAsia="en-GB"/>
        </w:rPr>
        <w:t>independent</w:t>
      </w:r>
      <w:r w:rsidR="00435A7E" w:rsidRPr="00292D9C">
        <w:rPr>
          <w:lang w:eastAsia="en-GB"/>
        </w:rPr>
        <w:t xml:space="preserve"> </w:t>
      </w:r>
      <w:r w:rsidR="00C307B4" w:rsidRPr="00292D9C">
        <w:rPr>
          <w:lang w:eastAsia="en-GB"/>
        </w:rPr>
        <w:t>evaluator</w:t>
      </w:r>
      <w:r w:rsidR="00435A7E">
        <w:rPr>
          <w:lang w:eastAsia="en-GB"/>
        </w:rPr>
        <w:t xml:space="preserve"> engaged and managed by the Department</w:t>
      </w:r>
      <w:r w:rsidR="00C307B4" w:rsidRPr="00292D9C">
        <w:rPr>
          <w:lang w:eastAsia="en-GB"/>
        </w:rPr>
        <w:t xml:space="preserve">. </w:t>
      </w:r>
      <w:r w:rsidRPr="00292D9C">
        <w:rPr>
          <w:lang w:eastAsia="en-GB"/>
        </w:rPr>
        <w:t xml:space="preserve">Some of the evaluators include ACER, Deakin University, and Monash University. </w:t>
      </w:r>
      <w:r w:rsidR="00BD1F6C">
        <w:rPr>
          <w:lang w:eastAsia="en-GB"/>
        </w:rPr>
        <w:t>Each</w:t>
      </w:r>
      <w:r w:rsidRPr="00292D9C">
        <w:rPr>
          <w:lang w:eastAsia="en-GB"/>
        </w:rPr>
        <w:t xml:space="preserve"> </w:t>
      </w:r>
      <w:r w:rsidR="00D559DE">
        <w:rPr>
          <w:lang w:eastAsia="en-GB"/>
        </w:rPr>
        <w:t xml:space="preserve">of </w:t>
      </w:r>
      <w:r w:rsidRPr="00292D9C">
        <w:rPr>
          <w:lang w:eastAsia="en-GB"/>
        </w:rPr>
        <w:t xml:space="preserve">the evaluators have adopted different methodological approaches and evaluation frameworks making it difficult to compare initiatives and draw conclusions from this. </w:t>
      </w:r>
    </w:p>
    <w:p w14:paraId="4D484BD5" w14:textId="76DDE463" w:rsidR="0086714D" w:rsidRPr="00292D9C" w:rsidRDefault="0086714D" w:rsidP="00164DDE">
      <w:pPr>
        <w:pStyle w:val="ListParagraph"/>
        <w:numPr>
          <w:ilvl w:val="0"/>
          <w:numId w:val="33"/>
        </w:numPr>
        <w:rPr>
          <w:lang w:eastAsia="en-GB"/>
        </w:rPr>
      </w:pPr>
      <w:r w:rsidRPr="00292D9C">
        <w:rPr>
          <w:b/>
          <w:bCs/>
          <w:lang w:eastAsia="en-GB"/>
        </w:rPr>
        <w:t>The status of evaluations and initiatives var</w:t>
      </w:r>
      <w:r w:rsidR="000A0D89">
        <w:rPr>
          <w:b/>
          <w:bCs/>
          <w:lang w:eastAsia="en-GB"/>
        </w:rPr>
        <w:t>ies</w:t>
      </w:r>
      <w:r w:rsidRPr="00292D9C">
        <w:rPr>
          <w:b/>
          <w:bCs/>
          <w:lang w:eastAsia="en-GB"/>
        </w:rPr>
        <w:t xml:space="preserve">. </w:t>
      </w:r>
      <w:r w:rsidR="00905C22">
        <w:rPr>
          <w:lang w:eastAsia="en-GB"/>
        </w:rPr>
        <w:t xml:space="preserve">There is inherent variability within initiatives due to different starting dates and project timeframes. </w:t>
      </w:r>
      <w:r w:rsidR="00905C22">
        <w:rPr>
          <w:bCs/>
          <w:lang w:eastAsia="en-GB"/>
        </w:rPr>
        <w:t>Different starting dates mean evaluations are at different stages, some have been running for ten years and others are more recent. In one instance, project delays also contribute</w:t>
      </w:r>
      <w:r w:rsidR="00F251AB">
        <w:rPr>
          <w:bCs/>
          <w:lang w:eastAsia="en-GB"/>
        </w:rPr>
        <w:t>d</w:t>
      </w:r>
      <w:r w:rsidR="00905C22">
        <w:rPr>
          <w:bCs/>
          <w:lang w:eastAsia="en-GB"/>
        </w:rPr>
        <w:t xml:space="preserve"> to challenges in evaluation.</w:t>
      </w:r>
      <w:r w:rsidRPr="00292D9C">
        <w:rPr>
          <w:lang w:eastAsia="en-GB"/>
        </w:rPr>
        <w:t xml:space="preserve"> For example, the independent evaluation of Principals as STEM leaders has produced one preliminary report, focused on the governance and communication arrangements of the initiative because this program is still early in its implementation. It is not possible at this stage to </w:t>
      </w:r>
      <w:proofErr w:type="gramStart"/>
      <w:r w:rsidRPr="00292D9C">
        <w:rPr>
          <w:lang w:eastAsia="en-GB"/>
        </w:rPr>
        <w:t>make an assessment of</w:t>
      </w:r>
      <w:proofErr w:type="gramEnd"/>
      <w:r w:rsidRPr="00292D9C">
        <w:rPr>
          <w:lang w:eastAsia="en-GB"/>
        </w:rPr>
        <w:t xml:space="preserve"> the effectiveness of this program</w:t>
      </w:r>
      <w:r w:rsidR="003A68E7" w:rsidRPr="00292D9C">
        <w:rPr>
          <w:lang w:eastAsia="en-GB"/>
        </w:rPr>
        <w:t xml:space="preserve">. </w:t>
      </w:r>
      <w:r w:rsidRPr="00292D9C">
        <w:rPr>
          <w:lang w:eastAsia="en-GB"/>
        </w:rPr>
        <w:t xml:space="preserve">Other programs such as Primary Connections (Academy of Science) have been running for more than ten years and have conducted multiple internal and external evaluations. </w:t>
      </w:r>
    </w:p>
    <w:p w14:paraId="69921899" w14:textId="77777777" w:rsidR="0086714D" w:rsidRPr="00292D9C" w:rsidRDefault="0086714D" w:rsidP="00164DDE">
      <w:pPr>
        <w:pStyle w:val="ListParagraph"/>
        <w:numPr>
          <w:ilvl w:val="0"/>
          <w:numId w:val="33"/>
        </w:numPr>
        <w:rPr>
          <w:lang w:eastAsia="en-GB"/>
        </w:rPr>
      </w:pPr>
      <w:r w:rsidRPr="00292D9C">
        <w:rPr>
          <w:b/>
          <w:bCs/>
          <w:lang w:eastAsia="en-GB"/>
        </w:rPr>
        <w:t>Varying reliability of evidence of impact.</w:t>
      </w:r>
      <w:r w:rsidRPr="00292D9C">
        <w:rPr>
          <w:lang w:eastAsia="en-GB"/>
        </w:rPr>
        <w:t xml:space="preserve"> Some evaluations only include measures of outputs, for example, the number of people reached or the number of downloads of online resources. In seeking to measure outcomes, many evaluations, including external evaluations, rely on proxy measures to evaluate the impact of an initiative. These include teacher reports on student progress and teacher confidence. The lack of direct measures in many evaluations is understandable given the challenges involved </w:t>
      </w:r>
      <w:r w:rsidR="00E84B60" w:rsidRPr="00292D9C">
        <w:rPr>
          <w:lang w:eastAsia="en-GB"/>
        </w:rPr>
        <w:t>with</w:t>
      </w:r>
      <w:r w:rsidRPr="00292D9C">
        <w:rPr>
          <w:lang w:eastAsia="en-GB"/>
        </w:rPr>
        <w:t xml:space="preserve"> measuring student learning or engagement directly, including accessing students, finding a representative sample and securing ethics </w:t>
      </w:r>
      <w:r w:rsidR="003A68E7" w:rsidRPr="00292D9C">
        <w:rPr>
          <w:lang w:eastAsia="en-GB"/>
        </w:rPr>
        <w:t>approval.</w:t>
      </w:r>
      <w:r w:rsidR="00B52896" w:rsidRPr="00292D9C">
        <w:rPr>
          <w:rStyle w:val="FootnoteReference"/>
        </w:rPr>
        <w:footnoteReference w:id="14"/>
      </w:r>
      <w:r w:rsidR="007933B2" w:rsidRPr="00292D9C">
        <w:rPr>
          <w:lang w:eastAsia="en-GB"/>
        </w:rPr>
        <w:t xml:space="preserve"> The consequence of this is that there are </w:t>
      </w:r>
      <w:r w:rsidRPr="00292D9C">
        <w:rPr>
          <w:lang w:eastAsia="en-GB"/>
        </w:rPr>
        <w:t>some limitations around what report can say about effectiveness and impact</w:t>
      </w:r>
      <w:r w:rsidR="007933B2" w:rsidRPr="00292D9C">
        <w:rPr>
          <w:lang w:eastAsia="en-GB"/>
        </w:rPr>
        <w:t xml:space="preserve"> of the initiatives individually and as a package in terms of its impact on students in STEM</w:t>
      </w:r>
      <w:r w:rsidRPr="00292D9C">
        <w:rPr>
          <w:lang w:eastAsia="en-GB"/>
        </w:rPr>
        <w:t xml:space="preserve">. See Appendix </w:t>
      </w:r>
      <w:r w:rsidR="00AB1438">
        <w:rPr>
          <w:lang w:eastAsia="en-GB"/>
        </w:rPr>
        <w:t>2</w:t>
      </w:r>
      <w:r w:rsidR="00B52896" w:rsidRPr="00292D9C">
        <w:rPr>
          <w:lang w:eastAsia="en-GB"/>
        </w:rPr>
        <w:t xml:space="preserve"> </w:t>
      </w:r>
      <w:r w:rsidRPr="00292D9C">
        <w:rPr>
          <w:lang w:eastAsia="en-GB"/>
        </w:rPr>
        <w:t>for the evaluation measures used by each evaluation.</w:t>
      </w:r>
      <w:r w:rsidRPr="00292D9C">
        <w:rPr>
          <w:rStyle w:val="FootnoteReference"/>
          <w:lang w:eastAsia="en-GB"/>
        </w:rPr>
        <w:footnoteReference w:id="15"/>
      </w:r>
      <w:r w:rsidRPr="00292D9C">
        <w:rPr>
          <w:lang w:eastAsia="en-GB"/>
        </w:rPr>
        <w:t xml:space="preserve"> </w:t>
      </w:r>
    </w:p>
    <w:p w14:paraId="24C686D7" w14:textId="77777777" w:rsidR="009E57A3" w:rsidRPr="00292D9C" w:rsidRDefault="0086714D" w:rsidP="00A616D5">
      <w:pPr>
        <w:rPr>
          <w:lang w:eastAsia="en-GB"/>
        </w:rPr>
      </w:pPr>
      <w:r w:rsidRPr="00292D9C">
        <w:rPr>
          <w:lang w:eastAsia="en-GB"/>
        </w:rPr>
        <w:t>To address the challenges outlined above and evaluate NISA initiatives as a package</w:t>
      </w:r>
      <w:r w:rsidR="00E84B60" w:rsidRPr="00292D9C">
        <w:t xml:space="preserve">, </w:t>
      </w:r>
      <w:r w:rsidRPr="00292D9C">
        <w:rPr>
          <w:lang w:eastAsia="en-GB"/>
        </w:rPr>
        <w:t xml:space="preserve">we have </w:t>
      </w:r>
      <w:r w:rsidR="008B4957" w:rsidRPr="00292D9C">
        <w:rPr>
          <w:lang w:eastAsia="en-GB"/>
        </w:rPr>
        <w:t xml:space="preserve">framed </w:t>
      </w:r>
      <w:r w:rsidR="00EB5676" w:rsidRPr="00292D9C">
        <w:rPr>
          <w:lang w:eastAsia="en-GB"/>
        </w:rPr>
        <w:t>the following questions</w:t>
      </w:r>
      <w:r w:rsidR="00265F36" w:rsidRPr="00292D9C">
        <w:rPr>
          <w:lang w:eastAsia="en-GB"/>
        </w:rPr>
        <w:t xml:space="preserve"> around </w:t>
      </w:r>
      <w:r w:rsidR="008B4957" w:rsidRPr="00292D9C">
        <w:rPr>
          <w:lang w:eastAsia="en-GB"/>
        </w:rPr>
        <w:t xml:space="preserve">the analytical lenses of </w:t>
      </w:r>
      <w:r w:rsidR="00265F36" w:rsidRPr="00292D9C">
        <w:rPr>
          <w:i/>
          <w:iCs/>
          <w:lang w:eastAsia="en-GB"/>
        </w:rPr>
        <w:t>why, who and what</w:t>
      </w:r>
      <w:r w:rsidR="009E57A3" w:rsidRPr="00292D9C">
        <w:rPr>
          <w:lang w:eastAsia="en-GB"/>
        </w:rPr>
        <w:t xml:space="preserve"> (see figure </w:t>
      </w:r>
      <w:r w:rsidR="005D45DF" w:rsidRPr="00292D9C">
        <w:rPr>
          <w:lang w:eastAsia="en-GB"/>
        </w:rPr>
        <w:t>9</w:t>
      </w:r>
      <w:r w:rsidR="006C52B3" w:rsidRPr="00292D9C">
        <w:rPr>
          <w:lang w:eastAsia="en-GB"/>
        </w:rPr>
        <w:t xml:space="preserve"> below</w:t>
      </w:r>
      <w:r w:rsidR="009E57A3" w:rsidRPr="00292D9C">
        <w:rPr>
          <w:lang w:eastAsia="en-GB"/>
        </w:rPr>
        <w:t>).</w:t>
      </w:r>
      <w:r w:rsidR="00905C22">
        <w:rPr>
          <w:lang w:eastAsia="en-GB"/>
        </w:rPr>
        <w:t xml:space="preserve"> </w:t>
      </w:r>
    </w:p>
    <w:p w14:paraId="6F2FB71A" w14:textId="77777777" w:rsidR="00EB5676" w:rsidRPr="00292D9C" w:rsidRDefault="00EB5676" w:rsidP="00A616D5">
      <w:r w:rsidRPr="00292D9C">
        <w:t>These questions enabled us to overcome some of the challenges of evaluating the NISA initiatives as a package, including the variability of the initiatives and their evaluations. They also</w:t>
      </w:r>
      <w:r w:rsidR="006A2C3D">
        <w:t xml:space="preserve"> pose</w:t>
      </w:r>
      <w:r w:rsidRPr="00292D9C">
        <w:t xml:space="preserve"> critical questions for program design and policy development. These questions </w:t>
      </w:r>
      <w:r w:rsidR="008B4957" w:rsidRPr="00292D9C">
        <w:t xml:space="preserve">constituted </w:t>
      </w:r>
      <w:r w:rsidRPr="00292D9C">
        <w:t>the lens through which we analysed state and territory government funded STEM initiatives and developed our recommendation for a forward-looking strategy</w:t>
      </w:r>
      <w:r w:rsidR="00292D9C">
        <w:t xml:space="preserve">. </w:t>
      </w:r>
      <w:r w:rsidR="008B4957" w:rsidRPr="00292D9C">
        <w:t xml:space="preserve">The objective was to </w:t>
      </w:r>
      <w:r w:rsidRPr="00292D9C">
        <w:t>provid</w:t>
      </w:r>
      <w:r w:rsidR="008B4957" w:rsidRPr="00292D9C">
        <w:t>e</w:t>
      </w:r>
      <w:r w:rsidRPr="00292D9C">
        <w:t xml:space="preserve"> our </w:t>
      </w:r>
      <w:r w:rsidR="00A35FF9" w:rsidRPr="00292D9C">
        <w:t>evaluation</w:t>
      </w:r>
      <w:r w:rsidRPr="00292D9C">
        <w:t xml:space="preserve"> with </w:t>
      </w:r>
      <w:r w:rsidR="008B4957" w:rsidRPr="00292D9C">
        <w:t>the c</w:t>
      </w:r>
      <w:r w:rsidRPr="00292D9C">
        <w:t xml:space="preserve">oherence that will assist with future decision making. </w:t>
      </w:r>
      <w:r w:rsidR="006A2C3D">
        <w:t xml:space="preserve">In addition, we supplemented existing evaluation findings and activities with our own extensive program of stakeholder consultation, described in more detail in Section </w:t>
      </w:r>
      <w:r w:rsidR="006A2C3D" w:rsidRPr="00332210">
        <w:t>1</w:t>
      </w:r>
      <w:r w:rsidR="006A2C3D">
        <w:t>.</w:t>
      </w:r>
    </w:p>
    <w:p w14:paraId="149047D9" w14:textId="77777777" w:rsidR="009C7ED8" w:rsidRPr="00292D9C" w:rsidRDefault="00AF40E5" w:rsidP="00A616D5">
      <w:r w:rsidRPr="00292D9C">
        <w:t xml:space="preserve">Figure </w:t>
      </w:r>
      <w:r w:rsidR="00292D9C">
        <w:t>7</w:t>
      </w:r>
      <w:r w:rsidR="0088213A" w:rsidRPr="00292D9C">
        <w:t xml:space="preserve"> </w:t>
      </w:r>
      <w:r w:rsidR="00D906AB" w:rsidRPr="00292D9C">
        <w:t>presents th</w:t>
      </w:r>
      <w:r w:rsidR="00C307B4" w:rsidRPr="00292D9C">
        <w:t>e</w:t>
      </w:r>
      <w:r w:rsidR="00D906AB" w:rsidRPr="00292D9C">
        <w:t xml:space="preserve"> </w:t>
      </w:r>
      <w:r w:rsidR="00C307B4" w:rsidRPr="00292D9C">
        <w:t xml:space="preserve">questions raised above </w:t>
      </w:r>
      <w:r w:rsidR="00D906AB" w:rsidRPr="00292D9C">
        <w:t>and the</w:t>
      </w:r>
      <w:r w:rsidR="0088213A" w:rsidRPr="00292D9C">
        <w:t xml:space="preserve"> findings from our evaluation of NISA as a package. The following section steps out rationale for each one</w:t>
      </w:r>
      <w:r w:rsidRPr="00292D9C">
        <w:t xml:space="preserve"> in more detail. </w:t>
      </w:r>
    </w:p>
    <w:p w14:paraId="7E211CC8" w14:textId="77777777" w:rsidR="00B54914" w:rsidRDefault="00AF40E5" w:rsidP="00A616D5">
      <w:pPr>
        <w:pStyle w:val="Caption"/>
        <w:keepNext/>
        <w:spacing w:before="0" w:after="120" w:line="360" w:lineRule="auto"/>
      </w:pPr>
      <w:r w:rsidRPr="00292D9C">
        <w:t xml:space="preserve">Figure </w:t>
      </w:r>
      <w:r w:rsidR="00292D9C">
        <w:t>7</w:t>
      </w:r>
      <w:r w:rsidR="00A10FE8" w:rsidRPr="00292D9C">
        <w:t>.</w:t>
      </w:r>
      <w:r w:rsidR="00D906AB" w:rsidRPr="00292D9C">
        <w:t xml:space="preserve"> Summary of findings of evaluation of NISA as a package</w:t>
      </w:r>
    </w:p>
    <w:p w14:paraId="575A1366" w14:textId="77777777" w:rsidR="00B54914" w:rsidRDefault="00B54914" w:rsidP="00A616D5">
      <w:pPr>
        <w:pStyle w:val="Caption"/>
        <w:keepNext/>
        <w:spacing w:before="0" w:after="120" w:line="360" w:lineRule="auto"/>
      </w:pPr>
    </w:p>
    <w:tbl>
      <w:tblPr>
        <w:tblStyle w:val="TableGrid"/>
        <w:tblW w:w="10915" w:type="dxa"/>
        <w:tblInd w:w="-572" w:type="dxa"/>
        <w:tblLook w:val="04A0" w:firstRow="1" w:lastRow="0" w:firstColumn="1" w:lastColumn="0" w:noHBand="0" w:noVBand="1"/>
      </w:tblPr>
      <w:tblGrid>
        <w:gridCol w:w="567"/>
        <w:gridCol w:w="2410"/>
        <w:gridCol w:w="2693"/>
        <w:gridCol w:w="5245"/>
      </w:tblGrid>
      <w:tr w:rsidR="00B54914" w:rsidRPr="009743E1" w14:paraId="00986E38" w14:textId="77777777" w:rsidTr="00112E70">
        <w:trPr>
          <w:trHeight w:val="558"/>
        </w:trPr>
        <w:tc>
          <w:tcPr>
            <w:tcW w:w="567" w:type="dxa"/>
            <w:tcBorders>
              <w:top w:val="single" w:sz="4" w:space="0" w:color="FFFFFF"/>
              <w:left w:val="single" w:sz="4" w:space="0" w:color="FFFFFF"/>
              <w:bottom w:val="dashed" w:sz="4" w:space="0" w:color="FFFFFF"/>
              <w:right w:val="single" w:sz="4" w:space="0" w:color="FFFFFF"/>
            </w:tcBorders>
          </w:tcPr>
          <w:p w14:paraId="35A71BE1" w14:textId="77777777" w:rsidR="00B54914" w:rsidRPr="009743E1" w:rsidRDefault="00B54914" w:rsidP="00112E70">
            <w:pPr>
              <w:pStyle w:val="Heading2"/>
              <w:spacing w:line="276" w:lineRule="auto"/>
              <w:rPr>
                <w:color w:val="4D4D4D" w:themeColor="text2"/>
                <w:sz w:val="21"/>
                <w:szCs w:val="21"/>
              </w:rPr>
            </w:pPr>
          </w:p>
        </w:tc>
        <w:tc>
          <w:tcPr>
            <w:tcW w:w="2410" w:type="dxa"/>
            <w:tcBorders>
              <w:top w:val="single" w:sz="4" w:space="0" w:color="FFFFFF"/>
              <w:left w:val="single" w:sz="4" w:space="0" w:color="FFFFFF"/>
              <w:right w:val="single" w:sz="4" w:space="0" w:color="FFFFFF"/>
            </w:tcBorders>
            <w:vAlign w:val="center"/>
          </w:tcPr>
          <w:p w14:paraId="66E548D3" w14:textId="77777777" w:rsidR="00B54914" w:rsidRPr="009743E1" w:rsidRDefault="00B54914" w:rsidP="00112E70">
            <w:pPr>
              <w:spacing w:line="276" w:lineRule="auto"/>
              <w:jc w:val="center"/>
              <w:rPr>
                <w:b/>
                <w:bCs/>
                <w:sz w:val="21"/>
                <w:szCs w:val="21"/>
                <w:lang w:val="en-US"/>
              </w:rPr>
            </w:pPr>
            <w:r w:rsidRPr="009743E1">
              <w:rPr>
                <w:b/>
                <w:bCs/>
                <w:sz w:val="21"/>
                <w:szCs w:val="21"/>
              </w:rPr>
              <w:t>Analytical lens</w:t>
            </w:r>
          </w:p>
        </w:tc>
        <w:tc>
          <w:tcPr>
            <w:tcW w:w="2693" w:type="dxa"/>
            <w:tcBorders>
              <w:top w:val="single" w:sz="4" w:space="0" w:color="FFFFFF"/>
              <w:left w:val="single" w:sz="4" w:space="0" w:color="FFFFFF"/>
              <w:right w:val="single" w:sz="4" w:space="0" w:color="FFFFFF"/>
            </w:tcBorders>
            <w:vAlign w:val="center"/>
          </w:tcPr>
          <w:p w14:paraId="0527A870" w14:textId="77777777" w:rsidR="00B54914" w:rsidRPr="009743E1" w:rsidRDefault="00B54914" w:rsidP="00112E70">
            <w:pPr>
              <w:spacing w:line="276" w:lineRule="auto"/>
              <w:jc w:val="center"/>
              <w:rPr>
                <w:b/>
                <w:bCs/>
                <w:sz w:val="21"/>
                <w:szCs w:val="21"/>
              </w:rPr>
            </w:pPr>
            <w:r w:rsidRPr="009743E1">
              <w:rPr>
                <w:b/>
                <w:bCs/>
                <w:sz w:val="21"/>
                <w:szCs w:val="21"/>
              </w:rPr>
              <w:t>Finding</w:t>
            </w:r>
          </w:p>
        </w:tc>
        <w:tc>
          <w:tcPr>
            <w:tcW w:w="5245" w:type="dxa"/>
            <w:tcBorders>
              <w:top w:val="single" w:sz="4" w:space="0" w:color="FFFFFF"/>
              <w:left w:val="single" w:sz="4" w:space="0" w:color="FFFFFF"/>
              <w:right w:val="single" w:sz="4" w:space="0" w:color="FFFFFF"/>
            </w:tcBorders>
            <w:vAlign w:val="center"/>
          </w:tcPr>
          <w:p w14:paraId="5D7585BC" w14:textId="77777777" w:rsidR="00B54914" w:rsidRPr="009743E1" w:rsidRDefault="00B54914" w:rsidP="00112E70">
            <w:pPr>
              <w:spacing w:line="276" w:lineRule="auto"/>
              <w:jc w:val="center"/>
              <w:rPr>
                <w:b/>
                <w:bCs/>
                <w:sz w:val="21"/>
                <w:szCs w:val="21"/>
              </w:rPr>
            </w:pPr>
            <w:r w:rsidRPr="009743E1">
              <w:rPr>
                <w:b/>
                <w:bCs/>
                <w:sz w:val="21"/>
                <w:szCs w:val="21"/>
              </w:rPr>
              <w:t>Commentary on finding</w:t>
            </w:r>
          </w:p>
        </w:tc>
      </w:tr>
      <w:tr w:rsidR="00B54914" w:rsidRPr="009743E1" w14:paraId="3EDAB9AA" w14:textId="77777777" w:rsidTr="00112E70">
        <w:trPr>
          <w:trHeight w:val="1083"/>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72C9038D" w14:textId="77777777" w:rsidR="00B54914" w:rsidRPr="009743E1" w:rsidRDefault="00B54914" w:rsidP="00112E70">
            <w:pPr>
              <w:pStyle w:val="Heading2"/>
              <w:spacing w:before="0" w:line="276" w:lineRule="auto"/>
              <w:jc w:val="center"/>
              <w:rPr>
                <w:b/>
                <w:bCs/>
                <w:i/>
                <w:iCs/>
                <w:color w:val="4D4D4D" w:themeColor="text2"/>
                <w:sz w:val="21"/>
                <w:szCs w:val="21"/>
              </w:rPr>
            </w:pPr>
            <w:bookmarkStart w:id="43" w:name="_Toc23504207"/>
            <w:bookmarkStart w:id="44" w:name="_Toc25162041"/>
            <w:r w:rsidRPr="009743E1">
              <w:rPr>
                <w:b/>
                <w:bCs/>
                <w:i/>
                <w:iCs/>
                <w:color w:val="FFFFFF" w:themeColor="background1"/>
                <w:sz w:val="21"/>
                <w:szCs w:val="21"/>
              </w:rPr>
              <w:t>Why</w:t>
            </w:r>
            <w:bookmarkEnd w:id="43"/>
            <w:bookmarkEnd w:id="44"/>
          </w:p>
        </w:tc>
        <w:tc>
          <w:tcPr>
            <w:tcW w:w="2410" w:type="dxa"/>
            <w:tcBorders>
              <w:left w:val="dashed" w:sz="4" w:space="0" w:color="FFFFFF"/>
            </w:tcBorders>
          </w:tcPr>
          <w:p w14:paraId="249A34AF" w14:textId="77777777" w:rsidR="00B54914" w:rsidRPr="009743E1" w:rsidRDefault="00B54914" w:rsidP="00112E70">
            <w:pPr>
              <w:spacing w:line="276" w:lineRule="auto"/>
              <w:rPr>
                <w:b/>
                <w:bCs/>
                <w:sz w:val="21"/>
                <w:szCs w:val="21"/>
              </w:rPr>
            </w:pPr>
            <w:r w:rsidRPr="009743E1">
              <w:rPr>
                <w:b/>
                <w:bCs/>
                <w:sz w:val="21"/>
                <w:szCs w:val="21"/>
                <w:lang w:val="en-US"/>
              </w:rPr>
              <w:t>Do initiatives focus on student engagement or achievement?</w:t>
            </w:r>
          </w:p>
          <w:p w14:paraId="4AE3D159" w14:textId="77777777" w:rsidR="00B54914" w:rsidRPr="009743E1" w:rsidRDefault="00B54914" w:rsidP="00112E70">
            <w:pPr>
              <w:spacing w:line="276" w:lineRule="auto"/>
              <w:rPr>
                <w:sz w:val="21"/>
                <w:szCs w:val="21"/>
              </w:rPr>
            </w:pPr>
          </w:p>
        </w:tc>
        <w:tc>
          <w:tcPr>
            <w:tcW w:w="2693" w:type="dxa"/>
          </w:tcPr>
          <w:p w14:paraId="20E330E1" w14:textId="77777777" w:rsidR="00B54914" w:rsidRPr="009743E1" w:rsidRDefault="00B54914" w:rsidP="00112E70">
            <w:pPr>
              <w:spacing w:line="276" w:lineRule="auto"/>
              <w:rPr>
                <w:sz w:val="21"/>
                <w:szCs w:val="21"/>
              </w:rPr>
            </w:pPr>
            <w:r w:rsidRPr="009743E1">
              <w:rPr>
                <w:sz w:val="21"/>
                <w:szCs w:val="21"/>
                <w:lang w:val="en-US"/>
              </w:rPr>
              <w:t>Most initiatives focus on improving engagement through building teacher capability</w:t>
            </w:r>
          </w:p>
        </w:tc>
        <w:tc>
          <w:tcPr>
            <w:tcW w:w="5245" w:type="dxa"/>
          </w:tcPr>
          <w:p w14:paraId="46D6F0A5" w14:textId="77777777" w:rsidR="00B54914" w:rsidRPr="009743E1" w:rsidRDefault="00B54914" w:rsidP="00112E70">
            <w:pPr>
              <w:spacing w:line="276" w:lineRule="auto"/>
              <w:rPr>
                <w:sz w:val="21"/>
                <w:szCs w:val="21"/>
              </w:rPr>
            </w:pPr>
            <w:r w:rsidRPr="009743E1">
              <w:rPr>
                <w:sz w:val="21"/>
                <w:szCs w:val="21"/>
                <w:lang w:val="en-US"/>
              </w:rPr>
              <w:t>It’s positive that most initiatives focus on increasing student engagement given it’s a precursor to increasing achievement.</w:t>
            </w:r>
          </w:p>
        </w:tc>
      </w:tr>
      <w:tr w:rsidR="00B54914" w:rsidRPr="009743E1" w14:paraId="3D3951ED" w14:textId="77777777" w:rsidTr="00112E70">
        <w:trPr>
          <w:trHeight w:val="1287"/>
        </w:trPr>
        <w:tc>
          <w:tcPr>
            <w:tcW w:w="567" w:type="dxa"/>
            <w:vMerge/>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681192C9" w14:textId="77777777" w:rsidR="00B54914" w:rsidRPr="009743E1" w:rsidRDefault="00B54914" w:rsidP="00112E70">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053915AB" w14:textId="77777777" w:rsidR="00B54914" w:rsidRPr="009743E1" w:rsidRDefault="00B54914" w:rsidP="00112E70">
            <w:pPr>
              <w:spacing w:line="276" w:lineRule="auto"/>
              <w:rPr>
                <w:b/>
                <w:bCs/>
                <w:sz w:val="21"/>
                <w:szCs w:val="21"/>
              </w:rPr>
            </w:pPr>
            <w:r w:rsidRPr="009743E1">
              <w:rPr>
                <w:b/>
                <w:bCs/>
                <w:sz w:val="21"/>
                <w:szCs w:val="21"/>
                <w:lang w:val="en-US"/>
              </w:rPr>
              <w:t>Do the initiatives have a universal focus or are they trying to increase equity or excellence?</w:t>
            </w:r>
          </w:p>
          <w:p w14:paraId="7A010321" w14:textId="77777777" w:rsidR="00B54914" w:rsidRPr="009743E1" w:rsidRDefault="00B54914" w:rsidP="00112E70">
            <w:pPr>
              <w:spacing w:line="276" w:lineRule="auto"/>
              <w:rPr>
                <w:sz w:val="21"/>
                <w:szCs w:val="21"/>
              </w:rPr>
            </w:pPr>
          </w:p>
        </w:tc>
        <w:tc>
          <w:tcPr>
            <w:tcW w:w="2693" w:type="dxa"/>
          </w:tcPr>
          <w:p w14:paraId="13E20A2B" w14:textId="77777777" w:rsidR="00B54914" w:rsidRPr="009743E1" w:rsidRDefault="00B54914" w:rsidP="00112E70">
            <w:pPr>
              <w:spacing w:line="276" w:lineRule="auto"/>
              <w:rPr>
                <w:sz w:val="21"/>
                <w:szCs w:val="21"/>
              </w:rPr>
            </w:pPr>
            <w:r w:rsidRPr="009743E1">
              <w:rPr>
                <w:sz w:val="21"/>
                <w:szCs w:val="21"/>
                <w:lang w:val="en-US"/>
              </w:rPr>
              <w:t>Most initiatives have a universal focus but there’s a notable segment (30%) focusing on specific equity groups</w:t>
            </w:r>
          </w:p>
        </w:tc>
        <w:tc>
          <w:tcPr>
            <w:tcW w:w="5245" w:type="dxa"/>
          </w:tcPr>
          <w:p w14:paraId="61ACCCCA" w14:textId="77777777" w:rsidR="00B54914" w:rsidRPr="009743E1" w:rsidRDefault="00B54914" w:rsidP="00112E70">
            <w:pPr>
              <w:spacing w:line="276" w:lineRule="auto"/>
              <w:rPr>
                <w:sz w:val="21"/>
                <w:szCs w:val="21"/>
                <w:lang w:val="en-US"/>
              </w:rPr>
            </w:pPr>
            <w:r w:rsidRPr="009743E1">
              <w:rPr>
                <w:sz w:val="21"/>
                <w:szCs w:val="21"/>
                <w:lang w:val="en-US"/>
              </w:rPr>
              <w:t xml:space="preserve">The mix of universal and equity focus achieves a balance between </w:t>
            </w:r>
            <w:proofErr w:type="spellStart"/>
            <w:r w:rsidRPr="009743E1">
              <w:rPr>
                <w:sz w:val="21"/>
                <w:szCs w:val="21"/>
                <w:lang w:val="en-US"/>
              </w:rPr>
              <w:t>maximising</w:t>
            </w:r>
            <w:proofErr w:type="spellEnd"/>
            <w:r w:rsidRPr="009743E1">
              <w:rPr>
                <w:sz w:val="21"/>
                <w:szCs w:val="21"/>
                <w:lang w:val="en-US"/>
              </w:rPr>
              <w:t xml:space="preserve"> breadth of coverage and addressing inequities. Particularly for underrepresented cohorts (e.g. STEM participation and achievement by female, low SES and Indigenous students).</w:t>
            </w:r>
          </w:p>
        </w:tc>
      </w:tr>
      <w:tr w:rsidR="00B54914" w:rsidRPr="009743E1" w14:paraId="72FAF980" w14:textId="77777777" w:rsidTr="00112E70">
        <w:trPr>
          <w:trHeight w:val="1437"/>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5B08C431" w14:textId="77777777" w:rsidR="00B54914" w:rsidRPr="009743E1" w:rsidRDefault="00B54914" w:rsidP="00112E70">
            <w:pPr>
              <w:pStyle w:val="Heading2"/>
              <w:spacing w:before="0" w:line="276" w:lineRule="auto"/>
              <w:jc w:val="center"/>
              <w:rPr>
                <w:b/>
                <w:bCs/>
                <w:i/>
                <w:iCs/>
                <w:color w:val="4D4D4D" w:themeColor="text2"/>
                <w:sz w:val="21"/>
                <w:szCs w:val="21"/>
              </w:rPr>
            </w:pPr>
            <w:bookmarkStart w:id="45" w:name="_Toc23504208"/>
            <w:bookmarkStart w:id="46" w:name="_Toc25162042"/>
            <w:r w:rsidRPr="009743E1">
              <w:rPr>
                <w:b/>
                <w:bCs/>
                <w:i/>
                <w:iCs/>
                <w:color w:val="000000" w:themeColor="text1"/>
                <w:sz w:val="21"/>
                <w:szCs w:val="21"/>
              </w:rPr>
              <w:t>Who</w:t>
            </w:r>
            <w:bookmarkEnd w:id="45"/>
            <w:bookmarkEnd w:id="46"/>
          </w:p>
        </w:tc>
        <w:tc>
          <w:tcPr>
            <w:tcW w:w="2410" w:type="dxa"/>
            <w:tcBorders>
              <w:left w:val="dashed" w:sz="4" w:space="0" w:color="FFFFFF"/>
            </w:tcBorders>
          </w:tcPr>
          <w:p w14:paraId="7A5B767F" w14:textId="77777777" w:rsidR="00B54914" w:rsidRPr="009743E1" w:rsidRDefault="00B54914" w:rsidP="00112E70">
            <w:pPr>
              <w:spacing w:line="276" w:lineRule="auto"/>
              <w:rPr>
                <w:b/>
                <w:bCs/>
                <w:sz w:val="21"/>
                <w:szCs w:val="21"/>
              </w:rPr>
            </w:pPr>
            <w:r w:rsidRPr="009743E1">
              <w:rPr>
                <w:b/>
                <w:bCs/>
                <w:sz w:val="21"/>
                <w:szCs w:val="21"/>
                <w:lang w:val="en-US"/>
              </w:rPr>
              <w:t>Who is the main target audience for the initiatives?</w:t>
            </w:r>
          </w:p>
          <w:p w14:paraId="21DDD927" w14:textId="77777777" w:rsidR="00B54914" w:rsidRPr="009743E1" w:rsidRDefault="00B54914" w:rsidP="00112E70">
            <w:pPr>
              <w:spacing w:line="276" w:lineRule="auto"/>
              <w:rPr>
                <w:sz w:val="21"/>
                <w:szCs w:val="21"/>
              </w:rPr>
            </w:pPr>
          </w:p>
        </w:tc>
        <w:tc>
          <w:tcPr>
            <w:tcW w:w="2693" w:type="dxa"/>
          </w:tcPr>
          <w:p w14:paraId="56E0801D" w14:textId="77777777" w:rsidR="00B54914" w:rsidRPr="009743E1" w:rsidRDefault="00B54914" w:rsidP="00112E70">
            <w:pPr>
              <w:spacing w:line="276" w:lineRule="auto"/>
              <w:rPr>
                <w:sz w:val="21"/>
                <w:szCs w:val="21"/>
              </w:rPr>
            </w:pPr>
            <w:r w:rsidRPr="009743E1">
              <w:rPr>
                <w:sz w:val="21"/>
                <w:szCs w:val="21"/>
                <w:lang w:val="en-US"/>
              </w:rPr>
              <w:t>Most initiatives have teachers as the target audience</w:t>
            </w:r>
          </w:p>
        </w:tc>
        <w:tc>
          <w:tcPr>
            <w:tcW w:w="5245" w:type="dxa"/>
          </w:tcPr>
          <w:p w14:paraId="7D9FB54B" w14:textId="77777777" w:rsidR="00B54914" w:rsidRPr="009743E1" w:rsidRDefault="00B54914" w:rsidP="00112E70">
            <w:pPr>
              <w:spacing w:line="276" w:lineRule="auto"/>
              <w:rPr>
                <w:sz w:val="21"/>
                <w:szCs w:val="21"/>
              </w:rPr>
            </w:pPr>
            <w:r w:rsidRPr="009743E1">
              <w:rPr>
                <w:sz w:val="21"/>
                <w:szCs w:val="21"/>
                <w:lang w:val="en-US"/>
              </w:rPr>
              <w:t>This focus indicates initiatives are responding to the current area of greatest need in STEM education (building teacher capabilities). However, there are potential future opportunities to also support other important stakeholders (principals, parents and pre-service teachers) to better ensure a long-term improvement in STEM education.</w:t>
            </w:r>
          </w:p>
        </w:tc>
      </w:tr>
      <w:tr w:rsidR="00B54914" w:rsidRPr="009743E1" w14:paraId="3E7FE18F" w14:textId="77777777" w:rsidTr="00112E70">
        <w:trPr>
          <w:trHeight w:val="1477"/>
        </w:trPr>
        <w:tc>
          <w:tcPr>
            <w:tcW w:w="567" w:type="dxa"/>
            <w:vMerge/>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21429C10" w14:textId="77777777" w:rsidR="00B54914" w:rsidRPr="009743E1" w:rsidRDefault="00B54914" w:rsidP="00112E70">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1369CF55" w14:textId="77777777" w:rsidR="00B54914" w:rsidRPr="009743E1" w:rsidRDefault="00B54914" w:rsidP="00112E70">
            <w:pPr>
              <w:spacing w:line="276" w:lineRule="auto"/>
              <w:rPr>
                <w:b/>
                <w:bCs/>
                <w:sz w:val="21"/>
                <w:szCs w:val="21"/>
              </w:rPr>
            </w:pPr>
            <w:r w:rsidRPr="009743E1">
              <w:rPr>
                <w:b/>
                <w:bCs/>
                <w:sz w:val="21"/>
                <w:szCs w:val="21"/>
                <w:lang w:val="en-US"/>
              </w:rPr>
              <w:t>What education level do the initiatives target?</w:t>
            </w:r>
          </w:p>
          <w:p w14:paraId="5D43A839" w14:textId="77777777" w:rsidR="00B54914" w:rsidRPr="009743E1" w:rsidRDefault="00B54914" w:rsidP="00112E70">
            <w:pPr>
              <w:spacing w:line="276" w:lineRule="auto"/>
              <w:rPr>
                <w:sz w:val="21"/>
                <w:szCs w:val="21"/>
              </w:rPr>
            </w:pPr>
          </w:p>
        </w:tc>
        <w:tc>
          <w:tcPr>
            <w:tcW w:w="2693" w:type="dxa"/>
          </w:tcPr>
          <w:p w14:paraId="07998354" w14:textId="77777777" w:rsidR="00B54914" w:rsidRPr="009743E1" w:rsidRDefault="00B54914" w:rsidP="00112E70">
            <w:pPr>
              <w:spacing w:line="276" w:lineRule="auto"/>
              <w:rPr>
                <w:sz w:val="21"/>
                <w:szCs w:val="21"/>
              </w:rPr>
            </w:pPr>
            <w:r w:rsidRPr="009743E1">
              <w:rPr>
                <w:sz w:val="21"/>
                <w:szCs w:val="21"/>
                <w:lang w:val="en-US"/>
              </w:rPr>
              <w:t>While there are some early years initiatives, most initiatives take a broad focus across the school years (primary and secondary)</w:t>
            </w:r>
          </w:p>
        </w:tc>
        <w:tc>
          <w:tcPr>
            <w:tcW w:w="5245" w:type="dxa"/>
          </w:tcPr>
          <w:p w14:paraId="274FE138" w14:textId="77777777" w:rsidR="00B54914" w:rsidRPr="009743E1" w:rsidRDefault="00B54914" w:rsidP="00112E70">
            <w:pPr>
              <w:spacing w:line="276" w:lineRule="auto"/>
              <w:rPr>
                <w:sz w:val="21"/>
                <w:szCs w:val="21"/>
                <w:lang w:val="en-US"/>
              </w:rPr>
            </w:pPr>
            <w:r w:rsidRPr="009743E1">
              <w:rPr>
                <w:sz w:val="21"/>
                <w:szCs w:val="21"/>
                <w:lang w:val="en-US"/>
              </w:rPr>
              <w:t xml:space="preserve">The broad focus is a sensible way to </w:t>
            </w:r>
            <w:proofErr w:type="spellStart"/>
            <w:r w:rsidRPr="009743E1">
              <w:rPr>
                <w:sz w:val="21"/>
                <w:szCs w:val="21"/>
                <w:lang w:val="en-US"/>
              </w:rPr>
              <w:t>maximise</w:t>
            </w:r>
            <w:proofErr w:type="spellEnd"/>
            <w:r w:rsidRPr="009743E1">
              <w:rPr>
                <w:sz w:val="21"/>
                <w:szCs w:val="21"/>
                <w:lang w:val="en-US"/>
              </w:rPr>
              <w:t xml:space="preserve"> the reach of initiatives. </w:t>
            </w:r>
            <w:r w:rsidR="001C3C7C" w:rsidRPr="009743E1">
              <w:rPr>
                <w:sz w:val="21"/>
                <w:szCs w:val="21"/>
                <w:lang w:val="en-US"/>
              </w:rPr>
              <w:t>However,</w:t>
            </w:r>
            <w:r w:rsidRPr="009743E1">
              <w:rPr>
                <w:sz w:val="21"/>
                <w:szCs w:val="21"/>
                <w:lang w:val="en-US"/>
              </w:rPr>
              <w:t xml:space="preserve"> there are trade-offs to this </w:t>
            </w:r>
            <w:proofErr w:type="gramStart"/>
            <w:r w:rsidRPr="009743E1">
              <w:rPr>
                <w:sz w:val="21"/>
                <w:szCs w:val="21"/>
                <w:lang w:val="en-US"/>
              </w:rPr>
              <w:t>decision;</w:t>
            </w:r>
            <w:proofErr w:type="gramEnd"/>
            <w:r w:rsidRPr="009743E1">
              <w:rPr>
                <w:sz w:val="21"/>
                <w:szCs w:val="21"/>
                <w:lang w:val="en-US"/>
              </w:rPr>
              <w:t xml:space="preserve"> e.g. missing specific opportunities to improve STEM at important points of transition (e.g. subject selection). There’s also less focus on early years, where foundational STEM skills are developed. Future strategies should consider increasing focus on the early years for future strategies.  </w:t>
            </w:r>
          </w:p>
        </w:tc>
      </w:tr>
      <w:tr w:rsidR="00B54914" w:rsidRPr="009743E1" w14:paraId="481B0B03" w14:textId="77777777" w:rsidTr="00112E70">
        <w:trPr>
          <w:trHeight w:val="1083"/>
        </w:trPr>
        <w:tc>
          <w:tcPr>
            <w:tcW w:w="567" w:type="dxa"/>
            <w:vMerge w:val="restart"/>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4AFCF7FA" w14:textId="77777777" w:rsidR="00B54914" w:rsidRPr="009743E1" w:rsidRDefault="00B54914" w:rsidP="00112E70">
            <w:pPr>
              <w:pStyle w:val="Heading2"/>
              <w:spacing w:before="0" w:line="276" w:lineRule="auto"/>
              <w:jc w:val="center"/>
              <w:rPr>
                <w:b/>
                <w:bCs/>
                <w:i/>
                <w:iCs/>
                <w:color w:val="4D4D4D" w:themeColor="text2"/>
                <w:sz w:val="21"/>
                <w:szCs w:val="21"/>
              </w:rPr>
            </w:pPr>
            <w:bookmarkStart w:id="47" w:name="_Toc23504209"/>
            <w:bookmarkStart w:id="48" w:name="_Toc25162043"/>
            <w:r w:rsidRPr="009743E1">
              <w:rPr>
                <w:b/>
                <w:bCs/>
                <w:i/>
                <w:iCs/>
                <w:color w:val="000000" w:themeColor="text1"/>
                <w:sz w:val="21"/>
                <w:szCs w:val="21"/>
              </w:rPr>
              <w:t>What</w:t>
            </w:r>
            <w:bookmarkEnd w:id="47"/>
            <w:bookmarkEnd w:id="48"/>
          </w:p>
        </w:tc>
        <w:tc>
          <w:tcPr>
            <w:tcW w:w="2410" w:type="dxa"/>
            <w:tcBorders>
              <w:left w:val="dashed" w:sz="4" w:space="0" w:color="FFFFFF"/>
            </w:tcBorders>
          </w:tcPr>
          <w:p w14:paraId="65C2012B" w14:textId="77777777" w:rsidR="00B54914" w:rsidRPr="009743E1" w:rsidRDefault="00B54914" w:rsidP="00112E70">
            <w:pPr>
              <w:spacing w:line="276" w:lineRule="auto"/>
              <w:rPr>
                <w:b/>
                <w:bCs/>
                <w:sz w:val="21"/>
                <w:szCs w:val="21"/>
              </w:rPr>
            </w:pPr>
            <w:r w:rsidRPr="009743E1">
              <w:rPr>
                <w:b/>
                <w:bCs/>
                <w:sz w:val="21"/>
                <w:szCs w:val="21"/>
                <w:lang w:val="en-US"/>
              </w:rPr>
              <w:t>What is the main output of the initiatives?</w:t>
            </w:r>
          </w:p>
          <w:p w14:paraId="5EB3B62C" w14:textId="77777777" w:rsidR="00B54914" w:rsidRPr="009743E1" w:rsidRDefault="00B54914" w:rsidP="00112E70">
            <w:pPr>
              <w:spacing w:line="276" w:lineRule="auto"/>
              <w:rPr>
                <w:sz w:val="21"/>
                <w:szCs w:val="21"/>
              </w:rPr>
            </w:pPr>
          </w:p>
        </w:tc>
        <w:tc>
          <w:tcPr>
            <w:tcW w:w="2693" w:type="dxa"/>
          </w:tcPr>
          <w:p w14:paraId="2F6090E0" w14:textId="77777777" w:rsidR="00B54914" w:rsidRPr="009743E1" w:rsidRDefault="00B54914" w:rsidP="00112E70">
            <w:pPr>
              <w:spacing w:line="276" w:lineRule="auto"/>
              <w:rPr>
                <w:sz w:val="21"/>
                <w:szCs w:val="21"/>
              </w:rPr>
            </w:pPr>
            <w:r w:rsidRPr="009743E1">
              <w:rPr>
                <w:sz w:val="21"/>
                <w:szCs w:val="21"/>
                <w:lang w:val="en-US"/>
              </w:rPr>
              <w:t>Most initiatives offer professional learning, rather than specific resources</w:t>
            </w:r>
          </w:p>
        </w:tc>
        <w:tc>
          <w:tcPr>
            <w:tcW w:w="5245" w:type="dxa"/>
          </w:tcPr>
          <w:p w14:paraId="26A2A184" w14:textId="77777777" w:rsidR="00B54914" w:rsidRPr="009743E1" w:rsidRDefault="00B54914" w:rsidP="00112E70">
            <w:pPr>
              <w:spacing w:line="276" w:lineRule="auto"/>
              <w:rPr>
                <w:sz w:val="21"/>
                <w:szCs w:val="21"/>
                <w:lang w:val="en-US"/>
              </w:rPr>
            </w:pPr>
            <w:r w:rsidRPr="009743E1">
              <w:rPr>
                <w:sz w:val="21"/>
                <w:szCs w:val="21"/>
                <w:lang w:val="en-US"/>
              </w:rPr>
              <w:t>Professional learning to build teacher capability is a valuable focus area. Stakeholders suggest there could be more support to use specific resources provided. Approximately one third of the initiatives currently do this, but this approach could be more consistent among initiatives.</w:t>
            </w:r>
          </w:p>
        </w:tc>
      </w:tr>
      <w:tr w:rsidR="00B54914" w:rsidRPr="009743E1" w14:paraId="1591B12B" w14:textId="77777777" w:rsidTr="00112E70">
        <w:trPr>
          <w:trHeight w:val="1083"/>
        </w:trPr>
        <w:tc>
          <w:tcPr>
            <w:tcW w:w="567" w:type="dxa"/>
            <w:vMerge/>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5082458F" w14:textId="77777777" w:rsidR="00B54914" w:rsidRPr="009743E1" w:rsidRDefault="00B54914" w:rsidP="00112E70">
            <w:pPr>
              <w:pStyle w:val="Heading2"/>
              <w:spacing w:before="0" w:line="276" w:lineRule="auto"/>
              <w:jc w:val="center"/>
              <w:rPr>
                <w:b/>
                <w:bCs/>
                <w:i/>
                <w:iCs/>
                <w:color w:val="4D4D4D" w:themeColor="text2"/>
                <w:sz w:val="21"/>
                <w:szCs w:val="21"/>
              </w:rPr>
            </w:pPr>
          </w:p>
        </w:tc>
        <w:tc>
          <w:tcPr>
            <w:tcW w:w="2410" w:type="dxa"/>
            <w:tcBorders>
              <w:left w:val="dashed" w:sz="4" w:space="0" w:color="FFFFFF"/>
            </w:tcBorders>
          </w:tcPr>
          <w:p w14:paraId="30B36620" w14:textId="77777777" w:rsidR="00B54914" w:rsidRPr="009743E1" w:rsidRDefault="00B54914" w:rsidP="00112E70">
            <w:pPr>
              <w:spacing w:line="276" w:lineRule="auto"/>
              <w:rPr>
                <w:b/>
                <w:bCs/>
                <w:sz w:val="21"/>
                <w:szCs w:val="21"/>
              </w:rPr>
            </w:pPr>
            <w:r w:rsidRPr="009743E1">
              <w:rPr>
                <w:b/>
                <w:bCs/>
                <w:sz w:val="21"/>
                <w:szCs w:val="21"/>
                <w:lang w:val="en-US"/>
              </w:rPr>
              <w:t>What curriculum area do the initiatives focus on?</w:t>
            </w:r>
          </w:p>
          <w:p w14:paraId="6D61B808" w14:textId="77777777" w:rsidR="00B54914" w:rsidRPr="009743E1" w:rsidRDefault="00B54914" w:rsidP="00112E70">
            <w:pPr>
              <w:spacing w:line="276" w:lineRule="auto"/>
              <w:rPr>
                <w:sz w:val="21"/>
                <w:szCs w:val="21"/>
              </w:rPr>
            </w:pPr>
          </w:p>
        </w:tc>
        <w:tc>
          <w:tcPr>
            <w:tcW w:w="2693" w:type="dxa"/>
          </w:tcPr>
          <w:p w14:paraId="58DE0603" w14:textId="77777777" w:rsidR="00B54914" w:rsidRPr="009743E1" w:rsidRDefault="00B54914" w:rsidP="00112E70">
            <w:pPr>
              <w:spacing w:line="276" w:lineRule="auto"/>
              <w:rPr>
                <w:sz w:val="21"/>
                <w:szCs w:val="21"/>
              </w:rPr>
            </w:pPr>
            <w:r w:rsidRPr="009743E1">
              <w:rPr>
                <w:sz w:val="21"/>
                <w:szCs w:val="21"/>
                <w:lang w:val="en-US"/>
              </w:rPr>
              <w:t>Most initiatives focus on Digital Technology (DT)</w:t>
            </w:r>
          </w:p>
        </w:tc>
        <w:tc>
          <w:tcPr>
            <w:tcW w:w="5245" w:type="dxa"/>
          </w:tcPr>
          <w:p w14:paraId="58998BB6" w14:textId="77777777" w:rsidR="00B54914" w:rsidRPr="009743E1" w:rsidRDefault="00B54914" w:rsidP="00C90A00">
            <w:pPr>
              <w:spacing w:line="276" w:lineRule="auto"/>
              <w:rPr>
                <w:sz w:val="21"/>
                <w:szCs w:val="21"/>
              </w:rPr>
            </w:pPr>
            <w:r w:rsidRPr="009743E1">
              <w:rPr>
                <w:sz w:val="21"/>
                <w:szCs w:val="21"/>
                <w:lang w:val="en-US"/>
              </w:rPr>
              <w:t>This is a strategic decision to support the rollout of DT in the Australian Curriculum. T</w:t>
            </w:r>
            <w:r w:rsidR="00C90A00">
              <w:rPr>
                <w:sz w:val="21"/>
                <w:szCs w:val="21"/>
                <w:lang w:val="en-US"/>
              </w:rPr>
              <w:t xml:space="preserve">o an extent, </w:t>
            </w:r>
            <w:r w:rsidRPr="009743E1">
              <w:rPr>
                <w:sz w:val="21"/>
                <w:szCs w:val="21"/>
                <w:lang w:val="en-US"/>
              </w:rPr>
              <w:t xml:space="preserve">his has inadvertently reduced the focus on math, which </w:t>
            </w:r>
            <w:r w:rsidR="00C90A00">
              <w:rPr>
                <w:sz w:val="21"/>
                <w:szCs w:val="21"/>
                <w:lang w:val="en-US"/>
              </w:rPr>
              <w:t>provides</w:t>
            </w:r>
            <w:r w:rsidRPr="009743E1">
              <w:rPr>
                <w:sz w:val="21"/>
                <w:szCs w:val="21"/>
                <w:lang w:val="en-US"/>
              </w:rPr>
              <w:t xml:space="preserve"> important foundational skills for STEM and other subjects, but this is now being addressed through a targeted budget measure.</w:t>
            </w:r>
          </w:p>
        </w:tc>
      </w:tr>
      <w:tr w:rsidR="00B54914" w:rsidRPr="009743E1" w14:paraId="3E7F8C16" w14:textId="77777777" w:rsidTr="00112E70">
        <w:trPr>
          <w:trHeight w:val="1040"/>
        </w:trPr>
        <w:tc>
          <w:tcPr>
            <w:tcW w:w="567" w:type="dxa"/>
            <w:tcBorders>
              <w:top w:val="dashed" w:sz="4" w:space="0" w:color="FFFFFF"/>
              <w:left w:val="dashed" w:sz="4" w:space="0" w:color="FFFFFF"/>
              <w:bottom w:val="dashed" w:sz="4" w:space="0" w:color="FFFFFF"/>
              <w:right w:val="dashed" w:sz="4" w:space="0" w:color="FFFFFF"/>
            </w:tcBorders>
            <w:shd w:val="clear" w:color="auto" w:fill="4D4D4D" w:themeFill="text2"/>
            <w:vAlign w:val="center"/>
          </w:tcPr>
          <w:p w14:paraId="11466F41" w14:textId="77777777" w:rsidR="00B54914" w:rsidRPr="009743E1" w:rsidRDefault="00B54914" w:rsidP="00112E70">
            <w:pPr>
              <w:pStyle w:val="Heading2"/>
              <w:spacing w:before="0" w:line="276" w:lineRule="auto"/>
              <w:jc w:val="center"/>
              <w:rPr>
                <w:b/>
                <w:bCs/>
                <w:i/>
                <w:iCs/>
                <w:color w:val="4D4D4D" w:themeColor="text2"/>
                <w:sz w:val="21"/>
                <w:szCs w:val="21"/>
              </w:rPr>
            </w:pPr>
            <w:bookmarkStart w:id="49" w:name="_Toc23504210"/>
            <w:bookmarkStart w:id="50" w:name="_Toc25162044"/>
            <w:r w:rsidRPr="009743E1">
              <w:rPr>
                <w:b/>
                <w:bCs/>
                <w:i/>
                <w:iCs/>
                <w:color w:val="FFFFFF" w:themeColor="background1"/>
                <w:sz w:val="21"/>
                <w:szCs w:val="21"/>
              </w:rPr>
              <w:t>How</w:t>
            </w:r>
            <w:bookmarkEnd w:id="49"/>
            <w:bookmarkEnd w:id="50"/>
          </w:p>
        </w:tc>
        <w:tc>
          <w:tcPr>
            <w:tcW w:w="2410" w:type="dxa"/>
            <w:tcBorders>
              <w:left w:val="dashed" w:sz="4" w:space="0" w:color="FFFFFF"/>
            </w:tcBorders>
          </w:tcPr>
          <w:p w14:paraId="5626BFAB" w14:textId="77777777" w:rsidR="00B54914" w:rsidRPr="00991B80" w:rsidRDefault="00B54914" w:rsidP="00112E70">
            <w:pPr>
              <w:spacing w:line="276" w:lineRule="auto"/>
              <w:rPr>
                <w:b/>
                <w:bCs/>
                <w:sz w:val="21"/>
                <w:szCs w:val="21"/>
              </w:rPr>
            </w:pPr>
            <w:r w:rsidRPr="009743E1">
              <w:rPr>
                <w:b/>
                <w:bCs/>
                <w:sz w:val="21"/>
                <w:szCs w:val="21"/>
                <w:lang w:val="en-US"/>
              </w:rPr>
              <w:t>What are the partnerships, processes and supports that have been used?</w:t>
            </w:r>
          </w:p>
        </w:tc>
        <w:tc>
          <w:tcPr>
            <w:tcW w:w="2693" w:type="dxa"/>
          </w:tcPr>
          <w:p w14:paraId="2793DFA9" w14:textId="77777777" w:rsidR="00B54914" w:rsidRPr="009743E1" w:rsidRDefault="00B54914" w:rsidP="00112E70">
            <w:pPr>
              <w:spacing w:line="276" w:lineRule="auto"/>
              <w:rPr>
                <w:sz w:val="21"/>
                <w:szCs w:val="21"/>
              </w:rPr>
            </w:pPr>
            <w:r w:rsidRPr="009743E1">
              <w:rPr>
                <w:sz w:val="21"/>
                <w:szCs w:val="21"/>
                <w:lang w:val="en-US"/>
              </w:rPr>
              <w:t>Most initiatives engaged and consulted widely with the education sector</w:t>
            </w:r>
          </w:p>
        </w:tc>
        <w:tc>
          <w:tcPr>
            <w:tcW w:w="5245" w:type="dxa"/>
          </w:tcPr>
          <w:p w14:paraId="6EF81661" w14:textId="77777777" w:rsidR="00B54914" w:rsidRPr="009743E1" w:rsidRDefault="00B54914" w:rsidP="00112E70">
            <w:pPr>
              <w:spacing w:line="276" w:lineRule="auto"/>
              <w:rPr>
                <w:sz w:val="21"/>
                <w:szCs w:val="21"/>
              </w:rPr>
            </w:pPr>
            <w:r w:rsidRPr="009743E1">
              <w:rPr>
                <w:sz w:val="21"/>
                <w:szCs w:val="21"/>
                <w:lang w:val="en-US"/>
              </w:rPr>
              <w:t>The Australian Government is well-regarded for its stakeholder engagement and contributions in the sector.</w:t>
            </w:r>
          </w:p>
        </w:tc>
      </w:tr>
    </w:tbl>
    <w:p w14:paraId="3E2E03C8" w14:textId="77777777" w:rsidR="00DA08F3" w:rsidRPr="00292D9C" w:rsidRDefault="001B3C52" w:rsidP="00A616D5">
      <w:pPr>
        <w:pStyle w:val="Caption"/>
        <w:keepNext/>
        <w:spacing w:before="0" w:after="120" w:line="360" w:lineRule="auto"/>
      </w:pPr>
      <w:r w:rsidRPr="00292D9C">
        <w:br/>
      </w:r>
    </w:p>
    <w:p w14:paraId="0653D6B1" w14:textId="77777777" w:rsidR="000D04FF" w:rsidRPr="00292D9C" w:rsidRDefault="000D04FF" w:rsidP="00A616D5">
      <w:pPr>
        <w:pStyle w:val="Heading2"/>
        <w:spacing w:before="0" w:after="120"/>
        <w:rPr>
          <w:rFonts w:asciiTheme="minorHAnsi" w:hAnsiTheme="minorHAnsi"/>
          <w:u w:val="single"/>
        </w:rPr>
      </w:pPr>
      <w:bookmarkStart w:id="51" w:name="_Toc16707150"/>
      <w:bookmarkStart w:id="52" w:name="_Toc21088242"/>
      <w:bookmarkStart w:id="53" w:name="_Toc23504211"/>
      <w:bookmarkStart w:id="54" w:name="_Toc25162045"/>
      <w:r w:rsidRPr="00292D9C">
        <w:rPr>
          <w:rFonts w:asciiTheme="minorHAnsi" w:hAnsiTheme="minorHAnsi"/>
          <w:u w:val="single"/>
        </w:rPr>
        <w:t>Why</w:t>
      </w:r>
      <w:bookmarkEnd w:id="51"/>
      <w:bookmarkEnd w:id="52"/>
      <w:bookmarkEnd w:id="53"/>
      <w:bookmarkEnd w:id="54"/>
    </w:p>
    <w:p w14:paraId="595FFF45" w14:textId="77777777" w:rsidR="00A521DD" w:rsidRPr="00292D9C" w:rsidRDefault="00D11E32" w:rsidP="00A616D5">
      <w:pPr>
        <w:pStyle w:val="Heading2"/>
        <w:spacing w:before="0" w:after="120"/>
        <w:rPr>
          <w:rFonts w:asciiTheme="minorHAnsi" w:hAnsiTheme="minorHAnsi"/>
        </w:rPr>
      </w:pPr>
      <w:bookmarkStart w:id="55" w:name="_Toc16707151"/>
      <w:bookmarkStart w:id="56" w:name="_Toc21088243"/>
      <w:bookmarkStart w:id="57" w:name="_Toc23504212"/>
      <w:bookmarkStart w:id="58" w:name="_Toc25162046"/>
      <w:r w:rsidRPr="00292D9C">
        <w:rPr>
          <w:rFonts w:asciiTheme="minorHAnsi" w:hAnsiTheme="minorHAnsi"/>
        </w:rPr>
        <w:t xml:space="preserve">5.1. </w:t>
      </w:r>
      <w:r w:rsidR="00933F31" w:rsidRPr="00292D9C">
        <w:rPr>
          <w:rFonts w:asciiTheme="minorHAnsi" w:hAnsiTheme="minorHAnsi"/>
        </w:rPr>
        <w:t>Do the</w:t>
      </w:r>
      <w:r w:rsidR="00DE6C77" w:rsidRPr="00292D9C">
        <w:rPr>
          <w:rFonts w:asciiTheme="minorHAnsi" w:hAnsiTheme="minorHAnsi"/>
        </w:rPr>
        <w:t xml:space="preserve"> initiatives </w:t>
      </w:r>
      <w:r w:rsidR="00933F31" w:rsidRPr="00292D9C">
        <w:rPr>
          <w:rFonts w:asciiTheme="minorHAnsi" w:hAnsiTheme="minorHAnsi"/>
        </w:rPr>
        <w:t xml:space="preserve">focus </w:t>
      </w:r>
      <w:r w:rsidR="00DE6C77" w:rsidRPr="00292D9C">
        <w:rPr>
          <w:rFonts w:asciiTheme="minorHAnsi" w:hAnsiTheme="minorHAnsi"/>
        </w:rPr>
        <w:t>on student e</w:t>
      </w:r>
      <w:r w:rsidR="00A521DD" w:rsidRPr="00292D9C">
        <w:rPr>
          <w:rFonts w:asciiTheme="minorHAnsi" w:hAnsiTheme="minorHAnsi"/>
        </w:rPr>
        <w:t xml:space="preserve">ngagement </w:t>
      </w:r>
      <w:r w:rsidR="00DE6C77" w:rsidRPr="00292D9C">
        <w:rPr>
          <w:rFonts w:asciiTheme="minorHAnsi" w:hAnsiTheme="minorHAnsi"/>
        </w:rPr>
        <w:t>or</w:t>
      </w:r>
      <w:r w:rsidR="00A521DD" w:rsidRPr="00292D9C">
        <w:rPr>
          <w:rFonts w:asciiTheme="minorHAnsi" w:hAnsiTheme="minorHAnsi"/>
        </w:rPr>
        <w:t xml:space="preserve"> achievement</w:t>
      </w:r>
      <w:r w:rsidR="00DE6C77" w:rsidRPr="00292D9C">
        <w:rPr>
          <w:rFonts w:asciiTheme="minorHAnsi" w:hAnsiTheme="minorHAnsi"/>
        </w:rPr>
        <w:t>?</w:t>
      </w:r>
      <w:bookmarkEnd w:id="55"/>
      <w:bookmarkEnd w:id="56"/>
      <w:bookmarkEnd w:id="57"/>
      <w:bookmarkEnd w:id="58"/>
      <w:r w:rsidR="00DE6C77" w:rsidRPr="00292D9C">
        <w:rPr>
          <w:rFonts w:asciiTheme="minorHAnsi" w:hAnsiTheme="minorHAnsi"/>
        </w:rPr>
        <w:t xml:space="preserve"> </w:t>
      </w:r>
    </w:p>
    <w:p w14:paraId="52D0D208" w14:textId="77777777" w:rsidR="003A68E7" w:rsidRPr="00292D9C" w:rsidRDefault="003A68E7" w:rsidP="00A616D5">
      <w:pPr>
        <w:rPr>
          <w:b/>
          <w:color w:val="8C8686" w:themeColor="accent4"/>
          <w:lang w:val="en-US"/>
        </w:rPr>
      </w:pPr>
      <w:r w:rsidRPr="00292D9C">
        <w:rPr>
          <w:b/>
          <w:color w:val="8C8686" w:themeColor="accent4"/>
          <w:lang w:val="en-US"/>
        </w:rPr>
        <w:t>Framing outcomes in terms of students’ outcomes was not common practice</w:t>
      </w:r>
      <w:r w:rsidR="000610AA" w:rsidRPr="00292D9C">
        <w:rPr>
          <w:b/>
          <w:color w:val="8C8686" w:themeColor="accent4"/>
          <w:lang w:val="en-US"/>
        </w:rPr>
        <w:t>, as most NISA initiatives focus on supporting teachers</w:t>
      </w:r>
    </w:p>
    <w:p w14:paraId="30166030" w14:textId="77777777" w:rsidR="00F261BE" w:rsidRPr="00292D9C" w:rsidRDefault="003A68E7" w:rsidP="00A616D5">
      <w:pPr>
        <w:rPr>
          <w:lang w:val="en-US"/>
        </w:rPr>
      </w:pPr>
      <w:r w:rsidRPr="00292D9C">
        <w:rPr>
          <w:lang w:val="en-US"/>
        </w:rPr>
        <w:t>Providers did not always frame their goals in terms of improving student outcomes. This may be because</w:t>
      </w:r>
      <w:r w:rsidR="000610AA" w:rsidRPr="00292D9C">
        <w:rPr>
          <w:lang w:val="en-US"/>
        </w:rPr>
        <w:t xml:space="preserve"> </w:t>
      </w:r>
      <w:r w:rsidR="007A64F2" w:rsidRPr="00292D9C">
        <w:rPr>
          <w:lang w:val="en-US"/>
        </w:rPr>
        <w:t xml:space="preserve">the NISA initiatives are quite deliberately focused on supporting teachers, </w:t>
      </w:r>
      <w:r w:rsidRPr="00292D9C">
        <w:rPr>
          <w:lang w:val="en-US"/>
        </w:rPr>
        <w:t>to build their capability through professional learning and resources</w:t>
      </w:r>
      <w:r w:rsidR="007A64F2" w:rsidRPr="00292D9C">
        <w:rPr>
          <w:lang w:val="en-US"/>
        </w:rPr>
        <w:t xml:space="preserve">. </w:t>
      </w:r>
      <w:r w:rsidR="00FF2677" w:rsidRPr="00292D9C">
        <w:rPr>
          <w:lang w:val="en-US"/>
        </w:rPr>
        <w:t xml:space="preserve">The ultimate goal and motivation </w:t>
      </w:r>
      <w:r w:rsidR="007A64F2" w:rsidRPr="00292D9C">
        <w:rPr>
          <w:lang w:val="en-US"/>
        </w:rPr>
        <w:t xml:space="preserve">behind </w:t>
      </w:r>
      <w:r w:rsidR="00FF2677" w:rsidRPr="00292D9C">
        <w:rPr>
          <w:lang w:val="en-US"/>
        </w:rPr>
        <w:t>teacher</w:t>
      </w:r>
      <w:r w:rsidR="007A64F2" w:rsidRPr="00292D9C">
        <w:rPr>
          <w:lang w:val="en-US"/>
        </w:rPr>
        <w:t xml:space="preserve"> professional learning </w:t>
      </w:r>
      <w:r w:rsidR="00FF2677" w:rsidRPr="00292D9C">
        <w:rPr>
          <w:lang w:val="en-US"/>
        </w:rPr>
        <w:t>is to improve student outcomes</w:t>
      </w:r>
      <w:r w:rsidR="007A64F2" w:rsidRPr="00292D9C">
        <w:rPr>
          <w:lang w:val="en-US"/>
        </w:rPr>
        <w:t xml:space="preserve">. Measures that show improvement, or lack thereof, in teacher understanding, confidence and capability are measures of effectiveness. Additional measures that go more directly to student outcomes would be ideal, however </w:t>
      </w:r>
      <w:r w:rsidR="00E74C73" w:rsidRPr="00292D9C">
        <w:rPr>
          <w:lang w:val="en-US"/>
        </w:rPr>
        <w:t>this can be difficult in practice</w:t>
      </w:r>
      <w:r w:rsidR="007A64F2" w:rsidRPr="00292D9C">
        <w:rPr>
          <w:lang w:val="en-US"/>
        </w:rPr>
        <w:t xml:space="preserve"> as it can be hard to isolate th</w:t>
      </w:r>
      <w:r w:rsidR="00977ED5" w:rsidRPr="00292D9C">
        <w:rPr>
          <w:lang w:val="en-US"/>
        </w:rPr>
        <w:t>e</w:t>
      </w:r>
      <w:r w:rsidR="007A64F2" w:rsidRPr="00292D9C">
        <w:rPr>
          <w:lang w:val="en-US"/>
        </w:rPr>
        <w:t xml:space="preserve"> impact of one program, particularly for a short-term period. </w:t>
      </w:r>
      <w:r w:rsidR="00E74C73" w:rsidRPr="00292D9C">
        <w:rPr>
          <w:lang w:val="en-US"/>
        </w:rPr>
        <w:t xml:space="preserve">Additionally, high-quality, robust measurement of student achievement can also dramatically increase program costs. </w:t>
      </w:r>
    </w:p>
    <w:p w14:paraId="6574DEC3" w14:textId="77777777" w:rsidR="007A64F2" w:rsidRPr="00292D9C" w:rsidRDefault="003A68E7" w:rsidP="00A616D5">
      <w:pPr>
        <w:rPr>
          <w:lang w:val="en-US"/>
        </w:rPr>
      </w:pPr>
      <w:r w:rsidRPr="00292D9C">
        <w:rPr>
          <w:lang w:val="en-US"/>
        </w:rPr>
        <w:t xml:space="preserve">As a result, </w:t>
      </w:r>
      <w:proofErr w:type="spellStart"/>
      <w:r w:rsidRPr="00292D9C">
        <w:rPr>
          <w:lang w:val="en-US"/>
        </w:rPr>
        <w:t>dandolo</w:t>
      </w:r>
      <w:proofErr w:type="spellEnd"/>
      <w:r w:rsidRPr="00292D9C">
        <w:rPr>
          <w:lang w:val="en-US"/>
        </w:rPr>
        <w:t xml:space="preserve"> had to make judgements about whether </w:t>
      </w:r>
      <w:r w:rsidR="00715443" w:rsidRPr="00292D9C">
        <w:rPr>
          <w:lang w:val="en-US"/>
        </w:rPr>
        <w:t>an</w:t>
      </w:r>
      <w:r w:rsidRPr="00292D9C">
        <w:rPr>
          <w:lang w:val="en-US"/>
        </w:rPr>
        <w:t xml:space="preserve"> </w:t>
      </w:r>
      <w:r w:rsidR="00715443" w:rsidRPr="00292D9C">
        <w:rPr>
          <w:lang w:val="en-US"/>
        </w:rPr>
        <w:t>initiative</w:t>
      </w:r>
      <w:r w:rsidRPr="00292D9C">
        <w:rPr>
          <w:lang w:val="en-US"/>
        </w:rPr>
        <w:t xml:space="preserve"> aimed to improve student engagement or achievement</w:t>
      </w:r>
      <w:r w:rsidR="007A64F2" w:rsidRPr="00292D9C">
        <w:rPr>
          <w:lang w:val="en-US"/>
        </w:rPr>
        <w:t xml:space="preserve">, </w:t>
      </w:r>
      <w:r w:rsidR="00715443" w:rsidRPr="00292D9C">
        <w:rPr>
          <w:lang w:val="en-US"/>
        </w:rPr>
        <w:t xml:space="preserve">acknowledging that the two are mutually reinforcing. </w:t>
      </w:r>
      <w:r w:rsidR="008C0CDA" w:rsidRPr="00292D9C">
        <w:rPr>
          <w:lang w:val="en-US"/>
        </w:rPr>
        <w:t>However,</w:t>
      </w:r>
      <w:r w:rsidR="0062237F" w:rsidRPr="00292D9C">
        <w:rPr>
          <w:lang w:val="en-US"/>
        </w:rPr>
        <w:t xml:space="preserve"> the concepts of engagement and achievement both help understand initiative objectives, and it’s useful to understand initiative outcomes – or the challenges each initiative is trying to address - through this lens. </w:t>
      </w:r>
    </w:p>
    <w:p w14:paraId="4F92CA10" w14:textId="77777777" w:rsidR="003A68E7" w:rsidRPr="00292D9C" w:rsidRDefault="003A68E7" w:rsidP="00A616D5">
      <w:pPr>
        <w:rPr>
          <w:b/>
          <w:color w:val="8C8686" w:themeColor="accent4"/>
          <w:lang w:val="en-US"/>
        </w:rPr>
      </w:pPr>
      <w:r w:rsidRPr="00292D9C">
        <w:rPr>
          <w:b/>
          <w:color w:val="8C8686" w:themeColor="accent4"/>
          <w:lang w:val="en-US"/>
        </w:rPr>
        <w:t>Most initiatives aim to increase student engagement, although this focus ultimately supports achievement as well</w:t>
      </w:r>
    </w:p>
    <w:p w14:paraId="4D5E9EE1" w14:textId="148B1166" w:rsidR="007A64F2" w:rsidRPr="00292D9C" w:rsidRDefault="003A68E7" w:rsidP="00A616D5">
      <w:pPr>
        <w:tabs>
          <w:tab w:val="left" w:pos="7938"/>
        </w:tabs>
        <w:rPr>
          <w:lang w:val="en-US"/>
        </w:rPr>
      </w:pPr>
      <w:r w:rsidRPr="00292D9C">
        <w:rPr>
          <w:lang w:val="en-US"/>
        </w:rPr>
        <w:t>The main aim of most initiatives was to increase student engagement, rather than student achievement.</w:t>
      </w:r>
      <w:r w:rsidR="00B0588C" w:rsidRPr="00292D9C">
        <w:rPr>
          <w:lang w:val="en-US"/>
        </w:rPr>
        <w:t xml:space="preserve"> </w:t>
      </w:r>
      <w:r w:rsidRPr="00292D9C">
        <w:rPr>
          <w:lang w:val="en-US"/>
        </w:rPr>
        <w:t>This was also reflected in the funding, with 8</w:t>
      </w:r>
      <w:r w:rsidR="006C3AFB">
        <w:rPr>
          <w:lang w:val="en-US"/>
        </w:rPr>
        <w:t>7</w:t>
      </w:r>
      <w:r w:rsidRPr="00292D9C">
        <w:rPr>
          <w:lang w:val="en-US"/>
        </w:rPr>
        <w:t xml:space="preserve"> percent of funds </w:t>
      </w:r>
      <w:r w:rsidR="006C52B3" w:rsidRPr="00292D9C">
        <w:rPr>
          <w:lang w:val="en-US"/>
        </w:rPr>
        <w:t>directed</w:t>
      </w:r>
      <w:r w:rsidRPr="00292D9C">
        <w:rPr>
          <w:lang w:val="en-US"/>
        </w:rPr>
        <w:t xml:space="preserve"> </w:t>
      </w:r>
      <w:r w:rsidR="006C52B3" w:rsidRPr="00292D9C">
        <w:rPr>
          <w:lang w:val="en-US"/>
        </w:rPr>
        <w:t>at</w:t>
      </w:r>
      <w:r w:rsidRPr="00292D9C">
        <w:rPr>
          <w:lang w:val="en-US"/>
        </w:rPr>
        <w:t xml:space="preserve"> initiatives focused on student engagement, rather than student achievement (</w:t>
      </w:r>
      <w:r w:rsidR="006C3AFB">
        <w:rPr>
          <w:lang w:val="en-US"/>
        </w:rPr>
        <w:t>13</w:t>
      </w:r>
      <w:r w:rsidRPr="00292D9C">
        <w:rPr>
          <w:lang w:val="en-US"/>
        </w:rPr>
        <w:t>%).</w:t>
      </w:r>
      <w:r w:rsidR="00CA26ED" w:rsidRPr="00292D9C">
        <w:rPr>
          <w:lang w:val="en-US"/>
        </w:rPr>
        <w:t xml:space="preserve"> </w:t>
      </w:r>
      <w:r w:rsidR="001C1B6B" w:rsidRPr="003E1E9C">
        <w:rPr>
          <w:lang w:val="en-US"/>
        </w:rPr>
        <w:t>Based on initiative objectives, t</w:t>
      </w:r>
      <w:r w:rsidR="00CA26ED" w:rsidRPr="003E1E9C">
        <w:rPr>
          <w:lang w:val="en-US"/>
        </w:rPr>
        <w:t>he NISA initiatives focused on achievement were MOOCs and Primary Connections.</w:t>
      </w:r>
      <w:r w:rsidR="003E1E9C">
        <w:rPr>
          <w:rStyle w:val="FootnoteReference"/>
          <w:lang w:val="en-US"/>
        </w:rPr>
        <w:footnoteReference w:id="16"/>
      </w:r>
      <w:r w:rsidR="00537D8B">
        <w:rPr>
          <w:lang w:val="en-US"/>
        </w:rPr>
        <w:t xml:space="preserve"> </w:t>
      </w:r>
    </w:p>
    <w:p w14:paraId="4201FA20" w14:textId="77777777" w:rsidR="007D4ACE" w:rsidRPr="00292D9C" w:rsidRDefault="008C0CDA" w:rsidP="00A616D5">
      <w:pPr>
        <w:rPr>
          <w:lang w:val="en-US"/>
        </w:rPr>
      </w:pPr>
      <w:r w:rsidRPr="00292D9C">
        <w:rPr>
          <w:lang w:val="en-US"/>
        </w:rPr>
        <w:t xml:space="preserve">Stakeholders highlight that a focus on engagement does not always come at the expense of achievement. However, engagement is often described as a precursor to achievement and so it’s important to examine the extent to which initiatives focus on these twin goals. </w:t>
      </w:r>
    </w:p>
    <w:p w14:paraId="60E5760A" w14:textId="77777777" w:rsidR="00F93947" w:rsidRPr="00292D9C" w:rsidRDefault="00D11E32" w:rsidP="00A616D5">
      <w:pPr>
        <w:pStyle w:val="Heading2Normal"/>
        <w:spacing w:before="0" w:after="120"/>
        <w:rPr>
          <w:rFonts w:asciiTheme="minorHAnsi" w:hAnsiTheme="minorHAnsi"/>
        </w:rPr>
      </w:pPr>
      <w:bookmarkStart w:id="59" w:name="_Toc16707152"/>
      <w:bookmarkStart w:id="60" w:name="_Toc21088244"/>
      <w:bookmarkStart w:id="61" w:name="_Toc23504213"/>
      <w:bookmarkStart w:id="62" w:name="_Toc25162047"/>
      <w:r w:rsidRPr="00292D9C">
        <w:rPr>
          <w:rFonts w:asciiTheme="minorHAnsi" w:hAnsiTheme="minorHAnsi"/>
        </w:rPr>
        <w:t xml:space="preserve">5.2. </w:t>
      </w:r>
      <w:r w:rsidR="00F93947" w:rsidRPr="00292D9C">
        <w:rPr>
          <w:rFonts w:asciiTheme="minorHAnsi" w:hAnsiTheme="minorHAnsi"/>
        </w:rPr>
        <w:t>Do the initiatives have a universal focus or are they trying to increase equity or excellence?</w:t>
      </w:r>
      <w:bookmarkEnd w:id="59"/>
      <w:bookmarkEnd w:id="60"/>
      <w:bookmarkEnd w:id="61"/>
      <w:bookmarkEnd w:id="62"/>
      <w:r w:rsidR="00F93947" w:rsidRPr="00292D9C">
        <w:rPr>
          <w:rFonts w:asciiTheme="minorHAnsi" w:hAnsiTheme="minorHAnsi"/>
        </w:rPr>
        <w:t xml:space="preserve"> </w:t>
      </w:r>
    </w:p>
    <w:p w14:paraId="5DEE445C" w14:textId="77777777" w:rsidR="00A272C5" w:rsidRPr="00292D9C" w:rsidRDefault="00A272C5" w:rsidP="00A616D5">
      <w:pPr>
        <w:pStyle w:val="Heading3"/>
        <w:numPr>
          <w:ilvl w:val="0"/>
          <w:numId w:val="0"/>
        </w:numPr>
        <w:spacing w:before="0" w:after="120"/>
        <w:rPr>
          <w:rFonts w:asciiTheme="minorHAnsi" w:hAnsiTheme="minorHAnsi"/>
          <w:lang w:val="en-US"/>
        </w:rPr>
      </w:pPr>
      <w:r w:rsidRPr="00292D9C">
        <w:rPr>
          <w:rFonts w:asciiTheme="minorHAnsi" w:hAnsiTheme="minorHAnsi"/>
          <w:lang w:val="en-US"/>
        </w:rPr>
        <w:t xml:space="preserve">NISA funding achieves a balance between breadth of coverage while still addressing equity issues in STEM </w:t>
      </w:r>
    </w:p>
    <w:p w14:paraId="18C15863" w14:textId="77777777" w:rsidR="00D6794C" w:rsidRPr="00292D9C" w:rsidRDefault="00A272C5" w:rsidP="00A616D5">
      <w:r w:rsidRPr="00292D9C">
        <w:rPr>
          <w:lang w:val="en-US"/>
        </w:rPr>
        <w:t xml:space="preserve">Most NISA funded initiatives have a universal focus (they do not target a particular group). This enables initiatives to </w:t>
      </w:r>
      <w:proofErr w:type="spellStart"/>
      <w:r w:rsidRPr="00292D9C">
        <w:rPr>
          <w:lang w:val="en-US"/>
        </w:rPr>
        <w:t>maximise</w:t>
      </w:r>
      <w:proofErr w:type="spellEnd"/>
      <w:r w:rsidRPr="00292D9C">
        <w:rPr>
          <w:lang w:val="en-US"/>
        </w:rPr>
        <w:t xml:space="preserve"> their reach to </w:t>
      </w:r>
      <w:r w:rsidR="006C52B3" w:rsidRPr="00292D9C">
        <w:rPr>
          <w:lang w:val="en-US"/>
        </w:rPr>
        <w:t>a</w:t>
      </w:r>
      <w:r w:rsidRPr="00292D9C">
        <w:rPr>
          <w:lang w:val="en-US"/>
        </w:rPr>
        <w:t xml:space="preserve"> larger audience. However, a significant proportion of initiatives have an equity focus (they do target a group that is underrepresented in STEM). This is also a legitimate focus as the research on STEM education and stakeholder consultation </w:t>
      </w:r>
      <w:proofErr w:type="spellStart"/>
      <w:r w:rsidR="00387EE6" w:rsidRPr="00292D9C">
        <w:rPr>
          <w:lang w:val="en-US"/>
        </w:rPr>
        <w:t>e</w:t>
      </w:r>
      <w:r w:rsidR="00192C8F" w:rsidRPr="00292D9C">
        <w:rPr>
          <w:lang w:val="en-US"/>
        </w:rPr>
        <w:t>mphasi</w:t>
      </w:r>
      <w:r w:rsidR="00387EE6" w:rsidRPr="00292D9C">
        <w:rPr>
          <w:lang w:val="en-US"/>
        </w:rPr>
        <w:t>s</w:t>
      </w:r>
      <w:r w:rsidR="00192C8F" w:rsidRPr="00292D9C">
        <w:rPr>
          <w:lang w:val="en-US"/>
        </w:rPr>
        <w:t>ed</w:t>
      </w:r>
      <w:proofErr w:type="spellEnd"/>
      <w:r w:rsidRPr="00292D9C">
        <w:rPr>
          <w:lang w:val="en-US"/>
        </w:rPr>
        <w:t xml:space="preserve"> there are persistent barriers that exist for underrepresented groups. There need to be initiatives focus</w:t>
      </w:r>
      <w:r w:rsidR="006C52B3" w:rsidRPr="00292D9C">
        <w:rPr>
          <w:lang w:val="en-US"/>
        </w:rPr>
        <w:t>ed</w:t>
      </w:r>
      <w:r w:rsidRPr="00292D9C">
        <w:rPr>
          <w:lang w:val="en-US"/>
        </w:rPr>
        <w:t xml:space="preserve"> on removing these barriers to ensure that STEM is more diverse and equitable.  </w:t>
      </w:r>
    </w:p>
    <w:p w14:paraId="4C689512" w14:textId="77777777" w:rsidR="006C52B3" w:rsidRPr="00292D9C" w:rsidRDefault="006C52B3" w:rsidP="00A616D5">
      <w:pPr>
        <w:pStyle w:val="Heading3Normal"/>
        <w:spacing w:before="0" w:after="120"/>
        <w:rPr>
          <w:rFonts w:asciiTheme="minorHAnsi" w:hAnsiTheme="minorHAnsi"/>
          <w:color w:val="000000" w:themeColor="text1"/>
          <w:lang w:val="en-US"/>
        </w:rPr>
      </w:pPr>
    </w:p>
    <w:p w14:paraId="632BBBD6" w14:textId="77777777" w:rsidR="00B54914" w:rsidRDefault="00B54914">
      <w:pPr>
        <w:spacing w:after="240" w:line="240" w:lineRule="auto"/>
        <w:rPr>
          <w:b/>
        </w:rPr>
      </w:pPr>
      <w:r>
        <w:br w:type="page"/>
      </w:r>
    </w:p>
    <w:p w14:paraId="1FD1FAF4" w14:textId="77777777" w:rsidR="00A272C5" w:rsidRDefault="00A272C5" w:rsidP="00A616D5">
      <w:pPr>
        <w:pStyle w:val="Heading3Normal"/>
        <w:spacing w:before="0" w:after="120"/>
        <w:rPr>
          <w:rFonts w:asciiTheme="minorHAnsi" w:hAnsiTheme="minorHAnsi"/>
          <w:color w:val="000000" w:themeColor="text1"/>
        </w:rPr>
      </w:pPr>
      <w:r w:rsidRPr="00292D9C">
        <w:rPr>
          <w:rFonts w:asciiTheme="minorHAnsi" w:hAnsiTheme="minorHAnsi"/>
          <w:color w:val="000000" w:themeColor="text1"/>
        </w:rPr>
        <w:t xml:space="preserve">Figure </w:t>
      </w:r>
      <w:r w:rsidR="00292D9C">
        <w:rPr>
          <w:rFonts w:asciiTheme="minorHAnsi" w:hAnsiTheme="minorHAnsi"/>
          <w:color w:val="000000" w:themeColor="text1"/>
        </w:rPr>
        <w:t>8</w:t>
      </w:r>
      <w:r w:rsidR="00951DBA" w:rsidRPr="00292D9C">
        <w:rPr>
          <w:rFonts w:asciiTheme="minorHAnsi" w:hAnsiTheme="minorHAnsi"/>
          <w:color w:val="000000" w:themeColor="text1"/>
        </w:rPr>
        <w:t>.</w:t>
      </w:r>
      <w:r w:rsidR="00DD2B33" w:rsidRPr="00292D9C">
        <w:rPr>
          <w:rFonts w:asciiTheme="minorHAnsi" w:hAnsiTheme="minorHAnsi"/>
          <w:color w:val="000000" w:themeColor="text1"/>
        </w:rPr>
        <w:t xml:space="preserve"> </w:t>
      </w:r>
      <w:r w:rsidRPr="00292D9C">
        <w:rPr>
          <w:rFonts w:asciiTheme="minorHAnsi" w:hAnsiTheme="minorHAnsi"/>
          <w:color w:val="000000" w:themeColor="text1"/>
        </w:rPr>
        <w:t>Initiatives broken down by equity, excellence or universal focus</w:t>
      </w:r>
    </w:p>
    <w:p w14:paraId="55951FEE" w14:textId="77777777" w:rsidR="00B54914" w:rsidRPr="00292D9C" w:rsidRDefault="00B54914" w:rsidP="00A616D5">
      <w:pPr>
        <w:pStyle w:val="Heading3Normal"/>
        <w:spacing w:before="0" w:after="120"/>
        <w:rPr>
          <w:rFonts w:asciiTheme="minorHAnsi" w:hAnsiTheme="minorHAnsi"/>
          <w:color w:val="000000" w:themeColor="text1"/>
        </w:rPr>
      </w:pPr>
      <w:r>
        <w:rPr>
          <w:noProof/>
          <w:lang w:eastAsia="en-AU"/>
        </w:rPr>
        <w:drawing>
          <wp:inline distT="0" distB="0" distL="0" distR="0" wp14:anchorId="55CB4C2B" wp14:editId="07864A35">
            <wp:extent cx="4572000" cy="2743200"/>
            <wp:effectExtent l="0" t="0" r="0" b="0"/>
            <wp:docPr id="1" name="Chart 1" descr="Figure 8">
              <a:extLst xmlns:a="http://schemas.openxmlformats.org/drawingml/2006/main">
                <a:ext uri="{FF2B5EF4-FFF2-40B4-BE49-F238E27FC236}">
                  <a16:creationId xmlns:a16="http://schemas.microsoft.com/office/drawing/2014/main" id="{F8A54DDC-AE42-4048-9ABD-DA3065AE94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F6DDA1" w14:textId="77777777" w:rsidR="00A272C5" w:rsidRPr="00292D9C" w:rsidRDefault="00A272C5" w:rsidP="00A616D5">
      <w:pPr>
        <w:jc w:val="both"/>
        <w:rPr>
          <w:lang w:val="en-US"/>
        </w:rPr>
      </w:pPr>
    </w:p>
    <w:p w14:paraId="1DA1401C" w14:textId="77777777" w:rsidR="00D6794C" w:rsidRDefault="00D6794C" w:rsidP="00A616D5">
      <w:pPr>
        <w:rPr>
          <w:b/>
          <w:bCs/>
          <w:lang w:val="en-US"/>
        </w:rPr>
      </w:pPr>
      <w:r w:rsidRPr="00292D9C">
        <w:rPr>
          <w:b/>
          <w:bCs/>
          <w:lang w:val="en-US"/>
        </w:rPr>
        <w:t xml:space="preserve">Figure </w:t>
      </w:r>
      <w:r w:rsidR="00292D9C">
        <w:rPr>
          <w:b/>
          <w:bCs/>
          <w:lang w:val="en-US"/>
        </w:rPr>
        <w:t>9</w:t>
      </w:r>
      <w:r w:rsidR="00951DBA" w:rsidRPr="00292D9C">
        <w:rPr>
          <w:b/>
          <w:bCs/>
          <w:lang w:val="en-US"/>
        </w:rPr>
        <w:t>.</w:t>
      </w:r>
      <w:r w:rsidRPr="00292D9C">
        <w:rPr>
          <w:b/>
          <w:bCs/>
          <w:lang w:val="en-US"/>
        </w:rPr>
        <w:t xml:space="preserve"> Initiatives broken down by equity area</w:t>
      </w:r>
    </w:p>
    <w:p w14:paraId="4E2524BF" w14:textId="77777777" w:rsidR="00E81640" w:rsidRPr="00292D9C" w:rsidRDefault="00E81640" w:rsidP="00A616D5">
      <w:pPr>
        <w:rPr>
          <w:b/>
          <w:bCs/>
          <w:lang w:val="en-US"/>
        </w:rPr>
      </w:pPr>
      <w:r w:rsidRPr="00E81640">
        <w:rPr>
          <w:noProof/>
          <w:sz w:val="18"/>
          <w:szCs w:val="18"/>
          <w:lang w:eastAsia="en-AU"/>
        </w:rPr>
        <w:drawing>
          <wp:inline distT="0" distB="0" distL="0" distR="0" wp14:anchorId="7520157F" wp14:editId="4682750D">
            <wp:extent cx="4572000" cy="2743200"/>
            <wp:effectExtent l="0" t="0" r="0" b="0"/>
            <wp:docPr id="4" name="Chart 4" descr="Figure 9">
              <a:extLst xmlns:a="http://schemas.openxmlformats.org/drawingml/2006/main">
                <a:ext uri="{FF2B5EF4-FFF2-40B4-BE49-F238E27FC236}">
                  <a16:creationId xmlns:a16="http://schemas.microsoft.com/office/drawing/2014/main" id="{975D6186-71D6-3341-9346-1311476118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FFA488" w14:textId="77777777" w:rsidR="00D6794C" w:rsidRPr="00292D9C" w:rsidRDefault="00D6794C" w:rsidP="00A616D5">
      <w:pPr>
        <w:rPr>
          <w:lang w:val="en-US"/>
        </w:rPr>
      </w:pPr>
    </w:p>
    <w:p w14:paraId="4757B386" w14:textId="77777777" w:rsidR="00E81640" w:rsidRDefault="00E81640">
      <w:pPr>
        <w:spacing w:after="240" w:line="240" w:lineRule="auto"/>
        <w:rPr>
          <w:b/>
          <w:color w:val="8C8686" w:themeColor="accent4"/>
          <w:lang w:val="en-US"/>
        </w:rPr>
      </w:pPr>
      <w:r>
        <w:rPr>
          <w:lang w:val="en-US"/>
        </w:rPr>
        <w:br w:type="page"/>
      </w:r>
    </w:p>
    <w:p w14:paraId="0A8EE56A" w14:textId="77777777" w:rsidR="00A272C5" w:rsidRPr="00292D9C" w:rsidRDefault="00A272C5" w:rsidP="00A616D5">
      <w:pPr>
        <w:pStyle w:val="Heading3"/>
        <w:numPr>
          <w:ilvl w:val="0"/>
          <w:numId w:val="0"/>
        </w:numPr>
        <w:spacing w:before="0" w:after="120"/>
        <w:rPr>
          <w:rFonts w:asciiTheme="minorHAnsi" w:hAnsiTheme="minorHAnsi"/>
          <w:lang w:val="en-US"/>
        </w:rPr>
      </w:pPr>
      <w:r w:rsidRPr="00292D9C">
        <w:rPr>
          <w:rFonts w:asciiTheme="minorHAnsi" w:hAnsiTheme="minorHAnsi"/>
          <w:lang w:val="en-US"/>
        </w:rPr>
        <w:t>Students from low-socio-economic backgrounds are well-targeted by NISA initiatives</w:t>
      </w:r>
      <w:r w:rsidR="00F40302" w:rsidRPr="00292D9C">
        <w:rPr>
          <w:rFonts w:asciiTheme="minorHAnsi" w:hAnsiTheme="minorHAnsi"/>
          <w:lang w:val="en-US"/>
        </w:rPr>
        <w:t>, with less funding directed toward</w:t>
      </w:r>
      <w:r w:rsidRPr="00292D9C">
        <w:rPr>
          <w:rFonts w:asciiTheme="minorHAnsi" w:hAnsiTheme="minorHAnsi"/>
          <w:lang w:val="en-US"/>
        </w:rPr>
        <w:t xml:space="preserve"> </w:t>
      </w:r>
      <w:r w:rsidR="00F40302" w:rsidRPr="00292D9C">
        <w:rPr>
          <w:rFonts w:asciiTheme="minorHAnsi" w:hAnsiTheme="minorHAnsi"/>
          <w:lang w:val="en-US"/>
        </w:rPr>
        <w:t>female students</w:t>
      </w:r>
      <w:r w:rsidRPr="00292D9C">
        <w:rPr>
          <w:rFonts w:asciiTheme="minorHAnsi" w:hAnsiTheme="minorHAnsi"/>
          <w:lang w:val="en-US"/>
        </w:rPr>
        <w:t xml:space="preserve">  </w:t>
      </w:r>
    </w:p>
    <w:p w14:paraId="2703D3CC" w14:textId="77777777" w:rsidR="00A519E4" w:rsidRPr="00292D9C" w:rsidRDefault="00A272C5" w:rsidP="00A616D5">
      <w:pPr>
        <w:rPr>
          <w:lang w:val="en-US"/>
        </w:rPr>
      </w:pPr>
      <w:r w:rsidRPr="00292D9C">
        <w:rPr>
          <w:lang w:val="en-US"/>
        </w:rPr>
        <w:t>An analysis of NISA funding by equity</w:t>
      </w:r>
      <w:r w:rsidR="00F40302" w:rsidRPr="00292D9C">
        <w:rPr>
          <w:lang w:val="en-US"/>
        </w:rPr>
        <w:t>-focused initiatives</w:t>
      </w:r>
      <w:r w:rsidRPr="00292D9C">
        <w:rPr>
          <w:lang w:val="en-US"/>
        </w:rPr>
        <w:t xml:space="preserve"> reveals that students from low-SES backgrounds are well-served</w:t>
      </w:r>
      <w:r w:rsidR="00F40302" w:rsidRPr="00292D9C">
        <w:rPr>
          <w:lang w:val="en-US"/>
        </w:rPr>
        <w:t>. Among initiatives that are equity-based,</w:t>
      </w:r>
      <w:r w:rsidRPr="00292D9C">
        <w:rPr>
          <w:lang w:val="en-US"/>
        </w:rPr>
        <w:t xml:space="preserve"> </w:t>
      </w:r>
      <w:r w:rsidR="00F40302" w:rsidRPr="00292D9C">
        <w:rPr>
          <w:lang w:val="en-US"/>
        </w:rPr>
        <w:t>56</w:t>
      </w:r>
      <w:r w:rsidRPr="00292D9C">
        <w:rPr>
          <w:lang w:val="en-US"/>
        </w:rPr>
        <w:t xml:space="preserve">% of funding going towards students from low-socio-economic backgrounds. </w:t>
      </w:r>
      <w:r w:rsidR="00F40302" w:rsidRPr="00292D9C">
        <w:rPr>
          <w:lang w:val="en-US"/>
        </w:rPr>
        <w:t>T</w:t>
      </w:r>
      <w:r w:rsidRPr="00292D9C">
        <w:rPr>
          <w:lang w:val="en-US"/>
        </w:rPr>
        <w:t xml:space="preserve">hese initiatives are also likely to target rural students and </w:t>
      </w:r>
      <w:r w:rsidR="00942B20">
        <w:rPr>
          <w:lang w:val="en-US"/>
        </w:rPr>
        <w:t>I</w:t>
      </w:r>
      <w:r w:rsidRPr="00292D9C">
        <w:rPr>
          <w:lang w:val="en-US"/>
        </w:rPr>
        <w:t>ndigenous students</w:t>
      </w:r>
      <w:r w:rsidRPr="00292D9C">
        <w:rPr>
          <w:rStyle w:val="FootnoteReference"/>
          <w:lang w:val="en-US"/>
        </w:rPr>
        <w:footnoteReference w:id="17"/>
      </w:r>
      <w:r w:rsidRPr="00292D9C">
        <w:rPr>
          <w:lang w:val="en-US"/>
        </w:rPr>
        <w:t xml:space="preserve"> because of the overlap </w:t>
      </w:r>
      <w:r w:rsidR="00F40302" w:rsidRPr="00292D9C">
        <w:rPr>
          <w:lang w:val="en-US"/>
        </w:rPr>
        <w:t>between</w:t>
      </w:r>
      <w:r w:rsidRPr="00292D9C">
        <w:rPr>
          <w:lang w:val="en-US"/>
        </w:rPr>
        <w:t xml:space="preserve"> these groups and low </w:t>
      </w:r>
      <w:r w:rsidR="00F40302" w:rsidRPr="00292D9C">
        <w:rPr>
          <w:lang w:val="en-US"/>
        </w:rPr>
        <w:t>socio-economic status</w:t>
      </w:r>
      <w:r w:rsidRPr="00292D9C">
        <w:rPr>
          <w:lang w:val="en-US"/>
        </w:rPr>
        <w:t xml:space="preserve">. </w:t>
      </w:r>
      <w:r w:rsidR="00F40302" w:rsidRPr="00292D9C">
        <w:rPr>
          <w:lang w:val="en-US"/>
        </w:rPr>
        <w:t xml:space="preserve">Only 11% of equity funding is </w:t>
      </w:r>
      <w:r w:rsidR="006C52B3" w:rsidRPr="00292D9C">
        <w:rPr>
          <w:rFonts w:eastAsia="Times New Roman" w:cs="Times New Roman"/>
          <w:noProof/>
          <w:color w:val="auto"/>
          <w:szCs w:val="22"/>
          <w:lang w:eastAsia="en-AU"/>
        </w:rPr>
        <mc:AlternateContent>
          <mc:Choice Requires="wps">
            <w:drawing>
              <wp:anchor distT="0" distB="0" distL="114300" distR="114300" simplePos="0" relativeHeight="251837440" behindDoc="0" locked="0" layoutInCell="1" allowOverlap="1" wp14:anchorId="035FB13E" wp14:editId="091F4276">
                <wp:simplePos x="0" y="0"/>
                <wp:positionH relativeFrom="column">
                  <wp:posOffset>4323080</wp:posOffset>
                </wp:positionH>
                <wp:positionV relativeFrom="paragraph">
                  <wp:posOffset>59790</wp:posOffset>
                </wp:positionV>
                <wp:extent cx="1819275" cy="1093470"/>
                <wp:effectExtent l="0" t="0" r="0" b="138430"/>
                <wp:wrapSquare wrapText="bothSides"/>
                <wp:docPr id="78" name="Rounded Rectangular Callout 78"/>
                <wp:cNvGraphicFramePr/>
                <a:graphic xmlns:a="http://schemas.openxmlformats.org/drawingml/2006/main">
                  <a:graphicData uri="http://schemas.microsoft.com/office/word/2010/wordprocessingShape">
                    <wps:wsp>
                      <wps:cNvSpPr/>
                      <wps:spPr>
                        <a:xfrm>
                          <a:off x="0" y="0"/>
                          <a:ext cx="1819275" cy="1093470"/>
                        </a:xfrm>
                        <a:prstGeom prst="wedgeRoundRectCallout">
                          <a:avLst>
                            <a:gd name="adj1" fmla="val -7576"/>
                            <a:gd name="adj2" fmla="val 62733"/>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6037B" w14:textId="77777777" w:rsidR="007E2D07" w:rsidRPr="008260AE" w:rsidRDefault="007E2D07" w:rsidP="00A272C5">
                            <w:pPr>
                              <w:spacing w:line="240" w:lineRule="auto"/>
                              <w:ind w:hanging="426"/>
                              <w:jc w:val="center"/>
                              <w:rPr>
                                <w:szCs w:val="22"/>
                              </w:rPr>
                            </w:pPr>
                            <w:r w:rsidRPr="008260AE">
                              <w:rPr>
                                <w:szCs w:val="22"/>
                              </w:rPr>
                              <w:t xml:space="preserve">          “I believe we need programs that target girls. The girls at our school love not having to compete to have a go on equipment and not feel self-conscious”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FB1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8" o:spid="_x0000_s1026" type="#_x0000_t62" style="position:absolute;margin-left:340.4pt;margin-top:4.7pt;width:143.25pt;height:86.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" adj="9164,24350" fillcolor="#f4c6cd [660]" stroked="f" strokeweight="2pt">
                <v:textbox inset="0,0,0,0">
                  <w:txbxContent>
                    <w:p w14:paraId="01C6037B" w14:textId="77777777" w:rsidR="007E2D07" w:rsidRPr="008260AE" w:rsidRDefault="007E2D07" w:rsidP="00A272C5">
                      <w:pPr>
                        <w:spacing w:line="240" w:lineRule="auto"/>
                        <w:ind w:hanging="426"/>
                        <w:jc w:val="center"/>
                        <w:rPr>
                          <w:szCs w:val="22"/>
                        </w:rPr>
                      </w:pPr>
                      <w:r w:rsidRPr="008260AE">
                        <w:rPr>
                          <w:szCs w:val="22"/>
                        </w:rPr>
                        <w:t xml:space="preserve">          “I believe we need programs that target girls. The girls at our school love not having to compete to have a go on equipment and not feel self-conscious” – Teacher</w:t>
                      </w:r>
                    </w:p>
                  </w:txbxContent>
                </v:textbox>
                <w10:wrap type="square"/>
              </v:shape>
            </w:pict>
          </mc:Fallback>
        </mc:AlternateContent>
      </w:r>
      <w:r w:rsidR="00F40302" w:rsidRPr="00292D9C">
        <w:rPr>
          <w:lang w:val="en-US"/>
        </w:rPr>
        <w:t xml:space="preserve">targeted specifically towards female students (noting that girls could also be a sub-set of other equity groups). </w:t>
      </w:r>
      <w:r w:rsidRPr="00292D9C">
        <w:rPr>
          <w:lang w:val="en-US"/>
        </w:rPr>
        <w:t>Only one</w:t>
      </w:r>
      <w:r w:rsidR="00F40302" w:rsidRPr="00292D9C">
        <w:rPr>
          <w:lang w:val="en-US"/>
        </w:rPr>
        <w:t xml:space="preserve"> NISA</w:t>
      </w:r>
      <w:r w:rsidRPr="00292D9C">
        <w:rPr>
          <w:lang w:val="en-US"/>
        </w:rPr>
        <w:t xml:space="preserve"> </w:t>
      </w:r>
      <w:r w:rsidR="00F40302" w:rsidRPr="00292D9C">
        <w:rPr>
          <w:lang w:val="en-US"/>
        </w:rPr>
        <w:t>initiative</w:t>
      </w:r>
      <w:r w:rsidRPr="00292D9C">
        <w:rPr>
          <w:lang w:val="en-US"/>
        </w:rPr>
        <w:t xml:space="preserve">, Curious Minds, specifically targets girls by providing summer school and mentoring to </w:t>
      </w:r>
      <w:r w:rsidR="00F40302" w:rsidRPr="00292D9C">
        <w:rPr>
          <w:lang w:val="en-US"/>
        </w:rPr>
        <w:t>female students</w:t>
      </w:r>
      <w:r w:rsidRPr="00292D9C">
        <w:rPr>
          <w:lang w:val="en-US"/>
        </w:rPr>
        <w:t xml:space="preserve"> in year 9 and 10 to increase their interest and participation in STEM.  </w:t>
      </w:r>
      <w:r w:rsidR="00A10FE8" w:rsidRPr="00292D9C">
        <w:rPr>
          <w:lang w:val="en-US"/>
        </w:rPr>
        <w:t xml:space="preserve"> </w:t>
      </w:r>
    </w:p>
    <w:p w14:paraId="58E10D1A" w14:textId="77777777" w:rsidR="00A272C5" w:rsidRPr="00292D9C" w:rsidRDefault="00095C0E" w:rsidP="00A616D5">
      <w:pPr>
        <w:pStyle w:val="Heading3"/>
        <w:numPr>
          <w:ilvl w:val="0"/>
          <w:numId w:val="0"/>
        </w:numPr>
        <w:spacing w:before="0" w:after="120"/>
        <w:rPr>
          <w:rFonts w:asciiTheme="minorHAnsi" w:hAnsiTheme="minorHAnsi"/>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835392" behindDoc="0" locked="0" layoutInCell="1" allowOverlap="1" wp14:anchorId="0F455F6B" wp14:editId="736A4856">
                <wp:simplePos x="0" y="0"/>
                <wp:positionH relativeFrom="column">
                  <wp:posOffset>4321810</wp:posOffset>
                </wp:positionH>
                <wp:positionV relativeFrom="paragraph">
                  <wp:posOffset>321377</wp:posOffset>
                </wp:positionV>
                <wp:extent cx="1819910" cy="930910"/>
                <wp:effectExtent l="0" t="0" r="0" b="110490"/>
                <wp:wrapSquare wrapText="bothSides"/>
                <wp:docPr id="81" name="Rounded Rectangular Callout 81"/>
                <wp:cNvGraphicFramePr/>
                <a:graphic xmlns:a="http://schemas.openxmlformats.org/drawingml/2006/main">
                  <a:graphicData uri="http://schemas.microsoft.com/office/word/2010/wordprocessingShape">
                    <wps:wsp>
                      <wps:cNvSpPr/>
                      <wps:spPr>
                        <a:xfrm>
                          <a:off x="0" y="0"/>
                          <a:ext cx="1819910" cy="930910"/>
                        </a:xfrm>
                        <a:prstGeom prst="wedgeRoundRectCallout">
                          <a:avLst>
                            <a:gd name="adj1" fmla="val -10093"/>
                            <a:gd name="adj2" fmla="val 61009"/>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85DCD" w14:textId="77777777" w:rsidR="007E2D07" w:rsidRDefault="007E2D07" w:rsidP="00A272C5">
                            <w:pPr>
                              <w:spacing w:line="240" w:lineRule="auto"/>
                              <w:ind w:hanging="426"/>
                              <w:jc w:val="center"/>
                            </w:pPr>
                            <w:r>
                              <w:t xml:space="preserve">         “I teach middle years digital technology in a very remote community school in NT. During wet season we are isolated from the world by water.”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5F6B" id="Rounded Rectangular Callout 81" o:spid="_x0000_s1027" type="#_x0000_t62" style="position:absolute;margin-left:340.3pt;margin-top:25.3pt;width:143.3pt;height:73.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" adj="8620,23978" fillcolor="#f4c6cd [660]" stroked="f" strokeweight="2pt">
                <v:textbox inset="0,0,0,0">
                  <w:txbxContent>
                    <w:p w14:paraId="64885DCD" w14:textId="77777777" w:rsidR="007E2D07" w:rsidRDefault="007E2D07" w:rsidP="00A272C5">
                      <w:pPr>
                        <w:spacing w:line="240" w:lineRule="auto"/>
                        <w:ind w:hanging="426"/>
                        <w:jc w:val="center"/>
                      </w:pPr>
                      <w:r>
                        <w:t xml:space="preserve">         “I teach middle years digital technology in a very remote community school in NT. During wet season we are isolated from the world by water.” - Teacher</w:t>
                      </w:r>
                    </w:p>
                  </w:txbxContent>
                </v:textbox>
                <w10:wrap type="square"/>
              </v:shape>
            </w:pict>
          </mc:Fallback>
        </mc:AlternateContent>
      </w:r>
      <w:r w:rsidR="00A272C5" w:rsidRPr="00292D9C">
        <w:rPr>
          <w:rFonts w:asciiTheme="minorHAnsi" w:hAnsiTheme="minorHAnsi"/>
          <w:lang w:val="en-US"/>
        </w:rPr>
        <w:t xml:space="preserve">Providers of initiatives with an equity focus face additional challenges to implementation, however, they are adopting and developing approaches to address these challenges </w:t>
      </w:r>
    </w:p>
    <w:p w14:paraId="4CC09009" w14:textId="77777777" w:rsidR="00A272C5" w:rsidRPr="00292D9C" w:rsidRDefault="00A272C5" w:rsidP="00A616D5">
      <w:pPr>
        <w:rPr>
          <w:lang w:val="en-US"/>
        </w:rPr>
      </w:pPr>
      <w:r w:rsidRPr="00292D9C">
        <w:rPr>
          <w:lang w:val="en-US"/>
        </w:rPr>
        <w:t xml:space="preserve">Initiatives that target equity groups face additional challenges, although they are developing approaches to address these challenges. Providers of equity-focused programs identified the following challenges:   </w:t>
      </w:r>
    </w:p>
    <w:p w14:paraId="12629133" w14:textId="77777777" w:rsidR="00A272C5" w:rsidRPr="00292D9C" w:rsidRDefault="0002531B" w:rsidP="00164DDE">
      <w:pPr>
        <w:pStyle w:val="ListParagraph"/>
        <w:numPr>
          <w:ilvl w:val="0"/>
          <w:numId w:val="24"/>
        </w:num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881472" behindDoc="0" locked="0" layoutInCell="1" allowOverlap="1" wp14:anchorId="4F65FB7C" wp14:editId="166DA1C9">
                <wp:simplePos x="0" y="0"/>
                <wp:positionH relativeFrom="column">
                  <wp:posOffset>4355465</wp:posOffset>
                </wp:positionH>
                <wp:positionV relativeFrom="paragraph">
                  <wp:posOffset>30675</wp:posOffset>
                </wp:positionV>
                <wp:extent cx="1771650" cy="755650"/>
                <wp:effectExtent l="0" t="0" r="6350" b="133350"/>
                <wp:wrapSquare wrapText="bothSides"/>
                <wp:docPr id="140" name="Rounded Rectangular Callout 140"/>
                <wp:cNvGraphicFramePr/>
                <a:graphic xmlns:a="http://schemas.openxmlformats.org/drawingml/2006/main">
                  <a:graphicData uri="http://schemas.microsoft.com/office/word/2010/wordprocessingShape">
                    <wps:wsp>
                      <wps:cNvSpPr/>
                      <wps:spPr>
                        <a:xfrm>
                          <a:off x="0" y="0"/>
                          <a:ext cx="1771650" cy="755650"/>
                        </a:xfrm>
                        <a:prstGeom prst="wedgeRoundRectCallout">
                          <a:avLst>
                            <a:gd name="adj1" fmla="val -9372"/>
                            <a:gd name="adj2" fmla="val 66219"/>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BAD1B" w14:textId="77777777" w:rsidR="007E2D07" w:rsidRDefault="007E2D07" w:rsidP="00A272C5">
                            <w:pPr>
                              <w:spacing w:line="240" w:lineRule="auto"/>
                              <w:ind w:hanging="426"/>
                              <w:jc w:val="center"/>
                            </w:pPr>
                            <w:r>
                              <w:t xml:space="preserve">        “Access to professional learning is a critical issue. In my case I have to travel over 300km to the city.”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5FB7C" id="Rounded Rectangular Callout 140" o:spid="_x0000_s1028" type="#_x0000_t62" style="position:absolute;left:0;text-align:left;margin-left:342.95pt;margin-top:2.4pt;width:139.5pt;height:5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" adj="8776,25103" fillcolor="#f4c6cd [660]" stroked="f" strokeweight="2pt">
                <v:textbox inset="0,0,0,0">
                  <w:txbxContent>
                    <w:p w14:paraId="748BAD1B" w14:textId="77777777" w:rsidR="007E2D07" w:rsidRDefault="007E2D07" w:rsidP="00A272C5">
                      <w:pPr>
                        <w:spacing w:line="240" w:lineRule="auto"/>
                        <w:ind w:hanging="426"/>
                        <w:jc w:val="center"/>
                      </w:pPr>
                      <w:r>
                        <w:t xml:space="preserve">        “Access to professional learning is a critical issue. In my case I have to travel over 300km to the city.” – Teacher</w:t>
                      </w:r>
                    </w:p>
                  </w:txbxContent>
                </v:textbox>
                <w10:wrap type="square"/>
              </v:shape>
            </w:pict>
          </mc:Fallback>
        </mc:AlternateContent>
      </w:r>
      <w:r w:rsidR="00A10FE8" w:rsidRPr="00292D9C">
        <w:rPr>
          <w:rFonts w:eastAsia="Times New Roman" w:cs="Times New Roman"/>
          <w:noProof/>
          <w:color w:val="auto"/>
          <w:szCs w:val="22"/>
          <w:lang w:eastAsia="en-AU"/>
        </w:rPr>
        <mc:AlternateContent>
          <mc:Choice Requires="wps">
            <w:drawing>
              <wp:anchor distT="0" distB="0" distL="114300" distR="114300" simplePos="0" relativeHeight="251836416" behindDoc="0" locked="0" layoutInCell="1" allowOverlap="1" wp14:anchorId="06E4586A" wp14:editId="01209D6C">
                <wp:simplePos x="0" y="0"/>
                <wp:positionH relativeFrom="column">
                  <wp:posOffset>4355465</wp:posOffset>
                </wp:positionH>
                <wp:positionV relativeFrom="paragraph">
                  <wp:posOffset>66675</wp:posOffset>
                </wp:positionV>
                <wp:extent cx="1771650" cy="755650"/>
                <wp:effectExtent l="0" t="0" r="6350" b="133350"/>
                <wp:wrapSquare wrapText="bothSides"/>
                <wp:docPr id="68" name="Rounded Rectangular Callout 68"/>
                <wp:cNvGraphicFramePr/>
                <a:graphic xmlns:a="http://schemas.openxmlformats.org/drawingml/2006/main">
                  <a:graphicData uri="http://schemas.microsoft.com/office/word/2010/wordprocessingShape">
                    <wps:wsp>
                      <wps:cNvSpPr/>
                      <wps:spPr>
                        <a:xfrm>
                          <a:off x="0" y="0"/>
                          <a:ext cx="1771650" cy="755650"/>
                        </a:xfrm>
                        <a:prstGeom prst="wedgeRoundRectCallout">
                          <a:avLst>
                            <a:gd name="adj1" fmla="val -9372"/>
                            <a:gd name="adj2" fmla="val 66219"/>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A507B" w14:textId="77777777" w:rsidR="007E2D07" w:rsidRDefault="007E2D07" w:rsidP="00A272C5">
                            <w:pPr>
                              <w:spacing w:line="240" w:lineRule="auto"/>
                              <w:ind w:hanging="426"/>
                              <w:jc w:val="center"/>
                            </w:pPr>
                            <w:r>
                              <w:t xml:space="preserve">        “Access to professional learning is a critical issue. In my case I have to travel over 300km to the city.”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586A" id="Rounded Rectangular Callout 68" o:spid="_x0000_s1029" type="#_x0000_t62" style="position:absolute;left:0;text-align:left;margin-left:342.95pt;margin-top:5.25pt;width:139.5pt;height:5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" adj="8776,25103" fillcolor="#f4c6cd [660]" stroked="f" strokeweight="2pt">
                <v:textbox inset="0,0,0,0">
                  <w:txbxContent>
                    <w:p w14:paraId="291A507B" w14:textId="77777777" w:rsidR="007E2D07" w:rsidRDefault="007E2D07" w:rsidP="00A272C5">
                      <w:pPr>
                        <w:spacing w:line="240" w:lineRule="auto"/>
                        <w:ind w:hanging="426"/>
                        <w:jc w:val="center"/>
                      </w:pPr>
                      <w:r>
                        <w:t xml:space="preserve">        “Access to professional learning is a critical issue. In my case I have to travel over 300km to the city.” – Teacher</w:t>
                      </w:r>
                    </w:p>
                  </w:txbxContent>
                </v:textbox>
                <w10:wrap type="square"/>
              </v:shape>
            </w:pict>
          </mc:Fallback>
        </mc:AlternateContent>
      </w:r>
      <w:r w:rsidR="00A272C5" w:rsidRPr="00292D9C">
        <w:rPr>
          <w:lang w:val="en-US"/>
        </w:rPr>
        <w:t xml:space="preserve">Lack of IT infrastructure such as poor Internet connection and out-of-date hardware and software, </w:t>
      </w:r>
    </w:p>
    <w:p w14:paraId="6A690287" w14:textId="77777777" w:rsidR="00A272C5" w:rsidRPr="00292D9C" w:rsidRDefault="00A272C5" w:rsidP="00164DDE">
      <w:pPr>
        <w:pStyle w:val="ListParagraph"/>
        <w:numPr>
          <w:ilvl w:val="0"/>
          <w:numId w:val="24"/>
        </w:numPr>
        <w:rPr>
          <w:lang w:val="en-US"/>
        </w:rPr>
      </w:pPr>
      <w:r w:rsidRPr="00292D9C">
        <w:rPr>
          <w:lang w:val="en-US"/>
        </w:rPr>
        <w:t xml:space="preserve">High staff turnover, </w:t>
      </w:r>
    </w:p>
    <w:p w14:paraId="5992ED4D" w14:textId="77777777" w:rsidR="00A272C5" w:rsidRPr="00292D9C" w:rsidRDefault="00A10FE8" w:rsidP="00164DDE">
      <w:pPr>
        <w:pStyle w:val="ListParagraph"/>
        <w:numPr>
          <w:ilvl w:val="0"/>
          <w:numId w:val="24"/>
        </w:num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34016" behindDoc="0" locked="0" layoutInCell="1" allowOverlap="1" wp14:anchorId="5B43F394" wp14:editId="58E44936">
                <wp:simplePos x="0" y="0"/>
                <wp:positionH relativeFrom="column">
                  <wp:posOffset>4356100</wp:posOffset>
                </wp:positionH>
                <wp:positionV relativeFrom="paragraph">
                  <wp:posOffset>238125</wp:posOffset>
                </wp:positionV>
                <wp:extent cx="1847215" cy="939800"/>
                <wp:effectExtent l="0" t="0" r="0" b="127000"/>
                <wp:wrapSquare wrapText="bothSides"/>
                <wp:docPr id="40" name="Rounded Rectangular Callout 40"/>
                <wp:cNvGraphicFramePr/>
                <a:graphic xmlns:a="http://schemas.openxmlformats.org/drawingml/2006/main">
                  <a:graphicData uri="http://schemas.microsoft.com/office/word/2010/wordprocessingShape">
                    <wps:wsp>
                      <wps:cNvSpPr/>
                      <wps:spPr>
                        <a:xfrm>
                          <a:off x="0" y="0"/>
                          <a:ext cx="1847215" cy="939800"/>
                        </a:xfrm>
                        <a:prstGeom prst="wedgeRoundRectCallout">
                          <a:avLst>
                            <a:gd name="adj1" fmla="val -10714"/>
                            <a:gd name="adj2" fmla="val 63209"/>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DEECC7" w14:textId="77777777" w:rsidR="007E2D07" w:rsidRDefault="007E2D07" w:rsidP="0087538D">
                            <w:pPr>
                              <w:spacing w:line="240" w:lineRule="auto"/>
                              <w:jc w:val="center"/>
                            </w:pPr>
                            <w:r>
                              <w:t>“Access to workshops in order to upskill and gain a better understanding is a big barrier. Educator education is a huge one.”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F394" id="Rounded Rectangular Callout 40" o:spid="_x0000_s1030" type="#_x0000_t62" style="position:absolute;left:0;text-align:left;margin-left:343pt;margin-top:18.75pt;width:145.45pt;height:7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" adj="8486,24453" fillcolor="#f4c6cd [660]" stroked="f" strokeweight="2pt">
                <v:textbox inset="0,0,0,0">
                  <w:txbxContent>
                    <w:p w14:paraId="78DEECC7" w14:textId="77777777" w:rsidR="007E2D07" w:rsidRDefault="007E2D07" w:rsidP="0087538D">
                      <w:pPr>
                        <w:spacing w:line="240" w:lineRule="auto"/>
                        <w:jc w:val="center"/>
                      </w:pPr>
                      <w:r>
                        <w:t>“Access to workshops in order to upskill and gain a better understanding is a big barrier. Educator education is a huge one.” – Early Childhood Educator</w:t>
                      </w:r>
                    </w:p>
                  </w:txbxContent>
                </v:textbox>
                <w10:wrap type="square"/>
              </v:shape>
            </w:pict>
          </mc:Fallback>
        </mc:AlternateContent>
      </w:r>
      <w:r w:rsidR="00A272C5" w:rsidRPr="00292D9C">
        <w:rPr>
          <w:lang w:val="en-US"/>
        </w:rPr>
        <w:t xml:space="preserve">Difficulties communicating with rural educators who do not often check their emails, and </w:t>
      </w:r>
    </w:p>
    <w:p w14:paraId="74A69144" w14:textId="77777777" w:rsidR="00A272C5" w:rsidRPr="00292D9C" w:rsidRDefault="00A272C5" w:rsidP="00164DDE">
      <w:pPr>
        <w:pStyle w:val="ListParagraph"/>
        <w:numPr>
          <w:ilvl w:val="0"/>
          <w:numId w:val="24"/>
        </w:numPr>
        <w:rPr>
          <w:lang w:val="en-US"/>
        </w:rPr>
      </w:pPr>
      <w:r w:rsidRPr="00292D9C">
        <w:rPr>
          <w:lang w:val="en-US"/>
        </w:rPr>
        <w:t xml:space="preserve">The high cost and time required to travel to attend activities for teachers, students, and school leaders who work in remote settings. </w:t>
      </w:r>
    </w:p>
    <w:p w14:paraId="351FC5EE" w14:textId="77777777" w:rsidR="00A272C5" w:rsidRPr="00292D9C" w:rsidRDefault="00A272C5" w:rsidP="00A616D5">
      <w:pPr>
        <w:rPr>
          <w:lang w:val="en-US"/>
        </w:rPr>
      </w:pPr>
      <w:r w:rsidRPr="00292D9C">
        <w:rPr>
          <w:lang w:val="en-US"/>
        </w:rPr>
        <w:t xml:space="preserve">Despite these additional challenges, providers are seeking to incorporate approaches that work with specific groups. For example, Northern Territory stakeholders said that the model that ‘Digital Technologies in Focus’ uses which involves </w:t>
      </w:r>
      <w:r w:rsidRPr="00292D9C">
        <w:t xml:space="preserve">physically going into schools and spending several days or a week working with teachers and building their capability, works well in disadvantaged schools. Future funding decisions should </w:t>
      </w:r>
      <w:proofErr w:type="gramStart"/>
      <w:r w:rsidRPr="00292D9C">
        <w:t>take into account</w:t>
      </w:r>
      <w:proofErr w:type="gramEnd"/>
      <w:r w:rsidRPr="00292D9C">
        <w:t xml:space="preserve"> the additional difficulties associated with targeting equity groups and can </w:t>
      </w:r>
      <w:r w:rsidR="006C52B3" w:rsidRPr="00292D9C">
        <w:t xml:space="preserve">also </w:t>
      </w:r>
      <w:r w:rsidRPr="00292D9C">
        <w:t xml:space="preserve">learn from the approaches being developed by current NISA initiatives.  </w:t>
      </w:r>
    </w:p>
    <w:p w14:paraId="1EF9086A" w14:textId="77777777" w:rsidR="000D04FF" w:rsidRPr="00292D9C" w:rsidRDefault="000D04FF" w:rsidP="00A616D5">
      <w:pPr>
        <w:pStyle w:val="Heading2"/>
        <w:spacing w:before="0" w:after="120"/>
        <w:rPr>
          <w:rFonts w:asciiTheme="minorHAnsi" w:hAnsiTheme="minorHAnsi"/>
          <w:u w:val="single"/>
        </w:rPr>
      </w:pPr>
      <w:bookmarkStart w:id="63" w:name="_Toc16707153"/>
      <w:bookmarkStart w:id="64" w:name="_Toc21088245"/>
      <w:bookmarkStart w:id="65" w:name="_Toc23504214"/>
      <w:bookmarkStart w:id="66" w:name="_Toc25162048"/>
      <w:r w:rsidRPr="00292D9C">
        <w:rPr>
          <w:rFonts w:asciiTheme="minorHAnsi" w:hAnsiTheme="minorHAnsi"/>
          <w:u w:val="single"/>
        </w:rPr>
        <w:t>Who</w:t>
      </w:r>
      <w:bookmarkEnd w:id="63"/>
      <w:bookmarkEnd w:id="64"/>
      <w:bookmarkEnd w:id="65"/>
      <w:bookmarkEnd w:id="66"/>
    </w:p>
    <w:p w14:paraId="52C492E3" w14:textId="77777777" w:rsidR="00A521DD" w:rsidRPr="00292D9C" w:rsidRDefault="00D11E32" w:rsidP="00A616D5">
      <w:pPr>
        <w:pStyle w:val="Heading2"/>
        <w:spacing w:before="0" w:after="120"/>
        <w:rPr>
          <w:rFonts w:asciiTheme="minorHAnsi" w:hAnsiTheme="minorHAnsi"/>
        </w:rPr>
      </w:pPr>
      <w:bookmarkStart w:id="67" w:name="_Toc16707154"/>
      <w:bookmarkStart w:id="68" w:name="_Toc21088246"/>
      <w:bookmarkStart w:id="69" w:name="_Toc23504215"/>
      <w:bookmarkStart w:id="70" w:name="_Toc25162049"/>
      <w:r w:rsidRPr="00292D9C">
        <w:rPr>
          <w:rFonts w:asciiTheme="minorHAnsi" w:hAnsiTheme="minorHAnsi"/>
        </w:rPr>
        <w:t xml:space="preserve">5.3. </w:t>
      </w:r>
      <w:r w:rsidR="009901D2" w:rsidRPr="00292D9C">
        <w:rPr>
          <w:rFonts w:asciiTheme="minorHAnsi" w:hAnsiTheme="minorHAnsi"/>
        </w:rPr>
        <w:t xml:space="preserve">Who </w:t>
      </w:r>
      <w:r w:rsidR="00EE65D7" w:rsidRPr="00292D9C">
        <w:rPr>
          <w:rFonts w:asciiTheme="minorHAnsi" w:hAnsiTheme="minorHAnsi"/>
        </w:rPr>
        <w:t>is the</w:t>
      </w:r>
      <w:r w:rsidR="00657974" w:rsidRPr="00292D9C">
        <w:rPr>
          <w:rFonts w:asciiTheme="minorHAnsi" w:hAnsiTheme="minorHAnsi"/>
        </w:rPr>
        <w:t xml:space="preserve"> main</w:t>
      </w:r>
      <w:r w:rsidR="00EE65D7" w:rsidRPr="00292D9C">
        <w:rPr>
          <w:rFonts w:asciiTheme="minorHAnsi" w:hAnsiTheme="minorHAnsi"/>
        </w:rPr>
        <w:t xml:space="preserve"> target audience for the initiative</w:t>
      </w:r>
      <w:r w:rsidR="00657974" w:rsidRPr="00292D9C">
        <w:rPr>
          <w:rFonts w:asciiTheme="minorHAnsi" w:hAnsiTheme="minorHAnsi"/>
        </w:rPr>
        <w:t>s</w:t>
      </w:r>
      <w:r w:rsidR="009901D2" w:rsidRPr="00292D9C">
        <w:rPr>
          <w:rFonts w:asciiTheme="minorHAnsi" w:hAnsiTheme="minorHAnsi"/>
        </w:rPr>
        <w:t>?</w:t>
      </w:r>
      <w:bookmarkEnd w:id="67"/>
      <w:bookmarkEnd w:id="68"/>
      <w:bookmarkEnd w:id="69"/>
      <w:bookmarkEnd w:id="70"/>
      <w:r w:rsidR="009901D2" w:rsidRPr="00292D9C">
        <w:rPr>
          <w:rFonts w:asciiTheme="minorHAnsi" w:hAnsiTheme="minorHAnsi"/>
        </w:rPr>
        <w:t xml:space="preserve"> </w:t>
      </w:r>
    </w:p>
    <w:p w14:paraId="5A43FA23" w14:textId="77777777" w:rsidR="00F8636A" w:rsidRPr="00292D9C" w:rsidRDefault="006C52B3" w:rsidP="00A616D5">
      <w:pPr>
        <w:pStyle w:val="Heading3"/>
        <w:numPr>
          <w:ilvl w:val="0"/>
          <w:numId w:val="0"/>
        </w:numPr>
        <w:spacing w:before="0" w:after="120"/>
        <w:rPr>
          <w:rFonts w:asciiTheme="minorHAnsi" w:hAnsiTheme="minorHAnsi"/>
          <w:lang w:val="en-US"/>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17632" behindDoc="0" locked="0" layoutInCell="1" allowOverlap="1" wp14:anchorId="48D976C1" wp14:editId="59ADB7A8">
                <wp:simplePos x="0" y="0"/>
                <wp:positionH relativeFrom="column">
                  <wp:posOffset>4298708</wp:posOffset>
                </wp:positionH>
                <wp:positionV relativeFrom="paragraph">
                  <wp:posOffset>547475</wp:posOffset>
                </wp:positionV>
                <wp:extent cx="1628775" cy="1145540"/>
                <wp:effectExtent l="0" t="0" r="0" b="124460"/>
                <wp:wrapSquare wrapText="bothSides"/>
                <wp:docPr id="51" name="Rounded Rectangular Callout 51"/>
                <wp:cNvGraphicFramePr/>
                <a:graphic xmlns:a="http://schemas.openxmlformats.org/drawingml/2006/main">
                  <a:graphicData uri="http://schemas.microsoft.com/office/word/2010/wordprocessingShape">
                    <wps:wsp>
                      <wps:cNvSpPr/>
                      <wps:spPr>
                        <a:xfrm>
                          <a:off x="0" y="0"/>
                          <a:ext cx="1628775" cy="1145540"/>
                        </a:xfrm>
                        <a:prstGeom prst="wedgeRoundRectCallout">
                          <a:avLst>
                            <a:gd name="adj1" fmla="val -10714"/>
                            <a:gd name="adj2" fmla="val 61052"/>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8E0D5E" w14:textId="77777777" w:rsidR="007E2D07" w:rsidRDefault="007E2D07" w:rsidP="0087538D">
                            <w:pPr>
                              <w:spacing w:line="240" w:lineRule="auto"/>
                              <w:jc w:val="center"/>
                            </w:pPr>
                            <w:r>
                              <w:t>“To get change, school executive attitudes need to change, teacher awareness needs to be raised and good practitioners need to mentor others.”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976C1" id="Rounded Rectangular Callout 51" o:spid="_x0000_s1031" type="#_x0000_t62" style="position:absolute;margin-left:338.5pt;margin-top:43.1pt;width:128.25pt;height:9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" adj="8486,23987" fillcolor="#f4c6cd [660]" stroked="f" strokeweight="2pt">
                <v:textbox inset="0,0,0,0">
                  <w:txbxContent>
                    <w:p w14:paraId="618E0D5E" w14:textId="77777777" w:rsidR="007E2D07" w:rsidRDefault="007E2D07" w:rsidP="0087538D">
                      <w:pPr>
                        <w:spacing w:line="240" w:lineRule="auto"/>
                        <w:jc w:val="center"/>
                      </w:pPr>
                      <w:r>
                        <w:t>“To get change, school executive attitudes need to change, teacher awareness needs to be raised and good practitioners need to mentor others.” – Principal</w:t>
                      </w:r>
                    </w:p>
                  </w:txbxContent>
                </v:textbox>
                <w10:wrap type="square"/>
              </v:shape>
            </w:pict>
          </mc:Fallback>
        </mc:AlternateContent>
      </w:r>
      <w:r w:rsidR="00606462" w:rsidRPr="00292D9C">
        <w:rPr>
          <w:rFonts w:asciiTheme="minorHAnsi" w:hAnsiTheme="minorHAnsi"/>
          <w:lang w:val="en-US"/>
        </w:rPr>
        <w:t>The main target audience for most initiatives is</w:t>
      </w:r>
      <w:r w:rsidR="00F25AFE" w:rsidRPr="00292D9C">
        <w:rPr>
          <w:rFonts w:asciiTheme="minorHAnsi" w:hAnsiTheme="minorHAnsi"/>
          <w:lang w:val="en-US"/>
        </w:rPr>
        <w:t xml:space="preserve"> teachers</w:t>
      </w:r>
      <w:r w:rsidR="00586C78" w:rsidRPr="00292D9C">
        <w:rPr>
          <w:rFonts w:asciiTheme="minorHAnsi" w:hAnsiTheme="minorHAnsi"/>
          <w:lang w:val="en-US"/>
        </w:rPr>
        <w:t xml:space="preserve">, </w:t>
      </w:r>
      <w:r w:rsidR="00606462" w:rsidRPr="00292D9C">
        <w:rPr>
          <w:rFonts w:asciiTheme="minorHAnsi" w:hAnsiTheme="minorHAnsi"/>
          <w:lang w:val="en-US"/>
        </w:rPr>
        <w:t xml:space="preserve">which </w:t>
      </w:r>
      <w:proofErr w:type="spellStart"/>
      <w:r w:rsidR="00586C78" w:rsidRPr="00292D9C">
        <w:rPr>
          <w:rFonts w:asciiTheme="minorHAnsi" w:hAnsiTheme="minorHAnsi"/>
          <w:lang w:val="en-US"/>
        </w:rPr>
        <w:t>maximi</w:t>
      </w:r>
      <w:r w:rsidRPr="00292D9C">
        <w:rPr>
          <w:rFonts w:asciiTheme="minorHAnsi" w:hAnsiTheme="minorHAnsi"/>
          <w:lang w:val="en-US"/>
        </w:rPr>
        <w:t>s</w:t>
      </w:r>
      <w:r w:rsidR="00586C78" w:rsidRPr="00292D9C">
        <w:rPr>
          <w:rFonts w:asciiTheme="minorHAnsi" w:hAnsiTheme="minorHAnsi"/>
          <w:lang w:val="en-US"/>
        </w:rPr>
        <w:t>es</w:t>
      </w:r>
      <w:proofErr w:type="spellEnd"/>
      <w:r w:rsidR="00586C78" w:rsidRPr="00292D9C">
        <w:rPr>
          <w:rFonts w:asciiTheme="minorHAnsi" w:hAnsiTheme="minorHAnsi"/>
          <w:lang w:val="en-US"/>
        </w:rPr>
        <w:t xml:space="preserve"> impact and </w:t>
      </w:r>
      <w:r w:rsidR="00606462" w:rsidRPr="00292D9C">
        <w:rPr>
          <w:rFonts w:asciiTheme="minorHAnsi" w:hAnsiTheme="minorHAnsi"/>
          <w:lang w:val="en-US"/>
        </w:rPr>
        <w:t xml:space="preserve">targets an area of significant need   </w:t>
      </w:r>
    </w:p>
    <w:p w14:paraId="7CDFEB3A" w14:textId="77777777" w:rsidR="00E81640" w:rsidRDefault="006C52B3" w:rsidP="00E81640">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36064" behindDoc="0" locked="0" layoutInCell="1" allowOverlap="1" wp14:anchorId="786B974C" wp14:editId="529834B2">
                <wp:simplePos x="0" y="0"/>
                <wp:positionH relativeFrom="column">
                  <wp:posOffset>4300883</wp:posOffset>
                </wp:positionH>
                <wp:positionV relativeFrom="paragraph">
                  <wp:posOffset>1322673</wp:posOffset>
                </wp:positionV>
                <wp:extent cx="1717040" cy="1304925"/>
                <wp:effectExtent l="0" t="0" r="0" b="142875"/>
                <wp:wrapSquare wrapText="bothSides"/>
                <wp:docPr id="49" name="Rounded Rectangular Callout 49"/>
                <wp:cNvGraphicFramePr/>
                <a:graphic xmlns:a="http://schemas.openxmlformats.org/drawingml/2006/main">
                  <a:graphicData uri="http://schemas.microsoft.com/office/word/2010/wordprocessingShape">
                    <wps:wsp>
                      <wps:cNvSpPr/>
                      <wps:spPr>
                        <a:xfrm>
                          <a:off x="0" y="0"/>
                          <a:ext cx="1717040" cy="1304925"/>
                        </a:xfrm>
                        <a:prstGeom prst="wedgeRoundRectCallout">
                          <a:avLst>
                            <a:gd name="adj1" fmla="val -12613"/>
                            <a:gd name="adj2" fmla="val 6023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537BE" w14:textId="77777777" w:rsidR="007E2D07" w:rsidRDefault="007E2D07" w:rsidP="0087538D">
                            <w:pPr>
                              <w:spacing w:line="240" w:lineRule="auto"/>
                              <w:jc w:val="center"/>
                            </w:pPr>
                            <w:r>
                              <w:t>“There is no doubt that the greatest challenge facing the effective implementation of STEM education is teacher pedagogical knowledge and how this translates to effective daily practice.” – Stakeholder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974C" id="Rounded Rectangular Callout 49" o:spid="_x0000_s1032" type="#_x0000_t62" style="position:absolute;margin-left:338.65pt;margin-top:104.15pt;width:135.2pt;height:10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" adj="8076,23811" fillcolor="#f4c6cd [660]" stroked="f" strokeweight="2pt">
                <v:textbox inset="0,0,0,0">
                  <w:txbxContent>
                    <w:p w14:paraId="226537BE" w14:textId="77777777" w:rsidR="007E2D07" w:rsidRDefault="007E2D07" w:rsidP="0087538D">
                      <w:pPr>
                        <w:spacing w:line="240" w:lineRule="auto"/>
                        <w:jc w:val="center"/>
                      </w:pPr>
                      <w:r>
                        <w:t>“There is no doubt that the greatest challenge facing the effective implementation of STEM education is teacher pedagogical knowledge and how this translates to effective daily practice.” – Stakeholder</w:t>
                      </w:r>
                    </w:p>
                  </w:txbxContent>
                </v:textbox>
                <w10:wrap type="square"/>
              </v:shape>
            </w:pict>
          </mc:Fallback>
        </mc:AlternateContent>
      </w:r>
      <w:r w:rsidR="00586C78" w:rsidRPr="00292D9C">
        <w:rPr>
          <w:lang w:val="en-US"/>
        </w:rPr>
        <w:t>The main target audience for most NISA funded</w:t>
      </w:r>
      <w:r w:rsidRPr="00292D9C">
        <w:rPr>
          <w:lang w:val="en-US"/>
        </w:rPr>
        <w:t xml:space="preserve"> </w:t>
      </w:r>
      <w:r w:rsidR="00586C78" w:rsidRPr="00292D9C">
        <w:rPr>
          <w:lang w:val="en-US"/>
        </w:rPr>
        <w:t>initiatives is teachers</w:t>
      </w:r>
      <w:r w:rsidR="005C7CC3" w:rsidRPr="00292D9C">
        <w:rPr>
          <w:lang w:val="en-US"/>
        </w:rPr>
        <w:t xml:space="preserve">. </w:t>
      </w:r>
      <w:r w:rsidR="00586C78" w:rsidRPr="00292D9C">
        <w:rPr>
          <w:lang w:val="en-US"/>
        </w:rPr>
        <w:t>This is a legitimate focus for NISA because this is an area of significant need</w:t>
      </w:r>
      <w:r w:rsidRPr="00292D9C">
        <w:rPr>
          <w:lang w:val="en-US"/>
        </w:rPr>
        <w:t xml:space="preserve"> – </w:t>
      </w:r>
      <w:r w:rsidR="00414892" w:rsidRPr="00292D9C">
        <w:rPr>
          <w:lang w:val="en-US"/>
        </w:rPr>
        <w:t>s</w:t>
      </w:r>
      <w:r w:rsidR="00586C78" w:rsidRPr="00292D9C">
        <w:rPr>
          <w:lang w:val="en-US"/>
        </w:rPr>
        <w:t>takeholders consistently said that</w:t>
      </w:r>
      <w:r w:rsidR="00414892" w:rsidRPr="00292D9C">
        <w:rPr>
          <w:lang w:val="en-US"/>
        </w:rPr>
        <w:t xml:space="preserve"> increasing</w:t>
      </w:r>
      <w:r w:rsidR="00586C78" w:rsidRPr="00292D9C">
        <w:rPr>
          <w:lang w:val="en-US"/>
        </w:rPr>
        <w:t xml:space="preserve"> teacher capability </w:t>
      </w:r>
      <w:r w:rsidR="00414892" w:rsidRPr="00292D9C">
        <w:rPr>
          <w:lang w:val="en-US"/>
        </w:rPr>
        <w:t>is an issue in STEM education and that teachers need help to develop more confidence, skills and knowledge to teach STEM effectively. Investing in teachers is also valuable because</w:t>
      </w:r>
      <w:r w:rsidR="00586C78" w:rsidRPr="00292D9C">
        <w:rPr>
          <w:lang w:val="en-US"/>
        </w:rPr>
        <w:t xml:space="preserve"> </w:t>
      </w:r>
      <w:r w:rsidR="00414892" w:rsidRPr="00292D9C">
        <w:rPr>
          <w:lang w:val="en-US"/>
        </w:rPr>
        <w:t xml:space="preserve">research shows that quality teachers are the most important factor contributing to student </w:t>
      </w:r>
      <w:r w:rsidR="002D2E4E" w:rsidRPr="00292D9C">
        <w:rPr>
          <w:lang w:val="en-US"/>
        </w:rPr>
        <w:t>achievement</w:t>
      </w:r>
      <w:r w:rsidR="00350CAD" w:rsidRPr="00292D9C">
        <w:rPr>
          <w:lang w:val="en-US"/>
        </w:rPr>
        <w:t>.</w:t>
      </w:r>
      <w:r w:rsidR="006138C4" w:rsidRPr="00292D9C">
        <w:rPr>
          <w:rStyle w:val="FootnoteReference"/>
          <w:lang w:val="en-US"/>
        </w:rPr>
        <w:footnoteReference w:id="18"/>
      </w:r>
      <w:r w:rsidR="005C7CC3" w:rsidRPr="00292D9C">
        <w:rPr>
          <w:lang w:val="en-US"/>
        </w:rPr>
        <w:t xml:space="preserve"> </w:t>
      </w:r>
      <w:r w:rsidR="00350CAD" w:rsidRPr="00292D9C">
        <w:rPr>
          <w:lang w:val="en-US"/>
        </w:rPr>
        <w:t>I</w:t>
      </w:r>
      <w:r w:rsidR="005C7CC3" w:rsidRPr="00292D9C">
        <w:rPr>
          <w:lang w:val="en-US"/>
        </w:rPr>
        <w:t xml:space="preserve">ncreasing teacher capability in STEM will likely have </w:t>
      </w:r>
      <w:r w:rsidR="006138C4" w:rsidRPr="00292D9C">
        <w:rPr>
          <w:lang w:val="en-US"/>
        </w:rPr>
        <w:t>broader positive impact beyond STEM</w:t>
      </w:r>
      <w:r w:rsidR="005C7CC3" w:rsidRPr="00292D9C">
        <w:rPr>
          <w:lang w:val="en-US"/>
        </w:rPr>
        <w:t xml:space="preserve">, especially for primary school teachers who teach </w:t>
      </w:r>
      <w:r w:rsidR="006138C4" w:rsidRPr="00292D9C">
        <w:rPr>
          <w:lang w:val="en-US"/>
        </w:rPr>
        <w:t xml:space="preserve">a range of </w:t>
      </w:r>
      <w:r w:rsidR="005C7CC3" w:rsidRPr="00292D9C">
        <w:rPr>
          <w:lang w:val="en-US"/>
        </w:rPr>
        <w:t xml:space="preserve">subjects. </w:t>
      </w:r>
      <w:r w:rsidR="00586C78" w:rsidRPr="00292D9C">
        <w:rPr>
          <w:lang w:val="en-US"/>
        </w:rPr>
        <w:t>By</w:t>
      </w:r>
      <w:r w:rsidR="005C7CC3" w:rsidRPr="00292D9C">
        <w:rPr>
          <w:lang w:val="en-US"/>
        </w:rPr>
        <w:t xml:space="preserve"> investing in teacher-focused programs, NISA was able to reach more students than if it invested mostly in student-focused programs. While impactful for individual students and appreciated by stakeholders, student focused programs are only able to reach a small number of students. </w:t>
      </w:r>
    </w:p>
    <w:p w14:paraId="354FFA18" w14:textId="77777777" w:rsidR="00E81640" w:rsidRPr="00E81640" w:rsidRDefault="00E81640" w:rsidP="00E81640">
      <w:pPr>
        <w:rPr>
          <w:lang w:val="en-US"/>
        </w:rPr>
      </w:pPr>
    </w:p>
    <w:p w14:paraId="583A4575" w14:textId="77777777" w:rsidR="00E81640" w:rsidRPr="00E81640" w:rsidRDefault="00E81640" w:rsidP="00E81640">
      <w:pPr>
        <w:rPr>
          <w:lang w:val="en-US"/>
        </w:rPr>
      </w:pPr>
    </w:p>
    <w:p w14:paraId="4E877212" w14:textId="77777777" w:rsidR="00E81640" w:rsidRPr="00E81640" w:rsidRDefault="00E81640" w:rsidP="00E81640">
      <w:pPr>
        <w:rPr>
          <w:lang w:val="en-US"/>
        </w:rPr>
      </w:pPr>
    </w:p>
    <w:p w14:paraId="3D2FEAD7" w14:textId="77777777" w:rsidR="00E81640" w:rsidRPr="00E81640" w:rsidRDefault="00E81640" w:rsidP="00E81640">
      <w:pPr>
        <w:tabs>
          <w:tab w:val="left" w:pos="1185"/>
        </w:tabs>
        <w:rPr>
          <w:lang w:val="en-US"/>
        </w:rPr>
      </w:pPr>
    </w:p>
    <w:p w14:paraId="72510CD3" w14:textId="77777777" w:rsidR="001E7A48" w:rsidRDefault="001E7A48">
      <w:pPr>
        <w:spacing w:after="240" w:line="240" w:lineRule="auto"/>
        <w:rPr>
          <w:b/>
          <w:bCs/>
        </w:rPr>
      </w:pPr>
      <w:r>
        <w:rPr>
          <w:b/>
          <w:bCs/>
        </w:rPr>
        <w:br w:type="page"/>
      </w:r>
    </w:p>
    <w:p w14:paraId="2A65E8E0" w14:textId="77777777" w:rsidR="002D3A22" w:rsidRDefault="00D906AB" w:rsidP="00A616D5">
      <w:pPr>
        <w:rPr>
          <w:b/>
          <w:bCs/>
        </w:rPr>
      </w:pPr>
      <w:r w:rsidRPr="00292D9C">
        <w:rPr>
          <w:b/>
          <w:bCs/>
        </w:rPr>
        <w:t xml:space="preserve">Figure </w:t>
      </w:r>
      <w:r w:rsidR="00292D9C">
        <w:rPr>
          <w:b/>
          <w:bCs/>
        </w:rPr>
        <w:t>10</w:t>
      </w:r>
      <w:r w:rsidR="00B47795" w:rsidRPr="00292D9C">
        <w:rPr>
          <w:b/>
          <w:bCs/>
        </w:rPr>
        <w:t>.</w:t>
      </w:r>
      <w:r w:rsidR="00DD2B33" w:rsidRPr="00292D9C">
        <w:rPr>
          <w:b/>
          <w:bCs/>
        </w:rPr>
        <w:t xml:space="preserve"> </w:t>
      </w:r>
      <w:r w:rsidRPr="00292D9C">
        <w:rPr>
          <w:b/>
          <w:bCs/>
        </w:rPr>
        <w:t>Initiatives broken down by target audience</w:t>
      </w:r>
    </w:p>
    <w:p w14:paraId="22A39458" w14:textId="77777777" w:rsidR="00E81640" w:rsidRDefault="00E81640" w:rsidP="00A616D5">
      <w:pPr>
        <w:rPr>
          <w:b/>
          <w:bCs/>
        </w:rPr>
      </w:pPr>
      <w:r w:rsidRPr="00E81640">
        <w:rPr>
          <w:noProof/>
          <w:sz w:val="18"/>
          <w:szCs w:val="18"/>
          <w:lang w:eastAsia="en-AU"/>
        </w:rPr>
        <w:drawing>
          <wp:inline distT="0" distB="0" distL="0" distR="0" wp14:anchorId="342A74B2" wp14:editId="1AF80F36">
            <wp:extent cx="4572000" cy="2743200"/>
            <wp:effectExtent l="0" t="0" r="0" b="0"/>
            <wp:docPr id="11" name="Chart 11" descr="Figure 10">
              <a:extLst xmlns:a="http://schemas.openxmlformats.org/drawingml/2006/main">
                <a:ext uri="{FF2B5EF4-FFF2-40B4-BE49-F238E27FC236}">
                  <a16:creationId xmlns:a16="http://schemas.microsoft.com/office/drawing/2014/main" id="{F55B8467-90CA-594B-A2CF-59FC688E5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7ECBEE" w14:textId="77777777" w:rsidR="00E81640" w:rsidRPr="00292D9C" w:rsidRDefault="00E81640" w:rsidP="00A616D5">
      <w:pPr>
        <w:rPr>
          <w:lang w:val="en-US"/>
        </w:rPr>
      </w:pPr>
    </w:p>
    <w:p w14:paraId="3362731B" w14:textId="77777777" w:rsidR="009A4215" w:rsidRDefault="00673D9A" w:rsidP="00A616D5">
      <w:pPr>
        <w:pStyle w:val="Heading3"/>
        <w:numPr>
          <w:ilvl w:val="0"/>
          <w:numId w:val="0"/>
        </w:numPr>
        <w:spacing w:before="0" w:after="120"/>
        <w:rPr>
          <w:rFonts w:asciiTheme="minorHAnsi" w:hAnsiTheme="minorHAnsi"/>
          <w:lang w:val="en-US"/>
        </w:rPr>
      </w:pPr>
      <w:r>
        <w:rPr>
          <w:rFonts w:asciiTheme="minorHAnsi" w:hAnsiTheme="minorHAnsi"/>
          <w:lang w:val="en-US"/>
        </w:rPr>
        <w:t xml:space="preserve">There is scope to increase focus on principals through NISA-funded initiatives, given their centrality in achieving school-wide, sustained change </w:t>
      </w:r>
    </w:p>
    <w:p w14:paraId="62E6A035" w14:textId="77777777" w:rsidR="00673D9A" w:rsidRDefault="0076615C"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29920" behindDoc="1" locked="0" layoutInCell="1" allowOverlap="1" wp14:anchorId="2C6AAA4A" wp14:editId="1313B3B3">
                <wp:simplePos x="0" y="0"/>
                <wp:positionH relativeFrom="column">
                  <wp:posOffset>4148455</wp:posOffset>
                </wp:positionH>
                <wp:positionV relativeFrom="paragraph">
                  <wp:posOffset>1130935</wp:posOffset>
                </wp:positionV>
                <wp:extent cx="1774372" cy="620486"/>
                <wp:effectExtent l="0" t="0" r="3810" b="128905"/>
                <wp:wrapTight wrapText="bothSides">
                  <wp:wrapPolygon edited="0">
                    <wp:start x="309" y="0"/>
                    <wp:lineTo x="0" y="1327"/>
                    <wp:lineTo x="0" y="19898"/>
                    <wp:lineTo x="309" y="21666"/>
                    <wp:lineTo x="7422" y="25646"/>
                    <wp:lineTo x="7885" y="25646"/>
                    <wp:lineTo x="8813" y="25646"/>
                    <wp:lineTo x="9586" y="25646"/>
                    <wp:lineTo x="21183" y="21666"/>
                    <wp:lineTo x="21492" y="19898"/>
                    <wp:lineTo x="21492" y="1327"/>
                    <wp:lineTo x="21183" y="0"/>
                    <wp:lineTo x="309" y="0"/>
                  </wp:wrapPolygon>
                </wp:wrapTight>
                <wp:docPr id="39" name="Rounded Rectangular Callout 39"/>
                <wp:cNvGraphicFramePr/>
                <a:graphic xmlns:a="http://schemas.openxmlformats.org/drawingml/2006/main">
                  <a:graphicData uri="http://schemas.microsoft.com/office/word/2010/wordprocessingShape">
                    <wps:wsp>
                      <wps:cNvSpPr/>
                      <wps:spPr>
                        <a:xfrm>
                          <a:off x="0" y="0"/>
                          <a:ext cx="1774372" cy="620486"/>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A6547" w14:textId="77777777" w:rsidR="007E2D07" w:rsidRDefault="007E2D07" w:rsidP="0087538D">
                            <w:pPr>
                              <w:spacing w:line="240" w:lineRule="auto"/>
                              <w:ind w:hanging="426"/>
                              <w:jc w:val="center"/>
                            </w:pPr>
                            <w:r>
                              <w:t xml:space="preserve">       “Changes are likely to occur if the administration of the school see STEM as a priority”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AAA4A" id="Rounded Rectangular Callout 39" o:spid="_x0000_s1033" type="#_x0000_t62" style="position:absolute;margin-left:326.65pt;margin-top:89.05pt;width:139.7pt;height:48.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" adj="8486,25866" fillcolor="#f4c6cd [660]" stroked="f" strokeweight="2pt">
                <v:textbox inset="0,0,0,0">
                  <w:txbxContent>
                    <w:p w14:paraId="5CFA6547" w14:textId="77777777" w:rsidR="007E2D07" w:rsidRDefault="007E2D07" w:rsidP="0087538D">
                      <w:pPr>
                        <w:spacing w:line="240" w:lineRule="auto"/>
                        <w:ind w:hanging="426"/>
                        <w:jc w:val="center"/>
                      </w:pPr>
                      <w:r>
                        <w:t xml:space="preserve">       “Changes are likely to occur if the administration of the school see STEM as a priority” – Teacher</w:t>
                      </w:r>
                    </w:p>
                  </w:txbxContent>
                </v:textbox>
                <w10:wrap type="tight"/>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719680" behindDoc="0" locked="0" layoutInCell="1" allowOverlap="1" wp14:anchorId="75E19332" wp14:editId="69D8D5B4">
                <wp:simplePos x="0" y="0"/>
                <wp:positionH relativeFrom="column">
                  <wp:posOffset>4105910</wp:posOffset>
                </wp:positionH>
                <wp:positionV relativeFrom="paragraph">
                  <wp:posOffset>-2540</wp:posOffset>
                </wp:positionV>
                <wp:extent cx="1816100" cy="914400"/>
                <wp:effectExtent l="0" t="0" r="0" b="127000"/>
                <wp:wrapSquare wrapText="bothSides"/>
                <wp:docPr id="26" name="Rounded Rectangular Callout 26"/>
                <wp:cNvGraphicFramePr/>
                <a:graphic xmlns:a="http://schemas.openxmlformats.org/drawingml/2006/main">
                  <a:graphicData uri="http://schemas.microsoft.com/office/word/2010/wordprocessingShape">
                    <wps:wsp>
                      <wps:cNvSpPr/>
                      <wps:spPr>
                        <a:xfrm>
                          <a:off x="0" y="0"/>
                          <a:ext cx="1816100" cy="914400"/>
                        </a:xfrm>
                        <a:prstGeom prst="wedgeRoundRectCallout">
                          <a:avLst>
                            <a:gd name="adj1" fmla="val -10005"/>
                            <a:gd name="adj2" fmla="val 63158"/>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9CC83" w14:textId="77777777" w:rsidR="007E2D07" w:rsidRDefault="007E2D07" w:rsidP="0087538D">
                            <w:pPr>
                              <w:spacing w:line="240" w:lineRule="auto"/>
                              <w:jc w:val="center"/>
                            </w:pPr>
                            <w:r>
                              <w:t>“Professional learning should include principals. Without leadership support a lot of STEM ideas will never get off the ground”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19332" id="Rounded Rectangular Callout 26" o:spid="_x0000_s1034" type="#_x0000_t62" style="position:absolute;margin-left:323.3pt;margin-top:-.2pt;width:143pt;height:1in;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" adj="8639,24442" fillcolor="#f4c6cd [660]" stroked="f" strokeweight="2pt">
                <v:textbox inset="0,0,0,0">
                  <w:txbxContent>
                    <w:p w14:paraId="2A59CC83" w14:textId="77777777" w:rsidR="007E2D07" w:rsidRDefault="007E2D07" w:rsidP="0087538D">
                      <w:pPr>
                        <w:spacing w:line="240" w:lineRule="auto"/>
                        <w:jc w:val="center"/>
                      </w:pPr>
                      <w:r>
                        <w:t>“Professional learning should include principals. Without leadership support a lot of STEM ideas will never get off the ground” – Teacher</w:t>
                      </w:r>
                    </w:p>
                  </w:txbxContent>
                </v:textbox>
                <w10:wrap type="square"/>
              </v:shape>
            </w:pict>
          </mc:Fallback>
        </mc:AlternateContent>
      </w:r>
      <w:r w:rsidR="00E650B1" w:rsidRPr="00292D9C">
        <w:rPr>
          <w:lang w:val="en-US"/>
        </w:rPr>
        <w:t>Principals are critical</w:t>
      </w:r>
      <w:r w:rsidR="00350CAD" w:rsidRPr="00292D9C">
        <w:rPr>
          <w:lang w:val="en-US"/>
        </w:rPr>
        <w:t xml:space="preserve"> to</w:t>
      </w:r>
      <w:r w:rsidR="00E650B1" w:rsidRPr="00292D9C">
        <w:rPr>
          <w:lang w:val="en-US"/>
        </w:rPr>
        <w:t xml:space="preserve"> </w:t>
      </w:r>
      <w:r w:rsidR="00606462" w:rsidRPr="00292D9C">
        <w:rPr>
          <w:lang w:val="en-US"/>
        </w:rPr>
        <w:t>the effectiveness of STEM initiatives</w:t>
      </w:r>
      <w:r w:rsidR="00350CAD" w:rsidRPr="00292D9C">
        <w:rPr>
          <w:lang w:val="en-US"/>
        </w:rPr>
        <w:t>. T</w:t>
      </w:r>
      <w:r w:rsidR="00606462" w:rsidRPr="00292D9C">
        <w:rPr>
          <w:lang w:val="en-US"/>
        </w:rPr>
        <w:t xml:space="preserve">hey </w:t>
      </w:r>
      <w:r w:rsidR="00E650B1" w:rsidRPr="00292D9C">
        <w:rPr>
          <w:lang w:val="en-US"/>
        </w:rPr>
        <w:t xml:space="preserve">determine the extent to which teachers can </w:t>
      </w:r>
      <w:proofErr w:type="spellStart"/>
      <w:r w:rsidR="00E650B1" w:rsidRPr="00292D9C">
        <w:rPr>
          <w:lang w:val="en-US"/>
        </w:rPr>
        <w:t>prioriti</w:t>
      </w:r>
      <w:r w:rsidR="009F6E9B" w:rsidRPr="00292D9C">
        <w:rPr>
          <w:lang w:val="en-US"/>
        </w:rPr>
        <w:t>s</w:t>
      </w:r>
      <w:r w:rsidR="00E650B1" w:rsidRPr="00292D9C">
        <w:rPr>
          <w:lang w:val="en-US"/>
        </w:rPr>
        <w:t>e</w:t>
      </w:r>
      <w:proofErr w:type="spellEnd"/>
      <w:r w:rsidR="00E650B1" w:rsidRPr="00292D9C">
        <w:rPr>
          <w:lang w:val="en-US"/>
        </w:rPr>
        <w:t xml:space="preserve"> STEM and </w:t>
      </w:r>
      <w:r w:rsidR="00606462" w:rsidRPr="00292D9C">
        <w:rPr>
          <w:lang w:val="en-US"/>
        </w:rPr>
        <w:t>create the conditions that enable teachers to change their practice</w:t>
      </w:r>
      <w:r w:rsidR="00E650B1" w:rsidRPr="00292D9C">
        <w:rPr>
          <w:lang w:val="en-US"/>
        </w:rPr>
        <w:t xml:space="preserve"> and adopt more effective STEM </w:t>
      </w:r>
      <w:r w:rsidR="006138C4" w:rsidRPr="00292D9C">
        <w:rPr>
          <w:lang w:val="en-US"/>
        </w:rPr>
        <w:t>practices.</w:t>
      </w:r>
      <w:r w:rsidR="00606462" w:rsidRPr="00292D9C">
        <w:rPr>
          <w:lang w:val="en-US"/>
        </w:rPr>
        <w:t xml:space="preserve"> </w:t>
      </w:r>
      <w:r w:rsidR="00E650B1" w:rsidRPr="00292D9C">
        <w:rPr>
          <w:lang w:val="en-US"/>
        </w:rPr>
        <w:t xml:space="preserve">They also enable whole-school change by helping to spread </w:t>
      </w:r>
      <w:r w:rsidR="002977A8" w:rsidRPr="00292D9C">
        <w:rPr>
          <w:lang w:val="en-US"/>
        </w:rPr>
        <w:t xml:space="preserve">and consolidate </w:t>
      </w:r>
      <w:r w:rsidR="00E650B1" w:rsidRPr="00292D9C">
        <w:rPr>
          <w:lang w:val="en-US"/>
        </w:rPr>
        <w:t xml:space="preserve">changes across </w:t>
      </w:r>
      <w:r w:rsidR="002977A8" w:rsidRPr="00292D9C">
        <w:rPr>
          <w:lang w:val="en-US"/>
        </w:rPr>
        <w:t>their</w:t>
      </w:r>
      <w:r w:rsidR="00E650B1" w:rsidRPr="00292D9C">
        <w:rPr>
          <w:lang w:val="en-US"/>
        </w:rPr>
        <w:t xml:space="preserve"> school. </w:t>
      </w:r>
      <w:r w:rsidR="00673D9A">
        <w:rPr>
          <w:lang w:val="en-US"/>
        </w:rPr>
        <w:t xml:space="preserve">There are two NISA initiatives that explicitly target principals, Principals as STEM leaders (PASL), and Digital Technologies in Focus. However, there could be more opportunities to consider principals as an audience – and a key mechanism for change within a school environment – including considerations of how to achieve principal ‘buy-in’ and support, across all initiatives. </w:t>
      </w:r>
    </w:p>
    <w:p w14:paraId="449D0372" w14:textId="77777777" w:rsidR="00673D9A" w:rsidRDefault="00673D9A">
      <w:pPr>
        <w:spacing w:after="240" w:line="240" w:lineRule="auto"/>
        <w:rPr>
          <w:b/>
          <w:color w:val="8C8686" w:themeColor="accent4"/>
          <w:lang w:val="en-US"/>
        </w:rPr>
      </w:pPr>
      <w:r>
        <w:rPr>
          <w:lang w:val="en-US"/>
        </w:rPr>
        <w:br w:type="page"/>
      </w:r>
    </w:p>
    <w:p w14:paraId="5699FF5C" w14:textId="77777777" w:rsidR="00A521DD" w:rsidRPr="00292D9C" w:rsidRDefault="00686994" w:rsidP="00A616D5">
      <w:pPr>
        <w:pStyle w:val="Heading3"/>
        <w:numPr>
          <w:ilvl w:val="0"/>
          <w:numId w:val="0"/>
        </w:numPr>
        <w:spacing w:before="0" w:after="120"/>
        <w:rPr>
          <w:rFonts w:asciiTheme="minorHAnsi" w:hAnsiTheme="minorHAnsi"/>
        </w:rPr>
      </w:pPr>
      <w:r w:rsidRPr="00292D9C">
        <w:rPr>
          <w:rFonts w:asciiTheme="minorHAnsi" w:hAnsiTheme="minorHAnsi"/>
          <w:lang w:val="en-US"/>
        </w:rPr>
        <w:t>Early</w:t>
      </w:r>
      <w:r w:rsidR="00AC74DC" w:rsidRPr="00292D9C">
        <w:rPr>
          <w:rFonts w:asciiTheme="minorHAnsi" w:hAnsiTheme="minorHAnsi"/>
          <w:lang w:val="en-US"/>
        </w:rPr>
        <w:t xml:space="preserve"> childhood programs</w:t>
      </w:r>
      <w:r w:rsidR="00A521DD" w:rsidRPr="00292D9C">
        <w:rPr>
          <w:rFonts w:asciiTheme="minorHAnsi" w:hAnsiTheme="minorHAnsi"/>
          <w:lang w:val="en-US"/>
        </w:rPr>
        <w:t xml:space="preserve"> </w:t>
      </w:r>
      <w:r w:rsidRPr="00292D9C">
        <w:rPr>
          <w:rFonts w:asciiTheme="minorHAnsi" w:hAnsiTheme="minorHAnsi"/>
          <w:lang w:val="en-US"/>
        </w:rPr>
        <w:t xml:space="preserve">engage </w:t>
      </w:r>
      <w:r w:rsidR="00A521DD" w:rsidRPr="00292D9C">
        <w:rPr>
          <w:rFonts w:asciiTheme="minorHAnsi" w:hAnsiTheme="minorHAnsi"/>
          <w:lang w:val="en-US"/>
        </w:rPr>
        <w:t>parents</w:t>
      </w:r>
      <w:r w:rsidRPr="00292D9C">
        <w:rPr>
          <w:rFonts w:asciiTheme="minorHAnsi" w:hAnsiTheme="minorHAnsi"/>
          <w:lang w:val="en-US"/>
        </w:rPr>
        <w:t xml:space="preserve">, but school years programs do not, even though parents continue to influence students throughout their schooling </w:t>
      </w:r>
    </w:p>
    <w:p w14:paraId="6CE6492E" w14:textId="77777777" w:rsidR="00350CAD" w:rsidRPr="00292D9C" w:rsidRDefault="0002531B"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31968" behindDoc="0" locked="0" layoutInCell="1" allowOverlap="1" wp14:anchorId="3E8B5400" wp14:editId="02225646">
                <wp:simplePos x="0" y="0"/>
                <wp:positionH relativeFrom="column">
                  <wp:posOffset>4211605</wp:posOffset>
                </wp:positionH>
                <wp:positionV relativeFrom="paragraph">
                  <wp:posOffset>1216025</wp:posOffset>
                </wp:positionV>
                <wp:extent cx="1756410" cy="1273810"/>
                <wp:effectExtent l="0" t="0" r="0" b="123190"/>
                <wp:wrapSquare wrapText="bothSides"/>
                <wp:docPr id="33" name="Rounded Rectangular Callout 33"/>
                <wp:cNvGraphicFramePr/>
                <a:graphic xmlns:a="http://schemas.openxmlformats.org/drawingml/2006/main">
                  <a:graphicData uri="http://schemas.microsoft.com/office/word/2010/wordprocessingShape">
                    <wps:wsp>
                      <wps:cNvSpPr/>
                      <wps:spPr>
                        <a:xfrm>
                          <a:off x="0" y="0"/>
                          <a:ext cx="1756410" cy="1273810"/>
                        </a:xfrm>
                        <a:prstGeom prst="wedgeRoundRectCallout">
                          <a:avLst>
                            <a:gd name="adj1" fmla="val -10575"/>
                            <a:gd name="adj2" fmla="val 5927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C51A18" w14:textId="77777777" w:rsidR="007E2D07" w:rsidRDefault="007E2D07" w:rsidP="0087538D">
                            <w:pPr>
                              <w:spacing w:line="240" w:lineRule="auto"/>
                              <w:jc w:val="center"/>
                            </w:pPr>
                            <w:r>
                              <w:t>“Parents can only do so much and without effective engagement and communication from schools it is difficult for parents to support learning at home in a meaningful way” - Parent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B5400" id="Rounded Rectangular Callout 33" o:spid="_x0000_s1035" type="#_x0000_t62" style="position:absolute;margin-left:331.6pt;margin-top:95.75pt;width:138.3pt;height:10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" adj="8516,23604" fillcolor="#f4c6cd [660]" stroked="f" strokeweight="2pt">
                <v:textbox inset="0,0,0,0">
                  <w:txbxContent>
                    <w:p w14:paraId="06C51A18" w14:textId="77777777" w:rsidR="007E2D07" w:rsidRDefault="007E2D07" w:rsidP="0087538D">
                      <w:pPr>
                        <w:spacing w:line="240" w:lineRule="auto"/>
                        <w:jc w:val="center"/>
                      </w:pPr>
                      <w:r>
                        <w:t>“Parents can only do so much and without effective engagement and communication from schools it is difficult for parents to support learning at home in a meaningful way” - Parent</w:t>
                      </w:r>
                    </w:p>
                  </w:txbxContent>
                </v:textbox>
                <w10:wrap type="square"/>
              </v:shape>
            </w:pict>
          </mc:Fallback>
        </mc:AlternateContent>
      </w:r>
      <w:r w:rsidR="00B67146">
        <w:rPr>
          <w:lang w:val="en-US"/>
        </w:rPr>
        <w:t>The NISA-funded e</w:t>
      </w:r>
      <w:r w:rsidR="00586C78" w:rsidRPr="00292D9C">
        <w:rPr>
          <w:lang w:val="en-US"/>
        </w:rPr>
        <w:t>arly childhood programs</w:t>
      </w:r>
      <w:r w:rsidR="00B67146">
        <w:rPr>
          <w:lang w:val="en-US"/>
        </w:rPr>
        <w:t xml:space="preserve"> explicitly</w:t>
      </w:r>
      <w:r w:rsidR="00586C78" w:rsidRPr="00292D9C">
        <w:rPr>
          <w:lang w:val="en-US"/>
        </w:rPr>
        <w:t xml:space="preserve"> target parents and </w:t>
      </w:r>
      <w:r w:rsidR="00686994" w:rsidRPr="00292D9C">
        <w:rPr>
          <w:lang w:val="en-US"/>
        </w:rPr>
        <w:t>communities</w:t>
      </w:r>
      <w:r w:rsidR="00586C78" w:rsidRPr="00292D9C">
        <w:rPr>
          <w:lang w:val="en-US"/>
        </w:rPr>
        <w:t xml:space="preserve"> to build their support and knowledge in STEM. For example, Let’s Count (Smith Family) aims to support parents to develop the mathematics skills of the children in their care by noticing, exploring, and talking about mathematics using everyday activities. </w:t>
      </w:r>
      <w:r w:rsidR="00686994" w:rsidRPr="00292D9C">
        <w:rPr>
          <w:lang w:val="en-US"/>
        </w:rPr>
        <w:t>ELSA has developed an app for families to help extend child</w:t>
      </w:r>
      <w:r w:rsidR="00E063BF" w:rsidRPr="00292D9C">
        <w:rPr>
          <w:lang w:val="en-US"/>
        </w:rPr>
        <w:t>ren</w:t>
      </w:r>
      <w:r w:rsidR="00686994" w:rsidRPr="00292D9C">
        <w:rPr>
          <w:lang w:val="en-US"/>
        </w:rPr>
        <w:t xml:space="preserve">’s learning into the home and to support families to engage with STEM concepts. </w:t>
      </w:r>
    </w:p>
    <w:p w14:paraId="599264F7" w14:textId="77777777" w:rsidR="00CC61E9" w:rsidRPr="00292D9C" w:rsidRDefault="00586C78" w:rsidP="00A616D5">
      <w:pPr>
        <w:rPr>
          <w:lang w:val="en-US"/>
        </w:rPr>
      </w:pPr>
      <w:r w:rsidRPr="00292D9C">
        <w:rPr>
          <w:lang w:val="en-US"/>
        </w:rPr>
        <w:t>By con</w:t>
      </w:r>
      <w:r w:rsidR="00BE092C" w:rsidRPr="00292D9C">
        <w:rPr>
          <w:lang w:val="en-US"/>
        </w:rPr>
        <w:t>trast,</w:t>
      </w:r>
      <w:r w:rsidRPr="00292D9C">
        <w:rPr>
          <w:lang w:val="en-US"/>
        </w:rPr>
        <w:t xml:space="preserve"> NISA-funded programs for </w:t>
      </w:r>
      <w:r w:rsidR="002C37C3" w:rsidRPr="00292D9C">
        <w:rPr>
          <w:lang w:val="en-US"/>
        </w:rPr>
        <w:t>primary and secondary school do not</w:t>
      </w:r>
      <w:r w:rsidRPr="00292D9C">
        <w:rPr>
          <w:lang w:val="en-US"/>
        </w:rPr>
        <w:t xml:space="preserve"> </w:t>
      </w:r>
      <w:r w:rsidR="006138C4" w:rsidRPr="00292D9C">
        <w:rPr>
          <w:lang w:val="en-US"/>
        </w:rPr>
        <w:t>focus on</w:t>
      </w:r>
      <w:r w:rsidR="002C37C3" w:rsidRPr="00292D9C">
        <w:rPr>
          <w:lang w:val="en-US"/>
        </w:rPr>
        <w:t xml:space="preserve"> parents</w:t>
      </w:r>
      <w:r w:rsidR="00B45B7F" w:rsidRPr="00292D9C">
        <w:rPr>
          <w:lang w:val="en-US"/>
        </w:rPr>
        <w:t xml:space="preserve"> and families. </w:t>
      </w:r>
      <w:r w:rsidRPr="00292D9C">
        <w:rPr>
          <w:lang w:val="en-US"/>
        </w:rPr>
        <w:t>While it does not make sense for parents and communities to be the main target audience for NISA-initiatives, they are important stakeholders and have a significant influence on students, especially when it comes to subject selection and forming career aspirations.</w:t>
      </w:r>
      <w:r w:rsidR="00CC61E9" w:rsidRPr="00292D9C">
        <w:rPr>
          <w:lang w:val="en-US"/>
        </w:rPr>
        <w:t xml:space="preserve"> </w:t>
      </w:r>
    </w:p>
    <w:p w14:paraId="6038504A" w14:textId="77777777" w:rsidR="00B45B7F" w:rsidRPr="00292D9C" w:rsidRDefault="00CC61E9" w:rsidP="00A616D5">
      <w:pPr>
        <w:rPr>
          <w:lang w:val="en-US"/>
        </w:rPr>
      </w:pPr>
      <w:r w:rsidRPr="00292D9C">
        <w:rPr>
          <w:lang w:val="en-US"/>
        </w:rPr>
        <w:t>Two resources through which the Australian Government engages parents to help support their child’s interest in STEM are the Learning Potential platform and the Digital Technologies Hub</w:t>
      </w:r>
      <w:r w:rsidR="00B67146">
        <w:rPr>
          <w:lang w:val="en-US"/>
        </w:rPr>
        <w:t xml:space="preserve"> (which links to most of the NISA-funded </w:t>
      </w:r>
      <w:proofErr w:type="gramStart"/>
      <w:r w:rsidR="00B67146">
        <w:rPr>
          <w:lang w:val="en-US"/>
        </w:rPr>
        <w:t>schools</w:t>
      </w:r>
      <w:proofErr w:type="gramEnd"/>
      <w:r w:rsidR="00B67146">
        <w:rPr>
          <w:lang w:val="en-US"/>
        </w:rPr>
        <w:t xml:space="preserve"> programs)</w:t>
      </w:r>
      <w:r w:rsidRPr="00292D9C">
        <w:rPr>
          <w:lang w:val="en-US"/>
        </w:rPr>
        <w:t xml:space="preserve">. Neither is funded by NISA however, and </w:t>
      </w:r>
      <w:r w:rsidR="00160B8D">
        <w:rPr>
          <w:lang w:val="en-US"/>
        </w:rPr>
        <w:t xml:space="preserve">they </w:t>
      </w:r>
      <w:r w:rsidRPr="00292D9C">
        <w:rPr>
          <w:lang w:val="en-US"/>
        </w:rPr>
        <w:t>are therefore beyond the scope of this evaluation.</w:t>
      </w:r>
      <w:r w:rsidRPr="00292D9C">
        <w:rPr>
          <w:rStyle w:val="FootnoteReference"/>
          <w:lang w:val="en-US"/>
        </w:rPr>
        <w:footnoteReference w:id="19"/>
      </w:r>
    </w:p>
    <w:p w14:paraId="6B6D0AAF" w14:textId="77777777" w:rsidR="00A521DD" w:rsidRPr="00292D9C" w:rsidRDefault="00A521DD" w:rsidP="00A616D5">
      <w:pPr>
        <w:pStyle w:val="Heading3"/>
        <w:numPr>
          <w:ilvl w:val="0"/>
          <w:numId w:val="0"/>
        </w:numPr>
        <w:spacing w:before="0" w:after="120"/>
        <w:rPr>
          <w:rFonts w:asciiTheme="minorHAnsi" w:hAnsiTheme="minorHAnsi"/>
          <w:lang w:val="en-US"/>
        </w:rPr>
      </w:pPr>
      <w:r w:rsidRPr="00292D9C">
        <w:rPr>
          <w:rFonts w:asciiTheme="minorHAnsi" w:hAnsiTheme="minorHAnsi"/>
          <w:lang w:val="en-US"/>
        </w:rPr>
        <w:t xml:space="preserve">Pre-service teachers </w:t>
      </w:r>
      <w:r w:rsidR="00EA5CD2" w:rsidRPr="00292D9C">
        <w:rPr>
          <w:rFonts w:asciiTheme="minorHAnsi" w:hAnsiTheme="minorHAnsi"/>
          <w:lang w:val="en-US"/>
        </w:rPr>
        <w:t xml:space="preserve">are </w:t>
      </w:r>
      <w:r w:rsidR="005C7CC3" w:rsidRPr="00292D9C">
        <w:rPr>
          <w:rFonts w:asciiTheme="minorHAnsi" w:hAnsiTheme="minorHAnsi"/>
          <w:lang w:val="en-US"/>
        </w:rPr>
        <w:t>only targeted by one program, despite</w:t>
      </w:r>
      <w:r w:rsidR="002977A8" w:rsidRPr="00292D9C">
        <w:rPr>
          <w:rFonts w:asciiTheme="minorHAnsi" w:hAnsiTheme="minorHAnsi"/>
          <w:lang w:val="en-US"/>
        </w:rPr>
        <w:t xml:space="preserve"> their inclusion in </w:t>
      </w:r>
      <w:r w:rsidR="00812D34" w:rsidRPr="00292D9C">
        <w:rPr>
          <w:rFonts w:asciiTheme="minorHAnsi" w:hAnsiTheme="minorHAnsi"/>
          <w:lang w:val="en-US"/>
        </w:rPr>
        <w:t xml:space="preserve">NISA </w:t>
      </w:r>
      <w:r w:rsidR="002977A8" w:rsidRPr="00292D9C">
        <w:rPr>
          <w:rFonts w:asciiTheme="minorHAnsi" w:hAnsiTheme="minorHAnsi"/>
          <w:lang w:val="en-US"/>
        </w:rPr>
        <w:t>funding objectives</w:t>
      </w:r>
      <w:r w:rsidR="00FF50A9" w:rsidRPr="00292D9C">
        <w:rPr>
          <w:rFonts w:asciiTheme="minorHAnsi" w:hAnsiTheme="minorHAnsi"/>
          <w:color w:val="FFFFFF" w:themeColor="background1"/>
          <w:lang w:val="en-US"/>
        </w:rPr>
        <w:t>.</w:t>
      </w:r>
      <w:r w:rsidR="002977A8" w:rsidRPr="00292D9C">
        <w:rPr>
          <w:rFonts w:asciiTheme="minorHAnsi" w:hAnsiTheme="minorHAnsi"/>
          <w:lang w:val="en-US"/>
        </w:rPr>
        <w:t xml:space="preserve"> </w:t>
      </w:r>
      <w:r w:rsidR="00812D34" w:rsidRPr="00292D9C">
        <w:rPr>
          <w:rFonts w:asciiTheme="minorHAnsi" w:hAnsiTheme="minorHAnsi"/>
          <w:lang w:val="en-US"/>
        </w:rPr>
        <w:t xml:space="preserve">  </w:t>
      </w:r>
    </w:p>
    <w:p w14:paraId="513FD9AE" w14:textId="77777777" w:rsidR="00292961" w:rsidRPr="00292D9C" w:rsidRDefault="00812D34" w:rsidP="00A616D5">
      <w:r w:rsidRPr="00292D9C">
        <w:t xml:space="preserve">Pre-service teachers are only </w:t>
      </w:r>
      <w:r w:rsidR="00686994" w:rsidRPr="00292D9C">
        <w:t>targeted by one</w:t>
      </w:r>
      <w:r w:rsidRPr="00292D9C">
        <w:t xml:space="preserve"> program despite being a</w:t>
      </w:r>
      <w:r w:rsidR="00686994" w:rsidRPr="00292D9C">
        <w:t xml:space="preserve"> stated</w:t>
      </w:r>
      <w:r w:rsidRPr="00292D9C">
        <w:t xml:space="preserve"> </w:t>
      </w:r>
      <w:r w:rsidR="002977A8" w:rsidRPr="00292D9C">
        <w:t>objective of</w:t>
      </w:r>
      <w:r w:rsidRPr="00292D9C">
        <w:t xml:space="preserve"> NISA funding</w:t>
      </w:r>
      <w:r w:rsidR="00686994" w:rsidRPr="00292D9C">
        <w:t xml:space="preserve"> for school and the early years</w:t>
      </w:r>
      <w:r w:rsidRPr="00292D9C">
        <w:t>.</w:t>
      </w:r>
      <w:r w:rsidRPr="00292D9C">
        <w:rPr>
          <w:lang w:eastAsia="en-GB"/>
        </w:rPr>
        <w:t xml:space="preserve"> NISA funding</w:t>
      </w:r>
      <w:r w:rsidR="00686994" w:rsidRPr="00292D9C">
        <w:rPr>
          <w:lang w:eastAsia="en-GB"/>
        </w:rPr>
        <w:t xml:space="preserve"> </w:t>
      </w:r>
      <w:r w:rsidR="006138C4" w:rsidRPr="00292D9C">
        <w:rPr>
          <w:lang w:eastAsia="en-GB"/>
        </w:rPr>
        <w:t xml:space="preserve">aimed to ensure </w:t>
      </w:r>
      <w:r w:rsidRPr="00292D9C">
        <w:rPr>
          <w:lang w:eastAsia="en-GB"/>
        </w:rPr>
        <w:t>‘</w:t>
      </w:r>
      <w:r w:rsidRPr="00292D9C">
        <w:t>Pre-service teachers develop foundational skills and knowledge to teach STEM and D</w:t>
      </w:r>
      <w:r w:rsidR="00350CAD" w:rsidRPr="00292D9C">
        <w:t>igital Technologies</w:t>
      </w:r>
      <w:r w:rsidRPr="00292D9C">
        <w:t>’</w:t>
      </w:r>
      <w:r w:rsidR="003D3FC5" w:rsidRPr="00292D9C">
        <w:t>.</w:t>
      </w:r>
      <w:r w:rsidR="006138C4" w:rsidRPr="00292D9C">
        <w:rPr>
          <w:rStyle w:val="FootnoteReference"/>
        </w:rPr>
        <w:footnoteReference w:id="20"/>
      </w:r>
      <w:r w:rsidR="003D3FC5" w:rsidRPr="00292D9C">
        <w:t xml:space="preserve"> </w:t>
      </w:r>
      <w:r w:rsidR="002977A8" w:rsidRPr="00292D9C">
        <w:t xml:space="preserve">Despite </w:t>
      </w:r>
      <w:r w:rsidR="00350CAD" w:rsidRPr="00292D9C">
        <w:t xml:space="preserve">this </w:t>
      </w:r>
      <w:r w:rsidR="002977A8" w:rsidRPr="00292D9C">
        <w:t xml:space="preserve">aim, </w:t>
      </w:r>
      <w:r w:rsidR="002977A8" w:rsidRPr="00292D9C">
        <w:rPr>
          <w:lang w:eastAsia="en-GB"/>
        </w:rPr>
        <w:t xml:space="preserve">Primary Connections is the only NISA-funded initiative that </w:t>
      </w:r>
      <w:r w:rsidR="00B67146">
        <w:rPr>
          <w:lang w:eastAsia="en-GB"/>
        </w:rPr>
        <w:t xml:space="preserve">explicitly </w:t>
      </w:r>
      <w:r w:rsidR="002977A8" w:rsidRPr="00292D9C">
        <w:rPr>
          <w:lang w:eastAsia="en-GB"/>
        </w:rPr>
        <w:t>engages pre-service teachers.</w:t>
      </w:r>
      <w:r w:rsidR="00A31487" w:rsidRPr="00292D9C">
        <w:rPr>
          <w:lang w:eastAsia="en-GB"/>
        </w:rPr>
        <w:t xml:space="preserve"> Several stakeholders </w:t>
      </w:r>
      <w:r w:rsidR="00FF50A9" w:rsidRPr="00292D9C">
        <w:rPr>
          <w:lang w:eastAsia="en-GB"/>
        </w:rPr>
        <w:t xml:space="preserve">perceived </w:t>
      </w:r>
      <w:r w:rsidR="00686994" w:rsidRPr="00292D9C">
        <w:rPr>
          <w:lang w:eastAsia="en-GB"/>
        </w:rPr>
        <w:t xml:space="preserve">this </w:t>
      </w:r>
      <w:r w:rsidR="00FF50A9" w:rsidRPr="00292D9C">
        <w:rPr>
          <w:lang w:eastAsia="en-GB"/>
        </w:rPr>
        <w:t xml:space="preserve">as a </w:t>
      </w:r>
      <w:r w:rsidR="00686994" w:rsidRPr="00292D9C">
        <w:rPr>
          <w:lang w:eastAsia="en-GB"/>
        </w:rPr>
        <w:t>gap,</w:t>
      </w:r>
      <w:r w:rsidRPr="00292D9C">
        <w:rPr>
          <w:lang w:eastAsia="en-GB"/>
        </w:rPr>
        <w:t xml:space="preserve"> </w:t>
      </w:r>
      <w:r w:rsidR="00686994" w:rsidRPr="00292D9C">
        <w:rPr>
          <w:lang w:eastAsia="en-GB"/>
        </w:rPr>
        <w:t xml:space="preserve">arguing </w:t>
      </w:r>
      <w:r w:rsidR="00686994" w:rsidRPr="00292D9C">
        <w:t>that it is important to improve the quality of STEM teachers before they enter the profession.</w:t>
      </w:r>
      <w:r w:rsidR="00E34BB9" w:rsidRPr="00292D9C">
        <w:t xml:space="preserve"> </w:t>
      </w:r>
      <w:r w:rsidR="00B67146">
        <w:t>It is important to note however that, b</w:t>
      </w:r>
      <w:r w:rsidR="00E34BB9" w:rsidRPr="00292D9C">
        <w:t>eyond NISA, there has been significant national reform and effort in the pre-service teacher space in recent years, following a report released by the Teacher Education Ministerial Advisory Group (TEMAG).</w:t>
      </w:r>
      <w:r w:rsidR="00E34BB9" w:rsidRPr="00292D9C">
        <w:rPr>
          <w:rStyle w:val="FootnoteReference"/>
        </w:rPr>
        <w:footnoteReference w:id="21"/>
      </w:r>
    </w:p>
    <w:p w14:paraId="198EB6AA" w14:textId="77777777" w:rsidR="00A521DD" w:rsidRPr="00292D9C" w:rsidRDefault="00D11E32" w:rsidP="00A616D5">
      <w:pPr>
        <w:pStyle w:val="Heading2"/>
        <w:spacing w:before="0" w:after="120"/>
        <w:rPr>
          <w:rFonts w:asciiTheme="minorHAnsi" w:hAnsiTheme="minorHAnsi"/>
        </w:rPr>
      </w:pPr>
      <w:bookmarkStart w:id="71" w:name="_Toc16707155"/>
      <w:bookmarkStart w:id="72" w:name="_Toc21088247"/>
      <w:bookmarkStart w:id="73" w:name="_Toc23504216"/>
      <w:bookmarkStart w:id="74" w:name="_Toc25162050"/>
      <w:r w:rsidRPr="00292D9C">
        <w:rPr>
          <w:rFonts w:asciiTheme="minorHAnsi" w:hAnsiTheme="minorHAnsi"/>
        </w:rPr>
        <w:t xml:space="preserve">5.4. </w:t>
      </w:r>
      <w:r w:rsidR="0024348D" w:rsidRPr="00292D9C">
        <w:rPr>
          <w:rFonts w:asciiTheme="minorHAnsi" w:hAnsiTheme="minorHAnsi"/>
        </w:rPr>
        <w:t xml:space="preserve">What </w:t>
      </w:r>
      <w:r w:rsidR="000D04FF" w:rsidRPr="00292D9C">
        <w:rPr>
          <w:rFonts w:asciiTheme="minorHAnsi" w:hAnsiTheme="minorHAnsi"/>
        </w:rPr>
        <w:t xml:space="preserve">education </w:t>
      </w:r>
      <w:r w:rsidR="0024348D" w:rsidRPr="00292D9C">
        <w:rPr>
          <w:rFonts w:asciiTheme="minorHAnsi" w:hAnsiTheme="minorHAnsi"/>
        </w:rPr>
        <w:t>level do the initiatives target?</w:t>
      </w:r>
      <w:bookmarkEnd w:id="71"/>
      <w:bookmarkEnd w:id="72"/>
      <w:bookmarkEnd w:id="73"/>
      <w:bookmarkEnd w:id="74"/>
      <w:r w:rsidR="0024348D" w:rsidRPr="00292D9C">
        <w:rPr>
          <w:rFonts w:asciiTheme="minorHAnsi" w:hAnsiTheme="minorHAnsi"/>
        </w:rPr>
        <w:t xml:space="preserve"> </w:t>
      </w:r>
    </w:p>
    <w:p w14:paraId="1302520E" w14:textId="77777777" w:rsidR="0024348D" w:rsidRPr="00292D9C" w:rsidRDefault="00CB2DCF" w:rsidP="00A616D5">
      <w:pPr>
        <w:pStyle w:val="Heading3"/>
        <w:numPr>
          <w:ilvl w:val="0"/>
          <w:numId w:val="0"/>
        </w:numPr>
        <w:spacing w:before="0" w:after="120"/>
        <w:rPr>
          <w:rFonts w:asciiTheme="minorHAnsi" w:hAnsiTheme="minorHAnsi"/>
          <w:lang w:val="en-US"/>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01248" behindDoc="0" locked="0" layoutInCell="1" allowOverlap="1" wp14:anchorId="7A547FD6" wp14:editId="16B92EBB">
                <wp:simplePos x="0" y="0"/>
                <wp:positionH relativeFrom="column">
                  <wp:posOffset>4076065</wp:posOffset>
                </wp:positionH>
                <wp:positionV relativeFrom="paragraph">
                  <wp:posOffset>547370</wp:posOffset>
                </wp:positionV>
                <wp:extent cx="1687830" cy="977900"/>
                <wp:effectExtent l="0" t="0" r="1270" b="152400"/>
                <wp:wrapSquare wrapText="bothSides"/>
                <wp:docPr id="83" name="Rounded Rectangular Callout 83"/>
                <wp:cNvGraphicFramePr/>
                <a:graphic xmlns:a="http://schemas.openxmlformats.org/drawingml/2006/main">
                  <a:graphicData uri="http://schemas.microsoft.com/office/word/2010/wordprocessingShape">
                    <wps:wsp>
                      <wps:cNvSpPr/>
                      <wps:spPr>
                        <a:xfrm>
                          <a:off x="0" y="0"/>
                          <a:ext cx="1687830" cy="977900"/>
                        </a:xfrm>
                        <a:prstGeom prst="wedgeRoundRectCallout">
                          <a:avLst>
                            <a:gd name="adj1" fmla="val -10714"/>
                            <a:gd name="adj2" fmla="val 6437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CD561" w14:textId="77777777" w:rsidR="007E2D07" w:rsidRDefault="007E2D07" w:rsidP="0087538D">
                            <w:pPr>
                              <w:spacing w:line="240" w:lineRule="auto"/>
                              <w:jc w:val="center"/>
                            </w:pPr>
                            <w:r>
                              <w:t>“The combination of teacher professional learning programs and initiatives for students of all ages and abilities is valuable”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7FD6" id="Rounded Rectangular Callout 83" o:spid="_x0000_s1036" type="#_x0000_t62" style="position:absolute;margin-left:320.95pt;margin-top:43.1pt;width:132.9pt;height: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" adj="8486,24705" fillcolor="#f4c6cd [660]" stroked="f" strokeweight="2pt">
                <v:textbox inset="0,0,0,0">
                  <w:txbxContent>
                    <w:p w14:paraId="190CD561" w14:textId="77777777" w:rsidR="007E2D07" w:rsidRDefault="007E2D07" w:rsidP="0087538D">
                      <w:pPr>
                        <w:spacing w:line="240" w:lineRule="auto"/>
                        <w:jc w:val="center"/>
                      </w:pPr>
                      <w:r>
                        <w:t>“The combination of teacher professional learning programs and initiatives for students of all ages and abilities is valuable” - Teacher</w:t>
                      </w:r>
                    </w:p>
                  </w:txbxContent>
                </v:textbox>
                <w10:wrap type="square"/>
              </v:shape>
            </w:pict>
          </mc:Fallback>
        </mc:AlternateContent>
      </w:r>
      <w:r w:rsidR="00A521DD" w:rsidRPr="00292D9C">
        <w:rPr>
          <w:rFonts w:asciiTheme="minorHAnsi" w:hAnsiTheme="minorHAnsi"/>
          <w:lang w:val="en-US"/>
        </w:rPr>
        <w:t xml:space="preserve">Most </w:t>
      </w:r>
      <w:r w:rsidR="005C7CC3" w:rsidRPr="00292D9C">
        <w:rPr>
          <w:rFonts w:asciiTheme="minorHAnsi" w:hAnsiTheme="minorHAnsi"/>
          <w:lang w:val="en-US"/>
        </w:rPr>
        <w:t>initiatives ha</w:t>
      </w:r>
      <w:r w:rsidR="00185CEF" w:rsidRPr="00292D9C">
        <w:rPr>
          <w:rFonts w:asciiTheme="minorHAnsi" w:hAnsiTheme="minorHAnsi"/>
          <w:lang w:val="en-US"/>
        </w:rPr>
        <w:t>ve</w:t>
      </w:r>
      <w:r w:rsidR="005C7CC3" w:rsidRPr="00292D9C">
        <w:rPr>
          <w:rFonts w:asciiTheme="minorHAnsi" w:hAnsiTheme="minorHAnsi"/>
          <w:lang w:val="en-US"/>
        </w:rPr>
        <w:t xml:space="preserve"> a broad focus on </w:t>
      </w:r>
      <w:r w:rsidR="00A521DD" w:rsidRPr="00292D9C">
        <w:rPr>
          <w:rFonts w:asciiTheme="minorHAnsi" w:hAnsiTheme="minorHAnsi"/>
          <w:lang w:val="en-US"/>
        </w:rPr>
        <w:t>both primary and secondary</w:t>
      </w:r>
      <w:r w:rsidR="00657974" w:rsidRPr="00292D9C">
        <w:rPr>
          <w:rFonts w:asciiTheme="minorHAnsi" w:hAnsiTheme="minorHAnsi"/>
          <w:lang w:val="en-US"/>
        </w:rPr>
        <w:t xml:space="preserve"> school</w:t>
      </w:r>
      <w:r w:rsidR="00FF50A9" w:rsidRPr="00292D9C">
        <w:rPr>
          <w:rFonts w:asciiTheme="minorHAnsi" w:hAnsiTheme="minorHAnsi"/>
          <w:lang w:val="en-US"/>
        </w:rPr>
        <w:t xml:space="preserve"> –</w:t>
      </w:r>
      <w:r w:rsidR="00E60C9C" w:rsidRPr="00292D9C">
        <w:rPr>
          <w:rFonts w:asciiTheme="minorHAnsi" w:hAnsiTheme="minorHAnsi"/>
          <w:lang w:val="en-US"/>
        </w:rPr>
        <w:t xml:space="preserve"> </w:t>
      </w:r>
      <w:r w:rsidR="00FF50A9" w:rsidRPr="00292D9C">
        <w:rPr>
          <w:rFonts w:asciiTheme="minorHAnsi" w:hAnsiTheme="minorHAnsi"/>
          <w:lang w:val="en-US"/>
        </w:rPr>
        <w:t>t</w:t>
      </w:r>
      <w:r w:rsidR="00E60C9C" w:rsidRPr="00292D9C">
        <w:rPr>
          <w:rFonts w:asciiTheme="minorHAnsi" w:hAnsiTheme="minorHAnsi"/>
          <w:lang w:val="en-US"/>
        </w:rPr>
        <w:t xml:space="preserve">his will </w:t>
      </w:r>
      <w:proofErr w:type="spellStart"/>
      <w:r w:rsidR="00E60C9C" w:rsidRPr="00292D9C">
        <w:rPr>
          <w:rFonts w:asciiTheme="minorHAnsi" w:hAnsiTheme="minorHAnsi"/>
          <w:lang w:val="en-US"/>
        </w:rPr>
        <w:t>maximi</w:t>
      </w:r>
      <w:r w:rsidR="00860E2D">
        <w:rPr>
          <w:rFonts w:asciiTheme="minorHAnsi" w:hAnsiTheme="minorHAnsi"/>
          <w:lang w:val="en-US"/>
        </w:rPr>
        <w:t>s</w:t>
      </w:r>
      <w:r w:rsidR="00E60C9C" w:rsidRPr="00292D9C">
        <w:rPr>
          <w:rFonts w:asciiTheme="minorHAnsi" w:hAnsiTheme="minorHAnsi"/>
          <w:lang w:val="en-US"/>
        </w:rPr>
        <w:t>e</w:t>
      </w:r>
      <w:proofErr w:type="spellEnd"/>
      <w:r w:rsidR="00E60C9C" w:rsidRPr="00292D9C">
        <w:rPr>
          <w:rFonts w:asciiTheme="minorHAnsi" w:hAnsiTheme="minorHAnsi"/>
          <w:lang w:val="en-US"/>
        </w:rPr>
        <w:t xml:space="preserve"> reach, but there are some tradeoffs</w:t>
      </w:r>
    </w:p>
    <w:p w14:paraId="5B12A2B3" w14:textId="77777777" w:rsidR="00185CEF" w:rsidRPr="00292D9C" w:rsidRDefault="005C7CC3" w:rsidP="00A616D5">
      <w:pPr>
        <w:rPr>
          <w:lang w:val="en-US"/>
        </w:rPr>
      </w:pPr>
      <w:r w:rsidRPr="00292D9C">
        <w:rPr>
          <w:lang w:val="en-US"/>
        </w:rPr>
        <w:t>Almost</w:t>
      </w:r>
      <w:r w:rsidR="0024348D" w:rsidRPr="00292D9C">
        <w:rPr>
          <w:lang w:val="en-US"/>
        </w:rPr>
        <w:t xml:space="preserve"> half of all NISA initiatives</w:t>
      </w:r>
      <w:r w:rsidRPr="00292D9C">
        <w:rPr>
          <w:lang w:val="en-US"/>
        </w:rPr>
        <w:t xml:space="preserve"> have a broad focus</w:t>
      </w:r>
      <w:r w:rsidR="00185CEF" w:rsidRPr="00292D9C">
        <w:rPr>
          <w:lang w:val="en-US"/>
        </w:rPr>
        <w:t>,</w:t>
      </w:r>
      <w:r w:rsidRPr="00292D9C">
        <w:rPr>
          <w:lang w:val="en-US"/>
        </w:rPr>
        <w:t xml:space="preserve"> catering for both </w:t>
      </w:r>
      <w:r w:rsidR="0024348D" w:rsidRPr="00292D9C">
        <w:rPr>
          <w:lang w:val="en-US"/>
        </w:rPr>
        <w:t>primary and secondary school</w:t>
      </w:r>
      <w:r w:rsidRPr="00292D9C">
        <w:rPr>
          <w:lang w:val="en-US"/>
        </w:rPr>
        <w:t xml:space="preserve">. </w:t>
      </w:r>
      <w:r w:rsidR="00185CEF" w:rsidRPr="00292D9C">
        <w:rPr>
          <w:lang w:val="en-US"/>
        </w:rPr>
        <w:t xml:space="preserve">This broad focus is legitimate because </w:t>
      </w:r>
      <w:r w:rsidR="002977A8" w:rsidRPr="00292D9C">
        <w:rPr>
          <w:lang w:val="en-US"/>
        </w:rPr>
        <w:t>primary and secondary school is where the most</w:t>
      </w:r>
      <w:r w:rsidR="00185CEF" w:rsidRPr="00292D9C">
        <w:rPr>
          <w:lang w:val="en-US"/>
        </w:rPr>
        <w:t xml:space="preserve"> students are,</w:t>
      </w:r>
      <w:r w:rsidR="002977A8" w:rsidRPr="00292D9C">
        <w:rPr>
          <w:lang w:val="en-US"/>
        </w:rPr>
        <w:t xml:space="preserve"> so providers can </w:t>
      </w:r>
      <w:proofErr w:type="spellStart"/>
      <w:r w:rsidR="002977A8" w:rsidRPr="00292D9C">
        <w:rPr>
          <w:lang w:val="en-US"/>
        </w:rPr>
        <w:t>maximi</w:t>
      </w:r>
      <w:r w:rsidR="00FF50A9" w:rsidRPr="00292D9C">
        <w:rPr>
          <w:lang w:val="en-US"/>
        </w:rPr>
        <w:t>s</w:t>
      </w:r>
      <w:r w:rsidR="002977A8" w:rsidRPr="00292D9C">
        <w:rPr>
          <w:lang w:val="en-US"/>
        </w:rPr>
        <w:t>e</w:t>
      </w:r>
      <w:proofErr w:type="spellEnd"/>
      <w:r w:rsidR="002977A8" w:rsidRPr="00292D9C">
        <w:rPr>
          <w:lang w:val="en-US"/>
        </w:rPr>
        <w:t xml:space="preserve"> their reach. H</w:t>
      </w:r>
      <w:r w:rsidR="00185CEF" w:rsidRPr="00292D9C">
        <w:rPr>
          <w:lang w:val="en-US"/>
        </w:rPr>
        <w:t>owever, there are some tradeoffs</w:t>
      </w:r>
      <w:r w:rsidR="002977A8" w:rsidRPr="00292D9C">
        <w:rPr>
          <w:lang w:val="en-US"/>
        </w:rPr>
        <w:t xml:space="preserve"> with this broad focus</w:t>
      </w:r>
      <w:r w:rsidR="00185CEF" w:rsidRPr="00292D9C">
        <w:rPr>
          <w:lang w:val="en-US"/>
        </w:rPr>
        <w:t>. A broad focus means there is less investment in programs that address the challenges associated with particular year levels.</w:t>
      </w:r>
      <w:r w:rsidR="001C1B6B">
        <w:t xml:space="preserve"> For example, there are no programs that target senior secondary school students enrolled in STEM subjects, including those enrolled in vocational educational pathways (several stakeholders identified a lack of focus on VET in schools as a gap). This is difficult to address through NISA however, as the funding focuses on areas where there is a nationally agreed framework or curriculum, which is only available in early years and F-10, not senior secondary.</w:t>
      </w:r>
      <w:r w:rsidR="00185CEF" w:rsidRPr="00292D9C">
        <w:rPr>
          <w:lang w:val="en-US"/>
        </w:rPr>
        <w:t xml:space="preserve"> </w:t>
      </w:r>
      <w:r w:rsidR="001C1B6B">
        <w:rPr>
          <w:lang w:val="en-US"/>
        </w:rPr>
        <w:t xml:space="preserve">In terms of primary education, only one program (Primary Connections) targets the early primary years, which is an important time for STEM education, but may require a different pedagogical approach than later primary school years. </w:t>
      </w:r>
    </w:p>
    <w:p w14:paraId="74F88F08" w14:textId="77777777" w:rsidR="000D04FF" w:rsidRDefault="000D04FF" w:rsidP="00A616D5">
      <w:pPr>
        <w:pStyle w:val="Caption"/>
        <w:keepNext/>
        <w:spacing w:before="0" w:after="120" w:line="360" w:lineRule="auto"/>
      </w:pPr>
      <w:r w:rsidRPr="00292D9C">
        <w:t xml:space="preserve">Figure </w:t>
      </w:r>
      <w:r w:rsidR="00B36C1F">
        <w:t>11</w:t>
      </w:r>
      <w:r w:rsidR="00B47795" w:rsidRPr="00292D9C">
        <w:t>.</w:t>
      </w:r>
      <w:r w:rsidR="00DD2B33" w:rsidRPr="00292D9C">
        <w:t xml:space="preserve"> </w:t>
      </w:r>
      <w:r w:rsidRPr="00292D9C">
        <w:t>Initiatives broken down by education level</w:t>
      </w:r>
    </w:p>
    <w:p w14:paraId="7E941638" w14:textId="77777777" w:rsidR="00D7070A" w:rsidRPr="00D7070A" w:rsidRDefault="00D7070A" w:rsidP="00D7070A">
      <w:r>
        <w:rPr>
          <w:noProof/>
          <w:lang w:eastAsia="en-AU"/>
        </w:rPr>
        <w:drawing>
          <wp:inline distT="0" distB="0" distL="0" distR="0" wp14:anchorId="59427B66" wp14:editId="07EA7827">
            <wp:extent cx="4572000" cy="2743200"/>
            <wp:effectExtent l="0" t="0" r="0" b="0"/>
            <wp:docPr id="15" name="Chart 15" descr="Figure 11">
              <a:extLst xmlns:a="http://schemas.openxmlformats.org/drawingml/2006/main">
                <a:ext uri="{FF2B5EF4-FFF2-40B4-BE49-F238E27FC236}">
                  <a16:creationId xmlns:a16="http://schemas.microsoft.com/office/drawing/2014/main" id="{976CD0F9-386A-D242-B7F0-67BA850548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256D57" w14:textId="77777777" w:rsidR="000D04FF" w:rsidRPr="00292D9C" w:rsidRDefault="000D04FF" w:rsidP="00A616D5">
      <w:pPr>
        <w:rPr>
          <w:lang w:val="en-US"/>
        </w:rPr>
      </w:pPr>
    </w:p>
    <w:p w14:paraId="40E053FC" w14:textId="77777777" w:rsidR="00E60C9C" w:rsidRPr="00292D9C" w:rsidRDefault="00E60C9C" w:rsidP="00A616D5">
      <w:pPr>
        <w:pStyle w:val="Heading3"/>
        <w:numPr>
          <w:ilvl w:val="0"/>
          <w:numId w:val="0"/>
        </w:numPr>
        <w:spacing w:before="0" w:after="120"/>
        <w:rPr>
          <w:rFonts w:asciiTheme="minorHAnsi" w:hAnsiTheme="minorHAnsi"/>
        </w:rPr>
      </w:pPr>
      <w:r w:rsidRPr="00292D9C">
        <w:rPr>
          <w:rFonts w:asciiTheme="minorHAnsi" w:hAnsiTheme="minorHAnsi"/>
        </w:rPr>
        <w:t>Investing in the early years was</w:t>
      </w:r>
      <w:r w:rsidR="00090F62" w:rsidRPr="00292D9C">
        <w:rPr>
          <w:rFonts w:asciiTheme="minorHAnsi" w:hAnsiTheme="minorHAnsi"/>
        </w:rPr>
        <w:t xml:space="preserve"> </w:t>
      </w:r>
      <w:r w:rsidRPr="00292D9C">
        <w:rPr>
          <w:rFonts w:asciiTheme="minorHAnsi" w:hAnsiTheme="minorHAnsi"/>
        </w:rPr>
        <w:t>strategic because there are not many STEM programs</w:t>
      </w:r>
      <w:r w:rsidR="00FF50A9" w:rsidRPr="00292D9C">
        <w:rPr>
          <w:rFonts w:asciiTheme="minorHAnsi" w:hAnsiTheme="minorHAnsi"/>
        </w:rPr>
        <w:t xml:space="preserve"> for this sector, </w:t>
      </w:r>
      <w:r w:rsidRPr="00292D9C">
        <w:rPr>
          <w:rFonts w:asciiTheme="minorHAnsi" w:hAnsiTheme="minorHAnsi"/>
        </w:rPr>
        <w:t>while the school years are a</w:t>
      </w:r>
      <w:r w:rsidR="00E45C85">
        <w:rPr>
          <w:rFonts w:asciiTheme="minorHAnsi" w:hAnsiTheme="minorHAnsi"/>
        </w:rPr>
        <w:t xml:space="preserve"> </w:t>
      </w:r>
      <w:r w:rsidRPr="00292D9C">
        <w:rPr>
          <w:rFonts w:asciiTheme="minorHAnsi" w:hAnsiTheme="minorHAnsi"/>
        </w:rPr>
        <w:t>crowded space</w:t>
      </w:r>
    </w:p>
    <w:p w14:paraId="7902B8EB" w14:textId="77777777" w:rsidR="007D0447" w:rsidRDefault="00860E2D" w:rsidP="00A616D5">
      <w:r>
        <w:t xml:space="preserve">School years are the primary focus of STEM initiatives, </w:t>
      </w:r>
      <w:r w:rsidR="007D0447">
        <w:t xml:space="preserve">and represent a crowded space for products and services. This means investment in the early years is a strategic approach because it addresses a gap in service delivery. Stakeholders reported that the STEM education space in the school years feels crowded, duplicative and difficult to navigate. More </w:t>
      </w:r>
      <w:r w:rsidR="00DC0BFC" w:rsidRPr="00292D9C">
        <w:t xml:space="preserve">specifically, in relation to the new learning area of digital technologies, stakeholders believed that the number of resource offerings and the broad scope of these made it difficult to filter through which were applicable to their specific school context. This was </w:t>
      </w:r>
      <w:r w:rsidR="00EB744E" w:rsidRPr="00292D9C">
        <w:t xml:space="preserve">significant </w:t>
      </w:r>
      <w:r w:rsidR="00DC0BFC" w:rsidRPr="00292D9C">
        <w:t>given the scarcity of teachers with content knowledge in this area</w:t>
      </w:r>
      <w:r w:rsidR="00E45C85">
        <w:t xml:space="preserve">, as those with no or limited content knowledge are more likely to </w:t>
      </w:r>
      <w:r w:rsidR="00DC0BFC" w:rsidRPr="00292D9C">
        <w:t xml:space="preserve">be unclear on what to look for or how to determine </w:t>
      </w:r>
      <w:r w:rsidR="00FF50A9" w:rsidRPr="00292D9C">
        <w:t xml:space="preserve">the </w:t>
      </w:r>
      <w:r w:rsidR="00DC0BFC" w:rsidRPr="00292D9C">
        <w:t xml:space="preserve">utility of a particular resource. </w:t>
      </w:r>
      <w:r w:rsidR="000D04FF" w:rsidRPr="00292D9C">
        <w:t>In contrast, stakeholders in the early childhood sector</w:t>
      </w:r>
      <w:r w:rsidR="007D0447">
        <w:t xml:space="preserve"> flagged that there are limited initiatives targeting the early years, and that this represents a missed opportunity.</w:t>
      </w:r>
      <w:r w:rsidR="000D04FF" w:rsidRPr="00292D9C">
        <w:t xml:space="preserve"> </w:t>
      </w:r>
    </w:p>
    <w:p w14:paraId="787D0F6C" w14:textId="77777777" w:rsidR="007D0447" w:rsidRDefault="007D0447" w:rsidP="007D0447">
      <w:r>
        <w:t xml:space="preserve">This suggests there may be scope to help teachers navigate service offerings in the school years to better identify high-quality resources, for example through promoting higher uptake of the Digital Technologies Hub. </w:t>
      </w:r>
    </w:p>
    <w:p w14:paraId="70C58C68" w14:textId="77777777" w:rsidR="007D0447" w:rsidRPr="00292D9C" w:rsidRDefault="007D0447" w:rsidP="00A616D5"/>
    <w:p w14:paraId="65A85A74" w14:textId="77777777" w:rsidR="00673D9A" w:rsidRDefault="00673D9A">
      <w:pPr>
        <w:spacing w:after="240" w:line="240" w:lineRule="auto"/>
        <w:rPr>
          <w:color w:val="931B2F" w:themeColor="background2"/>
          <w:sz w:val="32"/>
          <w:u w:val="single"/>
        </w:rPr>
      </w:pPr>
      <w:bookmarkStart w:id="75" w:name="_Toc16707156"/>
      <w:bookmarkStart w:id="76" w:name="_Toc21088248"/>
      <w:r>
        <w:rPr>
          <w:u w:val="single"/>
        </w:rPr>
        <w:br w:type="page"/>
      </w:r>
    </w:p>
    <w:p w14:paraId="06A30AE8" w14:textId="77777777" w:rsidR="00BE092C" w:rsidRPr="00292D9C" w:rsidRDefault="000D04FF" w:rsidP="00A616D5">
      <w:pPr>
        <w:pStyle w:val="Heading2"/>
        <w:spacing w:before="0" w:after="120"/>
        <w:rPr>
          <w:rFonts w:asciiTheme="minorHAnsi" w:hAnsiTheme="minorHAnsi"/>
          <w:u w:val="single"/>
        </w:rPr>
      </w:pPr>
      <w:bookmarkStart w:id="77" w:name="_Toc23504217"/>
      <w:bookmarkStart w:id="78" w:name="_Toc25162051"/>
      <w:r w:rsidRPr="00292D9C">
        <w:rPr>
          <w:rFonts w:asciiTheme="minorHAnsi" w:hAnsiTheme="minorHAnsi"/>
          <w:u w:val="single"/>
        </w:rPr>
        <w:t>What</w:t>
      </w:r>
      <w:bookmarkEnd w:id="75"/>
      <w:bookmarkEnd w:id="76"/>
      <w:bookmarkEnd w:id="77"/>
      <w:bookmarkEnd w:id="78"/>
    </w:p>
    <w:p w14:paraId="37E615F0" w14:textId="77777777" w:rsidR="00A521DD" w:rsidRPr="00292D9C" w:rsidRDefault="00D11E32" w:rsidP="00A616D5">
      <w:pPr>
        <w:pStyle w:val="Heading2"/>
        <w:spacing w:before="0" w:after="120"/>
        <w:rPr>
          <w:rFonts w:asciiTheme="minorHAnsi" w:hAnsiTheme="minorHAnsi"/>
        </w:rPr>
      </w:pPr>
      <w:bookmarkStart w:id="79" w:name="_Toc16707157"/>
      <w:bookmarkStart w:id="80" w:name="_Toc21088249"/>
      <w:bookmarkStart w:id="81" w:name="_Toc23504218"/>
      <w:bookmarkStart w:id="82" w:name="_Toc25162052"/>
      <w:r w:rsidRPr="00292D9C">
        <w:rPr>
          <w:rFonts w:asciiTheme="minorHAnsi" w:hAnsiTheme="minorHAnsi"/>
        </w:rPr>
        <w:t xml:space="preserve">5.5. </w:t>
      </w:r>
      <w:r w:rsidR="00893EE0" w:rsidRPr="00292D9C">
        <w:rPr>
          <w:rFonts w:asciiTheme="minorHAnsi" w:hAnsiTheme="minorHAnsi"/>
        </w:rPr>
        <w:t>What curriculum area do the initiatives focus on?</w:t>
      </w:r>
      <w:bookmarkEnd w:id="79"/>
      <w:bookmarkEnd w:id="80"/>
      <w:bookmarkEnd w:id="81"/>
      <w:bookmarkEnd w:id="82"/>
      <w:r w:rsidR="00893EE0" w:rsidRPr="00292D9C">
        <w:rPr>
          <w:rFonts w:asciiTheme="minorHAnsi" w:hAnsiTheme="minorHAnsi"/>
        </w:rPr>
        <w:t xml:space="preserve"> </w:t>
      </w:r>
      <w:r w:rsidR="00A521DD" w:rsidRPr="00292D9C">
        <w:rPr>
          <w:rFonts w:asciiTheme="minorHAnsi" w:hAnsiTheme="minorHAnsi"/>
        </w:rPr>
        <w:t xml:space="preserve">  </w:t>
      </w:r>
    </w:p>
    <w:p w14:paraId="10E45FBF" w14:textId="77777777" w:rsidR="00A521DD" w:rsidRPr="00292D9C" w:rsidRDefault="00893EE0" w:rsidP="00A616D5">
      <w:pPr>
        <w:pStyle w:val="Heading3"/>
        <w:numPr>
          <w:ilvl w:val="0"/>
          <w:numId w:val="0"/>
        </w:numPr>
        <w:spacing w:before="0" w:after="120"/>
        <w:rPr>
          <w:rFonts w:asciiTheme="minorHAnsi" w:hAnsiTheme="minorHAnsi"/>
        </w:rPr>
      </w:pPr>
      <w:r w:rsidRPr="00292D9C">
        <w:rPr>
          <w:rFonts w:asciiTheme="minorHAnsi" w:hAnsiTheme="minorHAnsi"/>
          <w:lang w:val="en-US"/>
        </w:rPr>
        <w:t>Most of the</w:t>
      </w:r>
      <w:r w:rsidR="00A521DD" w:rsidRPr="00292D9C">
        <w:rPr>
          <w:rFonts w:asciiTheme="minorHAnsi" w:hAnsiTheme="minorHAnsi"/>
          <w:lang w:val="en-US"/>
        </w:rPr>
        <w:t xml:space="preserve"> initiatives and initiative funding focuses on </w:t>
      </w:r>
      <w:r w:rsidR="00672051">
        <w:rPr>
          <w:rFonts w:asciiTheme="minorHAnsi" w:hAnsiTheme="minorHAnsi"/>
          <w:lang w:val="en-US"/>
        </w:rPr>
        <w:t xml:space="preserve">Digital </w:t>
      </w:r>
      <w:r w:rsidR="00A521DD" w:rsidRPr="00292D9C">
        <w:rPr>
          <w:rFonts w:asciiTheme="minorHAnsi" w:hAnsiTheme="minorHAnsi"/>
          <w:lang w:val="en-US"/>
        </w:rPr>
        <w:t>Technolog</w:t>
      </w:r>
      <w:r w:rsidR="004827C1">
        <w:rPr>
          <w:rFonts w:asciiTheme="minorHAnsi" w:hAnsiTheme="minorHAnsi"/>
          <w:lang w:val="en-US"/>
        </w:rPr>
        <w:t>ies</w:t>
      </w:r>
      <w:r w:rsidR="00E60C9C" w:rsidRPr="00292D9C">
        <w:rPr>
          <w:rFonts w:asciiTheme="minorHAnsi" w:hAnsiTheme="minorHAnsi"/>
          <w:lang w:val="en-US"/>
        </w:rPr>
        <w:t xml:space="preserve">, which was a </w:t>
      </w:r>
      <w:r w:rsidR="00C72810" w:rsidRPr="00292D9C">
        <w:rPr>
          <w:rFonts w:asciiTheme="minorHAnsi" w:hAnsiTheme="minorHAnsi"/>
          <w:lang w:val="en-US"/>
        </w:rPr>
        <w:t>strategic decision</w:t>
      </w:r>
      <w:r w:rsidR="00E60C9C" w:rsidRPr="00292D9C">
        <w:rPr>
          <w:rFonts w:asciiTheme="minorHAnsi" w:hAnsiTheme="minorHAnsi"/>
          <w:lang w:val="en-US"/>
        </w:rPr>
        <w:t xml:space="preserve"> designed to </w:t>
      </w:r>
      <w:r w:rsidR="00C72810" w:rsidRPr="00292D9C">
        <w:rPr>
          <w:rFonts w:asciiTheme="minorHAnsi" w:hAnsiTheme="minorHAnsi"/>
          <w:lang w:val="en-US"/>
        </w:rPr>
        <w:t>respond to the policy environment</w:t>
      </w:r>
    </w:p>
    <w:p w14:paraId="2439E7C6" w14:textId="77777777" w:rsidR="00EC27EC" w:rsidRPr="00292D9C" w:rsidRDefault="00A521DD" w:rsidP="00A616D5">
      <w:r w:rsidRPr="00292D9C">
        <w:rPr>
          <w:rFonts w:cstheme="minorHAnsi"/>
          <w:bCs/>
          <w:szCs w:val="21"/>
          <w:lang w:val="en"/>
        </w:rPr>
        <w:t xml:space="preserve">Five of the six school initiatives </w:t>
      </w:r>
      <w:r w:rsidR="00490CA7" w:rsidRPr="00292D9C">
        <w:rPr>
          <w:rFonts w:cstheme="minorHAnsi"/>
          <w:bCs/>
          <w:szCs w:val="21"/>
          <w:lang w:val="en"/>
        </w:rPr>
        <w:t xml:space="preserve">initially </w:t>
      </w:r>
      <w:r w:rsidRPr="00292D9C">
        <w:rPr>
          <w:rFonts w:cstheme="minorHAnsi"/>
          <w:bCs/>
          <w:szCs w:val="21"/>
          <w:lang w:val="en"/>
        </w:rPr>
        <w:t xml:space="preserve">funded </w:t>
      </w:r>
      <w:r w:rsidR="00490CA7" w:rsidRPr="00292D9C">
        <w:rPr>
          <w:rFonts w:cstheme="minorHAnsi"/>
          <w:bCs/>
          <w:szCs w:val="21"/>
          <w:lang w:val="en"/>
        </w:rPr>
        <w:t>through</w:t>
      </w:r>
      <w:r w:rsidRPr="00292D9C">
        <w:rPr>
          <w:rFonts w:cstheme="minorHAnsi"/>
          <w:bCs/>
          <w:szCs w:val="21"/>
          <w:lang w:val="en"/>
        </w:rPr>
        <w:t xml:space="preserve"> NISA had a focus </w:t>
      </w:r>
      <w:r w:rsidR="002977A8" w:rsidRPr="00292D9C">
        <w:rPr>
          <w:rFonts w:cstheme="minorHAnsi"/>
          <w:bCs/>
          <w:szCs w:val="21"/>
          <w:lang w:val="en"/>
        </w:rPr>
        <w:t>on</w:t>
      </w:r>
      <w:r w:rsidRPr="00292D9C">
        <w:rPr>
          <w:rFonts w:cstheme="minorHAnsi"/>
          <w:bCs/>
          <w:szCs w:val="21"/>
          <w:lang w:val="en"/>
        </w:rPr>
        <w:t xml:space="preserve"> </w:t>
      </w:r>
      <w:r w:rsidR="00672051">
        <w:rPr>
          <w:rFonts w:cstheme="minorHAnsi"/>
          <w:bCs/>
          <w:szCs w:val="21"/>
          <w:lang w:val="en"/>
        </w:rPr>
        <w:t xml:space="preserve">Digital </w:t>
      </w:r>
      <w:r w:rsidR="002977A8" w:rsidRPr="00292D9C">
        <w:rPr>
          <w:rFonts w:cstheme="minorHAnsi"/>
          <w:bCs/>
          <w:szCs w:val="21"/>
          <w:lang w:val="en"/>
        </w:rPr>
        <w:t>T</w:t>
      </w:r>
      <w:r w:rsidRPr="00292D9C">
        <w:rPr>
          <w:rFonts w:cstheme="minorHAnsi"/>
          <w:bCs/>
          <w:szCs w:val="21"/>
          <w:lang w:val="en"/>
        </w:rPr>
        <w:t>echnologies</w:t>
      </w:r>
      <w:r w:rsidRPr="00292D9C">
        <w:rPr>
          <w:rFonts w:cstheme="minorHAnsi"/>
          <w:bCs/>
          <w:szCs w:val="21"/>
        </w:rPr>
        <w:t>.</w:t>
      </w:r>
      <w:r w:rsidR="00490CA7" w:rsidRPr="00292D9C">
        <w:rPr>
          <w:rFonts w:cstheme="minorHAnsi"/>
          <w:bCs/>
          <w:szCs w:val="21"/>
        </w:rPr>
        <w:t xml:space="preserve"> </w:t>
      </w:r>
      <w:r w:rsidR="00442760" w:rsidRPr="00292D9C">
        <w:rPr>
          <w:rFonts w:cstheme="minorHAnsi"/>
          <w:bCs/>
          <w:szCs w:val="21"/>
          <w:lang w:val="en"/>
        </w:rPr>
        <w:t>The reason for this was</w:t>
      </w:r>
      <w:r w:rsidR="00FF50A9" w:rsidRPr="00292D9C">
        <w:rPr>
          <w:rFonts w:cstheme="minorHAnsi"/>
          <w:bCs/>
          <w:szCs w:val="21"/>
          <w:lang w:val="en"/>
        </w:rPr>
        <w:t xml:space="preserve"> because</w:t>
      </w:r>
      <w:r w:rsidR="00442760" w:rsidRPr="00292D9C">
        <w:rPr>
          <w:rFonts w:cstheme="minorHAnsi"/>
          <w:bCs/>
          <w:szCs w:val="21"/>
          <w:lang w:val="en"/>
        </w:rPr>
        <w:t xml:space="preserve"> the</w:t>
      </w:r>
      <w:r w:rsidRPr="00292D9C">
        <w:rPr>
          <w:rFonts w:cstheme="minorHAnsi"/>
          <w:bCs/>
          <w:szCs w:val="21"/>
          <w:lang w:val="en"/>
        </w:rPr>
        <w:t xml:space="preserve"> NISA report </w:t>
      </w:r>
      <w:proofErr w:type="spellStart"/>
      <w:r w:rsidR="00657974" w:rsidRPr="00292D9C">
        <w:rPr>
          <w:rFonts w:cstheme="minorHAnsi"/>
          <w:bCs/>
          <w:szCs w:val="21"/>
          <w:lang w:val="en"/>
        </w:rPr>
        <w:t>emphasi</w:t>
      </w:r>
      <w:r w:rsidR="007E7E33" w:rsidRPr="00292D9C">
        <w:rPr>
          <w:rFonts w:cstheme="minorHAnsi"/>
          <w:bCs/>
          <w:szCs w:val="21"/>
          <w:lang w:val="en"/>
        </w:rPr>
        <w:t>s</w:t>
      </w:r>
      <w:r w:rsidR="00657974" w:rsidRPr="00292D9C">
        <w:rPr>
          <w:rFonts w:cstheme="minorHAnsi"/>
          <w:bCs/>
          <w:szCs w:val="21"/>
          <w:lang w:val="en"/>
        </w:rPr>
        <w:t>ed</w:t>
      </w:r>
      <w:proofErr w:type="spellEnd"/>
      <w:r w:rsidRPr="00292D9C">
        <w:rPr>
          <w:rFonts w:cstheme="minorHAnsi"/>
          <w:bCs/>
          <w:szCs w:val="21"/>
          <w:lang w:val="en"/>
        </w:rPr>
        <w:t xml:space="preserve"> coding and computin</w:t>
      </w:r>
      <w:r w:rsidR="004C68C7" w:rsidRPr="00292D9C">
        <w:rPr>
          <w:rFonts w:cstheme="minorHAnsi"/>
          <w:bCs/>
          <w:szCs w:val="21"/>
          <w:lang w:val="en"/>
        </w:rPr>
        <w:t>g</w:t>
      </w:r>
      <w:r w:rsidR="00F67857" w:rsidRPr="00292D9C">
        <w:rPr>
          <w:rStyle w:val="FootnoteReference"/>
          <w:rFonts w:cstheme="minorHAnsi"/>
          <w:bCs/>
          <w:szCs w:val="21"/>
          <w:lang w:val="en"/>
        </w:rPr>
        <w:footnoteReference w:id="22"/>
      </w:r>
      <w:r w:rsidR="00672051">
        <w:rPr>
          <w:rFonts w:cstheme="minorHAnsi"/>
          <w:bCs/>
          <w:szCs w:val="21"/>
          <w:lang w:val="en"/>
        </w:rPr>
        <w:t xml:space="preserve"> and</w:t>
      </w:r>
      <w:r w:rsidR="004C68C7" w:rsidRPr="00292D9C">
        <w:rPr>
          <w:rFonts w:cstheme="minorHAnsi"/>
          <w:bCs/>
          <w:szCs w:val="21"/>
          <w:lang w:val="en"/>
        </w:rPr>
        <w:t xml:space="preserve"> </w:t>
      </w:r>
      <w:r w:rsidR="00672051">
        <w:rPr>
          <w:rFonts w:cstheme="minorHAnsi"/>
          <w:bCs/>
          <w:szCs w:val="21"/>
          <w:lang w:val="en"/>
        </w:rPr>
        <w:t>t</w:t>
      </w:r>
      <w:r w:rsidRPr="00292D9C">
        <w:rPr>
          <w:rFonts w:cstheme="minorHAnsi"/>
          <w:bCs/>
          <w:szCs w:val="21"/>
          <w:lang w:val="en"/>
        </w:rPr>
        <w:t>he</w:t>
      </w:r>
      <w:r w:rsidR="00442760" w:rsidRPr="00292D9C">
        <w:rPr>
          <w:rFonts w:cstheme="minorHAnsi"/>
          <w:bCs/>
          <w:szCs w:val="21"/>
          <w:lang w:val="en"/>
        </w:rPr>
        <w:t xml:space="preserve">re was a </w:t>
      </w:r>
      <w:r w:rsidRPr="00292D9C">
        <w:rPr>
          <w:rFonts w:cstheme="minorHAnsi"/>
          <w:bCs/>
          <w:szCs w:val="21"/>
          <w:lang w:val="en"/>
        </w:rPr>
        <w:t>need to support a new Digital Technologies curriculum as it began to be rolled out in states and territories.</w:t>
      </w:r>
      <w:r w:rsidR="00490CA7" w:rsidRPr="00292D9C">
        <w:rPr>
          <w:rFonts w:cstheme="minorHAnsi"/>
          <w:bCs/>
          <w:szCs w:val="21"/>
          <w:lang w:val="en"/>
        </w:rPr>
        <w:t xml:space="preserve"> </w:t>
      </w:r>
      <w:r w:rsidRPr="00292D9C">
        <w:t>No stakeholders disagreed with th</w:t>
      </w:r>
      <w:r w:rsidR="00442760" w:rsidRPr="00292D9C">
        <w:t xml:space="preserve">is </w:t>
      </w:r>
      <w:r w:rsidR="00657974" w:rsidRPr="00292D9C">
        <w:t>investment in</w:t>
      </w:r>
      <w:r w:rsidRPr="00292D9C">
        <w:t xml:space="preserve"> digital technolog</w:t>
      </w:r>
      <w:r w:rsidR="00347276" w:rsidRPr="00292D9C">
        <w:t>ies</w:t>
      </w:r>
      <w:r w:rsidRPr="00292D9C">
        <w:t xml:space="preserve"> and many stakeholders</w:t>
      </w:r>
      <w:r w:rsidR="00490CA7" w:rsidRPr="00292D9C">
        <w:t xml:space="preserve"> acknowledged that th</w:t>
      </w:r>
      <w:r w:rsidR="00442760" w:rsidRPr="00292D9C">
        <w:t>ere</w:t>
      </w:r>
      <w:r w:rsidR="00347276" w:rsidRPr="00292D9C">
        <w:t xml:space="preserve"> is a</w:t>
      </w:r>
      <w:r w:rsidR="007E7E33" w:rsidRPr="00292D9C">
        <w:t>n</w:t>
      </w:r>
      <w:r w:rsidR="00347276" w:rsidRPr="00292D9C">
        <w:t xml:space="preserve"> ongoing need in this area. </w:t>
      </w:r>
      <w:r w:rsidR="00490CA7" w:rsidRPr="00292D9C">
        <w:t xml:space="preserve">Several </w:t>
      </w:r>
      <w:r w:rsidR="00442760" w:rsidRPr="00292D9C">
        <w:t xml:space="preserve">providers of </w:t>
      </w:r>
      <w:r w:rsidR="00672051">
        <w:t xml:space="preserve">digital </w:t>
      </w:r>
      <w:r w:rsidR="00442760" w:rsidRPr="00292D9C">
        <w:t>technology</w:t>
      </w:r>
      <w:r w:rsidR="00294E58" w:rsidRPr="00292D9C">
        <w:t>-</w:t>
      </w:r>
      <w:r w:rsidR="00442760" w:rsidRPr="00292D9C">
        <w:t xml:space="preserve">focused programs </w:t>
      </w:r>
      <w:r w:rsidR="000D317E" w:rsidRPr="00292D9C">
        <w:t>stated that</w:t>
      </w:r>
      <w:r w:rsidR="00490CA7" w:rsidRPr="00292D9C">
        <w:t xml:space="preserve"> continued investment was required</w:t>
      </w:r>
      <w:r w:rsidRPr="00292D9C">
        <w:t xml:space="preserve"> because schools are still in the early stages of </w:t>
      </w:r>
      <w:r w:rsidR="00490CA7" w:rsidRPr="00292D9C">
        <w:t>implementing the curriculum and there are significant challenges</w:t>
      </w:r>
      <w:r w:rsidR="004C68C7" w:rsidRPr="00292D9C">
        <w:t>, as described below.</w:t>
      </w:r>
      <w:r w:rsidR="00490CA7" w:rsidRPr="00292D9C">
        <w:t xml:space="preserve"> </w:t>
      </w:r>
    </w:p>
    <w:p w14:paraId="5C7D520C" w14:textId="77777777" w:rsidR="00E60C9C" w:rsidRPr="00292D9C" w:rsidRDefault="00E60C9C" w:rsidP="00A616D5">
      <w:pPr>
        <w:pStyle w:val="Heading3Normal"/>
        <w:spacing w:before="0" w:after="120"/>
        <w:rPr>
          <w:rFonts w:asciiTheme="minorHAnsi" w:hAnsiTheme="minorHAnsi"/>
        </w:rPr>
      </w:pPr>
      <w:r w:rsidRPr="00292D9C">
        <w:rPr>
          <w:rFonts w:asciiTheme="minorHAnsi" w:hAnsiTheme="minorHAnsi"/>
        </w:rPr>
        <w:t xml:space="preserve">Any future investment in </w:t>
      </w:r>
      <w:r w:rsidR="00672051">
        <w:rPr>
          <w:rFonts w:asciiTheme="minorHAnsi" w:hAnsiTheme="minorHAnsi"/>
        </w:rPr>
        <w:t xml:space="preserve">supporting the </w:t>
      </w:r>
      <w:r w:rsidRPr="00292D9C">
        <w:rPr>
          <w:rFonts w:asciiTheme="minorHAnsi" w:hAnsiTheme="minorHAnsi"/>
        </w:rPr>
        <w:t xml:space="preserve">digital </w:t>
      </w:r>
      <w:r w:rsidR="00BE092C" w:rsidRPr="00292D9C">
        <w:rPr>
          <w:rFonts w:asciiTheme="minorHAnsi" w:hAnsiTheme="minorHAnsi"/>
        </w:rPr>
        <w:t xml:space="preserve">technologies </w:t>
      </w:r>
      <w:r w:rsidRPr="00292D9C">
        <w:rPr>
          <w:rFonts w:asciiTheme="minorHAnsi" w:hAnsiTheme="minorHAnsi"/>
        </w:rPr>
        <w:t>curriculum needs to be aware of</w:t>
      </w:r>
      <w:r w:rsidR="002977A8" w:rsidRPr="00292D9C">
        <w:rPr>
          <w:rFonts w:asciiTheme="minorHAnsi" w:hAnsiTheme="minorHAnsi"/>
        </w:rPr>
        <w:t xml:space="preserve"> and address</w:t>
      </w:r>
      <w:r w:rsidRPr="00292D9C">
        <w:rPr>
          <w:rFonts w:asciiTheme="minorHAnsi" w:hAnsiTheme="minorHAnsi"/>
        </w:rPr>
        <w:t xml:space="preserve"> the following</w:t>
      </w:r>
      <w:r w:rsidR="00BE092C" w:rsidRPr="00292D9C">
        <w:rPr>
          <w:rFonts w:asciiTheme="minorHAnsi" w:hAnsiTheme="minorHAnsi"/>
        </w:rPr>
        <w:t xml:space="preserve"> </w:t>
      </w:r>
      <w:r w:rsidR="002977A8" w:rsidRPr="00292D9C">
        <w:rPr>
          <w:rFonts w:asciiTheme="minorHAnsi" w:hAnsiTheme="minorHAnsi"/>
        </w:rPr>
        <w:t xml:space="preserve">challenges </w:t>
      </w:r>
      <w:r w:rsidR="00347276" w:rsidRPr="00292D9C">
        <w:rPr>
          <w:rFonts w:asciiTheme="minorHAnsi" w:hAnsiTheme="minorHAnsi"/>
        </w:rPr>
        <w:t xml:space="preserve"> </w:t>
      </w:r>
    </w:p>
    <w:p w14:paraId="4EC17C43" w14:textId="77777777" w:rsidR="00490CA7" w:rsidRPr="00292D9C" w:rsidRDefault="00CB2DCF" w:rsidP="00A616D5">
      <w:r w:rsidRPr="00292D9C">
        <w:rPr>
          <w:rFonts w:eastAsia="Times New Roman" w:cs="Times New Roman"/>
          <w:noProof/>
          <w:color w:val="auto"/>
          <w:szCs w:val="22"/>
          <w:lang w:eastAsia="en-AU"/>
        </w:rPr>
        <mc:AlternateContent>
          <mc:Choice Requires="wps">
            <w:drawing>
              <wp:anchor distT="0" distB="0" distL="114300" distR="114300" simplePos="0" relativeHeight="251713536" behindDoc="0" locked="0" layoutInCell="1" allowOverlap="1" wp14:anchorId="0F97B9D3" wp14:editId="4AC09118">
                <wp:simplePos x="0" y="0"/>
                <wp:positionH relativeFrom="column">
                  <wp:posOffset>4679150</wp:posOffset>
                </wp:positionH>
                <wp:positionV relativeFrom="paragraph">
                  <wp:posOffset>287186</wp:posOffset>
                </wp:positionV>
                <wp:extent cx="1491343" cy="892629"/>
                <wp:effectExtent l="0" t="0" r="0" b="174625"/>
                <wp:wrapSquare wrapText="bothSides"/>
                <wp:docPr id="50" name="Rounded Rectangular Callout 50"/>
                <wp:cNvGraphicFramePr/>
                <a:graphic xmlns:a="http://schemas.openxmlformats.org/drawingml/2006/main">
                  <a:graphicData uri="http://schemas.microsoft.com/office/word/2010/wordprocessingShape">
                    <wps:wsp>
                      <wps:cNvSpPr/>
                      <wps:spPr>
                        <a:xfrm>
                          <a:off x="0" y="0"/>
                          <a:ext cx="1491343" cy="892629"/>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6EA579" w14:textId="77777777" w:rsidR="007E2D07" w:rsidRDefault="007E2D07" w:rsidP="0087538D">
                            <w:pPr>
                              <w:spacing w:line="240" w:lineRule="auto"/>
                              <w:jc w:val="center"/>
                            </w:pPr>
                            <w:r>
                              <w:t>“Improving the digital infrastructure is important if we are expecting students to be 21</w:t>
                            </w:r>
                            <w:r w:rsidRPr="009238B5">
                              <w:rPr>
                                <w:vertAlign w:val="superscript"/>
                              </w:rPr>
                              <w:t>st</w:t>
                            </w:r>
                            <w:r>
                              <w:t xml:space="preserve"> century learners”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7B9D3" id="Rounded Rectangular Callout 50" o:spid="_x0000_s1037" type="#_x0000_t62" style="position:absolute;margin-left:368.45pt;margin-top:22.6pt;width:117.45pt;height:7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" adj="8486,25866" fillcolor="#f4c6cd [660]" stroked="f" strokeweight="2pt">
                <v:textbox inset="0,0,0,0">
                  <w:txbxContent>
                    <w:p w14:paraId="0E6EA579" w14:textId="77777777" w:rsidR="007E2D07" w:rsidRDefault="007E2D07" w:rsidP="0087538D">
                      <w:pPr>
                        <w:spacing w:line="240" w:lineRule="auto"/>
                        <w:jc w:val="center"/>
                      </w:pPr>
                      <w:r>
                        <w:t>“Improving the digital infrastructure is important if we are expecting students to be 21</w:t>
                      </w:r>
                      <w:r w:rsidRPr="009238B5">
                        <w:rPr>
                          <w:vertAlign w:val="superscript"/>
                        </w:rPr>
                        <w:t>st</w:t>
                      </w:r>
                      <w:r>
                        <w:t xml:space="preserve"> century learners” - Teacher</w:t>
                      </w:r>
                    </w:p>
                  </w:txbxContent>
                </v:textbox>
                <w10:wrap type="square"/>
              </v:shape>
            </w:pict>
          </mc:Fallback>
        </mc:AlternateContent>
      </w:r>
      <w:r w:rsidR="00BE092C" w:rsidRPr="00292D9C">
        <w:t>Providers, evaluators</w:t>
      </w:r>
      <w:r w:rsidR="00657974" w:rsidRPr="00292D9C">
        <w:t xml:space="preserve"> and stakeholders </w:t>
      </w:r>
      <w:r w:rsidR="00BE092C" w:rsidRPr="00292D9C">
        <w:t>raised the following issues around</w:t>
      </w:r>
      <w:r w:rsidR="00657974" w:rsidRPr="00292D9C">
        <w:t xml:space="preserve"> </w:t>
      </w:r>
      <w:r w:rsidR="00BE092C" w:rsidRPr="00292D9C">
        <w:t xml:space="preserve">digital technologies that would need to be addressed with any future investment in digital technologies. </w:t>
      </w:r>
    </w:p>
    <w:p w14:paraId="6FC8F160" w14:textId="77777777" w:rsidR="00A521DD" w:rsidRPr="00292D9C" w:rsidRDefault="00A521DD" w:rsidP="003C2ACB">
      <w:pPr>
        <w:pStyle w:val="ListParagraph"/>
        <w:numPr>
          <w:ilvl w:val="0"/>
          <w:numId w:val="19"/>
        </w:numPr>
      </w:pPr>
      <w:r w:rsidRPr="00292D9C">
        <w:rPr>
          <w:lang w:val="en-US"/>
        </w:rPr>
        <w:t>Lack of</w:t>
      </w:r>
      <w:r w:rsidR="007E7E33" w:rsidRPr="00292D9C">
        <w:rPr>
          <w:lang w:val="en-US"/>
        </w:rPr>
        <w:t xml:space="preserve">, </w:t>
      </w:r>
      <w:r w:rsidRPr="00292D9C">
        <w:rPr>
          <w:lang w:val="en-US"/>
        </w:rPr>
        <w:t>or underdeveloped</w:t>
      </w:r>
      <w:r w:rsidR="007E7E33" w:rsidRPr="00292D9C">
        <w:rPr>
          <w:lang w:val="en-US"/>
        </w:rPr>
        <w:t>,</w:t>
      </w:r>
      <w:r w:rsidRPr="00292D9C">
        <w:rPr>
          <w:lang w:val="en-US"/>
        </w:rPr>
        <w:t xml:space="preserve"> technology infrastructure in schools such as </w:t>
      </w:r>
      <w:r w:rsidR="00490CA7" w:rsidRPr="00292D9C">
        <w:rPr>
          <w:lang w:val="en-US"/>
        </w:rPr>
        <w:t>Internet connectivity</w:t>
      </w:r>
      <w:r w:rsidR="009F6E9B" w:rsidRPr="00292D9C">
        <w:rPr>
          <w:lang w:val="en-US"/>
        </w:rPr>
        <w:t>.</w:t>
      </w:r>
      <w:r w:rsidR="009F6E9B" w:rsidRPr="00292D9C">
        <w:rPr>
          <w:rStyle w:val="FootnoteReference"/>
          <w:lang w:val="en-US"/>
        </w:rPr>
        <w:footnoteReference w:id="23"/>
      </w:r>
    </w:p>
    <w:p w14:paraId="0AE0E451" w14:textId="77777777" w:rsidR="00A521DD" w:rsidRPr="00292D9C" w:rsidRDefault="00095C0E" w:rsidP="00A616D5">
      <w:pPr>
        <w:pStyle w:val="ListParagraph"/>
        <w:numPr>
          <w:ilvl w:val="0"/>
          <w:numId w:val="15"/>
        </w:numPr>
      </w:pPr>
      <w:r w:rsidRPr="00292D9C">
        <w:rPr>
          <w:rFonts w:eastAsia="Times New Roman" w:cs="Times New Roman"/>
          <w:noProof/>
          <w:color w:val="auto"/>
          <w:szCs w:val="22"/>
          <w:lang w:eastAsia="en-AU"/>
        </w:rPr>
        <mc:AlternateContent>
          <mc:Choice Requires="wps">
            <w:drawing>
              <wp:anchor distT="0" distB="0" distL="114300" distR="114300" simplePos="0" relativeHeight="251738112" behindDoc="0" locked="0" layoutInCell="1" allowOverlap="1" wp14:anchorId="588B1D75" wp14:editId="6BF6063D">
                <wp:simplePos x="0" y="0"/>
                <wp:positionH relativeFrom="column">
                  <wp:posOffset>4688012</wp:posOffset>
                </wp:positionH>
                <wp:positionV relativeFrom="paragraph">
                  <wp:posOffset>342735</wp:posOffset>
                </wp:positionV>
                <wp:extent cx="1478280" cy="956441"/>
                <wp:effectExtent l="0" t="0" r="0" b="110490"/>
                <wp:wrapSquare wrapText="bothSides"/>
                <wp:docPr id="41" name="Rounded Rectangular Callout 41"/>
                <wp:cNvGraphicFramePr/>
                <a:graphic xmlns:a="http://schemas.openxmlformats.org/drawingml/2006/main">
                  <a:graphicData uri="http://schemas.microsoft.com/office/word/2010/wordprocessingShape">
                    <wps:wsp>
                      <wps:cNvSpPr/>
                      <wps:spPr>
                        <a:xfrm>
                          <a:off x="0" y="0"/>
                          <a:ext cx="1478280" cy="956441"/>
                        </a:xfrm>
                        <a:prstGeom prst="wedgeRoundRectCallout">
                          <a:avLst>
                            <a:gd name="adj1" fmla="val -9950"/>
                            <a:gd name="adj2" fmla="val 60956"/>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65AD0" w14:textId="77777777" w:rsidR="007E2D07" w:rsidRDefault="007E2D07" w:rsidP="0087538D">
                            <w:pPr>
                              <w:spacing w:line="240" w:lineRule="auto"/>
                              <w:jc w:val="center"/>
                            </w:pPr>
                            <w:r>
                              <w:t>“If we want to teach using 21st century technologies, then we need to be able to access IT that works consistently.”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B1D75" id="Rounded Rectangular Callout 41" o:spid="_x0000_s1038" type="#_x0000_t62" style="position:absolute;left:0;text-align:left;margin-left:369.15pt;margin-top:27pt;width:116.4pt;height:7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" adj="8651,23966" fillcolor="#f4c6cd [660]" stroked="f" strokeweight="2pt">
                <v:textbox inset="0,0,0,0">
                  <w:txbxContent>
                    <w:p w14:paraId="2C065AD0" w14:textId="77777777" w:rsidR="007E2D07" w:rsidRDefault="007E2D07" w:rsidP="0087538D">
                      <w:pPr>
                        <w:spacing w:line="240" w:lineRule="auto"/>
                        <w:jc w:val="center"/>
                      </w:pPr>
                      <w:r>
                        <w:t>“If we want to teach using 21st century technologies, then we need to be able to access IT that works consistently.” – Principal</w:t>
                      </w:r>
                    </w:p>
                  </w:txbxContent>
                </v:textbox>
                <w10:wrap type="square"/>
              </v:shape>
            </w:pict>
          </mc:Fallback>
        </mc:AlternateContent>
      </w:r>
      <w:r w:rsidR="00A521DD" w:rsidRPr="00292D9C">
        <w:rPr>
          <w:lang w:val="en-US"/>
        </w:rPr>
        <w:t xml:space="preserve">Inequities between schools in terms of digital technology capabilities – some schools are still focused </w:t>
      </w:r>
      <w:r w:rsidR="00490CA7" w:rsidRPr="00292D9C">
        <w:rPr>
          <w:lang w:val="en-US"/>
        </w:rPr>
        <w:t xml:space="preserve">solely </w:t>
      </w:r>
      <w:r w:rsidR="00A521DD" w:rsidRPr="00292D9C">
        <w:rPr>
          <w:lang w:val="en-US"/>
        </w:rPr>
        <w:t xml:space="preserve">on literacy and numeracy while other schools are ready </w:t>
      </w:r>
      <w:r w:rsidR="00490CA7" w:rsidRPr="00292D9C">
        <w:rPr>
          <w:lang w:val="en-US"/>
        </w:rPr>
        <w:t>to teach more advanced technology content</w:t>
      </w:r>
      <w:r w:rsidR="00D017BC" w:rsidRPr="00292D9C">
        <w:rPr>
          <w:lang w:val="en-US"/>
        </w:rPr>
        <w:t>.</w:t>
      </w:r>
    </w:p>
    <w:p w14:paraId="70A3B564" w14:textId="77777777" w:rsidR="00A521DD" w:rsidRPr="00292D9C" w:rsidRDefault="00A521DD" w:rsidP="00A616D5">
      <w:pPr>
        <w:pStyle w:val="ListParagraph"/>
        <w:numPr>
          <w:ilvl w:val="0"/>
          <w:numId w:val="15"/>
        </w:numPr>
      </w:pPr>
      <w:r w:rsidRPr="00292D9C">
        <w:rPr>
          <w:lang w:val="en-US"/>
        </w:rPr>
        <w:t xml:space="preserve">The need to </w:t>
      </w:r>
      <w:r w:rsidR="00490CA7" w:rsidRPr="00292D9C">
        <w:rPr>
          <w:lang w:val="en-US"/>
        </w:rPr>
        <w:t xml:space="preserve">continually </w:t>
      </w:r>
      <w:r w:rsidRPr="00292D9C">
        <w:rPr>
          <w:lang w:val="en-US"/>
        </w:rPr>
        <w:t>update</w:t>
      </w:r>
      <w:r w:rsidR="008E513F">
        <w:rPr>
          <w:lang w:val="en-US"/>
        </w:rPr>
        <w:t xml:space="preserve"> and refresh teacher capability </w:t>
      </w:r>
      <w:r w:rsidR="004827C1">
        <w:rPr>
          <w:lang w:val="en-US"/>
        </w:rPr>
        <w:t xml:space="preserve">to </w:t>
      </w:r>
      <w:r w:rsidR="003D3015">
        <w:rPr>
          <w:lang w:val="en-US"/>
        </w:rPr>
        <w:t>deliver curriculum</w:t>
      </w:r>
      <w:r w:rsidR="008E513F">
        <w:rPr>
          <w:lang w:val="en-US"/>
        </w:rPr>
        <w:t xml:space="preserve"> </w:t>
      </w:r>
      <w:r w:rsidR="004827C1">
        <w:rPr>
          <w:lang w:val="en-US"/>
        </w:rPr>
        <w:t>content</w:t>
      </w:r>
      <w:r w:rsidR="0037299C">
        <w:rPr>
          <w:lang w:val="en-US"/>
        </w:rPr>
        <w:t xml:space="preserve"> in the context of rapid developments in the field</w:t>
      </w:r>
      <w:r w:rsidR="008E513F">
        <w:rPr>
          <w:lang w:val="en-US"/>
        </w:rPr>
        <w:t xml:space="preserve">. For example, increasing capability to use and teach more advanced technologies such as artificial intelligence and big data. </w:t>
      </w:r>
      <w:r w:rsidRPr="00292D9C">
        <w:rPr>
          <w:lang w:val="en-US"/>
        </w:rPr>
        <w:t xml:space="preserve"> </w:t>
      </w:r>
    </w:p>
    <w:p w14:paraId="53729F7C" w14:textId="77777777" w:rsidR="007E7E33" w:rsidRPr="00292D9C" w:rsidRDefault="00095C0E" w:rsidP="00A616D5">
      <w:pPr>
        <w:pStyle w:val="ListParagraph"/>
        <w:numPr>
          <w:ilvl w:val="0"/>
          <w:numId w:val="15"/>
        </w:numPr>
      </w:pPr>
      <w:r w:rsidRPr="00292D9C">
        <w:rPr>
          <w:rFonts w:eastAsia="Times New Roman" w:cs="Times New Roman"/>
          <w:noProof/>
          <w:color w:val="auto"/>
          <w:szCs w:val="22"/>
          <w:lang w:eastAsia="en-AU"/>
        </w:rPr>
        <mc:AlternateContent>
          <mc:Choice Requires="wps">
            <w:drawing>
              <wp:anchor distT="0" distB="0" distL="114300" distR="114300" simplePos="0" relativeHeight="251854848" behindDoc="0" locked="0" layoutInCell="1" allowOverlap="1" wp14:anchorId="585A5236" wp14:editId="1C10CBCB">
                <wp:simplePos x="0" y="0"/>
                <wp:positionH relativeFrom="column">
                  <wp:posOffset>4689944</wp:posOffset>
                </wp:positionH>
                <wp:positionV relativeFrom="paragraph">
                  <wp:posOffset>-2071</wp:posOffset>
                </wp:positionV>
                <wp:extent cx="1516282" cy="943707"/>
                <wp:effectExtent l="0" t="0" r="0" b="135890"/>
                <wp:wrapSquare wrapText="bothSides"/>
                <wp:docPr id="66" name="Rounded Rectangular Callout 66"/>
                <wp:cNvGraphicFramePr/>
                <a:graphic xmlns:a="http://schemas.openxmlformats.org/drawingml/2006/main">
                  <a:graphicData uri="http://schemas.microsoft.com/office/word/2010/wordprocessingShape">
                    <wps:wsp>
                      <wps:cNvSpPr/>
                      <wps:spPr>
                        <a:xfrm>
                          <a:off x="0" y="0"/>
                          <a:ext cx="1516282" cy="943707"/>
                        </a:xfrm>
                        <a:prstGeom prst="wedgeRoundRectCallout">
                          <a:avLst>
                            <a:gd name="adj1" fmla="val -11957"/>
                            <a:gd name="adj2" fmla="val 6393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0DC134" w14:textId="77777777" w:rsidR="007E2D07" w:rsidRDefault="007E2D07" w:rsidP="00095C0E">
                            <w:pPr>
                              <w:spacing w:line="240" w:lineRule="auto"/>
                              <w:jc w:val="center"/>
                            </w:pPr>
                            <w:r>
                              <w:t>“Limitations of device capacity, access and bandwidth make access to emerging technologies difficult”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A5236" id="Rounded Rectangular Callout 66" o:spid="_x0000_s1039" type="#_x0000_t62" style="position:absolute;left:0;text-align:left;margin-left:369.3pt;margin-top:-.15pt;width:119.4pt;height:74.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" adj="8217,24610" fillcolor="#f4c6cd [660]" stroked="f" strokeweight="2pt">
                <v:textbox inset="0,0,0,0">
                  <w:txbxContent>
                    <w:p w14:paraId="670DC134" w14:textId="77777777" w:rsidR="007E2D07" w:rsidRDefault="007E2D07" w:rsidP="00095C0E">
                      <w:pPr>
                        <w:spacing w:line="240" w:lineRule="auto"/>
                        <w:jc w:val="center"/>
                      </w:pPr>
                      <w:r>
                        <w:t>“Limitations of device capacity, access and bandwidth make access to emerging technologies difficult” – Principal</w:t>
                      </w:r>
                    </w:p>
                  </w:txbxContent>
                </v:textbox>
                <w10:wrap type="square"/>
              </v:shape>
            </w:pict>
          </mc:Fallback>
        </mc:AlternateContent>
      </w:r>
      <w:r w:rsidR="00BE092C" w:rsidRPr="00292D9C">
        <w:rPr>
          <w:lang w:val="en-US"/>
        </w:rPr>
        <w:t>Schools often implement digital technologies in a shallow way.</w:t>
      </w:r>
      <w:r w:rsidR="00A521DD" w:rsidRPr="00292D9C">
        <w:rPr>
          <w:lang w:val="en-US"/>
        </w:rPr>
        <w:t xml:space="preserve"> For example, schools </w:t>
      </w:r>
      <w:r w:rsidR="00D017BC" w:rsidRPr="00292D9C">
        <w:rPr>
          <w:lang w:val="en-US"/>
        </w:rPr>
        <w:t xml:space="preserve">may </w:t>
      </w:r>
      <w:r w:rsidR="00490CA7" w:rsidRPr="00292D9C">
        <w:rPr>
          <w:lang w:val="en-US"/>
        </w:rPr>
        <w:t xml:space="preserve">set up </w:t>
      </w:r>
      <w:r w:rsidR="00A521DD" w:rsidRPr="00292D9C">
        <w:rPr>
          <w:lang w:val="en-US"/>
        </w:rPr>
        <w:t>coding</w:t>
      </w:r>
      <w:r w:rsidR="00490CA7" w:rsidRPr="00292D9C">
        <w:rPr>
          <w:lang w:val="en-US"/>
        </w:rPr>
        <w:t xml:space="preserve"> or robotics clubs</w:t>
      </w:r>
      <w:r w:rsidR="00A521DD" w:rsidRPr="00292D9C">
        <w:rPr>
          <w:lang w:val="en-US"/>
        </w:rPr>
        <w:t>, rather</w:t>
      </w:r>
      <w:r w:rsidR="00D017BC" w:rsidRPr="00292D9C">
        <w:rPr>
          <w:lang w:val="en-US"/>
        </w:rPr>
        <w:t xml:space="preserve"> than</w:t>
      </w:r>
      <w:r w:rsidR="00A521DD" w:rsidRPr="00292D9C">
        <w:rPr>
          <w:lang w:val="en-US"/>
        </w:rPr>
        <w:t xml:space="preserve"> </w:t>
      </w:r>
      <w:r w:rsidR="00490CA7" w:rsidRPr="00292D9C">
        <w:rPr>
          <w:lang w:val="en-US"/>
        </w:rPr>
        <w:t xml:space="preserve">teach </w:t>
      </w:r>
      <w:r w:rsidR="00A521DD" w:rsidRPr="00292D9C">
        <w:rPr>
          <w:lang w:val="en-US"/>
        </w:rPr>
        <w:t>computational thinking</w:t>
      </w:r>
      <w:r w:rsidR="00490CA7" w:rsidRPr="00292D9C">
        <w:rPr>
          <w:lang w:val="en-US"/>
        </w:rPr>
        <w:t xml:space="preserve"> that is a </w:t>
      </w:r>
      <w:r w:rsidR="00BE092C" w:rsidRPr="00292D9C">
        <w:rPr>
          <w:lang w:val="en-US"/>
        </w:rPr>
        <w:t>fundamental p</w:t>
      </w:r>
      <w:r w:rsidR="00490CA7" w:rsidRPr="00292D9C">
        <w:rPr>
          <w:lang w:val="en-US"/>
        </w:rPr>
        <w:t xml:space="preserve">art of the </w:t>
      </w:r>
      <w:r w:rsidR="007E7E33" w:rsidRPr="00292D9C">
        <w:rPr>
          <w:lang w:val="en-US"/>
        </w:rPr>
        <w:t>D</w:t>
      </w:r>
      <w:r w:rsidR="00490CA7" w:rsidRPr="00292D9C">
        <w:rPr>
          <w:lang w:val="en-US"/>
        </w:rPr>
        <w:t xml:space="preserve">igital </w:t>
      </w:r>
      <w:r w:rsidR="007E7E33" w:rsidRPr="00292D9C">
        <w:rPr>
          <w:lang w:val="en-US"/>
        </w:rPr>
        <w:t>T</w:t>
      </w:r>
      <w:r w:rsidR="00BE092C" w:rsidRPr="00292D9C">
        <w:rPr>
          <w:lang w:val="en-US"/>
        </w:rPr>
        <w:t xml:space="preserve">echnologies </w:t>
      </w:r>
      <w:r w:rsidR="00490CA7" w:rsidRPr="00292D9C">
        <w:rPr>
          <w:lang w:val="en-US"/>
        </w:rPr>
        <w:t>curriculum.</w:t>
      </w:r>
      <w:r w:rsidRPr="00292D9C">
        <w:rPr>
          <w:rFonts w:eastAsia="Times New Roman" w:cs="Times New Roman"/>
          <w:noProof/>
          <w:color w:val="auto"/>
          <w:szCs w:val="22"/>
          <w:lang w:eastAsia="en-AU"/>
        </w:rPr>
        <w:t xml:space="preserve"> </w:t>
      </w:r>
    </w:p>
    <w:p w14:paraId="6F5D3016" w14:textId="77777777" w:rsidR="00A521DD" w:rsidRPr="00292D9C" w:rsidRDefault="00490CA7" w:rsidP="00A616D5">
      <w:pPr>
        <w:pStyle w:val="Heading3"/>
        <w:numPr>
          <w:ilvl w:val="0"/>
          <w:numId w:val="0"/>
        </w:numPr>
        <w:spacing w:before="0" w:after="120"/>
        <w:rPr>
          <w:rFonts w:asciiTheme="minorHAnsi" w:hAnsiTheme="minorHAnsi"/>
        </w:rPr>
      </w:pPr>
      <w:r w:rsidRPr="00292D9C">
        <w:rPr>
          <w:rFonts w:asciiTheme="minorHAnsi" w:hAnsiTheme="minorHAnsi"/>
        </w:rPr>
        <w:t>The digital technology focus</w:t>
      </w:r>
      <w:r w:rsidR="00A521DD" w:rsidRPr="00292D9C">
        <w:rPr>
          <w:rFonts w:asciiTheme="minorHAnsi" w:hAnsiTheme="minorHAnsi"/>
        </w:rPr>
        <w:t xml:space="preserve"> has left gaps in other </w:t>
      </w:r>
      <w:r w:rsidR="00583286">
        <w:rPr>
          <w:rFonts w:asciiTheme="minorHAnsi" w:hAnsiTheme="minorHAnsi"/>
        </w:rPr>
        <w:t xml:space="preserve">STEM </w:t>
      </w:r>
      <w:r w:rsidR="00A521DD" w:rsidRPr="00292D9C">
        <w:rPr>
          <w:rFonts w:asciiTheme="minorHAnsi" w:hAnsiTheme="minorHAnsi"/>
        </w:rPr>
        <w:t>areas of need such as</w:t>
      </w:r>
      <w:r w:rsidR="00DA3A10" w:rsidRPr="00292D9C">
        <w:rPr>
          <w:rFonts w:asciiTheme="minorHAnsi" w:hAnsiTheme="minorHAnsi"/>
        </w:rPr>
        <w:t xml:space="preserve"> </w:t>
      </w:r>
      <w:r w:rsidR="00FD5FD7" w:rsidRPr="00292D9C">
        <w:rPr>
          <w:rFonts w:asciiTheme="minorHAnsi" w:hAnsiTheme="minorHAnsi"/>
        </w:rPr>
        <w:t>m</w:t>
      </w:r>
      <w:r w:rsidR="00A521DD" w:rsidRPr="00292D9C">
        <w:rPr>
          <w:rFonts w:asciiTheme="minorHAnsi" w:hAnsiTheme="minorHAnsi"/>
        </w:rPr>
        <w:t>ath</w:t>
      </w:r>
      <w:r w:rsidR="007E7E33" w:rsidRPr="00292D9C">
        <w:rPr>
          <w:rFonts w:asciiTheme="minorHAnsi" w:hAnsiTheme="minorHAnsi"/>
        </w:rPr>
        <w:t>ematics</w:t>
      </w:r>
    </w:p>
    <w:p w14:paraId="650AA63D" w14:textId="77777777" w:rsidR="00B40066" w:rsidRPr="00292D9C" w:rsidRDefault="00442760" w:rsidP="00A616D5">
      <w:pPr>
        <w:rPr>
          <w:lang w:val="en-US"/>
        </w:rPr>
      </w:pPr>
      <w:r w:rsidRPr="00292D9C">
        <w:rPr>
          <w:lang w:val="en-US"/>
        </w:rPr>
        <w:t>Only two programs</w:t>
      </w:r>
      <w:r w:rsidR="00A521DD" w:rsidRPr="00292D9C">
        <w:rPr>
          <w:lang w:val="en-US"/>
        </w:rPr>
        <w:t xml:space="preserve"> focused </w:t>
      </w:r>
      <w:r w:rsidRPr="00292D9C">
        <w:rPr>
          <w:lang w:val="en-US"/>
        </w:rPr>
        <w:t>on math</w:t>
      </w:r>
      <w:r w:rsidR="007E7E33" w:rsidRPr="00292D9C">
        <w:rPr>
          <w:lang w:val="en-US"/>
        </w:rPr>
        <w:t>ematics</w:t>
      </w:r>
      <w:r w:rsidR="00D017BC" w:rsidRPr="00292D9C">
        <w:rPr>
          <w:lang w:val="en-US"/>
        </w:rPr>
        <w:t xml:space="preserve"> –</w:t>
      </w:r>
      <w:r w:rsidRPr="00292D9C">
        <w:rPr>
          <w:lang w:val="en-US"/>
        </w:rPr>
        <w:t xml:space="preserve"> one in the early years (</w:t>
      </w:r>
      <w:r w:rsidR="00A521DD" w:rsidRPr="00292D9C">
        <w:rPr>
          <w:lang w:val="en-US"/>
        </w:rPr>
        <w:t>Let’s Count</w:t>
      </w:r>
      <w:r w:rsidRPr="00292D9C">
        <w:rPr>
          <w:lang w:val="en-US"/>
        </w:rPr>
        <w:t xml:space="preserve">) </w:t>
      </w:r>
      <w:r w:rsidR="00A521DD" w:rsidRPr="00292D9C">
        <w:rPr>
          <w:lang w:val="en-US"/>
        </w:rPr>
        <w:t>and</w:t>
      </w:r>
      <w:r w:rsidRPr="00292D9C">
        <w:rPr>
          <w:lang w:val="en-US"/>
        </w:rPr>
        <w:t xml:space="preserve"> one for school years (</w:t>
      </w:r>
      <w:proofErr w:type="spellStart"/>
      <w:r w:rsidR="00582EF6" w:rsidRPr="00292D9C">
        <w:rPr>
          <w:lang w:val="en-US"/>
        </w:rPr>
        <w:t>r</w:t>
      </w:r>
      <w:r w:rsidR="00A521DD" w:rsidRPr="00292D9C">
        <w:rPr>
          <w:lang w:val="en-US"/>
        </w:rPr>
        <w:t>eSolve</w:t>
      </w:r>
      <w:proofErr w:type="spellEnd"/>
      <w:r w:rsidR="00A521DD" w:rsidRPr="00292D9C">
        <w:rPr>
          <w:lang w:val="en-US"/>
        </w:rPr>
        <w:t xml:space="preserve">: </w:t>
      </w:r>
      <w:proofErr w:type="spellStart"/>
      <w:r w:rsidR="00A521DD" w:rsidRPr="00292D9C">
        <w:rPr>
          <w:lang w:val="en-US"/>
        </w:rPr>
        <w:t>Maths</w:t>
      </w:r>
      <w:proofErr w:type="spellEnd"/>
      <w:r w:rsidR="00A521DD" w:rsidRPr="00292D9C">
        <w:rPr>
          <w:lang w:val="en-US"/>
        </w:rPr>
        <w:t xml:space="preserve"> by </w:t>
      </w:r>
      <w:r w:rsidRPr="00292D9C">
        <w:rPr>
          <w:lang w:val="en-US"/>
        </w:rPr>
        <w:t>Inquiry)</w:t>
      </w:r>
      <w:r w:rsidR="007E7E33" w:rsidRPr="00292D9C">
        <w:rPr>
          <w:lang w:val="en-US"/>
        </w:rPr>
        <w:t xml:space="preserve">. </w:t>
      </w:r>
      <w:r w:rsidR="00EC27EC" w:rsidRPr="00292D9C">
        <w:rPr>
          <w:lang w:val="en-US"/>
        </w:rPr>
        <w:t>As shown in the graph below, o</w:t>
      </w:r>
      <w:r w:rsidR="00C72810" w:rsidRPr="00292D9C">
        <w:rPr>
          <w:lang w:val="en-US"/>
        </w:rPr>
        <w:t>nly seven per cent of initiative funding was allocated to math-focused initiatives. Math</w:t>
      </w:r>
      <w:r w:rsidR="00C57D7B">
        <w:rPr>
          <w:lang w:val="en-US"/>
        </w:rPr>
        <w:t>ematics</w:t>
      </w:r>
      <w:r w:rsidR="00C72810" w:rsidRPr="00292D9C">
        <w:rPr>
          <w:lang w:val="en-US"/>
        </w:rPr>
        <w:t xml:space="preserve"> is an important area </w:t>
      </w:r>
      <w:r w:rsidR="007E7E33" w:rsidRPr="00292D9C">
        <w:rPr>
          <w:lang w:val="en-US"/>
        </w:rPr>
        <w:t>to</w:t>
      </w:r>
      <w:r w:rsidR="002977A8" w:rsidRPr="00292D9C">
        <w:rPr>
          <w:lang w:val="en-US"/>
        </w:rPr>
        <w:t xml:space="preserve"> f</w:t>
      </w:r>
      <w:r w:rsidR="00C72810" w:rsidRPr="00292D9C">
        <w:rPr>
          <w:lang w:val="en-US"/>
        </w:rPr>
        <w:t xml:space="preserve">ocus on because it is a foundation that underpins other STEM </w:t>
      </w:r>
      <w:r w:rsidR="00D017BC" w:rsidRPr="00292D9C">
        <w:rPr>
          <w:lang w:val="en-US"/>
        </w:rPr>
        <w:t xml:space="preserve">areas </w:t>
      </w:r>
      <w:r w:rsidR="00C72810" w:rsidRPr="00292D9C">
        <w:rPr>
          <w:lang w:val="en-US"/>
        </w:rPr>
        <w:t>such as digital technology and engineering</w:t>
      </w:r>
      <w:r w:rsidR="007E7E33" w:rsidRPr="00292D9C">
        <w:rPr>
          <w:lang w:val="en-US"/>
        </w:rPr>
        <w:t>.</w:t>
      </w:r>
      <w:r w:rsidR="00C72810" w:rsidRPr="00292D9C">
        <w:rPr>
          <w:lang w:val="en-US"/>
        </w:rPr>
        <w:t xml:space="preserve"> </w:t>
      </w:r>
      <w:r w:rsidR="00626256" w:rsidRPr="00292D9C">
        <w:rPr>
          <w:lang w:val="en-US"/>
        </w:rPr>
        <w:t xml:space="preserve">In our consultations, many </w:t>
      </w:r>
      <w:r w:rsidR="001617AA" w:rsidRPr="00292D9C">
        <w:rPr>
          <w:lang w:val="en-US"/>
        </w:rPr>
        <w:t>stakeholders</w:t>
      </w:r>
      <w:r w:rsidR="00626256" w:rsidRPr="00292D9C">
        <w:rPr>
          <w:lang w:val="en-US"/>
        </w:rPr>
        <w:t xml:space="preserve"> </w:t>
      </w:r>
      <w:r w:rsidR="00C57D7B">
        <w:rPr>
          <w:lang w:val="en-US"/>
        </w:rPr>
        <w:t xml:space="preserve">– including those who don’t have a specific subject-matter interest in mathematics – </w:t>
      </w:r>
      <w:r w:rsidR="00FD5FD7" w:rsidRPr="00292D9C">
        <w:rPr>
          <w:lang w:val="en-US"/>
        </w:rPr>
        <w:t>identified</w:t>
      </w:r>
      <w:r w:rsidR="00626256" w:rsidRPr="00292D9C">
        <w:rPr>
          <w:lang w:val="en-US"/>
        </w:rPr>
        <w:t xml:space="preserve"> low </w:t>
      </w:r>
      <w:r w:rsidR="0041172D" w:rsidRPr="00292D9C">
        <w:rPr>
          <w:lang w:val="en-US"/>
        </w:rPr>
        <w:t xml:space="preserve">teacher </w:t>
      </w:r>
      <w:r w:rsidR="00626256" w:rsidRPr="00292D9C">
        <w:rPr>
          <w:lang w:val="en-US"/>
        </w:rPr>
        <w:t>confidence in math</w:t>
      </w:r>
      <w:r w:rsidR="00D017BC" w:rsidRPr="00292D9C">
        <w:rPr>
          <w:lang w:val="en-US"/>
        </w:rPr>
        <w:t>ematics</w:t>
      </w:r>
      <w:r w:rsidR="00626256" w:rsidRPr="00292D9C">
        <w:rPr>
          <w:lang w:val="en-US"/>
        </w:rPr>
        <w:t xml:space="preserve"> as a barrier to effective STEM teaching</w:t>
      </w:r>
      <w:r w:rsidR="00C57D7B">
        <w:rPr>
          <w:lang w:val="en-US"/>
        </w:rPr>
        <w:t>.</w:t>
      </w:r>
      <w:r w:rsidR="00626256" w:rsidRPr="00292D9C">
        <w:rPr>
          <w:lang w:val="en-US"/>
        </w:rPr>
        <w:t xml:space="preserve"> </w:t>
      </w:r>
      <w:r w:rsidR="00C57D7B">
        <w:rPr>
          <w:lang w:val="en-US"/>
        </w:rPr>
        <w:t>P</w:t>
      </w:r>
      <w:r w:rsidR="00626256" w:rsidRPr="00292D9C">
        <w:rPr>
          <w:lang w:val="en-US"/>
        </w:rPr>
        <w:t xml:space="preserve">articularly at the primary school level where literacy </w:t>
      </w:r>
      <w:r w:rsidR="001617AA" w:rsidRPr="00292D9C">
        <w:rPr>
          <w:lang w:val="en-US"/>
        </w:rPr>
        <w:t xml:space="preserve">was </w:t>
      </w:r>
      <w:r w:rsidR="0041172D" w:rsidRPr="00292D9C">
        <w:rPr>
          <w:lang w:val="en-US"/>
        </w:rPr>
        <w:t>viewed</w:t>
      </w:r>
      <w:r w:rsidR="001617AA" w:rsidRPr="00292D9C">
        <w:rPr>
          <w:lang w:val="en-US"/>
        </w:rPr>
        <w:t xml:space="preserve"> as a greater area of strength</w:t>
      </w:r>
      <w:r w:rsidR="00ED5950" w:rsidRPr="00292D9C">
        <w:rPr>
          <w:lang w:val="en-US"/>
        </w:rPr>
        <w:t xml:space="preserve">. </w:t>
      </w:r>
      <w:r w:rsidR="001617AA" w:rsidRPr="00292D9C">
        <w:t>Maths anxiety among teachers is a great concern as research suggests that educators can transmit negative attitudes about maths to their students, which can affect their learning in this area</w:t>
      </w:r>
      <w:r w:rsidR="00ED5950" w:rsidRPr="00292D9C">
        <w:t xml:space="preserve"> and potentially their interest in STEM careers</w:t>
      </w:r>
      <w:r w:rsidR="001617AA" w:rsidRPr="00292D9C">
        <w:t>.</w:t>
      </w:r>
      <w:r w:rsidR="001617AA" w:rsidRPr="00292D9C">
        <w:rPr>
          <w:rStyle w:val="FootnoteReference"/>
        </w:rPr>
        <w:footnoteReference w:id="24"/>
      </w:r>
      <w:r w:rsidR="00ED5950" w:rsidRPr="00292D9C">
        <w:rPr>
          <w:lang w:val="en-US"/>
        </w:rPr>
        <w:t xml:space="preserve"> </w:t>
      </w:r>
    </w:p>
    <w:p w14:paraId="649861E0" w14:textId="77777777" w:rsidR="00B47795" w:rsidRDefault="00B34E9D" w:rsidP="00A616D5">
      <w:r w:rsidRPr="00292D9C">
        <w:t>Stakeholders</w:t>
      </w:r>
      <w:r w:rsidR="00ED5950" w:rsidRPr="00292D9C">
        <w:t xml:space="preserve"> also</w:t>
      </w:r>
      <w:r w:rsidRPr="00292D9C">
        <w:t xml:space="preserve"> identified educators teaching out-of-field (due to a lack of mathematics teachers) as a potential reason for lower teacher capability in maths, as most are not </w:t>
      </w:r>
      <w:r w:rsidR="00ED5950" w:rsidRPr="00292D9C">
        <w:t>well-</w:t>
      </w:r>
      <w:r w:rsidRPr="00292D9C">
        <w:t>trained in the subject matter. According to the Australian Mathematical Sciences Institute, one in three secondary mathematics classes are taught by out-of-field teachers.</w:t>
      </w:r>
      <w:r w:rsidRPr="00292D9C">
        <w:rPr>
          <w:rStyle w:val="FootnoteReference"/>
        </w:rPr>
        <w:footnoteReference w:id="25"/>
      </w:r>
      <w:r w:rsidRPr="00292D9C">
        <w:t xml:space="preserve"> </w:t>
      </w:r>
      <w:r w:rsidR="006F29CE">
        <w:t>While the Australian Teacher Workforce Data Strategy aims to collect Initial Teacher Education data and teacher workforce data nationally, t</w:t>
      </w:r>
      <w:r w:rsidRPr="00292D9C">
        <w:t xml:space="preserve">here </w:t>
      </w:r>
      <w:r w:rsidR="006F29CE">
        <w:t>is</w:t>
      </w:r>
      <w:r w:rsidRPr="00292D9C">
        <w:t xml:space="preserve"> currently no national data </w:t>
      </w:r>
      <w:r w:rsidR="006F29CE">
        <w:t>collection that describes</w:t>
      </w:r>
      <w:r w:rsidRPr="00292D9C">
        <w:t xml:space="preserve"> the connection between out-of-field teaching and student achievement in maths</w:t>
      </w:r>
      <w:r w:rsidR="006F29CE">
        <w:t>.</w:t>
      </w:r>
      <w:r w:rsidRPr="00292D9C">
        <w:t xml:space="preserve"> </w:t>
      </w:r>
      <w:r w:rsidR="00E340FC" w:rsidRPr="00292D9C">
        <w:t>Additionally, s</w:t>
      </w:r>
      <w:r w:rsidR="00A521DD" w:rsidRPr="00292D9C">
        <w:t>takeholders</w:t>
      </w:r>
      <w:r w:rsidR="00626256" w:rsidRPr="00292D9C">
        <w:t xml:space="preserve"> </w:t>
      </w:r>
      <w:r w:rsidR="00C57D7B">
        <w:t xml:space="preserve">consistently </w:t>
      </w:r>
      <w:r w:rsidR="00347276" w:rsidRPr="00292D9C">
        <w:t xml:space="preserve">spoke positively about both </w:t>
      </w:r>
      <w:proofErr w:type="spellStart"/>
      <w:r w:rsidR="00324407">
        <w:t>r</w:t>
      </w:r>
      <w:r w:rsidR="00347276" w:rsidRPr="00292D9C">
        <w:t>e</w:t>
      </w:r>
      <w:r w:rsidR="00324407">
        <w:t>S</w:t>
      </w:r>
      <w:r w:rsidR="00347276" w:rsidRPr="00292D9C">
        <w:t>olve</w:t>
      </w:r>
      <w:proofErr w:type="spellEnd"/>
      <w:r w:rsidR="00347276" w:rsidRPr="00292D9C">
        <w:t>: M</w:t>
      </w:r>
      <w:r w:rsidR="0003689E">
        <w:t>b</w:t>
      </w:r>
      <w:r w:rsidR="00347276" w:rsidRPr="00292D9C">
        <w:t>I and Let’s Count</w:t>
      </w:r>
      <w:r w:rsidR="00C57D7B">
        <w:rPr>
          <w:rStyle w:val="FootnoteReference"/>
        </w:rPr>
        <w:footnoteReference w:id="26"/>
      </w:r>
      <w:r w:rsidR="007E7E33" w:rsidRPr="00292D9C">
        <w:t xml:space="preserve"> – however they</w:t>
      </w:r>
      <w:r w:rsidR="00C72810" w:rsidRPr="00292D9C">
        <w:t xml:space="preserve"> </w:t>
      </w:r>
      <w:r w:rsidR="00A521DD" w:rsidRPr="00292D9C">
        <w:t>thought that math</w:t>
      </w:r>
      <w:r w:rsidR="00C57D7B">
        <w:t>ematics</w:t>
      </w:r>
      <w:r w:rsidR="00A521DD" w:rsidRPr="00292D9C">
        <w:t xml:space="preserve"> did not receive enough fundin</w:t>
      </w:r>
      <w:r w:rsidR="00347276" w:rsidRPr="00292D9C">
        <w:t>g through NISA and that i</w:t>
      </w:r>
      <w:r w:rsidRPr="00292D9C">
        <w:t>t</w:t>
      </w:r>
      <w:r w:rsidR="00347276" w:rsidRPr="00292D9C">
        <w:t xml:space="preserve"> should be</w:t>
      </w:r>
      <w:r w:rsidR="00E340FC" w:rsidRPr="00292D9C">
        <w:t xml:space="preserve"> a greater</w:t>
      </w:r>
      <w:r w:rsidR="00347276" w:rsidRPr="00292D9C">
        <w:t xml:space="preserve"> priority in future decisions about funding.</w:t>
      </w:r>
      <w:r w:rsidRPr="00292D9C">
        <w:rPr>
          <w:rStyle w:val="FootnoteReference"/>
        </w:rPr>
        <w:footnoteReference w:id="27"/>
      </w:r>
      <w:r w:rsidR="00347276" w:rsidRPr="00292D9C">
        <w:t xml:space="preserve"> </w:t>
      </w:r>
    </w:p>
    <w:p w14:paraId="44EFC7E9" w14:textId="77777777" w:rsidR="00C57D7B" w:rsidRDefault="00C57D7B">
      <w:pPr>
        <w:spacing w:after="240" w:line="240" w:lineRule="auto"/>
        <w:rPr>
          <w:b/>
          <w:bCs/>
        </w:rPr>
      </w:pPr>
      <w:r>
        <w:rPr>
          <w:bCs/>
        </w:rPr>
        <w:br w:type="page"/>
      </w:r>
    </w:p>
    <w:p w14:paraId="3DD500F3" w14:textId="77777777" w:rsidR="00365E41" w:rsidRPr="00292D9C" w:rsidRDefault="00365E41" w:rsidP="00365E41">
      <w:pPr>
        <w:pStyle w:val="Heading3"/>
        <w:numPr>
          <w:ilvl w:val="0"/>
          <w:numId w:val="0"/>
        </w:numPr>
        <w:spacing w:before="0" w:after="120"/>
        <w:rPr>
          <w:rFonts w:asciiTheme="minorHAnsi" w:hAnsiTheme="minorHAnsi"/>
        </w:rPr>
      </w:pPr>
      <w:r w:rsidRPr="00B36C1F">
        <w:rPr>
          <w:rFonts w:asciiTheme="minorHAnsi" w:hAnsiTheme="minorHAnsi"/>
          <w:bCs/>
          <w:color w:val="000000" w:themeColor="text1"/>
        </w:rPr>
        <w:t>Figure 12. Initiatives broken down by STEM area</w:t>
      </w:r>
      <w:r w:rsidRPr="00B36C1F">
        <w:rPr>
          <w:rStyle w:val="FootnoteReference"/>
          <w:rFonts w:asciiTheme="minorHAnsi" w:hAnsiTheme="minorHAnsi"/>
          <w:b/>
          <w:bCs/>
          <w:color w:val="000000" w:themeColor="text1"/>
        </w:rPr>
        <w:footnoteReference w:id="28"/>
      </w:r>
    </w:p>
    <w:p w14:paraId="2F9232CF" w14:textId="77777777" w:rsidR="00365E41" w:rsidRDefault="00365E41" w:rsidP="00A616D5"/>
    <w:p w14:paraId="16B40273" w14:textId="77777777" w:rsidR="00365E41" w:rsidRPr="00292D9C" w:rsidRDefault="00365E41" w:rsidP="00A616D5">
      <w:pPr>
        <w:rPr>
          <w:lang w:val="en-US"/>
        </w:rPr>
      </w:pPr>
      <w:r>
        <w:rPr>
          <w:noProof/>
          <w:lang w:eastAsia="en-AU"/>
        </w:rPr>
        <w:drawing>
          <wp:inline distT="0" distB="0" distL="0" distR="0" wp14:anchorId="4B66ECFB" wp14:editId="0DB265E8">
            <wp:extent cx="4572000" cy="2743200"/>
            <wp:effectExtent l="0" t="0" r="0" b="0"/>
            <wp:docPr id="16" name="Chart 16" descr="Figure 12">
              <a:extLst xmlns:a="http://schemas.openxmlformats.org/drawingml/2006/main">
                <a:ext uri="{FF2B5EF4-FFF2-40B4-BE49-F238E27FC236}">
                  <a16:creationId xmlns:a16="http://schemas.microsoft.com/office/drawing/2014/main" id="{5341AEAB-F275-5845-A045-659895E58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CEA1B0" w14:textId="77777777" w:rsidR="00FE6EC1" w:rsidRPr="00292D9C" w:rsidRDefault="00742244" w:rsidP="00A616D5">
      <w:pPr>
        <w:pStyle w:val="Heading3"/>
        <w:numPr>
          <w:ilvl w:val="0"/>
          <w:numId w:val="0"/>
        </w:numPr>
        <w:spacing w:before="0" w:after="120"/>
        <w:rPr>
          <w:rFonts w:asciiTheme="minorHAnsi" w:hAnsiTheme="minorHAnsi"/>
          <w:lang w:val="en-US"/>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03296" behindDoc="0" locked="0" layoutInCell="1" allowOverlap="1" wp14:anchorId="415F9917" wp14:editId="0B80D2A9">
                <wp:simplePos x="0" y="0"/>
                <wp:positionH relativeFrom="column">
                  <wp:posOffset>4495855</wp:posOffset>
                </wp:positionH>
                <wp:positionV relativeFrom="paragraph">
                  <wp:posOffset>356235</wp:posOffset>
                </wp:positionV>
                <wp:extent cx="1817370" cy="908501"/>
                <wp:effectExtent l="0" t="0" r="0" b="158750"/>
                <wp:wrapSquare wrapText="bothSides"/>
                <wp:docPr id="79" name="Rounded Rectangular Callout 79"/>
                <wp:cNvGraphicFramePr/>
                <a:graphic xmlns:a="http://schemas.openxmlformats.org/drawingml/2006/main">
                  <a:graphicData uri="http://schemas.microsoft.com/office/word/2010/wordprocessingShape">
                    <wps:wsp>
                      <wps:cNvSpPr/>
                      <wps:spPr>
                        <a:xfrm>
                          <a:off x="0" y="0"/>
                          <a:ext cx="1817370" cy="908501"/>
                        </a:xfrm>
                        <a:prstGeom prst="wedgeRoundRectCallout">
                          <a:avLst>
                            <a:gd name="adj1" fmla="val -10714"/>
                            <a:gd name="adj2" fmla="val 6652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E5E6C" w14:textId="77777777" w:rsidR="007E2D07" w:rsidRDefault="007E2D07" w:rsidP="0087538D">
                            <w:pPr>
                              <w:spacing w:line="240" w:lineRule="auto"/>
                              <w:jc w:val="center"/>
                            </w:pPr>
                            <w:r>
                              <w:t>“I feel like the disparity between various interpretations of what STEM education is and what its purpose is has led to confusion with many teachers”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9917" id="Rounded Rectangular Callout 79" o:spid="_x0000_s1040" type="#_x0000_t62" style="position:absolute;margin-left:354pt;margin-top:28.05pt;width:143.1pt;height:7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" adj="8486,25170" fillcolor="#f4c6cd [660]" stroked="f" strokeweight="2pt">
                <v:textbox inset="0,0,0,0">
                  <w:txbxContent>
                    <w:p w14:paraId="16FE5E6C" w14:textId="77777777" w:rsidR="007E2D07" w:rsidRDefault="007E2D07" w:rsidP="0087538D">
                      <w:pPr>
                        <w:spacing w:line="240" w:lineRule="auto"/>
                        <w:jc w:val="center"/>
                      </w:pPr>
                      <w:r>
                        <w:t>“I feel like the disparity between various interpretations of what STEM education is and what its purpose is has led to confusion with many teachers” - Teacher</w:t>
                      </w:r>
                    </w:p>
                  </w:txbxContent>
                </v:textbox>
                <w10:wrap type="square"/>
              </v:shape>
            </w:pict>
          </mc:Fallback>
        </mc:AlternateContent>
      </w:r>
      <w:r w:rsidR="00D906AB" w:rsidRPr="00292D9C">
        <w:rPr>
          <w:rFonts w:asciiTheme="minorHAnsi" w:hAnsiTheme="minorHAnsi"/>
          <w:lang w:val="en-US"/>
        </w:rPr>
        <w:t xml:space="preserve">There are differences in opinion about which approach to STEM (discipline based or interdisciplinary) is preferable, </w:t>
      </w:r>
      <w:r w:rsidR="00570F5B" w:rsidRPr="00292D9C">
        <w:rPr>
          <w:rFonts w:asciiTheme="minorHAnsi" w:hAnsiTheme="minorHAnsi"/>
          <w:lang w:val="en-US"/>
        </w:rPr>
        <w:t>indicating that both are important</w:t>
      </w:r>
      <w:r w:rsidR="00B52896" w:rsidRPr="00292D9C">
        <w:rPr>
          <w:rFonts w:asciiTheme="minorHAnsi" w:hAnsiTheme="minorHAnsi"/>
          <w:lang w:val="en-US"/>
        </w:rPr>
        <w:t xml:space="preserve"> </w:t>
      </w:r>
    </w:p>
    <w:p w14:paraId="1C1DA159" w14:textId="77777777" w:rsidR="00A521DD" w:rsidRPr="00292D9C" w:rsidRDefault="003753BB"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52448" behindDoc="0" locked="0" layoutInCell="1" allowOverlap="1" wp14:anchorId="681E65EC" wp14:editId="71390857">
                <wp:simplePos x="0" y="0"/>
                <wp:positionH relativeFrom="column">
                  <wp:posOffset>4500106</wp:posOffset>
                </wp:positionH>
                <wp:positionV relativeFrom="paragraph">
                  <wp:posOffset>910590</wp:posOffset>
                </wp:positionV>
                <wp:extent cx="1817370" cy="725805"/>
                <wp:effectExtent l="0" t="0" r="0" b="112395"/>
                <wp:wrapSquare wrapText="bothSides"/>
                <wp:docPr id="43" name="Rounded Rectangular Callout 43"/>
                <wp:cNvGraphicFramePr/>
                <a:graphic xmlns:a="http://schemas.openxmlformats.org/drawingml/2006/main">
                  <a:graphicData uri="http://schemas.microsoft.com/office/word/2010/wordprocessingShape">
                    <wps:wsp>
                      <wps:cNvSpPr/>
                      <wps:spPr>
                        <a:xfrm>
                          <a:off x="0" y="0"/>
                          <a:ext cx="1817370" cy="725805"/>
                        </a:xfrm>
                        <a:prstGeom prst="wedgeRoundRectCallout">
                          <a:avLst>
                            <a:gd name="adj1" fmla="val -5750"/>
                            <a:gd name="adj2" fmla="val 65194"/>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306136" w14:textId="77777777" w:rsidR="007E2D07" w:rsidRDefault="007E2D07" w:rsidP="0087538D">
                            <w:pPr>
                              <w:spacing w:line="240" w:lineRule="auto"/>
                              <w:jc w:val="center"/>
                            </w:pPr>
                            <w:r>
                              <w:t>“Often educators may lack experience, resources and ability to turn their training into practice”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E65EC" id="Rounded Rectangular Callout 43" o:spid="_x0000_s1041" type="#_x0000_t62" style="position:absolute;margin-left:354.35pt;margin-top:71.7pt;width:143.1pt;height:57.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" adj="9558,24882" fillcolor="#f4c6cd [660]" stroked="f" strokeweight="2pt">
                <v:textbox inset="0,0,0,0">
                  <w:txbxContent>
                    <w:p w14:paraId="39306136" w14:textId="77777777" w:rsidR="007E2D07" w:rsidRDefault="007E2D07" w:rsidP="0087538D">
                      <w:pPr>
                        <w:spacing w:line="240" w:lineRule="auto"/>
                        <w:jc w:val="center"/>
                      </w:pPr>
                      <w:r>
                        <w:t>“Often educators may lack experience, resources and ability to turn their training into practice” – Early Childhood Educator</w:t>
                      </w:r>
                    </w:p>
                  </w:txbxContent>
                </v:textbox>
                <w10:wrap type="square"/>
              </v:shape>
            </w:pict>
          </mc:Fallback>
        </mc:AlternateContent>
      </w:r>
      <w:r w:rsidR="00570F5B" w:rsidRPr="00292D9C">
        <w:rPr>
          <w:lang w:val="en-US"/>
        </w:rPr>
        <w:t>Many stakeholders</w:t>
      </w:r>
      <w:r w:rsidR="00A521DD" w:rsidRPr="00292D9C">
        <w:rPr>
          <w:lang w:val="en-US"/>
        </w:rPr>
        <w:t xml:space="preserve"> </w:t>
      </w:r>
      <w:r w:rsidR="00FE6EC1" w:rsidRPr="00292D9C">
        <w:rPr>
          <w:lang w:val="en-US"/>
        </w:rPr>
        <w:t>said that</w:t>
      </w:r>
      <w:r w:rsidR="00A521DD" w:rsidRPr="00292D9C">
        <w:rPr>
          <w:lang w:val="en-US"/>
        </w:rPr>
        <w:t xml:space="preserve"> </w:t>
      </w:r>
      <w:r w:rsidR="00FE6EC1" w:rsidRPr="00292D9C">
        <w:rPr>
          <w:lang w:val="en-US"/>
        </w:rPr>
        <w:t>STEM education needs to address the issues in specific disciplines</w:t>
      </w:r>
      <w:r w:rsidR="00D017BC" w:rsidRPr="00292D9C">
        <w:rPr>
          <w:lang w:val="en-US"/>
        </w:rPr>
        <w:t>,</w:t>
      </w:r>
      <w:r w:rsidR="00FE6EC1" w:rsidRPr="00292D9C">
        <w:rPr>
          <w:lang w:val="en-US"/>
        </w:rPr>
        <w:t xml:space="preserve"> such as math</w:t>
      </w:r>
      <w:r w:rsidR="00D017BC" w:rsidRPr="00292D9C">
        <w:rPr>
          <w:lang w:val="en-US"/>
        </w:rPr>
        <w:t>ematic</w:t>
      </w:r>
      <w:r w:rsidR="00FE6EC1" w:rsidRPr="00292D9C">
        <w:rPr>
          <w:lang w:val="en-US"/>
        </w:rPr>
        <w:t xml:space="preserve">s and technology. </w:t>
      </w:r>
      <w:r w:rsidR="00570F5B" w:rsidRPr="00292D9C">
        <w:rPr>
          <w:lang w:val="en-US"/>
        </w:rPr>
        <w:t xml:space="preserve">Other stakeholders </w:t>
      </w:r>
      <w:proofErr w:type="spellStart"/>
      <w:r w:rsidR="00052628" w:rsidRPr="00292D9C">
        <w:rPr>
          <w:lang w:val="en-US"/>
        </w:rPr>
        <w:t>e</w:t>
      </w:r>
      <w:r w:rsidR="00192C8F" w:rsidRPr="00292D9C">
        <w:rPr>
          <w:lang w:val="en-US"/>
        </w:rPr>
        <w:t>mphasi</w:t>
      </w:r>
      <w:r w:rsidR="00052628" w:rsidRPr="00292D9C">
        <w:rPr>
          <w:lang w:val="en-US"/>
        </w:rPr>
        <w:t>s</w:t>
      </w:r>
      <w:r w:rsidR="00192C8F" w:rsidRPr="00292D9C">
        <w:rPr>
          <w:lang w:val="en-US"/>
        </w:rPr>
        <w:t>ed</w:t>
      </w:r>
      <w:proofErr w:type="spellEnd"/>
      <w:r w:rsidR="002977A8" w:rsidRPr="00292D9C">
        <w:rPr>
          <w:lang w:val="en-US"/>
        </w:rPr>
        <w:t xml:space="preserve"> the importance of </w:t>
      </w:r>
      <w:r w:rsidR="00442760" w:rsidRPr="00292D9C">
        <w:rPr>
          <w:lang w:val="en-US"/>
        </w:rPr>
        <w:t>interdisciplinary approach</w:t>
      </w:r>
      <w:r w:rsidR="002977A8" w:rsidRPr="00292D9C">
        <w:rPr>
          <w:lang w:val="en-US"/>
        </w:rPr>
        <w:t>e</w:t>
      </w:r>
      <w:r w:rsidR="00FE6EC1" w:rsidRPr="00292D9C">
        <w:rPr>
          <w:lang w:val="en-US"/>
        </w:rPr>
        <w:t xml:space="preserve">s </w:t>
      </w:r>
      <w:r w:rsidR="00D906AB" w:rsidRPr="00292D9C">
        <w:rPr>
          <w:lang w:val="en-US"/>
        </w:rPr>
        <w:t>saying that they</w:t>
      </w:r>
      <w:r w:rsidR="002977A8" w:rsidRPr="00292D9C">
        <w:rPr>
          <w:lang w:val="en-US"/>
        </w:rPr>
        <w:t xml:space="preserve"> </w:t>
      </w:r>
      <w:r w:rsidR="00D906AB" w:rsidRPr="00292D9C">
        <w:rPr>
          <w:lang w:val="en-US"/>
        </w:rPr>
        <w:t xml:space="preserve">are more </w:t>
      </w:r>
      <w:r w:rsidR="007707FF" w:rsidRPr="00292D9C">
        <w:rPr>
          <w:lang w:val="en-US"/>
        </w:rPr>
        <w:t xml:space="preserve">engaging for students and </w:t>
      </w:r>
      <w:r w:rsidR="00D906AB" w:rsidRPr="00292D9C">
        <w:rPr>
          <w:lang w:val="en-US"/>
        </w:rPr>
        <w:t>help students develop</w:t>
      </w:r>
      <w:r w:rsidR="00FE6EC1" w:rsidRPr="00292D9C">
        <w:rPr>
          <w:lang w:val="en-US"/>
        </w:rPr>
        <w:t xml:space="preserve"> general capabilities</w:t>
      </w:r>
      <w:r w:rsidR="00D906AB" w:rsidRPr="00292D9C">
        <w:rPr>
          <w:lang w:val="en-US"/>
        </w:rPr>
        <w:t xml:space="preserve">. </w:t>
      </w:r>
      <w:r w:rsidR="00FE6EC1" w:rsidRPr="00292D9C">
        <w:rPr>
          <w:lang w:val="en-US"/>
        </w:rPr>
        <w:t>Parents are also supportive of this interdisciplinary approach to STEM and want schools to do more in this area.</w:t>
      </w:r>
      <w:r w:rsidR="00D906AB" w:rsidRPr="00292D9C">
        <w:t xml:space="preserve"> </w:t>
      </w:r>
    </w:p>
    <w:p w14:paraId="37C3A6F4" w14:textId="77777777" w:rsidR="00A521DD" w:rsidRPr="00292D9C" w:rsidRDefault="00D11E32" w:rsidP="00A616D5">
      <w:pPr>
        <w:pStyle w:val="Heading2"/>
        <w:spacing w:before="0" w:after="120"/>
        <w:rPr>
          <w:rFonts w:asciiTheme="minorHAnsi" w:hAnsiTheme="minorHAnsi"/>
        </w:rPr>
      </w:pPr>
      <w:bookmarkStart w:id="83" w:name="_Toc16707158"/>
      <w:bookmarkStart w:id="84" w:name="_Toc21088250"/>
      <w:bookmarkStart w:id="85" w:name="_Toc23504219"/>
      <w:bookmarkStart w:id="86" w:name="_Toc25162053"/>
      <w:r w:rsidRPr="00292D9C">
        <w:rPr>
          <w:rFonts w:asciiTheme="minorHAnsi" w:hAnsiTheme="minorHAnsi"/>
        </w:rPr>
        <w:t xml:space="preserve">5.6. </w:t>
      </w:r>
      <w:r w:rsidR="00657974" w:rsidRPr="00292D9C">
        <w:rPr>
          <w:rFonts w:asciiTheme="minorHAnsi" w:hAnsiTheme="minorHAnsi"/>
        </w:rPr>
        <w:t xml:space="preserve">What is the main </w:t>
      </w:r>
      <w:r w:rsidR="002A140D" w:rsidRPr="00292D9C">
        <w:rPr>
          <w:rFonts w:asciiTheme="minorHAnsi" w:hAnsiTheme="minorHAnsi"/>
        </w:rPr>
        <w:t>output</w:t>
      </w:r>
      <w:r w:rsidR="00657974" w:rsidRPr="00292D9C">
        <w:rPr>
          <w:rFonts w:asciiTheme="minorHAnsi" w:hAnsiTheme="minorHAnsi"/>
        </w:rPr>
        <w:t xml:space="preserve"> of the initiatives?</w:t>
      </w:r>
      <w:bookmarkEnd w:id="83"/>
      <w:bookmarkEnd w:id="84"/>
      <w:bookmarkEnd w:id="85"/>
      <w:bookmarkEnd w:id="86"/>
      <w:r w:rsidR="00657974" w:rsidRPr="00292D9C">
        <w:rPr>
          <w:rFonts w:asciiTheme="minorHAnsi" w:hAnsiTheme="minorHAnsi"/>
        </w:rPr>
        <w:t xml:space="preserve"> </w:t>
      </w:r>
      <w:r w:rsidR="00A521DD" w:rsidRPr="00292D9C">
        <w:rPr>
          <w:rFonts w:asciiTheme="minorHAnsi" w:hAnsiTheme="minorHAnsi"/>
        </w:rPr>
        <w:t xml:space="preserve"> </w:t>
      </w:r>
    </w:p>
    <w:p w14:paraId="67E8AD63" w14:textId="77777777" w:rsidR="00657974" w:rsidRPr="00292D9C" w:rsidRDefault="00297A79" w:rsidP="00A616D5">
      <w:pPr>
        <w:pStyle w:val="Heading3Normal"/>
        <w:spacing w:before="0" w:after="120"/>
        <w:rPr>
          <w:rFonts w:asciiTheme="minorHAnsi" w:hAnsiTheme="minorHAnsi"/>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50400" behindDoc="0" locked="0" layoutInCell="1" allowOverlap="1" wp14:anchorId="3401EA3E" wp14:editId="48841115">
                <wp:simplePos x="0" y="0"/>
                <wp:positionH relativeFrom="column">
                  <wp:posOffset>4535252</wp:posOffset>
                </wp:positionH>
                <wp:positionV relativeFrom="paragraph">
                  <wp:posOffset>79375</wp:posOffset>
                </wp:positionV>
                <wp:extent cx="1780540" cy="727710"/>
                <wp:effectExtent l="0" t="0" r="0" b="148590"/>
                <wp:wrapSquare wrapText="bothSides"/>
                <wp:docPr id="42" name="Rounded Rectangular Callout 42"/>
                <wp:cNvGraphicFramePr/>
                <a:graphic xmlns:a="http://schemas.openxmlformats.org/drawingml/2006/main">
                  <a:graphicData uri="http://schemas.microsoft.com/office/word/2010/wordprocessingShape">
                    <wps:wsp>
                      <wps:cNvSpPr/>
                      <wps:spPr>
                        <a:xfrm>
                          <a:off x="0" y="0"/>
                          <a:ext cx="1780540" cy="727710"/>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1324EE" w14:textId="77777777" w:rsidR="007E2D07" w:rsidRDefault="007E2D07" w:rsidP="0087538D">
                            <w:pPr>
                              <w:spacing w:line="240" w:lineRule="auto"/>
                              <w:jc w:val="center"/>
                            </w:pPr>
                            <w:r>
                              <w:t>“Money is always a barrier but more than that, I think staff training needs to be addressed.”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1EA3E" id="Rounded Rectangular Callout 42" o:spid="_x0000_s1042" type="#_x0000_t62" style="position:absolute;margin-left:357.1pt;margin-top:6.25pt;width:140.2pt;height:5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" adj="8486,25866" fillcolor="#f4c6cd [660]" stroked="f" strokeweight="2pt">
                <v:textbox inset="0,0,0,0">
                  <w:txbxContent>
                    <w:p w14:paraId="0C1324EE" w14:textId="77777777" w:rsidR="007E2D07" w:rsidRDefault="007E2D07" w:rsidP="0087538D">
                      <w:pPr>
                        <w:spacing w:line="240" w:lineRule="auto"/>
                        <w:jc w:val="center"/>
                      </w:pPr>
                      <w:r>
                        <w:t>“Money is always a barrier but more than that, I think staff training needs to be addressed.” – Principal.</w:t>
                      </w:r>
                    </w:p>
                  </w:txbxContent>
                </v:textbox>
                <w10:wrap type="square"/>
              </v:shape>
            </w:pict>
          </mc:Fallback>
        </mc:AlternateContent>
      </w:r>
      <w:r w:rsidR="00657974" w:rsidRPr="00292D9C">
        <w:rPr>
          <w:rFonts w:asciiTheme="minorHAnsi" w:hAnsiTheme="minorHAnsi"/>
          <w:lang w:val="en-US"/>
        </w:rPr>
        <w:t xml:space="preserve">The main output of most initiatives </w:t>
      </w:r>
      <w:r w:rsidR="00347276" w:rsidRPr="00292D9C">
        <w:rPr>
          <w:rFonts w:asciiTheme="minorHAnsi" w:hAnsiTheme="minorHAnsi"/>
          <w:lang w:val="en-US"/>
        </w:rPr>
        <w:t xml:space="preserve">is </w:t>
      </w:r>
      <w:r w:rsidR="00583286">
        <w:rPr>
          <w:rFonts w:asciiTheme="minorHAnsi" w:hAnsiTheme="minorHAnsi"/>
          <w:lang w:val="en-US"/>
        </w:rPr>
        <w:t xml:space="preserve">teacher </w:t>
      </w:r>
      <w:r w:rsidR="00657974" w:rsidRPr="00292D9C">
        <w:rPr>
          <w:rFonts w:asciiTheme="minorHAnsi" w:hAnsiTheme="minorHAnsi"/>
          <w:lang w:val="en-US"/>
        </w:rPr>
        <w:t xml:space="preserve">professional </w:t>
      </w:r>
      <w:r w:rsidR="001A51A9" w:rsidRPr="00292D9C">
        <w:rPr>
          <w:rFonts w:asciiTheme="minorHAnsi" w:hAnsiTheme="minorHAnsi"/>
          <w:lang w:val="en-US"/>
        </w:rPr>
        <w:t>learning</w:t>
      </w:r>
      <w:r w:rsidR="00BE092C" w:rsidRPr="00292D9C">
        <w:rPr>
          <w:rFonts w:asciiTheme="minorHAnsi" w:hAnsiTheme="minorHAnsi"/>
          <w:lang w:val="en-US"/>
        </w:rPr>
        <w:t xml:space="preserve"> (as opposed to </w:t>
      </w:r>
      <w:r w:rsidR="00583286">
        <w:rPr>
          <w:rFonts w:asciiTheme="minorHAnsi" w:hAnsiTheme="minorHAnsi"/>
          <w:lang w:val="en-US"/>
        </w:rPr>
        <w:t xml:space="preserve">teaching resources and </w:t>
      </w:r>
      <w:r w:rsidR="00BE092C" w:rsidRPr="00292D9C">
        <w:rPr>
          <w:rFonts w:asciiTheme="minorHAnsi" w:hAnsiTheme="minorHAnsi"/>
          <w:lang w:val="en-US"/>
        </w:rPr>
        <w:t>student mentoring)</w:t>
      </w:r>
      <w:r w:rsidR="002B2A26" w:rsidRPr="00292D9C">
        <w:rPr>
          <w:rFonts w:asciiTheme="minorHAnsi" w:hAnsiTheme="minorHAnsi"/>
          <w:lang w:val="en-US"/>
        </w:rPr>
        <w:t xml:space="preserve">, which is the best way to improve teacher capability </w:t>
      </w:r>
    </w:p>
    <w:p w14:paraId="6450AB7E" w14:textId="77777777" w:rsidR="00C5296C" w:rsidRPr="00292D9C" w:rsidRDefault="00297A79"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867136" behindDoc="0" locked="0" layoutInCell="1" allowOverlap="1" wp14:anchorId="0D903430" wp14:editId="702EDBF1">
                <wp:simplePos x="0" y="0"/>
                <wp:positionH relativeFrom="column">
                  <wp:posOffset>4641215</wp:posOffset>
                </wp:positionH>
                <wp:positionV relativeFrom="paragraph">
                  <wp:posOffset>2348230</wp:posOffset>
                </wp:positionV>
                <wp:extent cx="1679575" cy="727710"/>
                <wp:effectExtent l="0" t="0" r="0" b="148590"/>
                <wp:wrapSquare wrapText="bothSides"/>
                <wp:docPr id="12" name="Rounded Rectangular Callout 12"/>
                <wp:cNvGraphicFramePr/>
                <a:graphic xmlns:a="http://schemas.openxmlformats.org/drawingml/2006/main">
                  <a:graphicData uri="http://schemas.microsoft.com/office/word/2010/wordprocessingShape">
                    <wps:wsp>
                      <wps:cNvSpPr/>
                      <wps:spPr>
                        <a:xfrm>
                          <a:off x="0" y="0"/>
                          <a:ext cx="1679575" cy="727710"/>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1DCD87" w14:textId="77777777" w:rsidR="007E2D07" w:rsidRDefault="007E2D07" w:rsidP="00297A79">
                            <w:pPr>
                              <w:spacing w:line="240" w:lineRule="auto"/>
                              <w:jc w:val="center"/>
                            </w:pPr>
                            <w:r>
                              <w:t>“Teachers have little access to the latest in technology that real STEM specialists have access to”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3430" id="Rounded Rectangular Callout 12" o:spid="_x0000_s1043" type="#_x0000_t62" style="position:absolute;margin-left:365.45pt;margin-top:184.9pt;width:132.25pt;height:5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" adj="8486,25866" fillcolor="#f4c6cd [660]" stroked="f" strokeweight="2pt">
                <v:textbox inset="0,0,0,0">
                  <w:txbxContent>
                    <w:p w14:paraId="201DCD87" w14:textId="77777777" w:rsidR="007E2D07" w:rsidRDefault="007E2D07" w:rsidP="00297A79">
                      <w:pPr>
                        <w:spacing w:line="240" w:lineRule="auto"/>
                        <w:jc w:val="center"/>
                      </w:pPr>
                      <w:r>
                        <w:t>“Teachers have little access to the latest in technology that real STEM specialists have access to” – Teacher</w:t>
                      </w: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865088" behindDoc="0" locked="0" layoutInCell="1" allowOverlap="1" wp14:anchorId="50B8A9D5" wp14:editId="57581ED4">
                <wp:simplePos x="0" y="0"/>
                <wp:positionH relativeFrom="column">
                  <wp:posOffset>4577080</wp:posOffset>
                </wp:positionH>
                <wp:positionV relativeFrom="paragraph">
                  <wp:posOffset>1244600</wp:posOffset>
                </wp:positionV>
                <wp:extent cx="1737360" cy="922655"/>
                <wp:effectExtent l="0" t="0" r="2540" b="131445"/>
                <wp:wrapSquare wrapText="bothSides"/>
                <wp:docPr id="5" name="Rounded Rectangular Callout 5"/>
                <wp:cNvGraphicFramePr/>
                <a:graphic xmlns:a="http://schemas.openxmlformats.org/drawingml/2006/main">
                  <a:graphicData uri="http://schemas.microsoft.com/office/word/2010/wordprocessingShape">
                    <wps:wsp>
                      <wps:cNvSpPr/>
                      <wps:spPr>
                        <a:xfrm>
                          <a:off x="0" y="0"/>
                          <a:ext cx="1737360" cy="922655"/>
                        </a:xfrm>
                        <a:prstGeom prst="wedgeRoundRectCallout">
                          <a:avLst>
                            <a:gd name="adj1" fmla="val -10714"/>
                            <a:gd name="adj2" fmla="val 6243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1A02F" w14:textId="77777777" w:rsidR="007E2D07" w:rsidRDefault="007E2D07" w:rsidP="00297A79">
                            <w:pPr>
                              <w:spacing w:line="240" w:lineRule="auto"/>
                              <w:jc w:val="center"/>
                            </w:pPr>
                            <w:r>
                              <w:t>“Making sure teachers have time to explore resources and are given professional upskilling is the biggest challenge to integrating STEM into our school.”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8A9D5" id="Rounded Rectangular Callout 5" o:spid="_x0000_s1044" type="#_x0000_t62" style="position:absolute;margin-left:360.4pt;margin-top:98pt;width:136.8pt;height:7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" adj="8486,24285" fillcolor="#f4c6cd [660]" stroked="f" strokeweight="2pt">
                <v:textbox inset="0,0,0,0">
                  <w:txbxContent>
                    <w:p w14:paraId="07E1A02F" w14:textId="77777777" w:rsidR="007E2D07" w:rsidRDefault="007E2D07" w:rsidP="00297A79">
                      <w:pPr>
                        <w:spacing w:line="240" w:lineRule="auto"/>
                        <w:jc w:val="center"/>
                      </w:pPr>
                      <w:r>
                        <w:t>“Making sure teachers have time to explore resources and are given professional upskilling is the biggest challenge to integrating STEM into our school.” – Principal</w:t>
                      </w: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863040" behindDoc="0" locked="0" layoutInCell="1" allowOverlap="1" wp14:anchorId="6AA38BAC" wp14:editId="1F322B77">
                <wp:simplePos x="0" y="0"/>
                <wp:positionH relativeFrom="column">
                  <wp:posOffset>4573601</wp:posOffset>
                </wp:positionH>
                <wp:positionV relativeFrom="paragraph">
                  <wp:posOffset>173632</wp:posOffset>
                </wp:positionV>
                <wp:extent cx="1743710" cy="886460"/>
                <wp:effectExtent l="0" t="0" r="0" b="129540"/>
                <wp:wrapSquare wrapText="bothSides"/>
                <wp:docPr id="3" name="Rounded Rectangular Callout 3"/>
                <wp:cNvGraphicFramePr/>
                <a:graphic xmlns:a="http://schemas.openxmlformats.org/drawingml/2006/main">
                  <a:graphicData uri="http://schemas.microsoft.com/office/word/2010/wordprocessingShape">
                    <wps:wsp>
                      <wps:cNvSpPr/>
                      <wps:spPr>
                        <a:xfrm>
                          <a:off x="0" y="0"/>
                          <a:ext cx="1743710" cy="886460"/>
                        </a:xfrm>
                        <a:prstGeom prst="wedgeRoundRectCallout">
                          <a:avLst>
                            <a:gd name="adj1" fmla="val -8208"/>
                            <a:gd name="adj2" fmla="val 6394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43DC51" w14:textId="77777777" w:rsidR="007E2D07" w:rsidRDefault="007E2D07" w:rsidP="00297A79">
                            <w:pPr>
                              <w:spacing w:line="240" w:lineRule="auto"/>
                              <w:jc w:val="center"/>
                            </w:pPr>
                            <w:r>
                              <w:t>“Teachers need time to get together and explore problems with an expert. It needs to be focused on altering teacher beliefs.” - Stakeholder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8BAC" id="Rounded Rectangular Callout 3" o:spid="_x0000_s1045" type="#_x0000_t62" style="position:absolute;margin-left:360.15pt;margin-top:13.65pt;width:137.3pt;height:69.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" adj="9027,24613" fillcolor="#f4c6cd [660]" stroked="f" strokeweight="2pt">
                <v:textbox inset="0,0,0,0">
                  <w:txbxContent>
                    <w:p w14:paraId="0543DC51" w14:textId="77777777" w:rsidR="007E2D07" w:rsidRDefault="007E2D07" w:rsidP="00297A79">
                      <w:pPr>
                        <w:spacing w:line="240" w:lineRule="auto"/>
                        <w:jc w:val="center"/>
                      </w:pPr>
                      <w:r>
                        <w:t>“Teachers need time to get together and explore problems with an expert. It needs to be focused on altering teacher beliefs.” - Stakeholder</w:t>
                      </w:r>
                    </w:p>
                  </w:txbxContent>
                </v:textbox>
                <w10:wrap type="square"/>
              </v:shape>
            </w:pict>
          </mc:Fallback>
        </mc:AlternateContent>
      </w:r>
      <w:r w:rsidR="002365B6" w:rsidRPr="00292D9C">
        <w:rPr>
          <w:lang w:val="en-US"/>
        </w:rPr>
        <w:t>The main output</w:t>
      </w:r>
      <w:r w:rsidR="00205063" w:rsidRPr="00292D9C">
        <w:rPr>
          <w:lang w:val="en-US"/>
        </w:rPr>
        <w:t xml:space="preserve"> </w:t>
      </w:r>
      <w:r w:rsidR="002365B6" w:rsidRPr="00292D9C">
        <w:rPr>
          <w:lang w:val="en-US"/>
        </w:rPr>
        <w:t xml:space="preserve">of most initiatives </w:t>
      </w:r>
      <w:r w:rsidR="002B2A26" w:rsidRPr="00292D9C">
        <w:rPr>
          <w:lang w:val="en-US"/>
        </w:rPr>
        <w:t>is</w:t>
      </w:r>
      <w:r w:rsidR="00205063" w:rsidRPr="00292D9C">
        <w:rPr>
          <w:lang w:val="en-US"/>
        </w:rPr>
        <w:t xml:space="preserve"> </w:t>
      </w:r>
      <w:r w:rsidR="002365B6" w:rsidRPr="00292D9C">
        <w:rPr>
          <w:lang w:val="en-US"/>
        </w:rPr>
        <w:t xml:space="preserve">professional </w:t>
      </w:r>
      <w:r w:rsidR="00955F5A" w:rsidRPr="00292D9C">
        <w:rPr>
          <w:lang w:val="en-US"/>
        </w:rPr>
        <w:t>learning</w:t>
      </w:r>
      <w:r w:rsidR="00465C6F">
        <w:rPr>
          <w:lang w:val="en-US"/>
        </w:rPr>
        <w:t>,</w:t>
      </w:r>
      <w:r w:rsidR="009F65DD" w:rsidRPr="00292D9C">
        <w:rPr>
          <w:lang w:val="en-US"/>
        </w:rPr>
        <w:t xml:space="preserve"> as opposed to providing </w:t>
      </w:r>
      <w:r w:rsidR="00583286">
        <w:rPr>
          <w:lang w:val="en-US"/>
        </w:rPr>
        <w:t xml:space="preserve">teaching </w:t>
      </w:r>
      <w:r w:rsidR="009F65DD" w:rsidRPr="00292D9C">
        <w:rPr>
          <w:lang w:val="en-US"/>
        </w:rPr>
        <w:t>resources or student mentoring experiences.</w:t>
      </w:r>
      <w:r w:rsidR="00E945F0" w:rsidRPr="00292D9C">
        <w:rPr>
          <w:rStyle w:val="FootnoteReference"/>
          <w:lang w:val="en-US"/>
        </w:rPr>
        <w:footnoteReference w:id="29"/>
      </w:r>
      <w:r w:rsidR="00E945F0" w:rsidRPr="00292D9C">
        <w:rPr>
          <w:lang w:val="en-US"/>
        </w:rPr>
        <w:t xml:space="preserve"> </w:t>
      </w:r>
      <w:r w:rsidR="009F65DD" w:rsidRPr="00292D9C">
        <w:rPr>
          <w:lang w:val="en-US"/>
        </w:rPr>
        <w:t xml:space="preserve"> This is </w:t>
      </w:r>
      <w:r w:rsidR="00955F5A" w:rsidRPr="00292D9C">
        <w:rPr>
          <w:lang w:val="en-US"/>
        </w:rPr>
        <w:t>consistent</w:t>
      </w:r>
      <w:r w:rsidR="00C5296C" w:rsidRPr="00292D9C">
        <w:rPr>
          <w:lang w:val="en-US"/>
        </w:rPr>
        <w:t xml:space="preserve"> with the finding that most </w:t>
      </w:r>
      <w:r w:rsidR="00955F5A" w:rsidRPr="00292D9C">
        <w:rPr>
          <w:lang w:val="en-US"/>
        </w:rPr>
        <w:t>initiatives</w:t>
      </w:r>
      <w:r w:rsidR="00C5296C" w:rsidRPr="00292D9C">
        <w:rPr>
          <w:lang w:val="en-US"/>
        </w:rPr>
        <w:t xml:space="preserve"> </w:t>
      </w:r>
      <w:r w:rsidR="00955F5A" w:rsidRPr="00292D9C">
        <w:rPr>
          <w:lang w:val="en-US"/>
        </w:rPr>
        <w:t>have</w:t>
      </w:r>
      <w:r w:rsidR="00C5296C" w:rsidRPr="00292D9C">
        <w:rPr>
          <w:lang w:val="en-US"/>
        </w:rPr>
        <w:t xml:space="preserve"> teachers</w:t>
      </w:r>
      <w:r w:rsidR="00955F5A" w:rsidRPr="00292D9C">
        <w:rPr>
          <w:lang w:val="en-US"/>
        </w:rPr>
        <w:t xml:space="preserve"> as their target </w:t>
      </w:r>
      <w:r w:rsidR="0077497D" w:rsidRPr="00292D9C">
        <w:rPr>
          <w:lang w:val="en-US"/>
        </w:rPr>
        <w:t>audience. The</w:t>
      </w:r>
      <w:r w:rsidR="0066754E" w:rsidRPr="00292D9C">
        <w:rPr>
          <w:lang w:val="en-US"/>
        </w:rPr>
        <w:t xml:space="preserve"> research asserts that teachers need a deep understanding of their subject area</w:t>
      </w:r>
      <w:r w:rsidR="00D440F9" w:rsidRPr="00292D9C">
        <w:rPr>
          <w:lang w:val="en-US"/>
        </w:rPr>
        <w:t xml:space="preserve"> to be effective (in this case STEM disciplines) and cites investment in high quality </w:t>
      </w:r>
      <w:r w:rsidR="00D017BC" w:rsidRPr="00292D9C">
        <w:rPr>
          <w:lang w:val="en-US"/>
        </w:rPr>
        <w:t xml:space="preserve">professional </w:t>
      </w:r>
      <w:r w:rsidR="00D440F9" w:rsidRPr="00292D9C">
        <w:rPr>
          <w:lang w:val="en-US"/>
        </w:rPr>
        <w:t>learning as an effective means through which to improve teacher capability.</w:t>
      </w:r>
      <w:r w:rsidR="00D440F9" w:rsidRPr="00292D9C">
        <w:rPr>
          <w:rStyle w:val="FootnoteReference"/>
          <w:lang w:val="en-US"/>
        </w:rPr>
        <w:footnoteReference w:id="30"/>
      </w:r>
      <w:r w:rsidR="00D440F9" w:rsidRPr="00292D9C">
        <w:rPr>
          <w:lang w:val="en-US"/>
        </w:rPr>
        <w:t xml:space="preserve"> </w:t>
      </w:r>
      <w:r w:rsidR="00955F5A" w:rsidRPr="00292D9C">
        <w:rPr>
          <w:lang w:val="en-US"/>
        </w:rPr>
        <w:t>Stakeholders support</w:t>
      </w:r>
      <w:r w:rsidR="00BA6356" w:rsidRPr="00292D9C">
        <w:rPr>
          <w:lang w:val="en-US"/>
        </w:rPr>
        <w:t>ed</w:t>
      </w:r>
      <w:r w:rsidR="00955F5A" w:rsidRPr="00292D9C">
        <w:rPr>
          <w:lang w:val="en-US"/>
        </w:rPr>
        <w:t xml:space="preserve"> this focus on professional learning</w:t>
      </w:r>
      <w:r w:rsidR="00395A4C" w:rsidRPr="00292D9C">
        <w:rPr>
          <w:lang w:val="en-US"/>
        </w:rPr>
        <w:t xml:space="preserve"> saying that it</w:t>
      </w:r>
      <w:r w:rsidR="009F65DD" w:rsidRPr="00292D9C">
        <w:rPr>
          <w:lang w:val="en-US"/>
        </w:rPr>
        <w:t xml:space="preserve"> is</w:t>
      </w:r>
      <w:r w:rsidR="00BA6356" w:rsidRPr="00292D9C">
        <w:rPr>
          <w:lang w:val="en-US"/>
        </w:rPr>
        <w:t xml:space="preserve"> necessary </w:t>
      </w:r>
      <w:r w:rsidR="009F65DD" w:rsidRPr="00292D9C">
        <w:rPr>
          <w:lang w:val="en-US"/>
        </w:rPr>
        <w:t xml:space="preserve">for improving STEM education because teachers needed more skills and knowledge to teach </w:t>
      </w:r>
      <w:r w:rsidR="00D017BC" w:rsidRPr="00292D9C">
        <w:rPr>
          <w:lang w:val="en-US"/>
        </w:rPr>
        <w:t>integrated STEM</w:t>
      </w:r>
      <w:r w:rsidR="009F65DD" w:rsidRPr="00292D9C">
        <w:rPr>
          <w:lang w:val="en-US"/>
        </w:rPr>
        <w:t>.</w:t>
      </w:r>
      <w:r w:rsidRPr="00292D9C">
        <w:t xml:space="preserve"> </w:t>
      </w:r>
      <w:r w:rsidR="00955F5A" w:rsidRPr="00292D9C">
        <w:rPr>
          <w:lang w:val="en-US"/>
        </w:rPr>
        <w:t xml:space="preserve">They also said that professional learning </w:t>
      </w:r>
      <w:r w:rsidR="00D017BC" w:rsidRPr="00292D9C">
        <w:rPr>
          <w:lang w:val="en-US"/>
        </w:rPr>
        <w:t>which</w:t>
      </w:r>
      <w:r w:rsidR="00955F5A" w:rsidRPr="00292D9C">
        <w:rPr>
          <w:lang w:val="en-US"/>
        </w:rPr>
        <w:t xml:space="preserve"> involve</w:t>
      </w:r>
      <w:r w:rsidR="00D017BC" w:rsidRPr="00292D9C">
        <w:rPr>
          <w:lang w:val="en-US"/>
        </w:rPr>
        <w:t>s</w:t>
      </w:r>
      <w:r w:rsidR="00955F5A" w:rsidRPr="00292D9C">
        <w:rPr>
          <w:lang w:val="en-US"/>
        </w:rPr>
        <w:t xml:space="preserve"> experts or coaches working collaboratively with teachers in their classrooms was most likely to be effective at achieving change in teacher practice and sustain</w:t>
      </w:r>
      <w:r w:rsidR="00B523A3" w:rsidRPr="00292D9C">
        <w:rPr>
          <w:lang w:val="en-US"/>
        </w:rPr>
        <w:t>ed</w:t>
      </w:r>
      <w:r w:rsidR="00955F5A" w:rsidRPr="00292D9C">
        <w:rPr>
          <w:lang w:val="en-US"/>
        </w:rPr>
        <w:t xml:space="preserve"> school-wide change. This was especially important for schools that had limited capacity and capability in STEM and schools in disadvantaged contexts. Education research also supports this argument made by stakeholders about best practice professional learning.</w:t>
      </w:r>
    </w:p>
    <w:p w14:paraId="05CFFCA2" w14:textId="77777777" w:rsidR="00483B26" w:rsidRDefault="00297A79" w:rsidP="00A616D5">
      <w:pPr>
        <w:pStyle w:val="Caption"/>
        <w:keepNext/>
        <w:spacing w:before="0" w:after="120" w:line="360" w:lineRule="auto"/>
      </w:pPr>
      <w:r w:rsidRPr="00292D9C">
        <w:t xml:space="preserve">Figure </w:t>
      </w:r>
      <w:r w:rsidR="00B36C1F">
        <w:t>13</w:t>
      </w:r>
      <w:r w:rsidR="00B47795" w:rsidRPr="00292D9C">
        <w:t>.</w:t>
      </w:r>
      <w:r w:rsidRPr="00292D9C">
        <w:t xml:space="preserve"> Initiatives broken down by main output</w:t>
      </w:r>
    </w:p>
    <w:p w14:paraId="171B8FFF" w14:textId="77777777" w:rsidR="00297A79" w:rsidRPr="00292D9C" w:rsidRDefault="00483B26" w:rsidP="00A616D5">
      <w:pPr>
        <w:pStyle w:val="Caption"/>
        <w:keepNext/>
        <w:spacing w:before="0" w:after="120" w:line="360" w:lineRule="auto"/>
        <w:rPr>
          <w:lang w:val="en-US"/>
        </w:rPr>
      </w:pPr>
      <w:r>
        <w:rPr>
          <w:noProof/>
          <w:lang w:eastAsia="en-AU"/>
        </w:rPr>
        <w:drawing>
          <wp:inline distT="0" distB="0" distL="0" distR="0" wp14:anchorId="62BA2FDF" wp14:editId="588362D6">
            <wp:extent cx="4572000" cy="2743200"/>
            <wp:effectExtent l="0" t="0" r="0" b="0"/>
            <wp:docPr id="17" name="Chart 17" descr="Figure 13">
              <a:extLst xmlns:a="http://schemas.openxmlformats.org/drawingml/2006/main">
                <a:ext uri="{FF2B5EF4-FFF2-40B4-BE49-F238E27FC236}">
                  <a16:creationId xmlns:a16="http://schemas.microsoft.com/office/drawing/2014/main" id="{05460C6E-FF2B-714D-87B3-AFF890FE3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6FE582" w14:textId="77777777" w:rsidR="00C81A3A" w:rsidRPr="00292D9C" w:rsidRDefault="009F65DD" w:rsidP="00A616D5">
      <w:pPr>
        <w:pStyle w:val="Heading3"/>
        <w:numPr>
          <w:ilvl w:val="0"/>
          <w:numId w:val="0"/>
        </w:numPr>
        <w:spacing w:before="0" w:after="120"/>
        <w:rPr>
          <w:rFonts w:asciiTheme="minorHAnsi" w:hAnsiTheme="minorHAnsi"/>
          <w:lang w:val="en-US"/>
        </w:rPr>
      </w:pPr>
      <w:r w:rsidRPr="00292D9C">
        <w:rPr>
          <w:rFonts w:asciiTheme="minorHAnsi" w:hAnsiTheme="minorHAnsi"/>
          <w:lang w:val="en-US"/>
        </w:rPr>
        <w:t>Resource</w:t>
      </w:r>
      <w:r w:rsidR="00D017BC" w:rsidRPr="00292D9C">
        <w:rPr>
          <w:rFonts w:asciiTheme="minorHAnsi" w:hAnsiTheme="minorHAnsi"/>
          <w:lang w:val="en-US"/>
        </w:rPr>
        <w:t>-based initiatives</w:t>
      </w:r>
      <w:r w:rsidRPr="00292D9C">
        <w:rPr>
          <w:rFonts w:asciiTheme="minorHAnsi" w:hAnsiTheme="minorHAnsi"/>
          <w:lang w:val="en-US"/>
        </w:rPr>
        <w:t xml:space="preserve"> can also increase teacher capability, but they need to </w:t>
      </w:r>
      <w:r w:rsidR="00D017BC" w:rsidRPr="00292D9C">
        <w:rPr>
          <w:rFonts w:asciiTheme="minorHAnsi" w:hAnsiTheme="minorHAnsi"/>
          <w:lang w:val="en-US"/>
        </w:rPr>
        <w:t>be accompanied by</w:t>
      </w:r>
      <w:r w:rsidRPr="00292D9C">
        <w:rPr>
          <w:rFonts w:asciiTheme="minorHAnsi" w:hAnsiTheme="minorHAnsi"/>
          <w:lang w:val="en-US"/>
        </w:rPr>
        <w:t xml:space="preserve"> professional learning</w:t>
      </w:r>
    </w:p>
    <w:p w14:paraId="3AC464B9" w14:textId="77777777" w:rsidR="004E294A" w:rsidRPr="00292D9C" w:rsidRDefault="00297A79"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54496" behindDoc="0" locked="0" layoutInCell="1" allowOverlap="1" wp14:anchorId="66547111" wp14:editId="5082903C">
                <wp:simplePos x="0" y="0"/>
                <wp:positionH relativeFrom="column">
                  <wp:posOffset>4474210</wp:posOffset>
                </wp:positionH>
                <wp:positionV relativeFrom="paragraph">
                  <wp:posOffset>450118</wp:posOffset>
                </wp:positionV>
                <wp:extent cx="1796415" cy="904240"/>
                <wp:effectExtent l="0" t="0" r="0" b="124460"/>
                <wp:wrapSquare wrapText="bothSides"/>
                <wp:docPr id="44" name="Rounded Rectangular Callout 44"/>
                <wp:cNvGraphicFramePr/>
                <a:graphic xmlns:a="http://schemas.openxmlformats.org/drawingml/2006/main">
                  <a:graphicData uri="http://schemas.microsoft.com/office/word/2010/wordprocessingShape">
                    <wps:wsp>
                      <wps:cNvSpPr/>
                      <wps:spPr>
                        <a:xfrm>
                          <a:off x="0" y="0"/>
                          <a:ext cx="1796415" cy="904240"/>
                        </a:xfrm>
                        <a:prstGeom prst="wedgeRoundRectCallout">
                          <a:avLst>
                            <a:gd name="adj1" fmla="val -8947"/>
                            <a:gd name="adj2" fmla="val 64004"/>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CD90A" w14:textId="77777777" w:rsidR="007E2D07" w:rsidRDefault="007E2D07" w:rsidP="0087538D">
                            <w:pPr>
                              <w:spacing w:line="240" w:lineRule="auto"/>
                              <w:jc w:val="center"/>
                            </w:pPr>
                            <w:r>
                              <w:t>“You can have all the resources in the world but if you don’t feel confident and see value in using them, they will just sit there on the shelves”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7111" id="Rounded Rectangular Callout 44" o:spid="_x0000_s1046" type="#_x0000_t62" style="position:absolute;margin-left:352.3pt;margin-top:35.45pt;width:141.45pt;height:7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" adj="8867,24625" fillcolor="#f4c6cd [660]" stroked="f" strokeweight="2pt">
                <v:textbox inset="0,0,0,0">
                  <w:txbxContent>
                    <w:p w14:paraId="041CD90A" w14:textId="77777777" w:rsidR="007E2D07" w:rsidRDefault="007E2D07" w:rsidP="0087538D">
                      <w:pPr>
                        <w:spacing w:line="240" w:lineRule="auto"/>
                        <w:jc w:val="center"/>
                      </w:pPr>
                      <w:r>
                        <w:t>“You can have all the resources in the world but if you don’t feel confident and see value in using them, they will just sit there on the shelves” – Teacher</w:t>
                      </w:r>
                    </w:p>
                  </w:txbxContent>
                </v:textbox>
                <w10:wrap type="square"/>
              </v:shape>
            </w:pict>
          </mc:Fallback>
        </mc:AlternateContent>
      </w:r>
      <w:r w:rsidR="0077497D" w:rsidRPr="00292D9C">
        <w:rPr>
          <w:lang w:val="en-US"/>
        </w:rPr>
        <w:t>Generally,</w:t>
      </w:r>
      <w:r w:rsidR="00BA6356" w:rsidRPr="00292D9C">
        <w:rPr>
          <w:lang w:val="en-US"/>
        </w:rPr>
        <w:t xml:space="preserve"> </w:t>
      </w:r>
      <w:r w:rsidR="008F1CD5" w:rsidRPr="00292D9C">
        <w:rPr>
          <w:lang w:val="en-US"/>
        </w:rPr>
        <w:t>programs</w:t>
      </w:r>
      <w:r w:rsidR="00BA6356" w:rsidRPr="00292D9C">
        <w:rPr>
          <w:lang w:val="en-US"/>
        </w:rPr>
        <w:t xml:space="preserve"> that provide resources as their main output also provide professional learning. Science by Doing and </w:t>
      </w:r>
      <w:proofErr w:type="spellStart"/>
      <w:r w:rsidR="0003689E">
        <w:rPr>
          <w:lang w:val="en-US"/>
        </w:rPr>
        <w:t>r</w:t>
      </w:r>
      <w:r w:rsidR="00BA6356" w:rsidRPr="00292D9C">
        <w:rPr>
          <w:lang w:val="en-US"/>
        </w:rPr>
        <w:t>e</w:t>
      </w:r>
      <w:r w:rsidR="0003689E">
        <w:rPr>
          <w:lang w:val="en-US"/>
        </w:rPr>
        <w:t>S</w:t>
      </w:r>
      <w:r w:rsidR="00BA6356" w:rsidRPr="00292D9C">
        <w:rPr>
          <w:lang w:val="en-US"/>
        </w:rPr>
        <w:t>olve</w:t>
      </w:r>
      <w:proofErr w:type="spellEnd"/>
      <w:r w:rsidR="00BA6356" w:rsidRPr="00292D9C">
        <w:rPr>
          <w:lang w:val="en-US"/>
        </w:rPr>
        <w:t xml:space="preserve">: </w:t>
      </w:r>
      <w:proofErr w:type="spellStart"/>
      <w:r w:rsidR="00BA6356" w:rsidRPr="00292D9C">
        <w:rPr>
          <w:lang w:val="en-US"/>
        </w:rPr>
        <w:t>Maths</w:t>
      </w:r>
      <w:proofErr w:type="spellEnd"/>
      <w:r w:rsidR="00BA6356" w:rsidRPr="00292D9C">
        <w:rPr>
          <w:lang w:val="en-US"/>
        </w:rPr>
        <w:t xml:space="preserve"> by Inquiry are two NISA-funded initia</w:t>
      </w:r>
      <w:r w:rsidR="00E945F0" w:rsidRPr="00292D9C">
        <w:rPr>
          <w:lang w:val="en-US"/>
        </w:rPr>
        <w:t>tiv</w:t>
      </w:r>
      <w:r w:rsidR="00BA6356" w:rsidRPr="00292D9C">
        <w:rPr>
          <w:lang w:val="en-US"/>
        </w:rPr>
        <w:t xml:space="preserve">es that </w:t>
      </w:r>
      <w:r w:rsidR="00E945F0" w:rsidRPr="00292D9C">
        <w:rPr>
          <w:lang w:val="en-US"/>
        </w:rPr>
        <w:t xml:space="preserve">explicitly </w:t>
      </w:r>
      <w:r w:rsidR="00BE092C" w:rsidRPr="00292D9C">
        <w:rPr>
          <w:lang w:val="en-US"/>
        </w:rPr>
        <w:t>do both</w:t>
      </w:r>
      <w:r w:rsidR="00BA6356" w:rsidRPr="00292D9C">
        <w:rPr>
          <w:lang w:val="en-US"/>
        </w:rPr>
        <w:t>. This is important because without some professional learning</w:t>
      </w:r>
      <w:r w:rsidR="00D017BC" w:rsidRPr="00292D9C">
        <w:rPr>
          <w:lang w:val="en-US"/>
        </w:rPr>
        <w:t>,</w:t>
      </w:r>
      <w:r w:rsidR="00BA6356" w:rsidRPr="00292D9C">
        <w:rPr>
          <w:lang w:val="en-US"/>
        </w:rPr>
        <w:t xml:space="preserve"> it is unlikely that teachers will use NISA-funded resources at all or</w:t>
      </w:r>
      <w:r w:rsidR="00BE092C" w:rsidRPr="00292D9C">
        <w:rPr>
          <w:lang w:val="en-US"/>
        </w:rPr>
        <w:t xml:space="preserve"> use them</w:t>
      </w:r>
      <w:r w:rsidR="00BA6356" w:rsidRPr="00292D9C">
        <w:rPr>
          <w:lang w:val="en-US"/>
        </w:rPr>
        <w:t xml:space="preserve"> in an effective </w:t>
      </w:r>
      <w:r w:rsidR="00D017BC" w:rsidRPr="00292D9C">
        <w:rPr>
          <w:lang w:val="en-US"/>
        </w:rPr>
        <w:t>manner</w:t>
      </w:r>
      <w:r w:rsidR="00BA6356" w:rsidRPr="00292D9C">
        <w:rPr>
          <w:lang w:val="en-US"/>
        </w:rPr>
        <w:t xml:space="preserve"> that leads to better teaching and learning</w:t>
      </w:r>
      <w:r w:rsidR="004E294A" w:rsidRPr="00292D9C">
        <w:rPr>
          <w:lang w:val="en-US"/>
        </w:rPr>
        <w:t xml:space="preserve"> in STEM. </w:t>
      </w:r>
    </w:p>
    <w:p w14:paraId="1B58E566" w14:textId="77777777" w:rsidR="004E294A" w:rsidRPr="00292D9C" w:rsidRDefault="00D017BC" w:rsidP="00A616D5">
      <w:pPr>
        <w:pStyle w:val="Heading3"/>
        <w:numPr>
          <w:ilvl w:val="0"/>
          <w:numId w:val="0"/>
        </w:numPr>
        <w:spacing w:before="0" w:after="120"/>
        <w:rPr>
          <w:rFonts w:asciiTheme="minorHAnsi" w:hAnsiTheme="minorHAnsi"/>
          <w:lang w:val="en-US"/>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852800" behindDoc="0" locked="0" layoutInCell="1" allowOverlap="1" wp14:anchorId="3BE43FB0" wp14:editId="3E6C2060">
                <wp:simplePos x="0" y="0"/>
                <wp:positionH relativeFrom="column">
                  <wp:posOffset>4504250</wp:posOffset>
                </wp:positionH>
                <wp:positionV relativeFrom="paragraph">
                  <wp:posOffset>230066</wp:posOffset>
                </wp:positionV>
                <wp:extent cx="1763395" cy="949325"/>
                <wp:effectExtent l="0" t="0" r="1905" b="130175"/>
                <wp:wrapSquare wrapText="bothSides"/>
                <wp:docPr id="65" name="Rounded Rectangular Callout 65"/>
                <wp:cNvGraphicFramePr/>
                <a:graphic xmlns:a="http://schemas.openxmlformats.org/drawingml/2006/main">
                  <a:graphicData uri="http://schemas.microsoft.com/office/word/2010/wordprocessingShape">
                    <wps:wsp>
                      <wps:cNvSpPr/>
                      <wps:spPr>
                        <a:xfrm>
                          <a:off x="0" y="0"/>
                          <a:ext cx="1763395" cy="949325"/>
                        </a:xfrm>
                        <a:prstGeom prst="wedgeRoundRectCallout">
                          <a:avLst>
                            <a:gd name="adj1" fmla="val -10366"/>
                            <a:gd name="adj2" fmla="val 6318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59C10" w14:textId="77777777" w:rsidR="007E2D07" w:rsidRDefault="007E2D07" w:rsidP="00095C0E">
                            <w:pPr>
                              <w:spacing w:line="240" w:lineRule="auto"/>
                              <w:jc w:val="center"/>
                            </w:pPr>
                            <w:r>
                              <w:t>“Just throwing money at it won’t get results. Staff need time to actually think, investigate, design or research potential projects”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3FB0" id="Rounded Rectangular Callout 65" o:spid="_x0000_s1047" type="#_x0000_t62" style="position:absolute;margin-left:354.65pt;margin-top:18.1pt;width:138.85pt;height:74.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" adj="8561,24448" fillcolor="#f4c6cd [660]" stroked="f" strokeweight="2pt">
                <v:textbox inset="0,0,0,0">
                  <w:txbxContent>
                    <w:p w14:paraId="7A059C10" w14:textId="77777777" w:rsidR="007E2D07" w:rsidRDefault="007E2D07" w:rsidP="00095C0E">
                      <w:pPr>
                        <w:spacing w:line="240" w:lineRule="auto"/>
                        <w:jc w:val="center"/>
                      </w:pPr>
                      <w:r>
                        <w:t>“Just throwing money at it won’t get results. Staff need time to actually think, investigate, design or research potential projects” – Teacher</w:t>
                      </w:r>
                    </w:p>
                  </w:txbxContent>
                </v:textbox>
                <w10:wrap type="square"/>
              </v:shape>
            </w:pict>
          </mc:Fallback>
        </mc:AlternateContent>
      </w:r>
      <w:r w:rsidR="008F1CD5" w:rsidRPr="00292D9C">
        <w:rPr>
          <w:rFonts w:asciiTheme="minorHAnsi" w:hAnsiTheme="minorHAnsi"/>
          <w:lang w:val="en-US"/>
        </w:rPr>
        <w:t xml:space="preserve">Resources </w:t>
      </w:r>
      <w:r w:rsidR="00591ADE" w:rsidRPr="00292D9C">
        <w:rPr>
          <w:rFonts w:asciiTheme="minorHAnsi" w:hAnsiTheme="minorHAnsi"/>
          <w:lang w:val="en-US"/>
        </w:rPr>
        <w:t>must be</w:t>
      </w:r>
      <w:r w:rsidR="008F1CD5" w:rsidRPr="00292D9C">
        <w:rPr>
          <w:rFonts w:asciiTheme="minorHAnsi" w:hAnsiTheme="minorHAnsi"/>
          <w:lang w:val="en-US"/>
        </w:rPr>
        <w:t xml:space="preserve"> high quality and accessible </w:t>
      </w:r>
    </w:p>
    <w:p w14:paraId="3C654BE0" w14:textId="77777777" w:rsidR="008F1CD5" w:rsidRPr="00292D9C" w:rsidRDefault="00BE092C" w:rsidP="00A616D5">
      <w:pPr>
        <w:rPr>
          <w:lang w:val="en-US"/>
        </w:rPr>
      </w:pPr>
      <w:r w:rsidRPr="00292D9C">
        <w:rPr>
          <w:lang w:val="en-US"/>
        </w:rPr>
        <w:t xml:space="preserve">Quality and accessibility are important </w:t>
      </w:r>
      <w:r w:rsidR="00A57433" w:rsidRPr="00292D9C">
        <w:rPr>
          <w:lang w:val="en-US"/>
        </w:rPr>
        <w:t xml:space="preserve">as they </w:t>
      </w:r>
      <w:r w:rsidRPr="00292D9C">
        <w:rPr>
          <w:lang w:val="en-US"/>
        </w:rPr>
        <w:t xml:space="preserve">increase the likelihood that </w:t>
      </w:r>
      <w:r w:rsidR="008F1CD5" w:rsidRPr="00292D9C">
        <w:rPr>
          <w:lang w:val="en-US"/>
        </w:rPr>
        <w:t>resources</w:t>
      </w:r>
      <w:r w:rsidRPr="00292D9C">
        <w:rPr>
          <w:lang w:val="en-US"/>
        </w:rPr>
        <w:t xml:space="preserve"> are successful at achieving their aims</w:t>
      </w:r>
      <w:r w:rsidR="00A57433" w:rsidRPr="00292D9C">
        <w:rPr>
          <w:lang w:val="en-US"/>
        </w:rPr>
        <w:t>.</w:t>
      </w:r>
      <w:r w:rsidR="00D017BC" w:rsidRPr="00292D9C">
        <w:rPr>
          <w:lang w:val="en-US"/>
        </w:rPr>
        <w:t xml:space="preserve"> </w:t>
      </w:r>
      <w:r w:rsidR="00A57433" w:rsidRPr="00292D9C">
        <w:rPr>
          <w:lang w:val="en-US"/>
        </w:rPr>
        <w:t xml:space="preserve">This is also significant because </w:t>
      </w:r>
      <w:r w:rsidRPr="00292D9C">
        <w:rPr>
          <w:lang w:val="en-US"/>
        </w:rPr>
        <w:t xml:space="preserve">STEM education is already a crowded space, with many low-quality </w:t>
      </w:r>
      <w:r w:rsidR="008F1CD5" w:rsidRPr="00292D9C">
        <w:rPr>
          <w:lang w:val="en-US"/>
        </w:rPr>
        <w:t>resources</w:t>
      </w:r>
      <w:r w:rsidRPr="00292D9C">
        <w:rPr>
          <w:lang w:val="en-US"/>
        </w:rPr>
        <w:t xml:space="preserve"> competing for teachers’ attention.</w:t>
      </w:r>
    </w:p>
    <w:p w14:paraId="151CB7B4" w14:textId="77777777" w:rsidR="00061665" w:rsidRPr="00292D9C" w:rsidRDefault="00297A79" w:rsidP="00A616D5">
      <w:pPr>
        <w:rPr>
          <w:lang w:val="en-US"/>
        </w:rPr>
      </w:pPr>
      <w:r w:rsidRPr="00292D9C">
        <w:rPr>
          <w:rFonts w:eastAsia="Times New Roman" w:cs="Times New Roman"/>
          <w:noProof/>
          <w:color w:val="auto"/>
          <w:szCs w:val="22"/>
          <w:lang w:eastAsia="en-AU"/>
        </w:rPr>
        <mc:AlternateContent>
          <mc:Choice Requires="wps">
            <w:drawing>
              <wp:anchor distT="0" distB="0" distL="114300" distR="114300" simplePos="0" relativeHeight="251748352" behindDoc="0" locked="0" layoutInCell="1" allowOverlap="1" wp14:anchorId="5522C9C2" wp14:editId="32A2EADF">
                <wp:simplePos x="0" y="0"/>
                <wp:positionH relativeFrom="column">
                  <wp:posOffset>4480560</wp:posOffset>
                </wp:positionH>
                <wp:positionV relativeFrom="paragraph">
                  <wp:posOffset>299748</wp:posOffset>
                </wp:positionV>
                <wp:extent cx="1806575" cy="1086485"/>
                <wp:effectExtent l="0" t="0" r="0" b="158115"/>
                <wp:wrapSquare wrapText="bothSides"/>
                <wp:docPr id="64" name="Rounded Rectangular Callout 64"/>
                <wp:cNvGraphicFramePr/>
                <a:graphic xmlns:a="http://schemas.openxmlformats.org/drawingml/2006/main">
                  <a:graphicData uri="http://schemas.microsoft.com/office/word/2010/wordprocessingShape">
                    <wps:wsp>
                      <wps:cNvSpPr/>
                      <wps:spPr>
                        <a:xfrm>
                          <a:off x="0" y="0"/>
                          <a:ext cx="1806575" cy="1086485"/>
                        </a:xfrm>
                        <a:prstGeom prst="wedgeRoundRectCallout">
                          <a:avLst>
                            <a:gd name="adj1" fmla="val -8387"/>
                            <a:gd name="adj2" fmla="val 6394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07CF6" w14:textId="77777777" w:rsidR="007E2D07" w:rsidRDefault="007E2D07" w:rsidP="0087538D">
                            <w:pPr>
                              <w:spacing w:line="240" w:lineRule="auto"/>
                              <w:jc w:val="center"/>
                            </w:pPr>
                            <w:r>
                              <w:t>“There seems to be a massive range of resources for teachers. This is somewhat overwhelming and very time consuming to sort through and filter what is actually worthwhile.”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2C9C2" id="Rounded Rectangular Callout 64" o:spid="_x0000_s1048" type="#_x0000_t62" style="position:absolute;margin-left:352.8pt;margin-top:23.6pt;width:142.25pt;height:8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" adj="8988,24613" fillcolor="#f4c6cd [660]" stroked="f" strokeweight="2pt">
                <v:textbox inset="0,0,0,0">
                  <w:txbxContent>
                    <w:p w14:paraId="0EB07CF6" w14:textId="77777777" w:rsidR="007E2D07" w:rsidRDefault="007E2D07" w:rsidP="0087538D">
                      <w:pPr>
                        <w:spacing w:line="240" w:lineRule="auto"/>
                        <w:jc w:val="center"/>
                      </w:pPr>
                      <w:r>
                        <w:t>“There seems to be a massive range of resources for teachers. This is somewhat overwhelming and very time consuming to sort through and filter what is actually worthwhile.” – Teacher</w:t>
                      </w:r>
                    </w:p>
                  </w:txbxContent>
                </v:textbox>
                <w10:wrap type="square"/>
              </v:shape>
            </w:pict>
          </mc:Fallback>
        </mc:AlternateContent>
      </w:r>
      <w:r w:rsidR="008F1CD5" w:rsidRPr="00292D9C">
        <w:rPr>
          <w:lang w:val="en-US"/>
        </w:rPr>
        <w:t xml:space="preserve">Stakeholders </w:t>
      </w:r>
      <w:r w:rsidR="00591ADE" w:rsidRPr="00292D9C">
        <w:rPr>
          <w:lang w:val="en-US"/>
        </w:rPr>
        <w:t>spoke positively about the resources provided by</w:t>
      </w:r>
      <w:r w:rsidR="008F1CD5" w:rsidRPr="00292D9C">
        <w:rPr>
          <w:lang w:val="en-US"/>
        </w:rPr>
        <w:t xml:space="preserve"> NISA initiatives</w:t>
      </w:r>
      <w:r w:rsidR="00591ADE" w:rsidRPr="00292D9C">
        <w:rPr>
          <w:lang w:val="en-US"/>
        </w:rPr>
        <w:t xml:space="preserve">. </w:t>
      </w:r>
      <w:r w:rsidR="004E294A" w:rsidRPr="00292D9C">
        <w:rPr>
          <w:lang w:val="en-US"/>
        </w:rPr>
        <w:t xml:space="preserve">When asked about quality resources, stakeholders </w:t>
      </w:r>
      <w:r w:rsidR="00A57433" w:rsidRPr="00292D9C">
        <w:rPr>
          <w:lang w:val="en-US"/>
        </w:rPr>
        <w:t xml:space="preserve">cited </w:t>
      </w:r>
      <w:r w:rsidR="009F65DD" w:rsidRPr="00292D9C">
        <w:rPr>
          <w:lang w:val="en-US"/>
        </w:rPr>
        <w:t>curriculum</w:t>
      </w:r>
      <w:r w:rsidR="004E294A" w:rsidRPr="00292D9C">
        <w:rPr>
          <w:lang w:val="en-US"/>
        </w:rPr>
        <w:t xml:space="preserve"> alignment</w:t>
      </w:r>
      <w:r w:rsidR="009F65DD" w:rsidRPr="00292D9C">
        <w:rPr>
          <w:lang w:val="en-US"/>
        </w:rPr>
        <w:t>, the</w:t>
      </w:r>
      <w:r w:rsidR="00274248" w:rsidRPr="00292D9C">
        <w:rPr>
          <w:lang w:val="en-US"/>
        </w:rPr>
        <w:t xml:space="preserve"> use of research-based pedagogy and resources</w:t>
      </w:r>
      <w:r w:rsidR="009F65DD" w:rsidRPr="00292D9C">
        <w:rPr>
          <w:lang w:val="en-US"/>
        </w:rPr>
        <w:t xml:space="preserve"> that were tested by teachers</w:t>
      </w:r>
      <w:r w:rsidR="00A57433" w:rsidRPr="00292D9C">
        <w:rPr>
          <w:lang w:val="en-US"/>
        </w:rPr>
        <w:t xml:space="preserve"> as effective</w:t>
      </w:r>
      <w:r w:rsidR="00274248" w:rsidRPr="00292D9C">
        <w:rPr>
          <w:lang w:val="en-US"/>
        </w:rPr>
        <w:t>.</w:t>
      </w:r>
      <w:r w:rsidR="009F65DD" w:rsidRPr="00292D9C">
        <w:rPr>
          <w:lang w:val="en-US"/>
        </w:rPr>
        <w:t xml:space="preserve"> </w:t>
      </w:r>
      <w:r w:rsidR="00274248" w:rsidRPr="00292D9C">
        <w:rPr>
          <w:lang w:val="en-US"/>
        </w:rPr>
        <w:t xml:space="preserve">Some of the barriers that stakeholders faced </w:t>
      </w:r>
      <w:r w:rsidR="005700E0" w:rsidRPr="00292D9C">
        <w:rPr>
          <w:lang w:val="en-US"/>
        </w:rPr>
        <w:t xml:space="preserve">in </w:t>
      </w:r>
      <w:r w:rsidR="00274248" w:rsidRPr="00292D9C">
        <w:rPr>
          <w:lang w:val="en-US"/>
        </w:rPr>
        <w:t xml:space="preserve">accessing </w:t>
      </w:r>
      <w:r w:rsidR="008F1CD5" w:rsidRPr="00292D9C">
        <w:rPr>
          <w:lang w:val="en-US"/>
        </w:rPr>
        <w:t xml:space="preserve">resources included </w:t>
      </w:r>
      <w:r w:rsidR="00274248" w:rsidRPr="00292D9C">
        <w:rPr>
          <w:lang w:val="en-US"/>
        </w:rPr>
        <w:t>difficult</w:t>
      </w:r>
      <w:r w:rsidR="00D4222D" w:rsidRPr="00292D9C">
        <w:rPr>
          <w:lang w:val="en-US"/>
        </w:rPr>
        <w:t>y</w:t>
      </w:r>
      <w:r w:rsidR="00274248" w:rsidRPr="00292D9C">
        <w:rPr>
          <w:lang w:val="en-US"/>
        </w:rPr>
        <w:t xml:space="preserve"> navigat</w:t>
      </w:r>
      <w:r w:rsidR="00D4222D" w:rsidRPr="00292D9C">
        <w:rPr>
          <w:lang w:val="en-US"/>
        </w:rPr>
        <w:t>ing</w:t>
      </w:r>
      <w:r w:rsidR="00274248" w:rsidRPr="00292D9C">
        <w:rPr>
          <w:lang w:val="en-US"/>
        </w:rPr>
        <w:t xml:space="preserve"> websites </w:t>
      </w:r>
      <w:r w:rsidR="00D4222D" w:rsidRPr="00292D9C">
        <w:rPr>
          <w:lang w:val="en-US"/>
        </w:rPr>
        <w:t>on which</w:t>
      </w:r>
      <w:r w:rsidR="00274248" w:rsidRPr="00292D9C">
        <w:rPr>
          <w:lang w:val="en-US"/>
        </w:rPr>
        <w:t xml:space="preserve"> resources are hosted and</w:t>
      </w:r>
      <w:r w:rsidR="008F1CD5" w:rsidRPr="00292D9C">
        <w:rPr>
          <w:lang w:val="en-US"/>
        </w:rPr>
        <w:t xml:space="preserve"> </w:t>
      </w:r>
      <w:r w:rsidR="005700E0" w:rsidRPr="00292D9C">
        <w:rPr>
          <w:lang w:val="en-US"/>
        </w:rPr>
        <w:t>i</w:t>
      </w:r>
      <w:r w:rsidR="00274248" w:rsidRPr="00292D9C">
        <w:rPr>
          <w:lang w:val="en-US"/>
        </w:rPr>
        <w:t>ntellectual property restrictions</w:t>
      </w:r>
      <w:r w:rsidR="00061665" w:rsidRPr="00292D9C">
        <w:rPr>
          <w:lang w:val="en-US"/>
        </w:rPr>
        <w:t xml:space="preserve">. For example, </w:t>
      </w:r>
      <w:r w:rsidR="006C11DB" w:rsidRPr="00292D9C">
        <w:rPr>
          <w:lang w:val="en-US"/>
        </w:rPr>
        <w:t xml:space="preserve">in the case of </w:t>
      </w:r>
      <w:r w:rsidR="00061665" w:rsidRPr="00292D9C">
        <w:rPr>
          <w:lang w:val="en-US"/>
        </w:rPr>
        <w:t>the Australian Digital Technologies Challenges</w:t>
      </w:r>
      <w:r w:rsidR="006C11DB" w:rsidRPr="00292D9C">
        <w:rPr>
          <w:lang w:val="en-US"/>
        </w:rPr>
        <w:t xml:space="preserve">, resources were only available </w:t>
      </w:r>
      <w:r w:rsidR="00465C6F">
        <w:rPr>
          <w:lang w:val="en-US"/>
        </w:rPr>
        <w:t>for teachers of Y</w:t>
      </w:r>
      <w:r w:rsidR="000A3850">
        <w:rPr>
          <w:lang w:val="en-US"/>
        </w:rPr>
        <w:t>ea</w:t>
      </w:r>
      <w:r w:rsidR="00465C6F">
        <w:rPr>
          <w:lang w:val="en-US"/>
        </w:rPr>
        <w:t>rs 3-8 students</w:t>
      </w:r>
      <w:r w:rsidR="00A57433" w:rsidRPr="00292D9C">
        <w:rPr>
          <w:lang w:val="en-US"/>
        </w:rPr>
        <w:t>,</w:t>
      </w:r>
      <w:r w:rsidR="006C11DB" w:rsidRPr="00292D9C">
        <w:rPr>
          <w:lang w:val="en-US"/>
        </w:rPr>
        <w:t xml:space="preserve"> as opposed to a</w:t>
      </w:r>
      <w:r w:rsidR="00A57433" w:rsidRPr="00292D9C">
        <w:rPr>
          <w:lang w:val="en-US"/>
        </w:rPr>
        <w:t>ny</w:t>
      </w:r>
      <w:r w:rsidR="006C11DB" w:rsidRPr="00292D9C">
        <w:rPr>
          <w:lang w:val="en-US"/>
        </w:rPr>
        <w:t xml:space="preserve"> teacher who wanted to access them.</w:t>
      </w:r>
    </w:p>
    <w:p w14:paraId="09C03A61" w14:textId="77777777" w:rsidR="00E71327" w:rsidRPr="00292D9C" w:rsidRDefault="00E71327" w:rsidP="00A616D5">
      <w:pPr>
        <w:pStyle w:val="Heading2"/>
        <w:spacing w:before="0" w:after="120"/>
        <w:rPr>
          <w:rFonts w:asciiTheme="minorHAnsi" w:hAnsiTheme="minorHAnsi"/>
          <w:b/>
          <w:bCs/>
          <w:u w:val="single"/>
          <w:lang w:eastAsia="en-GB"/>
        </w:rPr>
      </w:pPr>
      <w:bookmarkStart w:id="87" w:name="_Toc21088251"/>
      <w:bookmarkStart w:id="88" w:name="_Toc23504220"/>
      <w:bookmarkStart w:id="89" w:name="_Toc25162054"/>
      <w:r w:rsidRPr="00292D9C">
        <w:rPr>
          <w:rFonts w:asciiTheme="minorHAnsi" w:hAnsiTheme="minorHAnsi"/>
          <w:b/>
          <w:bCs/>
          <w:u w:val="single"/>
          <w:lang w:eastAsia="en-GB"/>
        </w:rPr>
        <w:t>How</w:t>
      </w:r>
      <w:bookmarkEnd w:id="87"/>
      <w:bookmarkEnd w:id="88"/>
      <w:bookmarkEnd w:id="89"/>
    </w:p>
    <w:p w14:paraId="2E8C4161" w14:textId="77777777" w:rsidR="002A140D" w:rsidRPr="00292D9C" w:rsidRDefault="00D11E32" w:rsidP="00A616D5">
      <w:pPr>
        <w:pStyle w:val="Heading2"/>
        <w:spacing w:before="0" w:after="120"/>
        <w:rPr>
          <w:rFonts w:asciiTheme="minorHAnsi" w:hAnsiTheme="minorHAnsi"/>
        </w:rPr>
      </w:pPr>
      <w:bookmarkStart w:id="90" w:name="_Toc21088252"/>
      <w:bookmarkStart w:id="91" w:name="_Toc23504221"/>
      <w:bookmarkStart w:id="92" w:name="_Toc25162055"/>
      <w:r w:rsidRPr="00292D9C">
        <w:rPr>
          <w:rFonts w:asciiTheme="minorHAnsi" w:hAnsiTheme="minorHAnsi"/>
          <w:lang w:val="en-US"/>
        </w:rPr>
        <w:t xml:space="preserve">5.7. </w:t>
      </w:r>
      <w:bookmarkStart w:id="93" w:name="_Toc16707159"/>
      <w:r w:rsidR="002A140D" w:rsidRPr="00292D9C">
        <w:rPr>
          <w:rFonts w:asciiTheme="minorHAnsi" w:hAnsiTheme="minorHAnsi"/>
        </w:rPr>
        <w:t>What are the partnerships, processes and supports that have been used?</w:t>
      </w:r>
      <w:bookmarkEnd w:id="90"/>
      <w:bookmarkEnd w:id="91"/>
      <w:bookmarkEnd w:id="92"/>
      <w:bookmarkEnd w:id="93"/>
      <w:r w:rsidR="002A140D" w:rsidRPr="00292D9C">
        <w:rPr>
          <w:rFonts w:asciiTheme="minorHAnsi" w:hAnsiTheme="minorHAnsi"/>
        </w:rPr>
        <w:t xml:space="preserve"> </w:t>
      </w:r>
    </w:p>
    <w:p w14:paraId="55B4EB2C" w14:textId="77777777" w:rsidR="005E1062" w:rsidRPr="00292D9C" w:rsidRDefault="005E1062" w:rsidP="00A616D5">
      <w:pPr>
        <w:pStyle w:val="Heading3"/>
        <w:numPr>
          <w:ilvl w:val="0"/>
          <w:numId w:val="0"/>
        </w:numPr>
        <w:spacing w:before="0" w:after="120"/>
        <w:rPr>
          <w:rFonts w:asciiTheme="minorHAnsi" w:hAnsiTheme="minorHAnsi"/>
        </w:rPr>
      </w:pPr>
      <w:r w:rsidRPr="00292D9C">
        <w:rPr>
          <w:rFonts w:asciiTheme="minorHAnsi" w:hAnsiTheme="minorHAnsi"/>
        </w:rPr>
        <w:t>Service providers consistently raise challenges with meeting compliance requirements</w:t>
      </w:r>
    </w:p>
    <w:p w14:paraId="18AED506" w14:textId="77777777" w:rsidR="008365F9" w:rsidRPr="00292D9C" w:rsidRDefault="008365F9" w:rsidP="00A616D5">
      <w:r w:rsidRPr="00292D9C">
        <w:t xml:space="preserve">Almost all initiatives face </w:t>
      </w:r>
      <w:r w:rsidR="00D26657" w:rsidRPr="00292D9C">
        <w:t>challenges in meeting their</w:t>
      </w:r>
      <w:r w:rsidRPr="00292D9C">
        <w:t xml:space="preserve"> </w:t>
      </w:r>
      <w:r w:rsidR="00D26657" w:rsidRPr="00292D9C">
        <w:t xml:space="preserve">compliance requirements. </w:t>
      </w:r>
      <w:r w:rsidRPr="00292D9C">
        <w:t xml:space="preserve">The most common </w:t>
      </w:r>
      <w:r w:rsidR="00D26657" w:rsidRPr="00292D9C">
        <w:t>issue</w:t>
      </w:r>
      <w:r w:rsidRPr="00292D9C">
        <w:t xml:space="preserve"> raised by providers</w:t>
      </w:r>
      <w:r w:rsidR="00D26657" w:rsidRPr="00292D9C">
        <w:t xml:space="preserve"> was</w:t>
      </w:r>
      <w:r w:rsidRPr="00292D9C">
        <w:t xml:space="preserve"> </w:t>
      </w:r>
      <w:r w:rsidR="00D26657" w:rsidRPr="00292D9C">
        <w:t xml:space="preserve">the compliance requirements related to </w:t>
      </w:r>
      <w:r w:rsidR="00465C6F">
        <w:t xml:space="preserve">information </w:t>
      </w:r>
      <w:r w:rsidRPr="00292D9C">
        <w:t>security</w:t>
      </w:r>
      <w:r w:rsidR="00D26657" w:rsidRPr="00292D9C">
        <w:t>.</w:t>
      </w:r>
      <w:r w:rsidR="00D26657" w:rsidRPr="00292D9C">
        <w:rPr>
          <w:rStyle w:val="FootnoteReference"/>
        </w:rPr>
        <w:footnoteReference w:id="31"/>
      </w:r>
      <w:r w:rsidR="00D26657" w:rsidRPr="00292D9C">
        <w:t xml:space="preserve"> Several providers and evaluators also said that the processes around securing ethics approval</w:t>
      </w:r>
      <w:r w:rsidR="00465C6F">
        <w:t>s from state and territory education authorities</w:t>
      </w:r>
      <w:r w:rsidR="00D26657" w:rsidRPr="00292D9C">
        <w:t xml:space="preserve"> were a constraint. This </w:t>
      </w:r>
      <w:r w:rsidR="00D4222D" w:rsidRPr="00292D9C">
        <w:t xml:space="preserve">is </w:t>
      </w:r>
      <w:r w:rsidRPr="00292D9C">
        <w:t>particular</w:t>
      </w:r>
      <w:r w:rsidR="00D26657" w:rsidRPr="00292D9C">
        <w:t>ly</w:t>
      </w:r>
      <w:r w:rsidRPr="00292D9C">
        <w:t xml:space="preserve"> </w:t>
      </w:r>
      <w:r w:rsidR="00D26657" w:rsidRPr="00292D9C">
        <w:t>difficult</w:t>
      </w:r>
      <w:r w:rsidRPr="00292D9C">
        <w:t xml:space="preserve"> for initiative</w:t>
      </w:r>
      <w:r w:rsidR="00D26657" w:rsidRPr="00292D9C">
        <w:t>s</w:t>
      </w:r>
      <w:r w:rsidRPr="00292D9C">
        <w:t xml:space="preserve"> operating in more than one state </w:t>
      </w:r>
      <w:r w:rsidR="005700E0" w:rsidRPr="00292D9C">
        <w:t>that must</w:t>
      </w:r>
      <w:r w:rsidRPr="00292D9C">
        <w:t xml:space="preserve"> secure ethics approval in each state through separate processes. </w:t>
      </w:r>
      <w:r w:rsidR="00E4452D">
        <w:t>The impact of these challenges has varied across the initiatives, but for some has</w:t>
      </w:r>
      <w:r w:rsidR="005E1062" w:rsidRPr="00292D9C">
        <w:t xml:space="preserve"> include</w:t>
      </w:r>
      <w:r w:rsidR="00E4452D">
        <w:t>d</w:t>
      </w:r>
      <w:r w:rsidR="005E1062" w:rsidRPr="00292D9C">
        <w:t xml:space="preserve">: </w:t>
      </w:r>
    </w:p>
    <w:p w14:paraId="062EF916" w14:textId="77777777" w:rsidR="008365F9" w:rsidRPr="00292D9C" w:rsidRDefault="009C30E8" w:rsidP="00164DDE">
      <w:pPr>
        <w:pStyle w:val="ListParagraph"/>
        <w:numPr>
          <w:ilvl w:val="0"/>
          <w:numId w:val="27"/>
        </w:numPr>
      </w:pPr>
      <w:r w:rsidRPr="00292D9C">
        <w:t xml:space="preserve">Challenges in building an open and collaborative relationship with the Department </w:t>
      </w:r>
    </w:p>
    <w:p w14:paraId="5316736B" w14:textId="77777777" w:rsidR="008365F9" w:rsidRPr="00292D9C" w:rsidRDefault="009C30E8" w:rsidP="00164DDE">
      <w:pPr>
        <w:pStyle w:val="ListParagraph"/>
        <w:numPr>
          <w:ilvl w:val="0"/>
          <w:numId w:val="27"/>
        </w:numPr>
      </w:pPr>
      <w:r w:rsidRPr="00292D9C">
        <w:t xml:space="preserve">Implementation delays </w:t>
      </w:r>
    </w:p>
    <w:p w14:paraId="1F56B314" w14:textId="77777777" w:rsidR="008365F9" w:rsidRPr="00292D9C" w:rsidRDefault="008365F9" w:rsidP="00164DDE">
      <w:pPr>
        <w:pStyle w:val="ListParagraph"/>
        <w:numPr>
          <w:ilvl w:val="0"/>
          <w:numId w:val="27"/>
        </w:numPr>
      </w:pPr>
      <w:r w:rsidRPr="00292D9C">
        <w:t xml:space="preserve">Additional work </w:t>
      </w:r>
      <w:r w:rsidR="00D26657" w:rsidRPr="00292D9C">
        <w:t>for providers</w:t>
      </w:r>
    </w:p>
    <w:p w14:paraId="5C20CC9F" w14:textId="77777777" w:rsidR="00D4222D" w:rsidRPr="00292D9C" w:rsidRDefault="008365F9" w:rsidP="00164DDE">
      <w:pPr>
        <w:pStyle w:val="ListParagraph"/>
        <w:numPr>
          <w:ilvl w:val="0"/>
          <w:numId w:val="27"/>
        </w:numPr>
        <w:rPr>
          <w:lang w:val="en-US"/>
        </w:rPr>
      </w:pPr>
      <w:r w:rsidRPr="00292D9C">
        <w:t>Reluctance to collect student data to measure impact</w:t>
      </w:r>
      <w:r w:rsidR="009C30E8" w:rsidRPr="00292D9C">
        <w:t>, and a subsequent limited understanding of initiative impact.</w:t>
      </w:r>
    </w:p>
    <w:p w14:paraId="7156DF1A" w14:textId="77777777" w:rsidR="009C30E8" w:rsidRPr="00292D9C" w:rsidRDefault="009C30E8" w:rsidP="00A616D5">
      <w:pPr>
        <w:rPr>
          <w:b/>
          <w:color w:val="8C8686" w:themeColor="accent4"/>
          <w:lang w:val="en-US"/>
        </w:rPr>
      </w:pPr>
      <w:r w:rsidRPr="00292D9C">
        <w:rPr>
          <w:lang w:val="en-US"/>
        </w:rPr>
        <w:br w:type="page"/>
      </w:r>
    </w:p>
    <w:p w14:paraId="2CB9E581" w14:textId="77777777" w:rsidR="009603DA" w:rsidRPr="00292D9C" w:rsidRDefault="009603DA" w:rsidP="00A616D5">
      <w:pPr>
        <w:pStyle w:val="Heading3"/>
        <w:numPr>
          <w:ilvl w:val="0"/>
          <w:numId w:val="0"/>
        </w:numPr>
        <w:spacing w:before="0" w:after="120"/>
        <w:rPr>
          <w:rFonts w:asciiTheme="minorHAnsi" w:hAnsiTheme="minorHAnsi"/>
        </w:rPr>
      </w:pPr>
      <w:r w:rsidRPr="00292D9C">
        <w:rPr>
          <w:rFonts w:asciiTheme="minorHAnsi" w:hAnsiTheme="minorHAnsi"/>
        </w:rPr>
        <w:t>Partnerships and consult</w:t>
      </w:r>
      <w:r w:rsidR="00AB6467" w:rsidRPr="00292D9C">
        <w:rPr>
          <w:rFonts w:asciiTheme="minorHAnsi" w:hAnsiTheme="minorHAnsi"/>
        </w:rPr>
        <w:t>ing with the sector</w:t>
      </w:r>
      <w:r w:rsidRPr="00292D9C">
        <w:rPr>
          <w:rFonts w:asciiTheme="minorHAnsi" w:hAnsiTheme="minorHAnsi"/>
        </w:rPr>
        <w:t xml:space="preserve"> </w:t>
      </w:r>
      <w:r w:rsidR="008365F9" w:rsidRPr="00292D9C">
        <w:rPr>
          <w:rFonts w:asciiTheme="minorHAnsi" w:hAnsiTheme="minorHAnsi"/>
        </w:rPr>
        <w:t>are i</w:t>
      </w:r>
      <w:r w:rsidRPr="00292D9C">
        <w:rPr>
          <w:rFonts w:asciiTheme="minorHAnsi" w:hAnsiTheme="minorHAnsi"/>
        </w:rPr>
        <w:t>mportant for reaching audiences and ensuring support</w:t>
      </w:r>
      <w:r w:rsidR="009F65DD" w:rsidRPr="00292D9C">
        <w:rPr>
          <w:rFonts w:asciiTheme="minorHAnsi" w:hAnsiTheme="minorHAnsi"/>
        </w:rPr>
        <w:t xml:space="preserve">. Initiatives that did not do this effectively were criticised </w:t>
      </w:r>
    </w:p>
    <w:p w14:paraId="72A63F7B" w14:textId="77777777" w:rsidR="00D4222D" w:rsidRPr="00292D9C" w:rsidRDefault="00A521DD" w:rsidP="00A616D5">
      <w:r w:rsidRPr="00292D9C">
        <w:t xml:space="preserve">Initiatives that established strong partnerships and consulted with the sector </w:t>
      </w:r>
      <w:r w:rsidR="009603DA" w:rsidRPr="00292D9C">
        <w:t xml:space="preserve">they were targeting </w:t>
      </w:r>
      <w:r w:rsidRPr="00292D9C">
        <w:t>had more support from educators and other stakeholders.</w:t>
      </w:r>
      <w:r w:rsidR="009603DA" w:rsidRPr="00292D9C">
        <w:t xml:space="preserve"> </w:t>
      </w:r>
      <w:r w:rsidR="002A140D" w:rsidRPr="00292D9C">
        <w:t xml:space="preserve">Stakeholders praised programs that consulted widely and made moderations to their product and approach as a response to feedback from the sector. </w:t>
      </w:r>
      <w:r w:rsidRPr="00292D9C">
        <w:t xml:space="preserve">One program was criticised by a peak body for not building strong partnerships </w:t>
      </w:r>
      <w:r w:rsidR="008365F9" w:rsidRPr="00292D9C">
        <w:t>and consulting widely.</w:t>
      </w:r>
      <w:r w:rsidRPr="00292D9C">
        <w:t xml:space="preserve"> </w:t>
      </w:r>
      <w:r w:rsidR="00D4222D" w:rsidRPr="00292D9C">
        <w:t>Additionally</w:t>
      </w:r>
      <w:r w:rsidR="002A140D" w:rsidRPr="00292D9C">
        <w:t>, s</w:t>
      </w:r>
      <w:r w:rsidRPr="00292D9C">
        <w:t xml:space="preserve">tate and territory curriculum authority representatives </w:t>
      </w:r>
      <w:r w:rsidR="008365F9" w:rsidRPr="00292D9C">
        <w:t>appreciated being</w:t>
      </w:r>
      <w:r w:rsidR="002A140D" w:rsidRPr="00292D9C">
        <w:t xml:space="preserve"> consulted and informed, so</w:t>
      </w:r>
      <w:r w:rsidRPr="00292D9C">
        <w:t xml:space="preserve"> they </w:t>
      </w:r>
      <w:r w:rsidR="002A619F" w:rsidRPr="00292D9C">
        <w:t xml:space="preserve">could </w:t>
      </w:r>
      <w:r w:rsidRPr="00292D9C">
        <w:t xml:space="preserve">support educators and promote initiatives and present a coordinated and coherent approach. </w:t>
      </w:r>
      <w:r w:rsidR="008365F9" w:rsidRPr="00292D9C">
        <w:t xml:space="preserve">They were not always informed about NISA-funded initiatives. </w:t>
      </w:r>
    </w:p>
    <w:p w14:paraId="6EDE45AC" w14:textId="77777777" w:rsidR="00AB6467" w:rsidRPr="00292D9C" w:rsidRDefault="00AB6467" w:rsidP="00A616D5">
      <w:pPr>
        <w:pStyle w:val="Heading3"/>
        <w:numPr>
          <w:ilvl w:val="0"/>
          <w:numId w:val="0"/>
        </w:numPr>
        <w:spacing w:before="0" w:after="120"/>
        <w:rPr>
          <w:rFonts w:asciiTheme="minorHAnsi" w:hAnsiTheme="minorHAnsi"/>
        </w:rPr>
      </w:pPr>
      <w:r w:rsidRPr="00292D9C">
        <w:rPr>
          <w:rFonts w:asciiTheme="minorHAnsi" w:hAnsiTheme="minorHAnsi"/>
        </w:rPr>
        <w:t>Stakeholders value opportunities for networking and sharing ideas</w:t>
      </w:r>
      <w:r w:rsidR="008365F9" w:rsidRPr="00292D9C">
        <w:rPr>
          <w:rFonts w:asciiTheme="minorHAnsi" w:hAnsiTheme="minorHAnsi"/>
        </w:rPr>
        <w:t xml:space="preserve">, </w:t>
      </w:r>
      <w:r w:rsidRPr="00292D9C">
        <w:rPr>
          <w:rFonts w:asciiTheme="minorHAnsi" w:hAnsiTheme="minorHAnsi"/>
        </w:rPr>
        <w:t xml:space="preserve">however, they still think lack of coordination is an ongoing problem in STEM education  </w:t>
      </w:r>
    </w:p>
    <w:p w14:paraId="6023B837" w14:textId="77777777" w:rsidR="002A619F" w:rsidRPr="00292D9C" w:rsidRDefault="001717B5" w:rsidP="00A616D5">
      <w:r w:rsidRPr="00292D9C">
        <w:t>Providers</w:t>
      </w:r>
      <w:r w:rsidR="00AB6467" w:rsidRPr="00292D9C">
        <w:t xml:space="preserve"> appreciate </w:t>
      </w:r>
      <w:r w:rsidR="00E6451D">
        <w:t xml:space="preserve">where they have access to </w:t>
      </w:r>
      <w:r w:rsidR="00AB6467" w:rsidRPr="00292D9C">
        <w:t xml:space="preserve">opportunities for networking and sharing ideas. </w:t>
      </w:r>
      <w:r w:rsidR="00D4222D" w:rsidRPr="00292D9C">
        <w:t>W</w:t>
      </w:r>
      <w:r w:rsidR="008365F9" w:rsidRPr="00292D9C">
        <w:t>hile they appreciated these opportunities, a strong theme emerged from stakeholder interviews that there is a</w:t>
      </w:r>
      <w:r w:rsidR="001A19F3">
        <w:t>n overall</w:t>
      </w:r>
      <w:r w:rsidR="008365F9" w:rsidRPr="00292D9C">
        <w:t xml:space="preserve"> lack of coordination in STEM education, including</w:t>
      </w:r>
      <w:r w:rsidR="00B36C1F">
        <w:t xml:space="preserve"> between</w:t>
      </w:r>
      <w:r w:rsidR="008365F9" w:rsidRPr="00292D9C">
        <w:t xml:space="preserve">: </w:t>
      </w:r>
    </w:p>
    <w:p w14:paraId="555F0300" w14:textId="77777777" w:rsidR="002A619F" w:rsidRPr="00292D9C" w:rsidRDefault="00AB6467" w:rsidP="00164DDE">
      <w:pPr>
        <w:pStyle w:val="ListParagraph"/>
        <w:numPr>
          <w:ilvl w:val="0"/>
          <w:numId w:val="25"/>
        </w:numPr>
      </w:pPr>
      <w:r w:rsidRPr="00292D9C">
        <w:t xml:space="preserve">NISA initiatives </w:t>
      </w:r>
    </w:p>
    <w:p w14:paraId="3902FBDB" w14:textId="77777777" w:rsidR="008365F9" w:rsidRPr="00292D9C" w:rsidRDefault="00B36C1F" w:rsidP="00164DDE">
      <w:pPr>
        <w:pStyle w:val="ListParagraph"/>
        <w:numPr>
          <w:ilvl w:val="0"/>
          <w:numId w:val="25"/>
        </w:numPr>
      </w:pPr>
      <w:r>
        <w:t>I</w:t>
      </w:r>
      <w:r w:rsidR="00AB6467" w:rsidRPr="00292D9C">
        <w:t>nitiatives across states</w:t>
      </w:r>
      <w:r w:rsidR="002B346B">
        <w:t>/territories</w:t>
      </w:r>
      <w:r w:rsidR="00AB6467" w:rsidRPr="00292D9C">
        <w:t xml:space="preserve"> and </w:t>
      </w:r>
    </w:p>
    <w:p w14:paraId="4284C6C4" w14:textId="77777777" w:rsidR="002A619F" w:rsidRPr="00292D9C" w:rsidRDefault="00B36C1F" w:rsidP="00164DDE">
      <w:pPr>
        <w:pStyle w:val="ListParagraph"/>
        <w:numPr>
          <w:ilvl w:val="0"/>
          <w:numId w:val="25"/>
        </w:numPr>
      </w:pPr>
      <w:r>
        <w:t>Federally</w:t>
      </w:r>
      <w:r w:rsidR="00AB6467" w:rsidRPr="00292D9C">
        <w:t xml:space="preserve"> funded and state/territory funded initiatives. </w:t>
      </w:r>
    </w:p>
    <w:p w14:paraId="7ACA2E9B" w14:textId="77777777" w:rsidR="00AB6467" w:rsidRPr="00292D9C" w:rsidRDefault="00AB6467" w:rsidP="00A616D5">
      <w:r w:rsidRPr="00292D9C">
        <w:t>Some of the consequences of this lack of coordination</w:t>
      </w:r>
      <w:r w:rsidR="008365F9" w:rsidRPr="00292D9C">
        <w:t xml:space="preserve"> according to stakeholders</w:t>
      </w:r>
      <w:r w:rsidRPr="00292D9C">
        <w:t xml:space="preserve"> include: </w:t>
      </w:r>
    </w:p>
    <w:p w14:paraId="396AF59B" w14:textId="77777777" w:rsidR="00AB6467" w:rsidRPr="00292D9C" w:rsidRDefault="00AB6467" w:rsidP="00164DDE">
      <w:pPr>
        <w:pStyle w:val="ListParagraph"/>
        <w:numPr>
          <w:ilvl w:val="0"/>
          <w:numId w:val="23"/>
        </w:numPr>
      </w:pPr>
      <w:r w:rsidRPr="00292D9C">
        <w:t>Difficulties reaching teachers and schools, especially for the programs that move between states</w:t>
      </w:r>
    </w:p>
    <w:p w14:paraId="575D1A8B" w14:textId="77777777" w:rsidR="00AB6467" w:rsidRPr="00292D9C" w:rsidRDefault="00AB6467" w:rsidP="00164DDE">
      <w:pPr>
        <w:pStyle w:val="ListParagraph"/>
        <w:numPr>
          <w:ilvl w:val="0"/>
          <w:numId w:val="23"/>
        </w:numPr>
      </w:pPr>
      <w:r w:rsidRPr="00292D9C">
        <w:t>The same schools may be reached by all or most of</w:t>
      </w:r>
      <w:r w:rsidR="00EB744E" w:rsidRPr="00292D9C">
        <w:t xml:space="preserve"> the</w:t>
      </w:r>
      <w:r w:rsidRPr="00292D9C">
        <w:t xml:space="preserve"> programs </w:t>
      </w:r>
      <w:r w:rsidR="005700E0" w:rsidRPr="00292D9C">
        <w:t xml:space="preserve">whilst other </w:t>
      </w:r>
      <w:r w:rsidRPr="00292D9C">
        <w:t>schools might not be getting any support</w:t>
      </w:r>
      <w:r w:rsidR="00757DA9" w:rsidRPr="00292D9C">
        <w:t xml:space="preserve">. </w:t>
      </w:r>
      <w:r w:rsidR="000B5F63" w:rsidRPr="00292D9C">
        <w:t>This may be due to</w:t>
      </w:r>
      <w:r w:rsidR="00757DA9" w:rsidRPr="00292D9C">
        <w:t>:</w:t>
      </w:r>
    </w:p>
    <w:p w14:paraId="29D01B2B" w14:textId="77777777" w:rsidR="00AB6467" w:rsidRPr="00292D9C" w:rsidRDefault="001A19F3" w:rsidP="00164DDE">
      <w:pPr>
        <w:pStyle w:val="ListParagraph"/>
        <w:numPr>
          <w:ilvl w:val="1"/>
          <w:numId w:val="23"/>
        </w:numPr>
      </w:pPr>
      <w:r>
        <w:t>Limited</w:t>
      </w:r>
      <w:r w:rsidRPr="00292D9C">
        <w:t xml:space="preserve"> </w:t>
      </w:r>
      <w:r w:rsidR="00AB6467" w:rsidRPr="00292D9C">
        <w:t xml:space="preserve">sharing between initiatives and some competition </w:t>
      </w:r>
    </w:p>
    <w:p w14:paraId="2FAEFDD7" w14:textId="77777777" w:rsidR="00AB6467" w:rsidRPr="00292D9C" w:rsidRDefault="00AB6467" w:rsidP="00164DDE">
      <w:pPr>
        <w:pStyle w:val="ListParagraph"/>
        <w:numPr>
          <w:ilvl w:val="1"/>
          <w:numId w:val="23"/>
        </w:numPr>
      </w:pPr>
      <w:r w:rsidRPr="00292D9C">
        <w:t xml:space="preserve">Too many initiatives overall </w:t>
      </w:r>
      <w:r w:rsidR="007F3DF0" w:rsidRPr="00292D9C">
        <w:t>in the</w:t>
      </w:r>
      <w:r w:rsidRPr="00292D9C">
        <w:t xml:space="preserve"> school years in some states</w:t>
      </w:r>
    </w:p>
    <w:p w14:paraId="674CE3F0" w14:textId="77777777" w:rsidR="007F3DF0" w:rsidRPr="00292D9C" w:rsidRDefault="007F3DF0" w:rsidP="00164DDE">
      <w:pPr>
        <w:pStyle w:val="ListParagraph"/>
        <w:numPr>
          <w:ilvl w:val="1"/>
          <w:numId w:val="23"/>
        </w:numPr>
      </w:pPr>
      <w:r w:rsidRPr="00292D9C">
        <w:t>Capacity of the school to engage with and implement programs</w:t>
      </w:r>
      <w:r w:rsidR="00B36C1F">
        <w:t>.</w:t>
      </w:r>
    </w:p>
    <w:p w14:paraId="0BD16F4B" w14:textId="77777777" w:rsidR="00253248" w:rsidRPr="00292D9C" w:rsidRDefault="00AB6467" w:rsidP="00A616D5">
      <w:r w:rsidRPr="00292D9C">
        <w:t>Lack of coordination was not raised as an issue in the early years</w:t>
      </w:r>
      <w:r w:rsidR="001A19F3">
        <w:t>, presumably</w:t>
      </w:r>
      <w:r w:rsidRPr="00292D9C">
        <w:t xml:space="preserve"> because there are only a few programs. </w:t>
      </w:r>
    </w:p>
    <w:p w14:paraId="7CA74272" w14:textId="77777777" w:rsidR="00253248" w:rsidRPr="00292D9C" w:rsidRDefault="00253248" w:rsidP="00A616D5"/>
    <w:p w14:paraId="37AD0414" w14:textId="77777777" w:rsidR="00253248" w:rsidRPr="00292D9C" w:rsidRDefault="00253248" w:rsidP="00A616D5"/>
    <w:p w14:paraId="03824611" w14:textId="77777777" w:rsidR="002D3A22" w:rsidRPr="00292D9C" w:rsidRDefault="002D3A22" w:rsidP="00A616D5"/>
    <w:p w14:paraId="37C6A2A3" w14:textId="77777777" w:rsidR="002D3A22" w:rsidRPr="00292D9C" w:rsidRDefault="002D3A22" w:rsidP="00A616D5">
      <w:pPr>
        <w:pStyle w:val="Heading1"/>
        <w:spacing w:before="0" w:after="120" w:line="360" w:lineRule="auto"/>
        <w:rPr>
          <w:rFonts w:asciiTheme="minorHAnsi" w:hAnsiTheme="minorHAnsi"/>
        </w:rPr>
      </w:pPr>
      <w:bookmarkStart w:id="94" w:name="_Toc16321971"/>
      <w:bookmarkStart w:id="95" w:name="_Toc25162056"/>
      <w:r w:rsidRPr="00292D9C">
        <w:rPr>
          <w:rFonts w:asciiTheme="minorHAnsi" w:hAnsiTheme="minorHAnsi"/>
        </w:rPr>
        <w:t>Changes in the operating environment</w:t>
      </w:r>
      <w:bookmarkEnd w:id="94"/>
      <w:bookmarkEnd w:id="95"/>
      <w:r w:rsidRPr="00292D9C">
        <w:rPr>
          <w:rFonts w:asciiTheme="minorHAnsi" w:hAnsiTheme="minorHAnsi"/>
        </w:rPr>
        <w:t xml:space="preserve"> </w:t>
      </w:r>
    </w:p>
    <w:p w14:paraId="5A5A2459" w14:textId="77777777" w:rsidR="002D3A22" w:rsidRPr="00292D9C" w:rsidRDefault="002D3A22" w:rsidP="00A616D5">
      <w:r w:rsidRPr="00292D9C">
        <w:t xml:space="preserve">There has been a lot of activity in STEM education at a national and state and territory level since the NISA initiatives were first announced. This section outlines what some of these activities and </w:t>
      </w:r>
      <w:r w:rsidR="001D4F0F">
        <w:t>developments</w:t>
      </w:r>
      <w:r w:rsidR="001D4F0F" w:rsidRPr="00292D9C">
        <w:t xml:space="preserve"> </w:t>
      </w:r>
      <w:r w:rsidRPr="00292D9C">
        <w:t>have been, serving as further context for making decisions on the future of</w:t>
      </w:r>
      <w:r w:rsidR="001D4F0F">
        <w:t xml:space="preserve"> the</w:t>
      </w:r>
      <w:r w:rsidRPr="00292D9C">
        <w:t xml:space="preserve"> NISA initiatives.</w:t>
      </w:r>
    </w:p>
    <w:p w14:paraId="4F316211" w14:textId="77777777" w:rsidR="002D3A22" w:rsidRPr="00292D9C" w:rsidRDefault="00D11E32" w:rsidP="00A616D5">
      <w:pPr>
        <w:pStyle w:val="Heading2"/>
        <w:spacing w:before="0" w:after="120"/>
        <w:rPr>
          <w:rFonts w:asciiTheme="minorHAnsi" w:hAnsiTheme="minorHAnsi"/>
        </w:rPr>
      </w:pPr>
      <w:bookmarkStart w:id="96" w:name="_Toc16707161"/>
      <w:bookmarkStart w:id="97" w:name="_Toc21088254"/>
      <w:bookmarkStart w:id="98" w:name="_Toc23504223"/>
      <w:bookmarkStart w:id="99" w:name="_Toc25162057"/>
      <w:r w:rsidRPr="00292D9C">
        <w:rPr>
          <w:rFonts w:asciiTheme="minorHAnsi" w:hAnsiTheme="minorHAnsi"/>
        </w:rPr>
        <w:t xml:space="preserve">6.1. </w:t>
      </w:r>
      <w:r w:rsidR="002D3A22" w:rsidRPr="00292D9C">
        <w:rPr>
          <w:rFonts w:asciiTheme="minorHAnsi" w:hAnsiTheme="minorHAnsi"/>
        </w:rPr>
        <w:t>Policies and reports</w:t>
      </w:r>
      <w:bookmarkEnd w:id="96"/>
      <w:bookmarkEnd w:id="97"/>
      <w:bookmarkEnd w:id="98"/>
      <w:bookmarkEnd w:id="99"/>
    </w:p>
    <w:p w14:paraId="348C0A0E" w14:textId="77777777" w:rsidR="002D3A22" w:rsidRPr="00292D9C" w:rsidRDefault="002D3A22" w:rsidP="00A616D5">
      <w:pPr>
        <w:pStyle w:val="Heading3Normal"/>
        <w:spacing w:before="0" w:after="120"/>
        <w:rPr>
          <w:rFonts w:asciiTheme="minorHAnsi" w:hAnsiTheme="minorHAnsi"/>
        </w:rPr>
      </w:pPr>
      <w:bookmarkStart w:id="100" w:name="_Toc16321972"/>
      <w:r w:rsidRPr="00292D9C">
        <w:rPr>
          <w:rFonts w:asciiTheme="minorHAnsi" w:hAnsiTheme="minorHAnsi"/>
        </w:rPr>
        <w:t>The national policy environment in STEM education has</w:t>
      </w:r>
      <w:r w:rsidR="00E945F0" w:rsidRPr="00292D9C">
        <w:rPr>
          <w:rFonts w:asciiTheme="minorHAnsi" w:hAnsiTheme="minorHAnsi"/>
        </w:rPr>
        <w:t xml:space="preserve"> evolved</w:t>
      </w:r>
    </w:p>
    <w:p w14:paraId="7B6A99CB" w14:textId="77777777" w:rsidR="002D3A22" w:rsidRPr="00292D9C" w:rsidRDefault="002D3A22" w:rsidP="00A616D5">
      <w:r w:rsidRPr="00292D9C">
        <w:t xml:space="preserve">The national conversation about STEM education now includes more stakeholders and </w:t>
      </w:r>
      <w:r w:rsidR="001D4F0F">
        <w:t xml:space="preserve">a greater range of </w:t>
      </w:r>
      <w:r w:rsidRPr="00292D9C">
        <w:t xml:space="preserve">information. </w:t>
      </w:r>
      <w:r w:rsidR="001D4F0F">
        <w:t>Some of the key developments</w:t>
      </w:r>
      <w:r w:rsidRPr="00292D9C">
        <w:t xml:space="preserve"> since 2015</w:t>
      </w:r>
      <w:r w:rsidR="00253248" w:rsidRPr="00292D9C">
        <w:t xml:space="preserve"> include</w:t>
      </w:r>
      <w:r w:rsidRPr="00292D9C">
        <w:t>:</w:t>
      </w:r>
    </w:p>
    <w:p w14:paraId="439AF15D" w14:textId="77777777" w:rsidR="002D3A22" w:rsidRPr="00292D9C" w:rsidRDefault="002D3A22" w:rsidP="00164DDE">
      <w:pPr>
        <w:pStyle w:val="ListParagraph"/>
        <w:numPr>
          <w:ilvl w:val="0"/>
          <w:numId w:val="28"/>
        </w:numPr>
      </w:pPr>
      <w:r w:rsidRPr="00292D9C">
        <w:rPr>
          <w:b/>
          <w:bCs/>
        </w:rPr>
        <w:t xml:space="preserve">Schools are more familiar with </w:t>
      </w:r>
      <w:r w:rsidR="009D5C17" w:rsidRPr="00292D9C">
        <w:rPr>
          <w:b/>
          <w:bCs/>
        </w:rPr>
        <w:t xml:space="preserve">approaches to </w:t>
      </w:r>
      <w:r w:rsidR="008864E9" w:rsidRPr="00292D9C">
        <w:rPr>
          <w:b/>
          <w:bCs/>
        </w:rPr>
        <w:t xml:space="preserve">teaching STEM. </w:t>
      </w:r>
      <w:r w:rsidR="000A73FD" w:rsidRPr="00292D9C">
        <w:t>Schools are generally aware of the importance and urgency of improving national STEM outcomes. While t</w:t>
      </w:r>
      <w:r w:rsidR="009D5C17" w:rsidRPr="00292D9C">
        <w:t xml:space="preserve">he Digital Technologies Curriculum </w:t>
      </w:r>
      <w:r w:rsidR="008864E9" w:rsidRPr="00292D9C">
        <w:t>has been</w:t>
      </w:r>
      <w:r w:rsidR="009D5C17" w:rsidRPr="00292D9C">
        <w:t xml:space="preserve"> introduced</w:t>
      </w:r>
      <w:r w:rsidR="000A73FD" w:rsidRPr="00292D9C">
        <w:t xml:space="preserve">, it </w:t>
      </w:r>
      <w:r w:rsidR="009D5C17" w:rsidRPr="00292D9C">
        <w:t xml:space="preserve">is still in the process of being </w:t>
      </w:r>
      <w:r w:rsidR="008864E9" w:rsidRPr="00292D9C">
        <w:t xml:space="preserve">embedded </w:t>
      </w:r>
      <w:r w:rsidR="000A73FD" w:rsidRPr="00292D9C">
        <w:t>in</w:t>
      </w:r>
      <w:r w:rsidR="008864E9" w:rsidRPr="00292D9C">
        <w:t xml:space="preserve"> classrooms</w:t>
      </w:r>
      <w:r w:rsidR="009D5C17" w:rsidRPr="00292D9C">
        <w:t xml:space="preserve"> across Australia.</w:t>
      </w:r>
    </w:p>
    <w:p w14:paraId="2A2A56ED" w14:textId="77777777" w:rsidR="002D3A22" w:rsidRPr="00292D9C" w:rsidRDefault="002D3A22" w:rsidP="00164DDE">
      <w:pPr>
        <w:pStyle w:val="ListParagraph"/>
        <w:numPr>
          <w:ilvl w:val="0"/>
          <w:numId w:val="28"/>
        </w:numPr>
      </w:pPr>
      <w:r w:rsidRPr="00292D9C">
        <w:rPr>
          <w:b/>
          <w:bCs/>
        </w:rPr>
        <w:t xml:space="preserve">There is now more advice on how to make STEM education effective. </w:t>
      </w:r>
      <w:r w:rsidRPr="00292D9C">
        <w:t>Expert organisations have been providing advice on:</w:t>
      </w:r>
    </w:p>
    <w:p w14:paraId="35558948" w14:textId="77777777" w:rsidR="002D3A22" w:rsidRPr="00292D9C" w:rsidRDefault="002D3A22" w:rsidP="00164DDE">
      <w:pPr>
        <w:pStyle w:val="ListParagraph"/>
        <w:numPr>
          <w:ilvl w:val="1"/>
          <w:numId w:val="28"/>
        </w:numPr>
      </w:pPr>
      <w:r w:rsidRPr="00292D9C">
        <w:t xml:space="preserve">Common objectives to work towards, such as how to improve </w:t>
      </w:r>
      <w:r w:rsidRPr="00292D9C">
        <w:rPr>
          <w:rStyle w:val="Strong"/>
          <w:rFonts w:eastAsia="Times New Roman" w:cs="Times New Roman"/>
          <w:b w:val="0"/>
          <w:bCs w:val="0"/>
        </w:rPr>
        <w:t xml:space="preserve">Australia’s innovation system (Innovation and Science Australia) and commitments to </w:t>
      </w:r>
      <w:r w:rsidRPr="00292D9C">
        <w:rPr>
          <w:bCs/>
        </w:rPr>
        <w:t>increase the participation of women in STEM (Advancing Women in STEM</w:t>
      </w:r>
      <w:r w:rsidR="006F5339" w:rsidRPr="00292D9C">
        <w:rPr>
          <w:bCs/>
        </w:rPr>
        <w:t xml:space="preserve"> strategy</w:t>
      </w:r>
      <w:r w:rsidRPr="00292D9C">
        <w:rPr>
          <w:bCs/>
        </w:rPr>
        <w:t>)</w:t>
      </w:r>
      <w:r w:rsidR="00E945F0" w:rsidRPr="00292D9C">
        <w:rPr>
          <w:rStyle w:val="FootnoteReference"/>
          <w:bCs/>
        </w:rPr>
        <w:footnoteReference w:id="32"/>
      </w:r>
    </w:p>
    <w:p w14:paraId="2D805810" w14:textId="77777777" w:rsidR="002D3A22" w:rsidRPr="00292D9C" w:rsidRDefault="002D3A22" w:rsidP="00164DDE">
      <w:pPr>
        <w:pStyle w:val="ListParagraph"/>
        <w:numPr>
          <w:ilvl w:val="1"/>
          <w:numId w:val="28"/>
        </w:numPr>
      </w:pPr>
      <w:r w:rsidRPr="00292D9C">
        <w:t xml:space="preserve">How to maximise certain models of STEM education (e.g. industry-school partnerships and teaching pedagogies) </w:t>
      </w:r>
    </w:p>
    <w:p w14:paraId="2FBF2D8A" w14:textId="77777777" w:rsidR="002D3A22" w:rsidRPr="00292D9C" w:rsidRDefault="002D3A22" w:rsidP="00164DDE">
      <w:pPr>
        <w:pStyle w:val="ListParagraph"/>
        <w:numPr>
          <w:ilvl w:val="0"/>
          <w:numId w:val="28"/>
        </w:numPr>
      </w:pPr>
      <w:r w:rsidRPr="00292D9C">
        <w:rPr>
          <w:b/>
          <w:bCs/>
        </w:rPr>
        <w:t xml:space="preserve">There is more information on what others are doing. </w:t>
      </w:r>
      <w:r w:rsidRPr="00292D9C">
        <w:t>There have been efforts to understand the different approaches taken by different states and territories</w:t>
      </w:r>
    </w:p>
    <w:p w14:paraId="5442C4CC" w14:textId="77777777" w:rsidR="002D3A22" w:rsidRPr="00292D9C" w:rsidRDefault="002D3A22" w:rsidP="00A616D5">
      <w:r w:rsidRPr="00292D9C">
        <w:t>The following section describe</w:t>
      </w:r>
      <w:r w:rsidR="00253248" w:rsidRPr="00292D9C">
        <w:t>s</w:t>
      </w:r>
      <w:r w:rsidRPr="00292D9C">
        <w:t xml:space="preserve"> these developments in greater detail.</w:t>
      </w:r>
    </w:p>
    <w:bookmarkEnd w:id="100"/>
    <w:p w14:paraId="2084B2C2" w14:textId="77777777" w:rsidR="002D3A22" w:rsidRPr="00292D9C" w:rsidRDefault="002D3A22" w:rsidP="00A616D5">
      <w:pPr>
        <w:pStyle w:val="Heading3Normal"/>
        <w:spacing w:before="0" w:after="120"/>
        <w:rPr>
          <w:rFonts w:asciiTheme="minorHAnsi" w:hAnsiTheme="minorHAnsi"/>
        </w:rPr>
      </w:pPr>
      <w:r w:rsidRPr="00292D9C">
        <w:rPr>
          <w:rFonts w:asciiTheme="minorHAnsi" w:hAnsiTheme="minorHAnsi"/>
        </w:rPr>
        <w:t>The Digital Technolog</w:t>
      </w:r>
      <w:r w:rsidR="00253248" w:rsidRPr="00292D9C">
        <w:rPr>
          <w:rFonts w:asciiTheme="minorHAnsi" w:hAnsiTheme="minorHAnsi"/>
        </w:rPr>
        <w:t>ies</w:t>
      </w:r>
      <w:r w:rsidRPr="00292D9C">
        <w:rPr>
          <w:rFonts w:asciiTheme="minorHAnsi" w:hAnsiTheme="minorHAnsi"/>
        </w:rPr>
        <w:t xml:space="preserve"> curriculum</w:t>
      </w:r>
      <w:r w:rsidR="001D4F0F">
        <w:rPr>
          <w:rFonts w:asciiTheme="minorHAnsi" w:hAnsiTheme="minorHAnsi"/>
        </w:rPr>
        <w:t xml:space="preserve"> </w:t>
      </w:r>
      <w:r w:rsidRPr="00292D9C">
        <w:rPr>
          <w:rFonts w:asciiTheme="minorHAnsi" w:hAnsiTheme="minorHAnsi"/>
        </w:rPr>
        <w:t xml:space="preserve">is no longer new </w:t>
      </w:r>
    </w:p>
    <w:p w14:paraId="1DCA7E7E" w14:textId="77777777" w:rsidR="006A1909" w:rsidRPr="00292D9C" w:rsidRDefault="002D3A22" w:rsidP="00A616D5">
      <w:r w:rsidRPr="00292D9C">
        <w:t xml:space="preserve">When NISA funding was allocated to STEM </w:t>
      </w:r>
      <w:r w:rsidR="001D4F0F">
        <w:t xml:space="preserve">schools </w:t>
      </w:r>
      <w:r w:rsidRPr="00292D9C">
        <w:t>education initiatives in 2015, the Digital Technologies curriculum (a component of the Technologies learning area) had just been endorsed by the Education Council. The large NISA investment in initiatives focused on</w:t>
      </w:r>
      <w:r w:rsidR="001D4F0F">
        <w:t xml:space="preserve"> digital</w:t>
      </w:r>
      <w:r w:rsidRPr="00292D9C">
        <w:t xml:space="preserve"> technologies reflected the need to support the adoption and implementation of this curriculum. As the </w:t>
      </w:r>
      <w:r w:rsidR="001D4F0F">
        <w:t>Government</w:t>
      </w:r>
      <w:r w:rsidR="001D4F0F" w:rsidRPr="00292D9C">
        <w:t xml:space="preserve"> </w:t>
      </w:r>
      <w:r w:rsidRPr="00292D9C">
        <w:t xml:space="preserve">considers its forward strategy for STEM education, </w:t>
      </w:r>
      <w:r w:rsidR="006A1909" w:rsidRPr="00292D9C">
        <w:t xml:space="preserve">this </w:t>
      </w:r>
      <w:r w:rsidR="008864E9" w:rsidRPr="00292D9C">
        <w:t>curriculum will have been in place for a few years</w:t>
      </w:r>
      <w:r w:rsidR="00A73F17">
        <w:t>, albeit not fully implemented</w:t>
      </w:r>
      <w:r w:rsidR="008864E9" w:rsidRPr="00292D9C">
        <w:t xml:space="preserve">. </w:t>
      </w:r>
      <w:r w:rsidR="006A1909" w:rsidRPr="00292D9C">
        <w:t>Moving forward, s</w:t>
      </w:r>
      <w:r w:rsidR="008864E9" w:rsidRPr="00292D9C">
        <w:t>chool</w:t>
      </w:r>
      <w:r w:rsidR="006A1909" w:rsidRPr="00292D9C">
        <w:t>s</w:t>
      </w:r>
      <w:r w:rsidR="008864E9" w:rsidRPr="00292D9C">
        <w:t xml:space="preserve"> are likely to require greater support in embedding</w:t>
      </w:r>
      <w:r w:rsidR="00A73F17">
        <w:t xml:space="preserve"> the Digital Technologies curriculum and</w:t>
      </w:r>
      <w:r w:rsidR="008864E9" w:rsidRPr="00292D9C">
        <w:t xml:space="preserve"> STEM concepts such as computational thinking into teaching practice beyond</w:t>
      </w:r>
      <w:r w:rsidR="006A1909" w:rsidRPr="00292D9C">
        <w:t xml:space="preserve"> ‘shallow’ engagement with resources</w:t>
      </w:r>
      <w:r w:rsidR="00253248" w:rsidRPr="00292D9C">
        <w:t xml:space="preserve"> (e.g.</w:t>
      </w:r>
      <w:r w:rsidR="006A1909" w:rsidRPr="00292D9C">
        <w:t xml:space="preserve"> robotic usage unaccompanied by critical problem solving</w:t>
      </w:r>
      <w:r w:rsidR="00253248" w:rsidRPr="00292D9C">
        <w:t>)</w:t>
      </w:r>
      <w:r w:rsidR="006A1909" w:rsidRPr="00292D9C">
        <w:t>.</w:t>
      </w:r>
    </w:p>
    <w:p w14:paraId="7C635C38" w14:textId="77777777" w:rsidR="002D3A22" w:rsidRPr="00292D9C" w:rsidRDefault="002D3A22" w:rsidP="00A616D5">
      <w:pPr>
        <w:pStyle w:val="Heading3Normal"/>
        <w:spacing w:before="0" w:after="120"/>
        <w:rPr>
          <w:rFonts w:asciiTheme="minorHAnsi" w:hAnsiTheme="minorHAnsi"/>
        </w:rPr>
      </w:pPr>
      <w:r w:rsidRPr="00292D9C">
        <w:rPr>
          <w:rFonts w:asciiTheme="minorHAnsi" w:hAnsiTheme="minorHAnsi"/>
        </w:rPr>
        <w:t xml:space="preserve">The STEM Partnerships Forum identified areas that industry-school partnerships should focus on in order to have the greatest impact on the engagement of young people in STEM disciplines </w:t>
      </w:r>
    </w:p>
    <w:p w14:paraId="0AD5D63F" w14:textId="77777777" w:rsidR="002D3A22" w:rsidRPr="00292D9C" w:rsidRDefault="002D3A22" w:rsidP="00A616D5">
      <w:pPr>
        <w:pStyle w:val="Heading3Normal"/>
        <w:spacing w:before="0" w:after="120"/>
        <w:rPr>
          <w:rFonts w:asciiTheme="minorHAnsi" w:hAnsiTheme="minorHAnsi"/>
        </w:rPr>
      </w:pPr>
      <w:r w:rsidRPr="00292D9C">
        <w:rPr>
          <w:rFonts w:asciiTheme="minorHAnsi" w:hAnsiTheme="minorHAnsi"/>
          <w:b w:val="0"/>
          <w:bCs/>
          <w:color w:val="000000" w:themeColor="text1"/>
        </w:rPr>
        <w:t>The STEM Partnerships Forum identified areas that industry-school partnerships should focus on in order to have the greatest impact on the engagement of young people in STEM disciplines</w:t>
      </w:r>
      <w:r w:rsidRPr="00292D9C">
        <w:rPr>
          <w:rFonts w:asciiTheme="minorHAnsi" w:hAnsiTheme="minorHAnsi"/>
        </w:rPr>
        <w:t xml:space="preserve">. </w:t>
      </w:r>
      <w:r w:rsidRPr="00292D9C">
        <w:rPr>
          <w:rFonts w:asciiTheme="minorHAnsi" w:hAnsiTheme="minorHAnsi"/>
          <w:b w:val="0"/>
          <w:bCs/>
          <w:color w:val="000000" w:themeColor="text1"/>
        </w:rPr>
        <w:t xml:space="preserve">This report explored the role of industry </w:t>
      </w:r>
      <w:r w:rsidRPr="00292D9C">
        <w:rPr>
          <w:rFonts w:asciiTheme="minorHAnsi" w:hAnsiTheme="minorHAnsi"/>
          <w:b w:val="0"/>
          <w:color w:val="000000" w:themeColor="text1"/>
        </w:rPr>
        <w:t>in the provision of resources for teacher professional learning.</w:t>
      </w:r>
      <w:r w:rsidR="00E945F0" w:rsidRPr="00292D9C">
        <w:rPr>
          <w:rStyle w:val="FootnoteReference"/>
          <w:rFonts w:asciiTheme="minorHAnsi" w:hAnsiTheme="minorHAnsi"/>
          <w:b/>
          <w:color w:val="000000" w:themeColor="text1"/>
        </w:rPr>
        <w:footnoteReference w:id="33"/>
      </w:r>
      <w:r w:rsidRPr="00292D9C">
        <w:rPr>
          <w:rFonts w:asciiTheme="minorHAnsi" w:hAnsiTheme="minorHAnsi"/>
          <w:b w:val="0"/>
          <w:color w:val="000000" w:themeColor="text1"/>
        </w:rPr>
        <w:t xml:space="preserve"> Industry was identified as important in helping educators link real world practice to curriculum content. Industry also has </w:t>
      </w:r>
      <w:r w:rsidR="00D83B25" w:rsidRPr="00292D9C">
        <w:rPr>
          <w:rFonts w:asciiTheme="minorHAnsi" w:hAnsiTheme="minorHAnsi"/>
          <w:b w:val="0"/>
          <w:color w:val="000000" w:themeColor="text1"/>
        </w:rPr>
        <w:t xml:space="preserve">a </w:t>
      </w:r>
      <w:r w:rsidRPr="00292D9C">
        <w:rPr>
          <w:rFonts w:asciiTheme="minorHAnsi" w:hAnsiTheme="minorHAnsi"/>
          <w:b w:val="0"/>
          <w:color w:val="000000" w:themeColor="text1"/>
        </w:rPr>
        <w:t xml:space="preserve">role in providing workforce data to enable better analysis of the STEM student pipeline to demonstrate to policymakers the greatest areas of need. The </w:t>
      </w:r>
      <w:r w:rsidR="001D4F0F">
        <w:rPr>
          <w:rFonts w:asciiTheme="minorHAnsi" w:hAnsiTheme="minorHAnsi"/>
          <w:b w:val="0"/>
          <w:color w:val="000000" w:themeColor="text1"/>
        </w:rPr>
        <w:t xml:space="preserve">Government </w:t>
      </w:r>
      <w:r w:rsidRPr="00292D9C">
        <w:rPr>
          <w:rFonts w:asciiTheme="minorHAnsi" w:hAnsiTheme="minorHAnsi"/>
          <w:b w:val="0"/>
          <w:color w:val="000000" w:themeColor="text1"/>
        </w:rPr>
        <w:t>should consider these recommendations when developing its forward strategy for STEM education.</w:t>
      </w:r>
    </w:p>
    <w:p w14:paraId="4888D2C7" w14:textId="77777777" w:rsidR="002D3A22" w:rsidRPr="00292D9C" w:rsidRDefault="00D83B25" w:rsidP="00A616D5">
      <w:pPr>
        <w:pStyle w:val="Heading3Normal"/>
        <w:spacing w:before="0" w:after="120"/>
        <w:rPr>
          <w:rFonts w:asciiTheme="minorHAnsi" w:hAnsiTheme="minorHAnsi"/>
        </w:rPr>
      </w:pPr>
      <w:r w:rsidRPr="00292D9C">
        <w:rPr>
          <w:rFonts w:asciiTheme="minorHAnsi" w:hAnsiTheme="minorHAnsi"/>
        </w:rPr>
        <w:t xml:space="preserve">ANAO’s 2017 report </w:t>
      </w:r>
      <w:r w:rsidR="002D3A22" w:rsidRPr="00292D9C">
        <w:rPr>
          <w:rFonts w:asciiTheme="minorHAnsi" w:hAnsiTheme="minorHAnsi"/>
          <w:i/>
          <w:iCs/>
        </w:rPr>
        <w:t xml:space="preserve">Design and Monitoring of the National Innovation and Science Agenda </w:t>
      </w:r>
      <w:r w:rsidR="00D73157" w:rsidRPr="00292D9C">
        <w:rPr>
          <w:rFonts w:asciiTheme="minorHAnsi" w:hAnsiTheme="minorHAnsi"/>
        </w:rPr>
        <w:t>identified evaluation of STEM init</w:t>
      </w:r>
      <w:r w:rsidR="006F5339" w:rsidRPr="00292D9C">
        <w:rPr>
          <w:rFonts w:asciiTheme="minorHAnsi" w:hAnsiTheme="minorHAnsi"/>
        </w:rPr>
        <w:t>iativ</w:t>
      </w:r>
      <w:r w:rsidR="00D73157" w:rsidRPr="00292D9C">
        <w:rPr>
          <w:rFonts w:asciiTheme="minorHAnsi" w:hAnsiTheme="minorHAnsi"/>
        </w:rPr>
        <w:t>es as an issue</w:t>
      </w:r>
    </w:p>
    <w:p w14:paraId="440AF65B" w14:textId="77777777" w:rsidR="002D3A22" w:rsidRPr="00292D9C" w:rsidRDefault="002D3A22" w:rsidP="00A616D5">
      <w:pPr>
        <w:pStyle w:val="Heading3Normal"/>
        <w:spacing w:before="0" w:after="120"/>
        <w:rPr>
          <w:rFonts w:asciiTheme="minorHAnsi" w:hAnsiTheme="minorHAnsi"/>
          <w:b w:val="0"/>
          <w:color w:val="000000" w:themeColor="text1"/>
        </w:rPr>
      </w:pPr>
      <w:r w:rsidRPr="00292D9C">
        <w:rPr>
          <w:rFonts w:asciiTheme="minorHAnsi" w:hAnsiTheme="minorHAnsi"/>
          <w:b w:val="0"/>
          <w:color w:val="000000" w:themeColor="text1"/>
        </w:rPr>
        <w:t>A 2017-18 report by the Australian National Audit Office (ANAO) examined the effectiveness of the design process and monitoring arrangements for the NISA by relevant entities. ANAO identified a few issues including variability in the quality of performance measures and data collections systems that will likely affect impact assessment. It also found there to be ambiguity in the rating system for implementation, which was not clearly defined and failed to demonstrate that seven measures did not meet the publicly announced timeframe. Recommendations were made to remedy the aforementioned issues and the Department of Prime Minister and Cabinet and Department of Industry, Innovation and Science released a response in agreement with these</w:t>
      </w:r>
      <w:r w:rsidR="00D83B25" w:rsidRPr="00292D9C">
        <w:rPr>
          <w:rFonts w:asciiTheme="minorHAnsi" w:hAnsiTheme="minorHAnsi"/>
          <w:b w:val="0"/>
          <w:color w:val="000000" w:themeColor="text1"/>
        </w:rPr>
        <w:t>, contained in the report</w:t>
      </w:r>
      <w:r w:rsidRPr="00292D9C">
        <w:rPr>
          <w:rFonts w:asciiTheme="minorHAnsi" w:hAnsiTheme="minorHAnsi"/>
          <w:b w:val="0"/>
          <w:color w:val="000000" w:themeColor="text1"/>
        </w:rPr>
        <w:t>.</w:t>
      </w:r>
      <w:r w:rsidR="00E945F0" w:rsidRPr="00292D9C">
        <w:rPr>
          <w:rStyle w:val="FootnoteReference"/>
          <w:rFonts w:asciiTheme="minorHAnsi" w:hAnsiTheme="minorHAnsi"/>
          <w:b/>
          <w:color w:val="000000" w:themeColor="text1"/>
        </w:rPr>
        <w:footnoteReference w:id="34"/>
      </w:r>
    </w:p>
    <w:p w14:paraId="7399E7A2" w14:textId="77777777" w:rsidR="002D3A22" w:rsidRPr="00292D9C" w:rsidRDefault="002D3A22" w:rsidP="00A616D5">
      <w:pPr>
        <w:pStyle w:val="Heading3Normal"/>
        <w:spacing w:before="0" w:after="120"/>
        <w:rPr>
          <w:rStyle w:val="Strong"/>
          <w:rFonts w:asciiTheme="minorHAnsi" w:hAnsiTheme="minorHAnsi"/>
          <w:b/>
          <w:bCs w:val="0"/>
        </w:rPr>
      </w:pPr>
      <w:r w:rsidRPr="00292D9C">
        <w:rPr>
          <w:rFonts w:asciiTheme="minorHAnsi" w:hAnsiTheme="minorHAnsi"/>
        </w:rPr>
        <w:t>Australia 2030</w:t>
      </w:r>
      <w:r w:rsidR="00D83B25" w:rsidRPr="00292D9C">
        <w:rPr>
          <w:rFonts w:asciiTheme="minorHAnsi" w:hAnsiTheme="minorHAnsi"/>
        </w:rPr>
        <w:t>:</w:t>
      </w:r>
      <w:r w:rsidRPr="00292D9C">
        <w:rPr>
          <w:rFonts w:asciiTheme="minorHAnsi" w:hAnsiTheme="minorHAnsi"/>
        </w:rPr>
        <w:t xml:space="preserve"> Prosperity through Innovation</w:t>
      </w:r>
      <w:r w:rsidR="00D83B25" w:rsidRPr="00292D9C">
        <w:rPr>
          <w:rFonts w:asciiTheme="minorHAnsi" w:hAnsiTheme="minorHAnsi"/>
        </w:rPr>
        <w:t xml:space="preserve"> – </w:t>
      </w:r>
      <w:r w:rsidRPr="00292D9C">
        <w:rPr>
          <w:rStyle w:val="Strong"/>
          <w:rFonts w:asciiTheme="minorHAnsi" w:eastAsia="Times New Roman" w:hAnsiTheme="minorHAnsi" w:cs="Times New Roman"/>
          <w:b/>
        </w:rPr>
        <w:t>A plan for Australia to thrive in the global innovation race</w:t>
      </w:r>
    </w:p>
    <w:p w14:paraId="7258253D" w14:textId="77777777" w:rsidR="002D3A22" w:rsidRPr="00292D9C" w:rsidRDefault="002D3A22" w:rsidP="00A616D5">
      <w:pPr>
        <w:pStyle w:val="Heading3Normal"/>
        <w:spacing w:before="0" w:after="120"/>
        <w:rPr>
          <w:rStyle w:val="Strong"/>
          <w:rFonts w:asciiTheme="minorHAnsi" w:eastAsia="Times New Roman" w:hAnsiTheme="minorHAnsi" w:cs="Times New Roman"/>
          <w:bCs w:val="0"/>
          <w:color w:val="000000" w:themeColor="text1"/>
        </w:rPr>
      </w:pPr>
      <w:r w:rsidRPr="00292D9C">
        <w:rPr>
          <w:rStyle w:val="Strong"/>
          <w:rFonts w:asciiTheme="minorHAnsi" w:eastAsia="Times New Roman" w:hAnsiTheme="minorHAnsi" w:cs="Times New Roman"/>
          <w:bCs w:val="0"/>
          <w:color w:val="000000" w:themeColor="text1"/>
        </w:rPr>
        <w:t xml:space="preserve">Innovation and Science Australia (ISA) released a strategy in 2017 containing 30 recommendations for improving Australia’s innovation system by 2030. Some of the recommendations have implications for decision-making in STEM education including strengthening training for pre-service and in-service teachers, better preparing students for post-school STEM occupations and raising student ambition and achievement in literacy and numeracy. Beyond the education sector, the report notes that investment in artificial intelligence and machine learning should be prioritised. </w:t>
      </w:r>
    </w:p>
    <w:p w14:paraId="3A998AE0" w14:textId="77777777" w:rsidR="003D298C" w:rsidRPr="00292D9C" w:rsidRDefault="00D83B25" w:rsidP="00A616D5">
      <w:pPr>
        <w:pStyle w:val="Heading3Normal"/>
        <w:spacing w:before="0" w:after="120"/>
        <w:rPr>
          <w:rFonts w:asciiTheme="minorHAnsi" w:hAnsiTheme="minorHAnsi"/>
        </w:rPr>
      </w:pPr>
      <w:r w:rsidRPr="00292D9C">
        <w:rPr>
          <w:rFonts w:asciiTheme="minorHAnsi" w:hAnsiTheme="minorHAnsi"/>
        </w:rPr>
        <w:t xml:space="preserve">The </w:t>
      </w:r>
      <w:r w:rsidR="003D298C" w:rsidRPr="00292D9C">
        <w:rPr>
          <w:rFonts w:asciiTheme="minorHAnsi" w:hAnsiTheme="minorHAnsi"/>
        </w:rPr>
        <w:t xml:space="preserve">Department of Industry, Innovation and Science </w:t>
      </w:r>
      <w:r w:rsidR="003D298C" w:rsidRPr="00292D9C">
        <w:rPr>
          <w:rFonts w:asciiTheme="minorHAnsi" w:hAnsiTheme="minorHAnsi"/>
          <w:i/>
          <w:iCs/>
        </w:rPr>
        <w:t>Advancing Women in STEM</w:t>
      </w:r>
      <w:r w:rsidR="003D298C" w:rsidRPr="00292D9C">
        <w:rPr>
          <w:rFonts w:asciiTheme="minorHAnsi" w:hAnsiTheme="minorHAnsi"/>
        </w:rPr>
        <w:t xml:space="preserve"> </w:t>
      </w:r>
      <w:r w:rsidR="0094781F" w:rsidRPr="00292D9C">
        <w:rPr>
          <w:rFonts w:asciiTheme="minorHAnsi" w:hAnsiTheme="minorHAnsi"/>
        </w:rPr>
        <w:t>strategy</w:t>
      </w:r>
      <w:r w:rsidR="003D298C" w:rsidRPr="00292D9C">
        <w:rPr>
          <w:rFonts w:asciiTheme="minorHAnsi" w:hAnsiTheme="minorHAnsi"/>
        </w:rPr>
        <w:t xml:space="preserve"> </w:t>
      </w:r>
      <w:r w:rsidRPr="00292D9C">
        <w:rPr>
          <w:rFonts w:asciiTheme="minorHAnsi" w:hAnsiTheme="minorHAnsi"/>
        </w:rPr>
        <w:t xml:space="preserve">shows </w:t>
      </w:r>
      <w:r w:rsidR="003D298C" w:rsidRPr="00292D9C">
        <w:rPr>
          <w:rFonts w:asciiTheme="minorHAnsi" w:hAnsiTheme="minorHAnsi"/>
        </w:rPr>
        <w:t>the Australian Government</w:t>
      </w:r>
      <w:r w:rsidRPr="00292D9C">
        <w:rPr>
          <w:rFonts w:asciiTheme="minorHAnsi" w:hAnsiTheme="minorHAnsi"/>
        </w:rPr>
        <w:t>’s</w:t>
      </w:r>
      <w:r w:rsidR="003D298C" w:rsidRPr="00292D9C">
        <w:rPr>
          <w:rFonts w:asciiTheme="minorHAnsi" w:hAnsiTheme="minorHAnsi"/>
        </w:rPr>
        <w:t xml:space="preserve"> commitment to increase the participation of women in STEM moving forward </w:t>
      </w:r>
    </w:p>
    <w:p w14:paraId="2F7174A4" w14:textId="77777777" w:rsidR="003D298C" w:rsidRPr="00292D9C" w:rsidRDefault="003D298C" w:rsidP="00A616D5">
      <w:pPr>
        <w:pStyle w:val="Heading3Normal"/>
        <w:spacing w:before="0" w:after="120"/>
        <w:rPr>
          <w:rStyle w:val="Strong"/>
          <w:rFonts w:asciiTheme="minorHAnsi" w:hAnsiTheme="minorHAnsi"/>
          <w:color w:val="000000" w:themeColor="text1"/>
        </w:rPr>
      </w:pPr>
      <w:r w:rsidRPr="00292D9C">
        <w:rPr>
          <w:rFonts w:asciiTheme="minorHAnsi" w:hAnsiTheme="minorHAnsi"/>
          <w:b w:val="0"/>
          <w:bCs/>
          <w:color w:val="000000" w:themeColor="text1"/>
        </w:rPr>
        <w:t xml:space="preserve">The Advancing Women in STEM </w:t>
      </w:r>
      <w:r w:rsidR="0094781F" w:rsidRPr="00292D9C">
        <w:rPr>
          <w:rFonts w:asciiTheme="minorHAnsi" w:hAnsiTheme="minorHAnsi"/>
          <w:b w:val="0"/>
          <w:bCs/>
          <w:color w:val="000000" w:themeColor="text1"/>
        </w:rPr>
        <w:t>strategy</w:t>
      </w:r>
      <w:r w:rsidR="0094781F" w:rsidRPr="00292D9C">
        <w:rPr>
          <w:rStyle w:val="FootnoteReference"/>
          <w:rFonts w:asciiTheme="minorHAnsi" w:hAnsiTheme="minorHAnsi"/>
          <w:b/>
          <w:bCs/>
          <w:color w:val="000000" w:themeColor="text1"/>
        </w:rPr>
        <w:footnoteReference w:id="35"/>
      </w:r>
      <w:r w:rsidRPr="00292D9C">
        <w:rPr>
          <w:rFonts w:asciiTheme="minorHAnsi" w:hAnsiTheme="minorHAnsi"/>
          <w:b w:val="0"/>
          <w:bCs/>
          <w:color w:val="000000" w:themeColor="text1"/>
        </w:rPr>
        <w:t xml:space="preserve"> outlined the steps the Australian Government has taken to address gender inequity in the STEM sector </w:t>
      </w:r>
      <w:r w:rsidR="00845EC0">
        <w:rPr>
          <w:rFonts w:asciiTheme="minorHAnsi" w:hAnsiTheme="minorHAnsi"/>
          <w:b w:val="0"/>
          <w:bCs/>
          <w:color w:val="000000" w:themeColor="text1"/>
        </w:rPr>
        <w:t xml:space="preserve">including </w:t>
      </w:r>
      <w:r w:rsidRPr="00292D9C">
        <w:rPr>
          <w:rFonts w:asciiTheme="minorHAnsi" w:hAnsiTheme="minorHAnsi"/>
          <w:b w:val="0"/>
          <w:bCs/>
          <w:color w:val="000000" w:themeColor="text1"/>
        </w:rPr>
        <w:t xml:space="preserve">through supporting girls’ education initiatives at school. Actions include providing funding for the development of a Girls in STEM Toolkit, ongoing support for an Indigenous Girls STEM Academy, as well as a </w:t>
      </w:r>
      <w:r w:rsidRPr="00292D9C">
        <w:rPr>
          <w:rFonts w:asciiTheme="minorHAnsi" w:hAnsiTheme="minorHAnsi"/>
          <w:b w:val="0"/>
          <w:bCs/>
          <w:i/>
          <w:iCs/>
          <w:color w:val="000000" w:themeColor="text1"/>
        </w:rPr>
        <w:t xml:space="preserve">Superstars of STEM </w:t>
      </w:r>
      <w:r w:rsidRPr="00292D9C">
        <w:rPr>
          <w:rFonts w:asciiTheme="minorHAnsi" w:hAnsiTheme="minorHAnsi"/>
          <w:b w:val="0"/>
          <w:bCs/>
          <w:color w:val="000000" w:themeColor="text1"/>
        </w:rPr>
        <w:t xml:space="preserve">Initiative to promote visibility of women in STEM careers. </w:t>
      </w:r>
    </w:p>
    <w:p w14:paraId="2E947313" w14:textId="77777777" w:rsidR="002D3A22" w:rsidRPr="00292D9C" w:rsidRDefault="002D3A22" w:rsidP="00A616D5">
      <w:pPr>
        <w:pStyle w:val="Heading3Normal"/>
        <w:spacing w:before="0" w:after="120"/>
        <w:rPr>
          <w:rStyle w:val="Strong"/>
          <w:rFonts w:asciiTheme="minorHAnsi" w:eastAsia="Times New Roman" w:hAnsiTheme="minorHAnsi" w:cs="Times New Roman"/>
          <w:b/>
          <w:bCs w:val="0"/>
          <w:color w:val="000000" w:themeColor="text1"/>
        </w:rPr>
      </w:pPr>
      <w:r w:rsidRPr="00292D9C">
        <w:rPr>
          <w:rFonts w:asciiTheme="minorHAnsi" w:hAnsiTheme="minorHAnsi"/>
        </w:rPr>
        <w:t>An analysis of Australian STEM education strategies</w:t>
      </w:r>
      <w:r w:rsidR="00E945F0" w:rsidRPr="00292D9C">
        <w:rPr>
          <w:rStyle w:val="FootnoteReference"/>
          <w:rFonts w:asciiTheme="minorHAnsi" w:hAnsiTheme="minorHAnsi"/>
          <w:b/>
          <w:bCs/>
        </w:rPr>
        <w:footnoteReference w:id="36"/>
      </w:r>
      <w:r w:rsidRPr="00292D9C">
        <w:rPr>
          <w:rFonts w:asciiTheme="minorHAnsi" w:hAnsiTheme="minorHAnsi"/>
          <w:bCs/>
        </w:rPr>
        <w:t xml:space="preserve"> </w:t>
      </w:r>
      <w:r w:rsidRPr="00292D9C">
        <w:rPr>
          <w:rFonts w:asciiTheme="minorHAnsi" w:hAnsiTheme="minorHAnsi"/>
        </w:rPr>
        <w:t>highlights the gap between goals and actions in relation to equity and inconsistences with STEM definitions</w:t>
      </w:r>
    </w:p>
    <w:p w14:paraId="100F5BEC" w14:textId="77777777" w:rsidR="002D3A22" w:rsidRPr="00292D9C" w:rsidRDefault="002D3A22" w:rsidP="00A616D5">
      <w:pPr>
        <w:pStyle w:val="Heading3Normal"/>
        <w:spacing w:before="0" w:after="120"/>
        <w:rPr>
          <w:rFonts w:asciiTheme="minorHAnsi" w:hAnsiTheme="minorHAnsi"/>
          <w:b w:val="0"/>
          <w:bCs/>
          <w:color w:val="000000" w:themeColor="text1"/>
          <w:lang w:eastAsia="en-GB"/>
        </w:rPr>
      </w:pPr>
      <w:r w:rsidRPr="00292D9C">
        <w:rPr>
          <w:rFonts w:asciiTheme="minorHAnsi" w:hAnsiTheme="minorHAnsi"/>
          <w:b w:val="0"/>
          <w:bCs/>
          <w:color w:val="000000" w:themeColor="text1"/>
          <w:lang w:eastAsia="en-GB"/>
        </w:rPr>
        <w:t>Each state and territory government within Australia</w:t>
      </w:r>
      <w:r w:rsidR="00A87BD6">
        <w:rPr>
          <w:rFonts w:asciiTheme="minorHAnsi" w:hAnsiTheme="minorHAnsi"/>
          <w:b w:val="0"/>
          <w:bCs/>
          <w:color w:val="000000" w:themeColor="text1"/>
          <w:lang w:eastAsia="en-GB"/>
        </w:rPr>
        <w:t xml:space="preserve"> (except for the ACT)</w:t>
      </w:r>
      <w:r w:rsidRPr="00292D9C">
        <w:rPr>
          <w:rFonts w:asciiTheme="minorHAnsi" w:hAnsiTheme="minorHAnsi"/>
          <w:b w:val="0"/>
          <w:bCs/>
          <w:color w:val="000000" w:themeColor="text1"/>
          <w:lang w:eastAsia="en-GB"/>
        </w:rPr>
        <w:t xml:space="preserve"> has developed its own respective STEM education strategy. Collectively, these strategies largely focus on enhancing educator capacity and building STEM capabilities, particularly through inquiry-based learning. Less consideration is given for how to enhance STEM dispositions (attitudes such as curiosity which support success) and sustainably addressing equity issues in STEM (strategies mostly reference short-term interventions). There is also a lack of consensus among the strategies as to whether STEM education should be delivered through discrete disciplines or as a learning experience where the disciplines are integrated. </w:t>
      </w:r>
      <w:r w:rsidR="007F3506">
        <w:rPr>
          <w:rFonts w:asciiTheme="minorHAnsi" w:hAnsiTheme="minorHAnsi"/>
          <w:b w:val="0"/>
          <w:bCs/>
          <w:color w:val="000000" w:themeColor="text1"/>
          <w:lang w:eastAsia="en-GB"/>
        </w:rPr>
        <w:t xml:space="preserve">While there is no impetus to necessarily resolve this tension, it’s worth highlighting that perspectives on best-practice vary within research and between education sector stakeholders. </w:t>
      </w:r>
      <w:r w:rsidRPr="00292D9C">
        <w:rPr>
          <w:rFonts w:asciiTheme="minorHAnsi" w:hAnsiTheme="minorHAnsi"/>
          <w:b w:val="0"/>
          <w:bCs/>
          <w:color w:val="000000" w:themeColor="text1"/>
          <w:lang w:eastAsia="en-GB"/>
        </w:rPr>
        <w:t xml:space="preserve">Additionally, less than half the strategies focus on STEM education in early childhood. </w:t>
      </w:r>
      <w:r w:rsidR="001C3C7C" w:rsidRPr="00292D9C">
        <w:rPr>
          <w:rFonts w:asciiTheme="minorHAnsi" w:hAnsiTheme="minorHAnsi"/>
          <w:b w:val="0"/>
          <w:bCs/>
          <w:color w:val="000000" w:themeColor="text1"/>
          <w:lang w:eastAsia="en-GB"/>
        </w:rPr>
        <w:t xml:space="preserve">The </w:t>
      </w:r>
      <w:r w:rsidR="001C3C7C">
        <w:rPr>
          <w:rFonts w:asciiTheme="minorHAnsi" w:hAnsiTheme="minorHAnsi"/>
          <w:b w:val="0"/>
          <w:bCs/>
          <w:color w:val="000000" w:themeColor="text1"/>
          <w:lang w:eastAsia="en-GB"/>
        </w:rPr>
        <w:t>Government</w:t>
      </w:r>
      <w:r w:rsidR="001C3C7C" w:rsidRPr="00292D9C">
        <w:rPr>
          <w:rFonts w:asciiTheme="minorHAnsi" w:hAnsiTheme="minorHAnsi"/>
          <w:b w:val="0"/>
          <w:bCs/>
          <w:color w:val="000000" w:themeColor="text1"/>
          <w:lang w:eastAsia="en-GB"/>
        </w:rPr>
        <w:t xml:space="preserve">’s forward strategy for STEM </w:t>
      </w:r>
      <w:r w:rsidR="001C3C7C">
        <w:rPr>
          <w:rFonts w:asciiTheme="minorHAnsi" w:hAnsiTheme="minorHAnsi"/>
          <w:b w:val="0"/>
          <w:bCs/>
          <w:color w:val="000000" w:themeColor="text1"/>
          <w:lang w:eastAsia="en-GB"/>
        </w:rPr>
        <w:t xml:space="preserve">early years and school education </w:t>
      </w:r>
      <w:r w:rsidR="001C3C7C" w:rsidRPr="00292D9C">
        <w:rPr>
          <w:rFonts w:asciiTheme="minorHAnsi" w:hAnsiTheme="minorHAnsi"/>
          <w:b w:val="0"/>
          <w:bCs/>
          <w:color w:val="000000" w:themeColor="text1"/>
          <w:lang w:eastAsia="en-GB"/>
        </w:rPr>
        <w:t>could give more attention to these under-examined areas.</w:t>
      </w:r>
    </w:p>
    <w:p w14:paraId="3846332B" w14:textId="77777777" w:rsidR="002D3A22" w:rsidRPr="00292D9C" w:rsidRDefault="002D3A22" w:rsidP="00A616D5">
      <w:pPr>
        <w:pStyle w:val="Heading3Normal"/>
        <w:spacing w:before="0" w:after="120"/>
        <w:rPr>
          <w:rStyle w:val="Strong"/>
          <w:rFonts w:asciiTheme="minorHAnsi" w:hAnsiTheme="minorHAnsi"/>
          <w:b/>
          <w:bCs w:val="0"/>
        </w:rPr>
      </w:pPr>
      <w:r w:rsidRPr="00292D9C">
        <w:rPr>
          <w:rFonts w:asciiTheme="minorHAnsi" w:hAnsiTheme="minorHAnsi"/>
        </w:rPr>
        <w:t xml:space="preserve">Through Growth to Achievement Report of the Review to Achieve Educational Excellence in Australian Schools March 2018 (referred to as Gonski 2.0) supports an increased emphasis on general capabilities </w:t>
      </w:r>
    </w:p>
    <w:p w14:paraId="7825C891" w14:textId="77777777" w:rsidR="00855DE9" w:rsidRPr="00292D9C" w:rsidRDefault="007C3E26" w:rsidP="00E747D6">
      <w:r w:rsidRPr="00292D9C">
        <w:t>The Gonski 2.0 Report (2018)</w:t>
      </w:r>
      <w:r w:rsidR="002D3A22" w:rsidRPr="00292D9C">
        <w:t xml:space="preserve"> argued for </w:t>
      </w:r>
      <w:r w:rsidRPr="00292D9C">
        <w:t>increased prominence</w:t>
      </w:r>
      <w:r w:rsidR="002D3A22" w:rsidRPr="00292D9C">
        <w:t xml:space="preserve"> on</w:t>
      </w:r>
      <w:r w:rsidRPr="00292D9C">
        <w:t xml:space="preserve"> the acquisition of the</w:t>
      </w:r>
      <w:r w:rsidR="002D3A22" w:rsidRPr="00292D9C">
        <w:t xml:space="preserve"> general capabilities, emphasis on digital assessment links to formative assessment and </w:t>
      </w:r>
      <w:r w:rsidRPr="00292D9C">
        <w:t xml:space="preserve">the inclusion </w:t>
      </w:r>
      <w:r w:rsidR="002D3A22" w:rsidRPr="00292D9C">
        <w:t>of learning progressions</w:t>
      </w:r>
      <w:r w:rsidRPr="00292D9C">
        <w:t xml:space="preserve"> for the Australian curriculum. </w:t>
      </w:r>
      <w:r w:rsidR="0099034A" w:rsidRPr="00292D9C">
        <w:t>The recommendations from the report have implications for future STEM initiatives</w:t>
      </w:r>
      <w:r w:rsidR="00AB2658" w:rsidRPr="00292D9C">
        <w:t xml:space="preserve"> because t</w:t>
      </w:r>
      <w:r w:rsidR="0099034A" w:rsidRPr="00292D9C">
        <w:t>he general capabilities can be taught through explorat</w:t>
      </w:r>
      <w:r w:rsidR="00AB2658" w:rsidRPr="00292D9C">
        <w:t>ions or</w:t>
      </w:r>
      <w:r w:rsidR="0099034A" w:rsidRPr="00292D9C">
        <w:t xml:space="preserve"> investigations inherent to STEM disciplines</w:t>
      </w:r>
      <w:r w:rsidR="00AB2658" w:rsidRPr="00292D9C">
        <w:t xml:space="preserve"> –</w:t>
      </w:r>
      <w:r w:rsidR="0099034A" w:rsidRPr="00292D9C">
        <w:t xml:space="preserve"> particularly numeracy, ICT and critical or creative thinking</w:t>
      </w:r>
      <w:r w:rsidR="00AB2658" w:rsidRPr="00292D9C">
        <w:t xml:space="preserve">. </w:t>
      </w:r>
      <w:bookmarkStart w:id="101" w:name="_Toc16707162"/>
    </w:p>
    <w:p w14:paraId="5C8C5B9C" w14:textId="77777777" w:rsidR="002D3A22" w:rsidRPr="00292D9C" w:rsidRDefault="00D11E32" w:rsidP="00A616D5">
      <w:pPr>
        <w:pStyle w:val="Heading2"/>
        <w:spacing w:before="0" w:after="120"/>
        <w:rPr>
          <w:rFonts w:asciiTheme="minorHAnsi" w:hAnsiTheme="minorHAnsi"/>
        </w:rPr>
      </w:pPr>
      <w:bookmarkStart w:id="102" w:name="_Toc21088255"/>
      <w:bookmarkStart w:id="103" w:name="_Toc23504224"/>
      <w:bookmarkStart w:id="104" w:name="_Toc25162058"/>
      <w:r w:rsidRPr="00292D9C">
        <w:rPr>
          <w:rFonts w:asciiTheme="minorHAnsi" w:hAnsiTheme="minorHAnsi"/>
        </w:rPr>
        <w:t xml:space="preserve">6.2. </w:t>
      </w:r>
      <w:r w:rsidR="002D3A22" w:rsidRPr="00292D9C">
        <w:rPr>
          <w:rFonts w:asciiTheme="minorHAnsi" w:hAnsiTheme="minorHAnsi"/>
        </w:rPr>
        <w:t>States and territories</w:t>
      </w:r>
      <w:bookmarkEnd w:id="101"/>
      <w:bookmarkEnd w:id="102"/>
      <w:bookmarkEnd w:id="103"/>
      <w:bookmarkEnd w:id="104"/>
      <w:r w:rsidR="002D3A22" w:rsidRPr="00292D9C">
        <w:rPr>
          <w:rFonts w:asciiTheme="minorHAnsi" w:hAnsiTheme="minorHAnsi"/>
        </w:rPr>
        <w:t xml:space="preserve"> </w:t>
      </w:r>
    </w:p>
    <w:p w14:paraId="0FA3501C" w14:textId="77777777" w:rsidR="002D3A22" w:rsidRPr="00292D9C" w:rsidRDefault="002D3A22" w:rsidP="00A616D5">
      <w:pPr>
        <w:pStyle w:val="Heading3Normal"/>
        <w:spacing w:before="0" w:after="120"/>
        <w:rPr>
          <w:rFonts w:asciiTheme="minorHAnsi" w:hAnsiTheme="minorHAnsi"/>
        </w:rPr>
      </w:pPr>
      <w:r w:rsidRPr="00292D9C">
        <w:rPr>
          <w:rFonts w:asciiTheme="minorHAnsi" w:hAnsiTheme="minorHAnsi"/>
        </w:rPr>
        <w:t>Most states and territories have their own policy strategies in STEM education. In addition to (or as part of) these strategies, states and territories have funded initiatives of their own</w:t>
      </w:r>
    </w:p>
    <w:p w14:paraId="0744ECE3" w14:textId="77777777" w:rsidR="002D3A22" w:rsidRPr="00292D9C" w:rsidRDefault="007E4E83" w:rsidP="00A616D5">
      <w:pPr>
        <w:rPr>
          <w:highlight w:val="yellow"/>
        </w:rPr>
      </w:pPr>
      <w:r w:rsidRPr="00292D9C">
        <w:t>Using</w:t>
      </w:r>
      <w:r w:rsidR="00F46749">
        <w:t xml:space="preserve"> Education Council </w:t>
      </w:r>
      <w:r w:rsidRPr="00292D9C">
        <w:t>research,</w:t>
      </w:r>
      <w:r w:rsidRPr="00292D9C">
        <w:rPr>
          <w:rStyle w:val="FootnoteReference"/>
          <w:b w:val="0"/>
        </w:rPr>
        <w:footnoteReference w:id="37"/>
      </w:r>
      <w:r w:rsidRPr="00292D9C">
        <w:t xml:space="preserve"> we </w:t>
      </w:r>
      <w:r w:rsidR="00F46749">
        <w:t xml:space="preserve">looked at a selection of </w:t>
      </w:r>
      <w:r w:rsidRPr="00292D9C">
        <w:t xml:space="preserve">58 ‘non-NISA’ initiatives funded or run at a state and territory level relating to STEM education and compared them with </w:t>
      </w:r>
      <w:r w:rsidR="00855DE9" w:rsidRPr="00292D9C">
        <w:t xml:space="preserve">the </w:t>
      </w:r>
      <w:r w:rsidRPr="00292D9C">
        <w:t xml:space="preserve">NISA initiatives. This analysis is based on a sample of various state and territory initiatives included in </w:t>
      </w:r>
      <w:r w:rsidR="000A3850">
        <w:t>an</w:t>
      </w:r>
      <w:r w:rsidRPr="00292D9C">
        <w:t xml:space="preserve"> </w:t>
      </w:r>
      <w:r w:rsidR="00F46749">
        <w:t xml:space="preserve">Education Council </w:t>
      </w:r>
      <w:r w:rsidRPr="00292D9C">
        <w:t>report.</w:t>
      </w:r>
      <w:r w:rsidRPr="00292D9C">
        <w:rPr>
          <w:rStyle w:val="FootnoteReference"/>
          <w:b w:val="0"/>
        </w:rPr>
        <w:footnoteReference w:id="38"/>
      </w:r>
      <w:r w:rsidR="00A44E00" w:rsidRPr="00292D9C">
        <w:t xml:space="preserve"> </w:t>
      </w:r>
      <w:r w:rsidR="006F2F7D">
        <w:t>This means the report and subsequent analysis is not intended to be a comprehensive overview of all STEM related activities by jurisdiction. Rather, this analysis provides a snapshot of a selection of STEM activities occurring outside of NISA-funded initiatives within Australia. I</w:t>
      </w:r>
      <w:r w:rsidR="00A44E00" w:rsidRPr="00292D9C">
        <w:t xml:space="preserve">nitiatives </w:t>
      </w:r>
      <w:r w:rsidR="006F2F7D">
        <w:t>represented are</w:t>
      </w:r>
      <w:r w:rsidR="00A44E00" w:rsidRPr="00292D9C">
        <w:t xml:space="preserve"> frequently part of state and territory approaches in STEM education. Box 1.1 summarises these approaches.  </w:t>
      </w:r>
    </w:p>
    <w:p w14:paraId="7A40621B" w14:textId="77777777" w:rsidR="002D3A22" w:rsidRPr="00292D9C" w:rsidRDefault="002D3A22" w:rsidP="00A616D5">
      <w:pPr>
        <w:pStyle w:val="CaptionFigure"/>
        <w:spacing w:before="0" w:after="120" w:line="360" w:lineRule="auto"/>
        <w:rPr>
          <w:sz w:val="22"/>
          <w:szCs w:val="22"/>
        </w:rPr>
      </w:pPr>
      <w:r w:rsidRPr="00292D9C">
        <w:rPr>
          <w:sz w:val="22"/>
          <w:szCs w:val="22"/>
        </w:rPr>
        <w:t>Box 1.1: Summary of the state and territories’ strategies in STEM education</w:t>
      </w:r>
    </w:p>
    <w:tbl>
      <w:tblPr>
        <w:tblStyle w:val="BoxGrid-Coloured"/>
        <w:tblW w:w="9488" w:type="dxa"/>
        <w:shd w:val="clear" w:color="auto" w:fill="E8E6E6" w:themeFill="accent4" w:themeFillTint="33"/>
        <w:tblLook w:val="04A0" w:firstRow="1" w:lastRow="0" w:firstColumn="1" w:lastColumn="0" w:noHBand="0" w:noVBand="1"/>
      </w:tblPr>
      <w:tblGrid>
        <w:gridCol w:w="9488"/>
      </w:tblGrid>
      <w:tr w:rsidR="002D3A22" w:rsidRPr="00292D9C" w14:paraId="5B7BDC39" w14:textId="77777777" w:rsidTr="003D298C">
        <w:tc>
          <w:tcPr>
            <w:tcW w:w="9488" w:type="dxa"/>
            <w:shd w:val="clear" w:color="auto" w:fill="E8E6E6" w:themeFill="accent4" w:themeFillTint="33"/>
          </w:tcPr>
          <w:p w14:paraId="13009501" w14:textId="77777777" w:rsidR="002D3A22" w:rsidRPr="00292D9C" w:rsidRDefault="002D3A22" w:rsidP="00A616D5">
            <w:pPr>
              <w:rPr>
                <w:rFonts w:cstheme="minorHAnsi"/>
                <w:bCs/>
                <w:iCs/>
                <w:szCs w:val="21"/>
              </w:rPr>
            </w:pPr>
            <w:r w:rsidRPr="00292D9C">
              <w:t>Since 2016, most</w:t>
            </w:r>
            <w:r w:rsidRPr="00292D9C">
              <w:rPr>
                <w:rStyle w:val="FootnoteReference"/>
              </w:rPr>
              <w:footnoteReference w:id="39"/>
            </w:r>
            <w:r w:rsidRPr="00292D9C">
              <w:t xml:space="preserve"> states and territories have been developing their own approach to improving STEM education in their own jurisdiction.</w:t>
            </w:r>
            <w:r w:rsidRPr="00292D9C">
              <w:rPr>
                <w:rStyle w:val="FootnoteReference"/>
              </w:rPr>
              <w:footnoteReference w:id="40"/>
            </w:r>
            <w:r w:rsidRPr="00292D9C">
              <w:t xml:space="preserve"> </w:t>
            </w:r>
          </w:p>
          <w:p w14:paraId="1861101F" w14:textId="77777777" w:rsidR="002D3A22" w:rsidRPr="00292D9C" w:rsidRDefault="002D3A22" w:rsidP="00A616D5">
            <w:pPr>
              <w:rPr>
                <w:rFonts w:cstheme="minorHAnsi"/>
                <w:bCs/>
                <w:iCs/>
                <w:szCs w:val="21"/>
                <w:lang w:val="en"/>
              </w:rPr>
            </w:pPr>
            <w:r w:rsidRPr="00292D9C">
              <w:rPr>
                <w:rFonts w:cstheme="minorHAnsi"/>
                <w:b/>
                <w:iCs/>
                <w:szCs w:val="21"/>
                <w:lang w:val="en"/>
              </w:rPr>
              <w:t>NSW</w:t>
            </w:r>
            <w:r w:rsidRPr="00292D9C">
              <w:rPr>
                <w:rFonts w:cstheme="minorHAnsi"/>
                <w:bCs/>
                <w:iCs/>
                <w:szCs w:val="21"/>
                <w:lang w:val="en"/>
              </w:rPr>
              <w:t xml:space="preserve"> is raising expectations and enhancing the quality of student learning in STEM, fostering quality teaching and leadership in STEM and supporting innovative ways of delivering STEM education. It has developed </w:t>
            </w:r>
            <w:hyperlink r:id="rId17" w:tooltip="STEM illustrations of practice" w:history="1">
              <w:r w:rsidRPr="00292D9C">
                <w:rPr>
                  <w:rStyle w:val="Hyperlink"/>
                  <w:rFonts w:cstheme="minorHAnsi"/>
                  <w:bCs/>
                  <w:iCs/>
                  <w:szCs w:val="21"/>
                  <w:lang w:val="en"/>
                </w:rPr>
                <w:t xml:space="preserve">STEM illustrations of practice and resources </w:t>
              </w:r>
            </w:hyperlink>
            <w:r w:rsidRPr="00292D9C">
              <w:rPr>
                <w:rFonts w:cstheme="minorHAnsi"/>
                <w:bCs/>
                <w:iCs/>
                <w:szCs w:val="21"/>
                <w:lang w:val="en"/>
              </w:rPr>
              <w:t xml:space="preserve">for teachers. </w:t>
            </w:r>
          </w:p>
          <w:p w14:paraId="5EB4370C" w14:textId="77777777" w:rsidR="002D3A22" w:rsidRPr="00292D9C" w:rsidRDefault="002D3A22" w:rsidP="00A616D5">
            <w:pPr>
              <w:rPr>
                <w:rFonts w:cstheme="minorHAnsi"/>
                <w:bCs/>
                <w:iCs/>
                <w:szCs w:val="21"/>
              </w:rPr>
            </w:pPr>
            <w:r w:rsidRPr="00292D9C">
              <w:rPr>
                <w:rFonts w:cstheme="minorHAnsi"/>
                <w:b/>
                <w:iCs/>
                <w:szCs w:val="21"/>
              </w:rPr>
              <w:t>Victoria</w:t>
            </w:r>
            <w:r w:rsidRPr="00292D9C">
              <w:rPr>
                <w:rFonts w:cstheme="minorHAnsi"/>
                <w:bCs/>
                <w:iCs/>
                <w:szCs w:val="21"/>
              </w:rPr>
              <w:t>’s strategy focuses on building foundational STEM skills in young children, lifting STEM achievement in schools, and ensuring its higher education and training sectors are creating a STEM-skilled workforce.</w:t>
            </w:r>
          </w:p>
          <w:p w14:paraId="42B0B3A2" w14:textId="77777777" w:rsidR="002D3A22" w:rsidRPr="00292D9C" w:rsidRDefault="002D3A22" w:rsidP="00A616D5">
            <w:pPr>
              <w:rPr>
                <w:rFonts w:cstheme="minorHAnsi"/>
                <w:bCs/>
                <w:iCs/>
                <w:szCs w:val="21"/>
              </w:rPr>
            </w:pPr>
            <w:r w:rsidRPr="00292D9C">
              <w:rPr>
                <w:rFonts w:cstheme="minorHAnsi"/>
                <w:b/>
                <w:iCs/>
                <w:szCs w:val="21"/>
              </w:rPr>
              <w:t>Queensland</w:t>
            </w:r>
            <w:r w:rsidRPr="00292D9C">
              <w:rPr>
                <w:rFonts w:cstheme="minorHAnsi"/>
                <w:bCs/>
                <w:iCs/>
                <w:szCs w:val="21"/>
              </w:rPr>
              <w:t xml:space="preserve">’s plan focuses on lifting participation of students, including girls and Aboriginal and Torres Strait Islander students, giving every school access to a specialist STEM teacher. It aims to transform the teaching of STEM by supporting teachers to innovate and engage with cutting edge science and teaching practice. </w:t>
            </w:r>
          </w:p>
          <w:p w14:paraId="0FE81363" w14:textId="77777777" w:rsidR="002D3A22" w:rsidRPr="00292D9C" w:rsidRDefault="002D3A22" w:rsidP="00A616D5">
            <w:pPr>
              <w:rPr>
                <w:rFonts w:cstheme="minorHAnsi"/>
                <w:bCs/>
                <w:iCs/>
                <w:szCs w:val="21"/>
              </w:rPr>
            </w:pPr>
            <w:r w:rsidRPr="00292D9C">
              <w:rPr>
                <w:rFonts w:cstheme="minorHAnsi"/>
                <w:b/>
                <w:iCs/>
                <w:szCs w:val="21"/>
              </w:rPr>
              <w:t>Western Australia</w:t>
            </w:r>
            <w:r w:rsidRPr="00292D9C">
              <w:rPr>
                <w:rFonts w:cstheme="minorHAnsi"/>
                <w:bCs/>
                <w:iCs/>
                <w:szCs w:val="21"/>
              </w:rPr>
              <w:t xml:space="preserve"> focuses on building </w:t>
            </w:r>
            <w:r w:rsidRPr="00292D9C">
              <w:rPr>
                <w:rFonts w:cstheme="minorHAnsi"/>
                <w:bCs/>
                <w:iCs/>
                <w:szCs w:val="21"/>
                <w:lang w:val="en"/>
              </w:rPr>
              <w:t>a globally competitive and innovative workforce with the skills to drive Western Australia’s technological future and create new job opportunities.</w:t>
            </w:r>
          </w:p>
          <w:p w14:paraId="553C8605" w14:textId="77777777" w:rsidR="002D3A22" w:rsidRPr="00292D9C" w:rsidRDefault="002D3A22" w:rsidP="00A616D5">
            <w:pPr>
              <w:rPr>
                <w:rFonts w:cstheme="minorHAnsi"/>
                <w:bCs/>
                <w:iCs/>
                <w:szCs w:val="21"/>
              </w:rPr>
            </w:pPr>
            <w:r w:rsidRPr="00292D9C">
              <w:rPr>
                <w:rFonts w:cstheme="minorHAnsi"/>
                <w:b/>
                <w:iCs/>
                <w:szCs w:val="21"/>
              </w:rPr>
              <w:t>South Australia</w:t>
            </w:r>
            <w:r w:rsidRPr="00292D9C">
              <w:rPr>
                <w:rFonts w:cstheme="minorHAnsi"/>
                <w:bCs/>
                <w:iCs/>
                <w:szCs w:val="21"/>
              </w:rPr>
              <w:t xml:space="preserve"> is supporting its teachers to build expertise in STEM teaching and learning across all years of public education (from preschool to Year 12); engage students at all year levels in STEM education; and develop systemic excellence in STEM education. </w:t>
            </w:r>
          </w:p>
          <w:p w14:paraId="0DEE4B7B" w14:textId="77777777" w:rsidR="002D3A22" w:rsidRPr="00292D9C" w:rsidRDefault="002D3A22" w:rsidP="00A616D5">
            <w:pPr>
              <w:rPr>
                <w:rFonts w:cstheme="minorHAnsi"/>
                <w:bCs/>
                <w:iCs/>
                <w:szCs w:val="21"/>
              </w:rPr>
            </w:pPr>
            <w:r w:rsidRPr="00292D9C">
              <w:rPr>
                <w:rFonts w:cstheme="minorHAnsi"/>
                <w:b/>
                <w:iCs/>
                <w:szCs w:val="21"/>
              </w:rPr>
              <w:t>Tasmania</w:t>
            </w:r>
            <w:r w:rsidRPr="00292D9C">
              <w:rPr>
                <w:rFonts w:cstheme="minorHAnsi"/>
                <w:bCs/>
                <w:iCs/>
                <w:szCs w:val="21"/>
              </w:rPr>
              <w:t xml:space="preserve"> aims to equip its learners with knowledge, skills and capabilities to enhance their futures. It emphasises integrative, project based, real world and transdisciplinary learning. It aims to strengthen and optimise parental, business, further education and community partnerships to improve STEM learning outcomes.</w:t>
            </w:r>
          </w:p>
          <w:p w14:paraId="09D2631C" w14:textId="77777777" w:rsidR="002D3A22" w:rsidRPr="00292D9C" w:rsidRDefault="002D3A22" w:rsidP="00A616D5">
            <w:pPr>
              <w:rPr>
                <w:rFonts w:cstheme="minorHAnsi"/>
                <w:bCs/>
                <w:iCs/>
                <w:szCs w:val="21"/>
              </w:rPr>
            </w:pPr>
            <w:r w:rsidRPr="00292D9C">
              <w:rPr>
                <w:rFonts w:cstheme="minorHAnsi"/>
                <w:b/>
                <w:iCs/>
                <w:szCs w:val="21"/>
              </w:rPr>
              <w:t>The ACT</w:t>
            </w:r>
            <w:r w:rsidRPr="00292D9C">
              <w:rPr>
                <w:rFonts w:cstheme="minorHAnsi"/>
                <w:bCs/>
                <w:iCs/>
                <w:szCs w:val="21"/>
              </w:rPr>
              <w:t xml:space="preserve"> has adopted the National Strategy directly, thereby explicitly sharing the focus on lifting foundational skills in STEM learning areas, developing mathematical, scientific and technological literacy, and promoting the development of 21</w:t>
            </w:r>
            <w:r w:rsidRPr="00292D9C">
              <w:rPr>
                <w:rFonts w:cstheme="minorHAnsi"/>
                <w:bCs/>
                <w:iCs/>
                <w:szCs w:val="21"/>
                <w:vertAlign w:val="superscript"/>
              </w:rPr>
              <w:t>st</w:t>
            </w:r>
            <w:r w:rsidRPr="00292D9C">
              <w:rPr>
                <w:rFonts w:cstheme="minorHAnsi"/>
                <w:bCs/>
                <w:iCs/>
                <w:szCs w:val="21"/>
              </w:rPr>
              <w:t xml:space="preserve"> century skills including problem solving, critical analysis and creative thinking. </w:t>
            </w:r>
          </w:p>
          <w:p w14:paraId="6730F034" w14:textId="77777777" w:rsidR="002D3A22" w:rsidRPr="00292D9C" w:rsidRDefault="002D3A22" w:rsidP="00A616D5">
            <w:r w:rsidRPr="00292D9C">
              <w:rPr>
                <w:rFonts w:cstheme="minorHAnsi"/>
                <w:bCs/>
                <w:iCs/>
                <w:szCs w:val="21"/>
              </w:rPr>
              <w:t xml:space="preserve">The </w:t>
            </w:r>
            <w:r w:rsidRPr="00292D9C">
              <w:rPr>
                <w:rFonts w:cstheme="minorHAnsi"/>
                <w:b/>
                <w:iCs/>
                <w:szCs w:val="21"/>
              </w:rPr>
              <w:t>Northern Territory</w:t>
            </w:r>
            <w:r w:rsidRPr="00292D9C">
              <w:rPr>
                <w:rFonts w:cstheme="minorHAnsi"/>
                <w:bCs/>
                <w:iCs/>
                <w:szCs w:val="21"/>
              </w:rPr>
              <w:t xml:space="preserve"> has a focus on </w:t>
            </w:r>
            <w:r w:rsidRPr="00292D9C">
              <w:rPr>
                <w:rFonts w:cstheme="minorHAnsi"/>
                <w:bCs/>
                <w:iCs/>
                <w:szCs w:val="21"/>
                <w:lang w:val="en"/>
              </w:rPr>
              <w:t xml:space="preserve">preparing students for life-long learning and work. It aims to support quality STEM education opportunities and ensure young people are equipped with coding skills as an emerging essential literacy. It also seeks to provide professional learning opportunities for teachers and trainers and expand enterprise education and innovation </w:t>
            </w:r>
            <w:proofErr w:type="gramStart"/>
            <w:r w:rsidRPr="00292D9C">
              <w:rPr>
                <w:rFonts w:cstheme="minorHAnsi"/>
                <w:bCs/>
                <w:iCs/>
                <w:szCs w:val="21"/>
                <w:lang w:val="en"/>
              </w:rPr>
              <w:t>programs</w:t>
            </w:r>
            <w:proofErr w:type="gramEnd"/>
            <w:r w:rsidRPr="00292D9C">
              <w:rPr>
                <w:rFonts w:cstheme="minorHAnsi"/>
                <w:bCs/>
                <w:iCs/>
                <w:szCs w:val="21"/>
                <w:lang w:val="en"/>
              </w:rPr>
              <w:t xml:space="preserve"> so students receive advice and training in newly emerging industries.</w:t>
            </w:r>
          </w:p>
        </w:tc>
      </w:tr>
    </w:tbl>
    <w:p w14:paraId="39BC4EAC" w14:textId="77777777" w:rsidR="002D3A22" w:rsidRPr="00292D9C" w:rsidRDefault="002D3A22" w:rsidP="00A616D5">
      <w:pPr>
        <w:rPr>
          <w:highlight w:val="yellow"/>
        </w:rPr>
      </w:pPr>
    </w:p>
    <w:p w14:paraId="0822FFC5" w14:textId="77777777" w:rsidR="002D3A22" w:rsidRPr="00292D9C" w:rsidRDefault="002D3A22" w:rsidP="00A616D5">
      <w:r w:rsidRPr="00292D9C">
        <w:t xml:space="preserve">State and territory initiatives are analysed in the section below using the same </w:t>
      </w:r>
      <w:r w:rsidR="00855DE9" w:rsidRPr="00292D9C">
        <w:t xml:space="preserve">conceptual framework (see </w:t>
      </w:r>
      <w:r w:rsidR="0077497D">
        <w:t>Section 1</w:t>
      </w:r>
      <w:r w:rsidR="00855DE9" w:rsidRPr="00292D9C">
        <w:t>)</w:t>
      </w:r>
      <w:r w:rsidR="00A44E00" w:rsidRPr="00292D9C">
        <w:t xml:space="preserve"> from</w:t>
      </w:r>
      <w:r w:rsidRPr="00292D9C">
        <w:t xml:space="preserve"> earlier</w:t>
      </w:r>
      <w:r w:rsidR="00855DE9" w:rsidRPr="00292D9C">
        <w:t xml:space="preserve"> in this report</w:t>
      </w:r>
      <w:r w:rsidRPr="00292D9C">
        <w:t>:</w:t>
      </w:r>
    </w:p>
    <w:p w14:paraId="41BACF88" w14:textId="77777777" w:rsidR="002D3A22" w:rsidRPr="00292D9C" w:rsidRDefault="002D3A22" w:rsidP="003C2ACB">
      <w:pPr>
        <w:pStyle w:val="ListParagraph"/>
        <w:numPr>
          <w:ilvl w:val="0"/>
          <w:numId w:val="18"/>
        </w:numPr>
      </w:pPr>
      <w:r w:rsidRPr="00292D9C">
        <w:t>Is the focus on improving student engagement or achievement?</w:t>
      </w:r>
    </w:p>
    <w:p w14:paraId="36B85944" w14:textId="77777777" w:rsidR="002D3A22" w:rsidRPr="00292D9C" w:rsidRDefault="002D3A22" w:rsidP="003C2ACB">
      <w:pPr>
        <w:pStyle w:val="ListParagraph"/>
        <w:numPr>
          <w:ilvl w:val="0"/>
          <w:numId w:val="18"/>
        </w:numPr>
      </w:pPr>
      <w:r w:rsidRPr="00292D9C">
        <w:t>Is the focus on universal offerings, or targeting specific groups — and are these groups about improving excellence or equity in STEM?</w:t>
      </w:r>
    </w:p>
    <w:p w14:paraId="59455CC5" w14:textId="77777777" w:rsidR="002D3A22" w:rsidRPr="00292D9C" w:rsidRDefault="002D3A22" w:rsidP="003C2ACB">
      <w:pPr>
        <w:pStyle w:val="ListParagraph"/>
        <w:numPr>
          <w:ilvl w:val="0"/>
          <w:numId w:val="18"/>
        </w:numPr>
      </w:pPr>
      <w:r w:rsidRPr="00292D9C">
        <w:t>Who is the target audience?</w:t>
      </w:r>
    </w:p>
    <w:p w14:paraId="5504CDF4" w14:textId="77777777" w:rsidR="002D3A22" w:rsidRPr="00292D9C" w:rsidRDefault="002D3A22" w:rsidP="003C2ACB">
      <w:pPr>
        <w:pStyle w:val="ListParagraph"/>
        <w:numPr>
          <w:ilvl w:val="0"/>
          <w:numId w:val="18"/>
        </w:numPr>
      </w:pPr>
      <w:r w:rsidRPr="00292D9C">
        <w:t>Who is the target student age group?</w:t>
      </w:r>
    </w:p>
    <w:p w14:paraId="345DE20F" w14:textId="77777777" w:rsidR="002D3A22" w:rsidRPr="00292D9C" w:rsidRDefault="002D3A22" w:rsidP="003C2ACB">
      <w:pPr>
        <w:pStyle w:val="ListParagraph"/>
        <w:numPr>
          <w:ilvl w:val="0"/>
          <w:numId w:val="18"/>
        </w:numPr>
      </w:pPr>
      <w:r w:rsidRPr="00292D9C">
        <w:t>What curriculum area is the focus?</w:t>
      </w:r>
    </w:p>
    <w:p w14:paraId="10B619D1" w14:textId="77777777" w:rsidR="008511AA" w:rsidRPr="00292D9C" w:rsidRDefault="002D3A22" w:rsidP="003C2ACB">
      <w:pPr>
        <w:pStyle w:val="ListParagraph"/>
        <w:numPr>
          <w:ilvl w:val="0"/>
          <w:numId w:val="18"/>
        </w:numPr>
        <w:rPr>
          <w:b/>
          <w:color w:val="8C8686" w:themeColor="accent4"/>
        </w:rPr>
      </w:pPr>
      <w:r w:rsidRPr="00292D9C">
        <w:t xml:space="preserve">What is the product? </w:t>
      </w:r>
    </w:p>
    <w:p w14:paraId="35091B87" w14:textId="77777777" w:rsidR="006F2F7D" w:rsidRPr="006F2F7D" w:rsidRDefault="002D3A22" w:rsidP="006F2F7D">
      <w:r w:rsidRPr="00292D9C">
        <w:t xml:space="preserve">Our analysis under each lens includes a breakdown of </w:t>
      </w:r>
      <w:r w:rsidR="00F46749">
        <w:t xml:space="preserve">the reported </w:t>
      </w:r>
      <w:r w:rsidRPr="00292D9C">
        <w:t xml:space="preserve">initiatives, </w:t>
      </w:r>
      <w:r w:rsidR="008511AA" w:rsidRPr="00292D9C">
        <w:t>in terms of</w:t>
      </w:r>
      <w:r w:rsidRPr="00292D9C">
        <w:t xml:space="preserve"> number of initiatives rather than by amount of funding</w:t>
      </w:r>
      <w:r w:rsidR="008511AA" w:rsidRPr="00292D9C">
        <w:t xml:space="preserve"> for each</w:t>
      </w:r>
      <w:r w:rsidRPr="00292D9C">
        <w:t xml:space="preserve">. </w:t>
      </w:r>
      <w:r w:rsidR="008511AA" w:rsidRPr="00292D9C">
        <w:t>Quite a high proportion of initiatives did not have funding information available</w:t>
      </w:r>
      <w:r w:rsidRPr="00292D9C">
        <w:t xml:space="preserve"> (in some cases for entire jurisdictions)</w:t>
      </w:r>
      <w:r w:rsidR="008511AA" w:rsidRPr="00292D9C">
        <w:t xml:space="preserve"> which does not provide an accurate evidence base for drawing conclusions or making assessments. </w:t>
      </w:r>
      <w:r w:rsidR="006F2F7D">
        <w:br w:type="page"/>
      </w:r>
    </w:p>
    <w:p w14:paraId="3971D127" w14:textId="77777777" w:rsidR="002D3A22" w:rsidRPr="00292D9C" w:rsidRDefault="00855DE9" w:rsidP="00B36C1F">
      <w:pPr>
        <w:pStyle w:val="Heading3Normal"/>
        <w:spacing w:before="0" w:after="120"/>
        <w:rPr>
          <w:rFonts w:asciiTheme="minorHAnsi" w:hAnsiTheme="minorHAnsi"/>
        </w:rPr>
      </w:pPr>
      <w:r w:rsidRPr="00292D9C">
        <w:rPr>
          <w:rFonts w:asciiTheme="minorHAnsi" w:hAnsiTheme="minorHAnsi"/>
        </w:rPr>
        <w:t>T</w:t>
      </w:r>
      <w:r w:rsidR="002D3A22" w:rsidRPr="00292D9C">
        <w:rPr>
          <w:rFonts w:asciiTheme="minorHAnsi" w:hAnsiTheme="minorHAnsi"/>
        </w:rPr>
        <w:t>he majority of state and territory STEM initiatives focus on student engagement</w:t>
      </w:r>
      <w:r w:rsidR="002D3A22" w:rsidRPr="00292D9C" w:rsidDel="00144B3D">
        <w:rPr>
          <w:rFonts w:asciiTheme="minorHAnsi" w:hAnsiTheme="minorHAnsi"/>
        </w:rPr>
        <w:t xml:space="preserve"> </w:t>
      </w:r>
    </w:p>
    <w:p w14:paraId="5E71871A" w14:textId="77777777" w:rsidR="002D3A22" w:rsidRPr="00292D9C" w:rsidRDefault="002D3A22" w:rsidP="00A616D5">
      <w:r w:rsidRPr="00292D9C">
        <w:t xml:space="preserve">The overwhelming majority of STEM initiatives focus on student engagement. In fact, of the 58 </w:t>
      </w:r>
      <w:r w:rsidR="00845EC0">
        <w:t xml:space="preserve">reported </w:t>
      </w:r>
      <w:r w:rsidRPr="00292D9C">
        <w:t>initiatives, there are only two initiatives addressing achievement. NISA has a similar focus as the states and territories’ initiative</w:t>
      </w:r>
      <w:r w:rsidR="00A87BD6">
        <w:t>s</w:t>
      </w:r>
      <w:r w:rsidRPr="00292D9C">
        <w:t>, where two of the fifteen NISA initiatives address student achievement</w:t>
      </w:r>
      <w:r w:rsidR="00B53FA3" w:rsidRPr="00292D9C">
        <w:t xml:space="preserve"> – Primary Connections and MOOCs</w:t>
      </w:r>
      <w:r w:rsidRPr="00292D9C">
        <w:t>.</w:t>
      </w:r>
      <w:r w:rsidR="00B53FA3" w:rsidRPr="00292D9C">
        <w:rPr>
          <w:rStyle w:val="FootnoteReference"/>
        </w:rPr>
        <w:footnoteReference w:id="41"/>
      </w:r>
    </w:p>
    <w:p w14:paraId="4458EAA7" w14:textId="77777777" w:rsidR="002D3A22" w:rsidRDefault="002D3A22" w:rsidP="00A616D5">
      <w:pPr>
        <w:pStyle w:val="CaptionFigure"/>
        <w:spacing w:before="0" w:after="120" w:line="360" w:lineRule="auto"/>
        <w:rPr>
          <w:bCs/>
          <w:iCs w:val="0"/>
          <w:sz w:val="22"/>
          <w:szCs w:val="22"/>
        </w:rPr>
      </w:pPr>
      <w:r w:rsidRPr="00292D9C">
        <w:rPr>
          <w:bCs/>
          <w:iCs w:val="0"/>
          <w:sz w:val="22"/>
          <w:szCs w:val="22"/>
        </w:rPr>
        <w:t xml:space="preserve">Figure </w:t>
      </w:r>
      <w:r w:rsidR="00B36C1F">
        <w:rPr>
          <w:bCs/>
          <w:iCs w:val="0"/>
          <w:sz w:val="22"/>
          <w:szCs w:val="22"/>
        </w:rPr>
        <w:t>14</w:t>
      </w:r>
      <w:r w:rsidR="00951DBA" w:rsidRPr="00292D9C">
        <w:rPr>
          <w:bCs/>
          <w:sz w:val="22"/>
          <w:szCs w:val="22"/>
        </w:rPr>
        <w:t>.</w:t>
      </w:r>
      <w:r w:rsidRPr="00292D9C">
        <w:rPr>
          <w:bCs/>
          <w:iCs w:val="0"/>
          <w:sz w:val="22"/>
          <w:szCs w:val="22"/>
        </w:rPr>
        <w:t xml:space="preserve"> Initiatives focused on student engagement or achievement </w:t>
      </w:r>
    </w:p>
    <w:p w14:paraId="222EEC53" w14:textId="77777777" w:rsidR="000F5B26" w:rsidRDefault="000F5B26" w:rsidP="00A616D5">
      <w:pPr>
        <w:pStyle w:val="CaptionFigure"/>
        <w:spacing w:before="0" w:after="120" w:line="360" w:lineRule="auto"/>
        <w:rPr>
          <w:bCs/>
          <w:iCs w:val="0"/>
          <w:sz w:val="22"/>
          <w:szCs w:val="22"/>
        </w:rPr>
      </w:pPr>
    </w:p>
    <w:p w14:paraId="7D2CF5F4" w14:textId="77777777" w:rsidR="000F5B26" w:rsidRPr="00292D9C" w:rsidRDefault="000F5B26" w:rsidP="000F5B26">
      <w:pPr>
        <w:pStyle w:val="CaptionFigure"/>
        <w:spacing w:before="0" w:after="120" w:line="360" w:lineRule="auto"/>
        <w:jc w:val="center"/>
        <w:rPr>
          <w:bCs/>
        </w:rPr>
      </w:pPr>
      <w:r>
        <w:rPr>
          <w:noProof/>
          <w:lang w:eastAsia="en-AU"/>
        </w:rPr>
        <w:drawing>
          <wp:inline distT="0" distB="0" distL="0" distR="0" wp14:anchorId="2F194D39" wp14:editId="434E25FD">
            <wp:extent cx="4572000" cy="2743200"/>
            <wp:effectExtent l="0" t="0" r="0" b="0"/>
            <wp:docPr id="19" name="Chart 19" descr="Figure 14">
              <a:extLst xmlns:a="http://schemas.openxmlformats.org/drawingml/2006/main">
                <a:ext uri="{FF2B5EF4-FFF2-40B4-BE49-F238E27FC236}">
                  <a16:creationId xmlns:a16="http://schemas.microsoft.com/office/drawing/2014/main" id="{67C6915C-6D2D-9C46-BC73-86A186824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0E48E9F" w14:textId="77777777" w:rsidR="002D3A22" w:rsidRPr="00292D9C" w:rsidRDefault="002D3A22" w:rsidP="00B36C1F">
      <w:pPr>
        <w:pStyle w:val="Heading3Normal"/>
        <w:spacing w:before="0" w:after="120"/>
        <w:rPr>
          <w:rFonts w:asciiTheme="minorHAnsi" w:hAnsiTheme="minorHAnsi"/>
        </w:rPr>
      </w:pPr>
      <w:r w:rsidRPr="00292D9C">
        <w:rPr>
          <w:rFonts w:asciiTheme="minorHAnsi" w:hAnsiTheme="minorHAnsi"/>
        </w:rPr>
        <w:t xml:space="preserve">Most </w:t>
      </w:r>
      <w:r w:rsidR="000B6BC2">
        <w:rPr>
          <w:rFonts w:asciiTheme="minorHAnsi" w:hAnsiTheme="minorHAnsi"/>
        </w:rPr>
        <w:t xml:space="preserve">reported </w:t>
      </w:r>
      <w:r w:rsidRPr="00292D9C">
        <w:rPr>
          <w:rFonts w:asciiTheme="minorHAnsi" w:hAnsiTheme="minorHAnsi"/>
        </w:rPr>
        <w:t>state and territory initiatives focus on universal offerings</w:t>
      </w:r>
      <w:r w:rsidR="00550017" w:rsidRPr="00292D9C">
        <w:rPr>
          <w:rFonts w:asciiTheme="minorHAnsi" w:hAnsiTheme="minorHAnsi"/>
        </w:rPr>
        <w:t>, whereas m</w:t>
      </w:r>
      <w:r w:rsidRPr="00292D9C">
        <w:rPr>
          <w:rFonts w:asciiTheme="minorHAnsi" w:hAnsiTheme="minorHAnsi"/>
        </w:rPr>
        <w:t>ore targeted initiatives focus on improving equity in STEM education</w:t>
      </w:r>
    </w:p>
    <w:p w14:paraId="1B4042B4" w14:textId="77777777" w:rsidR="002D3A22" w:rsidRPr="00292D9C" w:rsidRDefault="002D3A22" w:rsidP="00A616D5">
      <w:r w:rsidRPr="00292D9C">
        <w:t xml:space="preserve">States and territories focus on either universally-provided initiatives or more targeted initiatives (such as targeting equity or excellence). Over two-thirds of all </w:t>
      </w:r>
      <w:r w:rsidR="000B6BC2">
        <w:t xml:space="preserve">reported </w:t>
      </w:r>
      <w:r w:rsidRPr="00292D9C">
        <w:t xml:space="preserve">initiatives are universally focused, which is similar to the breakdown of NISA initiatives. </w:t>
      </w:r>
    </w:p>
    <w:p w14:paraId="0B4BBE2C" w14:textId="77777777" w:rsidR="002D3A22" w:rsidRPr="00292D9C" w:rsidRDefault="002D3A22" w:rsidP="00A616D5">
      <w:r w:rsidRPr="00292D9C">
        <w:t xml:space="preserve">Most states and territories have a mix of universally offered and targeted initiatives. Where states and territories’ initiatives do target particular groups, most of these focus on groups that underperform or are underrepresented in STEM education (i.e. girls, regional or rural students, Aboriginal or Torres Strait Islanders) rather than targeting higher performing students (i.e. to raise excellence). </w:t>
      </w:r>
    </w:p>
    <w:p w14:paraId="73CB5C19" w14:textId="77777777" w:rsidR="002D3A22" w:rsidRDefault="002D3A22" w:rsidP="00A616D5">
      <w:pPr>
        <w:pStyle w:val="CaptionFigure"/>
        <w:spacing w:before="0" w:after="120" w:line="360" w:lineRule="auto"/>
        <w:rPr>
          <w:sz w:val="22"/>
          <w:szCs w:val="22"/>
        </w:rPr>
      </w:pPr>
      <w:r w:rsidRPr="00292D9C">
        <w:rPr>
          <w:sz w:val="22"/>
          <w:szCs w:val="22"/>
        </w:rPr>
        <w:t xml:space="preserve">Figure </w:t>
      </w:r>
      <w:r w:rsidR="00B36C1F">
        <w:rPr>
          <w:sz w:val="22"/>
          <w:szCs w:val="22"/>
        </w:rPr>
        <w:t>15</w:t>
      </w:r>
      <w:r w:rsidR="00951DBA" w:rsidRPr="00292D9C">
        <w:rPr>
          <w:sz w:val="22"/>
          <w:szCs w:val="22"/>
        </w:rPr>
        <w:t xml:space="preserve">. </w:t>
      </w:r>
      <w:r w:rsidRPr="00292D9C">
        <w:rPr>
          <w:sz w:val="22"/>
          <w:szCs w:val="22"/>
        </w:rPr>
        <w:t xml:space="preserve">Initiatives by focus (universal, equity or excellence) </w:t>
      </w:r>
    </w:p>
    <w:p w14:paraId="5B991B2C" w14:textId="77777777" w:rsidR="000C27EE" w:rsidRPr="00292D9C" w:rsidRDefault="000C27EE" w:rsidP="000C27EE">
      <w:pPr>
        <w:pStyle w:val="CaptionFigure"/>
        <w:spacing w:before="0" w:after="120" w:line="360" w:lineRule="auto"/>
        <w:jc w:val="center"/>
        <w:rPr>
          <w:sz w:val="22"/>
          <w:szCs w:val="22"/>
        </w:rPr>
      </w:pPr>
      <w:r>
        <w:rPr>
          <w:noProof/>
          <w:lang w:eastAsia="en-AU"/>
        </w:rPr>
        <w:drawing>
          <wp:inline distT="0" distB="0" distL="0" distR="0" wp14:anchorId="360348BF" wp14:editId="2A5AF9DF">
            <wp:extent cx="4572000" cy="2743200"/>
            <wp:effectExtent l="0" t="0" r="0" b="0"/>
            <wp:docPr id="20" name="Chart 20" descr="Figure 15">
              <a:extLst xmlns:a="http://schemas.openxmlformats.org/drawingml/2006/main">
                <a:ext uri="{FF2B5EF4-FFF2-40B4-BE49-F238E27FC236}">
                  <a16:creationId xmlns:a16="http://schemas.microsoft.com/office/drawing/2014/main" id="{9A502742-2AE5-C346-8FFC-FE9B6B0EA6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B45D00" w14:textId="77777777" w:rsidR="002D3A22" w:rsidRPr="00B36C1F" w:rsidRDefault="002D3A22" w:rsidP="00A616D5">
      <w:pPr>
        <w:rPr>
          <w:sz w:val="20"/>
        </w:rPr>
      </w:pPr>
      <w:r w:rsidRPr="00B36C1F">
        <w:rPr>
          <w:sz w:val="20"/>
        </w:rPr>
        <w:t>Note: One Western Australia initiative is universal (and has been categorised this way) but provide</w:t>
      </w:r>
      <w:r w:rsidR="00550017" w:rsidRPr="00B36C1F">
        <w:rPr>
          <w:sz w:val="20"/>
        </w:rPr>
        <w:t>s</w:t>
      </w:r>
      <w:r w:rsidRPr="00B36C1F">
        <w:rPr>
          <w:sz w:val="20"/>
        </w:rPr>
        <w:t xml:space="preserve"> extra funding to regional schools</w:t>
      </w:r>
      <w:r w:rsidR="00550017" w:rsidRPr="00B36C1F">
        <w:rPr>
          <w:sz w:val="20"/>
        </w:rPr>
        <w:t>.</w:t>
      </w:r>
    </w:p>
    <w:p w14:paraId="71607FB2" w14:textId="77777777" w:rsidR="00550017" w:rsidRPr="00292D9C" w:rsidRDefault="00550017" w:rsidP="00A616D5">
      <w:pPr>
        <w:rPr>
          <w:sz w:val="10"/>
          <w:szCs w:val="10"/>
        </w:rPr>
      </w:pPr>
    </w:p>
    <w:p w14:paraId="1E0FC06F" w14:textId="77777777" w:rsidR="002D3A22" w:rsidRPr="00292D9C" w:rsidRDefault="002D3A22" w:rsidP="00B36C1F">
      <w:pPr>
        <w:pStyle w:val="Heading1"/>
        <w:numPr>
          <w:ilvl w:val="0"/>
          <w:numId w:val="0"/>
        </w:numPr>
        <w:spacing w:before="0" w:after="120" w:line="360" w:lineRule="auto"/>
        <w:rPr>
          <w:rFonts w:asciiTheme="minorHAnsi" w:hAnsiTheme="minorHAnsi"/>
          <w:szCs w:val="22"/>
        </w:rPr>
      </w:pPr>
      <w:bookmarkStart w:id="105" w:name="_Toc21088256"/>
      <w:bookmarkStart w:id="106" w:name="_Toc23504225"/>
      <w:bookmarkStart w:id="107" w:name="_Toc25162059"/>
      <w:r w:rsidRPr="00292D9C">
        <w:rPr>
          <w:rFonts w:asciiTheme="minorHAnsi" w:hAnsiTheme="minorHAnsi"/>
          <w:b/>
          <w:color w:val="8C8686" w:themeColor="accent4"/>
          <w:sz w:val="22"/>
          <w:szCs w:val="22"/>
        </w:rPr>
        <w:t>Similar to NISA,</w:t>
      </w:r>
      <w:r w:rsidR="00A87BD6">
        <w:rPr>
          <w:rFonts w:asciiTheme="minorHAnsi" w:hAnsiTheme="minorHAnsi"/>
          <w:b/>
          <w:color w:val="8C8686" w:themeColor="accent4"/>
          <w:sz w:val="22"/>
          <w:szCs w:val="22"/>
        </w:rPr>
        <w:t xml:space="preserve"> </w:t>
      </w:r>
      <w:r w:rsidR="009D20EF">
        <w:rPr>
          <w:rFonts w:asciiTheme="minorHAnsi" w:hAnsiTheme="minorHAnsi"/>
          <w:b/>
          <w:color w:val="8C8686" w:themeColor="accent4"/>
          <w:sz w:val="22"/>
          <w:szCs w:val="22"/>
        </w:rPr>
        <w:t>reported</w:t>
      </w:r>
      <w:r w:rsidRPr="00292D9C">
        <w:rPr>
          <w:rFonts w:asciiTheme="minorHAnsi" w:hAnsiTheme="minorHAnsi"/>
          <w:b/>
          <w:color w:val="8C8686" w:themeColor="accent4"/>
          <w:sz w:val="22"/>
          <w:szCs w:val="22"/>
        </w:rPr>
        <w:t xml:space="preserve"> state and territory initiatives also focus on teachers</w:t>
      </w:r>
      <w:r w:rsidR="00550017" w:rsidRPr="00292D9C">
        <w:rPr>
          <w:rFonts w:asciiTheme="minorHAnsi" w:hAnsiTheme="minorHAnsi"/>
          <w:b/>
          <w:color w:val="8C8686" w:themeColor="accent4"/>
          <w:sz w:val="22"/>
          <w:szCs w:val="22"/>
        </w:rPr>
        <w:t>, h</w:t>
      </w:r>
      <w:r w:rsidRPr="00292D9C">
        <w:rPr>
          <w:rFonts w:asciiTheme="minorHAnsi" w:hAnsiTheme="minorHAnsi"/>
          <w:b/>
          <w:color w:val="8C8686" w:themeColor="accent4"/>
          <w:sz w:val="22"/>
          <w:szCs w:val="22"/>
        </w:rPr>
        <w:t>owever, there is a higher</w:t>
      </w:r>
      <w:r w:rsidR="00585F36" w:rsidRPr="00292D9C">
        <w:rPr>
          <w:rFonts w:asciiTheme="minorHAnsi" w:hAnsiTheme="minorHAnsi"/>
          <w:b/>
          <w:color w:val="8C8686" w:themeColor="accent4"/>
          <w:sz w:val="22"/>
          <w:szCs w:val="22"/>
        </w:rPr>
        <w:t xml:space="preserve"> </w:t>
      </w:r>
      <w:r w:rsidRPr="00292D9C">
        <w:rPr>
          <w:rFonts w:asciiTheme="minorHAnsi" w:hAnsiTheme="minorHAnsi"/>
          <w:b/>
          <w:color w:val="8C8686" w:themeColor="accent4"/>
          <w:sz w:val="22"/>
          <w:szCs w:val="22"/>
        </w:rPr>
        <w:t>proportion of initiatives targeting students only, as well as a broader range of target audiences</w:t>
      </w:r>
      <w:bookmarkEnd w:id="105"/>
      <w:bookmarkEnd w:id="106"/>
      <w:bookmarkEnd w:id="107"/>
    </w:p>
    <w:p w14:paraId="5D562409" w14:textId="77777777" w:rsidR="002D3A22" w:rsidRPr="00292D9C" w:rsidRDefault="002D3A22" w:rsidP="00A616D5">
      <w:r w:rsidRPr="00292D9C">
        <w:t>For both NISA and state and territories, most initiatives focus on teachers.</w:t>
      </w:r>
      <w:r w:rsidR="0080476A">
        <w:t xml:space="preserve"> </w:t>
      </w:r>
      <w:r w:rsidRPr="00292D9C">
        <w:t xml:space="preserve">After teachers, the next most popular focus is students. The state and territory initiatives have a higher proportion of initiatives that focus on students only, compared with NISA initiatives. In contrast to NISA, state and territory initiatives also have a broader range of target audiences, including pre-service teachers and the industry/community. </w:t>
      </w:r>
    </w:p>
    <w:p w14:paraId="4CB15292" w14:textId="77777777" w:rsidR="002D3A22" w:rsidRPr="00B36C1F" w:rsidRDefault="002D3A22" w:rsidP="00A616D5">
      <w:pPr>
        <w:pStyle w:val="CaptionFigure"/>
        <w:spacing w:before="0" w:after="120" w:line="360" w:lineRule="auto"/>
        <w:rPr>
          <w:bCs/>
        </w:rPr>
      </w:pPr>
      <w:r w:rsidRPr="00B36C1F">
        <w:rPr>
          <w:bCs/>
          <w:iCs w:val="0"/>
          <w:sz w:val="22"/>
          <w:szCs w:val="22"/>
        </w:rPr>
        <w:t xml:space="preserve">Figure </w:t>
      </w:r>
      <w:r w:rsidR="00DD2B33" w:rsidRPr="00B36C1F">
        <w:rPr>
          <w:bCs/>
          <w:iCs w:val="0"/>
          <w:sz w:val="22"/>
          <w:szCs w:val="22"/>
        </w:rPr>
        <w:t>1</w:t>
      </w:r>
      <w:r w:rsidR="00B36C1F" w:rsidRPr="00B36C1F">
        <w:rPr>
          <w:bCs/>
          <w:sz w:val="22"/>
          <w:szCs w:val="22"/>
        </w:rPr>
        <w:t>6</w:t>
      </w:r>
      <w:r w:rsidR="00951DBA" w:rsidRPr="00B36C1F">
        <w:rPr>
          <w:bCs/>
          <w:sz w:val="22"/>
          <w:szCs w:val="22"/>
        </w:rPr>
        <w:t>.</w:t>
      </w:r>
      <w:r w:rsidRPr="00B36C1F">
        <w:rPr>
          <w:bCs/>
          <w:iCs w:val="0"/>
          <w:sz w:val="22"/>
          <w:szCs w:val="22"/>
        </w:rPr>
        <w:t xml:space="preserve"> Initiatives by target participant </w:t>
      </w:r>
    </w:p>
    <w:p w14:paraId="49B99B0E" w14:textId="77777777" w:rsidR="000C27EE" w:rsidRDefault="000C27EE" w:rsidP="000C27EE">
      <w:pPr>
        <w:pStyle w:val="Heading3Normal"/>
        <w:spacing w:before="0" w:after="120"/>
        <w:jc w:val="center"/>
        <w:rPr>
          <w:rFonts w:asciiTheme="minorHAnsi" w:hAnsiTheme="minorHAnsi"/>
        </w:rPr>
      </w:pPr>
      <w:r>
        <w:rPr>
          <w:noProof/>
          <w:lang w:eastAsia="en-AU"/>
        </w:rPr>
        <w:drawing>
          <wp:inline distT="0" distB="0" distL="0" distR="0" wp14:anchorId="2B261EC8" wp14:editId="099C05C9">
            <wp:extent cx="4572000" cy="2743200"/>
            <wp:effectExtent l="0" t="0" r="0" b="0"/>
            <wp:docPr id="21" name="Chart 21" descr="Figure 16">
              <a:extLst xmlns:a="http://schemas.openxmlformats.org/drawingml/2006/main">
                <a:ext uri="{FF2B5EF4-FFF2-40B4-BE49-F238E27FC236}">
                  <a16:creationId xmlns:a16="http://schemas.microsoft.com/office/drawing/2014/main" id="{E37CB06B-4575-8C41-B864-B9BBCE6D7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7E5721" w14:textId="77777777" w:rsidR="002D3A22" w:rsidRPr="00292D9C" w:rsidRDefault="002D3A22" w:rsidP="00B36C1F">
      <w:pPr>
        <w:pStyle w:val="Heading3Normal"/>
        <w:spacing w:before="0" w:after="120"/>
        <w:rPr>
          <w:rFonts w:asciiTheme="minorHAnsi" w:hAnsiTheme="minorHAnsi"/>
        </w:rPr>
      </w:pPr>
      <w:r w:rsidRPr="00292D9C">
        <w:rPr>
          <w:rFonts w:asciiTheme="minorHAnsi" w:hAnsiTheme="minorHAnsi"/>
        </w:rPr>
        <w:t>Similar to NISA, most states focus on combined primary and secondary level initiatives</w:t>
      </w:r>
    </w:p>
    <w:p w14:paraId="39E16E2C" w14:textId="77777777" w:rsidR="002D3A22" w:rsidRPr="00292D9C" w:rsidRDefault="002D3A22" w:rsidP="00A616D5">
      <w:pPr>
        <w:jc w:val="both"/>
      </w:pPr>
      <w:r w:rsidRPr="00292D9C">
        <w:t>Around 60 percent of state and territory initiatives focus on combined primary</w:t>
      </w:r>
      <w:r w:rsidR="00550017" w:rsidRPr="00292D9C">
        <w:t xml:space="preserve"> and </w:t>
      </w:r>
      <w:r w:rsidRPr="00292D9C">
        <w:t>secondary level initiatives, although there are more initiatives focusing explicitly on secondary level (21%) as opposed to primary only (14%).</w:t>
      </w:r>
    </w:p>
    <w:p w14:paraId="184C5817" w14:textId="77777777" w:rsidR="002D3A22" w:rsidRDefault="002D3A22" w:rsidP="00A616D5">
      <w:pPr>
        <w:pStyle w:val="CaptionFigure"/>
        <w:spacing w:before="0" w:after="120" w:line="360" w:lineRule="auto"/>
        <w:rPr>
          <w:sz w:val="22"/>
          <w:szCs w:val="22"/>
        </w:rPr>
      </w:pPr>
      <w:r w:rsidRPr="00292D9C">
        <w:rPr>
          <w:sz w:val="22"/>
          <w:szCs w:val="22"/>
        </w:rPr>
        <w:t xml:space="preserve">Figure </w:t>
      </w:r>
      <w:r w:rsidR="00DD2B33" w:rsidRPr="00292D9C">
        <w:rPr>
          <w:sz w:val="22"/>
          <w:szCs w:val="22"/>
        </w:rPr>
        <w:t>1</w:t>
      </w:r>
      <w:r w:rsidR="00B36C1F">
        <w:rPr>
          <w:sz w:val="22"/>
          <w:szCs w:val="22"/>
        </w:rPr>
        <w:t>7</w:t>
      </w:r>
      <w:r w:rsidR="00951DBA" w:rsidRPr="00292D9C">
        <w:rPr>
          <w:sz w:val="22"/>
          <w:szCs w:val="22"/>
        </w:rPr>
        <w:t>.</w:t>
      </w:r>
      <w:r w:rsidRPr="00292D9C">
        <w:rPr>
          <w:sz w:val="22"/>
          <w:szCs w:val="22"/>
        </w:rPr>
        <w:t xml:space="preserve"> Initiatives by education level</w:t>
      </w:r>
    </w:p>
    <w:p w14:paraId="43DC367C" w14:textId="77777777" w:rsidR="00B831DB" w:rsidRPr="00292D9C" w:rsidRDefault="00B831DB" w:rsidP="0046510D">
      <w:pPr>
        <w:pStyle w:val="CaptionFigure"/>
        <w:spacing w:before="0" w:after="120" w:line="360" w:lineRule="auto"/>
        <w:jc w:val="center"/>
        <w:rPr>
          <w:sz w:val="22"/>
          <w:szCs w:val="22"/>
        </w:rPr>
      </w:pPr>
      <w:r>
        <w:rPr>
          <w:noProof/>
          <w:lang w:eastAsia="en-AU"/>
        </w:rPr>
        <w:drawing>
          <wp:inline distT="0" distB="0" distL="0" distR="0" wp14:anchorId="3A9A8112" wp14:editId="4E18EDA2">
            <wp:extent cx="4572000" cy="2743200"/>
            <wp:effectExtent l="0" t="0" r="0" b="0"/>
            <wp:docPr id="23" name="Chart 23" descr="Figure 17">
              <a:extLst xmlns:a="http://schemas.openxmlformats.org/drawingml/2006/main">
                <a:ext uri="{FF2B5EF4-FFF2-40B4-BE49-F238E27FC236}">
                  <a16:creationId xmlns:a16="http://schemas.microsoft.com/office/drawing/2014/main" id="{4B6CBE07-40D2-2C43-BE6A-CA165F2E1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222FB80" w14:textId="77777777" w:rsidR="002D3A22" w:rsidRPr="00292D9C" w:rsidRDefault="002D3A22" w:rsidP="00A616D5">
      <w:pPr>
        <w:jc w:val="both"/>
      </w:pPr>
    </w:p>
    <w:p w14:paraId="43175024" w14:textId="77777777" w:rsidR="0046510D" w:rsidRDefault="0046510D">
      <w:pPr>
        <w:spacing w:after="240" w:line="240" w:lineRule="auto"/>
        <w:rPr>
          <w:b/>
          <w:color w:val="8C8686" w:themeColor="accent4"/>
        </w:rPr>
      </w:pPr>
      <w:r>
        <w:br w:type="page"/>
      </w:r>
    </w:p>
    <w:p w14:paraId="706A4B9E" w14:textId="77777777" w:rsidR="002D3A22" w:rsidRPr="00292D9C" w:rsidRDefault="002D3A22" w:rsidP="00A616D5">
      <w:pPr>
        <w:pStyle w:val="Heading3Normal"/>
        <w:spacing w:before="0" w:after="120"/>
        <w:rPr>
          <w:rFonts w:asciiTheme="minorHAnsi" w:hAnsiTheme="minorHAnsi"/>
        </w:rPr>
      </w:pPr>
      <w:r w:rsidRPr="00292D9C">
        <w:rPr>
          <w:rFonts w:asciiTheme="minorHAnsi" w:hAnsiTheme="minorHAnsi"/>
        </w:rPr>
        <w:t>Most initiatives are</w:t>
      </w:r>
      <w:r w:rsidR="00550017" w:rsidRPr="00292D9C">
        <w:rPr>
          <w:rFonts w:asciiTheme="minorHAnsi" w:hAnsiTheme="minorHAnsi"/>
        </w:rPr>
        <w:t xml:space="preserve"> based</w:t>
      </w:r>
      <w:r w:rsidRPr="00292D9C">
        <w:rPr>
          <w:rFonts w:asciiTheme="minorHAnsi" w:hAnsiTheme="minorHAnsi"/>
        </w:rPr>
        <w:t xml:space="preserve"> </w:t>
      </w:r>
      <w:r w:rsidR="00550017" w:rsidRPr="00292D9C">
        <w:rPr>
          <w:rFonts w:asciiTheme="minorHAnsi" w:hAnsiTheme="minorHAnsi"/>
        </w:rPr>
        <w:t>on</w:t>
      </w:r>
      <w:r w:rsidRPr="00292D9C">
        <w:rPr>
          <w:rFonts w:asciiTheme="minorHAnsi" w:hAnsiTheme="minorHAnsi"/>
        </w:rPr>
        <w:t xml:space="preserve"> general STEM skills rather than specific subjects</w:t>
      </w:r>
    </w:p>
    <w:p w14:paraId="38E3E4BC" w14:textId="77777777" w:rsidR="002D3A22" w:rsidRPr="00292D9C" w:rsidRDefault="002D3A22" w:rsidP="00A616D5">
      <w:r w:rsidRPr="00292D9C">
        <w:t>While general STEM initiatives only make up one third of NISA initiatives, most states and territories use initiatives that take a more general approach to STEM</w:t>
      </w:r>
      <w:r w:rsidR="00253337" w:rsidRPr="00292D9C">
        <w:t>.</w:t>
      </w:r>
      <w:r w:rsidR="00932C62" w:rsidRPr="00292D9C">
        <w:rPr>
          <w:rStyle w:val="FootnoteReference"/>
        </w:rPr>
        <w:footnoteReference w:id="42"/>
      </w:r>
      <w:r w:rsidR="00932C62" w:rsidRPr="00292D9C">
        <w:t xml:space="preserve"> </w:t>
      </w:r>
      <w:r w:rsidRPr="00292D9C">
        <w:t xml:space="preserve">Both NISA and </w:t>
      </w:r>
      <w:r w:rsidR="009D20EF">
        <w:t xml:space="preserve">the reported </w:t>
      </w:r>
      <w:r w:rsidRPr="00292D9C">
        <w:t>non-NISA initiatives have roughly the same proportion of maths-focused initiatives.</w:t>
      </w:r>
      <w:r w:rsidR="007E232F" w:rsidRPr="00292D9C">
        <w:t xml:space="preserve"> </w:t>
      </w:r>
    </w:p>
    <w:p w14:paraId="19CACF59" w14:textId="77777777" w:rsidR="00D20F06" w:rsidRPr="00292D9C" w:rsidRDefault="009D20EF" w:rsidP="00A616D5">
      <w:pPr>
        <w:rPr>
          <w:rFonts w:eastAsia="Times New Roman" w:cs="Times New Roman"/>
          <w:color w:val="auto"/>
          <w:szCs w:val="22"/>
          <w:lang w:eastAsia="zh-CN"/>
        </w:rPr>
      </w:pPr>
      <w:r>
        <w:rPr>
          <w:rFonts w:eastAsia="Times New Roman" w:cs="Times New Roman"/>
          <w:color w:val="000000"/>
          <w:szCs w:val="22"/>
          <w:shd w:val="clear" w:color="auto" w:fill="FFFFFF"/>
          <w:lang w:eastAsia="zh-CN"/>
        </w:rPr>
        <w:t>I</w:t>
      </w:r>
      <w:r w:rsidR="00D20F06" w:rsidRPr="00292D9C">
        <w:rPr>
          <w:rFonts w:eastAsia="Times New Roman" w:cs="Times New Roman"/>
          <w:color w:val="000000"/>
          <w:szCs w:val="22"/>
          <w:shd w:val="clear" w:color="auto" w:fill="FFFFFF"/>
          <w:lang w:eastAsia="zh-CN"/>
        </w:rPr>
        <w:t xml:space="preserve">nitiatives which focus solely on the </w:t>
      </w:r>
      <w:r w:rsidR="00A87BD6">
        <w:rPr>
          <w:rFonts w:eastAsia="Times New Roman" w:cs="Times New Roman"/>
          <w:color w:val="000000"/>
          <w:szCs w:val="22"/>
          <w:shd w:val="clear" w:color="auto" w:fill="FFFFFF"/>
          <w:lang w:eastAsia="zh-CN"/>
        </w:rPr>
        <w:t xml:space="preserve">Digital </w:t>
      </w:r>
      <w:r w:rsidR="00D20F06" w:rsidRPr="00292D9C">
        <w:rPr>
          <w:rFonts w:eastAsia="Times New Roman" w:cs="Times New Roman"/>
          <w:color w:val="000000"/>
          <w:szCs w:val="22"/>
          <w:shd w:val="clear" w:color="auto" w:fill="FFFFFF"/>
          <w:lang w:eastAsia="zh-CN"/>
        </w:rPr>
        <w:t xml:space="preserve">Technologies curriculum area comprise 19 per cent of the </w:t>
      </w:r>
      <w:r>
        <w:rPr>
          <w:rFonts w:eastAsia="Times New Roman" w:cs="Times New Roman"/>
          <w:color w:val="000000"/>
          <w:szCs w:val="22"/>
          <w:shd w:val="clear" w:color="auto" w:fill="FFFFFF"/>
          <w:lang w:eastAsia="zh-CN"/>
        </w:rPr>
        <w:t xml:space="preserve">reported </w:t>
      </w:r>
      <w:r w:rsidR="00D20F06" w:rsidRPr="00292D9C">
        <w:rPr>
          <w:rFonts w:eastAsia="Times New Roman" w:cs="Times New Roman"/>
          <w:color w:val="000000"/>
          <w:szCs w:val="22"/>
          <w:shd w:val="clear" w:color="auto" w:fill="FFFFFF"/>
          <w:lang w:eastAsia="zh-CN"/>
        </w:rPr>
        <w:t xml:space="preserve">state and territory STEM initiatives analysed as part of this report. Their main activities are similar to the NISA-funded initiatives and include either professional learning, student mentoring or </w:t>
      </w:r>
      <w:r w:rsidR="00C5581A">
        <w:rPr>
          <w:rFonts w:eastAsia="Times New Roman" w:cs="Times New Roman"/>
          <w:color w:val="000000"/>
          <w:szCs w:val="22"/>
          <w:shd w:val="clear" w:color="auto" w:fill="FFFFFF"/>
          <w:lang w:eastAsia="zh-CN"/>
        </w:rPr>
        <w:t xml:space="preserve">teaching </w:t>
      </w:r>
      <w:r w:rsidR="00D20F06" w:rsidRPr="00292D9C">
        <w:rPr>
          <w:rFonts w:eastAsia="Times New Roman" w:cs="Times New Roman"/>
          <w:color w:val="000000"/>
          <w:szCs w:val="22"/>
          <w:shd w:val="clear" w:color="auto" w:fill="FFFFFF"/>
          <w:lang w:eastAsia="zh-CN"/>
        </w:rPr>
        <w:t xml:space="preserve">resources and all but one initiative focuses on primary and secondary school. </w:t>
      </w:r>
    </w:p>
    <w:p w14:paraId="14815503" w14:textId="77777777" w:rsidR="00E135D3" w:rsidRDefault="00D20F06" w:rsidP="00A616D5">
      <w:pPr>
        <w:rPr>
          <w:rFonts w:eastAsia="Times New Roman" w:cs="Times New Roman"/>
          <w:color w:val="auto"/>
          <w:szCs w:val="22"/>
          <w:lang w:eastAsia="zh-CN"/>
        </w:rPr>
      </w:pPr>
      <w:r w:rsidRPr="00292D9C">
        <w:rPr>
          <w:rFonts w:eastAsia="Times New Roman" w:cs="Times New Roman"/>
          <w:color w:val="000000"/>
          <w:szCs w:val="22"/>
          <w:shd w:val="clear" w:color="auto" w:fill="FFFFFF"/>
          <w:lang w:eastAsia="zh-CN"/>
        </w:rPr>
        <w:t>While all programs have slightly different features, there are similarities</w:t>
      </w:r>
      <w:r w:rsidR="009F1625">
        <w:rPr>
          <w:rFonts w:eastAsia="Times New Roman" w:cs="Times New Roman"/>
          <w:color w:val="000000"/>
          <w:szCs w:val="22"/>
          <w:shd w:val="clear" w:color="auto" w:fill="FFFFFF"/>
          <w:lang w:eastAsia="zh-CN"/>
        </w:rPr>
        <w:t xml:space="preserve"> between some of</w:t>
      </w:r>
      <w:r w:rsidRPr="00292D9C">
        <w:rPr>
          <w:rFonts w:eastAsia="Times New Roman" w:cs="Times New Roman"/>
          <w:color w:val="000000"/>
          <w:szCs w:val="22"/>
          <w:shd w:val="clear" w:color="auto" w:fill="FFFFFF"/>
          <w:lang w:eastAsia="zh-CN"/>
        </w:rPr>
        <w:t xml:space="preserve"> the state and territory programs and </w:t>
      </w:r>
      <w:r w:rsidR="009F1625">
        <w:rPr>
          <w:rFonts w:eastAsia="Times New Roman" w:cs="Times New Roman"/>
          <w:color w:val="000000"/>
          <w:szCs w:val="22"/>
          <w:shd w:val="clear" w:color="auto" w:fill="FFFFFF"/>
          <w:lang w:eastAsia="zh-CN"/>
        </w:rPr>
        <w:t xml:space="preserve">the </w:t>
      </w:r>
      <w:r w:rsidRPr="00292D9C">
        <w:rPr>
          <w:rFonts w:eastAsia="Times New Roman" w:cs="Times New Roman"/>
          <w:color w:val="000000"/>
          <w:szCs w:val="22"/>
          <w:shd w:val="clear" w:color="auto" w:fill="FFFFFF"/>
          <w:lang w:eastAsia="zh-CN"/>
        </w:rPr>
        <w:t xml:space="preserve">NISA-funded programs. For example, two state and territory programs provide technology such as robots to schools to support programs and the implementation of curriculum. The NISA-funded Digital Technologies </w:t>
      </w:r>
      <w:r w:rsidR="005F7200">
        <w:rPr>
          <w:rFonts w:eastAsia="Times New Roman" w:cs="Times New Roman"/>
          <w:color w:val="000000"/>
          <w:szCs w:val="22"/>
          <w:shd w:val="clear" w:color="auto" w:fill="FFFFFF"/>
          <w:lang w:eastAsia="zh-CN"/>
        </w:rPr>
        <w:t xml:space="preserve">Massive </w:t>
      </w:r>
      <w:r w:rsidRPr="00292D9C">
        <w:rPr>
          <w:rFonts w:eastAsia="Times New Roman" w:cs="Times New Roman"/>
          <w:color w:val="000000"/>
          <w:szCs w:val="22"/>
          <w:shd w:val="clear" w:color="auto" w:fill="FFFFFF"/>
          <w:lang w:eastAsia="zh-CN"/>
        </w:rPr>
        <w:t xml:space="preserve">Open Online Courses also provides technology to schools. Three state and territory programs are similar to the NISA-funded </w:t>
      </w:r>
      <w:r w:rsidR="00E135D3">
        <w:rPr>
          <w:rFonts w:eastAsia="Times New Roman" w:cs="Times New Roman"/>
          <w:color w:val="000000"/>
          <w:szCs w:val="22"/>
          <w:shd w:val="clear" w:color="auto" w:fill="FFFFFF"/>
          <w:lang w:eastAsia="zh-CN"/>
        </w:rPr>
        <w:t xml:space="preserve">Digital Technologies initiatives, for example, </w:t>
      </w:r>
      <w:r w:rsidRPr="00292D9C">
        <w:rPr>
          <w:rFonts w:eastAsia="Times New Roman" w:cs="Times New Roman"/>
          <w:color w:val="000000"/>
          <w:szCs w:val="22"/>
          <w:shd w:val="clear" w:color="auto" w:fill="FFFFFF"/>
          <w:lang w:eastAsia="zh-CN"/>
        </w:rPr>
        <w:t>Digital Technologies in Focus, in that they aim to build teacher capacity to implement the Digital Technologies area of the curriculum. Given the similarities there may be opportunities for collaboration between the state and territory initiatives and NISA funded programs. </w:t>
      </w:r>
    </w:p>
    <w:p w14:paraId="40A71919" w14:textId="77777777" w:rsidR="002D3A22" w:rsidRPr="00E135D3" w:rsidRDefault="002D3A22" w:rsidP="00A616D5">
      <w:pPr>
        <w:rPr>
          <w:rFonts w:eastAsia="Times New Roman" w:cs="Times New Roman"/>
          <w:color w:val="auto"/>
          <w:szCs w:val="22"/>
          <w:lang w:eastAsia="zh-CN"/>
        </w:rPr>
      </w:pPr>
      <w:r w:rsidRPr="00292D9C">
        <w:rPr>
          <w:b/>
          <w:bCs/>
          <w:szCs w:val="22"/>
        </w:rPr>
        <w:t xml:space="preserve">Figure </w:t>
      </w:r>
      <w:r w:rsidR="00B36C1F">
        <w:rPr>
          <w:b/>
          <w:bCs/>
          <w:szCs w:val="22"/>
        </w:rPr>
        <w:t>18</w:t>
      </w:r>
      <w:r w:rsidR="00951DBA" w:rsidRPr="00292D9C">
        <w:rPr>
          <w:b/>
          <w:bCs/>
          <w:szCs w:val="22"/>
        </w:rPr>
        <w:t xml:space="preserve">. </w:t>
      </w:r>
      <w:r w:rsidRPr="00292D9C">
        <w:rPr>
          <w:b/>
          <w:bCs/>
          <w:szCs w:val="22"/>
        </w:rPr>
        <w:t>Initiatives by curriculum area</w:t>
      </w:r>
      <w:r w:rsidR="00EE684B">
        <w:rPr>
          <w:rStyle w:val="FootnoteReference"/>
          <w:b w:val="0"/>
          <w:bCs/>
          <w:szCs w:val="22"/>
        </w:rPr>
        <w:footnoteReference w:id="43"/>
      </w:r>
      <w:r w:rsidRPr="00292D9C">
        <w:rPr>
          <w:szCs w:val="22"/>
        </w:rPr>
        <w:t xml:space="preserve"> </w:t>
      </w:r>
      <w:r w:rsidR="00E135D3">
        <w:rPr>
          <w:noProof/>
          <w:lang w:eastAsia="en-AU"/>
        </w:rPr>
        <w:drawing>
          <wp:inline distT="0" distB="0" distL="0" distR="0" wp14:anchorId="10DA5C5E" wp14:editId="049BDC3D">
            <wp:extent cx="4572000" cy="2743200"/>
            <wp:effectExtent l="0" t="0" r="0" b="0"/>
            <wp:docPr id="29" name="Chart 29" descr="Figure 18">
              <a:extLst xmlns:a="http://schemas.openxmlformats.org/drawingml/2006/main">
                <a:ext uri="{FF2B5EF4-FFF2-40B4-BE49-F238E27FC236}">
                  <a16:creationId xmlns:a16="http://schemas.microsoft.com/office/drawing/2014/main" id="{43A26AB6-73EC-0E4D-9FD0-B8908FAA9F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7AB915" w14:textId="77777777" w:rsidR="002D3A22" w:rsidRPr="00292D9C" w:rsidRDefault="002D3A22" w:rsidP="00EE684B">
      <w:pPr>
        <w:jc w:val="center"/>
      </w:pPr>
    </w:p>
    <w:p w14:paraId="301B5523" w14:textId="77777777" w:rsidR="00E135D3" w:rsidRDefault="00E135D3">
      <w:pPr>
        <w:spacing w:after="240" w:line="240" w:lineRule="auto"/>
        <w:rPr>
          <w:rFonts w:cs="Century Gothic"/>
          <w:color w:val="931B2F" w:themeColor="background2"/>
          <w:sz w:val="54"/>
        </w:rPr>
      </w:pPr>
      <w:r>
        <w:br w:type="page"/>
      </w:r>
    </w:p>
    <w:p w14:paraId="239DF8E2" w14:textId="77777777" w:rsidR="000E6D73" w:rsidRPr="00292D9C" w:rsidRDefault="00F02DA2" w:rsidP="00A616D5">
      <w:pPr>
        <w:pStyle w:val="Heading1"/>
        <w:spacing w:before="0" w:after="120" w:line="360" w:lineRule="auto"/>
        <w:rPr>
          <w:rFonts w:asciiTheme="minorHAnsi" w:hAnsiTheme="minorHAnsi"/>
        </w:rPr>
      </w:pPr>
      <w:bookmarkStart w:id="108" w:name="_Toc25162060"/>
      <w:r w:rsidRPr="00292D9C">
        <w:rPr>
          <w:rFonts w:asciiTheme="minorHAnsi" w:hAnsiTheme="minorHAnsi"/>
        </w:rPr>
        <w:t>Towards a forward strategy for investment in STEM education</w:t>
      </w:r>
      <w:bookmarkEnd w:id="108"/>
      <w:r w:rsidRPr="00292D9C">
        <w:rPr>
          <w:rFonts w:asciiTheme="minorHAnsi" w:hAnsiTheme="minorHAnsi"/>
        </w:rPr>
        <w:t xml:space="preserve"> </w:t>
      </w:r>
    </w:p>
    <w:p w14:paraId="7E61AF6B" w14:textId="77777777" w:rsidR="001B41E8" w:rsidRPr="00292D9C" w:rsidRDefault="001B41E8" w:rsidP="00A616D5">
      <w:pPr>
        <w:ind w:left="360" w:hanging="360"/>
      </w:pPr>
      <w:r w:rsidRPr="00292D9C">
        <w:t xml:space="preserve">In thinking about the future strategy for investment in STEM education, we know that there are: </w:t>
      </w:r>
    </w:p>
    <w:p w14:paraId="04939A5B" w14:textId="77777777" w:rsidR="001B41E8" w:rsidRDefault="001B41E8" w:rsidP="00164DDE">
      <w:pPr>
        <w:pStyle w:val="ListParagraph"/>
        <w:numPr>
          <w:ilvl w:val="0"/>
          <w:numId w:val="150"/>
        </w:numPr>
      </w:pPr>
      <w:r w:rsidRPr="00292D9C">
        <w:t xml:space="preserve">Major themes from this evaluation that identify gaps and opportunities for future focus – see Section </w:t>
      </w:r>
      <w:r w:rsidR="00332210">
        <w:t>3</w:t>
      </w:r>
      <w:r w:rsidRPr="00292D9C">
        <w:t>.</w:t>
      </w:r>
    </w:p>
    <w:p w14:paraId="2D95398D" w14:textId="77777777" w:rsidR="00332210" w:rsidRPr="00292D9C" w:rsidRDefault="00332210" w:rsidP="00164DDE">
      <w:pPr>
        <w:pStyle w:val="ListParagraph"/>
        <w:numPr>
          <w:ilvl w:val="0"/>
          <w:numId w:val="150"/>
        </w:numPr>
      </w:pPr>
      <w:r w:rsidRPr="00292D9C">
        <w:t>Changes in the education policy environment that have implications – see Section</w:t>
      </w:r>
      <w:r>
        <w:t xml:space="preserve"> 4.</w:t>
      </w:r>
    </w:p>
    <w:p w14:paraId="50CD9B4E" w14:textId="77777777" w:rsidR="001B41E8" w:rsidRPr="00292D9C" w:rsidRDefault="001B41E8" w:rsidP="00A616D5">
      <w:r w:rsidRPr="00292D9C">
        <w:t xml:space="preserve">In order to understand where the </w:t>
      </w:r>
      <w:r w:rsidR="0069106A">
        <w:t>Australian Government</w:t>
      </w:r>
      <w:r w:rsidR="0069106A" w:rsidRPr="00292D9C">
        <w:t xml:space="preserve"> </w:t>
      </w:r>
      <w:r w:rsidRPr="00292D9C">
        <w:t>should place future emphasis for STEM education, we followed several steps outlined in the image below.</w:t>
      </w:r>
    </w:p>
    <w:p w14:paraId="7ACBEB4E" w14:textId="77777777" w:rsidR="001B41E8" w:rsidRPr="00B36C1F" w:rsidRDefault="001B41E8" w:rsidP="00A616D5">
      <w:pPr>
        <w:rPr>
          <w:b/>
          <w:bCs/>
          <w:szCs w:val="22"/>
        </w:rPr>
      </w:pPr>
      <w:r w:rsidRPr="00B36C1F">
        <w:rPr>
          <w:b/>
          <w:bCs/>
          <w:szCs w:val="22"/>
        </w:rPr>
        <w:t xml:space="preserve">Figure </w:t>
      </w:r>
      <w:r w:rsidR="00B36C1F" w:rsidRPr="00B36C1F">
        <w:rPr>
          <w:b/>
          <w:bCs/>
          <w:szCs w:val="22"/>
        </w:rPr>
        <w:t>19</w:t>
      </w:r>
      <w:r w:rsidRPr="00B36C1F">
        <w:rPr>
          <w:b/>
          <w:bCs/>
          <w:szCs w:val="22"/>
        </w:rPr>
        <w:t>: Process to develop recommendations for a forward strategy</w:t>
      </w:r>
      <w:r w:rsidR="0080476A">
        <w:rPr>
          <w:b/>
          <w:bCs/>
          <w:szCs w:val="22"/>
        </w:rPr>
        <w:t xml:space="preserve"> </w:t>
      </w:r>
    </w:p>
    <w:tbl>
      <w:tblPr>
        <w:tblStyle w:val="TableGrid"/>
        <w:tblW w:w="9918" w:type="dxa"/>
        <w:tblLook w:val="04A0" w:firstRow="1" w:lastRow="0" w:firstColumn="1" w:lastColumn="0" w:noHBand="0" w:noVBand="1"/>
      </w:tblPr>
      <w:tblGrid>
        <w:gridCol w:w="2689"/>
        <w:gridCol w:w="3260"/>
        <w:gridCol w:w="1984"/>
        <w:gridCol w:w="1985"/>
      </w:tblGrid>
      <w:tr w:rsidR="004B1649" w:rsidRPr="00AD3059" w14:paraId="2818B8EA" w14:textId="77777777" w:rsidTr="00112E70">
        <w:trPr>
          <w:trHeight w:val="355"/>
        </w:trPr>
        <w:tc>
          <w:tcPr>
            <w:tcW w:w="2689" w:type="dxa"/>
            <w:tcBorders>
              <w:top w:val="single" w:sz="4" w:space="0" w:color="FFFFFF"/>
              <w:left w:val="single" w:sz="4" w:space="0" w:color="FFFFFF"/>
              <w:right w:val="single" w:sz="4" w:space="0" w:color="FFFFFF"/>
            </w:tcBorders>
            <w:shd w:val="clear" w:color="auto" w:fill="FFFFFF" w:themeFill="background1"/>
            <w:vAlign w:val="center"/>
          </w:tcPr>
          <w:p w14:paraId="7C0F05B8" w14:textId="77777777" w:rsidR="004B1649" w:rsidRPr="0080048A" w:rsidRDefault="004B1649" w:rsidP="00112E70">
            <w:pPr>
              <w:jc w:val="center"/>
              <w:rPr>
                <w:b/>
                <w:bCs/>
                <w:color w:val="4D4D4D" w:themeColor="text2"/>
                <w:szCs w:val="22"/>
              </w:rPr>
            </w:pPr>
            <w:r w:rsidRPr="0080048A">
              <w:rPr>
                <w:b/>
                <w:bCs/>
                <w:color w:val="4D4D4D" w:themeColor="text2"/>
                <w:szCs w:val="22"/>
              </w:rPr>
              <w:t>Step 1.</w:t>
            </w:r>
          </w:p>
        </w:tc>
        <w:tc>
          <w:tcPr>
            <w:tcW w:w="3260" w:type="dxa"/>
            <w:tcBorders>
              <w:top w:val="single" w:sz="4" w:space="0" w:color="FFFFFF"/>
              <w:left w:val="single" w:sz="4" w:space="0" w:color="FFFFFF"/>
              <w:right w:val="single" w:sz="4" w:space="0" w:color="FFFFFF"/>
            </w:tcBorders>
            <w:shd w:val="clear" w:color="auto" w:fill="FFFFFF" w:themeFill="background1"/>
            <w:vAlign w:val="center"/>
          </w:tcPr>
          <w:p w14:paraId="675B63BF" w14:textId="77777777" w:rsidR="004B1649" w:rsidRPr="0080048A" w:rsidRDefault="004B1649" w:rsidP="00112E70">
            <w:pPr>
              <w:jc w:val="center"/>
              <w:rPr>
                <w:b/>
                <w:bCs/>
                <w:color w:val="4D4D4D" w:themeColor="text2"/>
                <w:szCs w:val="22"/>
              </w:rPr>
            </w:pPr>
            <w:r w:rsidRPr="0080048A">
              <w:rPr>
                <w:b/>
                <w:bCs/>
                <w:color w:val="4D4D4D" w:themeColor="text2"/>
                <w:szCs w:val="22"/>
              </w:rPr>
              <w:t>Step 2.</w:t>
            </w:r>
          </w:p>
        </w:tc>
        <w:tc>
          <w:tcPr>
            <w:tcW w:w="1984" w:type="dxa"/>
            <w:tcBorders>
              <w:top w:val="single" w:sz="4" w:space="0" w:color="FFFFFF"/>
              <w:left w:val="single" w:sz="4" w:space="0" w:color="FFFFFF"/>
              <w:right w:val="single" w:sz="4" w:space="0" w:color="FFFFFF"/>
            </w:tcBorders>
            <w:shd w:val="clear" w:color="auto" w:fill="FFFFFF" w:themeFill="background1"/>
            <w:vAlign w:val="center"/>
          </w:tcPr>
          <w:p w14:paraId="380E72A0" w14:textId="77777777" w:rsidR="004B1649" w:rsidRPr="0080048A" w:rsidRDefault="004B1649" w:rsidP="00112E70">
            <w:pPr>
              <w:jc w:val="center"/>
              <w:rPr>
                <w:b/>
                <w:bCs/>
                <w:color w:val="4D4D4D" w:themeColor="text2"/>
                <w:szCs w:val="22"/>
              </w:rPr>
            </w:pPr>
            <w:r w:rsidRPr="0080048A">
              <w:rPr>
                <w:b/>
                <w:bCs/>
                <w:color w:val="4D4D4D" w:themeColor="text2"/>
                <w:szCs w:val="22"/>
              </w:rPr>
              <w:t>Step 3.</w:t>
            </w:r>
          </w:p>
        </w:tc>
        <w:tc>
          <w:tcPr>
            <w:tcW w:w="1985" w:type="dxa"/>
            <w:tcBorders>
              <w:top w:val="single" w:sz="4" w:space="0" w:color="FFFFFF"/>
              <w:left w:val="single" w:sz="4" w:space="0" w:color="FFFFFF"/>
              <w:right w:val="single" w:sz="4" w:space="0" w:color="FFFFFF"/>
            </w:tcBorders>
            <w:shd w:val="clear" w:color="auto" w:fill="FFFFFF" w:themeFill="background1"/>
            <w:vAlign w:val="center"/>
          </w:tcPr>
          <w:p w14:paraId="1D502E9B" w14:textId="77777777" w:rsidR="004B1649" w:rsidRPr="0080048A" w:rsidRDefault="004B1649" w:rsidP="00112E70">
            <w:pPr>
              <w:jc w:val="center"/>
              <w:rPr>
                <w:b/>
                <w:bCs/>
                <w:color w:val="4D4D4D" w:themeColor="text2"/>
                <w:szCs w:val="22"/>
              </w:rPr>
            </w:pPr>
            <w:r w:rsidRPr="0080048A">
              <w:rPr>
                <w:b/>
                <w:bCs/>
                <w:color w:val="4D4D4D" w:themeColor="text2"/>
                <w:szCs w:val="22"/>
              </w:rPr>
              <w:t>Step 4.</w:t>
            </w:r>
          </w:p>
        </w:tc>
      </w:tr>
      <w:tr w:rsidR="004B1649" w:rsidRPr="007B0CC1" w14:paraId="6219D3ED" w14:textId="77777777" w:rsidTr="00112E70">
        <w:trPr>
          <w:trHeight w:val="1904"/>
        </w:trPr>
        <w:tc>
          <w:tcPr>
            <w:tcW w:w="2689" w:type="dxa"/>
          </w:tcPr>
          <w:p w14:paraId="577AC338" w14:textId="77777777" w:rsidR="004B1649" w:rsidRPr="001C3909" w:rsidRDefault="004B1649" w:rsidP="00112E70">
            <w:pPr>
              <w:rPr>
                <w:sz w:val="20"/>
              </w:rPr>
            </w:pPr>
            <w:r w:rsidRPr="001C3909">
              <w:rPr>
                <w:sz w:val="20"/>
              </w:rPr>
              <w:t>Consider potential roles as:</w:t>
            </w:r>
          </w:p>
          <w:p w14:paraId="1BA02FDC" w14:textId="77777777" w:rsidR="004B1649" w:rsidRDefault="004B1649" w:rsidP="00164DDE">
            <w:pPr>
              <w:pStyle w:val="ListParagraph"/>
              <w:numPr>
                <w:ilvl w:val="0"/>
                <w:numId w:val="181"/>
              </w:numPr>
              <w:spacing w:after="0" w:line="240" w:lineRule="auto"/>
              <w:rPr>
                <w:sz w:val="20"/>
              </w:rPr>
            </w:pPr>
            <w:r>
              <w:rPr>
                <w:sz w:val="20"/>
              </w:rPr>
              <w:t>Celebrator / promoter</w:t>
            </w:r>
          </w:p>
          <w:p w14:paraId="6B58CFB4" w14:textId="77777777" w:rsidR="004B1649" w:rsidRPr="001C3909" w:rsidRDefault="004B1649" w:rsidP="00164DDE">
            <w:pPr>
              <w:pStyle w:val="ListParagraph"/>
              <w:numPr>
                <w:ilvl w:val="0"/>
                <w:numId w:val="181"/>
              </w:numPr>
              <w:spacing w:after="0" w:line="240" w:lineRule="auto"/>
              <w:rPr>
                <w:sz w:val="20"/>
              </w:rPr>
            </w:pPr>
            <w:r w:rsidRPr="001C3909">
              <w:rPr>
                <w:sz w:val="20"/>
              </w:rPr>
              <w:t>Coordinator / linker</w:t>
            </w:r>
          </w:p>
          <w:p w14:paraId="492522DA" w14:textId="77777777" w:rsidR="004B1649" w:rsidRPr="001C3909" w:rsidRDefault="004B1649" w:rsidP="00164DDE">
            <w:pPr>
              <w:pStyle w:val="ListParagraph"/>
              <w:numPr>
                <w:ilvl w:val="0"/>
                <w:numId w:val="179"/>
              </w:numPr>
              <w:spacing w:after="0" w:line="240" w:lineRule="auto"/>
              <w:rPr>
                <w:sz w:val="20"/>
              </w:rPr>
            </w:pPr>
            <w:r w:rsidRPr="001C3909">
              <w:rPr>
                <w:sz w:val="20"/>
              </w:rPr>
              <w:t>Evaluator</w:t>
            </w:r>
          </w:p>
          <w:p w14:paraId="30B6E5C7" w14:textId="77777777" w:rsidR="004B1649" w:rsidRPr="001C3909" w:rsidRDefault="004B1649" w:rsidP="00164DDE">
            <w:pPr>
              <w:pStyle w:val="ListParagraph"/>
              <w:numPr>
                <w:ilvl w:val="0"/>
                <w:numId w:val="179"/>
              </w:numPr>
              <w:spacing w:after="0" w:line="240" w:lineRule="auto"/>
              <w:rPr>
                <w:sz w:val="20"/>
              </w:rPr>
            </w:pPr>
            <w:r w:rsidRPr="001C3909">
              <w:rPr>
                <w:sz w:val="20"/>
              </w:rPr>
              <w:t>Incubator</w:t>
            </w:r>
          </w:p>
          <w:p w14:paraId="7399E24D" w14:textId="77777777" w:rsidR="004B1649" w:rsidRPr="001C3909" w:rsidRDefault="004B1649" w:rsidP="00164DDE">
            <w:pPr>
              <w:pStyle w:val="ListParagraph"/>
              <w:numPr>
                <w:ilvl w:val="0"/>
                <w:numId w:val="179"/>
              </w:numPr>
              <w:spacing w:after="0" w:line="240" w:lineRule="auto"/>
              <w:rPr>
                <w:sz w:val="20"/>
              </w:rPr>
            </w:pPr>
            <w:r w:rsidRPr="001C3909">
              <w:rPr>
                <w:sz w:val="20"/>
              </w:rPr>
              <w:t>Capacity builder</w:t>
            </w:r>
          </w:p>
          <w:p w14:paraId="718B8A19" w14:textId="77777777" w:rsidR="004B1649" w:rsidRPr="001C3909" w:rsidRDefault="004B1649" w:rsidP="00164DDE">
            <w:pPr>
              <w:pStyle w:val="ListParagraph"/>
              <w:numPr>
                <w:ilvl w:val="0"/>
                <w:numId w:val="179"/>
              </w:numPr>
              <w:spacing w:after="0" w:line="240" w:lineRule="auto"/>
              <w:rPr>
                <w:b/>
                <w:bCs/>
                <w:sz w:val="20"/>
              </w:rPr>
            </w:pPr>
            <w:r w:rsidRPr="001C3909">
              <w:rPr>
                <w:sz w:val="20"/>
              </w:rPr>
              <w:t>Scaler / accelerator</w:t>
            </w:r>
          </w:p>
        </w:tc>
        <w:tc>
          <w:tcPr>
            <w:tcW w:w="3260" w:type="dxa"/>
            <w:shd w:val="clear" w:color="auto" w:fill="931B2F" w:themeFill="accent1"/>
          </w:tcPr>
          <w:p w14:paraId="113DD11A" w14:textId="77777777" w:rsidR="004B1649" w:rsidRPr="001C3909" w:rsidRDefault="004B1649" w:rsidP="00112E70">
            <w:pPr>
              <w:rPr>
                <w:color w:val="FFFFFF" w:themeColor="background1"/>
                <w:sz w:val="20"/>
              </w:rPr>
            </w:pPr>
            <w:r w:rsidRPr="001C3909">
              <w:rPr>
                <w:color w:val="FFFFFF" w:themeColor="background1"/>
                <w:sz w:val="20"/>
              </w:rPr>
              <w:t>Assess potential roles against criteria listed below:</w:t>
            </w:r>
          </w:p>
          <w:p w14:paraId="0B8B9B34" w14:textId="77777777" w:rsidR="004B1649" w:rsidRPr="001C3909" w:rsidRDefault="004B1649" w:rsidP="00164DDE">
            <w:pPr>
              <w:pStyle w:val="ListParagraph"/>
              <w:numPr>
                <w:ilvl w:val="0"/>
                <w:numId w:val="179"/>
              </w:numPr>
              <w:spacing w:after="0" w:line="240" w:lineRule="auto"/>
              <w:rPr>
                <w:color w:val="FFFFFF" w:themeColor="background1"/>
                <w:sz w:val="20"/>
              </w:rPr>
            </w:pPr>
            <w:r w:rsidRPr="001C3909">
              <w:rPr>
                <w:color w:val="FFFFFF" w:themeColor="background1"/>
                <w:sz w:val="20"/>
              </w:rPr>
              <w:t>Fill gaps</w:t>
            </w:r>
          </w:p>
          <w:p w14:paraId="05CDDBAE" w14:textId="77777777" w:rsidR="004B1649" w:rsidRPr="001C3909" w:rsidRDefault="004B1649" w:rsidP="00164DDE">
            <w:pPr>
              <w:pStyle w:val="ListParagraph"/>
              <w:numPr>
                <w:ilvl w:val="0"/>
                <w:numId w:val="180"/>
              </w:numPr>
              <w:spacing w:after="0" w:line="240" w:lineRule="auto"/>
              <w:rPr>
                <w:color w:val="FFFFFF" w:themeColor="background1"/>
                <w:sz w:val="20"/>
              </w:rPr>
            </w:pPr>
            <w:r w:rsidRPr="001C3909">
              <w:rPr>
                <w:color w:val="FFFFFF" w:themeColor="background1"/>
                <w:sz w:val="20"/>
              </w:rPr>
              <w:t>Align with policy</w:t>
            </w:r>
          </w:p>
          <w:p w14:paraId="4571681E" w14:textId="77777777" w:rsidR="004B1649" w:rsidRPr="001C3909" w:rsidRDefault="004B1649" w:rsidP="00164DDE">
            <w:pPr>
              <w:pStyle w:val="ListParagraph"/>
              <w:numPr>
                <w:ilvl w:val="0"/>
                <w:numId w:val="180"/>
              </w:numPr>
              <w:spacing w:after="0" w:line="240" w:lineRule="auto"/>
              <w:rPr>
                <w:color w:val="FFFFFF" w:themeColor="background1"/>
                <w:sz w:val="20"/>
              </w:rPr>
            </w:pPr>
            <w:r w:rsidRPr="001C3909">
              <w:rPr>
                <w:color w:val="FFFFFF" w:themeColor="background1"/>
                <w:sz w:val="20"/>
              </w:rPr>
              <w:t>Ability to deliver</w:t>
            </w:r>
          </w:p>
          <w:p w14:paraId="2AB432CC" w14:textId="77777777" w:rsidR="004B1649" w:rsidRPr="001C3909" w:rsidRDefault="004B1649" w:rsidP="00164DDE">
            <w:pPr>
              <w:pStyle w:val="ListParagraph"/>
              <w:numPr>
                <w:ilvl w:val="0"/>
                <w:numId w:val="180"/>
              </w:numPr>
              <w:spacing w:after="0" w:line="240" w:lineRule="auto"/>
              <w:rPr>
                <w:color w:val="FFFFFF" w:themeColor="background1"/>
                <w:sz w:val="20"/>
              </w:rPr>
            </w:pPr>
            <w:r w:rsidRPr="001C3909">
              <w:rPr>
                <w:color w:val="FFFFFF" w:themeColor="background1"/>
                <w:sz w:val="20"/>
              </w:rPr>
              <w:t>Value for money</w:t>
            </w:r>
          </w:p>
          <w:p w14:paraId="5E0D852A" w14:textId="77777777" w:rsidR="004B1649" w:rsidRPr="001C3909" w:rsidRDefault="004B1649" w:rsidP="00164DDE">
            <w:pPr>
              <w:pStyle w:val="ListParagraph"/>
              <w:numPr>
                <w:ilvl w:val="0"/>
                <w:numId w:val="180"/>
              </w:numPr>
              <w:spacing w:after="0" w:line="240" w:lineRule="auto"/>
              <w:rPr>
                <w:b/>
                <w:bCs/>
                <w:color w:val="FFFFFF" w:themeColor="background1"/>
                <w:sz w:val="20"/>
              </w:rPr>
            </w:pPr>
            <w:r w:rsidRPr="001C3909">
              <w:rPr>
                <w:color w:val="FFFFFF" w:themeColor="background1"/>
                <w:sz w:val="20"/>
              </w:rPr>
              <w:t>Findings from NISA evaluation</w:t>
            </w:r>
          </w:p>
        </w:tc>
        <w:tc>
          <w:tcPr>
            <w:tcW w:w="1984" w:type="dxa"/>
            <w:vAlign w:val="center"/>
          </w:tcPr>
          <w:p w14:paraId="47BA79EB" w14:textId="77777777" w:rsidR="004B1649" w:rsidRPr="00FE1949" w:rsidRDefault="004B1649" w:rsidP="00112E70">
            <w:pPr>
              <w:jc w:val="center"/>
              <w:rPr>
                <w:b/>
                <w:bCs/>
                <w:sz w:val="20"/>
              </w:rPr>
            </w:pPr>
            <w:r w:rsidRPr="00FE1949">
              <w:rPr>
                <w:i/>
                <w:iCs/>
                <w:sz w:val="20"/>
              </w:rPr>
              <w:t>Check against best practice principles</w:t>
            </w:r>
          </w:p>
        </w:tc>
        <w:tc>
          <w:tcPr>
            <w:tcW w:w="1985" w:type="dxa"/>
            <w:shd w:val="clear" w:color="auto" w:fill="F4C6CD" w:themeFill="accent1" w:themeFillTint="33"/>
            <w:vAlign w:val="center"/>
          </w:tcPr>
          <w:p w14:paraId="57E40828" w14:textId="77777777" w:rsidR="004B1649" w:rsidRPr="00FE1949" w:rsidRDefault="004B1649" w:rsidP="00112E70">
            <w:pPr>
              <w:jc w:val="center"/>
              <w:rPr>
                <w:sz w:val="20"/>
              </w:rPr>
            </w:pPr>
            <w:r w:rsidRPr="00FE1949">
              <w:rPr>
                <w:sz w:val="20"/>
              </w:rPr>
              <w:t>Recommendations for a forward strategy</w:t>
            </w:r>
          </w:p>
        </w:tc>
      </w:tr>
    </w:tbl>
    <w:p w14:paraId="13E40C6F" w14:textId="77777777" w:rsidR="001B41E8" w:rsidRPr="00292D9C" w:rsidRDefault="001B41E8" w:rsidP="00A616D5"/>
    <w:p w14:paraId="2EBDAFEE" w14:textId="77777777" w:rsidR="001B41E8" w:rsidRPr="00292D9C" w:rsidRDefault="001B41E8" w:rsidP="00A616D5">
      <w:r w:rsidRPr="00292D9C">
        <w:t xml:space="preserve">This process focused on answering two key questions: </w:t>
      </w:r>
    </w:p>
    <w:p w14:paraId="3E12FA61" w14:textId="77777777" w:rsidR="001B41E8" w:rsidRPr="00292D9C" w:rsidRDefault="001B41E8" w:rsidP="00164DDE">
      <w:pPr>
        <w:pStyle w:val="ListParagraph"/>
        <w:numPr>
          <w:ilvl w:val="0"/>
          <w:numId w:val="149"/>
        </w:numPr>
        <w:rPr>
          <w:b/>
          <w:bCs/>
        </w:rPr>
      </w:pPr>
      <w:r w:rsidRPr="00292D9C">
        <w:rPr>
          <w:b/>
          <w:bCs/>
        </w:rPr>
        <w:t xml:space="preserve">What should the role of the </w:t>
      </w:r>
      <w:r w:rsidR="0069106A">
        <w:rPr>
          <w:b/>
          <w:bCs/>
        </w:rPr>
        <w:t xml:space="preserve">Australian Government </w:t>
      </w:r>
      <w:r w:rsidRPr="00292D9C">
        <w:rPr>
          <w:b/>
          <w:bCs/>
        </w:rPr>
        <w:t xml:space="preserve">be in STEM education? </w:t>
      </w:r>
      <w:r w:rsidRPr="00292D9C">
        <w:t xml:space="preserve">This involved looking at potential roles for the </w:t>
      </w:r>
      <w:r w:rsidR="0069106A">
        <w:t>Government</w:t>
      </w:r>
      <w:r w:rsidRPr="00292D9C">
        <w:t>, and assessing each against a set of criteria.</w:t>
      </w:r>
    </w:p>
    <w:p w14:paraId="791C2890" w14:textId="77777777" w:rsidR="001B41E8" w:rsidRPr="00292D9C" w:rsidRDefault="001B41E8" w:rsidP="00164DDE">
      <w:pPr>
        <w:pStyle w:val="ListParagraph"/>
        <w:numPr>
          <w:ilvl w:val="0"/>
          <w:numId w:val="149"/>
        </w:numPr>
        <w:rPr>
          <w:b/>
          <w:bCs/>
        </w:rPr>
      </w:pPr>
      <w:r w:rsidRPr="00292D9C">
        <w:rPr>
          <w:b/>
          <w:bCs/>
        </w:rPr>
        <w:t xml:space="preserve">Where should the </w:t>
      </w:r>
      <w:r w:rsidR="0069106A">
        <w:rPr>
          <w:b/>
          <w:bCs/>
        </w:rPr>
        <w:t>Government</w:t>
      </w:r>
      <w:r w:rsidR="0069106A" w:rsidRPr="00292D9C">
        <w:rPr>
          <w:b/>
          <w:bCs/>
        </w:rPr>
        <w:t xml:space="preserve"> </w:t>
      </w:r>
      <w:r w:rsidRPr="00292D9C">
        <w:rPr>
          <w:b/>
          <w:bCs/>
        </w:rPr>
        <w:t xml:space="preserve">place its focus? </w:t>
      </w:r>
      <w:r w:rsidRPr="00292D9C">
        <w:t xml:space="preserve">This involved triangulating major findings from this evaluation to understand gaps and opportunities for the </w:t>
      </w:r>
      <w:r w:rsidR="0069106A">
        <w:t>Government</w:t>
      </w:r>
      <w:r w:rsidRPr="00292D9C">
        <w:t xml:space="preserve"> </w:t>
      </w:r>
    </w:p>
    <w:p w14:paraId="484D0789" w14:textId="77777777" w:rsidR="001B41E8" w:rsidRPr="00292D9C" w:rsidRDefault="001B41E8" w:rsidP="00A616D5">
      <w:r w:rsidRPr="00292D9C">
        <w:t xml:space="preserve">We also used generic best practice principles for service delivery (e.g. avoid duplication) to consider the viability of our proposed suggestions. </w:t>
      </w:r>
    </w:p>
    <w:p w14:paraId="4E26E9E9" w14:textId="77777777" w:rsidR="004B1649" w:rsidRPr="00292D9C" w:rsidRDefault="001B41E8" w:rsidP="00A616D5">
      <w:pPr>
        <w:pStyle w:val="Heading3Normal"/>
        <w:spacing w:before="0" w:after="120"/>
        <w:rPr>
          <w:rFonts w:asciiTheme="minorHAnsi" w:hAnsiTheme="minorHAnsi"/>
          <w:b w:val="0"/>
          <w:color w:val="000000" w:themeColor="text1"/>
        </w:rPr>
      </w:pPr>
      <w:r w:rsidRPr="00292D9C">
        <w:rPr>
          <w:rFonts w:asciiTheme="minorHAnsi" w:hAnsiTheme="minorHAnsi"/>
          <w:b w:val="0"/>
          <w:color w:val="000000" w:themeColor="text1"/>
        </w:rPr>
        <w:t>This section describes the first step of this process in more detail.</w:t>
      </w:r>
    </w:p>
    <w:p w14:paraId="45E87300" w14:textId="77777777" w:rsidR="00A51C4F" w:rsidRDefault="00A51C4F">
      <w:pPr>
        <w:spacing w:after="240" w:line="240" w:lineRule="auto"/>
        <w:rPr>
          <w:color w:val="931B2F" w:themeColor="background2"/>
          <w:sz w:val="32"/>
        </w:rPr>
      </w:pPr>
      <w:bookmarkStart w:id="109" w:name="_Toc21088258"/>
      <w:bookmarkStart w:id="110" w:name="_Toc23504227"/>
      <w:r>
        <w:br w:type="page"/>
      </w:r>
    </w:p>
    <w:p w14:paraId="01909B4C" w14:textId="77777777" w:rsidR="001B41E8" w:rsidRPr="00292D9C" w:rsidRDefault="001B41E8" w:rsidP="00A616D5">
      <w:pPr>
        <w:pStyle w:val="Heading2"/>
        <w:spacing w:before="0" w:after="120"/>
        <w:rPr>
          <w:rFonts w:asciiTheme="minorHAnsi" w:hAnsiTheme="minorHAnsi"/>
        </w:rPr>
      </w:pPr>
      <w:bookmarkStart w:id="111" w:name="_Toc25162061"/>
      <w:r w:rsidRPr="00292D9C">
        <w:rPr>
          <w:rFonts w:asciiTheme="minorHAnsi" w:hAnsiTheme="minorHAnsi"/>
        </w:rPr>
        <w:t>7.1 What’s the role of the Australian Government in STEM education?</w:t>
      </w:r>
      <w:bookmarkEnd w:id="109"/>
      <w:bookmarkEnd w:id="110"/>
      <w:bookmarkEnd w:id="111"/>
    </w:p>
    <w:p w14:paraId="23A27359" w14:textId="77777777" w:rsidR="001B41E8" w:rsidRPr="00292D9C" w:rsidRDefault="001B41E8" w:rsidP="00A616D5">
      <w:pPr>
        <w:pStyle w:val="Heading3Normal"/>
        <w:spacing w:before="0" w:after="120"/>
        <w:rPr>
          <w:rFonts w:asciiTheme="minorHAnsi" w:hAnsiTheme="minorHAnsi"/>
        </w:rPr>
      </w:pPr>
      <w:r w:rsidRPr="00292D9C">
        <w:rPr>
          <w:rFonts w:asciiTheme="minorHAnsi" w:hAnsiTheme="minorHAnsi"/>
        </w:rPr>
        <w:t xml:space="preserve">In deciding a future strategy, the Australian Government should consider its role in supporting STEM education. </w:t>
      </w:r>
    </w:p>
    <w:p w14:paraId="2A2FF4C7" w14:textId="77777777" w:rsidR="001B41E8" w:rsidRPr="00292D9C" w:rsidRDefault="001B41E8" w:rsidP="00A616D5">
      <w:r w:rsidRPr="00292D9C">
        <w:t xml:space="preserve">The Australian Government can play multiple roles to support STEM education. We’ve identified </w:t>
      </w:r>
      <w:r w:rsidR="004B1649">
        <w:t>six</w:t>
      </w:r>
      <w:r w:rsidRPr="00292D9C">
        <w:t xml:space="preserve"> potential roles based on:</w:t>
      </w:r>
    </w:p>
    <w:p w14:paraId="0CCE344D" w14:textId="77777777" w:rsidR="001B41E8" w:rsidRPr="00292D9C" w:rsidRDefault="001B41E8" w:rsidP="00164DDE">
      <w:pPr>
        <w:pStyle w:val="ListParagraph"/>
        <w:numPr>
          <w:ilvl w:val="0"/>
          <w:numId w:val="151"/>
        </w:numPr>
      </w:pPr>
      <w:r w:rsidRPr="00292D9C">
        <w:t xml:space="preserve">A broad approach to defining the different means of supporting and / or influencing STEM education. </w:t>
      </w:r>
    </w:p>
    <w:p w14:paraId="5DB91A11" w14:textId="77777777" w:rsidR="001B41E8" w:rsidRPr="00292D9C" w:rsidRDefault="001B41E8" w:rsidP="00164DDE">
      <w:pPr>
        <w:pStyle w:val="ListParagraph"/>
        <w:numPr>
          <w:ilvl w:val="0"/>
          <w:numId w:val="151"/>
        </w:numPr>
      </w:pPr>
      <w:r w:rsidRPr="00292D9C">
        <w:t xml:space="preserve">Our understanding of government’s key capabilities and levers, e.g. where can governments have influence in public policy  </w:t>
      </w:r>
    </w:p>
    <w:p w14:paraId="2129E731" w14:textId="77777777" w:rsidR="001B41E8" w:rsidRPr="00292D9C" w:rsidRDefault="001B41E8" w:rsidP="00164DDE">
      <w:pPr>
        <w:pStyle w:val="ListParagraph"/>
        <w:numPr>
          <w:ilvl w:val="0"/>
          <w:numId w:val="151"/>
        </w:numPr>
      </w:pPr>
      <w:r w:rsidRPr="00292D9C">
        <w:t xml:space="preserve">The Australian Government’s role in the wider education landscape and context, e.g. against the backdrop of state and territory jurisdictions and other players </w:t>
      </w:r>
    </w:p>
    <w:p w14:paraId="5F96F8E6" w14:textId="77777777" w:rsidR="001B41E8" w:rsidRPr="00292D9C" w:rsidRDefault="001B41E8" w:rsidP="00164DDE">
      <w:pPr>
        <w:pStyle w:val="ListParagraph"/>
        <w:numPr>
          <w:ilvl w:val="0"/>
          <w:numId w:val="151"/>
        </w:numPr>
      </w:pPr>
      <w:r w:rsidRPr="00292D9C">
        <w:t xml:space="preserve">Existing roles of Australian Government and potential roles based on other </w:t>
      </w:r>
      <w:r w:rsidR="00E747D6">
        <w:t xml:space="preserve">national and international </w:t>
      </w:r>
      <w:r w:rsidR="009B1464">
        <w:t>models and approaches</w:t>
      </w:r>
      <w:r w:rsidR="00E747D6">
        <w:t>.</w:t>
      </w:r>
    </w:p>
    <w:p w14:paraId="3DD76EF0" w14:textId="77777777" w:rsidR="001B41E8" w:rsidRPr="00292D9C" w:rsidRDefault="001B41E8" w:rsidP="00A616D5">
      <w:r w:rsidRPr="00292D9C">
        <w:t xml:space="preserve">The table below shows each potential role. </w:t>
      </w:r>
    </w:p>
    <w:p w14:paraId="0CC7CFCC" w14:textId="77777777" w:rsidR="00B64148" w:rsidRPr="00292D9C" w:rsidRDefault="00B64148" w:rsidP="00A616D5">
      <w:pPr>
        <w:pStyle w:val="CaptionFigure"/>
        <w:spacing w:before="0" w:after="120" w:line="360" w:lineRule="auto"/>
        <w:rPr>
          <w:sz w:val="22"/>
          <w:szCs w:val="22"/>
        </w:rPr>
      </w:pPr>
      <w:r w:rsidRPr="00292D9C">
        <w:rPr>
          <w:sz w:val="22"/>
          <w:szCs w:val="22"/>
        </w:rPr>
        <w:t xml:space="preserve">Table </w:t>
      </w:r>
      <w:r w:rsidR="00B36C1F">
        <w:rPr>
          <w:sz w:val="22"/>
          <w:szCs w:val="22"/>
        </w:rPr>
        <w:t>2</w:t>
      </w:r>
      <w:r w:rsidRPr="00292D9C">
        <w:rPr>
          <w:sz w:val="22"/>
          <w:szCs w:val="22"/>
        </w:rPr>
        <w:t xml:space="preserve">. Potential roles for the Australian Government </w:t>
      </w:r>
    </w:p>
    <w:tbl>
      <w:tblPr>
        <w:tblStyle w:val="BoxGrid-Coloured"/>
        <w:tblW w:w="10196" w:type="dxa"/>
        <w:tblLook w:val="04A0" w:firstRow="1" w:lastRow="0" w:firstColumn="1" w:lastColumn="0" w:noHBand="0" w:noVBand="1"/>
      </w:tblPr>
      <w:tblGrid>
        <w:gridCol w:w="2258"/>
        <w:gridCol w:w="4962"/>
        <w:gridCol w:w="2976"/>
      </w:tblGrid>
      <w:tr w:rsidR="001B41E8" w:rsidRPr="00292D9C" w14:paraId="04640A97" w14:textId="77777777" w:rsidTr="00737C3A">
        <w:trPr>
          <w:trHeight w:val="464"/>
        </w:trPr>
        <w:tc>
          <w:tcPr>
            <w:tcW w:w="2258" w:type="dxa"/>
            <w:shd w:val="clear" w:color="auto" w:fill="931B2F" w:themeFill="background2"/>
          </w:tcPr>
          <w:p w14:paraId="687B7A15" w14:textId="77777777" w:rsidR="001B41E8" w:rsidRPr="00292D9C" w:rsidRDefault="001B41E8" w:rsidP="00A616D5">
            <w:pPr>
              <w:rPr>
                <w:color w:val="FFFFFF" w:themeColor="background1"/>
              </w:rPr>
            </w:pPr>
            <w:r w:rsidRPr="00292D9C">
              <w:rPr>
                <w:color w:val="FFFFFF" w:themeColor="background1"/>
              </w:rPr>
              <w:t>Potential role</w:t>
            </w:r>
          </w:p>
        </w:tc>
        <w:tc>
          <w:tcPr>
            <w:tcW w:w="4962" w:type="dxa"/>
            <w:shd w:val="clear" w:color="auto" w:fill="931B2F" w:themeFill="background2"/>
          </w:tcPr>
          <w:p w14:paraId="64076193" w14:textId="77777777" w:rsidR="001B41E8" w:rsidRPr="00292D9C" w:rsidRDefault="001B41E8" w:rsidP="00A616D5">
            <w:pPr>
              <w:rPr>
                <w:color w:val="FFFFFF" w:themeColor="background1"/>
              </w:rPr>
            </w:pPr>
            <w:r w:rsidRPr="00292D9C">
              <w:rPr>
                <w:color w:val="FFFFFF" w:themeColor="background1"/>
              </w:rPr>
              <w:t>What does it mean?</w:t>
            </w:r>
          </w:p>
        </w:tc>
        <w:tc>
          <w:tcPr>
            <w:tcW w:w="2976" w:type="dxa"/>
            <w:shd w:val="clear" w:color="auto" w:fill="931B2F" w:themeFill="background2"/>
          </w:tcPr>
          <w:p w14:paraId="0A373E77" w14:textId="77777777" w:rsidR="001B41E8" w:rsidRPr="00292D9C" w:rsidRDefault="001B41E8" w:rsidP="00A616D5">
            <w:pPr>
              <w:rPr>
                <w:color w:val="FFFFFF" w:themeColor="background1"/>
              </w:rPr>
            </w:pPr>
            <w:r w:rsidRPr="00292D9C">
              <w:rPr>
                <w:color w:val="FFFFFF" w:themeColor="background1"/>
              </w:rPr>
              <w:t xml:space="preserve">Example </w:t>
            </w:r>
          </w:p>
        </w:tc>
      </w:tr>
      <w:tr w:rsidR="001B41E8" w:rsidRPr="00292D9C" w14:paraId="3F63D094" w14:textId="77777777" w:rsidTr="00737C3A">
        <w:trPr>
          <w:trHeight w:val="477"/>
        </w:trPr>
        <w:tc>
          <w:tcPr>
            <w:tcW w:w="2258" w:type="dxa"/>
            <w:shd w:val="clear" w:color="auto" w:fill="F2F2F2" w:themeFill="background1" w:themeFillShade="F2"/>
          </w:tcPr>
          <w:p w14:paraId="0CF6EE8B" w14:textId="77777777" w:rsidR="001B41E8" w:rsidRPr="00292D9C" w:rsidRDefault="001B41E8" w:rsidP="00A616D5">
            <w:r w:rsidRPr="00292D9C">
              <w:t>Celebrator and promoter</w:t>
            </w:r>
          </w:p>
        </w:tc>
        <w:tc>
          <w:tcPr>
            <w:tcW w:w="4962" w:type="dxa"/>
          </w:tcPr>
          <w:p w14:paraId="7829F9FF" w14:textId="77777777" w:rsidR="001B41E8" w:rsidRPr="00292D9C" w:rsidRDefault="001B41E8" w:rsidP="00A616D5">
            <w:r w:rsidRPr="00292D9C">
              <w:t xml:space="preserve">Celebrating and promoting successes in STEM education (for example, number of students enrolled or employment numbers) to: </w:t>
            </w:r>
          </w:p>
          <w:p w14:paraId="7D68B1FB" w14:textId="77777777" w:rsidR="001B41E8" w:rsidRPr="00292D9C" w:rsidRDefault="001B41E8" w:rsidP="00164DDE">
            <w:pPr>
              <w:pStyle w:val="ListParagraph"/>
              <w:numPr>
                <w:ilvl w:val="0"/>
                <w:numId w:val="152"/>
              </w:numPr>
            </w:pPr>
            <w:r w:rsidRPr="00292D9C">
              <w:t xml:space="preserve">Raise the profile of STEM education in Australia </w:t>
            </w:r>
          </w:p>
          <w:p w14:paraId="3480DE40" w14:textId="77777777" w:rsidR="001B41E8" w:rsidRPr="00292D9C" w:rsidRDefault="001B41E8" w:rsidP="00164DDE">
            <w:pPr>
              <w:pStyle w:val="ListParagraph"/>
              <w:numPr>
                <w:ilvl w:val="0"/>
                <w:numId w:val="152"/>
              </w:numPr>
            </w:pPr>
            <w:r w:rsidRPr="00292D9C">
              <w:t>Increase awareness and understanding of the importance of STEM across the education system.</w:t>
            </w:r>
          </w:p>
        </w:tc>
        <w:tc>
          <w:tcPr>
            <w:tcW w:w="2976" w:type="dxa"/>
          </w:tcPr>
          <w:p w14:paraId="4EDAFEA9" w14:textId="77777777" w:rsidR="001B41E8" w:rsidRPr="00292D9C" w:rsidRDefault="001B41E8" w:rsidP="003C2ACB">
            <w:pPr>
              <w:pStyle w:val="ListParagraph"/>
              <w:numPr>
                <w:ilvl w:val="0"/>
                <w:numId w:val="21"/>
              </w:numPr>
            </w:pPr>
            <w:r w:rsidRPr="00292D9C">
              <w:t>Hosting events to put a spotlight on promising programs</w:t>
            </w:r>
          </w:p>
          <w:p w14:paraId="42688930" w14:textId="77777777" w:rsidR="001B41E8" w:rsidRPr="00292D9C" w:rsidRDefault="001B41E8" w:rsidP="003C2ACB">
            <w:pPr>
              <w:pStyle w:val="ListParagraph"/>
              <w:numPr>
                <w:ilvl w:val="0"/>
                <w:numId w:val="21"/>
              </w:numPr>
            </w:pPr>
            <w:r w:rsidRPr="00292D9C">
              <w:t>Communications campaigns to highlight Australian successes in STEM</w:t>
            </w:r>
          </w:p>
        </w:tc>
      </w:tr>
      <w:tr w:rsidR="001B41E8" w:rsidRPr="00292D9C" w14:paraId="1D5BF892" w14:textId="77777777" w:rsidTr="00737C3A">
        <w:trPr>
          <w:trHeight w:val="464"/>
        </w:trPr>
        <w:tc>
          <w:tcPr>
            <w:tcW w:w="2258" w:type="dxa"/>
            <w:shd w:val="clear" w:color="auto" w:fill="F2F2F2" w:themeFill="background1" w:themeFillShade="F2"/>
          </w:tcPr>
          <w:p w14:paraId="734584F2" w14:textId="77777777" w:rsidR="001B41E8" w:rsidRPr="00292D9C" w:rsidRDefault="001B41E8" w:rsidP="00A616D5">
            <w:r w:rsidRPr="00292D9C">
              <w:t>Co-ordinator and linker</w:t>
            </w:r>
          </w:p>
        </w:tc>
        <w:tc>
          <w:tcPr>
            <w:tcW w:w="4962" w:type="dxa"/>
          </w:tcPr>
          <w:p w14:paraId="4D0A272F" w14:textId="77777777" w:rsidR="001B41E8" w:rsidRPr="00292D9C" w:rsidRDefault="001B41E8" w:rsidP="00A616D5">
            <w:r w:rsidRPr="00292D9C">
              <w:t>Acting as the coordinator between different parties (e.g. schools and industry partners, or states and territories) to:</w:t>
            </w:r>
          </w:p>
          <w:p w14:paraId="198E05E0" w14:textId="77777777" w:rsidR="001B41E8" w:rsidRPr="00292D9C" w:rsidRDefault="001B41E8" w:rsidP="003C2ACB">
            <w:pPr>
              <w:pStyle w:val="ListParagraph"/>
              <w:numPr>
                <w:ilvl w:val="0"/>
                <w:numId w:val="20"/>
              </w:numPr>
            </w:pPr>
            <w:r w:rsidRPr="00292D9C">
              <w:t>Improve STEM networks in education. This will allow more parties to collaborate on new ideas and approaches.</w:t>
            </w:r>
          </w:p>
          <w:p w14:paraId="78842702" w14:textId="77777777" w:rsidR="001B41E8" w:rsidRPr="00292D9C" w:rsidRDefault="001B41E8" w:rsidP="003C2ACB">
            <w:pPr>
              <w:pStyle w:val="ListParagraph"/>
              <w:numPr>
                <w:ilvl w:val="0"/>
                <w:numId w:val="20"/>
              </w:numPr>
            </w:pPr>
            <w:r w:rsidRPr="00292D9C">
              <w:t>Inform the sector of existing initiatives. This helps avoid ‘reinventing the wheel’ with new initiatives.</w:t>
            </w:r>
          </w:p>
        </w:tc>
        <w:tc>
          <w:tcPr>
            <w:tcW w:w="2976" w:type="dxa"/>
          </w:tcPr>
          <w:p w14:paraId="00D96041" w14:textId="77777777" w:rsidR="005D606A" w:rsidRPr="00292D9C" w:rsidRDefault="005D606A" w:rsidP="003C2ACB">
            <w:pPr>
              <w:pStyle w:val="ListParagraph"/>
              <w:numPr>
                <w:ilvl w:val="0"/>
                <w:numId w:val="20"/>
              </w:numPr>
            </w:pPr>
            <w:r w:rsidRPr="00292D9C">
              <w:t>Raising awareness of existing initiatives e.g. through mechanisms such as the DT Hub</w:t>
            </w:r>
          </w:p>
          <w:p w14:paraId="2E4E6013" w14:textId="77777777" w:rsidR="005D606A" w:rsidRPr="00292D9C" w:rsidRDefault="005D606A" w:rsidP="003C2ACB">
            <w:pPr>
              <w:pStyle w:val="ListParagraph"/>
              <w:numPr>
                <w:ilvl w:val="0"/>
                <w:numId w:val="20"/>
              </w:numPr>
            </w:pPr>
            <w:r w:rsidRPr="00292D9C">
              <w:t>Linking organisations who are thinking of doing similar activities (e.g. two states who want to set up an Engineering Academy)</w:t>
            </w:r>
          </w:p>
          <w:p w14:paraId="0FC8972B" w14:textId="77777777" w:rsidR="001B41E8" w:rsidRPr="00292D9C" w:rsidRDefault="005D606A" w:rsidP="003C2ACB">
            <w:pPr>
              <w:pStyle w:val="ListParagraph"/>
              <w:numPr>
                <w:ilvl w:val="0"/>
                <w:numId w:val="20"/>
              </w:numPr>
            </w:pPr>
            <w:r w:rsidRPr="00292D9C">
              <w:t>Bringing together and building consensus between different stakeholders</w:t>
            </w:r>
          </w:p>
        </w:tc>
      </w:tr>
      <w:tr w:rsidR="001B41E8" w:rsidRPr="00292D9C" w14:paraId="7766BA3A" w14:textId="77777777" w:rsidTr="00DF0D5A">
        <w:trPr>
          <w:trHeight w:val="2771"/>
        </w:trPr>
        <w:tc>
          <w:tcPr>
            <w:tcW w:w="2258" w:type="dxa"/>
            <w:shd w:val="clear" w:color="auto" w:fill="F2F2F2" w:themeFill="background1" w:themeFillShade="F2"/>
          </w:tcPr>
          <w:p w14:paraId="6C5BADC0" w14:textId="77777777" w:rsidR="001B41E8" w:rsidRPr="00292D9C" w:rsidRDefault="001B41E8" w:rsidP="00A616D5">
            <w:r w:rsidRPr="00292D9C">
              <w:t>Evaluator and assessor</w:t>
            </w:r>
          </w:p>
        </w:tc>
        <w:tc>
          <w:tcPr>
            <w:tcW w:w="4962" w:type="dxa"/>
          </w:tcPr>
          <w:p w14:paraId="1425837E" w14:textId="77777777" w:rsidR="001B41E8" w:rsidRPr="00292D9C" w:rsidRDefault="001B41E8" w:rsidP="00A616D5">
            <w:pPr>
              <w:ind w:left="360" w:hanging="360"/>
            </w:pPr>
            <w:r w:rsidRPr="00292D9C">
              <w:t>Evaluating and assessing initiatives to:</w:t>
            </w:r>
          </w:p>
          <w:p w14:paraId="7E3247D2" w14:textId="77777777" w:rsidR="001B41E8" w:rsidRPr="00292D9C" w:rsidRDefault="001B41E8" w:rsidP="00164DDE">
            <w:pPr>
              <w:pStyle w:val="ListParagraph"/>
              <w:numPr>
                <w:ilvl w:val="0"/>
                <w:numId w:val="153"/>
              </w:numPr>
              <w:rPr>
                <w:b/>
                <w:bCs/>
              </w:rPr>
            </w:pPr>
            <w:r w:rsidRPr="00292D9C">
              <w:t xml:space="preserve">Better understand impact and opportunities for future improvement </w:t>
            </w:r>
          </w:p>
          <w:p w14:paraId="69FA3554" w14:textId="77777777" w:rsidR="001B41E8" w:rsidRPr="00292D9C" w:rsidRDefault="001B41E8" w:rsidP="00164DDE">
            <w:pPr>
              <w:pStyle w:val="ListParagraph"/>
              <w:numPr>
                <w:ilvl w:val="0"/>
                <w:numId w:val="153"/>
              </w:numPr>
              <w:rPr>
                <w:b/>
                <w:bCs/>
              </w:rPr>
            </w:pPr>
            <w:r w:rsidRPr="00292D9C">
              <w:t xml:space="preserve">Share lessons learned with the sector </w:t>
            </w:r>
          </w:p>
          <w:p w14:paraId="3EDCC30A" w14:textId="77777777" w:rsidR="001B41E8" w:rsidRPr="00292D9C" w:rsidRDefault="001B41E8" w:rsidP="00164DDE">
            <w:pPr>
              <w:pStyle w:val="ListParagraph"/>
              <w:numPr>
                <w:ilvl w:val="0"/>
                <w:numId w:val="153"/>
              </w:numPr>
              <w:rPr>
                <w:b/>
                <w:bCs/>
              </w:rPr>
            </w:pPr>
            <w:r w:rsidRPr="00292D9C">
              <w:t xml:space="preserve">Build an evidence-base about what success looks like to inform future policy decisions. </w:t>
            </w:r>
          </w:p>
        </w:tc>
        <w:tc>
          <w:tcPr>
            <w:tcW w:w="2976" w:type="dxa"/>
          </w:tcPr>
          <w:p w14:paraId="36332336" w14:textId="77777777" w:rsidR="005D606A" w:rsidRPr="00292D9C" w:rsidRDefault="005D606A" w:rsidP="00164DDE">
            <w:pPr>
              <w:pStyle w:val="ListParagraph"/>
              <w:numPr>
                <w:ilvl w:val="0"/>
                <w:numId w:val="153"/>
              </w:numPr>
            </w:pPr>
            <w:r w:rsidRPr="00292D9C">
              <w:t>Evaluating, or funding the evaluation of, individual or packages of initiatives</w:t>
            </w:r>
          </w:p>
          <w:p w14:paraId="62DA9A85" w14:textId="77777777" w:rsidR="001B41E8" w:rsidRPr="00292D9C" w:rsidRDefault="005D606A" w:rsidP="00164DDE">
            <w:pPr>
              <w:pStyle w:val="ListParagraph"/>
              <w:numPr>
                <w:ilvl w:val="0"/>
                <w:numId w:val="153"/>
              </w:numPr>
            </w:pPr>
            <w:r w:rsidRPr="00292D9C">
              <w:t>Facilitating evaluation activities (e.g. by developing or promoting resources to help others run evaluations)</w:t>
            </w:r>
          </w:p>
        </w:tc>
      </w:tr>
      <w:tr w:rsidR="001B41E8" w:rsidRPr="00292D9C" w14:paraId="64994DAC" w14:textId="77777777" w:rsidTr="00737C3A">
        <w:trPr>
          <w:trHeight w:val="464"/>
        </w:trPr>
        <w:tc>
          <w:tcPr>
            <w:tcW w:w="2258" w:type="dxa"/>
            <w:shd w:val="clear" w:color="auto" w:fill="F2F2F2" w:themeFill="background1" w:themeFillShade="F2"/>
          </w:tcPr>
          <w:p w14:paraId="3B034213" w14:textId="77777777" w:rsidR="001B41E8" w:rsidRPr="00292D9C" w:rsidRDefault="001B41E8" w:rsidP="00A616D5">
            <w:r w:rsidRPr="00292D9C">
              <w:t>Capability builder</w:t>
            </w:r>
          </w:p>
        </w:tc>
        <w:tc>
          <w:tcPr>
            <w:tcW w:w="4962" w:type="dxa"/>
          </w:tcPr>
          <w:p w14:paraId="070AA840" w14:textId="77777777" w:rsidR="001B41E8" w:rsidRPr="00292D9C" w:rsidRDefault="001B41E8" w:rsidP="00A616D5">
            <w:pPr>
              <w:ind w:left="360" w:hanging="360"/>
            </w:pPr>
            <w:r w:rsidRPr="00292D9C">
              <w:t>Focusing on building system capability to:</w:t>
            </w:r>
          </w:p>
          <w:p w14:paraId="3EE54E75" w14:textId="77777777" w:rsidR="001B41E8" w:rsidRPr="00292D9C" w:rsidRDefault="001B41E8" w:rsidP="00164DDE">
            <w:pPr>
              <w:pStyle w:val="ListParagraph"/>
              <w:numPr>
                <w:ilvl w:val="0"/>
                <w:numId w:val="154"/>
              </w:numPr>
            </w:pPr>
            <w:r w:rsidRPr="00292D9C">
              <w:t xml:space="preserve">Support schools, school leadership and teachers to provide high-quality STEM education </w:t>
            </w:r>
          </w:p>
          <w:p w14:paraId="7DFFA29C" w14:textId="77777777" w:rsidR="001B41E8" w:rsidRPr="00292D9C" w:rsidRDefault="001B41E8" w:rsidP="00164DDE">
            <w:pPr>
              <w:pStyle w:val="ListParagraph"/>
              <w:numPr>
                <w:ilvl w:val="0"/>
                <w:numId w:val="154"/>
              </w:numPr>
            </w:pPr>
            <w:r w:rsidRPr="00292D9C">
              <w:t>Ensure the system maintains relevance and remains up-to-date with evolving leading practice</w:t>
            </w:r>
          </w:p>
        </w:tc>
        <w:tc>
          <w:tcPr>
            <w:tcW w:w="2976" w:type="dxa"/>
          </w:tcPr>
          <w:p w14:paraId="530E3F25" w14:textId="77777777" w:rsidR="001B41E8" w:rsidRPr="00292D9C" w:rsidRDefault="001B41E8" w:rsidP="00164DDE">
            <w:pPr>
              <w:pStyle w:val="ListParagraph"/>
              <w:numPr>
                <w:ilvl w:val="0"/>
                <w:numId w:val="155"/>
              </w:numPr>
            </w:pPr>
            <w:r w:rsidRPr="00292D9C">
              <w:t>Professional development or online resources for schools on new STEM strategies or best-practice evidence</w:t>
            </w:r>
          </w:p>
        </w:tc>
      </w:tr>
      <w:tr w:rsidR="001B41E8" w:rsidRPr="00292D9C" w14:paraId="14C68245" w14:textId="77777777" w:rsidTr="00737C3A">
        <w:trPr>
          <w:trHeight w:val="464"/>
        </w:trPr>
        <w:tc>
          <w:tcPr>
            <w:tcW w:w="2258" w:type="dxa"/>
            <w:shd w:val="clear" w:color="auto" w:fill="F2F2F2" w:themeFill="background1" w:themeFillShade="F2"/>
          </w:tcPr>
          <w:p w14:paraId="6845BA84" w14:textId="77777777" w:rsidR="001B41E8" w:rsidRPr="00292D9C" w:rsidRDefault="001B41E8" w:rsidP="00A616D5">
            <w:r w:rsidRPr="00292D9C">
              <w:t>Incubator</w:t>
            </w:r>
          </w:p>
        </w:tc>
        <w:tc>
          <w:tcPr>
            <w:tcW w:w="4962" w:type="dxa"/>
          </w:tcPr>
          <w:p w14:paraId="56113D88" w14:textId="77777777" w:rsidR="001B41E8" w:rsidRPr="00292D9C" w:rsidRDefault="001B41E8" w:rsidP="00A616D5">
            <w:pPr>
              <w:ind w:left="360" w:hanging="360"/>
            </w:pPr>
            <w:r w:rsidRPr="00292D9C">
              <w:t>Acting as an innovation incubator to:</w:t>
            </w:r>
          </w:p>
          <w:p w14:paraId="6E72739A" w14:textId="77777777" w:rsidR="001B41E8" w:rsidRPr="00292D9C" w:rsidRDefault="001B41E8" w:rsidP="00164DDE">
            <w:pPr>
              <w:pStyle w:val="ListParagraph"/>
              <w:numPr>
                <w:ilvl w:val="0"/>
                <w:numId w:val="155"/>
              </w:numPr>
              <w:rPr>
                <w:b/>
                <w:bCs/>
              </w:rPr>
            </w:pPr>
            <w:r w:rsidRPr="00292D9C">
              <w:t xml:space="preserve">Fund and support new programs </w:t>
            </w:r>
          </w:p>
          <w:p w14:paraId="37C9DC0C" w14:textId="77777777" w:rsidR="001B41E8" w:rsidRPr="00292D9C" w:rsidRDefault="001B41E8" w:rsidP="00164DDE">
            <w:pPr>
              <w:pStyle w:val="ListParagraph"/>
              <w:numPr>
                <w:ilvl w:val="0"/>
                <w:numId w:val="155"/>
              </w:numPr>
              <w:rPr>
                <w:b/>
                <w:bCs/>
              </w:rPr>
            </w:pPr>
            <w:r w:rsidRPr="00292D9C">
              <w:t>Enable pilot programs and assess impacts</w:t>
            </w:r>
          </w:p>
        </w:tc>
        <w:tc>
          <w:tcPr>
            <w:tcW w:w="2976" w:type="dxa"/>
          </w:tcPr>
          <w:p w14:paraId="560B9100" w14:textId="77777777" w:rsidR="001B41E8" w:rsidRPr="00292D9C" w:rsidRDefault="003651D2" w:rsidP="00164DDE">
            <w:pPr>
              <w:pStyle w:val="ListParagraph"/>
              <w:numPr>
                <w:ilvl w:val="0"/>
                <w:numId w:val="155"/>
              </w:numPr>
            </w:pPr>
            <w:r w:rsidRPr="00292D9C">
              <w:t>Providing funding to launch a new initiative</w:t>
            </w:r>
          </w:p>
        </w:tc>
      </w:tr>
      <w:tr w:rsidR="001B41E8" w:rsidRPr="00292D9C" w14:paraId="0E8619D3" w14:textId="77777777" w:rsidTr="00737C3A">
        <w:trPr>
          <w:trHeight w:val="464"/>
        </w:trPr>
        <w:tc>
          <w:tcPr>
            <w:tcW w:w="2258" w:type="dxa"/>
            <w:shd w:val="clear" w:color="auto" w:fill="F2F2F2" w:themeFill="background1" w:themeFillShade="F2"/>
          </w:tcPr>
          <w:p w14:paraId="1E805FAB" w14:textId="77777777" w:rsidR="001B41E8" w:rsidRPr="00292D9C" w:rsidRDefault="001B41E8" w:rsidP="00A616D5">
            <w:r w:rsidRPr="00292D9C">
              <w:t>Accelerator</w:t>
            </w:r>
          </w:p>
        </w:tc>
        <w:tc>
          <w:tcPr>
            <w:tcW w:w="4962" w:type="dxa"/>
          </w:tcPr>
          <w:p w14:paraId="3DE2EB5A" w14:textId="77777777" w:rsidR="001B41E8" w:rsidRPr="00292D9C" w:rsidRDefault="001B41E8" w:rsidP="00A616D5">
            <w:pPr>
              <w:ind w:left="360" w:hanging="360"/>
            </w:pPr>
            <w:r w:rsidRPr="00292D9C">
              <w:t>Acting as an accelerator to:</w:t>
            </w:r>
          </w:p>
          <w:p w14:paraId="456BB96E" w14:textId="77777777" w:rsidR="001B41E8" w:rsidRPr="00292D9C" w:rsidRDefault="001B41E8" w:rsidP="00164DDE">
            <w:pPr>
              <w:pStyle w:val="ListParagraph"/>
              <w:numPr>
                <w:ilvl w:val="0"/>
                <w:numId w:val="156"/>
              </w:numPr>
              <w:rPr>
                <w:b/>
                <w:bCs/>
              </w:rPr>
            </w:pPr>
            <w:r w:rsidRPr="00292D9C">
              <w:t xml:space="preserve">Fund and support programs that have been successful as pilots </w:t>
            </w:r>
          </w:p>
          <w:p w14:paraId="50B593B7" w14:textId="77777777" w:rsidR="001B41E8" w:rsidRPr="00292D9C" w:rsidRDefault="001B41E8" w:rsidP="00164DDE">
            <w:pPr>
              <w:pStyle w:val="ListParagraph"/>
              <w:numPr>
                <w:ilvl w:val="0"/>
                <w:numId w:val="156"/>
              </w:numPr>
              <w:rPr>
                <w:b/>
                <w:bCs/>
              </w:rPr>
            </w:pPr>
            <w:r w:rsidRPr="00292D9C">
              <w:t xml:space="preserve">Look at scaling up existing successful programs   </w:t>
            </w:r>
          </w:p>
        </w:tc>
        <w:tc>
          <w:tcPr>
            <w:tcW w:w="2976" w:type="dxa"/>
          </w:tcPr>
          <w:p w14:paraId="60F0BCC1" w14:textId="77777777" w:rsidR="001B41E8" w:rsidRPr="00292D9C" w:rsidRDefault="003651D2" w:rsidP="00164DDE">
            <w:pPr>
              <w:pStyle w:val="ListParagraph"/>
              <w:numPr>
                <w:ilvl w:val="0"/>
                <w:numId w:val="156"/>
              </w:numPr>
            </w:pPr>
            <w:r w:rsidRPr="00292D9C">
              <w:t>Rolling out a local program nationally</w:t>
            </w:r>
          </w:p>
        </w:tc>
      </w:tr>
    </w:tbl>
    <w:p w14:paraId="499961BC" w14:textId="77777777" w:rsidR="001B41E8" w:rsidRPr="00292D9C" w:rsidRDefault="001B41E8" w:rsidP="00A616D5"/>
    <w:p w14:paraId="1C4737F9" w14:textId="77777777" w:rsidR="001B41E8" w:rsidRPr="00292D9C" w:rsidRDefault="001B41E8" w:rsidP="00A616D5">
      <w:pPr>
        <w:pStyle w:val="Heading3Normal"/>
        <w:spacing w:before="0" w:after="120"/>
        <w:rPr>
          <w:rFonts w:asciiTheme="minorHAnsi" w:hAnsiTheme="minorHAnsi"/>
        </w:rPr>
      </w:pPr>
      <w:r w:rsidRPr="00292D9C">
        <w:rPr>
          <w:rFonts w:asciiTheme="minorHAnsi" w:hAnsiTheme="minorHAnsi"/>
        </w:rPr>
        <w:t xml:space="preserve">Different roles should be assessed based on relative value to </w:t>
      </w:r>
      <w:r w:rsidR="0069106A">
        <w:rPr>
          <w:rFonts w:asciiTheme="minorHAnsi" w:hAnsiTheme="minorHAnsi"/>
        </w:rPr>
        <w:t xml:space="preserve">the </w:t>
      </w:r>
      <w:r w:rsidRPr="00292D9C">
        <w:rPr>
          <w:rFonts w:asciiTheme="minorHAnsi" w:hAnsiTheme="minorHAnsi"/>
        </w:rPr>
        <w:t>wider education system</w:t>
      </w:r>
    </w:p>
    <w:p w14:paraId="733B1AA7" w14:textId="77777777" w:rsidR="001B41E8" w:rsidRPr="00292D9C" w:rsidRDefault="001B41E8" w:rsidP="00A616D5">
      <w:r w:rsidRPr="00292D9C">
        <w:t>Given the broad nature of these roles, we developed a series of criteria to understand which potential roles might offer the most value to the education system:</w:t>
      </w:r>
    </w:p>
    <w:p w14:paraId="3D7A78A5" w14:textId="77777777" w:rsidR="00B64148" w:rsidRPr="00292D9C" w:rsidRDefault="00B64148" w:rsidP="00A616D5">
      <w:pPr>
        <w:pStyle w:val="CaptionFigure"/>
        <w:spacing w:before="0" w:after="120" w:line="360" w:lineRule="auto"/>
        <w:rPr>
          <w:sz w:val="22"/>
          <w:szCs w:val="22"/>
        </w:rPr>
      </w:pPr>
      <w:r w:rsidRPr="00292D9C">
        <w:rPr>
          <w:sz w:val="22"/>
          <w:szCs w:val="22"/>
        </w:rPr>
        <w:t xml:space="preserve">Table </w:t>
      </w:r>
      <w:r w:rsidR="00B36C1F">
        <w:rPr>
          <w:sz w:val="22"/>
          <w:szCs w:val="22"/>
        </w:rPr>
        <w:t>3</w:t>
      </w:r>
      <w:r w:rsidRPr="00292D9C">
        <w:rPr>
          <w:sz w:val="22"/>
          <w:szCs w:val="22"/>
        </w:rPr>
        <w:t xml:space="preserve">. Criteria for considering roles </w:t>
      </w:r>
    </w:p>
    <w:tbl>
      <w:tblPr>
        <w:tblStyle w:val="BoxGrid-Coloured"/>
        <w:tblW w:w="10261" w:type="dxa"/>
        <w:tblLook w:val="04A0" w:firstRow="1" w:lastRow="0" w:firstColumn="1" w:lastColumn="0" w:noHBand="0" w:noVBand="1"/>
      </w:tblPr>
      <w:tblGrid>
        <w:gridCol w:w="3286"/>
        <w:gridCol w:w="6975"/>
      </w:tblGrid>
      <w:tr w:rsidR="001B41E8" w:rsidRPr="00292D9C" w14:paraId="41E7DF59" w14:textId="77777777" w:rsidTr="00974E7F">
        <w:trPr>
          <w:trHeight w:val="447"/>
        </w:trPr>
        <w:tc>
          <w:tcPr>
            <w:tcW w:w="3286" w:type="dxa"/>
            <w:shd w:val="clear" w:color="auto" w:fill="931B2F" w:themeFill="background2"/>
          </w:tcPr>
          <w:p w14:paraId="1E733513" w14:textId="77777777" w:rsidR="001B41E8" w:rsidRPr="00292D9C" w:rsidRDefault="001B41E8" w:rsidP="00974E7F">
            <w:pPr>
              <w:spacing w:after="0"/>
              <w:rPr>
                <w:color w:val="FFFFFF" w:themeColor="background1"/>
              </w:rPr>
            </w:pPr>
            <w:r w:rsidRPr="00292D9C">
              <w:rPr>
                <w:color w:val="FFFFFF" w:themeColor="background1"/>
              </w:rPr>
              <w:t xml:space="preserve">Criteria </w:t>
            </w:r>
          </w:p>
        </w:tc>
        <w:tc>
          <w:tcPr>
            <w:tcW w:w="6975" w:type="dxa"/>
            <w:shd w:val="clear" w:color="auto" w:fill="931B2F" w:themeFill="background2"/>
          </w:tcPr>
          <w:p w14:paraId="44C7D94B" w14:textId="77777777" w:rsidR="001B41E8" w:rsidRPr="00292D9C" w:rsidRDefault="001B41E8" w:rsidP="00974E7F">
            <w:pPr>
              <w:spacing w:after="0"/>
              <w:rPr>
                <w:color w:val="FFFFFF" w:themeColor="background1"/>
              </w:rPr>
            </w:pPr>
            <w:r w:rsidRPr="00292D9C">
              <w:rPr>
                <w:color w:val="FFFFFF" w:themeColor="background1"/>
              </w:rPr>
              <w:t xml:space="preserve">Why does this add value? </w:t>
            </w:r>
          </w:p>
        </w:tc>
      </w:tr>
      <w:tr w:rsidR="001B41E8" w:rsidRPr="00292D9C" w14:paraId="759CC1CC" w14:textId="77777777" w:rsidTr="00974E7F">
        <w:trPr>
          <w:trHeight w:val="1661"/>
        </w:trPr>
        <w:tc>
          <w:tcPr>
            <w:tcW w:w="3286" w:type="dxa"/>
            <w:shd w:val="clear" w:color="auto" w:fill="EFDEE1" w:themeFill="accent2" w:themeFillTint="33"/>
          </w:tcPr>
          <w:p w14:paraId="77702FA5" w14:textId="77777777" w:rsidR="001B41E8" w:rsidRPr="00292D9C" w:rsidRDefault="001B41E8" w:rsidP="00974E7F">
            <w:pPr>
              <w:spacing w:after="0"/>
              <w:ind w:left="360" w:hanging="360"/>
            </w:pPr>
            <w:r w:rsidRPr="00292D9C">
              <w:t>Does the role fill a gap?</w:t>
            </w:r>
          </w:p>
        </w:tc>
        <w:tc>
          <w:tcPr>
            <w:tcW w:w="6975" w:type="dxa"/>
          </w:tcPr>
          <w:p w14:paraId="25E0D6BD" w14:textId="77777777" w:rsidR="004455F5" w:rsidRPr="00292D9C" w:rsidRDefault="004455F5" w:rsidP="00974E7F">
            <w:pPr>
              <w:spacing w:after="0"/>
            </w:pPr>
            <w:r w:rsidRPr="00292D9C">
              <w:t>It doesn’t make sense to duplicate existing services. For example, there is limited value in expending time and resources in implementing an initiative that others are already doing.</w:t>
            </w:r>
          </w:p>
          <w:p w14:paraId="3D9AC5A3" w14:textId="77777777" w:rsidR="001B41E8" w:rsidRPr="00292D9C" w:rsidRDefault="004455F5" w:rsidP="00974E7F">
            <w:pPr>
              <w:spacing w:after="0"/>
            </w:pPr>
            <w:r w:rsidRPr="00292D9C">
              <w:t xml:space="preserve">Rather, it is better to focus attention on perceived or real gaps in existing service delivery / approaches. </w:t>
            </w:r>
          </w:p>
        </w:tc>
      </w:tr>
      <w:tr w:rsidR="001B41E8" w:rsidRPr="00292D9C" w14:paraId="130C3787" w14:textId="77777777" w:rsidTr="00974E7F">
        <w:trPr>
          <w:trHeight w:val="447"/>
        </w:trPr>
        <w:tc>
          <w:tcPr>
            <w:tcW w:w="3286" w:type="dxa"/>
            <w:shd w:val="clear" w:color="auto" w:fill="EFDEE1" w:themeFill="accent2" w:themeFillTint="33"/>
          </w:tcPr>
          <w:p w14:paraId="19C3A92C" w14:textId="77777777" w:rsidR="001B41E8" w:rsidRPr="00292D9C" w:rsidRDefault="001B41E8" w:rsidP="00974E7F">
            <w:pPr>
              <w:spacing w:after="0"/>
            </w:pPr>
            <w:r w:rsidRPr="00292D9C">
              <w:t>Does the role align with government policy?</w:t>
            </w:r>
          </w:p>
        </w:tc>
        <w:tc>
          <w:tcPr>
            <w:tcW w:w="6975" w:type="dxa"/>
          </w:tcPr>
          <w:p w14:paraId="023DAC6B" w14:textId="77777777" w:rsidR="004455F5" w:rsidRPr="00292D9C" w:rsidRDefault="004455F5" w:rsidP="00974E7F">
            <w:pPr>
              <w:spacing w:after="0"/>
            </w:pPr>
            <w:r w:rsidRPr="00292D9C">
              <w:t xml:space="preserve">It’s important that any role aligns with existing government policy. For example, </w:t>
            </w:r>
            <w:r w:rsidR="00073697" w:rsidRPr="00292D9C">
              <w:t xml:space="preserve">does it align with </w:t>
            </w:r>
            <w:r w:rsidR="0069106A">
              <w:t>Government</w:t>
            </w:r>
            <w:r w:rsidR="0069106A" w:rsidRPr="00292D9C">
              <w:t xml:space="preserve"> </w:t>
            </w:r>
            <w:r w:rsidR="00073697" w:rsidRPr="00292D9C">
              <w:t>objectives</w:t>
            </w:r>
            <w:r w:rsidR="00B80603" w:rsidRPr="00292D9C">
              <w:t xml:space="preserve"> or areas of focus</w:t>
            </w:r>
            <w:r w:rsidR="00073697" w:rsidRPr="00292D9C">
              <w:t xml:space="preserve">? </w:t>
            </w:r>
          </w:p>
        </w:tc>
      </w:tr>
      <w:tr w:rsidR="001B41E8" w:rsidRPr="00292D9C" w14:paraId="5107DD85" w14:textId="77777777" w:rsidTr="00974E7F">
        <w:trPr>
          <w:trHeight w:val="460"/>
        </w:trPr>
        <w:tc>
          <w:tcPr>
            <w:tcW w:w="3286" w:type="dxa"/>
            <w:shd w:val="clear" w:color="auto" w:fill="EFDEE1" w:themeFill="accent2" w:themeFillTint="33"/>
          </w:tcPr>
          <w:p w14:paraId="56BAE16E" w14:textId="77777777" w:rsidR="001B41E8" w:rsidRPr="00292D9C" w:rsidRDefault="001B41E8" w:rsidP="00974E7F">
            <w:pPr>
              <w:spacing w:after="0"/>
            </w:pPr>
            <w:r w:rsidRPr="00292D9C">
              <w:t>Is the government well-equipped to deliver this role?</w:t>
            </w:r>
          </w:p>
          <w:p w14:paraId="5A6709F5" w14:textId="77777777" w:rsidR="001B41E8" w:rsidRPr="00292D9C" w:rsidRDefault="001B41E8" w:rsidP="00974E7F">
            <w:pPr>
              <w:spacing w:after="0"/>
            </w:pPr>
          </w:p>
        </w:tc>
        <w:tc>
          <w:tcPr>
            <w:tcW w:w="6975" w:type="dxa"/>
          </w:tcPr>
          <w:p w14:paraId="3DF5E368" w14:textId="77777777" w:rsidR="00CD4778" w:rsidRPr="00292D9C" w:rsidRDefault="00CD4778" w:rsidP="00974E7F">
            <w:pPr>
              <w:spacing w:after="0"/>
            </w:pPr>
            <w:r w:rsidRPr="00292D9C">
              <w:t xml:space="preserve">It’s important to consider whether: </w:t>
            </w:r>
          </w:p>
          <w:p w14:paraId="1D21D9BC" w14:textId="77777777" w:rsidR="001B41E8" w:rsidRPr="00292D9C" w:rsidRDefault="00CD4778" w:rsidP="00164DDE">
            <w:pPr>
              <w:pStyle w:val="ListParagraph"/>
              <w:numPr>
                <w:ilvl w:val="0"/>
                <w:numId w:val="158"/>
              </w:numPr>
              <w:spacing w:after="0"/>
            </w:pPr>
            <w:r w:rsidRPr="00292D9C">
              <w:t xml:space="preserve">Government has the right capabilities and resources to deliver the role. For example, considering internal evaluation capability </w:t>
            </w:r>
          </w:p>
          <w:p w14:paraId="36AAC9AE" w14:textId="77777777" w:rsidR="00CD4778" w:rsidRPr="00292D9C" w:rsidRDefault="00CD4778" w:rsidP="00164DDE">
            <w:pPr>
              <w:pStyle w:val="ListParagraph"/>
              <w:numPr>
                <w:ilvl w:val="0"/>
                <w:numId w:val="157"/>
              </w:numPr>
              <w:spacing w:after="0"/>
            </w:pPr>
            <w:r w:rsidRPr="00292D9C">
              <w:t>Government is best-placed to deliver. For example, does it disincentivise states and territories? Is it someone else’s role?</w:t>
            </w:r>
          </w:p>
        </w:tc>
      </w:tr>
      <w:tr w:rsidR="001B41E8" w:rsidRPr="00292D9C" w14:paraId="6ACF9131" w14:textId="77777777" w:rsidTr="00974E7F">
        <w:trPr>
          <w:trHeight w:val="447"/>
        </w:trPr>
        <w:tc>
          <w:tcPr>
            <w:tcW w:w="3286" w:type="dxa"/>
            <w:shd w:val="clear" w:color="auto" w:fill="EFDEE1" w:themeFill="accent2" w:themeFillTint="33"/>
          </w:tcPr>
          <w:p w14:paraId="35CA11D5" w14:textId="77777777" w:rsidR="001B41E8" w:rsidRPr="00292D9C" w:rsidRDefault="001B41E8" w:rsidP="00974E7F">
            <w:pPr>
              <w:spacing w:after="0"/>
            </w:pPr>
            <w:r w:rsidRPr="00292D9C">
              <w:t>Does the role deliver value for money?</w:t>
            </w:r>
          </w:p>
        </w:tc>
        <w:tc>
          <w:tcPr>
            <w:tcW w:w="6975" w:type="dxa"/>
          </w:tcPr>
          <w:p w14:paraId="241ADC0B" w14:textId="77777777" w:rsidR="001B41E8" w:rsidRPr="00292D9C" w:rsidRDefault="007A2926" w:rsidP="00974E7F">
            <w:pPr>
              <w:spacing w:after="0"/>
            </w:pPr>
            <w:r w:rsidRPr="00292D9C">
              <w:t>Where the role entails funding or resourcing, it’s important to consider:</w:t>
            </w:r>
          </w:p>
          <w:p w14:paraId="3578464C" w14:textId="77777777" w:rsidR="007A2926" w:rsidRPr="00292D9C" w:rsidRDefault="007A2926" w:rsidP="00164DDE">
            <w:pPr>
              <w:pStyle w:val="ListParagraph"/>
              <w:numPr>
                <w:ilvl w:val="0"/>
                <w:numId w:val="157"/>
              </w:numPr>
              <w:spacing w:after="0"/>
            </w:pPr>
            <w:r w:rsidRPr="00292D9C">
              <w:t>Potential ROI and impact</w:t>
            </w:r>
          </w:p>
          <w:p w14:paraId="622DA334" w14:textId="77777777" w:rsidR="00CD4778" w:rsidRPr="00292D9C" w:rsidRDefault="007A2926" w:rsidP="00164DDE">
            <w:pPr>
              <w:pStyle w:val="ListParagraph"/>
              <w:numPr>
                <w:ilvl w:val="0"/>
                <w:numId w:val="157"/>
              </w:numPr>
              <w:spacing w:after="0"/>
            </w:pPr>
            <w:r w:rsidRPr="00292D9C">
              <w:t xml:space="preserve">Whether there is a more effective or efficient approach </w:t>
            </w:r>
          </w:p>
          <w:p w14:paraId="0BDAFAAE" w14:textId="77777777" w:rsidR="007A2926" w:rsidRPr="00292D9C" w:rsidRDefault="007A2926" w:rsidP="00164DDE">
            <w:pPr>
              <w:pStyle w:val="ListParagraph"/>
              <w:numPr>
                <w:ilvl w:val="0"/>
                <w:numId w:val="157"/>
              </w:numPr>
              <w:spacing w:after="0"/>
            </w:pPr>
            <w:r w:rsidRPr="00292D9C">
              <w:t xml:space="preserve">Others are better placed to deliver.  </w:t>
            </w:r>
          </w:p>
        </w:tc>
      </w:tr>
    </w:tbl>
    <w:p w14:paraId="3801F68B" w14:textId="77777777" w:rsidR="00974E7F" w:rsidRDefault="00974E7F" w:rsidP="00A616D5"/>
    <w:p w14:paraId="3E5C0225" w14:textId="77777777" w:rsidR="00B64148" w:rsidRPr="00292D9C" w:rsidRDefault="001B41E8" w:rsidP="00A616D5">
      <w:pPr>
        <w:sectPr w:rsidR="00B64148" w:rsidRPr="00292D9C" w:rsidSect="00A272C5">
          <w:headerReference w:type="default" r:id="rId23"/>
          <w:footerReference w:type="default" r:id="rId24"/>
          <w:headerReference w:type="first" r:id="rId25"/>
          <w:footerReference w:type="first" r:id="rId26"/>
          <w:pgSz w:w="11906" w:h="16838" w:code="9"/>
          <w:pgMar w:top="720" w:right="1701" w:bottom="720" w:left="1134" w:header="567" w:footer="567" w:gutter="0"/>
          <w:cols w:space="708"/>
          <w:docGrid w:linePitch="360"/>
        </w:sectPr>
      </w:pPr>
      <w:r w:rsidRPr="00292D9C">
        <w:t xml:space="preserve">We then assessed each role against criteria. </w:t>
      </w:r>
      <w:r w:rsidR="00B64148" w:rsidRPr="00292D9C">
        <w:t xml:space="preserve">This is shown in the table provided below. </w:t>
      </w:r>
    </w:p>
    <w:p w14:paraId="6ACB2280" w14:textId="77777777" w:rsidR="00B64148" w:rsidRPr="00292D9C" w:rsidRDefault="00B64148" w:rsidP="00A616D5">
      <w:pPr>
        <w:pStyle w:val="CaptionFigure"/>
        <w:spacing w:before="0" w:after="120" w:line="360" w:lineRule="auto"/>
        <w:rPr>
          <w:sz w:val="22"/>
          <w:szCs w:val="22"/>
        </w:rPr>
      </w:pPr>
      <w:r w:rsidRPr="00292D9C">
        <w:rPr>
          <w:sz w:val="22"/>
          <w:szCs w:val="22"/>
        </w:rPr>
        <w:t xml:space="preserve">Table </w:t>
      </w:r>
      <w:r w:rsidR="00B36C1F">
        <w:rPr>
          <w:sz w:val="22"/>
          <w:szCs w:val="22"/>
        </w:rPr>
        <w:t>4</w:t>
      </w:r>
      <w:r w:rsidRPr="00292D9C">
        <w:rPr>
          <w:sz w:val="22"/>
          <w:szCs w:val="22"/>
        </w:rPr>
        <w:t xml:space="preserve">. Applying criteria to potential roles  </w:t>
      </w:r>
    </w:p>
    <w:tbl>
      <w:tblPr>
        <w:tblStyle w:val="TableGrid"/>
        <w:tblW w:w="0" w:type="auto"/>
        <w:tblLook w:val="04A0" w:firstRow="1" w:lastRow="0" w:firstColumn="1" w:lastColumn="0" w:noHBand="0" w:noVBand="1"/>
      </w:tblPr>
      <w:tblGrid>
        <w:gridCol w:w="3077"/>
        <w:gridCol w:w="3077"/>
        <w:gridCol w:w="3078"/>
        <w:gridCol w:w="3078"/>
        <w:gridCol w:w="3078"/>
      </w:tblGrid>
      <w:tr w:rsidR="00B64148" w:rsidRPr="00292D9C" w14:paraId="7698B449" w14:textId="77777777" w:rsidTr="007166A3">
        <w:tc>
          <w:tcPr>
            <w:tcW w:w="3077" w:type="dxa"/>
            <w:vMerge w:val="restart"/>
            <w:shd w:val="clear" w:color="auto" w:fill="931B2F" w:themeFill="accent1"/>
          </w:tcPr>
          <w:p w14:paraId="0DF77945" w14:textId="77777777" w:rsidR="00B64148" w:rsidRPr="00292D9C" w:rsidRDefault="00B64148" w:rsidP="00A616D5">
            <w:pPr>
              <w:rPr>
                <w:color w:val="FFFFFF" w:themeColor="background1"/>
                <w:sz w:val="20"/>
              </w:rPr>
            </w:pPr>
            <w:r w:rsidRPr="00292D9C">
              <w:rPr>
                <w:color w:val="FFFFFF" w:themeColor="background1"/>
                <w:sz w:val="20"/>
              </w:rPr>
              <w:t>Role</w:t>
            </w:r>
          </w:p>
        </w:tc>
        <w:tc>
          <w:tcPr>
            <w:tcW w:w="3077" w:type="dxa"/>
            <w:shd w:val="clear" w:color="auto" w:fill="931B2F" w:themeFill="accent1"/>
          </w:tcPr>
          <w:p w14:paraId="69F40DC7" w14:textId="77777777" w:rsidR="00B64148" w:rsidRPr="00292D9C" w:rsidRDefault="00B64148" w:rsidP="00A616D5">
            <w:pPr>
              <w:rPr>
                <w:color w:val="FFFFFF" w:themeColor="background1"/>
                <w:sz w:val="20"/>
              </w:rPr>
            </w:pPr>
            <w:r w:rsidRPr="00292D9C">
              <w:rPr>
                <w:color w:val="FFFFFF" w:themeColor="background1"/>
                <w:sz w:val="20"/>
              </w:rPr>
              <w:t>Criteria</w:t>
            </w:r>
          </w:p>
        </w:tc>
        <w:tc>
          <w:tcPr>
            <w:tcW w:w="3078" w:type="dxa"/>
            <w:shd w:val="clear" w:color="auto" w:fill="931B2F" w:themeFill="accent1"/>
          </w:tcPr>
          <w:p w14:paraId="52C17098" w14:textId="77777777" w:rsidR="00B64148" w:rsidRPr="00292D9C" w:rsidRDefault="00B64148" w:rsidP="00A616D5">
            <w:pPr>
              <w:rPr>
                <w:color w:val="FFFFFF" w:themeColor="background1"/>
                <w:sz w:val="20"/>
              </w:rPr>
            </w:pPr>
          </w:p>
        </w:tc>
        <w:tc>
          <w:tcPr>
            <w:tcW w:w="3078" w:type="dxa"/>
            <w:shd w:val="clear" w:color="auto" w:fill="931B2F" w:themeFill="accent1"/>
          </w:tcPr>
          <w:p w14:paraId="6209673C" w14:textId="77777777" w:rsidR="00B64148" w:rsidRPr="00292D9C" w:rsidRDefault="00B64148" w:rsidP="00A616D5">
            <w:pPr>
              <w:rPr>
                <w:color w:val="FFFFFF" w:themeColor="background1"/>
                <w:sz w:val="20"/>
              </w:rPr>
            </w:pPr>
          </w:p>
        </w:tc>
        <w:tc>
          <w:tcPr>
            <w:tcW w:w="3078" w:type="dxa"/>
            <w:vMerge w:val="restart"/>
            <w:shd w:val="clear" w:color="auto" w:fill="931B2F" w:themeFill="accent1"/>
          </w:tcPr>
          <w:p w14:paraId="1DCA57D8" w14:textId="77777777" w:rsidR="00B64148" w:rsidRPr="00292D9C" w:rsidRDefault="00B64148" w:rsidP="00A616D5">
            <w:pPr>
              <w:rPr>
                <w:color w:val="FFFFFF" w:themeColor="background1"/>
                <w:sz w:val="20"/>
              </w:rPr>
            </w:pPr>
            <w:r w:rsidRPr="00292D9C">
              <w:rPr>
                <w:color w:val="FFFFFF" w:themeColor="background1"/>
                <w:sz w:val="20"/>
              </w:rPr>
              <w:t>Assessment</w:t>
            </w:r>
          </w:p>
        </w:tc>
      </w:tr>
      <w:tr w:rsidR="00B64148" w:rsidRPr="00292D9C" w14:paraId="1CEC1B05" w14:textId="77777777" w:rsidTr="007166A3">
        <w:tc>
          <w:tcPr>
            <w:tcW w:w="3077" w:type="dxa"/>
            <w:vMerge/>
            <w:shd w:val="clear" w:color="auto" w:fill="931B2F" w:themeFill="accent1"/>
          </w:tcPr>
          <w:p w14:paraId="5B4944E9" w14:textId="77777777" w:rsidR="00B64148" w:rsidRPr="00292D9C" w:rsidRDefault="00B64148" w:rsidP="00A616D5">
            <w:pPr>
              <w:rPr>
                <w:color w:val="FFFFFF" w:themeColor="background1"/>
                <w:sz w:val="20"/>
              </w:rPr>
            </w:pPr>
          </w:p>
        </w:tc>
        <w:tc>
          <w:tcPr>
            <w:tcW w:w="3077" w:type="dxa"/>
            <w:shd w:val="clear" w:color="auto" w:fill="931B2F" w:themeFill="accent1"/>
          </w:tcPr>
          <w:p w14:paraId="24E58A2B" w14:textId="77777777" w:rsidR="00B64148" w:rsidRPr="00292D9C" w:rsidRDefault="00B64148" w:rsidP="00A616D5">
            <w:pPr>
              <w:rPr>
                <w:color w:val="FFFFFF" w:themeColor="background1"/>
                <w:sz w:val="20"/>
              </w:rPr>
            </w:pPr>
            <w:r w:rsidRPr="00292D9C">
              <w:rPr>
                <w:color w:val="FFFFFF" w:themeColor="background1"/>
                <w:sz w:val="20"/>
              </w:rPr>
              <w:t>Fills gaps</w:t>
            </w:r>
          </w:p>
        </w:tc>
        <w:tc>
          <w:tcPr>
            <w:tcW w:w="3078" w:type="dxa"/>
            <w:shd w:val="clear" w:color="auto" w:fill="931B2F" w:themeFill="accent1"/>
          </w:tcPr>
          <w:p w14:paraId="14F26033" w14:textId="77777777" w:rsidR="00B64148" w:rsidRPr="00292D9C" w:rsidRDefault="00B64148" w:rsidP="00A616D5">
            <w:pPr>
              <w:rPr>
                <w:color w:val="FFFFFF" w:themeColor="background1"/>
                <w:sz w:val="20"/>
              </w:rPr>
            </w:pPr>
            <w:r w:rsidRPr="00292D9C">
              <w:rPr>
                <w:color w:val="FFFFFF" w:themeColor="background1"/>
                <w:sz w:val="20"/>
              </w:rPr>
              <w:t>Aligns with policy</w:t>
            </w:r>
          </w:p>
        </w:tc>
        <w:tc>
          <w:tcPr>
            <w:tcW w:w="3078" w:type="dxa"/>
            <w:shd w:val="clear" w:color="auto" w:fill="931B2F" w:themeFill="accent1"/>
          </w:tcPr>
          <w:p w14:paraId="3161506E" w14:textId="77777777" w:rsidR="00B64148" w:rsidRPr="00292D9C" w:rsidRDefault="00B64148" w:rsidP="00A616D5">
            <w:pPr>
              <w:rPr>
                <w:color w:val="FFFFFF" w:themeColor="background1"/>
                <w:sz w:val="20"/>
              </w:rPr>
            </w:pPr>
            <w:r w:rsidRPr="00292D9C">
              <w:rPr>
                <w:color w:val="FFFFFF" w:themeColor="background1"/>
                <w:sz w:val="20"/>
              </w:rPr>
              <w:t>Ability to deliver</w:t>
            </w:r>
          </w:p>
        </w:tc>
        <w:tc>
          <w:tcPr>
            <w:tcW w:w="3078" w:type="dxa"/>
            <w:vMerge/>
            <w:shd w:val="clear" w:color="auto" w:fill="931B2F" w:themeFill="accent1"/>
          </w:tcPr>
          <w:p w14:paraId="7D5765DF" w14:textId="77777777" w:rsidR="00B64148" w:rsidRPr="00292D9C" w:rsidRDefault="00B64148" w:rsidP="00A616D5">
            <w:pPr>
              <w:rPr>
                <w:color w:val="FFFFFF" w:themeColor="background1"/>
                <w:sz w:val="20"/>
              </w:rPr>
            </w:pPr>
          </w:p>
        </w:tc>
      </w:tr>
      <w:tr w:rsidR="00B64148" w:rsidRPr="00292D9C" w14:paraId="7765E1B8" w14:textId="77777777" w:rsidTr="007166A3">
        <w:tc>
          <w:tcPr>
            <w:tcW w:w="3077" w:type="dxa"/>
            <w:shd w:val="clear" w:color="auto" w:fill="F2F2F2" w:themeFill="background1" w:themeFillShade="F2"/>
          </w:tcPr>
          <w:p w14:paraId="28D53DCC" w14:textId="77777777" w:rsidR="00B64148" w:rsidRPr="00292D9C" w:rsidRDefault="00B64148" w:rsidP="00A616D5">
            <w:pPr>
              <w:rPr>
                <w:sz w:val="20"/>
              </w:rPr>
            </w:pPr>
            <w:r w:rsidRPr="00292D9C">
              <w:rPr>
                <w:sz w:val="20"/>
              </w:rPr>
              <w:t>Celebrator and promotor</w:t>
            </w:r>
          </w:p>
        </w:tc>
        <w:tc>
          <w:tcPr>
            <w:tcW w:w="3077" w:type="dxa"/>
          </w:tcPr>
          <w:p w14:paraId="17B090AE" w14:textId="77777777" w:rsidR="00B64148" w:rsidRPr="00292D9C" w:rsidRDefault="00B64148" w:rsidP="00A616D5">
            <w:pPr>
              <w:rPr>
                <w:sz w:val="20"/>
              </w:rPr>
            </w:pPr>
            <w:r w:rsidRPr="00292D9C">
              <w:rPr>
                <w:sz w:val="20"/>
              </w:rPr>
              <w:t>There is not perceived as a gap by stakeholders</w:t>
            </w:r>
          </w:p>
          <w:p w14:paraId="6BAB2752" w14:textId="77777777" w:rsidR="00B64148" w:rsidRPr="00292D9C" w:rsidRDefault="00B64148" w:rsidP="00A616D5">
            <w:pPr>
              <w:rPr>
                <w:sz w:val="20"/>
              </w:rPr>
            </w:pPr>
            <w:r w:rsidRPr="00292D9C">
              <w:rPr>
                <w:sz w:val="20"/>
              </w:rPr>
              <w:t>Others play an ongoing role e.g. states and territories, tertiary institutions</w:t>
            </w:r>
          </w:p>
        </w:tc>
        <w:tc>
          <w:tcPr>
            <w:tcW w:w="3078" w:type="dxa"/>
          </w:tcPr>
          <w:p w14:paraId="201052E7" w14:textId="77777777" w:rsidR="00B64148" w:rsidRPr="00292D9C" w:rsidRDefault="00B64148" w:rsidP="00A616D5">
            <w:pPr>
              <w:rPr>
                <w:sz w:val="20"/>
              </w:rPr>
            </w:pPr>
            <w:r w:rsidRPr="00292D9C">
              <w:rPr>
                <w:sz w:val="20"/>
              </w:rPr>
              <w:t xml:space="preserve">Aligns with Australian Government policy in improving current and future STEM productivity  </w:t>
            </w:r>
          </w:p>
        </w:tc>
        <w:tc>
          <w:tcPr>
            <w:tcW w:w="3078" w:type="dxa"/>
          </w:tcPr>
          <w:p w14:paraId="2D4920CA" w14:textId="77777777" w:rsidR="00B64148" w:rsidRPr="00292D9C" w:rsidRDefault="00B64148" w:rsidP="00A616D5">
            <w:pPr>
              <w:rPr>
                <w:sz w:val="20"/>
              </w:rPr>
            </w:pPr>
            <w:r w:rsidRPr="00292D9C">
              <w:rPr>
                <w:sz w:val="20"/>
              </w:rPr>
              <w:t xml:space="preserve">Well-placed to improve national narrative based on existing partnerships, wide stakeholder network and credibility </w:t>
            </w:r>
          </w:p>
          <w:p w14:paraId="697BBA0D" w14:textId="77777777" w:rsidR="00B64148" w:rsidRPr="00292D9C" w:rsidRDefault="00B64148" w:rsidP="00A616D5">
            <w:pPr>
              <w:rPr>
                <w:sz w:val="20"/>
              </w:rPr>
            </w:pPr>
            <w:r w:rsidRPr="00292D9C">
              <w:rPr>
                <w:sz w:val="20"/>
              </w:rPr>
              <w:t>Australian Government shares successes through existing roles (e.g. promoting new innovative approaches)</w:t>
            </w:r>
          </w:p>
        </w:tc>
        <w:tc>
          <w:tcPr>
            <w:tcW w:w="3078" w:type="dxa"/>
          </w:tcPr>
          <w:p w14:paraId="4A9D684D" w14:textId="77777777" w:rsidR="00B64148" w:rsidRPr="00292D9C" w:rsidRDefault="00B64148" w:rsidP="00A616D5">
            <w:pPr>
              <w:rPr>
                <w:sz w:val="20"/>
              </w:rPr>
            </w:pPr>
            <w:r w:rsidRPr="00292D9C">
              <w:rPr>
                <w:sz w:val="20"/>
              </w:rPr>
              <w:t>While this seems like a good fit for the Australian Government given its existing networks and capabilities, there is no major gap in this area to fill and is not a priority.</w:t>
            </w:r>
          </w:p>
          <w:p w14:paraId="13B73B2D" w14:textId="77777777" w:rsidR="00B64148" w:rsidRPr="00292D9C" w:rsidRDefault="00B64148" w:rsidP="00A616D5">
            <w:pPr>
              <w:rPr>
                <w:sz w:val="20"/>
              </w:rPr>
            </w:pPr>
          </w:p>
        </w:tc>
      </w:tr>
      <w:tr w:rsidR="00B64148" w:rsidRPr="00292D9C" w14:paraId="5FB55C9A" w14:textId="77777777" w:rsidTr="007166A3">
        <w:tc>
          <w:tcPr>
            <w:tcW w:w="3077" w:type="dxa"/>
            <w:shd w:val="clear" w:color="auto" w:fill="F2F2F2" w:themeFill="background1" w:themeFillShade="F2"/>
          </w:tcPr>
          <w:p w14:paraId="1A914EC6" w14:textId="77777777" w:rsidR="00B64148" w:rsidRPr="00292D9C" w:rsidRDefault="00B64148" w:rsidP="00A616D5">
            <w:pPr>
              <w:rPr>
                <w:sz w:val="20"/>
              </w:rPr>
            </w:pPr>
            <w:r w:rsidRPr="00292D9C">
              <w:rPr>
                <w:sz w:val="20"/>
              </w:rPr>
              <w:t>Co-ordinator and linker</w:t>
            </w:r>
          </w:p>
        </w:tc>
        <w:tc>
          <w:tcPr>
            <w:tcW w:w="3077" w:type="dxa"/>
          </w:tcPr>
          <w:p w14:paraId="5387D061" w14:textId="77777777" w:rsidR="00B64148" w:rsidRPr="00292D9C" w:rsidRDefault="00B64148" w:rsidP="00A616D5">
            <w:pPr>
              <w:rPr>
                <w:sz w:val="20"/>
              </w:rPr>
            </w:pPr>
            <w:r w:rsidRPr="00292D9C">
              <w:rPr>
                <w:sz w:val="20"/>
              </w:rPr>
              <w:t xml:space="preserve">Stakeholders and research identify a particular gap in this area. Particularly given there are many players working in the STEM space across Australia, e.g. states and territories, industry, universities, not-for-profits – with common goals but different approaches. </w:t>
            </w:r>
          </w:p>
          <w:p w14:paraId="1C51F9E6" w14:textId="77777777" w:rsidR="00B64148" w:rsidRPr="00292D9C" w:rsidRDefault="00B64148" w:rsidP="00A616D5">
            <w:pPr>
              <w:rPr>
                <w:sz w:val="20"/>
              </w:rPr>
            </w:pPr>
            <w:r w:rsidRPr="00292D9C">
              <w:rPr>
                <w:sz w:val="20"/>
              </w:rPr>
              <w:t>There is also no natural incentive for other major stakeholders to take ownership of this role, for example no direct benefits to a state or territory in coordinating or facilitating efforts at a national level</w:t>
            </w:r>
          </w:p>
        </w:tc>
        <w:tc>
          <w:tcPr>
            <w:tcW w:w="3078" w:type="dxa"/>
          </w:tcPr>
          <w:p w14:paraId="0FECAC2C" w14:textId="77777777" w:rsidR="00B64148" w:rsidRPr="00292D9C" w:rsidRDefault="00B64148" w:rsidP="00A616D5">
            <w:pPr>
              <w:rPr>
                <w:sz w:val="20"/>
              </w:rPr>
            </w:pPr>
            <w:r w:rsidRPr="00292D9C">
              <w:rPr>
                <w:sz w:val="20"/>
              </w:rPr>
              <w:t xml:space="preserve">Aligns well with Australian Government objectives to support national consistency and ensuring equitable access to support across states and territories </w:t>
            </w:r>
          </w:p>
        </w:tc>
        <w:tc>
          <w:tcPr>
            <w:tcW w:w="3078" w:type="dxa"/>
          </w:tcPr>
          <w:p w14:paraId="0595CFA2" w14:textId="77777777" w:rsidR="00B64148" w:rsidRPr="00292D9C" w:rsidRDefault="00B64148" w:rsidP="00A616D5">
            <w:pPr>
              <w:rPr>
                <w:sz w:val="20"/>
              </w:rPr>
            </w:pPr>
            <w:r w:rsidRPr="00292D9C">
              <w:rPr>
                <w:sz w:val="20"/>
              </w:rPr>
              <w:t>The Australian Government is particularly well-placed to deliver this role because of its natural visibility at a national level, and its role in coordinating and liaising with major stakeholders and jurisdictions. In fact, the Australian Government already has many mechanisms in place to achieve this (e.g. national resources like Learning Potential</w:t>
            </w:r>
            <w:r w:rsidR="0069106A">
              <w:rPr>
                <w:sz w:val="20"/>
              </w:rPr>
              <w:t xml:space="preserve"> and the DT Hub</w:t>
            </w:r>
            <w:r w:rsidRPr="00292D9C">
              <w:rPr>
                <w:sz w:val="20"/>
              </w:rPr>
              <w:t xml:space="preserve">) and is well-regarded among stakeholders for this role. </w:t>
            </w:r>
          </w:p>
        </w:tc>
        <w:tc>
          <w:tcPr>
            <w:tcW w:w="3078" w:type="dxa"/>
          </w:tcPr>
          <w:p w14:paraId="5F4B1D71" w14:textId="77777777" w:rsidR="00B64148" w:rsidRPr="00292D9C" w:rsidRDefault="00B64148" w:rsidP="00A616D5">
            <w:pPr>
              <w:rPr>
                <w:sz w:val="20"/>
              </w:rPr>
            </w:pPr>
            <w:r w:rsidRPr="00292D9C">
              <w:rPr>
                <w:sz w:val="20"/>
              </w:rPr>
              <w:t xml:space="preserve">There is a significant opportunity for the Australian Government to leverage, and build on, its existing work and capabilities in this role to better coordinate and link STEM initiatives and stakeholders.  </w:t>
            </w:r>
          </w:p>
        </w:tc>
      </w:tr>
      <w:tr w:rsidR="00B64148" w:rsidRPr="00292D9C" w14:paraId="4422741F" w14:textId="77777777" w:rsidTr="007166A3">
        <w:tc>
          <w:tcPr>
            <w:tcW w:w="3077" w:type="dxa"/>
            <w:shd w:val="clear" w:color="auto" w:fill="F2F2F2" w:themeFill="background1" w:themeFillShade="F2"/>
          </w:tcPr>
          <w:p w14:paraId="4BAE7702" w14:textId="77777777" w:rsidR="00B64148" w:rsidRPr="00292D9C" w:rsidRDefault="00B64148" w:rsidP="00A616D5">
            <w:pPr>
              <w:rPr>
                <w:sz w:val="20"/>
              </w:rPr>
            </w:pPr>
            <w:r w:rsidRPr="00292D9C">
              <w:rPr>
                <w:sz w:val="20"/>
              </w:rPr>
              <w:t>Evaluator and assessor</w:t>
            </w:r>
          </w:p>
        </w:tc>
        <w:tc>
          <w:tcPr>
            <w:tcW w:w="3077" w:type="dxa"/>
          </w:tcPr>
          <w:p w14:paraId="7F185340" w14:textId="77777777" w:rsidR="00B64148" w:rsidRPr="00292D9C" w:rsidRDefault="00B64148" w:rsidP="00A616D5">
            <w:pPr>
              <w:rPr>
                <w:sz w:val="20"/>
              </w:rPr>
            </w:pPr>
            <w:r w:rsidRPr="00292D9C">
              <w:rPr>
                <w:sz w:val="20"/>
              </w:rPr>
              <w:t>While there is a strong evidence-base about what works in some aspects of STEM education, many areas are still mixed or disputed. There are opportunities to ensure all stakeholders – including the Australian Government - work towards building a consistent national consensus on what success looks like, and how to achieve it.</w:t>
            </w:r>
          </w:p>
        </w:tc>
        <w:tc>
          <w:tcPr>
            <w:tcW w:w="3078" w:type="dxa"/>
          </w:tcPr>
          <w:p w14:paraId="633EC20C" w14:textId="77777777" w:rsidR="00B64148" w:rsidRPr="00292D9C" w:rsidRDefault="00B64148" w:rsidP="00A616D5">
            <w:pPr>
              <w:rPr>
                <w:sz w:val="20"/>
              </w:rPr>
            </w:pPr>
            <w:r w:rsidRPr="00292D9C">
              <w:rPr>
                <w:sz w:val="20"/>
              </w:rPr>
              <w:t xml:space="preserve">Clear alignment with Australian Government policy and objectives to achieve specific STEM outcomes and monitor ongoing national performance </w:t>
            </w:r>
          </w:p>
        </w:tc>
        <w:tc>
          <w:tcPr>
            <w:tcW w:w="3078" w:type="dxa"/>
          </w:tcPr>
          <w:p w14:paraId="79A733AD" w14:textId="77777777" w:rsidR="00B64148" w:rsidRPr="00292D9C" w:rsidRDefault="00B64148" w:rsidP="00A616D5">
            <w:pPr>
              <w:rPr>
                <w:sz w:val="20"/>
              </w:rPr>
            </w:pPr>
            <w:r w:rsidRPr="00292D9C">
              <w:rPr>
                <w:sz w:val="20"/>
              </w:rPr>
              <w:t>The Australian Government is well suited to this role given its:</w:t>
            </w:r>
          </w:p>
          <w:p w14:paraId="1E767494" w14:textId="77777777" w:rsidR="00B64148" w:rsidRPr="00292D9C" w:rsidRDefault="00B64148" w:rsidP="00164DDE">
            <w:pPr>
              <w:pStyle w:val="ListParagraph"/>
              <w:numPr>
                <w:ilvl w:val="0"/>
                <w:numId w:val="165"/>
              </w:numPr>
              <w:rPr>
                <w:sz w:val="20"/>
              </w:rPr>
            </w:pPr>
            <w:r w:rsidRPr="00292D9C">
              <w:rPr>
                <w:sz w:val="20"/>
              </w:rPr>
              <w:t xml:space="preserve">Credibility as a source of expertise </w:t>
            </w:r>
          </w:p>
          <w:p w14:paraId="416307A4" w14:textId="77777777" w:rsidR="00B64148" w:rsidRPr="00292D9C" w:rsidRDefault="00B64148" w:rsidP="00164DDE">
            <w:pPr>
              <w:pStyle w:val="ListParagraph"/>
              <w:numPr>
                <w:ilvl w:val="0"/>
                <w:numId w:val="165"/>
              </w:numPr>
              <w:rPr>
                <w:sz w:val="20"/>
              </w:rPr>
            </w:pPr>
            <w:r w:rsidRPr="00292D9C">
              <w:rPr>
                <w:sz w:val="20"/>
              </w:rPr>
              <w:t>Role in providing leadership and advice to stakeholders</w:t>
            </w:r>
          </w:p>
          <w:p w14:paraId="0F28E90F" w14:textId="77777777" w:rsidR="00B64148" w:rsidRPr="00292D9C" w:rsidRDefault="00B64148" w:rsidP="00164DDE">
            <w:pPr>
              <w:pStyle w:val="ListParagraph"/>
              <w:numPr>
                <w:ilvl w:val="0"/>
                <w:numId w:val="165"/>
              </w:numPr>
              <w:rPr>
                <w:sz w:val="20"/>
              </w:rPr>
            </w:pPr>
            <w:r w:rsidRPr="00292D9C">
              <w:rPr>
                <w:sz w:val="20"/>
              </w:rPr>
              <w:t>Ability to collect data / evidence from a range of national sources, in particular evaluations across multiple jurisdictions</w:t>
            </w:r>
          </w:p>
          <w:p w14:paraId="2F81AD0E" w14:textId="77777777" w:rsidR="00B64148" w:rsidRPr="00292D9C" w:rsidRDefault="00B64148" w:rsidP="00A616D5">
            <w:pPr>
              <w:rPr>
                <w:sz w:val="20"/>
              </w:rPr>
            </w:pPr>
            <w:r w:rsidRPr="00292D9C">
              <w:rPr>
                <w:sz w:val="20"/>
              </w:rPr>
              <w:t xml:space="preserve">There are also opportunities to refine approaches to data collection and analysis – for example, more consistent approach to data collection – that the Australian Government is well-placed to focus on, given its role within many different initiatives.  </w:t>
            </w:r>
          </w:p>
        </w:tc>
        <w:tc>
          <w:tcPr>
            <w:tcW w:w="3078" w:type="dxa"/>
          </w:tcPr>
          <w:p w14:paraId="1CD8CC4D" w14:textId="77777777" w:rsidR="00B64148" w:rsidRPr="00292D9C" w:rsidRDefault="00B64148" w:rsidP="00A616D5">
            <w:pPr>
              <w:rPr>
                <w:sz w:val="20"/>
              </w:rPr>
            </w:pPr>
            <w:r w:rsidRPr="00292D9C">
              <w:rPr>
                <w:sz w:val="20"/>
              </w:rPr>
              <w:t>This is an important space for the Australian Government to continue investing effort. There are clear opportunities for the Government to oversee data collection approaches that facilitate a more consistent evidence-base that contributes to high-quality STEM education across Australia.</w:t>
            </w:r>
          </w:p>
        </w:tc>
      </w:tr>
      <w:tr w:rsidR="00B64148" w:rsidRPr="00292D9C" w14:paraId="60F54A92" w14:textId="77777777" w:rsidTr="007166A3">
        <w:tc>
          <w:tcPr>
            <w:tcW w:w="3077" w:type="dxa"/>
            <w:shd w:val="clear" w:color="auto" w:fill="F2F2F2" w:themeFill="background1" w:themeFillShade="F2"/>
          </w:tcPr>
          <w:p w14:paraId="78CDB468" w14:textId="77777777" w:rsidR="00B64148" w:rsidRPr="00292D9C" w:rsidRDefault="00B64148" w:rsidP="00A616D5">
            <w:pPr>
              <w:rPr>
                <w:sz w:val="20"/>
              </w:rPr>
            </w:pPr>
            <w:r w:rsidRPr="00292D9C">
              <w:rPr>
                <w:sz w:val="20"/>
              </w:rPr>
              <w:t>Capability builder</w:t>
            </w:r>
          </w:p>
        </w:tc>
        <w:tc>
          <w:tcPr>
            <w:tcW w:w="3077" w:type="dxa"/>
          </w:tcPr>
          <w:p w14:paraId="068EF03F" w14:textId="77777777" w:rsidR="00B64148" w:rsidRPr="00292D9C" w:rsidRDefault="00B64148" w:rsidP="00A616D5">
            <w:pPr>
              <w:rPr>
                <w:sz w:val="20"/>
              </w:rPr>
            </w:pPr>
            <w:r w:rsidRPr="00292D9C">
              <w:rPr>
                <w:sz w:val="20"/>
              </w:rPr>
              <w:t>Building system capability in STEM skills, for examples, principals, teachers and pre-service teachers, is a major driver for improving student outcomes.</w:t>
            </w:r>
          </w:p>
          <w:p w14:paraId="34A35B1B" w14:textId="77777777" w:rsidR="00B64148" w:rsidRPr="00292D9C" w:rsidRDefault="00B64148" w:rsidP="00A616D5">
            <w:pPr>
              <w:rPr>
                <w:sz w:val="20"/>
              </w:rPr>
            </w:pPr>
            <w:r w:rsidRPr="00292D9C">
              <w:rPr>
                <w:sz w:val="20"/>
              </w:rPr>
              <w:t xml:space="preserve">Stakeholders and research routinely identify this is a gap in the current landscape, and that high-quality capability building approaches would support stronger STEM performance and outcomes. However, states and territories also work in this space. </w:t>
            </w:r>
          </w:p>
        </w:tc>
        <w:tc>
          <w:tcPr>
            <w:tcW w:w="3078" w:type="dxa"/>
          </w:tcPr>
          <w:p w14:paraId="79EAF9D1" w14:textId="77777777" w:rsidR="00B64148" w:rsidRPr="00292D9C" w:rsidRDefault="00B64148" w:rsidP="00A616D5">
            <w:pPr>
              <w:rPr>
                <w:sz w:val="20"/>
              </w:rPr>
            </w:pPr>
            <w:r w:rsidRPr="00292D9C">
              <w:rPr>
                <w:sz w:val="20"/>
              </w:rPr>
              <w:t xml:space="preserve">Building the capability of the Australian education system naturally aligns with Government policy and objectives </w:t>
            </w:r>
          </w:p>
        </w:tc>
        <w:tc>
          <w:tcPr>
            <w:tcW w:w="3078" w:type="dxa"/>
          </w:tcPr>
          <w:p w14:paraId="467EAD0E" w14:textId="77777777" w:rsidR="0069106A" w:rsidRDefault="00B64148" w:rsidP="00A616D5">
            <w:pPr>
              <w:rPr>
                <w:sz w:val="20"/>
              </w:rPr>
            </w:pPr>
            <w:r w:rsidRPr="00292D9C">
              <w:rPr>
                <w:sz w:val="20"/>
              </w:rPr>
              <w:t xml:space="preserve">The Australian Government is well placed to play this role, also evidenced by the successes of existing teacher capability approaches through NISA. </w:t>
            </w:r>
          </w:p>
          <w:p w14:paraId="04C1BBBF" w14:textId="77777777" w:rsidR="00B64148" w:rsidRPr="00292D9C" w:rsidRDefault="00B64148" w:rsidP="00A616D5">
            <w:pPr>
              <w:rPr>
                <w:sz w:val="20"/>
              </w:rPr>
            </w:pPr>
            <w:r w:rsidRPr="00292D9C">
              <w:rPr>
                <w:sz w:val="20"/>
              </w:rPr>
              <w:t xml:space="preserve">There is an additional role the Government can play at a national level to map and assess capability gaps and opportunities across the system in aggregate, to complement and build on the work states and territories already do. </w:t>
            </w:r>
          </w:p>
        </w:tc>
        <w:tc>
          <w:tcPr>
            <w:tcW w:w="3078" w:type="dxa"/>
          </w:tcPr>
          <w:p w14:paraId="174C30B5" w14:textId="77777777" w:rsidR="00B64148" w:rsidRPr="00292D9C" w:rsidRDefault="00B64148" w:rsidP="00A616D5">
            <w:pPr>
              <w:rPr>
                <w:sz w:val="20"/>
              </w:rPr>
            </w:pPr>
            <w:r w:rsidRPr="00292D9C">
              <w:rPr>
                <w:sz w:val="20"/>
              </w:rPr>
              <w:t xml:space="preserve">The Australian Government should continue to build on its work in this role through initiatives that target system capability at a principal, teacher and pre-service teacher level to contribute to broader STEM goals. </w:t>
            </w:r>
          </w:p>
        </w:tc>
      </w:tr>
      <w:tr w:rsidR="00B64148" w:rsidRPr="00292D9C" w14:paraId="4A4E18B6" w14:textId="77777777" w:rsidTr="007166A3">
        <w:tc>
          <w:tcPr>
            <w:tcW w:w="3077" w:type="dxa"/>
            <w:shd w:val="clear" w:color="auto" w:fill="F2F2F2" w:themeFill="background1" w:themeFillShade="F2"/>
          </w:tcPr>
          <w:p w14:paraId="3D3AB36F" w14:textId="77777777" w:rsidR="00B64148" w:rsidRPr="00292D9C" w:rsidRDefault="00B64148" w:rsidP="00A616D5">
            <w:pPr>
              <w:rPr>
                <w:sz w:val="20"/>
              </w:rPr>
            </w:pPr>
            <w:r w:rsidRPr="00292D9C">
              <w:rPr>
                <w:sz w:val="20"/>
              </w:rPr>
              <w:t>Incubator</w:t>
            </w:r>
          </w:p>
        </w:tc>
        <w:tc>
          <w:tcPr>
            <w:tcW w:w="3077" w:type="dxa"/>
          </w:tcPr>
          <w:p w14:paraId="10026E7C" w14:textId="77777777" w:rsidR="00B64148" w:rsidRPr="00292D9C" w:rsidRDefault="00B64148" w:rsidP="009B1464">
            <w:pPr>
              <w:rPr>
                <w:sz w:val="20"/>
              </w:rPr>
            </w:pPr>
            <w:r w:rsidRPr="00292D9C">
              <w:rPr>
                <w:sz w:val="20"/>
              </w:rPr>
              <w:t>Many stakeholders in the system are able to play this role, and while valuable</w:t>
            </w:r>
            <w:r w:rsidR="00A9169C">
              <w:rPr>
                <w:sz w:val="20"/>
              </w:rPr>
              <w:t xml:space="preserve">, </w:t>
            </w:r>
            <w:r w:rsidR="009B1464">
              <w:rPr>
                <w:sz w:val="20"/>
              </w:rPr>
              <w:t xml:space="preserve">this </w:t>
            </w:r>
            <w:r w:rsidR="00A9169C">
              <w:rPr>
                <w:sz w:val="20"/>
              </w:rPr>
              <w:t xml:space="preserve">may not represent the </w:t>
            </w:r>
            <w:r w:rsidR="009B1464">
              <w:rPr>
                <w:sz w:val="20"/>
              </w:rPr>
              <w:t xml:space="preserve">best </w:t>
            </w:r>
            <w:r w:rsidR="00A9169C">
              <w:rPr>
                <w:sz w:val="20"/>
              </w:rPr>
              <w:t>area to priorit</w:t>
            </w:r>
            <w:r w:rsidR="009B1464">
              <w:rPr>
                <w:sz w:val="20"/>
              </w:rPr>
              <w:t>ise</w:t>
            </w:r>
            <w:r w:rsidR="00A9169C">
              <w:rPr>
                <w:sz w:val="20"/>
              </w:rPr>
              <w:t xml:space="preserve"> or focus</w:t>
            </w:r>
            <w:r w:rsidR="009B1464">
              <w:rPr>
                <w:sz w:val="20"/>
              </w:rPr>
              <w:t xml:space="preserve"> on</w:t>
            </w:r>
            <w:r w:rsidR="00A9169C">
              <w:rPr>
                <w:sz w:val="20"/>
              </w:rPr>
              <w:t xml:space="preserve">. </w:t>
            </w:r>
          </w:p>
        </w:tc>
        <w:tc>
          <w:tcPr>
            <w:tcW w:w="3078" w:type="dxa"/>
          </w:tcPr>
          <w:p w14:paraId="485557A0" w14:textId="77777777" w:rsidR="00B64148" w:rsidRPr="00292D9C" w:rsidRDefault="00B64148" w:rsidP="00A616D5">
            <w:pPr>
              <w:rPr>
                <w:sz w:val="20"/>
              </w:rPr>
            </w:pPr>
            <w:r w:rsidRPr="00292D9C">
              <w:rPr>
                <w:sz w:val="20"/>
              </w:rPr>
              <w:t>This role aligns with Government policy particularly as it relates to investing in initiatives that support STEM education outcomes</w:t>
            </w:r>
          </w:p>
        </w:tc>
        <w:tc>
          <w:tcPr>
            <w:tcW w:w="3078" w:type="dxa"/>
          </w:tcPr>
          <w:p w14:paraId="0D0F6108" w14:textId="77777777" w:rsidR="00B64148" w:rsidRPr="00292D9C" w:rsidRDefault="00B64148" w:rsidP="00A616D5">
            <w:pPr>
              <w:rPr>
                <w:sz w:val="20"/>
              </w:rPr>
            </w:pPr>
            <w:r w:rsidRPr="00292D9C">
              <w:rPr>
                <w:sz w:val="20"/>
              </w:rPr>
              <w:t>The Australian Government has the capability and resource in place to fulfil this role, however there is also a risk that stakeholders become over reliant on the Australian Government. In this sense, the Australian Government could continue its approach in investing in targeted initiatives where practical and there is scope for wide reach and impact.</w:t>
            </w:r>
          </w:p>
        </w:tc>
        <w:tc>
          <w:tcPr>
            <w:tcW w:w="3078" w:type="dxa"/>
          </w:tcPr>
          <w:p w14:paraId="220A2376" w14:textId="77777777" w:rsidR="00B64148" w:rsidRPr="00292D9C" w:rsidRDefault="00B64148" w:rsidP="00A616D5">
            <w:pPr>
              <w:rPr>
                <w:sz w:val="20"/>
              </w:rPr>
            </w:pPr>
            <w:r w:rsidRPr="00292D9C">
              <w:rPr>
                <w:sz w:val="20"/>
              </w:rPr>
              <w:t xml:space="preserve">There is a role for the Australian Government in this space, however it does not necessarily represent the highest priority given there is not a significant gap in stakeholders providing this support. </w:t>
            </w:r>
          </w:p>
          <w:p w14:paraId="79FF1824" w14:textId="77777777" w:rsidR="00B64148" w:rsidRPr="00292D9C" w:rsidRDefault="00B64148" w:rsidP="00A616D5">
            <w:pPr>
              <w:rPr>
                <w:sz w:val="20"/>
              </w:rPr>
            </w:pPr>
          </w:p>
        </w:tc>
      </w:tr>
      <w:tr w:rsidR="00B64148" w:rsidRPr="00292D9C" w14:paraId="388120AB" w14:textId="77777777" w:rsidTr="007166A3">
        <w:tc>
          <w:tcPr>
            <w:tcW w:w="3077" w:type="dxa"/>
            <w:shd w:val="clear" w:color="auto" w:fill="F2F2F2" w:themeFill="background1" w:themeFillShade="F2"/>
          </w:tcPr>
          <w:p w14:paraId="3116CCDE" w14:textId="77777777" w:rsidR="00B64148" w:rsidRPr="00292D9C" w:rsidRDefault="00B64148" w:rsidP="00A616D5">
            <w:pPr>
              <w:rPr>
                <w:sz w:val="20"/>
              </w:rPr>
            </w:pPr>
            <w:r w:rsidRPr="00292D9C">
              <w:rPr>
                <w:sz w:val="20"/>
              </w:rPr>
              <w:t>Accelerator</w:t>
            </w:r>
          </w:p>
        </w:tc>
        <w:tc>
          <w:tcPr>
            <w:tcW w:w="3077" w:type="dxa"/>
          </w:tcPr>
          <w:p w14:paraId="52BE36D1" w14:textId="77777777" w:rsidR="00B64148" w:rsidRPr="00292D9C" w:rsidRDefault="00B64148" w:rsidP="00A616D5">
            <w:pPr>
              <w:rPr>
                <w:sz w:val="20"/>
              </w:rPr>
            </w:pPr>
            <w:r w:rsidRPr="00292D9C">
              <w:rPr>
                <w:sz w:val="20"/>
              </w:rPr>
              <w:t>Initiatives often need more support to scale up, particularly to expand nationally. For example, local initiatives are generally scaled within each state or territory, but not always beyond that remit. There is low-risk that this would duplicate existing approaches. Stakeholders have appetite for the Australian Government to fill this gap.</w:t>
            </w:r>
          </w:p>
        </w:tc>
        <w:tc>
          <w:tcPr>
            <w:tcW w:w="3078" w:type="dxa"/>
          </w:tcPr>
          <w:p w14:paraId="6649C56B" w14:textId="77777777" w:rsidR="00B64148" w:rsidRPr="00292D9C" w:rsidRDefault="00B64148" w:rsidP="00A616D5">
            <w:pPr>
              <w:rPr>
                <w:sz w:val="20"/>
              </w:rPr>
            </w:pPr>
            <w:r w:rsidRPr="00292D9C">
              <w:rPr>
                <w:sz w:val="20"/>
              </w:rPr>
              <w:t xml:space="preserve">This role aligns with Government policy particularly as it relates to investing in national initiatives and architecture that support STEM education outcomes, and aiming to achieve national consistency </w:t>
            </w:r>
          </w:p>
        </w:tc>
        <w:tc>
          <w:tcPr>
            <w:tcW w:w="3078" w:type="dxa"/>
          </w:tcPr>
          <w:p w14:paraId="37277D60" w14:textId="77777777" w:rsidR="00B64148" w:rsidRPr="00292D9C" w:rsidRDefault="00B64148" w:rsidP="00A616D5">
            <w:pPr>
              <w:rPr>
                <w:sz w:val="20"/>
              </w:rPr>
            </w:pPr>
            <w:r w:rsidRPr="00292D9C">
              <w:rPr>
                <w:sz w:val="20"/>
              </w:rPr>
              <w:t xml:space="preserve">The Australian Government is uniquely placed to fill this gap because of its ability, and existing practice, in supporting initiatives to scale. Particularly at a national level. This represents an area where the Government can contribute a high level of impact. </w:t>
            </w:r>
          </w:p>
        </w:tc>
        <w:tc>
          <w:tcPr>
            <w:tcW w:w="3078" w:type="dxa"/>
          </w:tcPr>
          <w:p w14:paraId="0101AE1C" w14:textId="77777777" w:rsidR="00B64148" w:rsidRPr="00292D9C" w:rsidRDefault="00B64148" w:rsidP="00A616D5">
            <w:pPr>
              <w:rPr>
                <w:sz w:val="20"/>
              </w:rPr>
            </w:pPr>
            <w:r w:rsidRPr="00292D9C">
              <w:rPr>
                <w:sz w:val="20"/>
              </w:rPr>
              <w:t xml:space="preserve">There is significant scope for the Australian Government to continue playing a major role in this area. Particularly given its likelihood for national scale and impact. </w:t>
            </w:r>
          </w:p>
        </w:tc>
      </w:tr>
    </w:tbl>
    <w:p w14:paraId="4CCF1850" w14:textId="77777777" w:rsidR="00B64148" w:rsidRPr="00292D9C" w:rsidRDefault="00B64148" w:rsidP="00A616D5">
      <w:pPr>
        <w:sectPr w:rsidR="00B64148" w:rsidRPr="00292D9C" w:rsidSect="00B64148">
          <w:pgSz w:w="16838" w:h="11906" w:orient="landscape" w:code="9"/>
          <w:pgMar w:top="1701" w:right="720" w:bottom="1134" w:left="720" w:header="567" w:footer="567" w:gutter="0"/>
          <w:cols w:space="708"/>
          <w:docGrid w:linePitch="360"/>
        </w:sectPr>
      </w:pPr>
    </w:p>
    <w:p w14:paraId="3FE49259" w14:textId="77777777" w:rsidR="001B41E8" w:rsidRPr="00292D9C" w:rsidRDefault="001B41E8" w:rsidP="00A616D5">
      <w:pPr>
        <w:pStyle w:val="Heading3Normal"/>
        <w:spacing w:before="0" w:after="120"/>
        <w:rPr>
          <w:rFonts w:asciiTheme="minorHAnsi" w:hAnsiTheme="minorHAnsi"/>
        </w:rPr>
      </w:pPr>
      <w:r w:rsidRPr="00292D9C">
        <w:rPr>
          <w:rFonts w:asciiTheme="minorHAnsi" w:hAnsiTheme="minorHAnsi"/>
        </w:rPr>
        <w:t>The Australian Government could play a greater role in some areas – for example, building capability across the system – while placing less emphasis on others</w:t>
      </w:r>
    </w:p>
    <w:p w14:paraId="3ECF3FA4" w14:textId="77777777" w:rsidR="00B76E17" w:rsidRPr="00292D9C" w:rsidRDefault="00994A98" w:rsidP="00A616D5">
      <w:r w:rsidRPr="00292D9C">
        <w:t>Our analysis suggests that there are some clear areas that the Australian Government could maximise its role based on criteria</w:t>
      </w:r>
      <w:r w:rsidR="00B76E17" w:rsidRPr="00292D9C">
        <w:t>.</w:t>
      </w:r>
      <w:r w:rsidR="00B76E17" w:rsidRPr="00292D9C">
        <w:rPr>
          <w:rStyle w:val="FootnoteReference"/>
        </w:rPr>
        <w:footnoteReference w:id="44"/>
      </w:r>
      <w:r w:rsidRPr="00292D9C">
        <w:t xml:space="preserve"> </w:t>
      </w:r>
      <w:r w:rsidR="00B76E17" w:rsidRPr="00292D9C">
        <w:t>There is a clear opportunity to prioritise activities in:</w:t>
      </w:r>
    </w:p>
    <w:p w14:paraId="2FC95237" w14:textId="77777777" w:rsidR="00E6451D" w:rsidRPr="00292D9C" w:rsidRDefault="00E6451D" w:rsidP="00164DDE">
      <w:pPr>
        <w:pStyle w:val="ListParagraph"/>
        <w:numPr>
          <w:ilvl w:val="0"/>
          <w:numId w:val="164"/>
        </w:numPr>
      </w:pPr>
      <w:r w:rsidRPr="00292D9C">
        <w:t xml:space="preserve">Continuing to </w:t>
      </w:r>
      <w:r w:rsidRPr="00292D9C">
        <w:rPr>
          <w:b/>
          <w:bCs/>
        </w:rPr>
        <w:t xml:space="preserve">build </w:t>
      </w:r>
      <w:r>
        <w:rPr>
          <w:b/>
          <w:bCs/>
        </w:rPr>
        <w:t xml:space="preserve">STEM </w:t>
      </w:r>
      <w:r w:rsidRPr="00292D9C">
        <w:rPr>
          <w:b/>
          <w:bCs/>
        </w:rPr>
        <w:t>capability</w:t>
      </w:r>
      <w:r w:rsidRPr="00292D9C">
        <w:t xml:space="preserve"> </w:t>
      </w:r>
      <w:r>
        <w:t xml:space="preserve">among educators </w:t>
      </w:r>
      <w:r w:rsidRPr="00292D9C">
        <w:t xml:space="preserve">across the </w:t>
      </w:r>
      <w:r>
        <w:t xml:space="preserve">education </w:t>
      </w:r>
      <w:r w:rsidRPr="00292D9C">
        <w:t>system</w:t>
      </w:r>
    </w:p>
    <w:p w14:paraId="5963E770" w14:textId="77777777" w:rsidR="00E6451D" w:rsidRPr="00292D9C" w:rsidRDefault="00E6451D" w:rsidP="00164DDE">
      <w:pPr>
        <w:pStyle w:val="ListParagraph"/>
        <w:numPr>
          <w:ilvl w:val="0"/>
          <w:numId w:val="164"/>
        </w:numPr>
      </w:pPr>
      <w:r w:rsidRPr="00BA21DC">
        <w:t>Continuing to prioritise</w:t>
      </w:r>
      <w:r>
        <w:rPr>
          <w:b/>
          <w:bCs/>
        </w:rPr>
        <w:t xml:space="preserve"> s</w:t>
      </w:r>
      <w:r w:rsidRPr="00292D9C">
        <w:rPr>
          <w:b/>
          <w:bCs/>
        </w:rPr>
        <w:t>caling up</w:t>
      </w:r>
      <w:r w:rsidRPr="00292D9C">
        <w:t xml:space="preserve"> initiatives to a national level </w:t>
      </w:r>
    </w:p>
    <w:p w14:paraId="68B29D42" w14:textId="77777777" w:rsidR="00B76E17" w:rsidRPr="00292D9C" w:rsidRDefault="00B76E17" w:rsidP="00164DDE">
      <w:pPr>
        <w:pStyle w:val="ListParagraph"/>
        <w:numPr>
          <w:ilvl w:val="0"/>
          <w:numId w:val="164"/>
        </w:numPr>
      </w:pPr>
      <w:r w:rsidRPr="00292D9C">
        <w:t xml:space="preserve">Building a robust and consistent </w:t>
      </w:r>
      <w:r w:rsidRPr="00292D9C">
        <w:rPr>
          <w:b/>
          <w:bCs/>
        </w:rPr>
        <w:t>national evidence base</w:t>
      </w:r>
      <w:r w:rsidRPr="00292D9C">
        <w:t xml:space="preserve"> on what success looks like in STEM education </w:t>
      </w:r>
    </w:p>
    <w:p w14:paraId="2747EA8F" w14:textId="77777777" w:rsidR="00B76E17" w:rsidRPr="00292D9C" w:rsidRDefault="00B76E17" w:rsidP="00164DDE">
      <w:pPr>
        <w:pStyle w:val="ListParagraph"/>
        <w:numPr>
          <w:ilvl w:val="0"/>
          <w:numId w:val="164"/>
        </w:numPr>
      </w:pPr>
      <w:r w:rsidRPr="00292D9C">
        <w:t xml:space="preserve">Leveraging existing networks and relationships to </w:t>
      </w:r>
      <w:r w:rsidRPr="00292D9C">
        <w:rPr>
          <w:b/>
          <w:bCs/>
        </w:rPr>
        <w:t>coordinate and link actors</w:t>
      </w:r>
      <w:r w:rsidRPr="00292D9C">
        <w:t xml:space="preserve"> in the STEM space for collaboration  </w:t>
      </w:r>
    </w:p>
    <w:p w14:paraId="0CFE33EA" w14:textId="77777777" w:rsidR="007B0526" w:rsidRPr="00292D9C" w:rsidRDefault="00994A98" w:rsidP="00A616D5">
      <w:r w:rsidRPr="00292D9C">
        <w:t xml:space="preserve">This analysis does not mean to suggest that the Australian Government should </w:t>
      </w:r>
      <w:r w:rsidRPr="00292D9C">
        <w:rPr>
          <w:b/>
          <w:bCs/>
        </w:rPr>
        <w:t xml:space="preserve">only </w:t>
      </w:r>
      <w:r w:rsidRPr="00292D9C">
        <w:t xml:space="preserve">focus on certain roles. Rather, </w:t>
      </w:r>
      <w:r w:rsidR="00913FBE" w:rsidRPr="00292D9C">
        <w:t xml:space="preserve">it is a useful framing to inform </w:t>
      </w:r>
      <w:r w:rsidRPr="00292D9C">
        <w:t>where it might make sense to</w:t>
      </w:r>
      <w:r w:rsidR="00913FBE" w:rsidRPr="00292D9C">
        <w:t xml:space="preserve"> intervene and invest based on need and potential for impact. </w:t>
      </w:r>
      <w:r w:rsidR="00B64148" w:rsidRPr="00292D9C">
        <w:t>Put another way, w</w:t>
      </w:r>
      <w:r w:rsidR="009F72C0" w:rsidRPr="00292D9C">
        <w:t xml:space="preserve">e do not suggest refraining entirely from other activities, for example, investing in pilots, but acknowledge that the Australian Government should maximise its strengths to best achieve STEM objectives. </w:t>
      </w:r>
    </w:p>
    <w:p w14:paraId="0F1A41D2" w14:textId="77777777" w:rsidR="00076964" w:rsidRPr="00292D9C" w:rsidRDefault="00076964" w:rsidP="00A616D5"/>
    <w:p w14:paraId="7D5BD666" w14:textId="77777777" w:rsidR="00045F03" w:rsidRPr="00292D9C" w:rsidRDefault="00045F03" w:rsidP="00A616D5"/>
    <w:p w14:paraId="473D0156" w14:textId="77777777" w:rsidR="00045F03" w:rsidRPr="00292D9C" w:rsidRDefault="00045F03" w:rsidP="00A616D5"/>
    <w:p w14:paraId="0A692ADE" w14:textId="77777777" w:rsidR="00045F03" w:rsidRPr="00292D9C" w:rsidRDefault="00045F03" w:rsidP="00A616D5"/>
    <w:p w14:paraId="7F9E4C54" w14:textId="77777777" w:rsidR="00045F03" w:rsidRPr="00292D9C" w:rsidRDefault="00045F03" w:rsidP="00A616D5"/>
    <w:p w14:paraId="76E32FDE" w14:textId="77777777" w:rsidR="004139D4" w:rsidRPr="00292D9C" w:rsidRDefault="004139D4" w:rsidP="00A616D5">
      <w:pPr>
        <w:sectPr w:rsidR="004139D4" w:rsidRPr="00292D9C" w:rsidSect="00A272C5">
          <w:pgSz w:w="11906" w:h="16838" w:code="9"/>
          <w:pgMar w:top="720" w:right="1701" w:bottom="720" w:left="1134" w:header="567" w:footer="567" w:gutter="0"/>
          <w:cols w:space="708"/>
          <w:docGrid w:linePitch="360"/>
        </w:sectPr>
      </w:pPr>
    </w:p>
    <w:p w14:paraId="04B05382" w14:textId="77777777" w:rsidR="00B96D75" w:rsidRPr="00292D9C" w:rsidRDefault="00076964" w:rsidP="00A616D5">
      <w:pPr>
        <w:pStyle w:val="Heading1"/>
        <w:spacing w:before="0" w:after="120" w:line="360" w:lineRule="auto"/>
        <w:rPr>
          <w:rFonts w:asciiTheme="minorHAnsi" w:hAnsiTheme="minorHAnsi"/>
          <w:lang w:eastAsia="en-GB"/>
        </w:rPr>
      </w:pPr>
      <w:bookmarkStart w:id="113" w:name="_Toc25162062"/>
      <w:r w:rsidRPr="00292D9C">
        <w:rPr>
          <w:rFonts w:asciiTheme="minorHAnsi" w:hAnsiTheme="minorHAnsi"/>
        </w:rPr>
        <w:t xml:space="preserve">Where should the </w:t>
      </w:r>
      <w:r w:rsidR="00701BD8" w:rsidRPr="00292D9C">
        <w:rPr>
          <w:rFonts w:asciiTheme="minorHAnsi" w:hAnsiTheme="minorHAnsi"/>
        </w:rPr>
        <w:t xml:space="preserve">Australian Government </w:t>
      </w:r>
      <w:r w:rsidRPr="00292D9C">
        <w:rPr>
          <w:rFonts w:asciiTheme="minorHAnsi" w:hAnsiTheme="minorHAnsi"/>
        </w:rPr>
        <w:t>place its focus</w:t>
      </w:r>
      <w:r w:rsidR="00F02DA2" w:rsidRPr="00292D9C">
        <w:rPr>
          <w:rFonts w:asciiTheme="minorHAnsi" w:hAnsiTheme="minorHAnsi"/>
        </w:rPr>
        <w:t>?</w:t>
      </w:r>
      <w:bookmarkEnd w:id="113"/>
    </w:p>
    <w:p w14:paraId="7B805F71" w14:textId="77777777" w:rsidR="00D83F50" w:rsidRPr="00292D9C" w:rsidRDefault="00293445" w:rsidP="00A616D5">
      <w:pPr>
        <w:rPr>
          <w:lang w:eastAsia="en-GB"/>
        </w:rPr>
      </w:pPr>
      <w:r w:rsidRPr="00292D9C">
        <w:rPr>
          <w:lang w:eastAsia="en-GB"/>
        </w:rPr>
        <w:t>This section draws conclusions and recommendations about the future strategy for STEM education by using the same lense</w:t>
      </w:r>
      <w:r w:rsidR="00B32688" w:rsidRPr="00292D9C">
        <w:rPr>
          <w:lang w:eastAsia="en-GB"/>
        </w:rPr>
        <w:t>s</w:t>
      </w:r>
      <w:r w:rsidRPr="00292D9C">
        <w:rPr>
          <w:lang w:eastAsia="en-GB"/>
        </w:rPr>
        <w:t xml:space="preserve"> of analysis as earlier sections and drawing on the considerations of appropriate roles for the </w:t>
      </w:r>
      <w:r w:rsidR="00701BD8" w:rsidRPr="00292D9C">
        <w:rPr>
          <w:lang w:eastAsia="en-GB"/>
        </w:rPr>
        <w:t>Australian Government</w:t>
      </w:r>
      <w:r w:rsidR="005135F9" w:rsidRPr="00292D9C">
        <w:rPr>
          <w:lang w:eastAsia="en-GB"/>
        </w:rPr>
        <w:t>.</w:t>
      </w:r>
      <w:r w:rsidR="00B774FA" w:rsidRPr="00292D9C">
        <w:rPr>
          <w:lang w:eastAsia="en-GB"/>
        </w:rPr>
        <w:t xml:space="preserve"> Figure</w:t>
      </w:r>
      <w:r w:rsidR="00DD032B" w:rsidRPr="00292D9C">
        <w:rPr>
          <w:lang w:eastAsia="en-GB"/>
        </w:rPr>
        <w:t xml:space="preserve"> 2</w:t>
      </w:r>
      <w:r w:rsidR="00372242" w:rsidRPr="00292D9C">
        <w:rPr>
          <w:lang w:eastAsia="en-GB"/>
        </w:rPr>
        <w:t>4</w:t>
      </w:r>
      <w:r w:rsidR="00B774FA" w:rsidRPr="00292D9C">
        <w:rPr>
          <w:lang w:eastAsia="en-GB"/>
        </w:rPr>
        <w:t xml:space="preserve"> provides a high-level summary and rationale </w:t>
      </w:r>
      <w:r w:rsidR="00B32688" w:rsidRPr="00292D9C">
        <w:rPr>
          <w:lang w:eastAsia="en-GB"/>
        </w:rPr>
        <w:t xml:space="preserve">for </w:t>
      </w:r>
      <w:r w:rsidR="00B774FA" w:rsidRPr="00292D9C">
        <w:rPr>
          <w:lang w:eastAsia="en-GB"/>
        </w:rPr>
        <w:t xml:space="preserve">each of these. </w:t>
      </w:r>
    </w:p>
    <w:p w14:paraId="06DA5B41" w14:textId="77777777" w:rsidR="00D11B76" w:rsidRPr="00292D9C" w:rsidRDefault="00B774FA" w:rsidP="00A616D5">
      <w:pPr>
        <w:rPr>
          <w:lang w:eastAsia="en-GB"/>
        </w:rPr>
      </w:pPr>
      <w:r w:rsidRPr="00292D9C">
        <w:rPr>
          <w:lang w:eastAsia="en-GB"/>
        </w:rPr>
        <w:t>The following section provides more detailed explanations of each</w:t>
      </w:r>
      <w:r w:rsidR="00B36C1F" w:rsidRPr="00B36C1F">
        <w:rPr>
          <w:noProof/>
        </w:rPr>
        <w:t xml:space="preserve"> </w:t>
      </w:r>
      <w:r w:rsidRPr="00292D9C">
        <w:rPr>
          <w:lang w:eastAsia="en-GB"/>
        </w:rPr>
        <w:t>of the conclusions and recommendations.</w:t>
      </w:r>
    </w:p>
    <w:p w14:paraId="01EB80FE" w14:textId="77777777" w:rsidR="00D41D8D" w:rsidRDefault="00475B1B" w:rsidP="00A616D5">
      <w:pPr>
        <w:pStyle w:val="Heading3Normal"/>
        <w:spacing w:before="0" w:after="120"/>
        <w:rPr>
          <w:rFonts w:asciiTheme="minorHAnsi" w:hAnsiTheme="minorHAnsi"/>
          <w:color w:val="000000" w:themeColor="text1"/>
          <w:szCs w:val="22"/>
        </w:rPr>
      </w:pPr>
      <w:r w:rsidRPr="00292D9C">
        <w:rPr>
          <w:rFonts w:asciiTheme="minorHAnsi" w:hAnsiTheme="minorHAnsi"/>
          <w:color w:val="000000" w:themeColor="text1"/>
          <w:szCs w:val="22"/>
        </w:rPr>
        <w:t xml:space="preserve">Figure </w:t>
      </w:r>
      <w:r w:rsidR="00B36C1F">
        <w:rPr>
          <w:rFonts w:asciiTheme="minorHAnsi" w:hAnsiTheme="minorHAnsi"/>
          <w:color w:val="000000" w:themeColor="text1"/>
          <w:szCs w:val="22"/>
        </w:rPr>
        <w:t>20.</w:t>
      </w:r>
      <w:r w:rsidRPr="00292D9C">
        <w:rPr>
          <w:rFonts w:asciiTheme="minorHAnsi" w:hAnsiTheme="minorHAnsi"/>
          <w:color w:val="000000" w:themeColor="text1"/>
          <w:szCs w:val="22"/>
        </w:rPr>
        <w:t xml:space="preserve"> Summary of conclusions and recommendations</w:t>
      </w:r>
      <w:bookmarkStart w:id="114" w:name="_Toc16707166"/>
    </w:p>
    <w:tbl>
      <w:tblPr>
        <w:tblStyle w:val="TableGrid"/>
        <w:tblW w:w="11341" w:type="dxa"/>
        <w:tblInd w:w="-856" w:type="dxa"/>
        <w:tblLook w:val="04A0" w:firstRow="1" w:lastRow="0" w:firstColumn="1" w:lastColumn="0" w:noHBand="0" w:noVBand="1"/>
      </w:tblPr>
      <w:tblGrid>
        <w:gridCol w:w="851"/>
        <w:gridCol w:w="2410"/>
        <w:gridCol w:w="4536"/>
        <w:gridCol w:w="3544"/>
      </w:tblGrid>
      <w:tr w:rsidR="00E135D3" w:rsidRPr="00B54914" w14:paraId="4D556AAB" w14:textId="77777777" w:rsidTr="007E2D07">
        <w:trPr>
          <w:trHeight w:val="589"/>
        </w:trPr>
        <w:tc>
          <w:tcPr>
            <w:tcW w:w="851" w:type="dxa"/>
            <w:tcBorders>
              <w:top w:val="single" w:sz="4" w:space="0" w:color="FFFFFF"/>
              <w:left w:val="single" w:sz="4" w:space="0" w:color="FFFFFF"/>
              <w:bottom w:val="dashed" w:sz="4" w:space="0" w:color="FFFFFF"/>
              <w:right w:val="single" w:sz="4" w:space="0" w:color="FFFFFF"/>
            </w:tcBorders>
          </w:tcPr>
          <w:p w14:paraId="42C0427A" w14:textId="77777777" w:rsidR="00E135D3" w:rsidRPr="00B54914" w:rsidRDefault="00E135D3" w:rsidP="007E2D07">
            <w:pPr>
              <w:pStyle w:val="Heading2"/>
              <w:spacing w:line="276" w:lineRule="auto"/>
              <w:rPr>
                <w:color w:val="4D4D4D" w:themeColor="text2"/>
                <w:sz w:val="21"/>
                <w:szCs w:val="21"/>
              </w:rPr>
            </w:pPr>
          </w:p>
          <w:p w14:paraId="64C3109F" w14:textId="77777777" w:rsidR="00E135D3" w:rsidRPr="00B54914" w:rsidRDefault="00E135D3" w:rsidP="007E2D07">
            <w:pPr>
              <w:spacing w:line="276" w:lineRule="auto"/>
              <w:rPr>
                <w:sz w:val="21"/>
                <w:szCs w:val="21"/>
              </w:rPr>
            </w:pPr>
          </w:p>
        </w:tc>
        <w:tc>
          <w:tcPr>
            <w:tcW w:w="2410" w:type="dxa"/>
            <w:tcBorders>
              <w:top w:val="single" w:sz="4" w:space="0" w:color="FFFFFF"/>
              <w:left w:val="single" w:sz="4" w:space="0" w:color="FFFFFF"/>
              <w:right w:val="single" w:sz="4" w:space="0" w:color="FFFFFF"/>
            </w:tcBorders>
            <w:vAlign w:val="center"/>
          </w:tcPr>
          <w:p w14:paraId="2A618D7D" w14:textId="77777777" w:rsidR="00E135D3" w:rsidRPr="00B54914" w:rsidRDefault="00E135D3" w:rsidP="007E2D07">
            <w:pPr>
              <w:spacing w:line="276" w:lineRule="auto"/>
              <w:jc w:val="center"/>
              <w:rPr>
                <w:b/>
                <w:bCs/>
                <w:sz w:val="21"/>
                <w:szCs w:val="21"/>
                <w:lang w:val="en-US"/>
              </w:rPr>
            </w:pPr>
            <w:r w:rsidRPr="00B54914">
              <w:rPr>
                <w:b/>
                <w:bCs/>
                <w:sz w:val="21"/>
                <w:szCs w:val="21"/>
              </w:rPr>
              <w:t>Analytical lens</w:t>
            </w:r>
          </w:p>
        </w:tc>
        <w:tc>
          <w:tcPr>
            <w:tcW w:w="4536" w:type="dxa"/>
            <w:tcBorders>
              <w:top w:val="single" w:sz="4" w:space="0" w:color="FFFFFF"/>
              <w:left w:val="single" w:sz="4" w:space="0" w:color="FFFFFF"/>
              <w:right w:val="single" w:sz="4" w:space="0" w:color="FFFFFF"/>
            </w:tcBorders>
            <w:vAlign w:val="center"/>
          </w:tcPr>
          <w:p w14:paraId="7B7DB332" w14:textId="77777777" w:rsidR="00E135D3" w:rsidRPr="00B54914" w:rsidRDefault="00E135D3" w:rsidP="007E2D07">
            <w:pPr>
              <w:spacing w:line="276" w:lineRule="auto"/>
              <w:jc w:val="center"/>
              <w:rPr>
                <w:b/>
                <w:bCs/>
                <w:sz w:val="21"/>
                <w:szCs w:val="21"/>
              </w:rPr>
            </w:pPr>
            <w:r w:rsidRPr="00B54914">
              <w:rPr>
                <w:b/>
                <w:bCs/>
                <w:sz w:val="21"/>
                <w:szCs w:val="21"/>
              </w:rPr>
              <w:t>Conclusion / recommendation</w:t>
            </w:r>
          </w:p>
        </w:tc>
        <w:tc>
          <w:tcPr>
            <w:tcW w:w="3544" w:type="dxa"/>
            <w:tcBorders>
              <w:top w:val="single" w:sz="4" w:space="0" w:color="FFFFFF"/>
              <w:left w:val="single" w:sz="4" w:space="0" w:color="FFFFFF"/>
              <w:right w:val="single" w:sz="4" w:space="0" w:color="FFFFFF"/>
            </w:tcBorders>
            <w:vAlign w:val="center"/>
          </w:tcPr>
          <w:p w14:paraId="20508D9C" w14:textId="77777777" w:rsidR="00E135D3" w:rsidRPr="00B54914" w:rsidRDefault="00E135D3" w:rsidP="007E2D07">
            <w:pPr>
              <w:spacing w:line="276" w:lineRule="auto"/>
              <w:jc w:val="center"/>
              <w:rPr>
                <w:b/>
                <w:bCs/>
                <w:sz w:val="21"/>
                <w:szCs w:val="21"/>
              </w:rPr>
            </w:pPr>
            <w:r w:rsidRPr="00B54914">
              <w:rPr>
                <w:b/>
                <w:bCs/>
                <w:sz w:val="21"/>
                <w:szCs w:val="21"/>
              </w:rPr>
              <w:t>Rationale</w:t>
            </w:r>
          </w:p>
        </w:tc>
      </w:tr>
      <w:tr w:rsidR="00E135D3" w:rsidRPr="00B54914" w14:paraId="1D334266" w14:textId="77777777" w:rsidTr="007E2D07">
        <w:tc>
          <w:tcPr>
            <w:tcW w:w="851" w:type="dxa"/>
            <w:vMerge w:val="restart"/>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60EA0985" w14:textId="77777777" w:rsidR="00E135D3" w:rsidRPr="00B54914" w:rsidRDefault="00E135D3" w:rsidP="007E2D07">
            <w:pPr>
              <w:pStyle w:val="Heading2"/>
              <w:spacing w:line="276" w:lineRule="auto"/>
              <w:jc w:val="center"/>
              <w:rPr>
                <w:b/>
                <w:bCs/>
                <w:i/>
                <w:iCs/>
                <w:color w:val="4D4D4D" w:themeColor="text2"/>
                <w:sz w:val="21"/>
                <w:szCs w:val="21"/>
              </w:rPr>
            </w:pPr>
            <w:bookmarkStart w:id="115" w:name="_Toc25162063"/>
            <w:r w:rsidRPr="00B54914">
              <w:rPr>
                <w:b/>
                <w:bCs/>
                <w:i/>
                <w:iCs/>
                <w:color w:val="FFFFFF" w:themeColor="background1"/>
                <w:sz w:val="21"/>
                <w:szCs w:val="21"/>
              </w:rPr>
              <w:t>Why</w:t>
            </w:r>
            <w:bookmarkEnd w:id="115"/>
          </w:p>
        </w:tc>
        <w:tc>
          <w:tcPr>
            <w:tcW w:w="2410" w:type="dxa"/>
            <w:tcBorders>
              <w:left w:val="dashed" w:sz="4" w:space="0" w:color="FFFFFF"/>
            </w:tcBorders>
          </w:tcPr>
          <w:p w14:paraId="0D7C26A2" w14:textId="77777777" w:rsidR="00E135D3" w:rsidRPr="00B54914" w:rsidRDefault="00E135D3" w:rsidP="007E2D07">
            <w:pPr>
              <w:spacing w:line="276" w:lineRule="auto"/>
              <w:rPr>
                <w:sz w:val="21"/>
                <w:szCs w:val="21"/>
              </w:rPr>
            </w:pPr>
            <w:r w:rsidRPr="00B54914">
              <w:rPr>
                <w:b/>
                <w:bCs/>
                <w:sz w:val="21"/>
                <w:szCs w:val="21"/>
                <w:lang w:val="en-US"/>
              </w:rPr>
              <w:t>Should initiatives focus on student engagement or achievement?</w:t>
            </w:r>
          </w:p>
        </w:tc>
        <w:tc>
          <w:tcPr>
            <w:tcW w:w="4536" w:type="dxa"/>
          </w:tcPr>
          <w:p w14:paraId="6EE2DD3B" w14:textId="77777777" w:rsidR="00E135D3" w:rsidRPr="00B54914" w:rsidRDefault="00E135D3" w:rsidP="00164DDE">
            <w:pPr>
              <w:pStyle w:val="ListParagraph"/>
              <w:numPr>
                <w:ilvl w:val="0"/>
                <w:numId w:val="178"/>
              </w:numPr>
              <w:spacing w:after="0" w:line="276" w:lineRule="auto"/>
              <w:rPr>
                <w:sz w:val="21"/>
                <w:szCs w:val="21"/>
              </w:rPr>
            </w:pPr>
            <w:r w:rsidRPr="00B54914">
              <w:rPr>
                <w:sz w:val="21"/>
                <w:szCs w:val="21"/>
              </w:rPr>
              <w:t>The Australian Government should continue investing in initiatives that promote both engagement and achievement, particularly noting that engagement is integral to future STEM education outcomes.</w:t>
            </w:r>
          </w:p>
        </w:tc>
        <w:tc>
          <w:tcPr>
            <w:tcW w:w="3544" w:type="dxa"/>
          </w:tcPr>
          <w:p w14:paraId="104E0C1C" w14:textId="77777777" w:rsidR="00E135D3" w:rsidRPr="00B54914" w:rsidRDefault="00E135D3" w:rsidP="007E2D07">
            <w:pPr>
              <w:spacing w:line="276" w:lineRule="auto"/>
              <w:rPr>
                <w:sz w:val="21"/>
                <w:szCs w:val="21"/>
              </w:rPr>
            </w:pPr>
            <w:r w:rsidRPr="00B54914">
              <w:rPr>
                <w:sz w:val="21"/>
                <w:szCs w:val="21"/>
                <w:lang w:val="en-US"/>
              </w:rPr>
              <w:t>This approach acknowledges the interdependence of the twin goals of engagement and achievement, while ensuring investment in both.</w:t>
            </w:r>
          </w:p>
        </w:tc>
      </w:tr>
      <w:tr w:rsidR="00E135D3" w:rsidRPr="00B54914" w14:paraId="5D3BB2F2" w14:textId="77777777" w:rsidTr="007E2D07">
        <w:tc>
          <w:tcPr>
            <w:tcW w:w="851" w:type="dxa"/>
            <w:vMerge/>
            <w:tcBorders>
              <w:top w:val="dashed" w:sz="4" w:space="0" w:color="FFFFFF"/>
              <w:left w:val="dashed" w:sz="4" w:space="0" w:color="FFFFFF"/>
              <w:bottom w:val="dashed" w:sz="4" w:space="0" w:color="FFFFFF"/>
              <w:right w:val="dashed" w:sz="4" w:space="0" w:color="FFFFFF"/>
            </w:tcBorders>
            <w:shd w:val="clear" w:color="auto" w:fill="931B2F" w:themeFill="accent1"/>
            <w:vAlign w:val="center"/>
          </w:tcPr>
          <w:p w14:paraId="52870DAF" w14:textId="77777777" w:rsidR="00E135D3" w:rsidRPr="00B54914" w:rsidRDefault="00E135D3" w:rsidP="007E2D07">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2224C91E" w14:textId="77777777" w:rsidR="00E135D3" w:rsidRPr="00B54914" w:rsidRDefault="00E135D3" w:rsidP="007E2D07">
            <w:pPr>
              <w:spacing w:line="276" w:lineRule="auto"/>
              <w:rPr>
                <w:sz w:val="21"/>
                <w:szCs w:val="21"/>
              </w:rPr>
            </w:pPr>
            <w:r w:rsidRPr="00B54914">
              <w:rPr>
                <w:b/>
                <w:bCs/>
                <w:sz w:val="21"/>
                <w:szCs w:val="21"/>
                <w:lang w:val="en-US"/>
              </w:rPr>
              <w:t xml:space="preserve">Should initiatives have a universal </w:t>
            </w:r>
            <w:proofErr w:type="gramStart"/>
            <w:r w:rsidRPr="00B54914">
              <w:rPr>
                <w:b/>
                <w:bCs/>
                <w:sz w:val="21"/>
                <w:szCs w:val="21"/>
                <w:lang w:val="en-US"/>
              </w:rPr>
              <w:t>focus</w:t>
            </w:r>
            <w:proofErr w:type="gramEnd"/>
            <w:r w:rsidRPr="00B54914">
              <w:rPr>
                <w:b/>
                <w:bCs/>
                <w:sz w:val="21"/>
                <w:szCs w:val="21"/>
                <w:lang w:val="en-US"/>
              </w:rPr>
              <w:t xml:space="preserve"> or should they aim to increase equity or excellence?</w:t>
            </w:r>
          </w:p>
        </w:tc>
        <w:tc>
          <w:tcPr>
            <w:tcW w:w="4536" w:type="dxa"/>
          </w:tcPr>
          <w:p w14:paraId="784455DE" w14:textId="77777777" w:rsidR="00E135D3" w:rsidRPr="00B54914" w:rsidRDefault="00E135D3" w:rsidP="00164DDE">
            <w:pPr>
              <w:numPr>
                <w:ilvl w:val="0"/>
                <w:numId w:val="178"/>
              </w:numPr>
              <w:spacing w:after="0" w:line="276" w:lineRule="auto"/>
              <w:rPr>
                <w:sz w:val="21"/>
                <w:szCs w:val="21"/>
              </w:rPr>
            </w:pPr>
            <w:proofErr w:type="spellStart"/>
            <w:r w:rsidRPr="00B54914">
              <w:rPr>
                <w:sz w:val="21"/>
                <w:szCs w:val="21"/>
                <w:lang w:val="en-US"/>
              </w:rPr>
              <w:t>Prioritise</w:t>
            </w:r>
            <w:proofErr w:type="spellEnd"/>
            <w:r w:rsidRPr="00B54914">
              <w:rPr>
                <w:sz w:val="21"/>
                <w:szCs w:val="21"/>
                <w:lang w:val="en-US"/>
              </w:rPr>
              <w:t xml:space="preserve"> initiatives with a focus on universal service </w:t>
            </w:r>
            <w:proofErr w:type="gramStart"/>
            <w:r w:rsidRPr="00B54914">
              <w:rPr>
                <w:sz w:val="21"/>
                <w:szCs w:val="21"/>
                <w:lang w:val="en-US"/>
              </w:rPr>
              <w:t>provision, but</w:t>
            </w:r>
            <w:proofErr w:type="gramEnd"/>
            <w:r w:rsidRPr="00B54914">
              <w:rPr>
                <w:sz w:val="21"/>
                <w:szCs w:val="21"/>
                <w:lang w:val="en-US"/>
              </w:rPr>
              <w:t xml:space="preserve"> encourage targeted initiatives for equity purposes.</w:t>
            </w:r>
          </w:p>
          <w:p w14:paraId="709F1AE9"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Continue to limit investment in approaches that focus on achieving excellence alone.</w:t>
            </w:r>
          </w:p>
        </w:tc>
        <w:tc>
          <w:tcPr>
            <w:tcW w:w="3544" w:type="dxa"/>
          </w:tcPr>
          <w:p w14:paraId="22D840D3" w14:textId="77777777" w:rsidR="00E135D3" w:rsidRPr="00B54914" w:rsidRDefault="00E135D3" w:rsidP="007E2D07">
            <w:pPr>
              <w:spacing w:line="276" w:lineRule="auto"/>
              <w:rPr>
                <w:sz w:val="21"/>
                <w:szCs w:val="21"/>
                <w:lang w:val="en-US"/>
              </w:rPr>
            </w:pPr>
            <w:r w:rsidRPr="00B54914">
              <w:rPr>
                <w:sz w:val="21"/>
                <w:szCs w:val="21"/>
                <w:lang w:val="en-US"/>
              </w:rPr>
              <w:t xml:space="preserve">This approach </w:t>
            </w:r>
            <w:proofErr w:type="spellStart"/>
            <w:r w:rsidRPr="00B54914">
              <w:rPr>
                <w:sz w:val="21"/>
                <w:szCs w:val="21"/>
                <w:lang w:val="en-US"/>
              </w:rPr>
              <w:t>maximises</w:t>
            </w:r>
            <w:proofErr w:type="spellEnd"/>
            <w:r w:rsidRPr="00B54914">
              <w:rPr>
                <w:sz w:val="21"/>
                <w:szCs w:val="21"/>
                <w:lang w:val="en-US"/>
              </w:rPr>
              <w:t xml:space="preserve"> the Australian Government’s reach and impact while still helping to address the persistent inequities in STEM education.</w:t>
            </w:r>
          </w:p>
        </w:tc>
      </w:tr>
      <w:tr w:rsidR="00E135D3" w:rsidRPr="00B54914" w14:paraId="7A04E11E" w14:textId="77777777" w:rsidTr="007E2D07">
        <w:trPr>
          <w:trHeight w:val="1234"/>
        </w:trPr>
        <w:tc>
          <w:tcPr>
            <w:tcW w:w="851" w:type="dxa"/>
            <w:vMerge w:val="restart"/>
            <w:tcBorders>
              <w:top w:val="dashed" w:sz="4" w:space="0" w:color="FFFFFF"/>
              <w:left w:val="dashed" w:sz="4" w:space="0" w:color="FFFFFF"/>
              <w:bottom w:val="dashed" w:sz="4" w:space="0" w:color="FFFFFF"/>
              <w:right w:val="dashed" w:sz="4" w:space="0" w:color="FFFFFF"/>
            </w:tcBorders>
            <w:shd w:val="clear" w:color="auto" w:fill="F4C6CD" w:themeFill="accent1" w:themeFillTint="33"/>
            <w:vAlign w:val="center"/>
          </w:tcPr>
          <w:p w14:paraId="564CD504" w14:textId="77777777" w:rsidR="00E135D3" w:rsidRPr="00B54914" w:rsidRDefault="00E135D3" w:rsidP="007E2D07">
            <w:pPr>
              <w:pStyle w:val="Heading2"/>
              <w:spacing w:line="276" w:lineRule="auto"/>
              <w:jc w:val="center"/>
              <w:rPr>
                <w:b/>
                <w:bCs/>
                <w:i/>
                <w:iCs/>
                <w:color w:val="4D4D4D" w:themeColor="text2"/>
                <w:sz w:val="21"/>
                <w:szCs w:val="21"/>
              </w:rPr>
            </w:pPr>
            <w:bookmarkStart w:id="116" w:name="_Toc25162064"/>
            <w:r w:rsidRPr="00B54914">
              <w:rPr>
                <w:b/>
                <w:bCs/>
                <w:i/>
                <w:iCs/>
                <w:color w:val="000000" w:themeColor="text1"/>
                <w:sz w:val="21"/>
                <w:szCs w:val="21"/>
              </w:rPr>
              <w:t>Who</w:t>
            </w:r>
            <w:bookmarkEnd w:id="116"/>
          </w:p>
        </w:tc>
        <w:tc>
          <w:tcPr>
            <w:tcW w:w="2410" w:type="dxa"/>
            <w:tcBorders>
              <w:left w:val="dashed" w:sz="4" w:space="0" w:color="FFFFFF"/>
            </w:tcBorders>
          </w:tcPr>
          <w:p w14:paraId="5C94D1E5" w14:textId="77777777" w:rsidR="00E135D3" w:rsidRPr="00B54914" w:rsidRDefault="00E135D3" w:rsidP="007E2D07">
            <w:pPr>
              <w:spacing w:line="276" w:lineRule="auto"/>
              <w:rPr>
                <w:sz w:val="21"/>
                <w:szCs w:val="21"/>
              </w:rPr>
            </w:pPr>
            <w:r w:rsidRPr="00B54914">
              <w:rPr>
                <w:b/>
                <w:bCs/>
                <w:sz w:val="21"/>
                <w:szCs w:val="21"/>
                <w:lang w:val="en-US"/>
              </w:rPr>
              <w:t>Who should be the main target audience for the initiatives?</w:t>
            </w:r>
          </w:p>
        </w:tc>
        <w:tc>
          <w:tcPr>
            <w:tcW w:w="4536" w:type="dxa"/>
          </w:tcPr>
          <w:p w14:paraId="5445170E"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 xml:space="preserve">Continue to </w:t>
            </w:r>
            <w:proofErr w:type="spellStart"/>
            <w:r w:rsidRPr="00B54914">
              <w:rPr>
                <w:sz w:val="21"/>
                <w:szCs w:val="21"/>
                <w:lang w:val="en-US"/>
              </w:rPr>
              <w:t>prioritise</w:t>
            </w:r>
            <w:proofErr w:type="spellEnd"/>
            <w:r w:rsidRPr="00B54914">
              <w:rPr>
                <w:sz w:val="21"/>
                <w:szCs w:val="21"/>
                <w:lang w:val="en-US"/>
              </w:rPr>
              <w:t xml:space="preserve"> building system capability through teachers, while decreasing focus on individual schools and students.</w:t>
            </w:r>
          </w:p>
          <w:p w14:paraId="79925E42"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Consider expanding reach to principals and pre-service teachers through existing initiatives.</w:t>
            </w:r>
          </w:p>
        </w:tc>
        <w:tc>
          <w:tcPr>
            <w:tcW w:w="3544" w:type="dxa"/>
          </w:tcPr>
          <w:p w14:paraId="7F36F293" w14:textId="77777777" w:rsidR="00E135D3" w:rsidRPr="00B54914" w:rsidRDefault="00E135D3" w:rsidP="007E2D07">
            <w:pPr>
              <w:spacing w:line="276" w:lineRule="auto"/>
              <w:rPr>
                <w:sz w:val="21"/>
                <w:szCs w:val="21"/>
                <w:lang w:val="en-US"/>
              </w:rPr>
            </w:pPr>
            <w:r w:rsidRPr="00B54914">
              <w:rPr>
                <w:sz w:val="21"/>
                <w:szCs w:val="21"/>
                <w:lang w:val="en-US"/>
              </w:rPr>
              <w:t>This approach makes the most of the Australian Government’s existing relationships. It is also well-suited to delivering mechanisms that lift system capability.</w:t>
            </w:r>
          </w:p>
        </w:tc>
      </w:tr>
      <w:tr w:rsidR="00E135D3" w:rsidRPr="00B54914" w14:paraId="59C31DA7" w14:textId="77777777" w:rsidTr="007E2D07">
        <w:tc>
          <w:tcPr>
            <w:tcW w:w="851" w:type="dxa"/>
            <w:vMerge/>
            <w:tcBorders>
              <w:top w:val="dashed" w:sz="4" w:space="0" w:color="FFFFFF"/>
              <w:left w:val="dashed" w:sz="4" w:space="0" w:color="FFFFFF"/>
              <w:bottom w:val="dashed" w:sz="4" w:space="0" w:color="FFFFFF"/>
              <w:right w:val="dashed" w:sz="4" w:space="0" w:color="FFFFFF"/>
            </w:tcBorders>
            <w:vAlign w:val="center"/>
          </w:tcPr>
          <w:p w14:paraId="283D3582" w14:textId="77777777" w:rsidR="00E135D3" w:rsidRPr="00B54914" w:rsidRDefault="00E135D3" w:rsidP="007E2D07">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4F3A8E92" w14:textId="77777777" w:rsidR="00E135D3" w:rsidRPr="00B54914" w:rsidRDefault="00E135D3" w:rsidP="007E2D07">
            <w:pPr>
              <w:spacing w:line="276" w:lineRule="auto"/>
              <w:rPr>
                <w:sz w:val="21"/>
                <w:szCs w:val="21"/>
              </w:rPr>
            </w:pPr>
            <w:r w:rsidRPr="00B54914">
              <w:rPr>
                <w:b/>
                <w:bCs/>
                <w:sz w:val="21"/>
                <w:szCs w:val="21"/>
                <w:lang w:val="en-US"/>
              </w:rPr>
              <w:t>What education level should the initiatives target?</w:t>
            </w:r>
          </w:p>
        </w:tc>
        <w:tc>
          <w:tcPr>
            <w:tcW w:w="4536" w:type="dxa"/>
          </w:tcPr>
          <w:p w14:paraId="147C68C8"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 xml:space="preserve">While the Australian Government should continue investing in school years, it’s a crowded space and there are other opportunities to consider. For example, </w:t>
            </w:r>
            <w:r>
              <w:rPr>
                <w:sz w:val="21"/>
                <w:szCs w:val="21"/>
                <w:lang w:val="en-US"/>
              </w:rPr>
              <w:t>further investing in</w:t>
            </w:r>
            <w:r w:rsidRPr="00B54914">
              <w:rPr>
                <w:sz w:val="21"/>
                <w:szCs w:val="21"/>
                <w:lang w:val="en-US"/>
              </w:rPr>
              <w:t xml:space="preserve"> the early years.</w:t>
            </w:r>
            <w:r>
              <w:rPr>
                <w:sz w:val="21"/>
                <w:szCs w:val="21"/>
                <w:lang w:val="en-US"/>
              </w:rPr>
              <w:t xml:space="preserve"> </w:t>
            </w:r>
            <w:r w:rsidRPr="009743E1">
              <w:rPr>
                <w:sz w:val="21"/>
                <w:szCs w:val="21"/>
                <w:lang w:val="en-US"/>
              </w:rPr>
              <w:t xml:space="preserve">  </w:t>
            </w:r>
          </w:p>
        </w:tc>
        <w:tc>
          <w:tcPr>
            <w:tcW w:w="3544" w:type="dxa"/>
          </w:tcPr>
          <w:p w14:paraId="03CC9029" w14:textId="77777777" w:rsidR="00E135D3" w:rsidRPr="00B54914" w:rsidRDefault="00E135D3" w:rsidP="007E2D07">
            <w:pPr>
              <w:spacing w:line="276" w:lineRule="auto"/>
              <w:rPr>
                <w:sz w:val="21"/>
                <w:szCs w:val="21"/>
              </w:rPr>
            </w:pPr>
            <w:r w:rsidRPr="00B54914">
              <w:rPr>
                <w:sz w:val="21"/>
                <w:szCs w:val="21"/>
                <w:lang w:val="en-US"/>
              </w:rPr>
              <w:t>This approach ensures the Australian Government’s investment in STEM education fills gaps and avoids duplication.</w:t>
            </w:r>
          </w:p>
        </w:tc>
      </w:tr>
      <w:tr w:rsidR="00E135D3" w:rsidRPr="00B54914" w14:paraId="6D72D36F" w14:textId="77777777" w:rsidTr="007E2D07">
        <w:tc>
          <w:tcPr>
            <w:tcW w:w="851" w:type="dxa"/>
            <w:vMerge w:val="restart"/>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2D5588AE" w14:textId="77777777" w:rsidR="00E135D3" w:rsidRPr="00B54914" w:rsidRDefault="00E135D3" w:rsidP="007E2D07">
            <w:pPr>
              <w:pStyle w:val="Heading2"/>
              <w:spacing w:line="276" w:lineRule="auto"/>
              <w:jc w:val="center"/>
              <w:rPr>
                <w:b/>
                <w:bCs/>
                <w:i/>
                <w:iCs/>
                <w:color w:val="4D4D4D" w:themeColor="text2"/>
                <w:sz w:val="21"/>
                <w:szCs w:val="21"/>
              </w:rPr>
            </w:pPr>
            <w:bookmarkStart w:id="117" w:name="_Toc25162065"/>
            <w:r w:rsidRPr="00B54914">
              <w:rPr>
                <w:b/>
                <w:bCs/>
                <w:i/>
                <w:iCs/>
                <w:color w:val="000000" w:themeColor="text1"/>
                <w:sz w:val="21"/>
                <w:szCs w:val="21"/>
              </w:rPr>
              <w:t>What</w:t>
            </w:r>
            <w:bookmarkEnd w:id="117"/>
          </w:p>
        </w:tc>
        <w:tc>
          <w:tcPr>
            <w:tcW w:w="2410" w:type="dxa"/>
            <w:tcBorders>
              <w:left w:val="dashed" w:sz="4" w:space="0" w:color="FFFFFF"/>
            </w:tcBorders>
          </w:tcPr>
          <w:p w14:paraId="45693C19" w14:textId="77777777" w:rsidR="00E135D3" w:rsidRPr="00B54914" w:rsidRDefault="00E135D3" w:rsidP="007E2D07">
            <w:pPr>
              <w:spacing w:line="276" w:lineRule="auto"/>
              <w:rPr>
                <w:sz w:val="21"/>
                <w:szCs w:val="21"/>
              </w:rPr>
            </w:pPr>
            <w:r w:rsidRPr="00B54914">
              <w:rPr>
                <w:b/>
                <w:bCs/>
                <w:sz w:val="21"/>
                <w:szCs w:val="21"/>
                <w:lang w:val="en-US"/>
              </w:rPr>
              <w:t>What should be the main output of the initiatives?</w:t>
            </w:r>
          </w:p>
        </w:tc>
        <w:tc>
          <w:tcPr>
            <w:tcW w:w="4536" w:type="dxa"/>
          </w:tcPr>
          <w:p w14:paraId="71337075"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Continue to support existing professional learning and resources</w:t>
            </w:r>
          </w:p>
          <w:p w14:paraId="5D6E2F7D"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Invest in approaches that focus on coordination, evidence and communication across the national STEM landscape.</w:t>
            </w:r>
          </w:p>
        </w:tc>
        <w:tc>
          <w:tcPr>
            <w:tcW w:w="3544" w:type="dxa"/>
          </w:tcPr>
          <w:p w14:paraId="6720B955" w14:textId="77777777" w:rsidR="00E135D3" w:rsidRPr="00B54914" w:rsidRDefault="00E135D3" w:rsidP="007E2D07">
            <w:pPr>
              <w:spacing w:line="276" w:lineRule="auto"/>
              <w:rPr>
                <w:sz w:val="21"/>
                <w:szCs w:val="21"/>
              </w:rPr>
            </w:pPr>
            <w:r w:rsidRPr="00B54914">
              <w:rPr>
                <w:sz w:val="21"/>
                <w:szCs w:val="21"/>
                <w:lang w:val="en-US"/>
              </w:rPr>
              <w:t>There is positive work in this space, and professional learning is incredibly important to lifting STEM outcomes. There is a need for a more evidence-based, coordinated approach to STEM education.</w:t>
            </w:r>
          </w:p>
        </w:tc>
      </w:tr>
      <w:tr w:rsidR="00E135D3" w:rsidRPr="00B54914" w14:paraId="10ED817D" w14:textId="77777777" w:rsidTr="007E2D07">
        <w:tc>
          <w:tcPr>
            <w:tcW w:w="851" w:type="dxa"/>
            <w:vMerge/>
            <w:tcBorders>
              <w:top w:val="dashed" w:sz="4" w:space="0" w:color="FFFFFF"/>
              <w:left w:val="dashed" w:sz="4" w:space="0" w:color="FFFFFF"/>
              <w:bottom w:val="dashed" w:sz="4" w:space="0" w:color="FFFFFF"/>
              <w:right w:val="dashed" w:sz="4" w:space="0" w:color="FFFFFF"/>
            </w:tcBorders>
            <w:shd w:val="clear" w:color="auto" w:fill="E8E7E7" w:themeFill="accent3"/>
            <w:vAlign w:val="center"/>
          </w:tcPr>
          <w:p w14:paraId="69263631" w14:textId="77777777" w:rsidR="00E135D3" w:rsidRPr="00B54914" w:rsidRDefault="00E135D3" w:rsidP="007E2D07">
            <w:pPr>
              <w:pStyle w:val="Heading2"/>
              <w:spacing w:line="276" w:lineRule="auto"/>
              <w:jc w:val="center"/>
              <w:rPr>
                <w:b/>
                <w:bCs/>
                <w:i/>
                <w:iCs/>
                <w:color w:val="4D4D4D" w:themeColor="text2"/>
                <w:sz w:val="21"/>
                <w:szCs w:val="21"/>
              </w:rPr>
            </w:pPr>
          </w:p>
        </w:tc>
        <w:tc>
          <w:tcPr>
            <w:tcW w:w="2410" w:type="dxa"/>
            <w:tcBorders>
              <w:left w:val="dashed" w:sz="4" w:space="0" w:color="FFFFFF"/>
            </w:tcBorders>
          </w:tcPr>
          <w:p w14:paraId="79F9F327" w14:textId="77777777" w:rsidR="00E135D3" w:rsidRPr="00B54914" w:rsidRDefault="00E135D3" w:rsidP="007E2D07">
            <w:pPr>
              <w:spacing w:line="276" w:lineRule="auto"/>
              <w:rPr>
                <w:sz w:val="21"/>
                <w:szCs w:val="21"/>
              </w:rPr>
            </w:pPr>
            <w:r w:rsidRPr="00B54914">
              <w:rPr>
                <w:b/>
                <w:bCs/>
                <w:sz w:val="21"/>
                <w:szCs w:val="21"/>
                <w:lang w:val="en-US"/>
              </w:rPr>
              <w:t>What curriculum area should the initiatives focus on?</w:t>
            </w:r>
          </w:p>
        </w:tc>
        <w:tc>
          <w:tcPr>
            <w:tcW w:w="4536" w:type="dxa"/>
          </w:tcPr>
          <w:p w14:paraId="04F21AF4"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Continue to define STEM broadly but promote approaches that build general capabilities and incorporate real world experiences.</w:t>
            </w:r>
          </w:p>
          <w:p w14:paraId="5700B8D0"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 xml:space="preserve">Continue to support digital technologies, however, balance this with the need to invest in </w:t>
            </w:r>
            <w:proofErr w:type="spellStart"/>
            <w:r w:rsidRPr="00B54914">
              <w:rPr>
                <w:sz w:val="21"/>
                <w:szCs w:val="21"/>
                <w:lang w:val="en-US"/>
              </w:rPr>
              <w:t>maths</w:t>
            </w:r>
            <w:proofErr w:type="spellEnd"/>
            <w:r w:rsidRPr="00B54914">
              <w:rPr>
                <w:sz w:val="21"/>
                <w:szCs w:val="21"/>
                <w:lang w:val="en-US"/>
              </w:rPr>
              <w:t>.</w:t>
            </w:r>
          </w:p>
          <w:p w14:paraId="51BEE9EA" w14:textId="77777777" w:rsidR="00E135D3" w:rsidRPr="00B54914" w:rsidRDefault="00E135D3" w:rsidP="007E2D07">
            <w:pPr>
              <w:spacing w:after="0" w:line="276" w:lineRule="auto"/>
              <w:ind w:left="360"/>
              <w:rPr>
                <w:sz w:val="21"/>
                <w:szCs w:val="21"/>
              </w:rPr>
            </w:pPr>
          </w:p>
        </w:tc>
        <w:tc>
          <w:tcPr>
            <w:tcW w:w="3544" w:type="dxa"/>
          </w:tcPr>
          <w:p w14:paraId="2420947F" w14:textId="77777777" w:rsidR="00E135D3" w:rsidRPr="00B54914" w:rsidRDefault="00E135D3" w:rsidP="007E2D07">
            <w:pPr>
              <w:spacing w:line="276" w:lineRule="auto"/>
              <w:rPr>
                <w:sz w:val="21"/>
                <w:szCs w:val="21"/>
              </w:rPr>
            </w:pPr>
            <w:r w:rsidRPr="00B54914">
              <w:rPr>
                <w:sz w:val="21"/>
                <w:szCs w:val="21"/>
                <w:lang w:val="en-US"/>
              </w:rPr>
              <w:t xml:space="preserve">This approach </w:t>
            </w:r>
            <w:proofErr w:type="spellStart"/>
            <w:r w:rsidRPr="00B54914">
              <w:rPr>
                <w:sz w:val="21"/>
                <w:szCs w:val="21"/>
                <w:lang w:val="en-US"/>
              </w:rPr>
              <w:t>recognises</w:t>
            </w:r>
            <w:proofErr w:type="spellEnd"/>
            <w:r w:rsidRPr="00B54914">
              <w:rPr>
                <w:sz w:val="21"/>
                <w:szCs w:val="21"/>
                <w:lang w:val="en-US"/>
              </w:rPr>
              <w:t xml:space="preserve"> the unresolved debates in STEM education, addresses areas of significant need and advances other Australian Government education policy agendas.</w:t>
            </w:r>
          </w:p>
        </w:tc>
      </w:tr>
      <w:tr w:rsidR="00E135D3" w:rsidRPr="00B54914" w14:paraId="22170A57" w14:textId="77777777" w:rsidTr="007E2D07">
        <w:trPr>
          <w:trHeight w:val="67"/>
        </w:trPr>
        <w:tc>
          <w:tcPr>
            <w:tcW w:w="851" w:type="dxa"/>
            <w:tcBorders>
              <w:top w:val="dashed" w:sz="4" w:space="0" w:color="FFFFFF"/>
              <w:left w:val="dashed" w:sz="4" w:space="0" w:color="FFFFFF"/>
              <w:bottom w:val="dashed" w:sz="4" w:space="0" w:color="FFFFFF"/>
              <w:right w:val="dashed" w:sz="4" w:space="0" w:color="FFFFFF"/>
            </w:tcBorders>
            <w:shd w:val="clear" w:color="auto" w:fill="4D4D4D" w:themeFill="text2"/>
            <w:vAlign w:val="center"/>
          </w:tcPr>
          <w:p w14:paraId="028D587A" w14:textId="77777777" w:rsidR="00E135D3" w:rsidRPr="00B54914" w:rsidRDefault="00E135D3" w:rsidP="007E2D07">
            <w:pPr>
              <w:pStyle w:val="Heading2"/>
              <w:spacing w:line="276" w:lineRule="auto"/>
              <w:jc w:val="center"/>
              <w:rPr>
                <w:b/>
                <w:bCs/>
                <w:i/>
                <w:iCs/>
                <w:color w:val="4D4D4D" w:themeColor="text2"/>
                <w:sz w:val="21"/>
                <w:szCs w:val="21"/>
              </w:rPr>
            </w:pPr>
            <w:bookmarkStart w:id="118" w:name="_Toc25162066"/>
            <w:r w:rsidRPr="00B54914">
              <w:rPr>
                <w:b/>
                <w:bCs/>
                <w:i/>
                <w:iCs/>
                <w:color w:val="FFFFFF" w:themeColor="background1"/>
                <w:sz w:val="21"/>
                <w:szCs w:val="21"/>
              </w:rPr>
              <w:t>How</w:t>
            </w:r>
            <w:bookmarkEnd w:id="118"/>
          </w:p>
        </w:tc>
        <w:tc>
          <w:tcPr>
            <w:tcW w:w="2410" w:type="dxa"/>
            <w:tcBorders>
              <w:left w:val="dashed" w:sz="4" w:space="0" w:color="FFFFFF"/>
            </w:tcBorders>
          </w:tcPr>
          <w:p w14:paraId="0387FF6A" w14:textId="77777777" w:rsidR="00E135D3" w:rsidRPr="00B54914" w:rsidRDefault="00E135D3" w:rsidP="007E2D07">
            <w:pPr>
              <w:spacing w:line="276" w:lineRule="auto"/>
              <w:rPr>
                <w:sz w:val="21"/>
                <w:szCs w:val="21"/>
              </w:rPr>
            </w:pPr>
            <w:r w:rsidRPr="00B54914">
              <w:rPr>
                <w:b/>
                <w:bCs/>
                <w:sz w:val="21"/>
                <w:szCs w:val="21"/>
                <w:lang w:val="en-US"/>
              </w:rPr>
              <w:t>What partnerships, processes and supports should be in place?</w:t>
            </w:r>
          </w:p>
        </w:tc>
        <w:tc>
          <w:tcPr>
            <w:tcW w:w="4536" w:type="dxa"/>
          </w:tcPr>
          <w:p w14:paraId="135E36BE" w14:textId="77777777" w:rsidR="00E135D3" w:rsidRPr="00B54914" w:rsidRDefault="00E135D3" w:rsidP="00164DDE">
            <w:pPr>
              <w:numPr>
                <w:ilvl w:val="0"/>
                <w:numId w:val="178"/>
              </w:numPr>
              <w:spacing w:after="0" w:line="276" w:lineRule="auto"/>
              <w:rPr>
                <w:sz w:val="21"/>
                <w:szCs w:val="21"/>
              </w:rPr>
            </w:pPr>
            <w:r w:rsidRPr="00B54914">
              <w:rPr>
                <w:sz w:val="21"/>
                <w:szCs w:val="21"/>
                <w:lang w:val="en-US"/>
              </w:rPr>
              <w:t>Celebrate successes on positive stakeholder engagement</w:t>
            </w:r>
          </w:p>
        </w:tc>
        <w:tc>
          <w:tcPr>
            <w:tcW w:w="3544" w:type="dxa"/>
          </w:tcPr>
          <w:p w14:paraId="2066C818" w14:textId="77777777" w:rsidR="00E135D3" w:rsidRPr="00B54914" w:rsidRDefault="00E135D3" w:rsidP="007E2D07">
            <w:pPr>
              <w:spacing w:line="276" w:lineRule="auto"/>
              <w:rPr>
                <w:sz w:val="21"/>
                <w:szCs w:val="21"/>
              </w:rPr>
            </w:pPr>
            <w:r>
              <w:rPr>
                <w:sz w:val="21"/>
                <w:szCs w:val="21"/>
                <w:lang w:val="en-US"/>
              </w:rPr>
              <w:t>T</w:t>
            </w:r>
            <w:r w:rsidRPr="00B54914">
              <w:rPr>
                <w:sz w:val="21"/>
                <w:szCs w:val="21"/>
                <w:lang w:val="en-US"/>
              </w:rPr>
              <w:t>he Australian Government is also well-regarded by stakeholders for their approach to, and investment in, STEM education.</w:t>
            </w:r>
          </w:p>
        </w:tc>
      </w:tr>
    </w:tbl>
    <w:p w14:paraId="68F45D9E" w14:textId="77777777" w:rsidR="00DA08F3" w:rsidRPr="00292D9C" w:rsidRDefault="00DA08F3" w:rsidP="00A616D5">
      <w:pPr>
        <w:pStyle w:val="Heading2"/>
        <w:spacing w:before="0" w:after="120"/>
        <w:rPr>
          <w:rFonts w:asciiTheme="minorHAnsi" w:hAnsiTheme="minorHAnsi"/>
          <w:b/>
          <w:bCs/>
          <w:u w:val="single"/>
          <w:lang w:eastAsia="en-GB"/>
        </w:rPr>
      </w:pPr>
    </w:p>
    <w:p w14:paraId="01B86CD4" w14:textId="77777777" w:rsidR="00585F36" w:rsidRPr="00292D9C" w:rsidRDefault="00B51E0C" w:rsidP="00A616D5">
      <w:pPr>
        <w:pStyle w:val="Heading2"/>
        <w:spacing w:before="0" w:after="120"/>
        <w:rPr>
          <w:rFonts w:asciiTheme="minorHAnsi" w:hAnsiTheme="minorHAnsi"/>
          <w:lang w:eastAsia="en-GB"/>
        </w:rPr>
      </w:pPr>
      <w:bookmarkStart w:id="119" w:name="_Toc21088260"/>
      <w:bookmarkStart w:id="120" w:name="_Toc23504233"/>
      <w:bookmarkStart w:id="121" w:name="_Toc25162067"/>
      <w:r w:rsidRPr="00292D9C">
        <w:rPr>
          <w:rFonts w:asciiTheme="minorHAnsi" w:hAnsiTheme="minorHAnsi"/>
          <w:b/>
          <w:bCs/>
          <w:u w:val="single"/>
          <w:lang w:eastAsia="en-GB"/>
        </w:rPr>
        <w:t>WHY</w:t>
      </w:r>
      <w:bookmarkStart w:id="122" w:name="_Toc16707167"/>
      <w:bookmarkEnd w:id="114"/>
      <w:bookmarkEnd w:id="119"/>
      <w:bookmarkEnd w:id="120"/>
      <w:bookmarkEnd w:id="121"/>
    </w:p>
    <w:p w14:paraId="1B33A489" w14:textId="77777777" w:rsidR="0054325A" w:rsidRPr="00292D9C" w:rsidRDefault="00B0588C" w:rsidP="00A616D5">
      <w:pPr>
        <w:pStyle w:val="Heading2"/>
        <w:spacing w:before="0" w:after="120"/>
        <w:rPr>
          <w:rFonts w:asciiTheme="minorHAnsi" w:hAnsiTheme="minorHAnsi"/>
          <w:lang w:eastAsia="en-GB"/>
        </w:rPr>
      </w:pPr>
      <w:bookmarkStart w:id="123" w:name="_Toc21088261"/>
      <w:bookmarkStart w:id="124" w:name="_Toc23504234"/>
      <w:bookmarkStart w:id="125" w:name="_Toc25162068"/>
      <w:r w:rsidRPr="00292D9C">
        <w:rPr>
          <w:rFonts w:asciiTheme="minorHAnsi" w:hAnsiTheme="minorHAnsi"/>
          <w:lang w:eastAsia="en-GB"/>
        </w:rPr>
        <w:t xml:space="preserve">8.1. </w:t>
      </w:r>
      <w:r w:rsidR="00F72584" w:rsidRPr="00292D9C">
        <w:rPr>
          <w:rFonts w:asciiTheme="minorHAnsi" w:hAnsiTheme="minorHAnsi"/>
          <w:lang w:eastAsia="en-GB"/>
        </w:rPr>
        <w:t>Should initiatives be universal</w:t>
      </w:r>
      <w:r w:rsidR="00293445" w:rsidRPr="00292D9C">
        <w:rPr>
          <w:rFonts w:asciiTheme="minorHAnsi" w:hAnsiTheme="minorHAnsi"/>
          <w:lang w:eastAsia="en-GB"/>
        </w:rPr>
        <w:t xml:space="preserve">, </w:t>
      </w:r>
      <w:r w:rsidR="00F72584" w:rsidRPr="00292D9C">
        <w:rPr>
          <w:rFonts w:asciiTheme="minorHAnsi" w:hAnsiTheme="minorHAnsi"/>
          <w:lang w:eastAsia="en-GB"/>
        </w:rPr>
        <w:t>or promote e</w:t>
      </w:r>
      <w:r w:rsidR="0054325A" w:rsidRPr="00292D9C">
        <w:rPr>
          <w:rFonts w:asciiTheme="minorHAnsi" w:hAnsiTheme="minorHAnsi"/>
          <w:lang w:eastAsia="en-GB"/>
        </w:rPr>
        <w:t>quity</w:t>
      </w:r>
      <w:r w:rsidR="00F72584" w:rsidRPr="00292D9C">
        <w:rPr>
          <w:rFonts w:asciiTheme="minorHAnsi" w:hAnsiTheme="minorHAnsi"/>
          <w:lang w:eastAsia="en-GB"/>
        </w:rPr>
        <w:t xml:space="preserve"> or excellence?</w:t>
      </w:r>
      <w:bookmarkEnd w:id="122"/>
      <w:bookmarkEnd w:id="123"/>
      <w:bookmarkEnd w:id="124"/>
      <w:bookmarkEnd w:id="125"/>
      <w:r w:rsidR="00F72584" w:rsidRPr="00292D9C">
        <w:rPr>
          <w:rFonts w:asciiTheme="minorHAnsi" w:hAnsiTheme="minorHAnsi"/>
          <w:lang w:eastAsia="en-GB"/>
        </w:rPr>
        <w:t xml:space="preserve"> </w:t>
      </w:r>
      <w:r w:rsidR="0054325A" w:rsidRPr="00292D9C">
        <w:rPr>
          <w:rFonts w:asciiTheme="minorHAnsi" w:hAnsiTheme="minorHAnsi"/>
          <w:lang w:eastAsia="en-GB"/>
        </w:rPr>
        <w:t xml:space="preserve"> </w:t>
      </w:r>
    </w:p>
    <w:p w14:paraId="273BD2FF" w14:textId="77777777" w:rsidR="0054325A" w:rsidRPr="00292D9C" w:rsidRDefault="007012A1" w:rsidP="00A616D5">
      <w:pPr>
        <w:rPr>
          <w:lang w:eastAsia="en-GB"/>
        </w:rPr>
      </w:pPr>
      <w:r w:rsidRPr="00292D9C">
        <w:rPr>
          <w:lang w:eastAsia="en-GB"/>
        </w:rPr>
        <w:t xml:space="preserve">It </w:t>
      </w:r>
      <w:r w:rsidR="007F2C32" w:rsidRPr="00292D9C">
        <w:rPr>
          <w:lang w:eastAsia="en-GB"/>
        </w:rPr>
        <w:t>is</w:t>
      </w:r>
      <w:r w:rsidR="0054325A" w:rsidRPr="00292D9C">
        <w:rPr>
          <w:lang w:eastAsia="en-GB"/>
        </w:rPr>
        <w:t xml:space="preserve"> useful and appropriate for the </w:t>
      </w:r>
      <w:r w:rsidR="00DD032B" w:rsidRPr="00292D9C">
        <w:rPr>
          <w:lang w:eastAsia="en-GB"/>
        </w:rPr>
        <w:t xml:space="preserve">Australian Government </w:t>
      </w:r>
      <w:r w:rsidR="0054325A" w:rsidRPr="00292D9C">
        <w:rPr>
          <w:lang w:eastAsia="en-GB"/>
        </w:rPr>
        <w:t>to focus on</w:t>
      </w:r>
      <w:r w:rsidR="007F2C32" w:rsidRPr="00292D9C">
        <w:rPr>
          <w:lang w:eastAsia="en-GB"/>
        </w:rPr>
        <w:t xml:space="preserve"> initiatives that have a universal focus</w:t>
      </w:r>
      <w:r w:rsidR="00770DCF" w:rsidRPr="00292D9C">
        <w:rPr>
          <w:lang w:eastAsia="en-GB"/>
        </w:rPr>
        <w:t>.</w:t>
      </w:r>
      <w:r w:rsidR="007F2C32" w:rsidRPr="00292D9C">
        <w:rPr>
          <w:lang w:eastAsia="en-GB"/>
        </w:rPr>
        <w:t xml:space="preserve"> </w:t>
      </w:r>
      <w:r w:rsidR="00770DCF" w:rsidRPr="00292D9C">
        <w:rPr>
          <w:lang w:eastAsia="en-GB"/>
        </w:rPr>
        <w:t>In</w:t>
      </w:r>
      <w:r w:rsidR="007F2C32" w:rsidRPr="00292D9C">
        <w:rPr>
          <w:lang w:eastAsia="en-GB"/>
        </w:rPr>
        <w:t xml:space="preserve"> some circumstances</w:t>
      </w:r>
      <w:r w:rsidR="00770DCF" w:rsidRPr="00292D9C">
        <w:rPr>
          <w:lang w:eastAsia="en-GB"/>
        </w:rPr>
        <w:t xml:space="preserve"> </w:t>
      </w:r>
      <w:r w:rsidR="0054325A" w:rsidRPr="00292D9C">
        <w:rPr>
          <w:lang w:eastAsia="en-GB"/>
        </w:rPr>
        <w:t>addressing equity</w:t>
      </w:r>
      <w:r w:rsidR="00770DCF" w:rsidRPr="00292D9C">
        <w:rPr>
          <w:lang w:eastAsia="en-GB"/>
        </w:rPr>
        <w:t xml:space="preserve"> is useful</w:t>
      </w:r>
      <w:r w:rsidR="0054325A" w:rsidRPr="00292D9C">
        <w:rPr>
          <w:lang w:eastAsia="en-GB"/>
        </w:rPr>
        <w:t xml:space="preserve">, </w:t>
      </w:r>
      <w:r w:rsidRPr="00292D9C">
        <w:rPr>
          <w:lang w:eastAsia="en-GB"/>
        </w:rPr>
        <w:t xml:space="preserve">and it’s important </w:t>
      </w:r>
      <w:r w:rsidR="000F5954" w:rsidRPr="00292D9C">
        <w:rPr>
          <w:lang w:eastAsia="en-GB"/>
        </w:rPr>
        <w:t>t</w:t>
      </w:r>
      <w:r w:rsidRPr="00292D9C">
        <w:rPr>
          <w:lang w:eastAsia="en-GB"/>
        </w:rPr>
        <w:t xml:space="preserve">o ensure that universal programs do not accidentally exacerbate the </w:t>
      </w:r>
      <w:r w:rsidR="000F5954" w:rsidRPr="00292D9C">
        <w:rPr>
          <w:lang w:eastAsia="en-GB"/>
        </w:rPr>
        <w:t>inequities</w:t>
      </w:r>
      <w:r w:rsidRPr="00292D9C">
        <w:rPr>
          <w:lang w:eastAsia="en-GB"/>
        </w:rPr>
        <w:t xml:space="preserve"> in STEM. </w:t>
      </w:r>
    </w:p>
    <w:p w14:paraId="3D1A4619" w14:textId="77777777" w:rsidR="004607CE" w:rsidRPr="00292D9C" w:rsidRDefault="004607CE" w:rsidP="00A616D5">
      <w:pPr>
        <w:pStyle w:val="Heading3Normal"/>
        <w:spacing w:before="0" w:after="120"/>
        <w:rPr>
          <w:rFonts w:asciiTheme="minorHAnsi" w:hAnsiTheme="minorHAnsi"/>
          <w:lang w:eastAsia="en-GB"/>
        </w:rPr>
      </w:pPr>
      <w:r w:rsidRPr="00292D9C">
        <w:rPr>
          <w:rFonts w:asciiTheme="minorHAnsi" w:hAnsiTheme="minorHAnsi"/>
          <w:lang w:eastAsia="en-GB"/>
        </w:rPr>
        <w:t>Fund</w:t>
      </w:r>
      <w:r w:rsidR="00D83F50" w:rsidRPr="00292D9C">
        <w:rPr>
          <w:rFonts w:asciiTheme="minorHAnsi" w:hAnsiTheme="minorHAnsi"/>
          <w:lang w:eastAsia="en-GB"/>
        </w:rPr>
        <w:t>ing i</w:t>
      </w:r>
      <w:r w:rsidRPr="00292D9C">
        <w:rPr>
          <w:rFonts w:asciiTheme="minorHAnsi" w:hAnsiTheme="minorHAnsi"/>
          <w:lang w:eastAsia="en-GB"/>
        </w:rPr>
        <w:t xml:space="preserve">nitiatives with a universal focus </w:t>
      </w:r>
      <w:r w:rsidR="00585F36" w:rsidRPr="00292D9C">
        <w:rPr>
          <w:rFonts w:asciiTheme="minorHAnsi" w:hAnsiTheme="minorHAnsi"/>
          <w:lang w:eastAsia="en-GB"/>
        </w:rPr>
        <w:t>would have</w:t>
      </w:r>
      <w:r w:rsidRPr="00292D9C">
        <w:rPr>
          <w:rFonts w:asciiTheme="minorHAnsi" w:hAnsiTheme="minorHAnsi"/>
          <w:lang w:eastAsia="en-GB"/>
        </w:rPr>
        <w:t xml:space="preserve"> the greatest potential for impact…</w:t>
      </w:r>
    </w:p>
    <w:p w14:paraId="33FFEF2B" w14:textId="77777777" w:rsidR="000631CB" w:rsidRPr="00292D9C" w:rsidRDefault="00B32688" w:rsidP="00A616D5">
      <w:pPr>
        <w:rPr>
          <w:color w:val="00B0F0"/>
          <w:lang w:eastAsia="en-GB"/>
        </w:rPr>
      </w:pPr>
      <w:r w:rsidRPr="00292D9C">
        <w:rPr>
          <w:lang w:eastAsia="en-GB"/>
        </w:rPr>
        <w:t xml:space="preserve">Universal provision of initiatives has the greatest potential for impact because it equips a large cohort of young Australians with STEM skills and knowledge that will enable them to address complex challenges and meet future workforce demands, which aligns with the </w:t>
      </w:r>
      <w:r w:rsidRPr="00292D9C">
        <w:rPr>
          <w:i/>
          <w:iCs/>
          <w:lang w:eastAsia="en-GB"/>
        </w:rPr>
        <w:t xml:space="preserve">National STEM School Education Strategy </w:t>
      </w:r>
      <w:r w:rsidRPr="00292D9C">
        <w:rPr>
          <w:lang w:eastAsia="en-GB"/>
        </w:rPr>
        <w:t>that has informed the objectives of the NISA initiatives. A universal approach also increases student access and opportunity to participate in STEM programs, which research has shown can be limited outside of formal education, due to factors such as program cost, parent availability to support travel or program scheduling outside of school hours.</w:t>
      </w:r>
      <w:r w:rsidRPr="00292D9C">
        <w:rPr>
          <w:rStyle w:val="FootnoteReference"/>
          <w:lang w:eastAsia="en-GB"/>
        </w:rPr>
        <w:footnoteReference w:id="45"/>
      </w:r>
      <w:r w:rsidRPr="00292D9C">
        <w:rPr>
          <w:color w:val="00B0F0"/>
          <w:lang w:eastAsia="en-GB"/>
        </w:rPr>
        <w:t xml:space="preserve"> </w:t>
      </w:r>
      <w:r w:rsidRPr="00292D9C">
        <w:rPr>
          <w:lang w:eastAsia="en-GB"/>
        </w:rPr>
        <w:t>Additionally, f</w:t>
      </w:r>
      <w:r w:rsidR="009F68DA" w:rsidRPr="00292D9C">
        <w:rPr>
          <w:lang w:eastAsia="en-GB"/>
        </w:rPr>
        <w:t>unding initiatives with a universal focus</w:t>
      </w:r>
      <w:r w:rsidRPr="00292D9C">
        <w:rPr>
          <w:lang w:eastAsia="en-GB"/>
        </w:rPr>
        <w:t xml:space="preserve"> </w:t>
      </w:r>
      <w:r w:rsidR="009F68DA" w:rsidRPr="00292D9C">
        <w:rPr>
          <w:lang w:eastAsia="en-GB"/>
        </w:rPr>
        <w:t>ha</w:t>
      </w:r>
      <w:r w:rsidR="002302FA" w:rsidRPr="00292D9C">
        <w:rPr>
          <w:lang w:eastAsia="en-GB"/>
        </w:rPr>
        <w:t>s</w:t>
      </w:r>
      <w:r w:rsidR="009F68DA" w:rsidRPr="00292D9C">
        <w:rPr>
          <w:lang w:eastAsia="en-GB"/>
        </w:rPr>
        <w:t xml:space="preserve"> </w:t>
      </w:r>
      <w:r w:rsidRPr="00292D9C">
        <w:rPr>
          <w:lang w:eastAsia="en-GB"/>
        </w:rPr>
        <w:t>a large</w:t>
      </w:r>
      <w:r w:rsidR="009F68DA" w:rsidRPr="00292D9C">
        <w:rPr>
          <w:lang w:eastAsia="en-GB"/>
        </w:rPr>
        <w:t xml:space="preserve"> potential for impact because </w:t>
      </w:r>
      <w:r w:rsidR="00D83F50" w:rsidRPr="00292D9C">
        <w:rPr>
          <w:lang w:eastAsia="en-GB"/>
        </w:rPr>
        <w:t>they</w:t>
      </w:r>
      <w:r w:rsidR="009F68DA" w:rsidRPr="00292D9C">
        <w:rPr>
          <w:lang w:eastAsia="en-GB"/>
        </w:rPr>
        <w:t xml:space="preserve"> can more easily reach large numbers of students.</w:t>
      </w:r>
      <w:r w:rsidR="0095195D" w:rsidRPr="00292D9C">
        <w:rPr>
          <w:lang w:eastAsia="en-GB"/>
        </w:rPr>
        <w:t xml:space="preserve"> One example is the</w:t>
      </w:r>
      <w:r w:rsidR="00E135D3">
        <w:rPr>
          <w:lang w:eastAsia="en-GB"/>
        </w:rPr>
        <w:t xml:space="preserve"> Digital Technologies Massive Open Online Courses (MOOCs) initiative which has a universal focus. This initiative provides free professional learning for teachers on the Digital Technologies component of the Australian Curriculum. Over 30,300 teachers have enrolled across the three MOOCs, and an estimated 1,357,638 students are undertaking digital technologies activities in the classroom as a result of teacher engagement with the MOOCs. </w:t>
      </w:r>
    </w:p>
    <w:p w14:paraId="7C872666" w14:textId="77777777" w:rsidR="004607CE" w:rsidRPr="00292D9C" w:rsidRDefault="004B31AB" w:rsidP="00A616D5">
      <w:pPr>
        <w:pStyle w:val="Heading3Normal"/>
        <w:spacing w:before="0" w:after="120"/>
        <w:rPr>
          <w:rFonts w:asciiTheme="minorHAnsi" w:hAnsiTheme="minorHAnsi"/>
          <w:lang w:eastAsia="en-GB"/>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74976" behindDoc="0" locked="0" layoutInCell="1" allowOverlap="1" wp14:anchorId="2DDE2F9F" wp14:editId="3FD5AA6C">
                <wp:simplePos x="0" y="0"/>
                <wp:positionH relativeFrom="column">
                  <wp:posOffset>4163060</wp:posOffset>
                </wp:positionH>
                <wp:positionV relativeFrom="paragraph">
                  <wp:posOffset>498475</wp:posOffset>
                </wp:positionV>
                <wp:extent cx="1774825" cy="1104900"/>
                <wp:effectExtent l="0" t="0" r="3175" b="127000"/>
                <wp:wrapSquare wrapText="bothSides"/>
                <wp:docPr id="57" name="Rounded Rectangular Callout 57"/>
                <wp:cNvGraphicFramePr/>
                <a:graphic xmlns:a="http://schemas.openxmlformats.org/drawingml/2006/main">
                  <a:graphicData uri="http://schemas.microsoft.com/office/word/2010/wordprocessingShape">
                    <wps:wsp>
                      <wps:cNvSpPr/>
                      <wps:spPr>
                        <a:xfrm>
                          <a:off x="0" y="0"/>
                          <a:ext cx="1774825" cy="1104900"/>
                        </a:xfrm>
                        <a:prstGeom prst="wedgeRoundRectCallout">
                          <a:avLst>
                            <a:gd name="adj1" fmla="val -11964"/>
                            <a:gd name="adj2" fmla="val 6132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355367" w14:textId="77777777" w:rsidR="007E2D07" w:rsidRDefault="007E2D07" w:rsidP="0087538D">
                            <w:pPr>
                              <w:spacing w:line="240" w:lineRule="auto"/>
                              <w:jc w:val="center"/>
                            </w:pPr>
                            <w:r>
                              <w:t>“Funding is needed to ensure that low ICSEA schools and regional schools have equitable access to high performing teachers, resources and excursions.”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E2F9F" id="Rounded Rectangular Callout 57" o:spid="_x0000_s1049" type="#_x0000_t62" style="position:absolute;margin-left:327.8pt;margin-top:39.25pt;width:139.75pt;height:8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" adj="8216,24047" fillcolor="#f4c6cd [660]" stroked="f" strokeweight="2pt">
                <v:textbox inset="0,0,0,0">
                  <w:txbxContent>
                    <w:p w14:paraId="33355367" w14:textId="77777777" w:rsidR="007E2D07" w:rsidRDefault="007E2D07" w:rsidP="0087538D">
                      <w:pPr>
                        <w:spacing w:line="240" w:lineRule="auto"/>
                        <w:jc w:val="center"/>
                      </w:pPr>
                      <w:r>
                        <w:t>“Funding is needed to ensure that low ICSEA schools and regional schools have equitable access to high performing teachers, resources and excursions.” – Principal</w:t>
                      </w:r>
                    </w:p>
                  </w:txbxContent>
                </v:textbox>
                <w10:wrap type="square"/>
              </v:shape>
            </w:pict>
          </mc:Fallback>
        </mc:AlternateContent>
      </w:r>
      <w:r w:rsidR="00DD032B" w:rsidRPr="00292D9C">
        <w:rPr>
          <w:rFonts w:asciiTheme="minorHAnsi" w:hAnsiTheme="minorHAnsi"/>
          <w:lang w:eastAsia="en-GB"/>
        </w:rPr>
        <w:t>…. provided</w:t>
      </w:r>
      <w:r w:rsidR="004607CE" w:rsidRPr="00292D9C">
        <w:rPr>
          <w:rFonts w:asciiTheme="minorHAnsi" w:hAnsiTheme="minorHAnsi"/>
          <w:lang w:eastAsia="en-GB"/>
        </w:rPr>
        <w:t xml:space="preserve"> they have a differentiated strategy for underrepresented groups to ensure they </w:t>
      </w:r>
      <w:r w:rsidR="00F5771B" w:rsidRPr="00292D9C">
        <w:rPr>
          <w:rFonts w:asciiTheme="minorHAnsi" w:hAnsiTheme="minorHAnsi"/>
          <w:lang w:eastAsia="en-GB"/>
        </w:rPr>
        <w:t>do not exa</w:t>
      </w:r>
      <w:r w:rsidR="00701BD8" w:rsidRPr="00292D9C">
        <w:rPr>
          <w:rFonts w:asciiTheme="minorHAnsi" w:hAnsiTheme="minorHAnsi"/>
          <w:lang w:eastAsia="en-GB"/>
        </w:rPr>
        <w:t>sperate</w:t>
      </w:r>
      <w:r w:rsidR="00F5771B" w:rsidRPr="00292D9C">
        <w:rPr>
          <w:rFonts w:asciiTheme="minorHAnsi" w:hAnsiTheme="minorHAnsi"/>
          <w:lang w:eastAsia="en-GB"/>
        </w:rPr>
        <w:t xml:space="preserve"> inequities </w:t>
      </w:r>
    </w:p>
    <w:p w14:paraId="67D918D4" w14:textId="77777777" w:rsidR="007F3DF0" w:rsidRPr="00292D9C" w:rsidRDefault="007F2C32" w:rsidP="00A616D5">
      <w:pPr>
        <w:rPr>
          <w:lang w:eastAsia="en-GB"/>
        </w:rPr>
      </w:pPr>
      <w:r w:rsidRPr="00292D9C">
        <w:rPr>
          <w:lang w:eastAsia="en-GB"/>
        </w:rPr>
        <w:t>However, universal approaches are at risk of targeting ‘excellence’</w:t>
      </w:r>
      <w:r w:rsidR="00754EE3" w:rsidRPr="00292D9C">
        <w:rPr>
          <w:lang w:eastAsia="en-GB"/>
        </w:rPr>
        <w:t xml:space="preserve"> or high-socio-economic groups</w:t>
      </w:r>
      <w:r w:rsidRPr="00292D9C">
        <w:rPr>
          <w:lang w:eastAsia="en-GB"/>
        </w:rPr>
        <w:t xml:space="preserve"> by </w:t>
      </w:r>
      <w:r w:rsidR="009F68DA" w:rsidRPr="00292D9C">
        <w:rPr>
          <w:lang w:eastAsia="en-GB"/>
        </w:rPr>
        <w:t>accident</w:t>
      </w:r>
      <w:r w:rsidRPr="00292D9C">
        <w:rPr>
          <w:lang w:eastAsia="en-GB"/>
        </w:rPr>
        <w:t xml:space="preserve"> because the schools and teachers who seek out </w:t>
      </w:r>
      <w:r w:rsidR="009F68DA" w:rsidRPr="00292D9C">
        <w:rPr>
          <w:lang w:eastAsia="en-GB"/>
        </w:rPr>
        <w:t xml:space="preserve">STEM education </w:t>
      </w:r>
      <w:r w:rsidRPr="00292D9C">
        <w:rPr>
          <w:lang w:eastAsia="en-GB"/>
        </w:rPr>
        <w:t xml:space="preserve">opportunities and voluntarily participate are more likely to be </w:t>
      </w:r>
      <w:r w:rsidR="009F68DA" w:rsidRPr="00292D9C">
        <w:rPr>
          <w:lang w:eastAsia="en-GB"/>
        </w:rPr>
        <w:t>those</w:t>
      </w:r>
      <w:r w:rsidRPr="00292D9C">
        <w:rPr>
          <w:lang w:eastAsia="en-GB"/>
        </w:rPr>
        <w:t xml:space="preserve"> who are already interested and passionate about STEM.</w:t>
      </w:r>
    </w:p>
    <w:p w14:paraId="0E9A6DF0" w14:textId="77777777" w:rsidR="00A2396B" w:rsidRPr="00292D9C" w:rsidRDefault="00FD0ACF" w:rsidP="00A616D5">
      <w:pPr>
        <w:rPr>
          <w:lang w:eastAsia="en-GB"/>
        </w:rPr>
      </w:pPr>
      <w:r w:rsidRPr="00292D9C">
        <w:rPr>
          <w:lang w:eastAsia="en-GB"/>
        </w:rPr>
        <w:t xml:space="preserve">To overcome this problem, the </w:t>
      </w:r>
      <w:r w:rsidR="00DD032B" w:rsidRPr="00292D9C">
        <w:rPr>
          <w:lang w:eastAsia="en-GB"/>
        </w:rPr>
        <w:t>Australian Government</w:t>
      </w:r>
      <w:r w:rsidRPr="00292D9C">
        <w:rPr>
          <w:lang w:eastAsia="en-GB"/>
        </w:rPr>
        <w:t xml:space="preserve"> can </w:t>
      </w:r>
      <w:r w:rsidR="00950B37" w:rsidRPr="00292D9C">
        <w:rPr>
          <w:lang w:eastAsia="en-GB"/>
        </w:rPr>
        <w:t xml:space="preserve">further </w:t>
      </w:r>
      <w:r w:rsidRPr="00292D9C">
        <w:rPr>
          <w:lang w:eastAsia="en-GB"/>
        </w:rPr>
        <w:t>encourage providers to have a differentiated strategy for targeting equity groups, even if they have a universal focus</w:t>
      </w:r>
      <w:r w:rsidR="00754EE3" w:rsidRPr="00292D9C">
        <w:rPr>
          <w:lang w:eastAsia="en-GB"/>
        </w:rPr>
        <w:t>. This might involve insisting that initiatives set goals for targeting a certain number of disadvantaged schools or students from underrepresented groups and</w:t>
      </w:r>
      <w:r w:rsidRPr="00292D9C">
        <w:rPr>
          <w:lang w:eastAsia="en-GB"/>
        </w:rPr>
        <w:t xml:space="preserve"> collect</w:t>
      </w:r>
      <w:r w:rsidR="00754EE3" w:rsidRPr="00292D9C">
        <w:rPr>
          <w:lang w:eastAsia="en-GB"/>
        </w:rPr>
        <w:t xml:space="preserve"> </w:t>
      </w:r>
      <w:r w:rsidRPr="00292D9C">
        <w:rPr>
          <w:lang w:eastAsia="en-GB"/>
        </w:rPr>
        <w:t>data around the</w:t>
      </w:r>
      <w:r w:rsidR="00754EE3" w:rsidRPr="00292D9C">
        <w:rPr>
          <w:lang w:eastAsia="en-GB"/>
        </w:rPr>
        <w:t xml:space="preserve">se goals. </w:t>
      </w:r>
      <w:r w:rsidR="00E135D3">
        <w:rPr>
          <w:lang w:eastAsia="en-GB"/>
        </w:rPr>
        <w:t>For example, despite its universal focus,</w:t>
      </w:r>
      <w:r w:rsidR="00E135D3" w:rsidRPr="00E135D3">
        <w:rPr>
          <w:lang w:eastAsia="en-GB"/>
        </w:rPr>
        <w:t xml:space="preserve"> </w:t>
      </w:r>
      <w:r w:rsidR="00E135D3">
        <w:rPr>
          <w:lang w:eastAsia="en-GB"/>
        </w:rPr>
        <w:t xml:space="preserve">almost 30% of teacher enrolments for the MOOCs initiative are from target areas including regional and remote, low socio-economic and schools with high Indigenous enrolments. </w:t>
      </w:r>
      <w:r w:rsidR="00D21119" w:rsidRPr="00292D9C">
        <w:rPr>
          <w:lang w:eastAsia="en-GB"/>
        </w:rPr>
        <w:t xml:space="preserve">Without a differentiated strategy, </w:t>
      </w:r>
      <w:r w:rsidR="007F2C32" w:rsidRPr="00292D9C">
        <w:rPr>
          <w:lang w:eastAsia="en-GB"/>
        </w:rPr>
        <w:t xml:space="preserve">there is a risk that </w:t>
      </w:r>
      <w:r w:rsidR="00D21119" w:rsidRPr="00292D9C">
        <w:rPr>
          <w:lang w:eastAsia="en-GB"/>
        </w:rPr>
        <w:t xml:space="preserve">certain </w:t>
      </w:r>
      <w:r w:rsidR="007F2C32" w:rsidRPr="00292D9C">
        <w:rPr>
          <w:lang w:eastAsia="en-GB"/>
        </w:rPr>
        <w:t xml:space="preserve">groups are </w:t>
      </w:r>
      <w:r w:rsidR="00484A07" w:rsidRPr="00292D9C">
        <w:rPr>
          <w:lang w:eastAsia="en-GB"/>
        </w:rPr>
        <w:t>missed,</w:t>
      </w:r>
      <w:r w:rsidR="007F2C32" w:rsidRPr="00292D9C">
        <w:rPr>
          <w:lang w:eastAsia="en-GB"/>
        </w:rPr>
        <w:t xml:space="preserve"> and inequities </w:t>
      </w:r>
      <w:r w:rsidR="00D21119" w:rsidRPr="00292D9C">
        <w:rPr>
          <w:lang w:eastAsia="en-GB"/>
        </w:rPr>
        <w:t xml:space="preserve">in STEM </w:t>
      </w:r>
      <w:r w:rsidR="007F2C32" w:rsidRPr="00292D9C">
        <w:rPr>
          <w:lang w:eastAsia="en-GB"/>
        </w:rPr>
        <w:t xml:space="preserve">are </w:t>
      </w:r>
      <w:r w:rsidR="00D21089">
        <w:rPr>
          <w:lang w:eastAsia="en-GB"/>
        </w:rPr>
        <w:t>exacerbated</w:t>
      </w:r>
      <w:r w:rsidR="007F2C32" w:rsidRPr="00292D9C">
        <w:rPr>
          <w:lang w:eastAsia="en-GB"/>
        </w:rPr>
        <w:t>.</w:t>
      </w:r>
      <w:r w:rsidR="00A2396B" w:rsidRPr="00292D9C">
        <w:rPr>
          <w:lang w:eastAsia="en-GB"/>
        </w:rPr>
        <w:t xml:space="preserve"> The best manner in which to do this will vary from project to project and detailed consideration is needed for each. We acknowledge that </w:t>
      </w:r>
      <w:r w:rsidR="00950B37" w:rsidRPr="00292D9C">
        <w:rPr>
          <w:lang w:eastAsia="en-GB"/>
        </w:rPr>
        <w:t>most current government contracts include such requirements and recommend this continues. S</w:t>
      </w:r>
      <w:r w:rsidR="00A2396B" w:rsidRPr="00292D9C">
        <w:rPr>
          <w:lang w:eastAsia="en-GB"/>
        </w:rPr>
        <w:t>takeholders reaffirm</w:t>
      </w:r>
      <w:r w:rsidR="00950B37" w:rsidRPr="00292D9C">
        <w:rPr>
          <w:lang w:eastAsia="en-GB"/>
        </w:rPr>
        <w:t>ed</w:t>
      </w:r>
      <w:r w:rsidR="00A2396B" w:rsidRPr="00292D9C">
        <w:rPr>
          <w:lang w:eastAsia="en-GB"/>
        </w:rPr>
        <w:t xml:space="preserve"> that this approach reasonably mitigates inequity. </w:t>
      </w:r>
    </w:p>
    <w:p w14:paraId="55783966" w14:textId="77777777" w:rsidR="00065DED" w:rsidRPr="00292D9C" w:rsidRDefault="00484A07"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When funding initiatives that target equity, be aware of the additional challenges</w:t>
      </w:r>
      <w:r w:rsidR="00C00065" w:rsidRPr="00292D9C">
        <w:rPr>
          <w:rFonts w:asciiTheme="minorHAnsi" w:hAnsiTheme="minorHAnsi"/>
          <w:lang w:eastAsia="en-GB"/>
        </w:rPr>
        <w:t xml:space="preserve"> that providers and schools face </w:t>
      </w:r>
    </w:p>
    <w:p w14:paraId="003ED427" w14:textId="77777777" w:rsidR="00065DED" w:rsidRPr="00292D9C" w:rsidRDefault="004B31AB"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781120" behindDoc="0" locked="0" layoutInCell="1" allowOverlap="1" wp14:anchorId="02F7CBE7" wp14:editId="77560826">
                <wp:simplePos x="0" y="0"/>
                <wp:positionH relativeFrom="column">
                  <wp:posOffset>4585335</wp:posOffset>
                </wp:positionH>
                <wp:positionV relativeFrom="paragraph">
                  <wp:posOffset>854075</wp:posOffset>
                </wp:positionV>
                <wp:extent cx="1654810" cy="902335"/>
                <wp:effectExtent l="0" t="0" r="0" b="139065"/>
                <wp:wrapSquare wrapText="bothSides"/>
                <wp:docPr id="61" name="Rounded Rectangular Callout 61"/>
                <wp:cNvGraphicFramePr/>
                <a:graphic xmlns:a="http://schemas.openxmlformats.org/drawingml/2006/main">
                  <a:graphicData uri="http://schemas.microsoft.com/office/word/2010/wordprocessingShape">
                    <wps:wsp>
                      <wps:cNvSpPr/>
                      <wps:spPr>
                        <a:xfrm>
                          <a:off x="0" y="0"/>
                          <a:ext cx="1654810" cy="902335"/>
                        </a:xfrm>
                        <a:prstGeom prst="wedgeRoundRectCallout">
                          <a:avLst>
                            <a:gd name="adj1" fmla="val -8805"/>
                            <a:gd name="adj2" fmla="val 6412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5BBB1" w14:textId="77777777" w:rsidR="007E2D07" w:rsidRDefault="007E2D07" w:rsidP="0087538D">
                            <w:pPr>
                              <w:spacing w:line="240" w:lineRule="auto"/>
                              <w:jc w:val="center"/>
                            </w:pPr>
                            <w:r>
                              <w:t>“Perhaps having video links to workshops and conferences might help those of us in rural areas”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7CBE7" id="Rounded Rectangular Callout 61" o:spid="_x0000_s1050" type="#_x0000_t62" style="position:absolute;margin-left:361.05pt;margin-top:67.25pt;width:130.3pt;height:7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" adj="8898,24650" fillcolor="#f4c6cd [660]" stroked="f" strokeweight="2pt">
                <v:textbox inset="0,0,0,0">
                  <w:txbxContent>
                    <w:p w14:paraId="2835BBB1" w14:textId="77777777" w:rsidR="007E2D07" w:rsidRDefault="007E2D07" w:rsidP="0087538D">
                      <w:pPr>
                        <w:spacing w:line="240" w:lineRule="auto"/>
                        <w:jc w:val="center"/>
                      </w:pPr>
                      <w:r>
                        <w:t>“Perhaps having video links to workshops and conferences might help those of us in rural areas” – Early Childhood Educator</w:t>
                      </w: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766784" behindDoc="0" locked="0" layoutInCell="1" allowOverlap="1" wp14:anchorId="3A839298" wp14:editId="649B9447">
                <wp:simplePos x="0" y="0"/>
                <wp:positionH relativeFrom="column">
                  <wp:posOffset>4586605</wp:posOffset>
                </wp:positionH>
                <wp:positionV relativeFrom="paragraph">
                  <wp:posOffset>50848</wp:posOffset>
                </wp:positionV>
                <wp:extent cx="1655179" cy="590309"/>
                <wp:effectExtent l="0" t="0" r="0" b="121285"/>
                <wp:wrapSquare wrapText="bothSides"/>
                <wp:docPr id="72" name="Rounded Rectangular Callout 72"/>
                <wp:cNvGraphicFramePr/>
                <a:graphic xmlns:a="http://schemas.openxmlformats.org/drawingml/2006/main">
                  <a:graphicData uri="http://schemas.microsoft.com/office/word/2010/wordprocessingShape">
                    <wps:wsp>
                      <wps:cNvSpPr/>
                      <wps:spPr>
                        <a:xfrm>
                          <a:off x="0" y="0"/>
                          <a:ext cx="1655179" cy="590309"/>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E1C81" w14:textId="77777777" w:rsidR="007E2D07" w:rsidRDefault="007E2D07" w:rsidP="0087538D">
                            <w:pPr>
                              <w:spacing w:line="240" w:lineRule="auto"/>
                              <w:jc w:val="center"/>
                            </w:pPr>
                            <w:r>
                              <w:t>“The distance of our rural school creates a barrier for students and staff.”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9298" id="Rounded Rectangular Callout 72" o:spid="_x0000_s1051" type="#_x0000_t62" style="position:absolute;margin-left:361.15pt;margin-top:4pt;width:130.35pt;height:4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" adj="8486,25866" fillcolor="#f4c6cd [660]" stroked="f" strokeweight="2pt">
                <v:textbox inset="0,0,0,0">
                  <w:txbxContent>
                    <w:p w14:paraId="113E1C81" w14:textId="77777777" w:rsidR="007E2D07" w:rsidRDefault="007E2D07" w:rsidP="0087538D">
                      <w:pPr>
                        <w:spacing w:line="240" w:lineRule="auto"/>
                        <w:jc w:val="center"/>
                      </w:pPr>
                      <w:r>
                        <w:t>“The distance of our rural school creates a barrier for students and staff.” – Teacher</w:t>
                      </w:r>
                    </w:p>
                  </w:txbxContent>
                </v:textbox>
                <w10:wrap type="square"/>
              </v:shape>
            </w:pict>
          </mc:Fallback>
        </mc:AlternateContent>
      </w:r>
      <w:r w:rsidR="00065DED" w:rsidRPr="00292D9C">
        <w:rPr>
          <w:lang w:eastAsia="en-GB"/>
        </w:rPr>
        <w:t xml:space="preserve">In addressing inequity in STEM education, the </w:t>
      </w:r>
      <w:r w:rsidR="00701BD8" w:rsidRPr="00292D9C">
        <w:rPr>
          <w:lang w:eastAsia="en-GB"/>
        </w:rPr>
        <w:t>Australian Government</w:t>
      </w:r>
      <w:r w:rsidR="00065DED" w:rsidRPr="00292D9C">
        <w:rPr>
          <w:lang w:eastAsia="en-GB"/>
        </w:rPr>
        <w:t xml:space="preserve"> should be aware of the additional challenges </w:t>
      </w:r>
      <w:r w:rsidR="00131C1D" w:rsidRPr="00292D9C">
        <w:rPr>
          <w:lang w:eastAsia="en-GB"/>
        </w:rPr>
        <w:t>regarding</w:t>
      </w:r>
      <w:r w:rsidR="00065DED" w:rsidRPr="00292D9C">
        <w:rPr>
          <w:lang w:eastAsia="en-GB"/>
        </w:rPr>
        <w:t xml:space="preserve"> work with </w:t>
      </w:r>
      <w:r w:rsidR="00C11BB8" w:rsidRPr="00292D9C">
        <w:rPr>
          <w:lang w:eastAsia="en-GB"/>
        </w:rPr>
        <w:t>underrepresented</w:t>
      </w:r>
      <w:r w:rsidR="00065DED" w:rsidRPr="00292D9C">
        <w:rPr>
          <w:lang w:eastAsia="en-GB"/>
        </w:rPr>
        <w:t xml:space="preserve"> groups</w:t>
      </w:r>
      <w:r w:rsidR="00F44CD9" w:rsidRPr="00292D9C">
        <w:rPr>
          <w:lang w:eastAsia="en-GB"/>
        </w:rPr>
        <w:t xml:space="preserve"> and encourage approaches that </w:t>
      </w:r>
      <w:r w:rsidR="006E299D" w:rsidRPr="00292D9C">
        <w:rPr>
          <w:lang w:eastAsia="en-GB"/>
        </w:rPr>
        <w:t xml:space="preserve">address these challenges and have been </w:t>
      </w:r>
      <w:r w:rsidR="007063F2" w:rsidRPr="00292D9C">
        <w:rPr>
          <w:lang w:eastAsia="en-GB"/>
        </w:rPr>
        <w:t xml:space="preserve">proven </w:t>
      </w:r>
      <w:r w:rsidR="006E299D" w:rsidRPr="00292D9C">
        <w:rPr>
          <w:lang w:eastAsia="en-GB"/>
        </w:rPr>
        <w:t xml:space="preserve">to work in </w:t>
      </w:r>
      <w:r w:rsidR="007063F2" w:rsidRPr="00292D9C">
        <w:rPr>
          <w:lang w:eastAsia="en-GB"/>
        </w:rPr>
        <w:t xml:space="preserve">these </w:t>
      </w:r>
      <w:r w:rsidR="00C11BB8" w:rsidRPr="00292D9C">
        <w:rPr>
          <w:lang w:eastAsia="en-GB"/>
        </w:rPr>
        <w:t xml:space="preserve">specific </w:t>
      </w:r>
      <w:r w:rsidR="006E299D" w:rsidRPr="00292D9C">
        <w:rPr>
          <w:lang w:eastAsia="en-GB"/>
        </w:rPr>
        <w:t>contexts. This might</w:t>
      </w:r>
      <w:r w:rsidR="00E36D53" w:rsidRPr="00292D9C">
        <w:rPr>
          <w:lang w:eastAsia="en-GB"/>
        </w:rPr>
        <w:t xml:space="preserve"> </w:t>
      </w:r>
      <w:r w:rsidR="006E299D" w:rsidRPr="00292D9C">
        <w:rPr>
          <w:lang w:eastAsia="en-GB"/>
        </w:rPr>
        <w:t>include</w:t>
      </w:r>
      <w:r w:rsidR="00E36D53" w:rsidRPr="00292D9C">
        <w:rPr>
          <w:lang w:eastAsia="en-GB"/>
        </w:rPr>
        <w:t xml:space="preserve"> </w:t>
      </w:r>
      <w:r w:rsidR="006E299D" w:rsidRPr="00292D9C">
        <w:rPr>
          <w:lang w:eastAsia="en-GB"/>
        </w:rPr>
        <w:t>removing any cost barriers to travel</w:t>
      </w:r>
      <w:r w:rsidR="00E36D53" w:rsidRPr="00292D9C">
        <w:rPr>
          <w:lang w:eastAsia="en-GB"/>
        </w:rPr>
        <w:t xml:space="preserve"> </w:t>
      </w:r>
      <w:r w:rsidR="00C11BB8" w:rsidRPr="00292D9C">
        <w:rPr>
          <w:lang w:eastAsia="en-GB"/>
        </w:rPr>
        <w:t xml:space="preserve">for rural and remote teachers and students </w:t>
      </w:r>
      <w:r w:rsidR="00E36D53" w:rsidRPr="00292D9C">
        <w:rPr>
          <w:lang w:eastAsia="en-GB"/>
        </w:rPr>
        <w:t xml:space="preserve">and providing professional learning that </w:t>
      </w:r>
      <w:r w:rsidR="006E299D" w:rsidRPr="00292D9C">
        <w:rPr>
          <w:lang w:eastAsia="en-GB"/>
        </w:rPr>
        <w:t xml:space="preserve">involves on-going collaboration with teachers in their schools. </w:t>
      </w:r>
      <w:r w:rsidR="000366F4" w:rsidRPr="00292D9C">
        <w:rPr>
          <w:lang w:eastAsia="en-GB"/>
        </w:rPr>
        <w:t>This is in line with the current Government approach</w:t>
      </w:r>
      <w:r w:rsidR="00131C1D" w:rsidRPr="00292D9C">
        <w:rPr>
          <w:lang w:eastAsia="en-GB"/>
        </w:rPr>
        <w:t>,</w:t>
      </w:r>
      <w:r w:rsidR="000366F4" w:rsidRPr="00292D9C">
        <w:rPr>
          <w:lang w:eastAsia="en-GB"/>
        </w:rPr>
        <w:t xml:space="preserve"> with respect to those initiatives that target equit</w:t>
      </w:r>
      <w:r w:rsidR="00095C0E" w:rsidRPr="00292D9C">
        <w:rPr>
          <w:lang w:eastAsia="en-GB"/>
        </w:rPr>
        <w:t>y</w:t>
      </w:r>
      <w:r w:rsidR="000366F4" w:rsidRPr="00292D9C">
        <w:rPr>
          <w:lang w:eastAsia="en-GB"/>
        </w:rPr>
        <w:t>.</w:t>
      </w:r>
      <w:r w:rsidR="00E36D53" w:rsidRPr="00292D9C">
        <w:rPr>
          <w:lang w:eastAsia="en-GB"/>
        </w:rPr>
        <w:t xml:space="preserve"> </w:t>
      </w:r>
    </w:p>
    <w:p w14:paraId="055D8455" w14:textId="77777777" w:rsidR="007012A1" w:rsidRPr="00292D9C" w:rsidRDefault="007012A1" w:rsidP="00A616D5">
      <w:pPr>
        <w:pStyle w:val="Heading3Normal"/>
        <w:spacing w:before="0" w:after="120"/>
        <w:rPr>
          <w:rFonts w:asciiTheme="minorHAnsi" w:hAnsiTheme="minorHAnsi"/>
          <w:lang w:eastAsia="en-GB"/>
        </w:rPr>
      </w:pPr>
      <w:r w:rsidRPr="00292D9C">
        <w:rPr>
          <w:rFonts w:asciiTheme="minorHAnsi" w:hAnsiTheme="minorHAnsi"/>
          <w:lang w:eastAsia="en-GB"/>
        </w:rPr>
        <w:t>Investing in excellence isn’t a good place t</w:t>
      </w:r>
      <w:r w:rsidR="00095C0E" w:rsidRPr="00292D9C">
        <w:rPr>
          <w:rFonts w:asciiTheme="minorHAnsi" w:hAnsiTheme="minorHAnsi"/>
          <w:lang w:eastAsia="en-GB"/>
        </w:rPr>
        <w:t>o</w:t>
      </w:r>
      <w:r w:rsidRPr="00292D9C">
        <w:rPr>
          <w:rFonts w:asciiTheme="minorHAnsi" w:hAnsiTheme="minorHAnsi"/>
          <w:lang w:eastAsia="en-GB"/>
        </w:rPr>
        <w:t xml:space="preserve"> focus</w:t>
      </w:r>
    </w:p>
    <w:p w14:paraId="6FAA7224" w14:textId="77777777" w:rsidR="00A9169C" w:rsidRPr="00550968" w:rsidRDefault="007012A1" w:rsidP="00550968">
      <w:pPr>
        <w:rPr>
          <w:lang w:eastAsia="en-GB"/>
        </w:rPr>
      </w:pPr>
      <w:r w:rsidRPr="00292D9C">
        <w:rPr>
          <w:lang w:eastAsia="en-GB"/>
        </w:rPr>
        <w:t xml:space="preserve">Investing in excellence is not the best way for the </w:t>
      </w:r>
      <w:r w:rsidR="00701BD8" w:rsidRPr="00292D9C">
        <w:rPr>
          <w:lang w:eastAsia="en-GB"/>
        </w:rPr>
        <w:t xml:space="preserve">Australian Government </w:t>
      </w:r>
      <w:r w:rsidRPr="00292D9C">
        <w:rPr>
          <w:lang w:eastAsia="en-GB"/>
        </w:rPr>
        <w:t xml:space="preserve">to make an impact in STEM education because focusing on excellence means that initiatives will only reach a small cohort. </w:t>
      </w:r>
      <w:r w:rsidR="009B01F0" w:rsidRPr="00292D9C">
        <w:rPr>
          <w:lang w:eastAsia="en-GB"/>
        </w:rPr>
        <w:t xml:space="preserve">This is in </w:t>
      </w:r>
      <w:r w:rsidR="00BF6B89" w:rsidRPr="00292D9C">
        <w:rPr>
          <w:lang w:eastAsia="en-GB"/>
        </w:rPr>
        <w:t>alignment</w:t>
      </w:r>
      <w:r w:rsidR="009B01F0" w:rsidRPr="00292D9C">
        <w:rPr>
          <w:lang w:eastAsia="en-GB"/>
        </w:rPr>
        <w:t xml:space="preserve"> with current Government strategy. Reasons for this </w:t>
      </w:r>
      <w:r w:rsidR="00BF6B89" w:rsidRPr="00292D9C">
        <w:rPr>
          <w:lang w:eastAsia="en-GB"/>
        </w:rPr>
        <w:t>approach are because</w:t>
      </w:r>
      <w:r w:rsidRPr="00292D9C">
        <w:rPr>
          <w:lang w:eastAsia="en-GB"/>
        </w:rPr>
        <w:t xml:space="preserve"> high achieving students are well-served by initiatives </w:t>
      </w:r>
      <w:r w:rsidR="00BF6B89" w:rsidRPr="00292D9C">
        <w:rPr>
          <w:lang w:eastAsia="en-GB"/>
        </w:rPr>
        <w:t xml:space="preserve">of this kind, </w:t>
      </w:r>
      <w:r w:rsidR="00095C0E" w:rsidRPr="00292D9C">
        <w:rPr>
          <w:lang w:eastAsia="en-GB"/>
        </w:rPr>
        <w:t xml:space="preserve">which are </w:t>
      </w:r>
      <w:r w:rsidRPr="00292D9C">
        <w:rPr>
          <w:lang w:eastAsia="en-GB"/>
        </w:rPr>
        <w:t xml:space="preserve">funded and delivered by other institutions or industry. </w:t>
      </w:r>
      <w:r w:rsidR="00B34845" w:rsidRPr="00292D9C">
        <w:rPr>
          <w:lang w:eastAsia="en-GB"/>
        </w:rPr>
        <w:t xml:space="preserve">For example, a number of universities across Australia offer scholarships </w:t>
      </w:r>
      <w:r w:rsidR="00A20C03" w:rsidRPr="00292D9C">
        <w:rPr>
          <w:lang w:eastAsia="en-GB"/>
        </w:rPr>
        <w:t>to students applying for courses within STEM faculties such as Science and Engineering</w:t>
      </w:r>
      <w:r w:rsidR="00BF6B89" w:rsidRPr="00292D9C">
        <w:rPr>
          <w:lang w:eastAsia="en-GB"/>
        </w:rPr>
        <w:t xml:space="preserve">. </w:t>
      </w:r>
      <w:r w:rsidR="00A20C03" w:rsidRPr="00292D9C">
        <w:rPr>
          <w:lang w:eastAsia="en-GB"/>
        </w:rPr>
        <w:t xml:space="preserve">RMIT University, University of South Australia and Deakin University are institutions which do so. </w:t>
      </w:r>
      <w:r w:rsidRPr="00292D9C">
        <w:rPr>
          <w:lang w:eastAsia="en-GB"/>
        </w:rPr>
        <w:t xml:space="preserve">Industry has an incentive to focus on excellence to attract high performing students and ensure a steady supply of graduates. </w:t>
      </w:r>
      <w:r w:rsidR="00BF6B89" w:rsidRPr="00292D9C">
        <w:rPr>
          <w:lang w:eastAsia="en-GB"/>
        </w:rPr>
        <w:t>Other independent groups such as the Australian Academy of Technology and Engineering (ATSE) also run programs like the Industry Mentoring Network in STEM (</w:t>
      </w:r>
      <w:proofErr w:type="spellStart"/>
      <w:r w:rsidR="00BF6B89" w:rsidRPr="00292D9C">
        <w:rPr>
          <w:lang w:eastAsia="en-GB"/>
        </w:rPr>
        <w:t>IMNiS</w:t>
      </w:r>
      <w:proofErr w:type="spellEnd"/>
      <w:r w:rsidR="00BF6B89" w:rsidRPr="00292D9C">
        <w:rPr>
          <w:lang w:eastAsia="en-GB"/>
        </w:rPr>
        <w:t>).</w:t>
      </w:r>
      <w:bookmarkStart w:id="126" w:name="_Toc16707168"/>
      <w:bookmarkStart w:id="127" w:name="_Toc21088262"/>
    </w:p>
    <w:p w14:paraId="78E9BF4E" w14:textId="77777777" w:rsidR="00916193" w:rsidRPr="00292D9C" w:rsidRDefault="00916193" w:rsidP="00A616D5">
      <w:pPr>
        <w:pStyle w:val="Heading2"/>
        <w:spacing w:before="0" w:after="120"/>
        <w:rPr>
          <w:rFonts w:asciiTheme="minorHAnsi" w:hAnsiTheme="minorHAnsi"/>
          <w:b/>
          <w:bCs/>
          <w:u w:val="single"/>
          <w:lang w:eastAsia="en-GB"/>
        </w:rPr>
      </w:pPr>
      <w:bookmarkStart w:id="128" w:name="_Toc23504235"/>
      <w:bookmarkStart w:id="129" w:name="_Toc25162069"/>
      <w:r w:rsidRPr="00292D9C">
        <w:rPr>
          <w:rFonts w:asciiTheme="minorHAnsi" w:hAnsiTheme="minorHAnsi"/>
          <w:b/>
          <w:bCs/>
          <w:u w:val="single"/>
          <w:lang w:eastAsia="en-GB"/>
        </w:rPr>
        <w:t>Who</w:t>
      </w:r>
      <w:bookmarkEnd w:id="126"/>
      <w:bookmarkEnd w:id="127"/>
      <w:bookmarkEnd w:id="128"/>
      <w:bookmarkEnd w:id="129"/>
      <w:r w:rsidRPr="00292D9C">
        <w:rPr>
          <w:rFonts w:asciiTheme="minorHAnsi" w:hAnsiTheme="minorHAnsi"/>
          <w:b/>
          <w:bCs/>
          <w:u w:val="single"/>
          <w:lang w:eastAsia="en-GB"/>
        </w:rPr>
        <w:t xml:space="preserve"> </w:t>
      </w:r>
    </w:p>
    <w:p w14:paraId="3A5D0082" w14:textId="77777777" w:rsidR="002115DE" w:rsidRPr="00292D9C" w:rsidRDefault="00B0588C" w:rsidP="00A616D5">
      <w:pPr>
        <w:pStyle w:val="Heading2Normal"/>
        <w:spacing w:before="0" w:after="120"/>
        <w:rPr>
          <w:rFonts w:asciiTheme="minorHAnsi" w:hAnsiTheme="minorHAnsi"/>
          <w:lang w:eastAsia="en-GB"/>
        </w:rPr>
      </w:pPr>
      <w:bookmarkStart w:id="130" w:name="_Toc16707169"/>
      <w:bookmarkStart w:id="131" w:name="_Toc21088263"/>
      <w:bookmarkStart w:id="132" w:name="_Toc23504236"/>
      <w:bookmarkStart w:id="133" w:name="_Toc25162070"/>
      <w:r w:rsidRPr="00292D9C">
        <w:rPr>
          <w:rFonts w:asciiTheme="minorHAnsi" w:hAnsiTheme="minorHAnsi"/>
          <w:lang w:eastAsia="en-GB"/>
        </w:rPr>
        <w:t xml:space="preserve">8.2. </w:t>
      </w:r>
      <w:r w:rsidR="000F5954" w:rsidRPr="00292D9C">
        <w:rPr>
          <w:rFonts w:asciiTheme="minorHAnsi" w:hAnsiTheme="minorHAnsi"/>
          <w:lang w:eastAsia="en-GB"/>
        </w:rPr>
        <w:t>Who should the initiatives target?</w:t>
      </w:r>
      <w:bookmarkEnd w:id="130"/>
      <w:bookmarkEnd w:id="131"/>
      <w:bookmarkEnd w:id="132"/>
      <w:bookmarkEnd w:id="133"/>
      <w:r w:rsidR="000F5954" w:rsidRPr="00292D9C">
        <w:rPr>
          <w:rFonts w:asciiTheme="minorHAnsi" w:hAnsiTheme="minorHAnsi"/>
          <w:lang w:eastAsia="en-GB"/>
        </w:rPr>
        <w:t xml:space="preserve"> </w:t>
      </w:r>
      <w:r w:rsidR="002115DE" w:rsidRPr="00292D9C">
        <w:rPr>
          <w:rFonts w:asciiTheme="minorHAnsi" w:hAnsiTheme="minorHAnsi"/>
          <w:lang w:eastAsia="en-GB"/>
        </w:rPr>
        <w:t xml:space="preserve"> </w:t>
      </w:r>
    </w:p>
    <w:p w14:paraId="1CE947BB" w14:textId="77777777" w:rsidR="002115DE" w:rsidRPr="00292D9C" w:rsidRDefault="00C91421"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 xml:space="preserve">Continue to </w:t>
      </w:r>
      <w:r w:rsidR="00537CD0" w:rsidRPr="00292D9C">
        <w:rPr>
          <w:rFonts w:asciiTheme="minorHAnsi" w:hAnsiTheme="minorHAnsi"/>
          <w:lang w:eastAsia="en-GB"/>
        </w:rPr>
        <w:t>invest in</w:t>
      </w:r>
      <w:r w:rsidRPr="00292D9C">
        <w:rPr>
          <w:rFonts w:asciiTheme="minorHAnsi" w:hAnsiTheme="minorHAnsi"/>
          <w:lang w:eastAsia="en-GB"/>
        </w:rPr>
        <w:t xml:space="preserve"> build</w:t>
      </w:r>
      <w:r w:rsidR="00537CD0" w:rsidRPr="00292D9C">
        <w:rPr>
          <w:rFonts w:asciiTheme="minorHAnsi" w:hAnsiTheme="minorHAnsi"/>
          <w:lang w:eastAsia="en-GB"/>
        </w:rPr>
        <w:t>ing</w:t>
      </w:r>
      <w:r w:rsidRPr="00292D9C">
        <w:rPr>
          <w:rFonts w:asciiTheme="minorHAnsi" w:hAnsiTheme="minorHAnsi"/>
          <w:lang w:eastAsia="en-GB"/>
        </w:rPr>
        <w:t xml:space="preserve"> the </w:t>
      </w:r>
      <w:r w:rsidR="008D1BDC" w:rsidRPr="00292D9C">
        <w:rPr>
          <w:rFonts w:asciiTheme="minorHAnsi" w:hAnsiTheme="minorHAnsi"/>
          <w:lang w:eastAsia="en-GB"/>
        </w:rPr>
        <w:t>capability</w:t>
      </w:r>
      <w:r w:rsidRPr="00292D9C">
        <w:rPr>
          <w:rFonts w:asciiTheme="minorHAnsi" w:hAnsiTheme="minorHAnsi"/>
          <w:lang w:eastAsia="en-GB"/>
        </w:rPr>
        <w:t xml:space="preserve"> of teachers </w:t>
      </w:r>
    </w:p>
    <w:p w14:paraId="3C7195DE" w14:textId="77777777" w:rsidR="00D75AC0" w:rsidRPr="00292D9C" w:rsidRDefault="00131C1D"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697152" behindDoc="0" locked="0" layoutInCell="1" allowOverlap="1" wp14:anchorId="3F945770" wp14:editId="38EB2FE4">
                <wp:simplePos x="0" y="0"/>
                <wp:positionH relativeFrom="column">
                  <wp:posOffset>4527347</wp:posOffset>
                </wp:positionH>
                <wp:positionV relativeFrom="paragraph">
                  <wp:posOffset>1295940</wp:posOffset>
                </wp:positionV>
                <wp:extent cx="1686560" cy="741680"/>
                <wp:effectExtent l="0" t="0" r="2540" b="147320"/>
                <wp:wrapSquare wrapText="bothSides"/>
                <wp:docPr id="25" name="Rounded Rectangular Callout 25"/>
                <wp:cNvGraphicFramePr/>
                <a:graphic xmlns:a="http://schemas.openxmlformats.org/drawingml/2006/main">
                  <a:graphicData uri="http://schemas.microsoft.com/office/word/2010/wordprocessingShape">
                    <wps:wsp>
                      <wps:cNvSpPr/>
                      <wps:spPr>
                        <a:xfrm>
                          <a:off x="0" y="0"/>
                          <a:ext cx="1686560" cy="741680"/>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B79E8" w14:textId="77777777" w:rsidR="007E2D07" w:rsidRDefault="007E2D07" w:rsidP="005B55F0">
                            <w:pPr>
                              <w:spacing w:after="0" w:line="240" w:lineRule="auto"/>
                              <w:rPr>
                                <w:rFonts w:ascii="Arial Narrow" w:hAnsi="Arial Narrow"/>
                                <w:szCs w:val="22"/>
                              </w:rPr>
                            </w:pPr>
                            <w:r w:rsidRPr="00DC16FB">
                              <w:rPr>
                                <w:rFonts w:ascii="Arial Narrow" w:hAnsi="Arial Narrow"/>
                                <w:szCs w:val="22"/>
                              </w:rPr>
                              <w:t>“Programs are only a</w:t>
                            </w:r>
                            <w:r>
                              <w:rPr>
                                <w:rFonts w:ascii="Arial Narrow" w:hAnsi="Arial Narrow"/>
                                <w:szCs w:val="22"/>
                              </w:rPr>
                              <w:t xml:space="preserve">s </w:t>
                            </w:r>
                            <w:r w:rsidRPr="00DC16FB">
                              <w:rPr>
                                <w:rFonts w:ascii="Arial Narrow" w:hAnsi="Arial Narrow"/>
                                <w:szCs w:val="22"/>
                              </w:rPr>
                              <w:t>good</w:t>
                            </w:r>
                            <w:r>
                              <w:rPr>
                                <w:rFonts w:ascii="Arial Narrow" w:hAnsi="Arial Narrow"/>
                                <w:szCs w:val="22"/>
                              </w:rPr>
                              <w:t xml:space="preserve"> </w:t>
                            </w:r>
                            <w:r w:rsidRPr="00DC16FB">
                              <w:rPr>
                                <w:rFonts w:ascii="Arial Narrow" w:hAnsi="Arial Narrow"/>
                                <w:szCs w:val="22"/>
                              </w:rPr>
                              <w:t>as</w:t>
                            </w:r>
                          </w:p>
                          <w:p w14:paraId="21A06A96" w14:textId="77777777" w:rsidR="007E2D07" w:rsidRDefault="007E2D07" w:rsidP="000A0D84">
                            <w:pPr>
                              <w:spacing w:after="0" w:line="240" w:lineRule="auto"/>
                              <w:ind w:left="357" w:hanging="357"/>
                              <w:jc w:val="center"/>
                              <w:rPr>
                                <w:rFonts w:ascii="Arial Narrow" w:hAnsi="Arial Narrow"/>
                                <w:szCs w:val="22"/>
                              </w:rPr>
                            </w:pPr>
                            <w:r w:rsidRPr="00DC16FB">
                              <w:rPr>
                                <w:rFonts w:ascii="Arial Narrow" w:hAnsi="Arial Narrow"/>
                                <w:szCs w:val="22"/>
                              </w:rPr>
                              <w:t>the</w:t>
                            </w:r>
                            <w:r>
                              <w:rPr>
                                <w:rFonts w:ascii="Arial Narrow" w:hAnsi="Arial Narrow"/>
                                <w:szCs w:val="22"/>
                              </w:rPr>
                              <w:t xml:space="preserve"> </w:t>
                            </w:r>
                            <w:r w:rsidRPr="00DC16FB">
                              <w:rPr>
                                <w:rFonts w:ascii="Arial Narrow" w:hAnsi="Arial Narrow"/>
                                <w:szCs w:val="22"/>
                              </w:rPr>
                              <w:t>person</w:t>
                            </w:r>
                            <w:r>
                              <w:rPr>
                                <w:rFonts w:ascii="Arial Narrow" w:hAnsi="Arial Narrow"/>
                                <w:szCs w:val="22"/>
                              </w:rPr>
                              <w:t xml:space="preserve"> </w:t>
                            </w:r>
                            <w:r w:rsidRPr="00DC16FB">
                              <w:rPr>
                                <w:rFonts w:ascii="Arial Narrow" w:hAnsi="Arial Narrow"/>
                                <w:szCs w:val="22"/>
                              </w:rPr>
                              <w:t>delivering it</w:t>
                            </w:r>
                            <w:r>
                              <w:rPr>
                                <w:rFonts w:ascii="Arial Narrow" w:hAnsi="Arial Narrow"/>
                                <w:szCs w:val="22"/>
                              </w:rPr>
                              <w:t>,</w:t>
                            </w:r>
                          </w:p>
                          <w:p w14:paraId="2225C3E7" w14:textId="77777777" w:rsidR="007E2D07" w:rsidRDefault="007E2D07" w:rsidP="000A0D84">
                            <w:pPr>
                              <w:spacing w:after="0" w:line="240" w:lineRule="auto"/>
                              <w:ind w:left="357" w:hanging="357"/>
                              <w:jc w:val="center"/>
                              <w:rPr>
                                <w:rFonts w:ascii="Arial Narrow" w:hAnsi="Arial Narrow"/>
                                <w:szCs w:val="22"/>
                              </w:rPr>
                            </w:pPr>
                            <w:r w:rsidRPr="00DC16FB">
                              <w:rPr>
                                <w:rFonts w:ascii="Arial Narrow" w:hAnsi="Arial Narrow"/>
                                <w:szCs w:val="22"/>
                              </w:rPr>
                              <w:t>educating</w:t>
                            </w:r>
                            <w:r>
                              <w:rPr>
                                <w:rFonts w:ascii="Arial Narrow" w:hAnsi="Arial Narrow"/>
                                <w:szCs w:val="22"/>
                              </w:rPr>
                              <w:t xml:space="preserve"> </w:t>
                            </w:r>
                            <w:r w:rsidRPr="00DC16FB">
                              <w:rPr>
                                <w:rFonts w:ascii="Arial Narrow" w:hAnsi="Arial Narrow"/>
                                <w:szCs w:val="22"/>
                              </w:rPr>
                              <w:t>teachers</w:t>
                            </w:r>
                            <w:r>
                              <w:rPr>
                                <w:rFonts w:ascii="Arial Narrow" w:hAnsi="Arial Narrow"/>
                                <w:szCs w:val="22"/>
                              </w:rPr>
                              <w:t xml:space="preserve"> </w:t>
                            </w:r>
                            <w:r w:rsidRPr="00DC16FB">
                              <w:rPr>
                                <w:rFonts w:ascii="Arial Narrow" w:hAnsi="Arial Narrow"/>
                                <w:szCs w:val="22"/>
                              </w:rPr>
                              <w:t>should</w:t>
                            </w:r>
                            <w:r>
                              <w:rPr>
                                <w:rFonts w:ascii="Arial Narrow" w:hAnsi="Arial Narrow"/>
                                <w:szCs w:val="22"/>
                              </w:rPr>
                              <w:t xml:space="preserve"> </w:t>
                            </w:r>
                            <w:r w:rsidRPr="00DC16FB">
                              <w:rPr>
                                <w:rFonts w:ascii="Arial Narrow" w:hAnsi="Arial Narrow"/>
                                <w:szCs w:val="22"/>
                              </w:rPr>
                              <w:t>be</w:t>
                            </w:r>
                          </w:p>
                          <w:p w14:paraId="1DD9435F" w14:textId="77777777" w:rsidR="007E2D07" w:rsidRPr="00DC16FB" w:rsidRDefault="007E2D07">
                            <w:pPr>
                              <w:spacing w:after="0" w:line="240" w:lineRule="auto"/>
                              <w:ind w:left="357" w:hanging="357"/>
                              <w:jc w:val="center"/>
                              <w:rPr>
                                <w:rFonts w:ascii="Arial Narrow" w:hAnsi="Arial Narrow"/>
                                <w:szCs w:val="22"/>
                              </w:rPr>
                            </w:pPr>
                            <w:r w:rsidRPr="00DC16FB">
                              <w:rPr>
                                <w:rFonts w:ascii="Arial Narrow" w:hAnsi="Arial Narrow"/>
                                <w:szCs w:val="22"/>
                              </w:rPr>
                              <w:t>a</w:t>
                            </w:r>
                            <w:r>
                              <w:rPr>
                                <w:rFonts w:ascii="Arial Narrow" w:hAnsi="Arial Narrow"/>
                                <w:szCs w:val="22"/>
                              </w:rPr>
                              <w:t xml:space="preserve"> </w:t>
                            </w:r>
                            <w:r w:rsidRPr="00DC16FB">
                              <w:rPr>
                                <w:rFonts w:ascii="Arial Narrow" w:hAnsi="Arial Narrow"/>
                                <w:szCs w:val="22"/>
                              </w:rPr>
                              <w:t>focus”</w:t>
                            </w:r>
                            <w:r>
                              <w:rPr>
                                <w:rFonts w:ascii="Arial Narrow" w:hAnsi="Arial Narrow"/>
                                <w:szCs w:val="22"/>
                              </w:rPr>
                              <w:t xml:space="preserve"> – Principal</w:t>
                            </w:r>
                          </w:p>
                          <w:p w14:paraId="32FA4DCF" w14:textId="77777777" w:rsidR="007E2D07" w:rsidRDefault="007E2D07" w:rsidP="0087538D">
                            <w:pPr>
                              <w:spacing w:line="240" w:lineRule="auto"/>
                              <w:ind w:hanging="426"/>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45770" id="Rounded Rectangular Callout 25" o:spid="_x0000_s1052" type="#_x0000_t62" style="position:absolute;margin-left:356.5pt;margin-top:102.05pt;width:132.8pt;height:5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" adj="8486,25866" fillcolor="#f4c6cd [660]" stroked="f" strokeweight="2pt">
                <v:textbox inset="0,0,0,0">
                  <w:txbxContent>
                    <w:p w14:paraId="029B79E8" w14:textId="77777777" w:rsidR="007E2D07" w:rsidRDefault="007E2D07" w:rsidP="005B55F0">
                      <w:pPr>
                        <w:spacing w:after="0" w:line="240" w:lineRule="auto"/>
                        <w:rPr>
                          <w:rFonts w:ascii="Arial Narrow" w:hAnsi="Arial Narrow"/>
                          <w:szCs w:val="22"/>
                        </w:rPr>
                      </w:pPr>
                      <w:r w:rsidRPr="00DC16FB">
                        <w:rPr>
                          <w:rFonts w:ascii="Arial Narrow" w:hAnsi="Arial Narrow"/>
                          <w:szCs w:val="22"/>
                        </w:rPr>
                        <w:t>“Programs are only a</w:t>
                      </w:r>
                      <w:r>
                        <w:rPr>
                          <w:rFonts w:ascii="Arial Narrow" w:hAnsi="Arial Narrow"/>
                          <w:szCs w:val="22"/>
                        </w:rPr>
                        <w:t xml:space="preserve">s </w:t>
                      </w:r>
                      <w:r w:rsidRPr="00DC16FB">
                        <w:rPr>
                          <w:rFonts w:ascii="Arial Narrow" w:hAnsi="Arial Narrow"/>
                          <w:szCs w:val="22"/>
                        </w:rPr>
                        <w:t>good</w:t>
                      </w:r>
                      <w:r>
                        <w:rPr>
                          <w:rFonts w:ascii="Arial Narrow" w:hAnsi="Arial Narrow"/>
                          <w:szCs w:val="22"/>
                        </w:rPr>
                        <w:t xml:space="preserve"> </w:t>
                      </w:r>
                      <w:r w:rsidRPr="00DC16FB">
                        <w:rPr>
                          <w:rFonts w:ascii="Arial Narrow" w:hAnsi="Arial Narrow"/>
                          <w:szCs w:val="22"/>
                        </w:rPr>
                        <w:t>as</w:t>
                      </w:r>
                    </w:p>
                    <w:p w14:paraId="21A06A96" w14:textId="77777777" w:rsidR="007E2D07" w:rsidRDefault="007E2D07" w:rsidP="000A0D84">
                      <w:pPr>
                        <w:spacing w:after="0" w:line="240" w:lineRule="auto"/>
                        <w:ind w:left="357" w:hanging="357"/>
                        <w:jc w:val="center"/>
                        <w:rPr>
                          <w:rFonts w:ascii="Arial Narrow" w:hAnsi="Arial Narrow"/>
                          <w:szCs w:val="22"/>
                        </w:rPr>
                      </w:pPr>
                      <w:r w:rsidRPr="00DC16FB">
                        <w:rPr>
                          <w:rFonts w:ascii="Arial Narrow" w:hAnsi="Arial Narrow"/>
                          <w:szCs w:val="22"/>
                        </w:rPr>
                        <w:t>the</w:t>
                      </w:r>
                      <w:r>
                        <w:rPr>
                          <w:rFonts w:ascii="Arial Narrow" w:hAnsi="Arial Narrow"/>
                          <w:szCs w:val="22"/>
                        </w:rPr>
                        <w:t xml:space="preserve"> </w:t>
                      </w:r>
                      <w:r w:rsidRPr="00DC16FB">
                        <w:rPr>
                          <w:rFonts w:ascii="Arial Narrow" w:hAnsi="Arial Narrow"/>
                          <w:szCs w:val="22"/>
                        </w:rPr>
                        <w:t>person</w:t>
                      </w:r>
                      <w:r>
                        <w:rPr>
                          <w:rFonts w:ascii="Arial Narrow" w:hAnsi="Arial Narrow"/>
                          <w:szCs w:val="22"/>
                        </w:rPr>
                        <w:t xml:space="preserve"> </w:t>
                      </w:r>
                      <w:r w:rsidRPr="00DC16FB">
                        <w:rPr>
                          <w:rFonts w:ascii="Arial Narrow" w:hAnsi="Arial Narrow"/>
                          <w:szCs w:val="22"/>
                        </w:rPr>
                        <w:t>delivering it</w:t>
                      </w:r>
                      <w:r>
                        <w:rPr>
                          <w:rFonts w:ascii="Arial Narrow" w:hAnsi="Arial Narrow"/>
                          <w:szCs w:val="22"/>
                        </w:rPr>
                        <w:t>,</w:t>
                      </w:r>
                    </w:p>
                    <w:p w14:paraId="2225C3E7" w14:textId="77777777" w:rsidR="007E2D07" w:rsidRDefault="007E2D07" w:rsidP="000A0D84">
                      <w:pPr>
                        <w:spacing w:after="0" w:line="240" w:lineRule="auto"/>
                        <w:ind w:left="357" w:hanging="357"/>
                        <w:jc w:val="center"/>
                        <w:rPr>
                          <w:rFonts w:ascii="Arial Narrow" w:hAnsi="Arial Narrow"/>
                          <w:szCs w:val="22"/>
                        </w:rPr>
                      </w:pPr>
                      <w:r w:rsidRPr="00DC16FB">
                        <w:rPr>
                          <w:rFonts w:ascii="Arial Narrow" w:hAnsi="Arial Narrow"/>
                          <w:szCs w:val="22"/>
                        </w:rPr>
                        <w:t>educating</w:t>
                      </w:r>
                      <w:r>
                        <w:rPr>
                          <w:rFonts w:ascii="Arial Narrow" w:hAnsi="Arial Narrow"/>
                          <w:szCs w:val="22"/>
                        </w:rPr>
                        <w:t xml:space="preserve"> </w:t>
                      </w:r>
                      <w:r w:rsidRPr="00DC16FB">
                        <w:rPr>
                          <w:rFonts w:ascii="Arial Narrow" w:hAnsi="Arial Narrow"/>
                          <w:szCs w:val="22"/>
                        </w:rPr>
                        <w:t>teachers</w:t>
                      </w:r>
                      <w:r>
                        <w:rPr>
                          <w:rFonts w:ascii="Arial Narrow" w:hAnsi="Arial Narrow"/>
                          <w:szCs w:val="22"/>
                        </w:rPr>
                        <w:t xml:space="preserve"> </w:t>
                      </w:r>
                      <w:r w:rsidRPr="00DC16FB">
                        <w:rPr>
                          <w:rFonts w:ascii="Arial Narrow" w:hAnsi="Arial Narrow"/>
                          <w:szCs w:val="22"/>
                        </w:rPr>
                        <w:t>should</w:t>
                      </w:r>
                      <w:r>
                        <w:rPr>
                          <w:rFonts w:ascii="Arial Narrow" w:hAnsi="Arial Narrow"/>
                          <w:szCs w:val="22"/>
                        </w:rPr>
                        <w:t xml:space="preserve"> </w:t>
                      </w:r>
                      <w:r w:rsidRPr="00DC16FB">
                        <w:rPr>
                          <w:rFonts w:ascii="Arial Narrow" w:hAnsi="Arial Narrow"/>
                          <w:szCs w:val="22"/>
                        </w:rPr>
                        <w:t>be</w:t>
                      </w:r>
                    </w:p>
                    <w:p w14:paraId="1DD9435F" w14:textId="77777777" w:rsidR="007E2D07" w:rsidRPr="00DC16FB" w:rsidRDefault="007E2D07">
                      <w:pPr>
                        <w:spacing w:after="0" w:line="240" w:lineRule="auto"/>
                        <w:ind w:left="357" w:hanging="357"/>
                        <w:jc w:val="center"/>
                        <w:rPr>
                          <w:rFonts w:ascii="Arial Narrow" w:hAnsi="Arial Narrow"/>
                          <w:szCs w:val="22"/>
                        </w:rPr>
                      </w:pPr>
                      <w:r w:rsidRPr="00DC16FB">
                        <w:rPr>
                          <w:rFonts w:ascii="Arial Narrow" w:hAnsi="Arial Narrow"/>
                          <w:szCs w:val="22"/>
                        </w:rPr>
                        <w:t>a</w:t>
                      </w:r>
                      <w:r>
                        <w:rPr>
                          <w:rFonts w:ascii="Arial Narrow" w:hAnsi="Arial Narrow"/>
                          <w:szCs w:val="22"/>
                        </w:rPr>
                        <w:t xml:space="preserve"> </w:t>
                      </w:r>
                      <w:r w:rsidRPr="00DC16FB">
                        <w:rPr>
                          <w:rFonts w:ascii="Arial Narrow" w:hAnsi="Arial Narrow"/>
                          <w:szCs w:val="22"/>
                        </w:rPr>
                        <w:t>focus”</w:t>
                      </w:r>
                      <w:r>
                        <w:rPr>
                          <w:rFonts w:ascii="Arial Narrow" w:hAnsi="Arial Narrow"/>
                          <w:szCs w:val="22"/>
                        </w:rPr>
                        <w:t xml:space="preserve"> – Principal</w:t>
                      </w:r>
                    </w:p>
                    <w:p w14:paraId="32FA4DCF" w14:textId="77777777" w:rsidR="007E2D07" w:rsidRDefault="007E2D07" w:rsidP="0087538D">
                      <w:pPr>
                        <w:spacing w:line="240" w:lineRule="auto"/>
                        <w:ind w:hanging="426"/>
                        <w:jc w:val="center"/>
                      </w:pP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772928" behindDoc="0" locked="0" layoutInCell="1" allowOverlap="1" wp14:anchorId="31990D41" wp14:editId="579E3EC5">
                <wp:simplePos x="0" y="0"/>
                <wp:positionH relativeFrom="column">
                  <wp:posOffset>4498975</wp:posOffset>
                </wp:positionH>
                <wp:positionV relativeFrom="paragraph">
                  <wp:posOffset>68</wp:posOffset>
                </wp:positionV>
                <wp:extent cx="1707515" cy="1066800"/>
                <wp:effectExtent l="0" t="0" r="0" b="177800"/>
                <wp:wrapSquare wrapText="bothSides"/>
                <wp:docPr id="22" name="Rounded Rectangular Callout 22"/>
                <wp:cNvGraphicFramePr/>
                <a:graphic xmlns:a="http://schemas.openxmlformats.org/drawingml/2006/main">
                  <a:graphicData uri="http://schemas.microsoft.com/office/word/2010/wordprocessingShape">
                    <wps:wsp>
                      <wps:cNvSpPr/>
                      <wps:spPr>
                        <a:xfrm>
                          <a:off x="0" y="0"/>
                          <a:ext cx="1707515" cy="1066800"/>
                        </a:xfrm>
                        <a:prstGeom prst="wedgeRoundRectCallout">
                          <a:avLst>
                            <a:gd name="adj1" fmla="val -10714"/>
                            <a:gd name="adj2" fmla="val 65942"/>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9B692" w14:textId="77777777" w:rsidR="007E2D07" w:rsidRDefault="007E2D07" w:rsidP="0087538D">
                            <w:pPr>
                              <w:spacing w:line="240" w:lineRule="auto"/>
                              <w:jc w:val="center"/>
                            </w:pPr>
                            <w:r>
                              <w:t>“The biggest problem I’ve encountered is getting other educators keen and excited. In some respects, I feel they may find STEM daunting.”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90D41" id="Rounded Rectangular Callout 22" o:spid="_x0000_s1053" type="#_x0000_t62" style="position:absolute;margin-left:354.25pt;margin-top:0;width:134.45pt;height:8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" adj="8486,25043" fillcolor="#f4c6cd [660]" stroked="f" strokeweight="2pt">
                <v:textbox inset="0,0,0,0">
                  <w:txbxContent>
                    <w:p w14:paraId="3D89B692" w14:textId="77777777" w:rsidR="007E2D07" w:rsidRDefault="007E2D07" w:rsidP="0087538D">
                      <w:pPr>
                        <w:spacing w:line="240" w:lineRule="auto"/>
                        <w:jc w:val="center"/>
                      </w:pPr>
                      <w:r>
                        <w:t>“The biggest problem I’ve encountered is getting other educators keen and excited. In some respects, I feel they may find STEM daunting.” – Early Childhood Educator</w:t>
                      </w:r>
                    </w:p>
                  </w:txbxContent>
                </v:textbox>
                <w10:wrap type="square"/>
              </v:shape>
            </w:pict>
          </mc:Fallback>
        </mc:AlternateContent>
      </w:r>
      <w:r w:rsidR="00F5771B" w:rsidRPr="00292D9C">
        <w:rPr>
          <w:lang w:eastAsia="en-GB"/>
        </w:rPr>
        <w:t xml:space="preserve">The </w:t>
      </w:r>
      <w:r w:rsidR="00701BD8" w:rsidRPr="00292D9C">
        <w:rPr>
          <w:lang w:eastAsia="en-GB"/>
        </w:rPr>
        <w:t xml:space="preserve">Australian Government </w:t>
      </w:r>
      <w:r w:rsidR="00B51E0C" w:rsidRPr="00292D9C">
        <w:rPr>
          <w:lang w:eastAsia="en-GB"/>
        </w:rPr>
        <w:t>should</w:t>
      </w:r>
      <w:r w:rsidR="00D21119" w:rsidRPr="00292D9C">
        <w:rPr>
          <w:lang w:eastAsia="en-GB"/>
        </w:rPr>
        <w:t xml:space="preserve"> c</w:t>
      </w:r>
      <w:r w:rsidR="00926945" w:rsidRPr="00292D9C">
        <w:rPr>
          <w:lang w:eastAsia="en-GB"/>
        </w:rPr>
        <w:t>ontinue</w:t>
      </w:r>
      <w:r w:rsidR="00B51E0C" w:rsidRPr="00292D9C">
        <w:rPr>
          <w:lang w:eastAsia="en-GB"/>
        </w:rPr>
        <w:t xml:space="preserve"> to</w:t>
      </w:r>
      <w:r w:rsidR="00926945" w:rsidRPr="00292D9C">
        <w:rPr>
          <w:lang w:eastAsia="en-GB"/>
        </w:rPr>
        <w:t xml:space="preserve"> </w:t>
      </w:r>
      <w:r w:rsidR="00D21119" w:rsidRPr="00292D9C">
        <w:rPr>
          <w:lang w:eastAsia="en-GB"/>
        </w:rPr>
        <w:t>target</w:t>
      </w:r>
      <w:r w:rsidR="00926945" w:rsidRPr="00292D9C">
        <w:rPr>
          <w:lang w:eastAsia="en-GB"/>
        </w:rPr>
        <w:t xml:space="preserve"> teachers</w:t>
      </w:r>
      <w:r w:rsidR="008229E9" w:rsidRPr="00292D9C">
        <w:rPr>
          <w:lang w:eastAsia="en-GB"/>
        </w:rPr>
        <w:t xml:space="preserve"> to</w:t>
      </w:r>
      <w:r w:rsidR="00D21119" w:rsidRPr="00292D9C">
        <w:rPr>
          <w:lang w:eastAsia="en-GB"/>
        </w:rPr>
        <w:t xml:space="preserve"> build their </w:t>
      </w:r>
      <w:r w:rsidR="008D1BDC" w:rsidRPr="00292D9C">
        <w:rPr>
          <w:lang w:eastAsia="en-GB"/>
        </w:rPr>
        <w:t>capability</w:t>
      </w:r>
      <w:r w:rsidR="00D21119" w:rsidRPr="00292D9C">
        <w:rPr>
          <w:lang w:eastAsia="en-GB"/>
        </w:rPr>
        <w:t xml:space="preserve"> to deliver STEM in </w:t>
      </w:r>
      <w:r w:rsidR="00D75AC0" w:rsidRPr="00292D9C">
        <w:rPr>
          <w:lang w:eastAsia="en-GB"/>
        </w:rPr>
        <w:t xml:space="preserve">classrooms and </w:t>
      </w:r>
      <w:r w:rsidR="00D21119" w:rsidRPr="00292D9C">
        <w:rPr>
          <w:lang w:eastAsia="en-GB"/>
        </w:rPr>
        <w:t>schools</w:t>
      </w:r>
      <w:r w:rsidR="00926945" w:rsidRPr="00292D9C">
        <w:rPr>
          <w:lang w:eastAsia="en-GB"/>
        </w:rPr>
        <w:t xml:space="preserve">. </w:t>
      </w:r>
      <w:r w:rsidR="00D21119" w:rsidRPr="00292D9C">
        <w:rPr>
          <w:lang w:eastAsia="en-GB"/>
        </w:rPr>
        <w:t xml:space="preserve">By </w:t>
      </w:r>
      <w:r w:rsidR="00D75AC0" w:rsidRPr="00292D9C">
        <w:rPr>
          <w:lang w:eastAsia="en-GB"/>
        </w:rPr>
        <w:t>targeting</w:t>
      </w:r>
      <w:r w:rsidR="00D21119" w:rsidRPr="00292D9C">
        <w:rPr>
          <w:lang w:eastAsia="en-GB"/>
        </w:rPr>
        <w:t xml:space="preserve"> </w:t>
      </w:r>
      <w:r w:rsidR="00D75AC0" w:rsidRPr="00292D9C">
        <w:rPr>
          <w:lang w:eastAsia="en-GB"/>
        </w:rPr>
        <w:t>teachers</w:t>
      </w:r>
      <w:r w:rsidR="00701BD8" w:rsidRPr="00292D9C">
        <w:rPr>
          <w:lang w:eastAsia="en-GB"/>
        </w:rPr>
        <w:t>,</w:t>
      </w:r>
      <w:r w:rsidR="00D75AC0" w:rsidRPr="00292D9C">
        <w:rPr>
          <w:lang w:eastAsia="en-GB"/>
        </w:rPr>
        <w:t xml:space="preserve"> </w:t>
      </w:r>
      <w:r w:rsidR="00D21119" w:rsidRPr="00292D9C">
        <w:rPr>
          <w:lang w:eastAsia="en-GB"/>
        </w:rPr>
        <w:t xml:space="preserve">the </w:t>
      </w:r>
      <w:r w:rsidR="00701BD8" w:rsidRPr="00292D9C">
        <w:rPr>
          <w:lang w:eastAsia="en-GB"/>
        </w:rPr>
        <w:t xml:space="preserve">Australian Government </w:t>
      </w:r>
      <w:r w:rsidR="00D21119" w:rsidRPr="00292D9C">
        <w:rPr>
          <w:lang w:eastAsia="en-GB"/>
        </w:rPr>
        <w:t>can maximise their impact</w:t>
      </w:r>
      <w:r w:rsidR="00545AB5" w:rsidRPr="00292D9C">
        <w:rPr>
          <w:lang w:eastAsia="en-GB"/>
        </w:rPr>
        <w:t>. I</w:t>
      </w:r>
      <w:r w:rsidR="00D75AC0" w:rsidRPr="00292D9C">
        <w:rPr>
          <w:lang w:eastAsia="en-GB"/>
        </w:rPr>
        <w:t xml:space="preserve">nitiatives that target teachers will reach a larger number of students than student-focused programs and the </w:t>
      </w:r>
      <w:r w:rsidR="008229E9" w:rsidRPr="00292D9C">
        <w:rPr>
          <w:lang w:eastAsia="en-GB"/>
        </w:rPr>
        <w:t xml:space="preserve">evidence shows that quality teaching has </w:t>
      </w:r>
      <w:r w:rsidR="00D21119" w:rsidRPr="00292D9C">
        <w:rPr>
          <w:lang w:eastAsia="en-GB"/>
        </w:rPr>
        <w:t>the most influence on student learnin</w:t>
      </w:r>
      <w:r w:rsidR="00DD032B" w:rsidRPr="00292D9C">
        <w:rPr>
          <w:lang w:eastAsia="en-GB"/>
        </w:rPr>
        <w:t>g.</w:t>
      </w:r>
      <w:r w:rsidR="00DD032B" w:rsidRPr="00292D9C">
        <w:rPr>
          <w:rStyle w:val="FootnoteReference"/>
          <w:lang w:eastAsia="en-GB"/>
        </w:rPr>
        <w:footnoteReference w:id="46"/>
      </w:r>
      <w:r w:rsidR="00D75AC0" w:rsidRPr="00292D9C">
        <w:rPr>
          <w:lang w:eastAsia="en-GB"/>
        </w:rPr>
        <w:t xml:space="preserve"> </w:t>
      </w:r>
      <w:r w:rsidR="00002644" w:rsidRPr="00292D9C">
        <w:rPr>
          <w:lang w:eastAsia="en-GB"/>
        </w:rPr>
        <w:t>This approach</w:t>
      </w:r>
      <w:r w:rsidR="00D75AC0" w:rsidRPr="00292D9C">
        <w:rPr>
          <w:lang w:eastAsia="en-GB"/>
        </w:rPr>
        <w:t xml:space="preserve"> also addresses a need identified by the r</w:t>
      </w:r>
      <w:r w:rsidR="008229E9" w:rsidRPr="00292D9C">
        <w:rPr>
          <w:lang w:eastAsia="en-GB"/>
        </w:rPr>
        <w:t>esearch into STEM education</w:t>
      </w:r>
      <w:r w:rsidR="00D75AC0" w:rsidRPr="00292D9C">
        <w:rPr>
          <w:lang w:eastAsia="en-GB"/>
        </w:rPr>
        <w:t xml:space="preserve"> and </w:t>
      </w:r>
      <w:r w:rsidR="00002644" w:rsidRPr="00292D9C">
        <w:rPr>
          <w:lang w:eastAsia="en-GB"/>
        </w:rPr>
        <w:t>consultations conducted as part of this evaluation</w:t>
      </w:r>
      <w:r w:rsidR="00D75AC0" w:rsidRPr="00292D9C">
        <w:rPr>
          <w:lang w:eastAsia="en-GB"/>
        </w:rPr>
        <w:t xml:space="preserve">, which show that </w:t>
      </w:r>
      <w:r w:rsidR="008229E9" w:rsidRPr="00292D9C">
        <w:rPr>
          <w:lang w:eastAsia="en-GB"/>
        </w:rPr>
        <w:t xml:space="preserve">teachers (especially primary teachers) </w:t>
      </w:r>
      <w:r w:rsidR="00D75AC0" w:rsidRPr="00292D9C">
        <w:rPr>
          <w:lang w:eastAsia="en-GB"/>
        </w:rPr>
        <w:t>need more</w:t>
      </w:r>
      <w:r w:rsidR="008229E9" w:rsidRPr="00292D9C">
        <w:rPr>
          <w:lang w:eastAsia="en-GB"/>
        </w:rPr>
        <w:t xml:space="preserve"> confidence and capability </w:t>
      </w:r>
      <w:r w:rsidR="00D75AC0" w:rsidRPr="00292D9C">
        <w:rPr>
          <w:lang w:eastAsia="en-GB"/>
        </w:rPr>
        <w:t>to be able to deliver</w:t>
      </w:r>
      <w:r w:rsidR="008229E9" w:rsidRPr="00292D9C">
        <w:rPr>
          <w:lang w:eastAsia="en-GB"/>
        </w:rPr>
        <w:t xml:space="preserve"> quality STEM </w:t>
      </w:r>
      <w:r w:rsidR="00D75AC0" w:rsidRPr="00292D9C">
        <w:rPr>
          <w:lang w:eastAsia="en-GB"/>
        </w:rPr>
        <w:t xml:space="preserve">teaching and </w:t>
      </w:r>
      <w:r w:rsidR="008229E9" w:rsidRPr="00292D9C">
        <w:rPr>
          <w:lang w:eastAsia="en-GB"/>
        </w:rPr>
        <w:t>learning</w:t>
      </w:r>
      <w:r w:rsidR="00002644" w:rsidRPr="00292D9C">
        <w:rPr>
          <w:lang w:eastAsia="en-GB"/>
        </w:rPr>
        <w:t>.</w:t>
      </w:r>
      <w:r w:rsidR="008229E9" w:rsidRPr="00292D9C">
        <w:rPr>
          <w:lang w:eastAsia="en-GB"/>
        </w:rPr>
        <w:t xml:space="preserve"> </w:t>
      </w:r>
      <w:r w:rsidR="00D75AC0" w:rsidRPr="00292D9C">
        <w:rPr>
          <w:lang w:eastAsia="en-GB"/>
        </w:rPr>
        <w:t>An approach that prioritises teachers will align</w:t>
      </w:r>
      <w:r w:rsidR="00926945" w:rsidRPr="00292D9C">
        <w:rPr>
          <w:lang w:eastAsia="en-GB"/>
        </w:rPr>
        <w:t xml:space="preserve"> with other </w:t>
      </w:r>
      <w:r w:rsidR="00F5771B" w:rsidRPr="00292D9C">
        <w:rPr>
          <w:lang w:eastAsia="en-GB"/>
        </w:rPr>
        <w:t xml:space="preserve">STEM </w:t>
      </w:r>
      <w:r w:rsidR="00926945" w:rsidRPr="00292D9C">
        <w:rPr>
          <w:lang w:eastAsia="en-GB"/>
        </w:rPr>
        <w:t>national policy agendas</w:t>
      </w:r>
      <w:r w:rsidR="00F5771B" w:rsidRPr="00292D9C">
        <w:rPr>
          <w:lang w:eastAsia="en-GB"/>
        </w:rPr>
        <w:t>.</w:t>
      </w:r>
      <w:r w:rsidR="00F5771B" w:rsidRPr="00292D9C">
        <w:rPr>
          <w:rStyle w:val="FootnoteReference"/>
          <w:lang w:eastAsia="en-GB"/>
        </w:rPr>
        <w:footnoteReference w:id="47"/>
      </w:r>
      <w:r w:rsidR="00D75AC0" w:rsidRPr="00292D9C">
        <w:rPr>
          <w:lang w:eastAsia="en-GB"/>
        </w:rPr>
        <w:t xml:space="preserve"> </w:t>
      </w:r>
    </w:p>
    <w:p w14:paraId="6C8F43AE" w14:textId="77777777" w:rsidR="002115DE" w:rsidRPr="00292D9C" w:rsidRDefault="00FB0013"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Consider placing</w:t>
      </w:r>
      <w:r w:rsidR="008D1BDC" w:rsidRPr="00292D9C">
        <w:rPr>
          <w:rFonts w:asciiTheme="minorHAnsi" w:hAnsiTheme="minorHAnsi"/>
          <w:lang w:eastAsia="en-GB"/>
        </w:rPr>
        <w:t xml:space="preserve"> less emphasis on funding school-</w:t>
      </w:r>
      <w:r w:rsidR="006618CD">
        <w:rPr>
          <w:rFonts w:asciiTheme="minorHAnsi" w:hAnsiTheme="minorHAnsi"/>
          <w:lang w:eastAsia="en-GB"/>
        </w:rPr>
        <w:t>led</w:t>
      </w:r>
      <w:r w:rsidR="008D1BDC" w:rsidRPr="00292D9C">
        <w:rPr>
          <w:rFonts w:asciiTheme="minorHAnsi" w:hAnsiTheme="minorHAnsi"/>
          <w:lang w:eastAsia="en-GB"/>
        </w:rPr>
        <w:t xml:space="preserve"> initiatives </w:t>
      </w:r>
    </w:p>
    <w:p w14:paraId="4F2468D7" w14:textId="77777777" w:rsidR="008D1BDC" w:rsidRPr="00292D9C" w:rsidRDefault="008D1BDC" w:rsidP="00A616D5">
      <w:pPr>
        <w:rPr>
          <w:lang w:eastAsia="en-GB"/>
        </w:rPr>
      </w:pPr>
      <w:r w:rsidRPr="00292D9C">
        <w:rPr>
          <w:lang w:eastAsia="en-GB"/>
        </w:rPr>
        <w:t xml:space="preserve">In considering where to best expend effort to maximise impact, it makes sense to prioritise or deprioritise certain approaches. As outlined in </w:t>
      </w:r>
      <w:r w:rsidR="00B36C1F">
        <w:rPr>
          <w:lang w:eastAsia="en-GB"/>
        </w:rPr>
        <w:t>previous sections,</w:t>
      </w:r>
      <w:r w:rsidRPr="00292D9C">
        <w:rPr>
          <w:lang w:eastAsia="en-GB"/>
        </w:rPr>
        <w:t xml:space="preserve"> the Australian Government is less likely to interact with schools directly given the role of states and territories, and others in the sector (e.g. universities). This means there are challenges for the Australian Government in delivering a school-level initiative, for example: </w:t>
      </w:r>
    </w:p>
    <w:p w14:paraId="42D6D90C" w14:textId="77777777" w:rsidR="008D1BDC" w:rsidRPr="00292D9C" w:rsidRDefault="008D1BDC" w:rsidP="00164DDE">
      <w:pPr>
        <w:pStyle w:val="ListParagraph"/>
        <w:numPr>
          <w:ilvl w:val="0"/>
          <w:numId w:val="159"/>
        </w:numPr>
        <w:rPr>
          <w:lang w:eastAsia="en-GB"/>
        </w:rPr>
      </w:pPr>
      <w:r w:rsidRPr="00292D9C">
        <w:rPr>
          <w:lang w:eastAsia="en-GB"/>
        </w:rPr>
        <w:t>Limited reach and engagement with users</w:t>
      </w:r>
    </w:p>
    <w:p w14:paraId="47516C23" w14:textId="77777777" w:rsidR="008D1BDC" w:rsidRPr="00292D9C" w:rsidRDefault="008D1BDC" w:rsidP="00164DDE">
      <w:pPr>
        <w:pStyle w:val="ListParagraph"/>
        <w:numPr>
          <w:ilvl w:val="0"/>
          <w:numId w:val="159"/>
        </w:numPr>
        <w:rPr>
          <w:lang w:eastAsia="en-GB"/>
        </w:rPr>
      </w:pPr>
      <w:r w:rsidRPr="00292D9C">
        <w:rPr>
          <w:lang w:eastAsia="en-GB"/>
        </w:rPr>
        <w:t>Barriers to conducting evaluations / understanding impact</w:t>
      </w:r>
    </w:p>
    <w:p w14:paraId="19AE5F32" w14:textId="77777777" w:rsidR="008D1BDC" w:rsidRPr="00292D9C" w:rsidRDefault="008D1BDC" w:rsidP="00164DDE">
      <w:pPr>
        <w:pStyle w:val="ListParagraph"/>
        <w:numPr>
          <w:ilvl w:val="0"/>
          <w:numId w:val="159"/>
        </w:numPr>
        <w:rPr>
          <w:lang w:eastAsia="en-GB"/>
        </w:rPr>
      </w:pPr>
      <w:r w:rsidRPr="00292D9C">
        <w:rPr>
          <w:lang w:eastAsia="en-GB"/>
        </w:rPr>
        <w:t xml:space="preserve">Competing with others already providing initiatives to schools e.g. states and territories. </w:t>
      </w:r>
    </w:p>
    <w:p w14:paraId="5186CAE5" w14:textId="77777777" w:rsidR="00D4114D" w:rsidRDefault="008D1BDC" w:rsidP="00A616D5">
      <w:pPr>
        <w:rPr>
          <w:lang w:eastAsia="en-GB"/>
        </w:rPr>
      </w:pPr>
      <w:r w:rsidRPr="00292D9C">
        <w:rPr>
          <w:lang w:eastAsia="en-GB"/>
        </w:rPr>
        <w:t xml:space="preserve">There are also some equity challenges to consider. For example, it’s difficult to understand where there is most need for investment across the system based on grant applications alone. There is a risk that grant programs tend to favour high-performing or well-resourced schools who have the capacity to apply and implement initiatives. </w:t>
      </w:r>
      <w:r w:rsidR="00636083" w:rsidRPr="00292D9C">
        <w:rPr>
          <w:lang w:eastAsia="en-GB"/>
        </w:rPr>
        <w:t>This means it is difficult to know who is missing out, and how to better target school-</w:t>
      </w:r>
      <w:r w:rsidR="00D4114D">
        <w:rPr>
          <w:lang w:eastAsia="en-GB"/>
        </w:rPr>
        <w:t>led</w:t>
      </w:r>
      <w:r w:rsidR="00636083" w:rsidRPr="00292D9C">
        <w:rPr>
          <w:lang w:eastAsia="en-GB"/>
        </w:rPr>
        <w:t xml:space="preserve"> funding. As a result, we propose prioritising initiatives that cater to building teacher capability over school-</w:t>
      </w:r>
      <w:r w:rsidR="00D4114D">
        <w:rPr>
          <w:lang w:eastAsia="en-GB"/>
        </w:rPr>
        <w:t>led</w:t>
      </w:r>
      <w:r w:rsidR="00636083" w:rsidRPr="00292D9C">
        <w:rPr>
          <w:lang w:eastAsia="en-GB"/>
        </w:rPr>
        <w:t xml:space="preserve"> initiatives where practical. </w:t>
      </w:r>
    </w:p>
    <w:p w14:paraId="3B2282D7" w14:textId="77777777" w:rsidR="00D4114D" w:rsidRDefault="00082086" w:rsidP="00A616D5">
      <w:pPr>
        <w:rPr>
          <w:lang w:eastAsia="en-GB"/>
        </w:rPr>
      </w:pPr>
      <w:r>
        <w:rPr>
          <w:lang w:eastAsia="en-GB"/>
        </w:rPr>
        <w:t xml:space="preserve">To be clear, this doesn’t mean that the </w:t>
      </w:r>
      <w:r w:rsidR="00D4114D">
        <w:rPr>
          <w:lang w:eastAsia="en-GB"/>
        </w:rPr>
        <w:t xml:space="preserve">Australian Government should avoid funding initiatives that are organised around delivery within particular schools. For example, Digital Technologies in Focus is a NISA initiative where the Government funded the Australian Curriculum, Assessment and Reporting Authority (ACARA) to take a school-wide or whole-of-school approach. ACARA organised a carefully designed intervention which could be successfully targeted, and evaluated at a school-level. </w:t>
      </w:r>
    </w:p>
    <w:p w14:paraId="36024F2B" w14:textId="77777777" w:rsidR="002115DE" w:rsidRPr="00292D9C" w:rsidRDefault="00FB0013"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 xml:space="preserve">Similarly, consider placing less emphasis on initiatives that target students directly </w:t>
      </w:r>
    </w:p>
    <w:p w14:paraId="11A3EF07" w14:textId="77777777" w:rsidR="00260FA0" w:rsidRPr="00292D9C" w:rsidRDefault="00260FA0" w:rsidP="00A616D5">
      <w:pPr>
        <w:rPr>
          <w:lang w:eastAsia="en-GB"/>
        </w:rPr>
      </w:pPr>
      <w:r w:rsidRPr="00292D9C">
        <w:rPr>
          <w:lang w:eastAsia="en-GB"/>
        </w:rPr>
        <w:t xml:space="preserve">In the same way that we suggest reducing emphasis on funding school-level initiatives, the same is true for initiatives that target students directly (for example, coding camps). Findings for existing programs such as Curious Minds and </w:t>
      </w:r>
      <w:proofErr w:type="spellStart"/>
      <w:r w:rsidR="001B1A23">
        <w:rPr>
          <w:lang w:eastAsia="en-GB"/>
        </w:rPr>
        <w:t>d</w:t>
      </w:r>
      <w:r w:rsidRPr="00292D9C">
        <w:rPr>
          <w:lang w:eastAsia="en-GB"/>
        </w:rPr>
        <w:t>igIT</w:t>
      </w:r>
      <w:proofErr w:type="spellEnd"/>
      <w:r w:rsidRPr="00292D9C">
        <w:rPr>
          <w:lang w:eastAsia="en-GB"/>
        </w:rPr>
        <w:t xml:space="preserve"> acknowledge positive outcomes for students. These include an increased likelihood of students pursuing STEM subjects in later years.</w:t>
      </w:r>
      <w:r w:rsidR="009A13FA" w:rsidRPr="00292D9C">
        <w:rPr>
          <w:rStyle w:val="FootnoteReference"/>
          <w:lang w:eastAsia="en-GB"/>
        </w:rPr>
        <w:t xml:space="preserve"> </w:t>
      </w:r>
      <w:r w:rsidR="009A13FA" w:rsidRPr="00292D9C">
        <w:rPr>
          <w:rStyle w:val="FootnoteReference"/>
          <w:lang w:eastAsia="en-GB"/>
        </w:rPr>
        <w:footnoteReference w:id="48"/>
      </w:r>
      <w:r w:rsidR="009A13FA" w:rsidRPr="00292D9C">
        <w:rPr>
          <w:lang w:eastAsia="en-GB"/>
        </w:rPr>
        <w:t xml:space="preserve"> </w:t>
      </w:r>
      <w:r w:rsidRPr="00292D9C">
        <w:rPr>
          <w:lang w:eastAsia="en-GB"/>
        </w:rPr>
        <w:t xml:space="preserve"> However, in considering the wider impact and best use of Australian Government investment, there are several reasons to decrease emphasis on similar programs in the future:</w:t>
      </w:r>
    </w:p>
    <w:p w14:paraId="5915A12E" w14:textId="77777777" w:rsidR="00260FA0" w:rsidRPr="00292D9C" w:rsidRDefault="009A13FA" w:rsidP="00164DDE">
      <w:pPr>
        <w:pStyle w:val="ListParagraph"/>
        <w:numPr>
          <w:ilvl w:val="0"/>
          <w:numId w:val="160"/>
        </w:numPr>
        <w:rPr>
          <w:lang w:eastAsia="en-GB"/>
        </w:rPr>
      </w:pPr>
      <w:r w:rsidRPr="00292D9C">
        <w:rPr>
          <w:lang w:eastAsia="en-GB"/>
        </w:rPr>
        <w:t xml:space="preserve">The NISA initiatives seek to strengthen teacher capability to deliver STEM education. This means NISA objectives </w:t>
      </w:r>
      <w:r w:rsidR="00AC2764">
        <w:rPr>
          <w:lang w:eastAsia="en-GB"/>
        </w:rPr>
        <w:t>are not well supported by</w:t>
      </w:r>
      <w:r w:rsidRPr="00292D9C">
        <w:rPr>
          <w:lang w:eastAsia="en-GB"/>
        </w:rPr>
        <w:t xml:space="preserve"> student specific initiatives like coding camps. </w:t>
      </w:r>
    </w:p>
    <w:p w14:paraId="2DD5400C" w14:textId="77777777" w:rsidR="009A13FA" w:rsidRPr="00292D9C" w:rsidRDefault="009A13FA" w:rsidP="00164DDE">
      <w:pPr>
        <w:pStyle w:val="ListParagraph"/>
        <w:numPr>
          <w:ilvl w:val="0"/>
          <w:numId w:val="160"/>
        </w:numPr>
        <w:rPr>
          <w:lang w:eastAsia="en-GB"/>
        </w:rPr>
      </w:pPr>
      <w:r w:rsidRPr="00292D9C">
        <w:rPr>
          <w:lang w:eastAsia="en-GB"/>
        </w:rPr>
        <w:t xml:space="preserve">STEM activities for students is a crowded space and currently well served by other players. This means there is no perceived gap in service offerings for initiatives of this kind, and the Australian Government is better placed working towards the needs of system capability to overcome STEM challenges. </w:t>
      </w:r>
    </w:p>
    <w:p w14:paraId="6906DA22" w14:textId="77777777" w:rsidR="009A13FA" w:rsidRPr="00292D9C" w:rsidRDefault="00043D6F" w:rsidP="00A616D5">
      <w:pPr>
        <w:rPr>
          <w:lang w:eastAsia="en-GB"/>
        </w:rPr>
      </w:pPr>
      <w:r w:rsidRPr="00292D9C">
        <w:rPr>
          <w:lang w:eastAsia="en-GB"/>
        </w:rPr>
        <w:t>While we wouldn’t propose entirely ruling out future student-level initiatives, we suggest prioritising opportunities that focus specifically on lifting system capability through teacher targeted programs.</w:t>
      </w:r>
    </w:p>
    <w:p w14:paraId="46EB3905" w14:textId="77777777" w:rsidR="00A562CD" w:rsidRPr="00292D9C" w:rsidRDefault="004B31AB" w:rsidP="00A616D5">
      <w:pPr>
        <w:pStyle w:val="Heading3Normal"/>
        <w:spacing w:before="0" w:after="120"/>
        <w:rPr>
          <w:rFonts w:asciiTheme="minorHAnsi" w:hAnsiTheme="minorHAnsi"/>
          <w:lang w:eastAsia="en-GB"/>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25824" behindDoc="0" locked="0" layoutInCell="1" allowOverlap="1" wp14:anchorId="6CDAE255" wp14:editId="2429BDC2">
                <wp:simplePos x="0" y="0"/>
                <wp:positionH relativeFrom="column">
                  <wp:posOffset>4357370</wp:posOffset>
                </wp:positionH>
                <wp:positionV relativeFrom="paragraph">
                  <wp:posOffset>495935</wp:posOffset>
                </wp:positionV>
                <wp:extent cx="1617345" cy="1301750"/>
                <wp:effectExtent l="0" t="0" r="0" b="146050"/>
                <wp:wrapSquare wrapText="bothSides"/>
                <wp:docPr id="31" name="Rounded Rectangular Callout 31"/>
                <wp:cNvGraphicFramePr/>
                <a:graphic xmlns:a="http://schemas.openxmlformats.org/drawingml/2006/main">
                  <a:graphicData uri="http://schemas.microsoft.com/office/word/2010/wordprocessingShape">
                    <wps:wsp>
                      <wps:cNvSpPr/>
                      <wps:spPr>
                        <a:xfrm>
                          <a:off x="0" y="0"/>
                          <a:ext cx="1617345" cy="1301750"/>
                        </a:xfrm>
                        <a:prstGeom prst="wedgeRoundRectCallout">
                          <a:avLst>
                            <a:gd name="adj1" fmla="val -8688"/>
                            <a:gd name="adj2" fmla="val 60670"/>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49CD3" w14:textId="77777777" w:rsidR="007E2D07" w:rsidRDefault="007E2D07" w:rsidP="0087538D">
                            <w:pPr>
                              <w:spacing w:line="240" w:lineRule="auto"/>
                              <w:jc w:val="center"/>
                            </w:pPr>
                            <w:r>
                              <w:t>“Classroom level issues are dictated by school level issues. STEM needs to be a focus from the Governing bodies of our schools so that Principals prioritise STEM teaching”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E255" id="Rounded Rectangular Callout 31" o:spid="_x0000_s1054" type="#_x0000_t62" style="position:absolute;margin-left:343.1pt;margin-top:39.05pt;width:127.35pt;height:1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" adj="8923,23905" fillcolor="#f4c6cd [660]" stroked="f" strokeweight="2pt">
                <v:textbox inset="0,0,0,0">
                  <w:txbxContent>
                    <w:p w14:paraId="62849CD3" w14:textId="77777777" w:rsidR="007E2D07" w:rsidRDefault="007E2D07" w:rsidP="0087538D">
                      <w:pPr>
                        <w:spacing w:line="240" w:lineRule="auto"/>
                        <w:jc w:val="center"/>
                      </w:pPr>
                      <w:r>
                        <w:t>“Classroom level issues are dictated by school level issues. STEM needs to be a focus from the Governing bodies of our schools so that Principals prioritise STEM teaching” – Teacher</w:t>
                      </w:r>
                    </w:p>
                  </w:txbxContent>
                </v:textbox>
                <w10:wrap type="square"/>
              </v:shape>
            </w:pict>
          </mc:Fallback>
        </mc:AlternateContent>
      </w:r>
      <w:r w:rsidR="00A562CD" w:rsidRPr="00292D9C">
        <w:rPr>
          <w:rFonts w:asciiTheme="minorHAnsi" w:hAnsiTheme="minorHAnsi"/>
          <w:lang w:eastAsia="en-GB"/>
        </w:rPr>
        <w:t>The value of specifically targeting principals is unclear, but their involve</w:t>
      </w:r>
      <w:r w:rsidR="00A53389" w:rsidRPr="00292D9C">
        <w:rPr>
          <w:rFonts w:asciiTheme="minorHAnsi" w:hAnsiTheme="minorHAnsi"/>
          <w:lang w:eastAsia="en-GB"/>
        </w:rPr>
        <w:t>ment</w:t>
      </w:r>
      <w:r w:rsidR="00A562CD" w:rsidRPr="00292D9C">
        <w:rPr>
          <w:rFonts w:asciiTheme="minorHAnsi" w:hAnsiTheme="minorHAnsi"/>
          <w:lang w:eastAsia="en-GB"/>
        </w:rPr>
        <w:t xml:space="preserve"> is critical for sustained change</w:t>
      </w:r>
    </w:p>
    <w:p w14:paraId="48F75985" w14:textId="77777777" w:rsidR="002115DE" w:rsidRPr="00292D9C" w:rsidRDefault="006E299D" w:rsidP="00A616D5">
      <w:pPr>
        <w:rPr>
          <w:lang w:eastAsia="en-GB"/>
        </w:rPr>
      </w:pPr>
      <w:r w:rsidRPr="00292D9C">
        <w:rPr>
          <w:lang w:eastAsia="en-GB"/>
        </w:rPr>
        <w:t>The Principals as STEM leaders is an</w:t>
      </w:r>
      <w:r w:rsidR="002115DE" w:rsidRPr="00292D9C">
        <w:rPr>
          <w:lang w:eastAsia="en-GB"/>
        </w:rPr>
        <w:t xml:space="preserve"> interesting</w:t>
      </w:r>
      <w:r w:rsidRPr="00292D9C">
        <w:rPr>
          <w:lang w:eastAsia="en-GB"/>
        </w:rPr>
        <w:t xml:space="preserve"> project </w:t>
      </w:r>
      <w:r w:rsidR="00926945" w:rsidRPr="00292D9C">
        <w:rPr>
          <w:lang w:eastAsia="en-GB"/>
        </w:rPr>
        <w:t>with</w:t>
      </w:r>
      <w:r w:rsidRPr="00292D9C">
        <w:rPr>
          <w:lang w:eastAsia="en-GB"/>
        </w:rPr>
        <w:t xml:space="preserve"> </w:t>
      </w:r>
      <w:r w:rsidR="00926945" w:rsidRPr="00292D9C">
        <w:rPr>
          <w:lang w:eastAsia="en-GB"/>
        </w:rPr>
        <w:t xml:space="preserve">significant potential to develop the capabilities of principals to lead school-wide improvements in STEM. However, because the program </w:t>
      </w:r>
      <w:r w:rsidR="00AC2764">
        <w:rPr>
          <w:lang w:eastAsia="en-GB"/>
        </w:rPr>
        <w:t>started later than the other NISA initiatives</w:t>
      </w:r>
      <w:r w:rsidR="00926945" w:rsidRPr="00292D9C">
        <w:rPr>
          <w:lang w:eastAsia="en-GB"/>
        </w:rPr>
        <w:t xml:space="preserve"> it is still too early to draw conclusions about its effectiveness. Given that the research and stakeholders emphasi</w:t>
      </w:r>
      <w:r w:rsidR="00701BD8" w:rsidRPr="00292D9C">
        <w:rPr>
          <w:lang w:eastAsia="en-GB"/>
        </w:rPr>
        <w:t>s</w:t>
      </w:r>
      <w:r w:rsidR="00926945" w:rsidRPr="00292D9C">
        <w:rPr>
          <w:lang w:eastAsia="en-GB"/>
        </w:rPr>
        <w:t>e the importan</w:t>
      </w:r>
      <w:r w:rsidR="00754EE3" w:rsidRPr="00292D9C">
        <w:rPr>
          <w:lang w:eastAsia="en-GB"/>
        </w:rPr>
        <w:t>ce</w:t>
      </w:r>
      <w:r w:rsidR="00926945" w:rsidRPr="00292D9C">
        <w:rPr>
          <w:lang w:eastAsia="en-GB"/>
        </w:rPr>
        <w:t xml:space="preserve"> of school leaders, we advise that</w:t>
      </w:r>
      <w:r w:rsidR="00A562CD" w:rsidRPr="00292D9C">
        <w:rPr>
          <w:lang w:eastAsia="en-GB"/>
        </w:rPr>
        <w:t xml:space="preserve"> products that touch teachers</w:t>
      </w:r>
      <w:r w:rsidR="00926945" w:rsidRPr="00292D9C">
        <w:rPr>
          <w:lang w:eastAsia="en-GB"/>
        </w:rPr>
        <w:t xml:space="preserve"> should </w:t>
      </w:r>
      <w:r w:rsidR="00A562CD" w:rsidRPr="00292D9C">
        <w:rPr>
          <w:lang w:eastAsia="en-GB"/>
        </w:rPr>
        <w:t>include strategies that link in principals</w:t>
      </w:r>
      <w:r w:rsidR="00754EE3" w:rsidRPr="00292D9C">
        <w:rPr>
          <w:lang w:eastAsia="en-GB"/>
        </w:rPr>
        <w:t xml:space="preserve"> or ensure their support for teacher-focused activities</w:t>
      </w:r>
      <w:r w:rsidR="00A562CD" w:rsidRPr="00292D9C">
        <w:rPr>
          <w:lang w:eastAsia="en-GB"/>
        </w:rPr>
        <w:t xml:space="preserve">. </w:t>
      </w:r>
      <w:r w:rsidR="00926945" w:rsidRPr="00292D9C">
        <w:rPr>
          <w:lang w:eastAsia="en-GB"/>
        </w:rPr>
        <w:t>Beyond that, depending on the findings and experiences of PASL, it may be worth more investment in initiative</w:t>
      </w:r>
      <w:r w:rsidR="00A53389" w:rsidRPr="00292D9C">
        <w:rPr>
          <w:lang w:eastAsia="en-GB"/>
        </w:rPr>
        <w:t>s</w:t>
      </w:r>
      <w:r w:rsidR="00926945" w:rsidRPr="00292D9C">
        <w:rPr>
          <w:lang w:eastAsia="en-GB"/>
        </w:rPr>
        <w:t xml:space="preserve"> that target principals as a separate group</w:t>
      </w:r>
      <w:r w:rsidR="00754EE3" w:rsidRPr="00292D9C">
        <w:rPr>
          <w:lang w:eastAsia="en-GB"/>
        </w:rPr>
        <w:t xml:space="preserve">, and incorporating the lessons learned from PASL into other investment decisions. </w:t>
      </w:r>
    </w:p>
    <w:p w14:paraId="543221F3" w14:textId="77777777" w:rsidR="0024553D" w:rsidRPr="00292D9C" w:rsidRDefault="005B27BD"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 xml:space="preserve">Stakeholders perceive a gap in support for pre-service teachers, however more research is required to define specific support required </w:t>
      </w:r>
    </w:p>
    <w:p w14:paraId="224D50EE" w14:textId="77777777" w:rsidR="005B27BD" w:rsidRPr="00292D9C" w:rsidRDefault="005B27BD" w:rsidP="00A616D5">
      <w:pPr>
        <w:rPr>
          <w:lang w:eastAsia="en-GB"/>
        </w:rPr>
      </w:pPr>
      <w:r w:rsidRPr="00292D9C">
        <w:rPr>
          <w:lang w:eastAsia="en-GB"/>
        </w:rPr>
        <w:t xml:space="preserve">Consultation revealed a perceived gap in STEM education support for pre-service teachers. </w:t>
      </w:r>
      <w:r w:rsidR="00A97AB0" w:rsidRPr="00292D9C">
        <w:rPr>
          <w:lang w:eastAsia="en-GB"/>
        </w:rPr>
        <w:t xml:space="preserve">Given </w:t>
      </w:r>
      <w:r w:rsidRPr="00292D9C">
        <w:rPr>
          <w:lang w:eastAsia="en-GB"/>
        </w:rPr>
        <w:t xml:space="preserve">pre-service teachers aren’t the direct target audience of NISA initiatives, it wasn’t in scope of this evaluation to clearly articulate and determine specific challenges for pre-service teachers. However, </w:t>
      </w:r>
      <w:r w:rsidR="00A97AB0" w:rsidRPr="00292D9C">
        <w:rPr>
          <w:lang w:eastAsia="en-GB"/>
        </w:rPr>
        <w:t xml:space="preserve">it’s important to flag as a future opportunity </w:t>
      </w:r>
      <w:r w:rsidRPr="00292D9C">
        <w:rPr>
          <w:lang w:eastAsia="en-GB"/>
        </w:rPr>
        <w:t xml:space="preserve">the Australian Government </w:t>
      </w:r>
      <w:r w:rsidR="00A97AB0" w:rsidRPr="00292D9C">
        <w:rPr>
          <w:lang w:eastAsia="en-GB"/>
        </w:rPr>
        <w:t>might consider exploring</w:t>
      </w:r>
      <w:r w:rsidRPr="00292D9C">
        <w:rPr>
          <w:lang w:eastAsia="en-GB"/>
        </w:rPr>
        <w:t xml:space="preserve">. </w:t>
      </w:r>
      <w:r w:rsidR="00A97AB0" w:rsidRPr="00292D9C">
        <w:rPr>
          <w:lang w:eastAsia="en-GB"/>
        </w:rPr>
        <w:t xml:space="preserve">It also aligns with NISA objectives, and our view that the Australian Government prioritise building capability among teachers. </w:t>
      </w:r>
      <w:r w:rsidR="00522F4E" w:rsidRPr="00292D9C">
        <w:rPr>
          <w:lang w:eastAsia="en-GB"/>
        </w:rPr>
        <w:t xml:space="preserve">This might involve conducting further research targeting pre-service teachers and providers to understand specific challenges and barriers as it relates to STEM education.  </w:t>
      </w:r>
    </w:p>
    <w:p w14:paraId="0B267249" w14:textId="77777777" w:rsidR="007C5A4E" w:rsidRPr="00292D9C" w:rsidRDefault="007C5A4E" w:rsidP="00A616D5">
      <w:pPr>
        <w:pStyle w:val="Heading3Normal"/>
        <w:spacing w:before="0" w:after="120"/>
        <w:rPr>
          <w:rFonts w:asciiTheme="minorHAnsi" w:hAnsiTheme="minorHAnsi"/>
          <w:lang w:eastAsia="en-GB"/>
        </w:rPr>
      </w:pPr>
      <w:r w:rsidRPr="00292D9C">
        <w:rPr>
          <w:rFonts w:asciiTheme="minorHAnsi" w:hAnsiTheme="minorHAnsi"/>
          <w:lang w:eastAsia="en-GB"/>
        </w:rPr>
        <w:t xml:space="preserve">Stakeholders </w:t>
      </w:r>
      <w:r w:rsidR="00C72255" w:rsidRPr="00292D9C">
        <w:rPr>
          <w:rFonts w:asciiTheme="minorHAnsi" w:hAnsiTheme="minorHAnsi"/>
          <w:lang w:eastAsia="en-GB"/>
        </w:rPr>
        <w:t>perceive</w:t>
      </w:r>
      <w:r w:rsidR="00F5771B" w:rsidRPr="00292D9C">
        <w:rPr>
          <w:rFonts w:asciiTheme="minorHAnsi" w:hAnsiTheme="minorHAnsi"/>
          <w:lang w:eastAsia="en-GB"/>
        </w:rPr>
        <w:t xml:space="preserve"> a gap around support for parents</w:t>
      </w:r>
      <w:r w:rsidR="00D71178" w:rsidRPr="00292D9C">
        <w:rPr>
          <w:rFonts w:asciiTheme="minorHAnsi" w:hAnsiTheme="minorHAnsi"/>
          <w:lang w:eastAsia="en-GB"/>
        </w:rPr>
        <w:t xml:space="preserve"> in the school year</w:t>
      </w:r>
      <w:r w:rsidR="00C72255" w:rsidRPr="00292D9C">
        <w:rPr>
          <w:rFonts w:asciiTheme="minorHAnsi" w:hAnsiTheme="minorHAnsi"/>
          <w:lang w:eastAsia="en-GB"/>
        </w:rPr>
        <w:t>s. T</w:t>
      </w:r>
      <w:r w:rsidRPr="00292D9C">
        <w:rPr>
          <w:rFonts w:asciiTheme="minorHAnsi" w:hAnsiTheme="minorHAnsi"/>
          <w:lang w:eastAsia="en-GB"/>
        </w:rPr>
        <w:t>he</w:t>
      </w:r>
      <w:r w:rsidR="00F5771B" w:rsidRPr="00292D9C">
        <w:rPr>
          <w:rFonts w:asciiTheme="minorHAnsi" w:hAnsiTheme="minorHAnsi"/>
          <w:lang w:eastAsia="en-GB"/>
        </w:rPr>
        <w:t xml:space="preserve"> </w:t>
      </w:r>
      <w:r w:rsidR="00701BD8" w:rsidRPr="00292D9C">
        <w:rPr>
          <w:rFonts w:asciiTheme="minorHAnsi" w:hAnsiTheme="minorHAnsi"/>
          <w:lang w:eastAsia="en-GB"/>
        </w:rPr>
        <w:t xml:space="preserve">Australian Government </w:t>
      </w:r>
      <w:r w:rsidRPr="00292D9C">
        <w:rPr>
          <w:rFonts w:asciiTheme="minorHAnsi" w:hAnsiTheme="minorHAnsi"/>
          <w:lang w:eastAsia="en-GB"/>
        </w:rPr>
        <w:t>could build on its current efforts to meet this need</w:t>
      </w:r>
    </w:p>
    <w:p w14:paraId="5CFB1A5B" w14:textId="77777777" w:rsidR="007F39D0" w:rsidRPr="00292D9C" w:rsidRDefault="00CD46C5" w:rsidP="00A616D5">
      <w:pPr>
        <w:pStyle w:val="Heading3Normal"/>
        <w:spacing w:before="0" w:after="120"/>
        <w:rPr>
          <w:rFonts w:asciiTheme="minorHAnsi" w:hAnsiTheme="minorHAnsi"/>
          <w:b w:val="0"/>
          <w:bCs/>
          <w:color w:val="000000" w:themeColor="text1"/>
          <w:lang w:eastAsia="en-GB"/>
        </w:rPr>
      </w:pPr>
      <w:r w:rsidRPr="00292D9C">
        <w:rPr>
          <w:rFonts w:asciiTheme="minorHAnsi" w:hAnsiTheme="minorHAnsi"/>
          <w:b w:val="0"/>
          <w:bCs/>
          <w:color w:val="000000" w:themeColor="text1"/>
          <w:lang w:eastAsia="en-GB"/>
        </w:rPr>
        <w:t xml:space="preserve">Parent engagement was one of the four pillars of the </w:t>
      </w:r>
      <w:r w:rsidR="009F1625">
        <w:rPr>
          <w:rFonts w:asciiTheme="minorHAnsi" w:hAnsiTheme="minorHAnsi"/>
          <w:b w:val="0"/>
          <w:bCs/>
          <w:color w:val="000000" w:themeColor="text1"/>
          <w:lang w:eastAsia="en-GB"/>
        </w:rPr>
        <w:t xml:space="preserve">Australian Government’s </w:t>
      </w:r>
      <w:r w:rsidRPr="00292D9C">
        <w:rPr>
          <w:rFonts w:asciiTheme="minorHAnsi" w:hAnsiTheme="minorHAnsi"/>
          <w:b w:val="0"/>
          <w:bCs/>
          <w:i/>
          <w:iCs/>
          <w:color w:val="000000" w:themeColor="text1"/>
          <w:lang w:eastAsia="en-GB"/>
        </w:rPr>
        <w:t>Quality Schools, Quality Outcomes</w:t>
      </w:r>
      <w:r w:rsidRPr="00292D9C">
        <w:rPr>
          <w:rFonts w:asciiTheme="minorHAnsi" w:hAnsiTheme="minorHAnsi"/>
          <w:b w:val="0"/>
          <w:bCs/>
          <w:color w:val="000000" w:themeColor="text1"/>
          <w:lang w:eastAsia="en-GB"/>
        </w:rPr>
        <w:t xml:space="preserve"> platform</w:t>
      </w:r>
      <w:r w:rsidR="009F1625">
        <w:rPr>
          <w:rStyle w:val="FootnoteReference"/>
          <w:rFonts w:asciiTheme="minorHAnsi" w:hAnsiTheme="minorHAnsi"/>
          <w:b/>
          <w:bCs/>
          <w:color w:val="000000" w:themeColor="text1"/>
          <w:lang w:eastAsia="en-GB"/>
        </w:rPr>
        <w:footnoteReference w:id="49"/>
      </w:r>
      <w:r w:rsidRPr="00292D9C">
        <w:rPr>
          <w:rFonts w:asciiTheme="minorHAnsi" w:hAnsiTheme="minorHAnsi"/>
          <w:b w:val="0"/>
          <w:bCs/>
          <w:color w:val="000000" w:themeColor="text1"/>
          <w:lang w:eastAsia="en-GB"/>
        </w:rPr>
        <w:t xml:space="preserve"> and </w:t>
      </w:r>
      <w:r w:rsidR="007C5A4E" w:rsidRPr="00292D9C">
        <w:rPr>
          <w:rFonts w:asciiTheme="minorHAnsi" w:hAnsiTheme="minorHAnsi"/>
          <w:b w:val="0"/>
          <w:bCs/>
          <w:color w:val="000000" w:themeColor="text1"/>
          <w:lang w:eastAsia="en-GB"/>
        </w:rPr>
        <w:t>guides</w:t>
      </w:r>
      <w:r w:rsidRPr="00292D9C">
        <w:rPr>
          <w:rFonts w:asciiTheme="minorHAnsi" w:hAnsiTheme="minorHAnsi"/>
          <w:b w:val="0"/>
          <w:bCs/>
          <w:color w:val="000000" w:themeColor="text1"/>
          <w:lang w:eastAsia="en-GB"/>
        </w:rPr>
        <w:t xml:space="preserve"> </w:t>
      </w:r>
      <w:r w:rsidR="007C5A4E" w:rsidRPr="00292D9C">
        <w:rPr>
          <w:rFonts w:asciiTheme="minorHAnsi" w:hAnsiTheme="minorHAnsi"/>
          <w:b w:val="0"/>
          <w:bCs/>
          <w:color w:val="000000" w:themeColor="text1"/>
          <w:lang w:eastAsia="en-GB"/>
        </w:rPr>
        <w:t>the</w:t>
      </w:r>
      <w:r w:rsidRPr="00292D9C">
        <w:rPr>
          <w:rFonts w:asciiTheme="minorHAnsi" w:hAnsiTheme="minorHAnsi"/>
          <w:b w:val="0"/>
          <w:bCs/>
          <w:color w:val="000000" w:themeColor="text1"/>
          <w:lang w:eastAsia="en-GB"/>
        </w:rPr>
        <w:t xml:space="preserve"> range of work</w:t>
      </w:r>
      <w:r w:rsidR="007C5A4E" w:rsidRPr="00292D9C">
        <w:rPr>
          <w:rFonts w:asciiTheme="minorHAnsi" w:hAnsiTheme="minorHAnsi"/>
          <w:b w:val="0"/>
          <w:bCs/>
          <w:color w:val="000000" w:themeColor="text1"/>
          <w:lang w:eastAsia="en-GB"/>
        </w:rPr>
        <w:t xml:space="preserve"> the Department does</w:t>
      </w:r>
      <w:r w:rsidRPr="00292D9C">
        <w:rPr>
          <w:rFonts w:asciiTheme="minorHAnsi" w:hAnsiTheme="minorHAnsi"/>
          <w:b w:val="0"/>
          <w:bCs/>
          <w:color w:val="000000" w:themeColor="text1"/>
          <w:lang w:eastAsia="en-GB"/>
        </w:rPr>
        <w:t xml:space="preserve"> in this spac</w:t>
      </w:r>
      <w:r w:rsidR="004C4623" w:rsidRPr="00292D9C">
        <w:rPr>
          <w:rFonts w:asciiTheme="minorHAnsi" w:hAnsiTheme="minorHAnsi"/>
          <w:b w:val="0"/>
          <w:bCs/>
          <w:color w:val="000000" w:themeColor="text1"/>
          <w:lang w:eastAsia="en-GB"/>
        </w:rPr>
        <w:t xml:space="preserve">e. </w:t>
      </w:r>
      <w:r w:rsidR="007F39D0" w:rsidRPr="00292D9C">
        <w:rPr>
          <w:rFonts w:asciiTheme="minorHAnsi" w:hAnsiTheme="minorHAnsi"/>
          <w:b w:val="0"/>
          <w:bCs/>
          <w:color w:val="000000" w:themeColor="text1"/>
          <w:lang w:eastAsia="en-GB"/>
        </w:rPr>
        <w:t>For example, the</w:t>
      </w:r>
      <w:r w:rsidR="007C5A4E" w:rsidRPr="00292D9C">
        <w:rPr>
          <w:rFonts w:asciiTheme="minorHAnsi" w:hAnsiTheme="minorHAnsi"/>
          <w:b w:val="0"/>
          <w:bCs/>
          <w:color w:val="000000" w:themeColor="text1"/>
          <w:lang w:eastAsia="en-GB"/>
        </w:rPr>
        <w:t xml:space="preserve"> Digital Technologies Hub</w:t>
      </w:r>
      <w:r w:rsidR="007F39D0" w:rsidRPr="00292D9C">
        <w:rPr>
          <w:rFonts w:asciiTheme="minorHAnsi" w:hAnsiTheme="minorHAnsi"/>
          <w:b w:val="0"/>
          <w:bCs/>
          <w:color w:val="000000" w:themeColor="text1"/>
          <w:lang w:eastAsia="en-GB"/>
        </w:rPr>
        <w:t xml:space="preserve"> </w:t>
      </w:r>
      <w:r w:rsidR="00AC2764">
        <w:rPr>
          <w:rFonts w:asciiTheme="minorHAnsi" w:hAnsiTheme="minorHAnsi"/>
          <w:b w:val="0"/>
          <w:bCs/>
          <w:color w:val="000000" w:themeColor="text1"/>
          <w:lang w:eastAsia="en-GB"/>
        </w:rPr>
        <w:t xml:space="preserve">(in addition to teacher and student resources) </w:t>
      </w:r>
      <w:r w:rsidR="007C5A4E" w:rsidRPr="00292D9C">
        <w:rPr>
          <w:rFonts w:asciiTheme="minorHAnsi" w:hAnsiTheme="minorHAnsi"/>
          <w:b w:val="0"/>
          <w:bCs/>
          <w:color w:val="000000" w:themeColor="text1"/>
          <w:lang w:eastAsia="en-GB"/>
        </w:rPr>
        <w:t xml:space="preserve">provides resources parents can </w:t>
      </w:r>
      <w:r w:rsidR="004C4623" w:rsidRPr="00292D9C">
        <w:rPr>
          <w:rFonts w:asciiTheme="minorHAnsi" w:hAnsiTheme="minorHAnsi"/>
          <w:b w:val="0"/>
          <w:bCs/>
          <w:color w:val="000000" w:themeColor="text1"/>
          <w:lang w:eastAsia="en-GB"/>
        </w:rPr>
        <w:t xml:space="preserve">complete with their child to build their STEM knowledge, </w:t>
      </w:r>
      <w:r w:rsidR="00AC2764">
        <w:rPr>
          <w:rFonts w:asciiTheme="minorHAnsi" w:hAnsiTheme="minorHAnsi"/>
          <w:b w:val="0"/>
          <w:bCs/>
          <w:color w:val="000000" w:themeColor="text1"/>
          <w:lang w:eastAsia="en-GB"/>
        </w:rPr>
        <w:t>while</w:t>
      </w:r>
      <w:r w:rsidR="004C4623" w:rsidRPr="00292D9C">
        <w:rPr>
          <w:rFonts w:asciiTheme="minorHAnsi" w:hAnsiTheme="minorHAnsi"/>
          <w:b w:val="0"/>
          <w:bCs/>
          <w:color w:val="000000" w:themeColor="text1"/>
          <w:lang w:eastAsia="en-GB"/>
        </w:rPr>
        <w:t xml:space="preserve"> the online </w:t>
      </w:r>
      <w:r w:rsidR="004C4623" w:rsidRPr="00292D9C">
        <w:rPr>
          <w:rFonts w:asciiTheme="minorHAnsi" w:hAnsiTheme="minorHAnsi"/>
          <w:b w:val="0"/>
          <w:bCs/>
          <w:i/>
          <w:iCs/>
          <w:color w:val="000000" w:themeColor="text1"/>
          <w:lang w:eastAsia="en-GB"/>
        </w:rPr>
        <w:t>Learning Potential</w:t>
      </w:r>
      <w:r w:rsidR="004C4623" w:rsidRPr="00292D9C">
        <w:rPr>
          <w:rFonts w:asciiTheme="minorHAnsi" w:hAnsiTheme="minorHAnsi"/>
          <w:b w:val="0"/>
          <w:bCs/>
          <w:color w:val="000000" w:themeColor="text1"/>
          <w:lang w:eastAsia="en-GB"/>
        </w:rPr>
        <w:t xml:space="preserve"> platform</w:t>
      </w:r>
      <w:r w:rsidR="007C5A4E" w:rsidRPr="00292D9C">
        <w:rPr>
          <w:rFonts w:asciiTheme="minorHAnsi" w:hAnsiTheme="minorHAnsi"/>
          <w:b w:val="0"/>
          <w:bCs/>
          <w:color w:val="000000" w:themeColor="text1"/>
          <w:lang w:eastAsia="en-GB"/>
        </w:rPr>
        <w:t xml:space="preserve"> provides support for parents around numeracy skills in primary years. </w:t>
      </w:r>
      <w:r w:rsidR="007F39D0" w:rsidRPr="00292D9C">
        <w:rPr>
          <w:rFonts w:asciiTheme="minorHAnsi" w:hAnsiTheme="minorHAnsi"/>
          <w:b w:val="0"/>
          <w:bCs/>
          <w:color w:val="000000" w:themeColor="text1"/>
          <w:lang w:eastAsia="en-GB"/>
        </w:rPr>
        <w:t>We know this is important because research consistently identifies parent engagement as a significant principle of STEM education best practice, and we know that parents have a major impact on student learning outcomes.</w:t>
      </w:r>
      <w:r w:rsidR="007F39D0" w:rsidRPr="00292D9C">
        <w:rPr>
          <w:rStyle w:val="FootnoteReference"/>
          <w:rFonts w:asciiTheme="minorHAnsi" w:hAnsiTheme="minorHAnsi"/>
          <w:b/>
          <w:bCs/>
          <w:color w:val="000000" w:themeColor="text1"/>
          <w:lang w:eastAsia="en-GB"/>
        </w:rPr>
        <w:t xml:space="preserve"> </w:t>
      </w:r>
      <w:r w:rsidR="007F39D0" w:rsidRPr="00292D9C">
        <w:rPr>
          <w:rStyle w:val="FootnoteReference"/>
          <w:rFonts w:asciiTheme="minorHAnsi" w:hAnsiTheme="minorHAnsi"/>
          <w:b/>
          <w:bCs/>
          <w:color w:val="000000" w:themeColor="text1"/>
          <w:lang w:eastAsia="en-GB"/>
        </w:rPr>
        <w:footnoteReference w:id="50"/>
      </w:r>
      <w:r w:rsidR="007F39D0" w:rsidRPr="00292D9C">
        <w:rPr>
          <w:rFonts w:asciiTheme="minorHAnsi" w:hAnsiTheme="minorHAnsi"/>
          <w:b w:val="0"/>
          <w:bCs/>
          <w:color w:val="000000" w:themeColor="text1"/>
          <w:lang w:eastAsia="en-GB"/>
        </w:rPr>
        <w:t xml:space="preserve">  However, despite the Australian Government’s work in this space, stakeholders report low awareness of these resources. A major theme of stakeholder consultation concentrated on a perceived gap in support for parents to help build STEM engagement. </w:t>
      </w:r>
    </w:p>
    <w:p w14:paraId="282F0BF9" w14:textId="77777777" w:rsidR="009827FA" w:rsidRPr="00292D9C" w:rsidRDefault="007F39D0" w:rsidP="00A616D5">
      <w:pPr>
        <w:pStyle w:val="Heading3Normal"/>
        <w:spacing w:before="0" w:after="120"/>
        <w:rPr>
          <w:rFonts w:asciiTheme="minorHAnsi" w:hAnsiTheme="minorHAnsi"/>
          <w:b w:val="0"/>
          <w:bCs/>
          <w:color w:val="000000" w:themeColor="text1"/>
          <w:lang w:eastAsia="en-GB"/>
        </w:rPr>
      </w:pPr>
      <w:r w:rsidRPr="00292D9C">
        <w:rPr>
          <w:rFonts w:asciiTheme="minorHAnsi" w:hAnsiTheme="minorHAnsi"/>
          <w:b w:val="0"/>
          <w:bCs/>
          <w:color w:val="000000" w:themeColor="text1"/>
          <w:lang w:eastAsia="en-GB"/>
        </w:rPr>
        <w:t xml:space="preserve">Given this, there is an opportunity for the Australian Government to consider whether existing resources are best maximised to reach intended audiences. For example, looking at access and uptake of parent resources and considering how to increase promotion of online resources. Another suggestion might be increasing investment in this space through collaboration with subject matter experts to create </w:t>
      </w:r>
      <w:r w:rsidRPr="00292D9C">
        <w:rPr>
          <w:rFonts w:asciiTheme="minorHAnsi" w:hAnsiTheme="minorHAnsi"/>
          <w:b w:val="0"/>
          <w:bCs/>
          <w:i/>
          <w:iCs/>
          <w:color w:val="000000" w:themeColor="text1"/>
          <w:lang w:eastAsia="en-GB"/>
        </w:rPr>
        <w:t xml:space="preserve">Learning Potential </w:t>
      </w:r>
      <w:r w:rsidRPr="00292D9C">
        <w:rPr>
          <w:rFonts w:asciiTheme="minorHAnsi" w:hAnsiTheme="minorHAnsi"/>
          <w:b w:val="0"/>
          <w:bCs/>
          <w:color w:val="000000" w:themeColor="text1"/>
          <w:lang w:eastAsia="en-GB"/>
        </w:rPr>
        <w:t>activities that help parents support their child’s science skills</w:t>
      </w:r>
      <w:r w:rsidR="00A9169C">
        <w:rPr>
          <w:rFonts w:asciiTheme="minorHAnsi" w:hAnsiTheme="minorHAnsi"/>
          <w:b w:val="0"/>
          <w:bCs/>
          <w:color w:val="000000" w:themeColor="text1"/>
          <w:lang w:eastAsia="en-GB"/>
        </w:rPr>
        <w:t>, for example through expanding on the parent engagement aspects of the early years STEM programs</w:t>
      </w:r>
      <w:r w:rsidRPr="00292D9C">
        <w:rPr>
          <w:rFonts w:asciiTheme="minorHAnsi" w:hAnsiTheme="minorHAnsi"/>
          <w:b w:val="0"/>
          <w:bCs/>
          <w:color w:val="000000" w:themeColor="text1"/>
          <w:lang w:eastAsia="en-GB"/>
        </w:rPr>
        <w:t xml:space="preserve">. Or, broadening the scope of content from primary years to secondary and early years. </w:t>
      </w:r>
      <w:r w:rsidR="00A9169C">
        <w:rPr>
          <w:rFonts w:asciiTheme="minorHAnsi" w:hAnsiTheme="minorHAnsi"/>
          <w:b w:val="0"/>
          <w:bCs/>
          <w:color w:val="000000" w:themeColor="text1"/>
          <w:lang w:eastAsia="en-GB"/>
        </w:rPr>
        <w:t xml:space="preserve"> </w:t>
      </w:r>
    </w:p>
    <w:p w14:paraId="2FEB0D0D" w14:textId="77777777" w:rsidR="006065B9" w:rsidRPr="00292D9C" w:rsidRDefault="00B0588C" w:rsidP="00A616D5">
      <w:pPr>
        <w:pStyle w:val="Heading2"/>
        <w:spacing w:before="0" w:after="120"/>
        <w:rPr>
          <w:rFonts w:asciiTheme="minorHAnsi" w:hAnsiTheme="minorHAnsi"/>
          <w:lang w:eastAsia="en-GB"/>
        </w:rPr>
      </w:pPr>
      <w:bookmarkStart w:id="134" w:name="_Toc21088264"/>
      <w:bookmarkStart w:id="135" w:name="_Toc23504237"/>
      <w:bookmarkStart w:id="136" w:name="_Toc25162071"/>
      <w:r w:rsidRPr="00292D9C">
        <w:rPr>
          <w:rFonts w:asciiTheme="minorHAnsi" w:hAnsiTheme="minorHAnsi"/>
          <w:bCs/>
          <w:color w:val="931B2F" w:themeColor="accent1"/>
          <w:lang w:eastAsia="en-GB"/>
        </w:rPr>
        <w:t xml:space="preserve">8.3. </w:t>
      </w:r>
      <w:bookmarkStart w:id="137" w:name="_Toc16707170"/>
      <w:r w:rsidR="000F5954" w:rsidRPr="00292D9C">
        <w:rPr>
          <w:rFonts w:asciiTheme="minorHAnsi" w:hAnsiTheme="minorHAnsi"/>
          <w:lang w:eastAsia="en-GB"/>
        </w:rPr>
        <w:t>What e</w:t>
      </w:r>
      <w:r w:rsidR="007B3C5E" w:rsidRPr="00292D9C">
        <w:rPr>
          <w:rFonts w:asciiTheme="minorHAnsi" w:hAnsiTheme="minorHAnsi"/>
          <w:lang w:eastAsia="en-GB"/>
        </w:rPr>
        <w:t>ducation level</w:t>
      </w:r>
      <w:r w:rsidR="000F5954" w:rsidRPr="00292D9C">
        <w:rPr>
          <w:rFonts w:asciiTheme="minorHAnsi" w:hAnsiTheme="minorHAnsi"/>
          <w:lang w:eastAsia="en-GB"/>
        </w:rPr>
        <w:t xml:space="preserve"> s</w:t>
      </w:r>
      <w:r w:rsidR="009F6E9B" w:rsidRPr="00292D9C">
        <w:rPr>
          <w:rFonts w:asciiTheme="minorHAnsi" w:hAnsiTheme="minorHAnsi"/>
          <w:lang w:eastAsia="en-GB"/>
        </w:rPr>
        <w:t>hould</w:t>
      </w:r>
      <w:r w:rsidR="000F5954" w:rsidRPr="00292D9C">
        <w:rPr>
          <w:rFonts w:asciiTheme="minorHAnsi" w:hAnsiTheme="minorHAnsi"/>
          <w:lang w:eastAsia="en-GB"/>
        </w:rPr>
        <w:t xml:space="preserve"> the initiatives target?</w:t>
      </w:r>
      <w:bookmarkEnd w:id="134"/>
      <w:bookmarkEnd w:id="135"/>
      <w:bookmarkEnd w:id="136"/>
      <w:bookmarkEnd w:id="137"/>
      <w:r w:rsidR="000F5954" w:rsidRPr="00292D9C">
        <w:rPr>
          <w:rFonts w:asciiTheme="minorHAnsi" w:hAnsiTheme="minorHAnsi"/>
          <w:lang w:eastAsia="en-GB"/>
        </w:rPr>
        <w:t xml:space="preserve"> </w:t>
      </w:r>
      <w:r w:rsidR="004E291B" w:rsidRPr="00292D9C">
        <w:rPr>
          <w:rFonts w:asciiTheme="minorHAnsi" w:hAnsiTheme="minorHAnsi"/>
          <w:lang w:eastAsia="en-GB"/>
        </w:rPr>
        <w:t xml:space="preserve"> </w:t>
      </w:r>
    </w:p>
    <w:p w14:paraId="67606B09" w14:textId="77777777" w:rsidR="007B3C5E" w:rsidRPr="00292D9C" w:rsidRDefault="00A562CD" w:rsidP="00A616D5">
      <w:pPr>
        <w:pStyle w:val="Heading3Normal"/>
        <w:spacing w:before="0" w:after="120"/>
        <w:rPr>
          <w:rFonts w:asciiTheme="minorHAnsi" w:hAnsiTheme="minorHAnsi"/>
          <w:lang w:eastAsia="en-GB"/>
        </w:rPr>
      </w:pPr>
      <w:r w:rsidRPr="00292D9C">
        <w:rPr>
          <w:rFonts w:asciiTheme="minorHAnsi" w:hAnsiTheme="minorHAnsi"/>
          <w:lang w:eastAsia="en-GB"/>
        </w:rPr>
        <w:t>STEM</w:t>
      </w:r>
      <w:r w:rsidR="00FD0863" w:rsidRPr="00292D9C">
        <w:rPr>
          <w:rFonts w:asciiTheme="minorHAnsi" w:hAnsiTheme="minorHAnsi"/>
          <w:lang w:eastAsia="en-GB"/>
        </w:rPr>
        <w:t xml:space="preserve"> resources</w:t>
      </w:r>
      <w:r w:rsidRPr="00292D9C">
        <w:rPr>
          <w:rFonts w:asciiTheme="minorHAnsi" w:hAnsiTheme="minorHAnsi"/>
          <w:lang w:eastAsia="en-GB"/>
        </w:rPr>
        <w:t xml:space="preserve"> for primary and secondary schools is an increasingly crowded space</w:t>
      </w:r>
      <w:r w:rsidR="009F73D6" w:rsidRPr="00292D9C">
        <w:rPr>
          <w:rFonts w:asciiTheme="minorHAnsi" w:hAnsiTheme="minorHAnsi"/>
          <w:lang w:eastAsia="en-GB"/>
        </w:rPr>
        <w:t xml:space="preserve"> – t</w:t>
      </w:r>
      <w:r w:rsidR="00043F54" w:rsidRPr="00292D9C">
        <w:rPr>
          <w:rFonts w:asciiTheme="minorHAnsi" w:hAnsiTheme="minorHAnsi"/>
          <w:lang w:eastAsia="en-GB"/>
        </w:rPr>
        <w:t>herefore,</w:t>
      </w:r>
      <w:r w:rsidR="00D41D8D" w:rsidRPr="00292D9C">
        <w:rPr>
          <w:rFonts w:asciiTheme="minorHAnsi" w:hAnsiTheme="minorHAnsi"/>
          <w:lang w:eastAsia="en-GB"/>
        </w:rPr>
        <w:t xml:space="preserve"> quality and accessibility are paramount</w:t>
      </w:r>
    </w:p>
    <w:p w14:paraId="78F724C3" w14:textId="77777777" w:rsidR="00D41D8D" w:rsidRPr="00292D9C" w:rsidRDefault="007B3C5E" w:rsidP="00A616D5">
      <w:pPr>
        <w:rPr>
          <w:lang w:eastAsia="en-GB"/>
        </w:rPr>
      </w:pPr>
      <w:r w:rsidRPr="00292D9C">
        <w:rPr>
          <w:lang w:eastAsia="en-GB"/>
        </w:rPr>
        <w:t xml:space="preserve">There are hundreds of initiatives that provide STEM </w:t>
      </w:r>
      <w:r w:rsidR="00D71178" w:rsidRPr="00292D9C">
        <w:rPr>
          <w:lang w:eastAsia="en-GB"/>
        </w:rPr>
        <w:t xml:space="preserve">curriculum </w:t>
      </w:r>
      <w:r w:rsidRPr="00292D9C">
        <w:rPr>
          <w:lang w:eastAsia="en-GB"/>
        </w:rPr>
        <w:t>resource</w:t>
      </w:r>
      <w:r w:rsidR="00294879" w:rsidRPr="00292D9C">
        <w:rPr>
          <w:lang w:eastAsia="en-GB"/>
        </w:rPr>
        <w:t>s to teachers</w:t>
      </w:r>
      <w:r w:rsidR="0079667D" w:rsidRPr="00292D9C">
        <w:rPr>
          <w:lang w:eastAsia="en-GB"/>
        </w:rPr>
        <w:t>. This has</w:t>
      </w:r>
      <w:r w:rsidRPr="00292D9C">
        <w:rPr>
          <w:lang w:eastAsia="en-GB"/>
        </w:rPr>
        <w:t xml:space="preserve"> creat</w:t>
      </w:r>
      <w:r w:rsidR="0079667D" w:rsidRPr="00292D9C">
        <w:rPr>
          <w:lang w:eastAsia="en-GB"/>
        </w:rPr>
        <w:t xml:space="preserve">ed </w:t>
      </w:r>
      <w:r w:rsidRPr="00292D9C">
        <w:rPr>
          <w:lang w:eastAsia="en-GB"/>
        </w:rPr>
        <w:t>a</w:t>
      </w:r>
      <w:r w:rsidR="00E452BF">
        <w:rPr>
          <w:lang w:eastAsia="en-GB"/>
        </w:rPr>
        <w:t xml:space="preserve"> crowded space in the school years that may be difficult to navigate, and to identity high-quality resources</w:t>
      </w:r>
      <w:r w:rsidRPr="00292D9C">
        <w:rPr>
          <w:lang w:eastAsia="en-GB"/>
        </w:rPr>
        <w:t>.</w:t>
      </w:r>
      <w:r w:rsidR="00A20C03" w:rsidRPr="00292D9C">
        <w:rPr>
          <w:rStyle w:val="FootnoteReference"/>
          <w:lang w:eastAsia="en-GB"/>
        </w:rPr>
        <w:footnoteReference w:id="51"/>
      </w:r>
      <w:r w:rsidRPr="00292D9C">
        <w:rPr>
          <w:lang w:eastAsia="en-GB"/>
        </w:rPr>
        <w:t xml:space="preserve"> </w:t>
      </w:r>
      <w:r w:rsidR="00D41D8D" w:rsidRPr="00292D9C">
        <w:rPr>
          <w:lang w:eastAsia="en-GB"/>
        </w:rPr>
        <w:t>Stakeholders want more quality resources that are widely available and easy to access. Quality resources are those that are:</w:t>
      </w:r>
    </w:p>
    <w:p w14:paraId="3C4A4DA4" w14:textId="77777777" w:rsidR="00D41D8D" w:rsidRPr="00292D9C" w:rsidRDefault="00B36C1F" w:rsidP="00164DDE">
      <w:pPr>
        <w:pStyle w:val="ListParagraph"/>
        <w:numPr>
          <w:ilvl w:val="0"/>
          <w:numId w:val="26"/>
        </w:numPr>
        <w:rPr>
          <w:lang w:eastAsia="en-GB"/>
        </w:rPr>
      </w:pPr>
      <w:r>
        <w:rPr>
          <w:lang w:eastAsia="en-GB"/>
        </w:rPr>
        <w:t>A</w:t>
      </w:r>
      <w:r w:rsidR="00D41D8D" w:rsidRPr="00292D9C">
        <w:rPr>
          <w:lang w:eastAsia="en-GB"/>
        </w:rPr>
        <w:t>ligned to the standards o</w:t>
      </w:r>
      <w:r w:rsidR="009F73D6" w:rsidRPr="00292D9C">
        <w:rPr>
          <w:lang w:eastAsia="en-GB"/>
        </w:rPr>
        <w:t>f</w:t>
      </w:r>
      <w:r w:rsidR="00D41D8D" w:rsidRPr="00292D9C">
        <w:rPr>
          <w:lang w:eastAsia="en-GB"/>
        </w:rPr>
        <w:t xml:space="preserve"> state/national curriculum </w:t>
      </w:r>
    </w:p>
    <w:p w14:paraId="09916FB6" w14:textId="77777777" w:rsidR="00D41D8D" w:rsidRPr="00292D9C" w:rsidRDefault="006414EA" w:rsidP="00164DDE">
      <w:pPr>
        <w:pStyle w:val="ListParagraph"/>
        <w:numPr>
          <w:ilvl w:val="0"/>
          <w:numId w:val="26"/>
        </w:numPr>
        <w:rPr>
          <w:lang w:eastAsia="en-GB"/>
        </w:rPr>
      </w:pPr>
      <w:r>
        <w:rPr>
          <w:lang w:eastAsia="en-GB"/>
        </w:rPr>
        <w:t>E</w:t>
      </w:r>
      <w:r w:rsidR="00DD032B" w:rsidRPr="00292D9C">
        <w:rPr>
          <w:lang w:eastAsia="en-GB"/>
        </w:rPr>
        <w:t>vidence-based</w:t>
      </w:r>
      <w:r w:rsidR="00D41D8D" w:rsidRPr="00292D9C">
        <w:rPr>
          <w:lang w:eastAsia="en-GB"/>
        </w:rPr>
        <w:t xml:space="preserve"> </w:t>
      </w:r>
    </w:p>
    <w:p w14:paraId="2B775882" w14:textId="77777777" w:rsidR="00D41D8D" w:rsidRPr="00292D9C" w:rsidRDefault="009D20EF" w:rsidP="00164DDE">
      <w:pPr>
        <w:pStyle w:val="ListParagraph"/>
        <w:numPr>
          <w:ilvl w:val="0"/>
          <w:numId w:val="26"/>
        </w:numPr>
        <w:rPr>
          <w:lang w:eastAsia="en-GB"/>
        </w:rPr>
      </w:pPr>
      <w:r>
        <w:rPr>
          <w:lang w:eastAsia="en-GB"/>
        </w:rPr>
        <w:t>K</w:t>
      </w:r>
      <w:r w:rsidR="00D41D8D" w:rsidRPr="00292D9C">
        <w:rPr>
          <w:lang w:eastAsia="en-GB"/>
        </w:rPr>
        <w:t>nowledge rich as support</w:t>
      </w:r>
      <w:r w:rsidR="009F73D6" w:rsidRPr="00292D9C">
        <w:rPr>
          <w:lang w:eastAsia="en-GB"/>
        </w:rPr>
        <w:t>ed</w:t>
      </w:r>
      <w:r w:rsidR="00D41D8D" w:rsidRPr="00292D9C">
        <w:rPr>
          <w:lang w:eastAsia="en-GB"/>
        </w:rPr>
        <w:t xml:space="preserve"> by research-based effective pedagogy</w:t>
      </w:r>
      <w:r w:rsidR="00B36C1F">
        <w:rPr>
          <w:lang w:eastAsia="en-GB"/>
        </w:rPr>
        <w:t>.</w:t>
      </w:r>
      <w:r w:rsidR="00D41D8D" w:rsidRPr="00292D9C">
        <w:rPr>
          <w:rStyle w:val="FootnoteReference"/>
          <w:lang w:eastAsia="en-GB"/>
        </w:rPr>
        <w:footnoteReference w:id="52"/>
      </w:r>
      <w:r w:rsidR="00D41D8D" w:rsidRPr="00292D9C">
        <w:rPr>
          <w:lang w:eastAsia="en-GB"/>
        </w:rPr>
        <w:t xml:space="preserve">  </w:t>
      </w:r>
    </w:p>
    <w:p w14:paraId="1C8B4055" w14:textId="77777777" w:rsidR="00EC7C88" w:rsidRPr="00292D9C" w:rsidRDefault="0079667D" w:rsidP="00A616D5">
      <w:pPr>
        <w:rPr>
          <w:lang w:eastAsia="en-GB"/>
        </w:rPr>
      </w:pPr>
      <w:r w:rsidRPr="00292D9C">
        <w:rPr>
          <w:lang w:eastAsia="en-GB"/>
        </w:rPr>
        <w:t>Program materials</w:t>
      </w:r>
      <w:r w:rsidR="00D41D8D" w:rsidRPr="00292D9C">
        <w:rPr>
          <w:lang w:eastAsia="en-GB"/>
        </w:rPr>
        <w:t xml:space="preserve"> should also be accompanied by</w:t>
      </w:r>
      <w:r w:rsidRPr="00292D9C">
        <w:rPr>
          <w:lang w:eastAsia="en-GB"/>
        </w:rPr>
        <w:t xml:space="preserve"> instructional</w:t>
      </w:r>
      <w:r w:rsidR="00D41D8D" w:rsidRPr="00292D9C">
        <w:rPr>
          <w:lang w:eastAsia="en-GB"/>
        </w:rPr>
        <w:t xml:space="preserve"> professional learning</w:t>
      </w:r>
      <w:r w:rsidRPr="00292D9C">
        <w:rPr>
          <w:lang w:eastAsia="en-GB"/>
        </w:rPr>
        <w:t xml:space="preserve"> training </w:t>
      </w:r>
      <w:r w:rsidR="00D41D8D" w:rsidRPr="00292D9C">
        <w:rPr>
          <w:lang w:eastAsia="en-GB"/>
        </w:rPr>
        <w:t>to build an</w:t>
      </w:r>
      <w:r w:rsidRPr="00292D9C">
        <w:rPr>
          <w:lang w:eastAsia="en-GB"/>
        </w:rPr>
        <w:t xml:space="preserve"> </w:t>
      </w:r>
      <w:r w:rsidR="00D41D8D" w:rsidRPr="00292D9C">
        <w:rPr>
          <w:lang w:eastAsia="en-GB"/>
        </w:rPr>
        <w:t xml:space="preserve">understanding of how to use the </w:t>
      </w:r>
      <w:r w:rsidRPr="00292D9C">
        <w:rPr>
          <w:lang w:eastAsia="en-GB"/>
        </w:rPr>
        <w:t>resources</w:t>
      </w:r>
      <w:r w:rsidR="00D41D8D" w:rsidRPr="00292D9C">
        <w:rPr>
          <w:lang w:eastAsia="en-GB"/>
        </w:rPr>
        <w:t xml:space="preserve">. Without accompanying professional </w:t>
      </w:r>
      <w:r w:rsidR="0077497D" w:rsidRPr="00292D9C">
        <w:rPr>
          <w:lang w:eastAsia="en-GB"/>
        </w:rPr>
        <w:t>learning,</w:t>
      </w:r>
      <w:r w:rsidR="00D41D8D" w:rsidRPr="00292D9C">
        <w:rPr>
          <w:lang w:eastAsia="en-GB"/>
        </w:rPr>
        <w:t xml:space="preserve"> it is unlikely that there will be a large uptake of resources, even if </w:t>
      </w:r>
      <w:r w:rsidRPr="00292D9C">
        <w:rPr>
          <w:lang w:eastAsia="en-GB"/>
        </w:rPr>
        <w:t>they are of</w:t>
      </w:r>
      <w:r w:rsidR="00D41D8D" w:rsidRPr="00292D9C">
        <w:rPr>
          <w:lang w:eastAsia="en-GB"/>
        </w:rPr>
        <w:t xml:space="preserve"> high quality.</w:t>
      </w:r>
      <w:r w:rsidR="00EC7C88" w:rsidRPr="00292D9C">
        <w:rPr>
          <w:lang w:eastAsia="en-GB"/>
        </w:rPr>
        <w:t xml:space="preserve"> This can be seen through </w:t>
      </w:r>
      <w:r w:rsidR="0046204B" w:rsidRPr="00292D9C">
        <w:rPr>
          <w:lang w:eastAsia="en-GB"/>
        </w:rPr>
        <w:t>th</w:t>
      </w:r>
      <w:r w:rsidR="003A5B6E" w:rsidRPr="00292D9C">
        <w:rPr>
          <w:lang w:eastAsia="en-GB"/>
        </w:rPr>
        <w:t>e</w:t>
      </w:r>
      <w:r w:rsidR="00EC7C88" w:rsidRPr="00292D9C">
        <w:rPr>
          <w:lang w:eastAsia="en-GB"/>
        </w:rPr>
        <w:t xml:space="preserve"> Maths by Inquiry (</w:t>
      </w:r>
      <w:proofErr w:type="spellStart"/>
      <w:r w:rsidR="00EC7C88" w:rsidRPr="00292D9C">
        <w:rPr>
          <w:lang w:eastAsia="en-GB"/>
        </w:rPr>
        <w:t>reSolve</w:t>
      </w:r>
      <w:proofErr w:type="spellEnd"/>
      <w:r w:rsidR="00EC7C88" w:rsidRPr="00292D9C">
        <w:rPr>
          <w:lang w:eastAsia="en-GB"/>
        </w:rPr>
        <w:t>)</w:t>
      </w:r>
      <w:r w:rsidR="003A5B6E" w:rsidRPr="00292D9C">
        <w:rPr>
          <w:lang w:eastAsia="en-GB"/>
        </w:rPr>
        <w:t xml:space="preserve"> initiative</w:t>
      </w:r>
      <w:r w:rsidR="0046204B" w:rsidRPr="00292D9C">
        <w:rPr>
          <w:lang w:eastAsia="en-GB"/>
        </w:rPr>
        <w:t xml:space="preserve">, whose </w:t>
      </w:r>
      <w:r w:rsidR="00853143" w:rsidRPr="00292D9C">
        <w:rPr>
          <w:lang w:eastAsia="en-GB"/>
        </w:rPr>
        <w:t xml:space="preserve">high-quality </w:t>
      </w:r>
      <w:r w:rsidR="0046204B" w:rsidRPr="00292D9C">
        <w:rPr>
          <w:lang w:eastAsia="en-GB"/>
        </w:rPr>
        <w:t xml:space="preserve">resources were developed by </w:t>
      </w:r>
      <w:r w:rsidR="00853143" w:rsidRPr="00292D9C">
        <w:rPr>
          <w:lang w:eastAsia="en-GB"/>
        </w:rPr>
        <w:t xml:space="preserve">the </w:t>
      </w:r>
      <w:r w:rsidR="0046204B" w:rsidRPr="00292D9C">
        <w:rPr>
          <w:lang w:eastAsia="en-GB"/>
        </w:rPr>
        <w:t>Australian Academy of Science and mathematics education experts. A barrier to uptake of these resources identified in a</w:t>
      </w:r>
      <w:r w:rsidR="003A5B6E" w:rsidRPr="00292D9C">
        <w:rPr>
          <w:lang w:eastAsia="en-GB"/>
        </w:rPr>
        <w:t xml:space="preserve"> program evaluati</w:t>
      </w:r>
      <w:r w:rsidR="00853143" w:rsidRPr="00292D9C">
        <w:rPr>
          <w:lang w:eastAsia="en-GB"/>
        </w:rPr>
        <w:t>o</w:t>
      </w:r>
      <w:r w:rsidR="003A5B6E" w:rsidRPr="00292D9C">
        <w:rPr>
          <w:lang w:eastAsia="en-GB"/>
        </w:rPr>
        <w:t>n</w:t>
      </w:r>
      <w:r w:rsidR="0046204B" w:rsidRPr="00292D9C">
        <w:rPr>
          <w:lang w:eastAsia="en-GB"/>
        </w:rPr>
        <w:t xml:space="preserve"> </w:t>
      </w:r>
      <w:r w:rsidR="003A5B6E" w:rsidRPr="00292D9C">
        <w:rPr>
          <w:lang w:eastAsia="en-GB"/>
        </w:rPr>
        <w:t xml:space="preserve">was that teachers who were unfamiliar with the inquiry-based </w:t>
      </w:r>
      <w:r w:rsidR="00853143" w:rsidRPr="00292D9C">
        <w:rPr>
          <w:lang w:eastAsia="en-GB"/>
        </w:rPr>
        <w:t xml:space="preserve">practices promoted </w:t>
      </w:r>
      <w:r w:rsidR="00DA02FE" w:rsidRPr="00292D9C">
        <w:rPr>
          <w:lang w:eastAsia="en-GB"/>
        </w:rPr>
        <w:t xml:space="preserve">through </w:t>
      </w:r>
      <w:proofErr w:type="spellStart"/>
      <w:r w:rsidR="00DA02FE" w:rsidRPr="00292D9C">
        <w:rPr>
          <w:lang w:eastAsia="en-GB"/>
        </w:rPr>
        <w:t>reSolve</w:t>
      </w:r>
      <w:proofErr w:type="spellEnd"/>
      <w:r w:rsidR="00DA02FE" w:rsidRPr="00292D9C">
        <w:rPr>
          <w:lang w:eastAsia="en-GB"/>
        </w:rPr>
        <w:t xml:space="preserve"> lacked the capability to adapt such resources in their own classroom teaching.</w:t>
      </w:r>
      <w:r w:rsidR="00853143" w:rsidRPr="00292D9C">
        <w:rPr>
          <w:rStyle w:val="FootnoteReference"/>
          <w:lang w:eastAsia="en-GB"/>
        </w:rPr>
        <w:footnoteReference w:id="53"/>
      </w:r>
      <w:r w:rsidR="00DA02FE" w:rsidRPr="00292D9C">
        <w:rPr>
          <w:lang w:eastAsia="en-GB"/>
        </w:rPr>
        <w:t xml:space="preserve"> Greater professional learning would support teachers in implementation.</w:t>
      </w:r>
    </w:p>
    <w:p w14:paraId="252FACD6" w14:textId="77777777" w:rsidR="00294879" w:rsidRPr="00292D9C" w:rsidRDefault="00294879" w:rsidP="00A616D5">
      <w:pPr>
        <w:pStyle w:val="Heading3Normal"/>
        <w:spacing w:before="0" w:after="120"/>
        <w:rPr>
          <w:rFonts w:asciiTheme="minorHAnsi" w:hAnsiTheme="minorHAnsi"/>
          <w:lang w:eastAsia="en-GB"/>
        </w:rPr>
      </w:pPr>
      <w:r w:rsidRPr="00292D9C">
        <w:rPr>
          <w:rFonts w:asciiTheme="minorHAnsi" w:hAnsiTheme="minorHAnsi"/>
          <w:lang w:eastAsia="en-GB"/>
        </w:rPr>
        <w:t>In contrast there is a lack of STEM supports in early childhood and</w:t>
      </w:r>
      <w:r w:rsidR="009F73D6" w:rsidRPr="00292D9C">
        <w:rPr>
          <w:rFonts w:asciiTheme="minorHAnsi" w:hAnsiTheme="minorHAnsi"/>
          <w:lang w:eastAsia="en-GB"/>
        </w:rPr>
        <w:t xml:space="preserve"> an</w:t>
      </w:r>
      <w:r w:rsidRPr="00292D9C">
        <w:rPr>
          <w:rFonts w:asciiTheme="minorHAnsi" w:hAnsiTheme="minorHAnsi"/>
          <w:lang w:eastAsia="en-GB"/>
        </w:rPr>
        <w:t xml:space="preserve"> opportunity to realise first mover advantage </w:t>
      </w:r>
    </w:p>
    <w:p w14:paraId="31064ACF" w14:textId="77777777" w:rsidR="00D71178" w:rsidRPr="00292D9C" w:rsidRDefault="004B31AB"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723776" behindDoc="0" locked="0" layoutInCell="1" allowOverlap="1" wp14:anchorId="2E1B8516" wp14:editId="70CD6D03">
                <wp:simplePos x="0" y="0"/>
                <wp:positionH relativeFrom="column">
                  <wp:posOffset>4415790</wp:posOffset>
                </wp:positionH>
                <wp:positionV relativeFrom="paragraph">
                  <wp:posOffset>883920</wp:posOffset>
                </wp:positionV>
                <wp:extent cx="1795780" cy="894715"/>
                <wp:effectExtent l="0" t="0" r="0" b="172085"/>
                <wp:wrapSquare wrapText="bothSides"/>
                <wp:docPr id="28" name="Rounded Rectangular Callout 28"/>
                <wp:cNvGraphicFramePr/>
                <a:graphic xmlns:a="http://schemas.openxmlformats.org/drawingml/2006/main">
                  <a:graphicData uri="http://schemas.microsoft.com/office/word/2010/wordprocessingShape">
                    <wps:wsp>
                      <wps:cNvSpPr/>
                      <wps:spPr>
                        <a:xfrm>
                          <a:off x="0" y="0"/>
                          <a:ext cx="1795780" cy="894715"/>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2D502" w14:textId="77777777" w:rsidR="007E2D07" w:rsidRDefault="007E2D07" w:rsidP="0087538D">
                            <w:pPr>
                              <w:spacing w:line="240" w:lineRule="auto"/>
                              <w:jc w:val="center"/>
                            </w:pPr>
                            <w:r>
                              <w:t>“STEM is an area that is relatively new in early childhood and so I lacked confidence in teaching it”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8516" id="Rounded Rectangular Callout 28" o:spid="_x0000_s1055" type="#_x0000_t62" style="position:absolute;margin-left:347.7pt;margin-top:69.6pt;width:141.4pt;height:7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" adj="8486,25866" fillcolor="#f4c6cd [660]" stroked="f" strokeweight="2pt">
                <v:textbox inset="0,0,0,0">
                  <w:txbxContent>
                    <w:p w14:paraId="3DC2D502" w14:textId="77777777" w:rsidR="007E2D07" w:rsidRDefault="007E2D07" w:rsidP="0087538D">
                      <w:pPr>
                        <w:spacing w:line="240" w:lineRule="auto"/>
                        <w:jc w:val="center"/>
                      </w:pPr>
                      <w:r>
                        <w:t>“STEM is an area that is relatively new in early childhood and so I lacked confidence in teaching it” – Early Childhood Educator</w:t>
                      </w: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785216" behindDoc="0" locked="0" layoutInCell="1" allowOverlap="1" wp14:anchorId="13DC0BFF" wp14:editId="7BC4EB82">
                <wp:simplePos x="0" y="0"/>
                <wp:positionH relativeFrom="column">
                  <wp:posOffset>4373880</wp:posOffset>
                </wp:positionH>
                <wp:positionV relativeFrom="paragraph">
                  <wp:posOffset>293</wp:posOffset>
                </wp:positionV>
                <wp:extent cx="1798320" cy="713105"/>
                <wp:effectExtent l="0" t="0" r="5080" b="112395"/>
                <wp:wrapSquare wrapText="bothSides"/>
                <wp:docPr id="69" name="Rounded Rectangular Callout 69"/>
                <wp:cNvGraphicFramePr/>
                <a:graphic xmlns:a="http://schemas.openxmlformats.org/drawingml/2006/main">
                  <a:graphicData uri="http://schemas.microsoft.com/office/word/2010/wordprocessingShape">
                    <wps:wsp>
                      <wps:cNvSpPr/>
                      <wps:spPr>
                        <a:xfrm>
                          <a:off x="0" y="0"/>
                          <a:ext cx="1798320" cy="713105"/>
                        </a:xfrm>
                        <a:prstGeom prst="wedgeRoundRectCallout">
                          <a:avLst>
                            <a:gd name="adj1" fmla="val -9448"/>
                            <a:gd name="adj2" fmla="val 65206"/>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19124" w14:textId="77777777" w:rsidR="007E2D07" w:rsidRDefault="007E2D07" w:rsidP="0087538D">
                            <w:pPr>
                              <w:spacing w:line="240" w:lineRule="auto"/>
                              <w:jc w:val="center"/>
                            </w:pPr>
                            <w:r>
                              <w:t>“Often the scope of STEM seems so wide that educators don’t know where to start or where to aim”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0BFF" id="Rounded Rectangular Callout 69" o:spid="_x0000_s1056" type="#_x0000_t62" style="position:absolute;margin-left:344.4pt;margin-top:0;width:141.6pt;height:56.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" adj="8759,24884" fillcolor="#f4c6cd [660]" stroked="f" strokeweight="2pt">
                <v:textbox inset="0,0,0,0">
                  <w:txbxContent>
                    <w:p w14:paraId="23519124" w14:textId="77777777" w:rsidR="007E2D07" w:rsidRDefault="007E2D07" w:rsidP="0087538D">
                      <w:pPr>
                        <w:spacing w:line="240" w:lineRule="auto"/>
                        <w:jc w:val="center"/>
                      </w:pPr>
                      <w:r>
                        <w:t>“Often the scope of STEM seems so wide that educators don’t know where to start or where to aim” – Teacher</w:t>
                      </w:r>
                    </w:p>
                  </w:txbxContent>
                </v:textbox>
                <w10:wrap type="square"/>
              </v:shape>
            </w:pict>
          </mc:Fallback>
        </mc:AlternateContent>
      </w:r>
      <w:r w:rsidR="00294879" w:rsidRPr="00292D9C">
        <w:rPr>
          <w:lang w:eastAsia="en-GB"/>
        </w:rPr>
        <w:t xml:space="preserve">The </w:t>
      </w:r>
      <w:r w:rsidR="00EB6B07" w:rsidRPr="00292D9C">
        <w:rPr>
          <w:lang w:eastAsia="en-GB"/>
        </w:rPr>
        <w:t>limited number of</w:t>
      </w:r>
      <w:r w:rsidR="00294879" w:rsidRPr="00292D9C">
        <w:rPr>
          <w:lang w:eastAsia="en-GB"/>
        </w:rPr>
        <w:t xml:space="preserve"> STEM education</w:t>
      </w:r>
      <w:r w:rsidR="00EB6B07" w:rsidRPr="00292D9C">
        <w:rPr>
          <w:lang w:eastAsia="en-GB"/>
        </w:rPr>
        <w:t xml:space="preserve"> initiatives </w:t>
      </w:r>
      <w:r w:rsidR="00A72817" w:rsidRPr="00292D9C">
        <w:rPr>
          <w:lang w:eastAsia="en-GB"/>
        </w:rPr>
        <w:t>in the</w:t>
      </w:r>
      <w:r w:rsidR="00EB6B07" w:rsidRPr="00292D9C">
        <w:rPr>
          <w:lang w:eastAsia="en-GB"/>
        </w:rPr>
        <w:t xml:space="preserve"> </w:t>
      </w:r>
      <w:r w:rsidR="00294879" w:rsidRPr="00292D9C">
        <w:rPr>
          <w:lang w:eastAsia="en-GB"/>
        </w:rPr>
        <w:t xml:space="preserve">early childhood </w:t>
      </w:r>
      <w:r w:rsidR="009F73D6" w:rsidRPr="00292D9C">
        <w:rPr>
          <w:lang w:eastAsia="en-GB"/>
        </w:rPr>
        <w:t xml:space="preserve">sector </w:t>
      </w:r>
      <w:r w:rsidR="00A72817" w:rsidRPr="00292D9C">
        <w:rPr>
          <w:lang w:eastAsia="en-GB"/>
        </w:rPr>
        <w:t xml:space="preserve">means there is </w:t>
      </w:r>
      <w:r w:rsidR="00513650" w:rsidRPr="00292D9C">
        <w:rPr>
          <w:lang w:eastAsia="en-GB"/>
        </w:rPr>
        <w:t xml:space="preserve">an opportunity to realise the first mover advantage. </w:t>
      </w:r>
      <w:r w:rsidR="00D71178" w:rsidRPr="00292D9C">
        <w:rPr>
          <w:lang w:eastAsia="en-GB"/>
        </w:rPr>
        <w:t>Continuing to invest in early childhood</w:t>
      </w:r>
      <w:r w:rsidR="00A72817" w:rsidRPr="00292D9C">
        <w:rPr>
          <w:lang w:eastAsia="en-GB"/>
        </w:rPr>
        <w:t xml:space="preserve"> would mean that the </w:t>
      </w:r>
      <w:r w:rsidR="00701BD8" w:rsidRPr="00292D9C">
        <w:rPr>
          <w:lang w:eastAsia="en-GB"/>
        </w:rPr>
        <w:t xml:space="preserve">Australian Government </w:t>
      </w:r>
      <w:r w:rsidR="00A72817" w:rsidRPr="00292D9C">
        <w:rPr>
          <w:lang w:eastAsia="en-GB"/>
        </w:rPr>
        <w:t>can play a bigger role in shaping STEM education in this secto</w:t>
      </w:r>
      <w:r w:rsidR="00F436A1" w:rsidRPr="00292D9C">
        <w:rPr>
          <w:lang w:eastAsia="en-GB"/>
        </w:rPr>
        <w:t>r</w:t>
      </w:r>
      <w:r w:rsidR="00A72817" w:rsidRPr="00292D9C">
        <w:rPr>
          <w:lang w:eastAsia="en-GB"/>
        </w:rPr>
        <w:t xml:space="preserve"> than </w:t>
      </w:r>
      <w:r w:rsidR="00D71178" w:rsidRPr="00292D9C">
        <w:rPr>
          <w:lang w:eastAsia="en-GB"/>
        </w:rPr>
        <w:t>it can in</w:t>
      </w:r>
      <w:r w:rsidR="00A72817" w:rsidRPr="00292D9C">
        <w:rPr>
          <w:lang w:eastAsia="en-GB"/>
        </w:rPr>
        <w:t xml:space="preserve"> the school years. </w:t>
      </w:r>
    </w:p>
    <w:p w14:paraId="5970C276" w14:textId="77777777" w:rsidR="004D2AB9" w:rsidRPr="00292D9C" w:rsidRDefault="004B31AB"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779072" behindDoc="0" locked="0" layoutInCell="1" allowOverlap="1" wp14:anchorId="4C8BCB11" wp14:editId="29FA3A4C">
                <wp:simplePos x="0" y="0"/>
                <wp:positionH relativeFrom="column">
                  <wp:posOffset>4389295</wp:posOffset>
                </wp:positionH>
                <wp:positionV relativeFrom="paragraph">
                  <wp:posOffset>979751</wp:posOffset>
                </wp:positionV>
                <wp:extent cx="1840230" cy="1249680"/>
                <wp:effectExtent l="0" t="0" r="1270" b="134620"/>
                <wp:wrapSquare wrapText="bothSides"/>
                <wp:docPr id="60" name="Rounded Rectangular Callout 60"/>
                <wp:cNvGraphicFramePr/>
                <a:graphic xmlns:a="http://schemas.openxmlformats.org/drawingml/2006/main">
                  <a:graphicData uri="http://schemas.microsoft.com/office/word/2010/wordprocessingShape">
                    <wps:wsp>
                      <wps:cNvSpPr/>
                      <wps:spPr>
                        <a:xfrm>
                          <a:off x="0" y="0"/>
                          <a:ext cx="1840230" cy="1249680"/>
                        </a:xfrm>
                        <a:prstGeom prst="wedgeRoundRectCallout">
                          <a:avLst>
                            <a:gd name="adj1" fmla="val -7953"/>
                            <a:gd name="adj2" fmla="val 60808"/>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AF2E8" w14:textId="77777777" w:rsidR="007E2D07" w:rsidRDefault="007E2D07" w:rsidP="0087538D">
                            <w:pPr>
                              <w:spacing w:line="240" w:lineRule="auto"/>
                              <w:jc w:val="center"/>
                            </w:pPr>
                            <w:r>
                              <w:t>“I think that all Early Educators should be able to get this type of professional learning to understand how to recognise and provide for learning all areas of STEM” – Early Childhood Educator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BCB11" id="Rounded Rectangular Callout 60" o:spid="_x0000_s1057" type="#_x0000_t62" style="position:absolute;margin-left:345.6pt;margin-top:77.15pt;width:144.9pt;height:98.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" adj="9082,23935" fillcolor="#f4c6cd [660]" stroked="f" strokeweight="2pt">
                <v:textbox inset="0,0,0,0">
                  <w:txbxContent>
                    <w:p w14:paraId="472AF2E8" w14:textId="77777777" w:rsidR="007E2D07" w:rsidRDefault="007E2D07" w:rsidP="0087538D">
                      <w:pPr>
                        <w:spacing w:line="240" w:lineRule="auto"/>
                        <w:jc w:val="center"/>
                      </w:pPr>
                      <w:r>
                        <w:t>“I think that all Early Educators should be able to get this type of professional learning to understand how to recognise and provide for learning all areas of STEM” – Early Childhood Educator</w:t>
                      </w:r>
                    </w:p>
                  </w:txbxContent>
                </v:textbox>
                <w10:wrap type="square"/>
              </v:shape>
            </w:pict>
          </mc:Fallback>
        </mc:AlternateContent>
      </w:r>
      <w:r w:rsidR="00D71178" w:rsidRPr="00292D9C">
        <w:rPr>
          <w:lang w:eastAsia="en-GB"/>
        </w:rPr>
        <w:t xml:space="preserve">The </w:t>
      </w:r>
      <w:r w:rsidR="00701BD8" w:rsidRPr="00292D9C">
        <w:rPr>
          <w:lang w:eastAsia="en-GB"/>
        </w:rPr>
        <w:t>Australian Government</w:t>
      </w:r>
      <w:r w:rsidR="00D71178" w:rsidRPr="00292D9C">
        <w:rPr>
          <w:lang w:eastAsia="en-GB"/>
        </w:rPr>
        <w:t xml:space="preserve"> could play a role in</w:t>
      </w:r>
      <w:r w:rsidR="00513650" w:rsidRPr="00292D9C">
        <w:rPr>
          <w:lang w:eastAsia="en-GB"/>
        </w:rPr>
        <w:t xml:space="preserve"> scal</w:t>
      </w:r>
      <w:r w:rsidR="00D71178" w:rsidRPr="00292D9C">
        <w:rPr>
          <w:lang w:eastAsia="en-GB"/>
        </w:rPr>
        <w:t>ing</w:t>
      </w:r>
      <w:r w:rsidR="00513650" w:rsidRPr="00292D9C">
        <w:rPr>
          <w:lang w:eastAsia="en-GB"/>
        </w:rPr>
        <w:t xml:space="preserve"> up initiatives </w:t>
      </w:r>
      <w:r w:rsidR="00A72817" w:rsidRPr="00292D9C">
        <w:rPr>
          <w:lang w:eastAsia="en-GB"/>
        </w:rPr>
        <w:t xml:space="preserve">that align with the early years </w:t>
      </w:r>
      <w:r w:rsidR="004D2AB9" w:rsidRPr="00292D9C">
        <w:rPr>
          <w:lang w:eastAsia="en-GB"/>
        </w:rPr>
        <w:t xml:space="preserve">learning </w:t>
      </w:r>
      <w:r w:rsidR="00A72817" w:rsidRPr="00292D9C">
        <w:rPr>
          <w:lang w:eastAsia="en-GB"/>
        </w:rPr>
        <w:t>framework</w:t>
      </w:r>
      <w:r w:rsidR="00513650" w:rsidRPr="00292D9C">
        <w:rPr>
          <w:lang w:eastAsia="en-GB"/>
        </w:rPr>
        <w:t xml:space="preserve"> </w:t>
      </w:r>
      <w:r w:rsidR="004D2AB9" w:rsidRPr="00292D9C">
        <w:rPr>
          <w:lang w:eastAsia="en-GB"/>
        </w:rPr>
        <w:t>that</w:t>
      </w:r>
      <w:r w:rsidR="00513650" w:rsidRPr="00292D9C">
        <w:rPr>
          <w:lang w:eastAsia="en-GB"/>
        </w:rPr>
        <w:t xml:space="preserve"> have proven to be effective.</w:t>
      </w:r>
      <w:r w:rsidR="00A72817" w:rsidRPr="00292D9C">
        <w:rPr>
          <w:lang w:eastAsia="en-GB"/>
        </w:rPr>
        <w:t xml:space="preserve"> </w:t>
      </w:r>
      <w:r w:rsidR="00D71178" w:rsidRPr="00292D9C">
        <w:rPr>
          <w:lang w:eastAsia="en-GB"/>
        </w:rPr>
        <w:t xml:space="preserve">There are also opportunities to expand early years programs into the early primary years, which is </w:t>
      </w:r>
      <w:r w:rsidR="00E452BF">
        <w:rPr>
          <w:lang w:eastAsia="en-GB"/>
        </w:rPr>
        <w:t xml:space="preserve">only targeted by one initiative at present (Primary Connections). </w:t>
      </w:r>
      <w:r w:rsidR="00B77078" w:rsidRPr="00292D9C">
        <w:rPr>
          <w:lang w:eastAsia="en-GB"/>
        </w:rPr>
        <w:t>This could serve to better connect approaches to STEM education across the Australian Curriculum F-2.</w:t>
      </w:r>
    </w:p>
    <w:p w14:paraId="55E10BD9" w14:textId="77777777" w:rsidR="00A72817" w:rsidRPr="00292D9C" w:rsidRDefault="004B31AB"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789312" behindDoc="0" locked="0" layoutInCell="1" allowOverlap="1" wp14:anchorId="7F9B3765" wp14:editId="00A909F8">
                <wp:simplePos x="0" y="0"/>
                <wp:positionH relativeFrom="column">
                  <wp:posOffset>4417695</wp:posOffset>
                </wp:positionH>
                <wp:positionV relativeFrom="paragraph">
                  <wp:posOffset>1128909</wp:posOffset>
                </wp:positionV>
                <wp:extent cx="1795780" cy="1094740"/>
                <wp:effectExtent l="0" t="0" r="0" b="99060"/>
                <wp:wrapSquare wrapText="bothSides"/>
                <wp:docPr id="70" name="Rounded Rectangular Callout 70"/>
                <wp:cNvGraphicFramePr/>
                <a:graphic xmlns:a="http://schemas.openxmlformats.org/drawingml/2006/main">
                  <a:graphicData uri="http://schemas.microsoft.com/office/word/2010/wordprocessingShape">
                    <wps:wsp>
                      <wps:cNvSpPr/>
                      <wps:spPr>
                        <a:xfrm>
                          <a:off x="0" y="0"/>
                          <a:ext cx="1795780" cy="1094740"/>
                        </a:xfrm>
                        <a:prstGeom prst="wedgeRoundRectCallout">
                          <a:avLst>
                            <a:gd name="adj1" fmla="val -7844"/>
                            <a:gd name="adj2" fmla="val 58697"/>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451E29" w14:textId="77777777" w:rsidR="007E2D07" w:rsidRDefault="007E2D07" w:rsidP="005B55F0">
                            <w:pPr>
                              <w:spacing w:line="240" w:lineRule="auto"/>
                              <w:jc w:val="center"/>
                            </w:pPr>
                            <w:r>
                              <w:t>“I think the biggest need in STEM is integration. The silos in high school that drive the F-10 curriculum add an unnecessary layer of complexity for teachers trying to plan.” – Stakeholder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B3765" id="Rounded Rectangular Callout 70" o:spid="_x0000_s1058" type="#_x0000_t62" style="position:absolute;margin-left:347.85pt;margin-top:88.9pt;width:141.4pt;height:86.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" adj="9106,23479" fillcolor="#f4c6cd [660]" stroked="f" strokeweight="2pt">
                <v:textbox inset="0,0,0,0">
                  <w:txbxContent>
                    <w:p w14:paraId="30451E29" w14:textId="77777777" w:rsidR="007E2D07" w:rsidRDefault="007E2D07" w:rsidP="005B55F0">
                      <w:pPr>
                        <w:spacing w:line="240" w:lineRule="auto"/>
                        <w:jc w:val="center"/>
                      </w:pPr>
                      <w:r>
                        <w:t>“I think the biggest need in STEM is integration. The silos in high school that drive the F-10 curriculum add an unnecessary layer of complexity for teachers trying to plan.” – Stakeholder</w:t>
                      </w:r>
                    </w:p>
                  </w:txbxContent>
                </v:textbox>
                <w10:wrap type="square"/>
              </v:shape>
            </w:pict>
          </mc:Fallback>
        </mc:AlternateContent>
      </w:r>
      <w:r w:rsidR="00D71178" w:rsidRPr="00292D9C">
        <w:rPr>
          <w:lang w:eastAsia="en-GB"/>
        </w:rPr>
        <w:t>A compelling reason to</w:t>
      </w:r>
      <w:r w:rsidR="00513650" w:rsidRPr="00292D9C">
        <w:rPr>
          <w:lang w:eastAsia="en-GB"/>
        </w:rPr>
        <w:t xml:space="preserve"> invest in this sector is because it is decentralised and is not run by state/territory education departments. This creates some challenges regarding reaching these </w:t>
      </w:r>
      <w:r w:rsidR="00FD0863" w:rsidRPr="00292D9C">
        <w:rPr>
          <w:lang w:eastAsia="en-GB"/>
        </w:rPr>
        <w:t xml:space="preserve">early childhood </w:t>
      </w:r>
      <w:r w:rsidR="00EA39BC" w:rsidRPr="00292D9C">
        <w:rPr>
          <w:lang w:eastAsia="en-GB"/>
        </w:rPr>
        <w:t>centres but</w:t>
      </w:r>
      <w:r w:rsidR="00513650" w:rsidRPr="00292D9C">
        <w:rPr>
          <w:lang w:eastAsia="en-GB"/>
        </w:rPr>
        <w:t xml:space="preserve"> would mean that the initiatives</w:t>
      </w:r>
      <w:r w:rsidR="00FD0863" w:rsidRPr="00292D9C">
        <w:rPr>
          <w:lang w:eastAsia="en-GB"/>
        </w:rPr>
        <w:t xml:space="preserve"> are </w:t>
      </w:r>
      <w:r w:rsidR="00513650" w:rsidRPr="00292D9C">
        <w:rPr>
          <w:lang w:eastAsia="en-GB"/>
        </w:rPr>
        <w:t xml:space="preserve">less likely to be mediated or </w:t>
      </w:r>
      <w:r w:rsidR="00EA39BC" w:rsidRPr="00292D9C">
        <w:rPr>
          <w:lang w:eastAsia="en-GB"/>
        </w:rPr>
        <w:t>overlap with</w:t>
      </w:r>
      <w:r w:rsidR="00513650" w:rsidRPr="00292D9C">
        <w:rPr>
          <w:lang w:eastAsia="en-GB"/>
        </w:rPr>
        <w:t xml:space="preserve"> state and territory priorities.</w:t>
      </w:r>
      <w:r w:rsidR="00EA39BC" w:rsidRPr="00292D9C">
        <w:rPr>
          <w:lang w:eastAsia="en-GB"/>
        </w:rPr>
        <w:t xml:space="preserve"> </w:t>
      </w:r>
      <w:r w:rsidR="00513650" w:rsidRPr="00292D9C">
        <w:rPr>
          <w:lang w:eastAsia="en-GB"/>
        </w:rPr>
        <w:t>Taking advantage of the opportunities in the early years could help to create a more coherent, coordinated and effective STEM education landscape than exist</w:t>
      </w:r>
      <w:r w:rsidR="009F73D6" w:rsidRPr="00292D9C">
        <w:rPr>
          <w:lang w:eastAsia="en-GB"/>
        </w:rPr>
        <w:t>s</w:t>
      </w:r>
      <w:r w:rsidR="00513650" w:rsidRPr="00292D9C">
        <w:rPr>
          <w:lang w:eastAsia="en-GB"/>
        </w:rPr>
        <w:t xml:space="preserve"> in the school years. It would also s</w:t>
      </w:r>
      <w:r w:rsidR="00294879" w:rsidRPr="00292D9C">
        <w:rPr>
          <w:lang w:eastAsia="en-GB"/>
        </w:rPr>
        <w:t>upport</w:t>
      </w:r>
      <w:r w:rsidR="00EB6B07" w:rsidRPr="00292D9C">
        <w:rPr>
          <w:lang w:eastAsia="en-GB"/>
        </w:rPr>
        <w:t xml:space="preserve"> other </w:t>
      </w:r>
      <w:r w:rsidR="00A72817" w:rsidRPr="00292D9C">
        <w:rPr>
          <w:lang w:eastAsia="en-GB"/>
        </w:rPr>
        <w:t xml:space="preserve">national and state/territory </w:t>
      </w:r>
      <w:r w:rsidR="00EB6B07" w:rsidRPr="00292D9C">
        <w:rPr>
          <w:lang w:eastAsia="en-GB"/>
        </w:rPr>
        <w:t xml:space="preserve">policy </w:t>
      </w:r>
      <w:r w:rsidR="00294879" w:rsidRPr="00292D9C">
        <w:rPr>
          <w:lang w:eastAsia="en-GB"/>
        </w:rPr>
        <w:t>and funding initiatives</w:t>
      </w:r>
      <w:r w:rsidR="00EB6B07" w:rsidRPr="00292D9C">
        <w:rPr>
          <w:lang w:eastAsia="en-GB"/>
        </w:rPr>
        <w:t xml:space="preserve"> focused </w:t>
      </w:r>
      <w:r w:rsidR="00513650" w:rsidRPr="00292D9C">
        <w:rPr>
          <w:lang w:eastAsia="en-GB"/>
        </w:rPr>
        <w:t>on early childhood</w:t>
      </w:r>
      <w:r w:rsidR="00A72817" w:rsidRPr="00292D9C">
        <w:rPr>
          <w:lang w:eastAsia="en-GB"/>
        </w:rPr>
        <w:t>.</w:t>
      </w:r>
      <w:r w:rsidR="00294879" w:rsidRPr="00292D9C">
        <w:rPr>
          <w:rStyle w:val="FootnoteReference"/>
          <w:lang w:eastAsia="en-GB"/>
        </w:rPr>
        <w:footnoteReference w:id="54"/>
      </w:r>
      <w:r w:rsidR="00A72817" w:rsidRPr="00292D9C">
        <w:rPr>
          <w:lang w:eastAsia="en-GB"/>
        </w:rPr>
        <w:t xml:space="preserve"> </w:t>
      </w:r>
    </w:p>
    <w:p w14:paraId="35905BA6" w14:textId="77777777" w:rsidR="00A562CD" w:rsidRPr="00292D9C" w:rsidRDefault="004B31AB" w:rsidP="00A616D5">
      <w:pPr>
        <w:pStyle w:val="Heading3Normal"/>
        <w:spacing w:before="0" w:after="120"/>
        <w:rPr>
          <w:rFonts w:asciiTheme="minorHAnsi" w:hAnsiTheme="minorHAnsi"/>
          <w:lang w:eastAsia="en-GB"/>
        </w:rPr>
      </w:pPr>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791360" behindDoc="0" locked="0" layoutInCell="1" allowOverlap="1" wp14:anchorId="6FF00E56" wp14:editId="6762EFA1">
                <wp:simplePos x="0" y="0"/>
                <wp:positionH relativeFrom="column">
                  <wp:posOffset>4411345</wp:posOffset>
                </wp:positionH>
                <wp:positionV relativeFrom="paragraph">
                  <wp:posOffset>397348</wp:posOffset>
                </wp:positionV>
                <wp:extent cx="1816735" cy="965835"/>
                <wp:effectExtent l="0" t="0" r="0" b="139065"/>
                <wp:wrapSquare wrapText="bothSides"/>
                <wp:docPr id="71" name="Rounded Rectangular Callout 71"/>
                <wp:cNvGraphicFramePr/>
                <a:graphic xmlns:a="http://schemas.openxmlformats.org/drawingml/2006/main">
                  <a:graphicData uri="http://schemas.microsoft.com/office/word/2010/wordprocessingShape">
                    <wps:wsp>
                      <wps:cNvSpPr/>
                      <wps:spPr>
                        <a:xfrm>
                          <a:off x="0" y="0"/>
                          <a:ext cx="1816735" cy="965835"/>
                        </a:xfrm>
                        <a:prstGeom prst="wedgeRoundRectCallout">
                          <a:avLst>
                            <a:gd name="adj1" fmla="val -9974"/>
                            <a:gd name="adj2" fmla="val 64182"/>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67FD6D" w14:textId="77777777" w:rsidR="007E2D07" w:rsidRDefault="007E2D07" w:rsidP="0087538D">
                            <w:pPr>
                              <w:spacing w:line="240" w:lineRule="auto"/>
                              <w:jc w:val="center"/>
                            </w:pPr>
                            <w:r>
                              <w:t>“The curriculum needs to catch up and become more interdisciplinary for it to keep pace with what kids are wanting to engage with” - Parent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0E56" id="Rounded Rectangular Callout 71" o:spid="_x0000_s1059" type="#_x0000_t62" style="position:absolute;margin-left:347.35pt;margin-top:31.3pt;width:143.05pt;height:76.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" adj="8646,24663" fillcolor="#f4c6cd [660]" stroked="f" strokeweight="2pt">
                <v:textbox inset="0,0,0,0">
                  <w:txbxContent>
                    <w:p w14:paraId="0E67FD6D" w14:textId="77777777" w:rsidR="007E2D07" w:rsidRDefault="007E2D07" w:rsidP="0087538D">
                      <w:pPr>
                        <w:spacing w:line="240" w:lineRule="auto"/>
                        <w:jc w:val="center"/>
                      </w:pPr>
                      <w:r>
                        <w:t>“The curriculum needs to catch up and become more interdisciplinary for it to keep pace with what kids are wanting to engage with” - Parent</w:t>
                      </w:r>
                    </w:p>
                  </w:txbxContent>
                </v:textbox>
                <w10:wrap type="square"/>
              </v:shape>
            </w:pict>
          </mc:Fallback>
        </mc:AlternateContent>
      </w:r>
      <w:r w:rsidR="00701BD8" w:rsidRPr="00292D9C">
        <w:rPr>
          <w:rFonts w:asciiTheme="minorHAnsi" w:hAnsiTheme="minorHAnsi"/>
          <w:lang w:eastAsia="en-GB"/>
        </w:rPr>
        <w:t>T</w:t>
      </w:r>
      <w:r w:rsidR="00606031" w:rsidRPr="00292D9C">
        <w:rPr>
          <w:rFonts w:asciiTheme="minorHAnsi" w:hAnsiTheme="minorHAnsi"/>
          <w:lang w:eastAsia="en-GB"/>
        </w:rPr>
        <w:t xml:space="preserve">he divide </w:t>
      </w:r>
      <w:r w:rsidR="001F0B81" w:rsidRPr="00292D9C">
        <w:rPr>
          <w:rFonts w:asciiTheme="minorHAnsi" w:hAnsiTheme="minorHAnsi"/>
          <w:lang w:eastAsia="en-GB"/>
        </w:rPr>
        <w:t>between early childhood,</w:t>
      </w:r>
      <w:r w:rsidR="00A562CD" w:rsidRPr="00292D9C">
        <w:rPr>
          <w:rFonts w:asciiTheme="minorHAnsi" w:hAnsiTheme="minorHAnsi"/>
          <w:lang w:eastAsia="en-GB"/>
        </w:rPr>
        <w:t xml:space="preserve"> primary and secondary shouldn’t necessar</w:t>
      </w:r>
      <w:r w:rsidR="009F73D6" w:rsidRPr="00292D9C">
        <w:rPr>
          <w:rFonts w:asciiTheme="minorHAnsi" w:hAnsiTheme="minorHAnsi"/>
          <w:lang w:eastAsia="en-GB"/>
        </w:rPr>
        <w:t>il</w:t>
      </w:r>
      <w:r w:rsidR="00A562CD" w:rsidRPr="00292D9C">
        <w:rPr>
          <w:rFonts w:asciiTheme="minorHAnsi" w:hAnsiTheme="minorHAnsi"/>
          <w:lang w:eastAsia="en-GB"/>
        </w:rPr>
        <w:t xml:space="preserve">y define </w:t>
      </w:r>
      <w:r w:rsidR="001F0B81" w:rsidRPr="00292D9C">
        <w:rPr>
          <w:rFonts w:asciiTheme="minorHAnsi" w:hAnsiTheme="minorHAnsi"/>
          <w:lang w:eastAsia="en-GB"/>
        </w:rPr>
        <w:t>the borders of a target cohort</w:t>
      </w:r>
      <w:r w:rsidR="009B01F0" w:rsidRPr="00292D9C">
        <w:rPr>
          <w:rFonts w:asciiTheme="minorHAnsi" w:hAnsiTheme="minorHAnsi"/>
          <w:lang w:eastAsia="en-GB"/>
        </w:rPr>
        <w:t>…</w:t>
      </w:r>
    </w:p>
    <w:p w14:paraId="7E18C4A5" w14:textId="66CFB9B9" w:rsidR="006E00BA" w:rsidRPr="00292D9C" w:rsidRDefault="00D83F50" w:rsidP="00A616D5">
      <w:pPr>
        <w:rPr>
          <w:lang w:eastAsia="en-GB"/>
        </w:rPr>
      </w:pPr>
      <w:r w:rsidRPr="00292D9C">
        <w:rPr>
          <w:lang w:eastAsia="en-GB"/>
        </w:rPr>
        <w:t>Our analysis of the education of NISA</w:t>
      </w:r>
      <w:r w:rsidR="004E291B" w:rsidRPr="00292D9C">
        <w:rPr>
          <w:lang w:eastAsia="en-GB"/>
        </w:rPr>
        <w:t xml:space="preserve"> and other STEM</w:t>
      </w:r>
      <w:r w:rsidRPr="00292D9C">
        <w:rPr>
          <w:lang w:eastAsia="en-GB"/>
        </w:rPr>
        <w:t xml:space="preserve"> initiatives reveal </w:t>
      </w:r>
      <w:r w:rsidR="004E291B" w:rsidRPr="00292D9C">
        <w:rPr>
          <w:lang w:eastAsia="en-GB"/>
        </w:rPr>
        <w:t xml:space="preserve">that most initiatives target their </w:t>
      </w:r>
      <w:r w:rsidRPr="00292D9C">
        <w:rPr>
          <w:lang w:eastAsia="en-GB"/>
        </w:rPr>
        <w:t xml:space="preserve">professional learning and resources </w:t>
      </w:r>
      <w:r w:rsidR="004E291B" w:rsidRPr="00292D9C">
        <w:rPr>
          <w:lang w:eastAsia="en-GB"/>
        </w:rPr>
        <w:t>at</w:t>
      </w:r>
      <w:r w:rsidRPr="00292D9C">
        <w:rPr>
          <w:lang w:eastAsia="en-GB"/>
        </w:rPr>
        <w:t xml:space="preserve"> primary and secondary school</w:t>
      </w:r>
      <w:r w:rsidR="00EA166F">
        <w:rPr>
          <w:lang w:eastAsia="en-GB"/>
        </w:rPr>
        <w:t xml:space="preserve">, through tailored professional learning and resources that reflect the distinct challenges primary and secondary schools face. </w:t>
      </w:r>
    </w:p>
    <w:p w14:paraId="173CE9E0" w14:textId="77777777" w:rsidR="009B01F0" w:rsidRPr="00292D9C" w:rsidRDefault="009B01F0" w:rsidP="00A616D5">
      <w:pPr>
        <w:rPr>
          <w:b/>
          <w:bCs/>
          <w:color w:val="8C8686" w:themeColor="accent4"/>
          <w:lang w:eastAsia="en-GB"/>
        </w:rPr>
      </w:pPr>
      <w:r w:rsidRPr="00292D9C">
        <w:rPr>
          <w:b/>
          <w:bCs/>
          <w:color w:val="8C8686" w:themeColor="accent4"/>
          <w:lang w:eastAsia="en-GB"/>
        </w:rPr>
        <w:t>…</w:t>
      </w:r>
      <w:r w:rsidR="004746A0" w:rsidRPr="00292D9C">
        <w:rPr>
          <w:b/>
          <w:bCs/>
          <w:color w:val="8C8686" w:themeColor="accent4"/>
          <w:lang w:eastAsia="en-GB"/>
        </w:rPr>
        <w:t xml:space="preserve">yet opportunities do exist to focus on particular cohorts, such as </w:t>
      </w:r>
      <w:r w:rsidRPr="00292D9C">
        <w:rPr>
          <w:b/>
          <w:bCs/>
          <w:color w:val="8C8686" w:themeColor="accent4"/>
          <w:lang w:eastAsia="en-GB"/>
        </w:rPr>
        <w:t>senior secondary</w:t>
      </w:r>
    </w:p>
    <w:p w14:paraId="16E4FAA3" w14:textId="77777777" w:rsidR="00AB0B51" w:rsidRPr="00292D9C" w:rsidRDefault="004B31AB" w:rsidP="00A616D5">
      <w:pPr>
        <w:rPr>
          <w:lang w:eastAsia="en-GB"/>
        </w:rPr>
      </w:pPr>
      <w:r w:rsidRPr="00292D9C">
        <w:rPr>
          <w:rFonts w:eastAsia="Times New Roman" w:cs="Times New Roman"/>
          <w:noProof/>
          <w:color w:val="auto"/>
          <w:szCs w:val="22"/>
          <w:highlight w:val="yellow"/>
          <w:lang w:eastAsia="en-AU"/>
        </w:rPr>
        <mc:AlternateContent>
          <mc:Choice Requires="wps">
            <w:drawing>
              <wp:anchor distT="0" distB="0" distL="114300" distR="114300" simplePos="0" relativeHeight="251799552" behindDoc="0" locked="0" layoutInCell="1" allowOverlap="1" wp14:anchorId="598FD891" wp14:editId="7E740DC9">
                <wp:simplePos x="0" y="0"/>
                <wp:positionH relativeFrom="column">
                  <wp:posOffset>4316037</wp:posOffset>
                </wp:positionH>
                <wp:positionV relativeFrom="paragraph">
                  <wp:posOffset>1259320</wp:posOffset>
                </wp:positionV>
                <wp:extent cx="1859280" cy="1135380"/>
                <wp:effectExtent l="0" t="0" r="0" b="109220"/>
                <wp:wrapSquare wrapText="bothSides"/>
                <wp:docPr id="85" name="Rounded Rectangular Callout 85"/>
                <wp:cNvGraphicFramePr/>
                <a:graphic xmlns:a="http://schemas.openxmlformats.org/drawingml/2006/main">
                  <a:graphicData uri="http://schemas.microsoft.com/office/word/2010/wordprocessingShape">
                    <wps:wsp>
                      <wps:cNvSpPr/>
                      <wps:spPr>
                        <a:xfrm>
                          <a:off x="0" y="0"/>
                          <a:ext cx="1859280" cy="1135380"/>
                        </a:xfrm>
                        <a:prstGeom prst="wedgeRoundRectCallout">
                          <a:avLst>
                            <a:gd name="adj1" fmla="val -11302"/>
                            <a:gd name="adj2" fmla="val 59894"/>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94F25" w14:textId="77777777" w:rsidR="007E2D07" w:rsidRDefault="007E2D07" w:rsidP="005B55F0">
                            <w:pPr>
                              <w:spacing w:line="240" w:lineRule="auto"/>
                              <w:jc w:val="center"/>
                            </w:pPr>
                            <w:r>
                              <w:t>“Anything that needs more cross-curricular input is so hard to achieve. We already have so many meetings so trying to get together with other faculties is challenging”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D891" id="Rounded Rectangular Callout 85" o:spid="_x0000_s1060" type="#_x0000_t62" style="position:absolute;margin-left:339.85pt;margin-top:99.15pt;width:146.4pt;height:89.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" adj="8359,23737" fillcolor="#f4c6cd [660]" stroked="f" strokeweight="2pt">
                <v:textbox inset="0,0,0,0">
                  <w:txbxContent>
                    <w:p w14:paraId="1CD94F25" w14:textId="77777777" w:rsidR="007E2D07" w:rsidRDefault="007E2D07" w:rsidP="005B55F0">
                      <w:pPr>
                        <w:spacing w:line="240" w:lineRule="auto"/>
                        <w:jc w:val="center"/>
                      </w:pPr>
                      <w:r>
                        <w:t>“Anything that needs more cross-curricular input is so hard to achieve. We already have so many meetings so trying to get together with other faculties is challenging” – Teacher</w:t>
                      </w:r>
                    </w:p>
                  </w:txbxContent>
                </v:textbox>
                <w10:wrap type="square"/>
              </v:shape>
            </w:pict>
          </mc:Fallback>
        </mc:AlternateContent>
      </w:r>
      <w:r w:rsidRPr="00292D9C">
        <w:rPr>
          <w:rFonts w:eastAsia="Times New Roman" w:cs="Times New Roman"/>
          <w:noProof/>
          <w:color w:val="auto"/>
          <w:szCs w:val="22"/>
          <w:lang w:eastAsia="en-AU"/>
        </w:rPr>
        <mc:AlternateContent>
          <mc:Choice Requires="wps">
            <w:drawing>
              <wp:anchor distT="0" distB="0" distL="114300" distR="114300" simplePos="0" relativeHeight="251787264" behindDoc="0" locked="0" layoutInCell="1" allowOverlap="1" wp14:anchorId="4541D36D" wp14:editId="0958DCBC">
                <wp:simplePos x="0" y="0"/>
                <wp:positionH relativeFrom="column">
                  <wp:posOffset>4316597</wp:posOffset>
                </wp:positionH>
                <wp:positionV relativeFrom="paragraph">
                  <wp:posOffset>579</wp:posOffset>
                </wp:positionV>
                <wp:extent cx="1859280" cy="1087120"/>
                <wp:effectExtent l="0" t="0" r="0" b="157480"/>
                <wp:wrapSquare wrapText="bothSides"/>
                <wp:docPr id="74" name="Rounded Rectangular Callout 74"/>
                <wp:cNvGraphicFramePr/>
                <a:graphic xmlns:a="http://schemas.openxmlformats.org/drawingml/2006/main">
                  <a:graphicData uri="http://schemas.microsoft.com/office/word/2010/wordprocessingShape">
                    <wps:wsp>
                      <wps:cNvSpPr/>
                      <wps:spPr>
                        <a:xfrm>
                          <a:off x="0" y="0"/>
                          <a:ext cx="1859280" cy="1087120"/>
                        </a:xfrm>
                        <a:prstGeom prst="wedgeRoundRectCallout">
                          <a:avLst>
                            <a:gd name="adj1" fmla="val -10714"/>
                            <a:gd name="adj2" fmla="val 63209"/>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3F67D" w14:textId="77777777" w:rsidR="007E2D07" w:rsidRDefault="007E2D07" w:rsidP="0087538D">
                            <w:pPr>
                              <w:spacing w:line="240" w:lineRule="auto"/>
                              <w:jc w:val="center"/>
                            </w:pPr>
                            <w:r>
                              <w:t>“Many students, particularly females, are turned off STEM due to having to sit high-stakes examinations. This is the most significant barrier to getting more students into STEM”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1D36D" id="Rounded Rectangular Callout 74" o:spid="_x0000_s1061" type="#_x0000_t62" style="position:absolute;margin-left:339.9pt;margin-top:.05pt;width:146.4pt;height:85.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" adj="8486,24453" fillcolor="#f4c6cd [660]" stroked="f" strokeweight="2pt">
                <v:textbox inset="0,0,0,0">
                  <w:txbxContent>
                    <w:p w14:paraId="2FB3F67D" w14:textId="77777777" w:rsidR="007E2D07" w:rsidRDefault="007E2D07" w:rsidP="0087538D">
                      <w:pPr>
                        <w:spacing w:line="240" w:lineRule="auto"/>
                        <w:jc w:val="center"/>
                      </w:pPr>
                      <w:r>
                        <w:t>“Many students, particularly females, are turned off STEM due to having to sit high-stakes examinations. This is the most significant barrier to getting more students into STEM” – Principal</w:t>
                      </w:r>
                    </w:p>
                  </w:txbxContent>
                </v:textbox>
                <w10:wrap type="square"/>
              </v:shape>
            </w:pict>
          </mc:Fallback>
        </mc:AlternateContent>
      </w:r>
      <w:r w:rsidR="004E291B" w:rsidRPr="00292D9C">
        <w:rPr>
          <w:lang w:eastAsia="en-GB"/>
        </w:rPr>
        <w:t xml:space="preserve">There are opportunities to </w:t>
      </w:r>
      <w:r w:rsidR="00FD0863" w:rsidRPr="00292D9C">
        <w:rPr>
          <w:lang w:eastAsia="en-GB"/>
        </w:rPr>
        <w:t xml:space="preserve">explore investments that </w:t>
      </w:r>
      <w:r w:rsidR="004E291B" w:rsidRPr="00292D9C">
        <w:rPr>
          <w:lang w:eastAsia="en-GB"/>
        </w:rPr>
        <w:t xml:space="preserve">address </w:t>
      </w:r>
      <w:r w:rsidR="004E029D" w:rsidRPr="00292D9C">
        <w:rPr>
          <w:lang w:eastAsia="en-GB"/>
        </w:rPr>
        <w:t xml:space="preserve">the problems </w:t>
      </w:r>
      <w:r w:rsidR="00FD0863" w:rsidRPr="00292D9C">
        <w:rPr>
          <w:lang w:eastAsia="en-GB"/>
        </w:rPr>
        <w:t>facing narrow cohorts</w:t>
      </w:r>
      <w:r w:rsidR="004E291B" w:rsidRPr="00292D9C">
        <w:rPr>
          <w:lang w:eastAsia="en-GB"/>
        </w:rPr>
        <w:t>, such as senior secondary</w:t>
      </w:r>
      <w:r w:rsidR="00FD0863" w:rsidRPr="00292D9C">
        <w:rPr>
          <w:lang w:eastAsia="en-GB"/>
        </w:rPr>
        <w:t xml:space="preserve"> students</w:t>
      </w:r>
      <w:r w:rsidR="006E00BA" w:rsidRPr="00292D9C">
        <w:rPr>
          <w:lang w:eastAsia="en-GB"/>
        </w:rPr>
        <w:t xml:space="preserve">. </w:t>
      </w:r>
      <w:r w:rsidR="00FD0863" w:rsidRPr="00292D9C">
        <w:rPr>
          <w:lang w:eastAsia="en-GB"/>
        </w:rPr>
        <w:t>The tensions between the way that secondary school is structured with high stakes exams and traditional discipline-based subjects and interdisciplinary STEM was a strong theme in focus groups</w:t>
      </w:r>
      <w:r w:rsidR="00B77078" w:rsidRPr="00292D9C">
        <w:rPr>
          <w:lang w:eastAsia="en-GB"/>
        </w:rPr>
        <w:t xml:space="preserve">. </w:t>
      </w:r>
      <w:r w:rsidR="00AC5885" w:rsidRPr="00292D9C">
        <w:rPr>
          <w:lang w:eastAsia="en-GB"/>
        </w:rPr>
        <w:t xml:space="preserve">Suggestions raised by </w:t>
      </w:r>
      <w:r w:rsidR="00FC5C77" w:rsidRPr="00292D9C">
        <w:rPr>
          <w:lang w:eastAsia="en-GB"/>
        </w:rPr>
        <w:t xml:space="preserve">stakeholders </w:t>
      </w:r>
      <w:r w:rsidR="00AC5885" w:rsidRPr="00292D9C">
        <w:rPr>
          <w:lang w:eastAsia="en-GB"/>
        </w:rPr>
        <w:t xml:space="preserve">in consultations </w:t>
      </w:r>
      <w:r w:rsidR="00E37699" w:rsidRPr="00292D9C">
        <w:rPr>
          <w:lang w:eastAsia="en-GB"/>
        </w:rPr>
        <w:t>include looking into alternative assessments regimes</w:t>
      </w:r>
      <w:r w:rsidR="00FC5C77" w:rsidRPr="00292D9C">
        <w:rPr>
          <w:lang w:eastAsia="en-GB"/>
        </w:rPr>
        <w:t>,</w:t>
      </w:r>
      <w:r w:rsidR="00E37699" w:rsidRPr="00292D9C">
        <w:rPr>
          <w:lang w:eastAsia="en-GB"/>
        </w:rPr>
        <w:t xml:space="preserve"> such as </w:t>
      </w:r>
      <w:r w:rsidR="00AB0B51" w:rsidRPr="00292D9C">
        <w:rPr>
          <w:lang w:eastAsia="en-GB"/>
        </w:rPr>
        <w:t>completion of practical activities that are tracked in a log book and verified by an expert</w:t>
      </w:r>
      <w:r w:rsidR="00FC5C77" w:rsidRPr="00292D9C">
        <w:rPr>
          <w:lang w:eastAsia="en-GB"/>
        </w:rPr>
        <w:t xml:space="preserve">. Another suggestion related to </w:t>
      </w:r>
      <w:r w:rsidR="00E37699" w:rsidRPr="00292D9C">
        <w:rPr>
          <w:lang w:eastAsia="en-GB"/>
        </w:rPr>
        <w:t>greater communication between teach</w:t>
      </w:r>
      <w:r w:rsidR="00AB0B51" w:rsidRPr="00292D9C">
        <w:rPr>
          <w:lang w:eastAsia="en-GB"/>
        </w:rPr>
        <w:t>ing staff</w:t>
      </w:r>
      <w:r w:rsidR="00E37699" w:rsidRPr="00292D9C">
        <w:rPr>
          <w:lang w:eastAsia="en-GB"/>
        </w:rPr>
        <w:t xml:space="preserve"> from different faculties</w:t>
      </w:r>
      <w:r w:rsidR="00AB0B51" w:rsidRPr="00292D9C">
        <w:rPr>
          <w:lang w:eastAsia="en-GB"/>
        </w:rPr>
        <w:t>,</w:t>
      </w:r>
      <w:r w:rsidR="00FC5C77" w:rsidRPr="00292D9C">
        <w:rPr>
          <w:lang w:eastAsia="en-GB"/>
        </w:rPr>
        <w:t xml:space="preserve"> to foster an interdisciplinary approach, </w:t>
      </w:r>
      <w:r w:rsidR="00E37699" w:rsidRPr="00292D9C">
        <w:rPr>
          <w:lang w:eastAsia="en-GB"/>
        </w:rPr>
        <w:t xml:space="preserve">although </w:t>
      </w:r>
      <w:r w:rsidR="00FC5C77" w:rsidRPr="00292D9C">
        <w:rPr>
          <w:lang w:eastAsia="en-GB"/>
        </w:rPr>
        <w:t>it</w:t>
      </w:r>
      <w:r w:rsidR="00E37699" w:rsidRPr="00292D9C">
        <w:rPr>
          <w:lang w:eastAsia="en-GB"/>
        </w:rPr>
        <w:t xml:space="preserve"> was acknowledged t</w:t>
      </w:r>
      <w:r w:rsidR="00FC5C77" w:rsidRPr="00292D9C">
        <w:rPr>
          <w:lang w:eastAsia="en-GB"/>
        </w:rPr>
        <w:t xml:space="preserve">hat this would </w:t>
      </w:r>
      <w:r w:rsidR="00E37699" w:rsidRPr="00292D9C">
        <w:rPr>
          <w:lang w:eastAsia="en-GB"/>
        </w:rPr>
        <w:t xml:space="preserve">be difficult </w:t>
      </w:r>
      <w:r w:rsidR="00FC5C77" w:rsidRPr="00292D9C">
        <w:rPr>
          <w:lang w:eastAsia="en-GB"/>
        </w:rPr>
        <w:t xml:space="preserve">to achieve </w:t>
      </w:r>
      <w:r w:rsidR="00E37699" w:rsidRPr="00292D9C">
        <w:rPr>
          <w:lang w:eastAsia="en-GB"/>
        </w:rPr>
        <w:t xml:space="preserve">considering </w:t>
      </w:r>
      <w:r w:rsidR="00AB0B51" w:rsidRPr="00292D9C">
        <w:rPr>
          <w:lang w:eastAsia="en-GB"/>
        </w:rPr>
        <w:t xml:space="preserve">current </w:t>
      </w:r>
      <w:r w:rsidR="00E37699" w:rsidRPr="00292D9C">
        <w:rPr>
          <w:lang w:eastAsia="en-GB"/>
        </w:rPr>
        <w:t>school planning arrangements</w:t>
      </w:r>
      <w:r w:rsidR="00FC5C77" w:rsidRPr="00292D9C">
        <w:rPr>
          <w:lang w:eastAsia="en-GB"/>
        </w:rPr>
        <w:t>.</w:t>
      </w:r>
      <w:r w:rsidR="00E95712" w:rsidRPr="00E95712">
        <w:rPr>
          <w:lang w:eastAsia="en-GB"/>
        </w:rPr>
        <w:t xml:space="preserve"> </w:t>
      </w:r>
      <w:r w:rsidR="00E95712" w:rsidRPr="00292D9C">
        <w:rPr>
          <w:lang w:eastAsia="en-GB"/>
        </w:rPr>
        <w:t>The National School Reform Agreement that was signed by all states and territories in late 2018 includes a commitment to review senior secondary pathways into work, further education and training. The review is currently underway. A number of states have already undertaken their own reviews into senior secondary as well.</w:t>
      </w:r>
      <w:r w:rsidR="00E95712" w:rsidRPr="00292D9C">
        <w:rPr>
          <w:rStyle w:val="FootnoteReference"/>
          <w:lang w:eastAsia="en-GB"/>
        </w:rPr>
        <w:footnoteReference w:id="55"/>
      </w:r>
      <w:r w:rsidR="00E95712" w:rsidRPr="00292D9C">
        <w:rPr>
          <w:lang w:eastAsia="en-GB"/>
        </w:rPr>
        <w:t xml:space="preserve"> The collective findings from these reviews could inform the direction for future STEM education programs targeted at the senior secondary cohort, which the Australian Government should explore further.</w:t>
      </w:r>
      <w:r w:rsidR="00E95712" w:rsidRPr="00292D9C">
        <w:rPr>
          <w:rStyle w:val="FootnoteReference"/>
          <w:lang w:eastAsia="en-GB"/>
        </w:rPr>
        <w:footnoteReference w:id="56"/>
      </w:r>
    </w:p>
    <w:p w14:paraId="697004E5" w14:textId="77777777" w:rsidR="00916193" w:rsidRPr="00292D9C" w:rsidRDefault="00916193" w:rsidP="00A616D5">
      <w:pPr>
        <w:pStyle w:val="Heading2Normal"/>
        <w:spacing w:before="0" w:after="120"/>
        <w:rPr>
          <w:rFonts w:asciiTheme="minorHAnsi" w:hAnsiTheme="minorHAnsi"/>
          <w:b/>
          <w:bCs/>
          <w:u w:val="single"/>
          <w:lang w:eastAsia="en-GB"/>
        </w:rPr>
      </w:pPr>
      <w:bookmarkStart w:id="138" w:name="_Toc16707171"/>
      <w:bookmarkStart w:id="139" w:name="_Toc21088265"/>
      <w:bookmarkStart w:id="140" w:name="_Toc23504238"/>
      <w:bookmarkStart w:id="141" w:name="_Toc25162072"/>
      <w:r w:rsidRPr="00292D9C">
        <w:rPr>
          <w:rFonts w:asciiTheme="minorHAnsi" w:hAnsiTheme="minorHAnsi"/>
          <w:b/>
          <w:bCs/>
          <w:u w:val="single"/>
          <w:lang w:eastAsia="en-GB"/>
        </w:rPr>
        <w:t>What</w:t>
      </w:r>
      <w:bookmarkEnd w:id="138"/>
      <w:bookmarkEnd w:id="139"/>
      <w:bookmarkEnd w:id="140"/>
      <w:bookmarkEnd w:id="141"/>
    </w:p>
    <w:p w14:paraId="0978C28D" w14:textId="77777777" w:rsidR="001F0B81" w:rsidRPr="00292D9C" w:rsidRDefault="00B0588C" w:rsidP="00A616D5">
      <w:pPr>
        <w:pStyle w:val="Heading2Normal"/>
        <w:spacing w:before="0" w:after="120"/>
        <w:rPr>
          <w:rFonts w:asciiTheme="minorHAnsi" w:hAnsiTheme="minorHAnsi"/>
          <w:lang w:eastAsia="en-GB"/>
        </w:rPr>
      </w:pPr>
      <w:bookmarkStart w:id="142" w:name="_Toc16707172"/>
      <w:bookmarkStart w:id="143" w:name="_Toc21088266"/>
      <w:bookmarkStart w:id="144" w:name="_Toc23504239"/>
      <w:bookmarkStart w:id="145" w:name="_Toc25162073"/>
      <w:r w:rsidRPr="00292D9C">
        <w:rPr>
          <w:rFonts w:asciiTheme="minorHAnsi" w:hAnsiTheme="minorHAnsi"/>
          <w:lang w:eastAsia="en-GB"/>
        </w:rPr>
        <w:t xml:space="preserve">8.4. </w:t>
      </w:r>
      <w:r w:rsidR="000F5954" w:rsidRPr="00292D9C">
        <w:rPr>
          <w:rFonts w:asciiTheme="minorHAnsi" w:hAnsiTheme="minorHAnsi"/>
          <w:lang w:eastAsia="en-GB"/>
        </w:rPr>
        <w:t>What c</w:t>
      </w:r>
      <w:r w:rsidR="001F0B81" w:rsidRPr="00292D9C">
        <w:rPr>
          <w:rFonts w:asciiTheme="minorHAnsi" w:hAnsiTheme="minorHAnsi"/>
          <w:lang w:eastAsia="en-GB"/>
        </w:rPr>
        <w:t xml:space="preserve">urriculum </w:t>
      </w:r>
      <w:r w:rsidR="00294879" w:rsidRPr="00292D9C">
        <w:rPr>
          <w:rFonts w:asciiTheme="minorHAnsi" w:hAnsiTheme="minorHAnsi"/>
          <w:lang w:eastAsia="en-GB"/>
        </w:rPr>
        <w:t xml:space="preserve">area </w:t>
      </w:r>
      <w:r w:rsidR="000F5954" w:rsidRPr="00292D9C">
        <w:rPr>
          <w:rFonts w:asciiTheme="minorHAnsi" w:hAnsiTheme="minorHAnsi"/>
          <w:lang w:eastAsia="en-GB"/>
        </w:rPr>
        <w:t>should be prioritised?</w:t>
      </w:r>
      <w:bookmarkEnd w:id="142"/>
      <w:bookmarkEnd w:id="143"/>
      <w:bookmarkEnd w:id="144"/>
      <w:bookmarkEnd w:id="145"/>
      <w:r w:rsidR="000F5954" w:rsidRPr="00292D9C">
        <w:rPr>
          <w:rFonts w:asciiTheme="minorHAnsi" w:hAnsiTheme="minorHAnsi"/>
          <w:lang w:eastAsia="en-GB"/>
        </w:rPr>
        <w:t xml:space="preserve"> </w:t>
      </w:r>
    </w:p>
    <w:p w14:paraId="78CC4A46" w14:textId="77777777" w:rsidR="000A7DC9" w:rsidRPr="00292D9C" w:rsidRDefault="001F0B81" w:rsidP="00A616D5">
      <w:pPr>
        <w:pStyle w:val="Heading3Normal"/>
        <w:spacing w:before="0" w:after="120"/>
        <w:rPr>
          <w:rFonts w:asciiTheme="minorHAnsi" w:hAnsiTheme="minorHAnsi"/>
        </w:rPr>
      </w:pPr>
      <w:r w:rsidRPr="00292D9C">
        <w:rPr>
          <w:rFonts w:asciiTheme="minorHAnsi" w:hAnsiTheme="minorHAnsi"/>
          <w:lang w:eastAsia="en-GB"/>
        </w:rPr>
        <w:t xml:space="preserve">There is ongoing and unresolved debate about whether it is </w:t>
      </w:r>
      <w:r w:rsidR="004E029D" w:rsidRPr="00292D9C">
        <w:rPr>
          <w:rFonts w:asciiTheme="minorHAnsi" w:hAnsiTheme="minorHAnsi"/>
          <w:lang w:eastAsia="en-GB"/>
        </w:rPr>
        <w:t xml:space="preserve">better </w:t>
      </w:r>
      <w:r w:rsidRPr="00292D9C">
        <w:rPr>
          <w:rFonts w:asciiTheme="minorHAnsi" w:hAnsiTheme="minorHAnsi"/>
          <w:lang w:eastAsia="en-GB"/>
        </w:rPr>
        <w:t>to think about STEM as one concept or a set of independent disciplines</w:t>
      </w:r>
    </w:p>
    <w:p w14:paraId="504A6254" w14:textId="77777777" w:rsidR="00585F36" w:rsidRPr="00292D9C" w:rsidRDefault="008F6172" w:rsidP="00A616D5">
      <w:pPr>
        <w:pStyle w:val="BodyText"/>
      </w:pPr>
      <w:r w:rsidRPr="00292D9C">
        <w:t>The research on whether STEM should be taught through specific subject areas or in an interdisciplinary (integrated) manner is mixed and arguments for both have been put forward.</w:t>
      </w:r>
      <w:r w:rsidR="004B31AB" w:rsidRPr="00292D9C">
        <w:rPr>
          <w:rFonts w:eastAsia="Times New Roman" w:cs="Times New Roman"/>
          <w:noProof/>
          <w:color w:val="auto"/>
          <w:szCs w:val="22"/>
          <w:lang w:eastAsia="en-AU"/>
        </w:rPr>
        <mc:AlternateContent>
          <mc:Choice Requires="wps">
            <w:drawing>
              <wp:anchor distT="0" distB="0" distL="114300" distR="114300" simplePos="0" relativeHeight="251695104" behindDoc="0" locked="0" layoutInCell="1" allowOverlap="1" wp14:anchorId="3118CD7F" wp14:editId="1F9059A1">
                <wp:simplePos x="0" y="0"/>
                <wp:positionH relativeFrom="column">
                  <wp:posOffset>4290046</wp:posOffset>
                </wp:positionH>
                <wp:positionV relativeFrom="paragraph">
                  <wp:posOffset>2147940</wp:posOffset>
                </wp:positionV>
                <wp:extent cx="1849755" cy="1088390"/>
                <wp:effectExtent l="0" t="0" r="4445" b="168910"/>
                <wp:wrapSquare wrapText="bothSides"/>
                <wp:docPr id="24" name="Rounded Rectangular Callout 24"/>
                <wp:cNvGraphicFramePr/>
                <a:graphic xmlns:a="http://schemas.openxmlformats.org/drawingml/2006/main">
                  <a:graphicData uri="http://schemas.microsoft.com/office/word/2010/wordprocessingShape">
                    <wps:wsp>
                      <wps:cNvSpPr/>
                      <wps:spPr>
                        <a:xfrm>
                          <a:off x="0" y="0"/>
                          <a:ext cx="1849755" cy="1088390"/>
                        </a:xfrm>
                        <a:prstGeom prst="wedgeRoundRectCallout">
                          <a:avLst>
                            <a:gd name="adj1" fmla="val -11263"/>
                            <a:gd name="adj2" fmla="val 65084"/>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FFEA9" w14:textId="77777777" w:rsidR="007E2D07" w:rsidRPr="0087538D" w:rsidRDefault="007E2D07" w:rsidP="005B55F0">
                            <w:pPr>
                              <w:spacing w:after="0" w:line="240" w:lineRule="auto"/>
                              <w:jc w:val="center"/>
                              <w:rPr>
                                <w:rFonts w:ascii="Arial Narrow" w:hAnsi="Arial Narrow"/>
                                <w:szCs w:val="22"/>
                              </w:rPr>
                            </w:pPr>
                            <w:r w:rsidRPr="0087538D">
                              <w:rPr>
                                <w:rFonts w:ascii="Arial Narrow" w:hAnsi="Arial Narrow"/>
                                <w:szCs w:val="22"/>
                              </w:rPr>
                              <w:t>“Industry engagement offers great opportunities for students to see end goals and real problems whilst industry get to have an input on the skills they value in future employees</w:t>
                            </w:r>
                            <w:r>
                              <w:rPr>
                                <w:rFonts w:ascii="Arial Narrow" w:hAnsi="Arial Narrow"/>
                                <w:szCs w:val="22"/>
                              </w:rPr>
                              <w:t>.</w:t>
                            </w:r>
                            <w:r w:rsidRPr="0087538D">
                              <w:rPr>
                                <w:rFonts w:ascii="Arial Narrow" w:hAnsi="Arial Narrow"/>
                                <w:szCs w:val="22"/>
                              </w:rPr>
                              <w:t>”</w:t>
                            </w:r>
                            <w:r>
                              <w:rPr>
                                <w:rFonts w:ascii="Arial Narrow" w:hAnsi="Arial Narrow"/>
                                <w:szCs w:val="22"/>
                              </w:rPr>
                              <w:t xml:space="preserve"> – Teacher</w:t>
                            </w:r>
                          </w:p>
                          <w:p w14:paraId="3AE9A297" w14:textId="77777777" w:rsidR="007E2D07" w:rsidRDefault="007E2D07" w:rsidP="0087538D">
                            <w:pPr>
                              <w:spacing w:line="240" w:lineRule="auto"/>
                              <w:ind w:hanging="426"/>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8CD7F" id="Rounded Rectangular Callout 24" o:spid="_x0000_s1062" type="#_x0000_t62" style="position:absolute;margin-left:337.8pt;margin-top:169.15pt;width:145.65pt;height:8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" adj="8367,24858" fillcolor="#f4c6cd [660]" stroked="f" strokeweight="2pt">
                <v:textbox inset="0,0,0,0">
                  <w:txbxContent>
                    <w:p w14:paraId="7F4FFEA9" w14:textId="77777777" w:rsidR="007E2D07" w:rsidRPr="0087538D" w:rsidRDefault="007E2D07" w:rsidP="005B55F0">
                      <w:pPr>
                        <w:spacing w:after="0" w:line="240" w:lineRule="auto"/>
                        <w:jc w:val="center"/>
                        <w:rPr>
                          <w:rFonts w:ascii="Arial Narrow" w:hAnsi="Arial Narrow"/>
                          <w:szCs w:val="22"/>
                        </w:rPr>
                      </w:pPr>
                      <w:r w:rsidRPr="0087538D">
                        <w:rPr>
                          <w:rFonts w:ascii="Arial Narrow" w:hAnsi="Arial Narrow"/>
                          <w:szCs w:val="22"/>
                        </w:rPr>
                        <w:t>“Industry engagement offers great opportunities for students to see end goals and real problems whilst industry get to have an input on the skills they value in future employees</w:t>
                      </w:r>
                      <w:r>
                        <w:rPr>
                          <w:rFonts w:ascii="Arial Narrow" w:hAnsi="Arial Narrow"/>
                          <w:szCs w:val="22"/>
                        </w:rPr>
                        <w:t>.</w:t>
                      </w:r>
                      <w:r w:rsidRPr="0087538D">
                        <w:rPr>
                          <w:rFonts w:ascii="Arial Narrow" w:hAnsi="Arial Narrow"/>
                          <w:szCs w:val="22"/>
                        </w:rPr>
                        <w:t>”</w:t>
                      </w:r>
                      <w:r>
                        <w:rPr>
                          <w:rFonts w:ascii="Arial Narrow" w:hAnsi="Arial Narrow"/>
                          <w:szCs w:val="22"/>
                        </w:rPr>
                        <w:t xml:space="preserve"> – Teacher</w:t>
                      </w:r>
                    </w:p>
                    <w:p w14:paraId="3AE9A297" w14:textId="77777777" w:rsidR="007E2D07" w:rsidRDefault="007E2D07" w:rsidP="0087538D">
                      <w:pPr>
                        <w:spacing w:line="240" w:lineRule="auto"/>
                        <w:ind w:hanging="426"/>
                        <w:jc w:val="center"/>
                      </w:pPr>
                    </w:p>
                  </w:txbxContent>
                </v:textbox>
                <w10:wrap type="square"/>
              </v:shape>
            </w:pict>
          </mc:Fallback>
        </mc:AlternateContent>
      </w:r>
      <w:r w:rsidR="004B31AB" w:rsidRPr="00292D9C">
        <w:rPr>
          <w:rFonts w:eastAsia="Times New Roman" w:cs="Times New Roman"/>
          <w:noProof/>
          <w:color w:val="auto"/>
          <w:szCs w:val="22"/>
          <w:highlight w:val="yellow"/>
          <w:lang w:eastAsia="en-AU"/>
        </w:rPr>
        <mc:AlternateContent>
          <mc:Choice Requires="wps">
            <w:drawing>
              <wp:anchor distT="0" distB="0" distL="114300" distR="114300" simplePos="0" relativeHeight="251797504" behindDoc="0" locked="0" layoutInCell="1" allowOverlap="1" wp14:anchorId="7FCB3CD1" wp14:editId="32E91B22">
                <wp:simplePos x="0" y="0"/>
                <wp:positionH relativeFrom="column">
                  <wp:posOffset>4293870</wp:posOffset>
                </wp:positionH>
                <wp:positionV relativeFrom="paragraph">
                  <wp:posOffset>1011555</wp:posOffset>
                </wp:positionV>
                <wp:extent cx="1788795" cy="923925"/>
                <wp:effectExtent l="0" t="0" r="1905" b="193675"/>
                <wp:wrapSquare wrapText="bothSides"/>
                <wp:docPr id="84" name="Rounded Rectangular Callout 84"/>
                <wp:cNvGraphicFramePr/>
                <a:graphic xmlns:a="http://schemas.openxmlformats.org/drawingml/2006/main">
                  <a:graphicData uri="http://schemas.microsoft.com/office/word/2010/wordprocessingShape">
                    <wps:wsp>
                      <wps:cNvSpPr/>
                      <wps:spPr>
                        <a:xfrm>
                          <a:off x="0" y="0"/>
                          <a:ext cx="1788795" cy="923925"/>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CF9DC1" w14:textId="77777777" w:rsidR="007E2D07" w:rsidRDefault="007E2D07" w:rsidP="0087538D">
                            <w:pPr>
                              <w:spacing w:line="240" w:lineRule="auto"/>
                              <w:jc w:val="center"/>
                            </w:pPr>
                            <w:r>
                              <w:t>“There needs to be a clearer definition of what STEM is and what it should look like when delivered in schools” - Stakeholder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3CD1" id="Rounded Rectangular Callout 84" o:spid="_x0000_s1063" type="#_x0000_t62" style="position:absolute;margin-left:338.1pt;margin-top:79.65pt;width:140.85pt;height:7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" adj="8486,25866" fillcolor="#f4c6cd [660]" stroked="f" strokeweight="2pt">
                <v:textbox inset="0,0,0,0">
                  <w:txbxContent>
                    <w:p w14:paraId="54CF9DC1" w14:textId="77777777" w:rsidR="007E2D07" w:rsidRDefault="007E2D07" w:rsidP="0087538D">
                      <w:pPr>
                        <w:spacing w:line="240" w:lineRule="auto"/>
                        <w:jc w:val="center"/>
                      </w:pPr>
                      <w:r>
                        <w:t>“There needs to be a clearer definition of what STEM is and what it should look like when delivered in schools” - Stakeholder</w:t>
                      </w:r>
                    </w:p>
                  </w:txbxContent>
                </v:textbox>
                <w10:wrap type="square"/>
              </v:shape>
            </w:pict>
          </mc:Fallback>
        </mc:AlternateContent>
      </w:r>
      <w:r w:rsidR="00095C0E" w:rsidRPr="00292D9C">
        <w:rPr>
          <w:rFonts w:eastAsia="Times New Roman" w:cs="Times New Roman"/>
          <w:noProof/>
          <w:color w:val="auto"/>
          <w:szCs w:val="22"/>
          <w:lang w:eastAsia="en-AU"/>
        </w:rPr>
        <mc:AlternateContent>
          <mc:Choice Requires="wps">
            <w:drawing>
              <wp:anchor distT="0" distB="0" distL="114300" distR="114300" simplePos="0" relativeHeight="251691008" behindDoc="0" locked="0" layoutInCell="1" allowOverlap="1" wp14:anchorId="33C2AEE9" wp14:editId="4EBCE607">
                <wp:simplePos x="0" y="0"/>
                <wp:positionH relativeFrom="column">
                  <wp:posOffset>4298371</wp:posOffset>
                </wp:positionH>
                <wp:positionV relativeFrom="paragraph">
                  <wp:posOffset>405</wp:posOffset>
                </wp:positionV>
                <wp:extent cx="1795780" cy="783590"/>
                <wp:effectExtent l="0" t="0" r="0" b="168910"/>
                <wp:wrapSquare wrapText="bothSides"/>
                <wp:docPr id="80" name="Rounded Rectangular Callout 80"/>
                <wp:cNvGraphicFramePr/>
                <a:graphic xmlns:a="http://schemas.openxmlformats.org/drawingml/2006/main">
                  <a:graphicData uri="http://schemas.microsoft.com/office/word/2010/wordprocessingShape">
                    <wps:wsp>
                      <wps:cNvSpPr/>
                      <wps:spPr>
                        <a:xfrm>
                          <a:off x="0" y="0"/>
                          <a:ext cx="1795780" cy="783590"/>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88817" w14:textId="77777777" w:rsidR="007E2D07" w:rsidRDefault="007E2D07" w:rsidP="0087538D">
                            <w:pPr>
                              <w:spacing w:line="240" w:lineRule="auto"/>
                              <w:jc w:val="center"/>
                            </w:pPr>
                            <w:r>
                              <w:t>“I find the approach to STEM in high schools not consistent with the interdisciplinary approach that should be taken”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2AEE9" id="Rounded Rectangular Callout 80" o:spid="_x0000_s1064" type="#_x0000_t62" style="position:absolute;margin-left:338.45pt;margin-top:.05pt;width:141.4pt;height:6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" adj="8486,25866" fillcolor="#f4c6cd [660]" stroked="f" strokeweight="2pt">
                <v:textbox inset="0,0,0,0">
                  <w:txbxContent>
                    <w:p w14:paraId="2C288817" w14:textId="77777777" w:rsidR="007E2D07" w:rsidRDefault="007E2D07" w:rsidP="0087538D">
                      <w:pPr>
                        <w:spacing w:line="240" w:lineRule="auto"/>
                        <w:jc w:val="center"/>
                      </w:pPr>
                      <w:r>
                        <w:t>“I find the approach to STEM in high schools not consistent with the interdisciplinary approach that should be taken” - Teacher</w:t>
                      </w:r>
                    </w:p>
                  </w:txbxContent>
                </v:textbox>
                <w10:wrap type="square"/>
              </v:shape>
            </w:pict>
          </mc:Fallback>
        </mc:AlternateContent>
      </w:r>
      <w:r w:rsidRPr="00292D9C">
        <w:t xml:space="preserve"> </w:t>
      </w:r>
      <w:r w:rsidR="0065223E" w:rsidRPr="00292D9C">
        <w:t xml:space="preserve">An ‘integrated STEM education’ </w:t>
      </w:r>
      <w:r w:rsidR="00B009DE" w:rsidRPr="00292D9C">
        <w:t>refers to</w:t>
      </w:r>
      <w:r w:rsidR="0065223E" w:rsidRPr="00292D9C">
        <w:t xml:space="preserve"> ‘teaching the STEM content of two or more STEM domains, bound by STEM practices within an authentic context for the purpose of connecting these subjects to enhance student learning.’</w:t>
      </w:r>
      <w:r w:rsidR="0065223E" w:rsidRPr="00292D9C">
        <w:rPr>
          <w:rStyle w:val="FootnoteReference"/>
        </w:rPr>
        <w:footnoteReference w:id="57"/>
      </w:r>
      <w:r w:rsidRPr="00292D9C">
        <w:t xml:space="preserve"> The di</w:t>
      </w:r>
      <w:r w:rsidR="005B107D" w:rsidRPr="00292D9C">
        <w:t>fference between the two methods</w:t>
      </w:r>
      <w:r w:rsidRPr="00292D9C">
        <w:t xml:space="preserve"> </w:t>
      </w:r>
      <w:r w:rsidR="009B173C" w:rsidRPr="00292D9C">
        <w:t>became apparent during stakeholder interviews for this evaluation</w:t>
      </w:r>
      <w:r w:rsidRPr="00292D9C">
        <w:t xml:space="preserve"> and</w:t>
      </w:r>
      <w:r w:rsidR="009B173C" w:rsidRPr="00292D9C">
        <w:t xml:space="preserve"> is</w:t>
      </w:r>
      <w:r w:rsidR="00B009DE" w:rsidRPr="00292D9C">
        <w:t xml:space="preserve"> reflected in the inconsistent approaches taken by</w:t>
      </w:r>
      <w:r w:rsidR="001772B1" w:rsidRPr="00292D9C">
        <w:t xml:space="preserve"> </w:t>
      </w:r>
      <w:r w:rsidR="00B009DE" w:rsidRPr="00292D9C">
        <w:t>schools towards delivery of STEM education.</w:t>
      </w:r>
      <w:r w:rsidR="009B173C" w:rsidRPr="00292D9C">
        <w:t xml:space="preserve"> </w:t>
      </w:r>
    </w:p>
    <w:p w14:paraId="50AB16F1" w14:textId="77777777" w:rsidR="00B009DE" w:rsidRPr="00292D9C" w:rsidRDefault="004B31AB" w:rsidP="00A616D5">
      <w:pPr>
        <w:pStyle w:val="BodyText"/>
      </w:pPr>
      <w:r w:rsidRPr="00292D9C">
        <w:rPr>
          <w:rFonts w:eastAsia="Times New Roman" w:cs="Times New Roman"/>
          <w:noProof/>
          <w:color w:val="auto"/>
          <w:szCs w:val="22"/>
          <w:lang w:eastAsia="en-AU"/>
        </w:rPr>
        <mc:AlternateContent>
          <mc:Choice Requires="wps">
            <w:drawing>
              <wp:anchor distT="0" distB="0" distL="114300" distR="114300" simplePos="0" relativeHeight="251795456" behindDoc="0" locked="0" layoutInCell="1" allowOverlap="1" wp14:anchorId="3FD17C06" wp14:editId="628FD815">
                <wp:simplePos x="0" y="0"/>
                <wp:positionH relativeFrom="column">
                  <wp:posOffset>4300958</wp:posOffset>
                </wp:positionH>
                <wp:positionV relativeFrom="paragraph">
                  <wp:posOffset>1421233</wp:posOffset>
                </wp:positionV>
                <wp:extent cx="1848485" cy="733425"/>
                <wp:effectExtent l="0" t="0" r="5715" b="155575"/>
                <wp:wrapSquare wrapText="bothSides"/>
                <wp:docPr id="76" name="Rounded Rectangular Callout 76"/>
                <wp:cNvGraphicFramePr/>
                <a:graphic xmlns:a="http://schemas.openxmlformats.org/drawingml/2006/main">
                  <a:graphicData uri="http://schemas.microsoft.com/office/word/2010/wordprocessingShape">
                    <wps:wsp>
                      <wps:cNvSpPr/>
                      <wps:spPr>
                        <a:xfrm>
                          <a:off x="0" y="0"/>
                          <a:ext cx="1848485" cy="733425"/>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0CADA0" w14:textId="77777777" w:rsidR="007E2D07" w:rsidRDefault="007E2D07" w:rsidP="0087538D">
                            <w:pPr>
                              <w:spacing w:line="240" w:lineRule="auto"/>
                              <w:jc w:val="center"/>
                            </w:pPr>
                            <w:r>
                              <w:t>“If our students are engaged and see the relevance in what we are teaching them, they will want to learn”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7C06" id="Rounded Rectangular Callout 76" o:spid="_x0000_s1065" type="#_x0000_t62" style="position:absolute;margin-left:338.65pt;margin-top:111.9pt;width:145.55pt;height:5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" adj="8486,25866" fillcolor="#f4c6cd [660]" stroked="f" strokeweight="2pt">
                <v:textbox inset="0,0,0,0">
                  <w:txbxContent>
                    <w:p w14:paraId="6C0CADA0" w14:textId="77777777" w:rsidR="007E2D07" w:rsidRDefault="007E2D07" w:rsidP="0087538D">
                      <w:pPr>
                        <w:spacing w:line="240" w:lineRule="auto"/>
                        <w:jc w:val="center"/>
                      </w:pPr>
                      <w:r>
                        <w:t>“If our students are engaged and see the relevance in what we are teaching them, they will want to learn” – Teacher</w:t>
                      </w:r>
                    </w:p>
                  </w:txbxContent>
                </v:textbox>
                <w10:wrap type="square"/>
              </v:shape>
            </w:pict>
          </mc:Fallback>
        </mc:AlternateContent>
      </w:r>
      <w:r w:rsidR="00B009DE" w:rsidRPr="00292D9C">
        <w:t>In the literature</w:t>
      </w:r>
      <w:r w:rsidR="009B173C" w:rsidRPr="00292D9C">
        <w:t>,</w:t>
      </w:r>
      <w:r w:rsidR="00B009DE" w:rsidRPr="00292D9C">
        <w:t xml:space="preserve"> integrated STEM is a relatively new area of research, </w:t>
      </w:r>
      <w:r w:rsidR="009B173C" w:rsidRPr="00292D9C">
        <w:t xml:space="preserve">which </w:t>
      </w:r>
      <w:r w:rsidR="00B009DE" w:rsidRPr="00292D9C">
        <w:t>mean</w:t>
      </w:r>
      <w:r w:rsidR="009B173C" w:rsidRPr="00292D9C">
        <w:t>s</w:t>
      </w:r>
      <w:r w:rsidR="00B009DE" w:rsidRPr="00292D9C">
        <w:t xml:space="preserve"> there is inconclusive evidence of what best practice looks like. With this in mind, we advise that the </w:t>
      </w:r>
      <w:r w:rsidR="00E95712">
        <w:t>Australian Government</w:t>
      </w:r>
      <w:r w:rsidR="00B009DE" w:rsidRPr="00292D9C">
        <w:t xml:space="preserve"> </w:t>
      </w:r>
      <w:r w:rsidR="009B173C" w:rsidRPr="00292D9C">
        <w:t xml:space="preserve">maintain its current position for the time being, by recognising </w:t>
      </w:r>
      <w:r w:rsidR="00A82030" w:rsidRPr="00292D9C">
        <w:t xml:space="preserve">both </w:t>
      </w:r>
      <w:r w:rsidR="009B173C" w:rsidRPr="00292D9C">
        <w:t>the benefits and challenges of having mixed approaches</w:t>
      </w:r>
      <w:r w:rsidR="008F6172" w:rsidRPr="00292D9C">
        <w:t xml:space="preserve"> to STEM teaching</w:t>
      </w:r>
      <w:r w:rsidR="009B173C" w:rsidRPr="00292D9C">
        <w:t>, until further research</w:t>
      </w:r>
      <w:r w:rsidR="00A82030" w:rsidRPr="00292D9C">
        <w:t xml:space="preserve"> and evaluations</w:t>
      </w:r>
      <w:r w:rsidR="009B173C" w:rsidRPr="00292D9C">
        <w:t xml:space="preserve"> reveal which is more effective. This is consistent with different compositions of the NISA initiatives in comparison with states and territories’ initiatives.</w:t>
      </w:r>
    </w:p>
    <w:p w14:paraId="4E9C0101" w14:textId="77777777" w:rsidR="001F0B81" w:rsidRPr="00292D9C" w:rsidRDefault="006E081B"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 xml:space="preserve">Promotion of existing STEM practices, while incorporating an inquiry-based learning approach </w:t>
      </w:r>
      <w:r w:rsidR="00653979" w:rsidRPr="00292D9C">
        <w:rPr>
          <w:rFonts w:asciiTheme="minorHAnsi" w:hAnsiTheme="minorHAnsi"/>
          <w:lang w:eastAsia="en-GB"/>
        </w:rPr>
        <w:t xml:space="preserve">would </w:t>
      </w:r>
      <w:r w:rsidR="00B2720B" w:rsidRPr="00292D9C">
        <w:rPr>
          <w:rFonts w:asciiTheme="minorHAnsi" w:hAnsiTheme="minorHAnsi"/>
          <w:lang w:eastAsia="en-GB"/>
        </w:rPr>
        <w:t>support national reform agendas</w:t>
      </w:r>
    </w:p>
    <w:p w14:paraId="51DF5AF4" w14:textId="77777777" w:rsidR="001A3972" w:rsidRPr="00292D9C" w:rsidRDefault="008F6172" w:rsidP="00A616D5">
      <w:r w:rsidRPr="00292D9C">
        <w:rPr>
          <w:rFonts w:eastAsia="Times New Roman" w:cs="Times New Roman"/>
          <w:noProof/>
          <w:color w:val="auto"/>
          <w:szCs w:val="22"/>
          <w:lang w:eastAsia="en-AU"/>
        </w:rPr>
        <mc:AlternateContent>
          <mc:Choice Requires="wps">
            <w:drawing>
              <wp:anchor distT="0" distB="0" distL="114300" distR="114300" simplePos="0" relativeHeight="251839488" behindDoc="0" locked="0" layoutInCell="1" allowOverlap="1" wp14:anchorId="436178AB" wp14:editId="0D5F0633">
                <wp:simplePos x="0" y="0"/>
                <wp:positionH relativeFrom="column">
                  <wp:posOffset>4227401</wp:posOffset>
                </wp:positionH>
                <wp:positionV relativeFrom="paragraph">
                  <wp:posOffset>24278</wp:posOffset>
                </wp:positionV>
                <wp:extent cx="1918970" cy="944245"/>
                <wp:effectExtent l="0" t="0" r="0" b="135255"/>
                <wp:wrapSquare wrapText="bothSides"/>
                <wp:docPr id="32" name="Rounded Rectangular Callout 32"/>
                <wp:cNvGraphicFramePr/>
                <a:graphic xmlns:a="http://schemas.openxmlformats.org/drawingml/2006/main">
                  <a:graphicData uri="http://schemas.microsoft.com/office/word/2010/wordprocessingShape">
                    <wps:wsp>
                      <wps:cNvSpPr/>
                      <wps:spPr>
                        <a:xfrm>
                          <a:off x="0" y="0"/>
                          <a:ext cx="1918970" cy="944245"/>
                        </a:xfrm>
                        <a:prstGeom prst="wedgeRoundRectCallout">
                          <a:avLst>
                            <a:gd name="adj1" fmla="val -10161"/>
                            <a:gd name="adj2" fmla="val 6418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9DA63" w14:textId="77777777" w:rsidR="007E2D07" w:rsidRDefault="007E2D07" w:rsidP="00F5771B">
                            <w:pPr>
                              <w:spacing w:line="240" w:lineRule="auto"/>
                              <w:jc w:val="center"/>
                            </w:pPr>
                            <w:r>
                              <w:t>“There still needs to be explicit teaching of the different domains but if integration is not expected from leadership, teachers can tend to revert to old ways.”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78AB" id="Rounded Rectangular Callout 32" o:spid="_x0000_s1066" type="#_x0000_t62" style="position:absolute;margin-left:332.85pt;margin-top:1.9pt;width:151.1pt;height:74.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" adj="8605,24664" fillcolor="#f4c6cd [660]" stroked="f" strokeweight="2pt">
                <v:textbox inset="0,0,0,0">
                  <w:txbxContent>
                    <w:p w14:paraId="3859DA63" w14:textId="77777777" w:rsidR="007E2D07" w:rsidRDefault="007E2D07" w:rsidP="00F5771B">
                      <w:pPr>
                        <w:spacing w:line="240" w:lineRule="auto"/>
                        <w:jc w:val="center"/>
                      </w:pPr>
                      <w:r>
                        <w:t>“There still needs to be explicit teaching of the different domains but if integration is not expected from leadership, teachers can tend to revert to old ways.” – Teacher</w:t>
                      </w:r>
                    </w:p>
                  </w:txbxContent>
                </v:textbox>
                <w10:wrap type="square"/>
              </v:shape>
            </w:pict>
          </mc:Fallback>
        </mc:AlternateContent>
      </w:r>
      <w:r w:rsidR="00444A5C" w:rsidRPr="00292D9C">
        <w:rPr>
          <w:lang w:eastAsia="en-GB"/>
        </w:rPr>
        <w:t xml:space="preserve">The </w:t>
      </w:r>
      <w:r w:rsidR="00E95712">
        <w:rPr>
          <w:lang w:eastAsia="en-GB"/>
        </w:rPr>
        <w:t>Government</w:t>
      </w:r>
      <w:r w:rsidR="00E95712" w:rsidRPr="00292D9C">
        <w:rPr>
          <w:lang w:eastAsia="en-GB"/>
        </w:rPr>
        <w:t xml:space="preserve"> </w:t>
      </w:r>
      <w:r w:rsidR="00444A5C" w:rsidRPr="00292D9C">
        <w:rPr>
          <w:lang w:eastAsia="en-GB"/>
        </w:rPr>
        <w:t xml:space="preserve">does not need a definitive position on this matter. This is because </w:t>
      </w:r>
      <w:r w:rsidR="00444A5C" w:rsidRPr="00292D9C">
        <w:t>t</w:t>
      </w:r>
      <w:r w:rsidR="00A82030" w:rsidRPr="00292D9C">
        <w:t>here are opportunities to maintain existing siloed approaches that have</w:t>
      </w:r>
      <w:r w:rsidR="00535424" w:rsidRPr="00292D9C">
        <w:t xml:space="preserve"> been effective</w:t>
      </w:r>
      <w:r w:rsidR="00A82030" w:rsidRPr="00292D9C">
        <w:t xml:space="preserve"> </w:t>
      </w:r>
      <w:r w:rsidR="00535424" w:rsidRPr="00292D9C">
        <w:t>previously</w:t>
      </w:r>
      <w:r w:rsidR="00A82030" w:rsidRPr="00292D9C">
        <w:t xml:space="preserve">, whilst </w:t>
      </w:r>
      <w:r w:rsidR="00535424" w:rsidRPr="00292D9C">
        <w:t xml:space="preserve">also </w:t>
      </w:r>
      <w:r w:rsidR="00A82030" w:rsidRPr="00292D9C">
        <w:t>investing in new programs underpinned by an integrated inquiry-based approach, subject to best practice.</w:t>
      </w:r>
      <w:r w:rsidR="00535424" w:rsidRPr="00292D9C">
        <w:t xml:space="preserve"> General capabilities (also referred to as enterprise skills or 21</w:t>
      </w:r>
      <w:r w:rsidR="00535424" w:rsidRPr="00292D9C">
        <w:rPr>
          <w:vertAlign w:val="superscript"/>
        </w:rPr>
        <w:t>st</w:t>
      </w:r>
      <w:r w:rsidR="00535424" w:rsidRPr="00292D9C">
        <w:t xml:space="preserve"> Century skills) are the dispositions and abilities considered important for students to succeed in a rapidly changing world</w:t>
      </w:r>
      <w:r w:rsidR="00653979" w:rsidRPr="00292D9C">
        <w:t xml:space="preserve"> and were embedded into the Australian Curriculum in 2010</w:t>
      </w:r>
      <w:r w:rsidR="00535424" w:rsidRPr="00292D9C">
        <w:t>. Inquiry-based pedagogical approaches have been found to be effective at developing the</w:t>
      </w:r>
      <w:r w:rsidR="001A3972" w:rsidRPr="00292D9C">
        <w:t>se</w:t>
      </w:r>
      <w:r w:rsidR="00535424" w:rsidRPr="00292D9C">
        <w:t xml:space="preserve"> general capabilities</w:t>
      </w:r>
      <w:r w:rsidR="00F8677F" w:rsidRPr="00292D9C">
        <w:t xml:space="preserve">, </w:t>
      </w:r>
      <w:r w:rsidR="001A3972" w:rsidRPr="00292D9C">
        <w:t xml:space="preserve">as </w:t>
      </w:r>
      <w:r w:rsidR="00653979" w:rsidRPr="00292D9C">
        <w:t>inquiry</w:t>
      </w:r>
      <w:r w:rsidR="001A3972" w:rsidRPr="00292D9C">
        <w:t xml:space="preserve"> methods involve a shift from subject matter to skills-based learning.</w:t>
      </w:r>
      <w:r w:rsidR="001A3972" w:rsidRPr="00292D9C">
        <w:rPr>
          <w:rStyle w:val="FootnoteReference"/>
        </w:rPr>
        <w:footnoteReference w:id="58"/>
      </w:r>
      <w:r w:rsidR="00422C3B" w:rsidRPr="00292D9C">
        <w:t xml:space="preserve"> </w:t>
      </w:r>
    </w:p>
    <w:p w14:paraId="00B12972" w14:textId="77777777" w:rsidR="00422C3B" w:rsidRPr="00292D9C" w:rsidRDefault="00422C3B" w:rsidP="00A616D5">
      <w:r w:rsidRPr="00292D9C">
        <w:t xml:space="preserve">There are opportunities for the </w:t>
      </w:r>
      <w:r w:rsidR="00E95712">
        <w:t>Government</w:t>
      </w:r>
      <w:r w:rsidR="00E95712" w:rsidRPr="00292D9C">
        <w:t xml:space="preserve"> </w:t>
      </w:r>
      <w:r w:rsidRPr="00292D9C">
        <w:t xml:space="preserve">to promote and build capacity for an integrated approach to STEM </w:t>
      </w:r>
      <w:r w:rsidR="001A3972" w:rsidRPr="00292D9C">
        <w:t xml:space="preserve">learning </w:t>
      </w:r>
      <w:r w:rsidRPr="00292D9C">
        <w:t xml:space="preserve">that incorporates inquiry-based </w:t>
      </w:r>
      <w:r w:rsidR="001A3972" w:rsidRPr="00292D9C">
        <w:t>strategies</w:t>
      </w:r>
      <w:r w:rsidRPr="00292D9C">
        <w:t xml:space="preserve"> </w:t>
      </w:r>
      <w:r w:rsidR="001A3972" w:rsidRPr="00292D9C">
        <w:t>and aligns with</w:t>
      </w:r>
      <w:r w:rsidRPr="00292D9C">
        <w:t xml:space="preserve"> the </w:t>
      </w:r>
      <w:r w:rsidR="00653979" w:rsidRPr="00292D9C">
        <w:t>g</w:t>
      </w:r>
      <w:r w:rsidRPr="00292D9C">
        <w:t xml:space="preserve">eneral </w:t>
      </w:r>
      <w:r w:rsidR="009F73D6" w:rsidRPr="00292D9C">
        <w:t>capabilities’</w:t>
      </w:r>
      <w:r w:rsidR="001A3972" w:rsidRPr="00292D9C">
        <w:t xml:space="preserve"> curriculum</w:t>
      </w:r>
      <w:r w:rsidRPr="00292D9C">
        <w:t xml:space="preserve">. </w:t>
      </w:r>
      <w:r w:rsidR="001A3972" w:rsidRPr="00292D9C">
        <w:t xml:space="preserve">However, </w:t>
      </w:r>
      <w:r w:rsidR="00653979" w:rsidRPr="00292D9C">
        <w:t>the</w:t>
      </w:r>
      <w:r w:rsidR="00E95712">
        <w:t xml:space="preserve"> Government</w:t>
      </w:r>
      <w:r w:rsidR="001A3972" w:rsidRPr="00292D9C">
        <w:t xml:space="preserve"> </w:t>
      </w:r>
      <w:r w:rsidR="00653979" w:rsidRPr="00292D9C">
        <w:t>should</w:t>
      </w:r>
      <w:r w:rsidR="001A3972" w:rsidRPr="00292D9C">
        <w:t xml:space="preserve"> </w:t>
      </w:r>
      <w:r w:rsidR="00653979" w:rsidRPr="00292D9C">
        <w:t>consider</w:t>
      </w:r>
      <w:r w:rsidR="001A3972" w:rsidRPr="00292D9C">
        <w:t xml:space="preserve"> that s</w:t>
      </w:r>
      <w:r w:rsidR="00F8677F" w:rsidRPr="00292D9C">
        <w:t xml:space="preserve">chools </w:t>
      </w:r>
      <w:r w:rsidR="001A3972" w:rsidRPr="00292D9C">
        <w:t>require</w:t>
      </w:r>
      <w:r w:rsidR="00F8677F" w:rsidRPr="00292D9C">
        <w:t xml:space="preserve"> assistance to deliver integrated STEM, especially at the secondary level, where teaching and</w:t>
      </w:r>
      <w:r w:rsidR="00653979" w:rsidRPr="00292D9C">
        <w:t xml:space="preserve"> subject-specific</w:t>
      </w:r>
      <w:r w:rsidR="00F8677F" w:rsidRPr="00292D9C">
        <w:t xml:space="preserve"> learning is not structured in a way that lends itself to</w:t>
      </w:r>
      <w:r w:rsidR="00653979" w:rsidRPr="00292D9C">
        <w:t xml:space="preserve"> inquiry-based learning</w:t>
      </w:r>
      <w:r w:rsidR="00F8677F" w:rsidRPr="00292D9C">
        <w:t xml:space="preserve">. </w:t>
      </w:r>
      <w:r w:rsidR="001A3972" w:rsidRPr="00292D9C">
        <w:rPr>
          <w:lang w:eastAsia="en-GB"/>
        </w:rPr>
        <w:t xml:space="preserve">This approach would support the National Schools Reform Agreement that commenced in 2019, which includes a point in relation to strengthening the development of the general capabilities within Australia’s education system. </w:t>
      </w:r>
      <w:r w:rsidR="001A3972" w:rsidRPr="00292D9C">
        <w:t xml:space="preserve">Curriculum reform movements in other parts of the world are also arguing for a larger role for such skills and dispositions.  </w:t>
      </w:r>
    </w:p>
    <w:p w14:paraId="278FB5FC" w14:textId="77777777" w:rsidR="00362788" w:rsidRPr="00292D9C" w:rsidRDefault="00CB080A" w:rsidP="00A616D5">
      <w:pPr>
        <w:rPr>
          <w:b/>
          <w:color w:val="8C8686" w:themeColor="accent4"/>
          <w:lang w:eastAsia="en-GB"/>
        </w:rPr>
      </w:pPr>
      <w:r w:rsidRPr="00292D9C">
        <w:rPr>
          <w:b/>
          <w:color w:val="8C8686" w:themeColor="accent4"/>
          <w:lang w:val="en-US" w:eastAsia="en-GB"/>
        </w:rPr>
        <w:t>Continue to support</w:t>
      </w:r>
      <w:r w:rsidR="00362788" w:rsidRPr="00292D9C">
        <w:rPr>
          <w:b/>
          <w:color w:val="8C8686" w:themeColor="accent4"/>
          <w:lang w:val="en-US" w:eastAsia="en-GB"/>
        </w:rPr>
        <w:t xml:space="preserve"> digital technologies</w:t>
      </w:r>
      <w:r w:rsidRPr="00292D9C">
        <w:rPr>
          <w:b/>
          <w:color w:val="8C8686" w:themeColor="accent4"/>
          <w:lang w:val="en-US" w:eastAsia="en-GB"/>
        </w:rPr>
        <w:t xml:space="preserve"> while addressing the barriers to successful implementation</w:t>
      </w:r>
    </w:p>
    <w:p w14:paraId="4F454789" w14:textId="77777777" w:rsidR="00417F57" w:rsidRPr="00292D9C" w:rsidRDefault="009A4169"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841536" behindDoc="0" locked="0" layoutInCell="1" allowOverlap="1" wp14:anchorId="117D9059" wp14:editId="19175431">
                <wp:simplePos x="0" y="0"/>
                <wp:positionH relativeFrom="column">
                  <wp:posOffset>4314940</wp:posOffset>
                </wp:positionH>
                <wp:positionV relativeFrom="paragraph">
                  <wp:posOffset>2545715</wp:posOffset>
                </wp:positionV>
                <wp:extent cx="1828800" cy="922655"/>
                <wp:effectExtent l="0" t="0" r="0" b="144145"/>
                <wp:wrapSquare wrapText="bothSides"/>
                <wp:docPr id="113" name="Rounded Rectangular Callout 113"/>
                <wp:cNvGraphicFramePr/>
                <a:graphic xmlns:a="http://schemas.openxmlformats.org/drawingml/2006/main">
                  <a:graphicData uri="http://schemas.microsoft.com/office/word/2010/wordprocessingShape">
                    <wps:wsp>
                      <wps:cNvSpPr/>
                      <wps:spPr>
                        <a:xfrm>
                          <a:off x="0" y="0"/>
                          <a:ext cx="1828800" cy="922655"/>
                        </a:xfrm>
                        <a:prstGeom prst="wedgeRoundRectCallout">
                          <a:avLst>
                            <a:gd name="adj1" fmla="val -9047"/>
                            <a:gd name="adj2" fmla="val 6419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B74B2" w14:textId="77777777" w:rsidR="007E2D07" w:rsidRDefault="007E2D07" w:rsidP="00CB080A">
                            <w:pPr>
                              <w:spacing w:line="240" w:lineRule="auto"/>
                              <w:jc w:val="center"/>
                            </w:pPr>
                            <w:r>
                              <w:t>“I think that many of the STEM programs are too heavily based on technology and not enough on the beauty and wonder of mathematics”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9059" id="Rounded Rectangular Callout 113" o:spid="_x0000_s1067" type="#_x0000_t62" style="position:absolute;margin-left:339.75pt;margin-top:200.45pt;width:2in;height:72.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" adj="8846,24666" fillcolor="#f4c6cd [660]" stroked="f" strokeweight="2pt">
                <v:textbox inset="0,0,0,0">
                  <w:txbxContent>
                    <w:p w14:paraId="474B74B2" w14:textId="77777777" w:rsidR="007E2D07" w:rsidRDefault="007E2D07" w:rsidP="00CB080A">
                      <w:pPr>
                        <w:spacing w:line="240" w:lineRule="auto"/>
                        <w:jc w:val="center"/>
                      </w:pPr>
                      <w:r>
                        <w:t>“I think that many of the STEM programs are too heavily based on technology and not enough on the beauty and wonder of mathematics” – Teacher</w:t>
                      </w:r>
                    </w:p>
                  </w:txbxContent>
                </v:textbox>
                <w10:wrap type="square"/>
              </v:shape>
            </w:pict>
          </mc:Fallback>
        </mc:AlternateContent>
      </w:r>
      <w:r w:rsidR="00CB080A" w:rsidRPr="00292D9C">
        <w:rPr>
          <w:lang w:eastAsia="en-GB"/>
        </w:rPr>
        <w:t xml:space="preserve">There is a continued need in </w:t>
      </w:r>
      <w:r w:rsidR="00E95712">
        <w:rPr>
          <w:lang w:eastAsia="en-GB"/>
        </w:rPr>
        <w:t xml:space="preserve">digital </w:t>
      </w:r>
      <w:r w:rsidR="00CB080A" w:rsidRPr="00292D9C">
        <w:rPr>
          <w:lang w:eastAsia="en-GB"/>
        </w:rPr>
        <w:t>technologies,</w:t>
      </w:r>
      <w:r w:rsidR="00775580" w:rsidRPr="00292D9C">
        <w:rPr>
          <w:lang w:eastAsia="en-GB"/>
        </w:rPr>
        <w:t xml:space="preserve"> but the pace of curriculum implementation across states and territories </w:t>
      </w:r>
      <w:r w:rsidR="000C1828" w:rsidRPr="00292D9C">
        <w:rPr>
          <w:lang w:eastAsia="en-GB"/>
        </w:rPr>
        <w:t>varies considerably</w:t>
      </w:r>
      <w:r w:rsidR="00CB080A" w:rsidRPr="00292D9C">
        <w:rPr>
          <w:lang w:eastAsia="en-GB"/>
        </w:rPr>
        <w:t xml:space="preserve">. </w:t>
      </w:r>
      <w:r w:rsidR="00417F57" w:rsidRPr="00292D9C">
        <w:rPr>
          <w:lang w:eastAsia="en-GB"/>
        </w:rPr>
        <w:t>Evidence from individual initiative evaluations and this evaluation suggest</w:t>
      </w:r>
      <w:r w:rsidR="009F73D6" w:rsidRPr="00292D9C">
        <w:rPr>
          <w:lang w:eastAsia="en-GB"/>
        </w:rPr>
        <w:t xml:space="preserve"> that</w:t>
      </w:r>
      <w:r w:rsidR="00417F57" w:rsidRPr="00292D9C">
        <w:rPr>
          <w:lang w:eastAsia="en-GB"/>
        </w:rPr>
        <w:t xml:space="preserve"> while the investment has been </w:t>
      </w:r>
      <w:r w:rsidR="00CB080A" w:rsidRPr="00292D9C">
        <w:rPr>
          <w:lang w:eastAsia="en-GB"/>
        </w:rPr>
        <w:t>successful</w:t>
      </w:r>
      <w:r w:rsidR="00417F57" w:rsidRPr="00292D9C">
        <w:rPr>
          <w:lang w:eastAsia="en-GB"/>
        </w:rPr>
        <w:t>, many schools are still in the early stages of implementation and others have not begun</w:t>
      </w:r>
      <w:r w:rsidR="007028FE" w:rsidRPr="00292D9C">
        <w:rPr>
          <w:lang w:eastAsia="en-GB"/>
        </w:rPr>
        <w:t>.</w:t>
      </w:r>
      <w:r w:rsidR="00B47493" w:rsidRPr="00292D9C">
        <w:rPr>
          <w:lang w:eastAsia="en-GB"/>
        </w:rPr>
        <w:t xml:space="preserve"> Reasons cited for this include lack of infrastructure and technology in schools to support rollout, limited availability of teaching staff with expertise in this area and higher priority given to literacy and numeracy. Actions the government can take to support schools to step-up their digital technologies implementation might be </w:t>
      </w:r>
      <w:r w:rsidR="0079672D" w:rsidRPr="00292D9C">
        <w:rPr>
          <w:lang w:eastAsia="en-GB"/>
        </w:rPr>
        <w:t>to fund schools in need of technology and to support further upskilling of teachers</w:t>
      </w:r>
      <w:r w:rsidR="004F7815" w:rsidRPr="00292D9C">
        <w:rPr>
          <w:lang w:eastAsia="en-GB"/>
        </w:rPr>
        <w:t xml:space="preserve">. </w:t>
      </w:r>
      <w:r w:rsidR="00417F57" w:rsidRPr="00292D9C">
        <w:rPr>
          <w:lang w:eastAsia="en-GB"/>
        </w:rPr>
        <w:t>When investing in digital technologies</w:t>
      </w:r>
      <w:r w:rsidR="00B96D75" w:rsidRPr="00292D9C">
        <w:rPr>
          <w:lang w:eastAsia="en-GB"/>
        </w:rPr>
        <w:t xml:space="preserve">, the </w:t>
      </w:r>
      <w:r w:rsidR="00E95712">
        <w:rPr>
          <w:lang w:eastAsia="en-GB"/>
        </w:rPr>
        <w:t>Government</w:t>
      </w:r>
      <w:r w:rsidR="00E95712" w:rsidRPr="00292D9C">
        <w:rPr>
          <w:lang w:eastAsia="en-GB"/>
        </w:rPr>
        <w:t xml:space="preserve"> </w:t>
      </w:r>
      <w:r w:rsidR="00B96D75" w:rsidRPr="00292D9C">
        <w:rPr>
          <w:lang w:eastAsia="en-GB"/>
        </w:rPr>
        <w:t>should</w:t>
      </w:r>
      <w:r w:rsidR="00417F57" w:rsidRPr="00292D9C">
        <w:rPr>
          <w:lang w:eastAsia="en-GB"/>
        </w:rPr>
        <w:t xml:space="preserve"> </w:t>
      </w:r>
      <w:r w:rsidR="00E95712">
        <w:rPr>
          <w:lang w:eastAsia="en-GB"/>
        </w:rPr>
        <w:t>consider</w:t>
      </w:r>
      <w:r w:rsidR="00E95712" w:rsidRPr="00292D9C">
        <w:rPr>
          <w:lang w:eastAsia="en-GB"/>
        </w:rPr>
        <w:t xml:space="preserve"> </w:t>
      </w:r>
      <w:r w:rsidR="00417F57" w:rsidRPr="00292D9C">
        <w:rPr>
          <w:lang w:eastAsia="en-GB"/>
        </w:rPr>
        <w:t xml:space="preserve">the barriers to implementation in this curriculum area, </w:t>
      </w:r>
      <w:r w:rsidR="002D0FB4" w:rsidRPr="00292D9C">
        <w:rPr>
          <w:lang w:eastAsia="en-GB"/>
        </w:rPr>
        <w:t xml:space="preserve">such as difficulties with timetabling and an overcrowded curriculum, which were raised as issues during stakeholder consultations. </w:t>
      </w:r>
      <w:r w:rsidR="00515625" w:rsidRPr="00292D9C">
        <w:rPr>
          <w:lang w:eastAsia="en-GB"/>
        </w:rPr>
        <w:t>They also need to be mindful of the rapid pace of change in the area of digital technology and the need for ongoing teacher professional development</w:t>
      </w:r>
      <w:r w:rsidR="002D0FB4" w:rsidRPr="00292D9C">
        <w:rPr>
          <w:lang w:eastAsia="en-GB"/>
        </w:rPr>
        <w:t xml:space="preserve"> to keep up with this.</w:t>
      </w:r>
    </w:p>
    <w:p w14:paraId="2FD62095" w14:textId="77777777" w:rsidR="00CB080A" w:rsidRPr="00292D9C" w:rsidRDefault="002D0FB4" w:rsidP="00A616D5">
      <w:pPr>
        <w:pStyle w:val="ListParagraph"/>
        <w:numPr>
          <w:ilvl w:val="0"/>
          <w:numId w:val="0"/>
        </w:numPr>
        <w:rPr>
          <w:lang w:eastAsia="en-GB"/>
        </w:rPr>
      </w:pPr>
      <w:r w:rsidRPr="00292D9C">
        <w:rPr>
          <w:b/>
          <w:color w:val="8C8686" w:themeColor="accent4"/>
          <w:lang w:val="en-US" w:eastAsia="en-GB"/>
        </w:rPr>
        <w:t>H</w:t>
      </w:r>
      <w:r w:rsidR="00362788" w:rsidRPr="00292D9C">
        <w:rPr>
          <w:b/>
          <w:color w:val="8C8686" w:themeColor="accent4"/>
          <w:lang w:val="en-US" w:eastAsia="en-GB"/>
        </w:rPr>
        <w:t>owever, balance this with the need to invest in math</w:t>
      </w:r>
      <w:r w:rsidR="00B77078" w:rsidRPr="00292D9C">
        <w:rPr>
          <w:b/>
          <w:color w:val="8C8686" w:themeColor="accent4"/>
          <w:lang w:val="en-US" w:eastAsia="en-GB"/>
        </w:rPr>
        <w:t>ematics</w:t>
      </w:r>
    </w:p>
    <w:p w14:paraId="44ACD323" w14:textId="77777777" w:rsidR="007028FE" w:rsidRPr="00292D9C" w:rsidRDefault="00095C0E" w:rsidP="00A616D5">
      <w:pPr>
        <w:pStyle w:val="ListParagraph"/>
        <w:numPr>
          <w:ilvl w:val="0"/>
          <w:numId w:val="0"/>
        </w:num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803648" behindDoc="0" locked="0" layoutInCell="1" allowOverlap="1" wp14:anchorId="2F059592" wp14:editId="0447DD9B">
                <wp:simplePos x="0" y="0"/>
                <wp:positionH relativeFrom="column">
                  <wp:posOffset>4313093</wp:posOffset>
                </wp:positionH>
                <wp:positionV relativeFrom="paragraph">
                  <wp:posOffset>683260</wp:posOffset>
                </wp:positionV>
                <wp:extent cx="1828800" cy="1097280"/>
                <wp:effectExtent l="0" t="0" r="0" b="160020"/>
                <wp:wrapSquare wrapText="bothSides"/>
                <wp:docPr id="87" name="Rounded Rectangular Callout 87"/>
                <wp:cNvGraphicFramePr/>
                <a:graphic xmlns:a="http://schemas.openxmlformats.org/drawingml/2006/main">
                  <a:graphicData uri="http://schemas.microsoft.com/office/word/2010/wordprocessingShape">
                    <wps:wsp>
                      <wps:cNvSpPr/>
                      <wps:spPr>
                        <a:xfrm>
                          <a:off x="0" y="0"/>
                          <a:ext cx="1828800" cy="1097280"/>
                        </a:xfrm>
                        <a:prstGeom prst="wedgeRoundRectCallout">
                          <a:avLst>
                            <a:gd name="adj1" fmla="val -9047"/>
                            <a:gd name="adj2" fmla="val 64195"/>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8A730" w14:textId="77777777" w:rsidR="007E2D07" w:rsidRDefault="007E2D07" w:rsidP="0087538D">
                            <w:pPr>
                              <w:spacing w:line="240" w:lineRule="auto"/>
                              <w:jc w:val="center"/>
                            </w:pPr>
                            <w:r>
                              <w:t>“Teachers needs more than gadgets; they need rich professional learning and support as they introduce or integrate STEM learning into their classrooms” – Teacher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9592" id="Rounded Rectangular Callout 87" o:spid="_x0000_s1068" type="#_x0000_t62" style="position:absolute;margin-left:339.6pt;margin-top:53.8pt;width:2in;height:86.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" adj="8846,24666" fillcolor="#f4c6cd [660]" stroked="f" strokeweight="2pt">
                <v:textbox inset="0,0,0,0">
                  <w:txbxContent>
                    <w:p w14:paraId="0E98A730" w14:textId="77777777" w:rsidR="007E2D07" w:rsidRDefault="007E2D07" w:rsidP="0087538D">
                      <w:pPr>
                        <w:spacing w:line="240" w:lineRule="auto"/>
                        <w:jc w:val="center"/>
                      </w:pPr>
                      <w:r>
                        <w:t>“Teachers needs more than gadgets; they need rich professional learning and support as they introduce or integrate STEM learning into their classrooms” – Teacher</w:t>
                      </w:r>
                    </w:p>
                  </w:txbxContent>
                </v:textbox>
                <w10:wrap type="square"/>
              </v:shape>
            </w:pict>
          </mc:Fallback>
        </mc:AlternateContent>
      </w:r>
      <w:r w:rsidR="00CB080A" w:rsidRPr="00292D9C">
        <w:rPr>
          <w:lang w:eastAsia="en-GB"/>
        </w:rPr>
        <w:t xml:space="preserve">The ongoing need in digital technologies needs to be balanced with the need in </w:t>
      </w:r>
      <w:r w:rsidR="007028FE" w:rsidRPr="00292D9C">
        <w:rPr>
          <w:lang w:eastAsia="en-GB"/>
        </w:rPr>
        <w:t xml:space="preserve">the </w:t>
      </w:r>
      <w:r w:rsidR="00CB080A" w:rsidRPr="00292D9C">
        <w:rPr>
          <w:lang w:eastAsia="en-GB"/>
        </w:rPr>
        <w:t>maths</w:t>
      </w:r>
      <w:r w:rsidR="007028FE" w:rsidRPr="00292D9C">
        <w:rPr>
          <w:lang w:eastAsia="en-GB"/>
        </w:rPr>
        <w:t xml:space="preserve"> learning area</w:t>
      </w:r>
      <w:r w:rsidR="00CB080A" w:rsidRPr="00292D9C">
        <w:rPr>
          <w:lang w:eastAsia="en-GB"/>
        </w:rPr>
        <w:t>.</w:t>
      </w:r>
      <w:r w:rsidR="00E803D9" w:rsidRPr="00292D9C">
        <w:rPr>
          <w:lang w:eastAsia="en-GB"/>
        </w:rPr>
        <w:t xml:space="preserve"> Only </w:t>
      </w:r>
      <w:r w:rsidR="00BD6E0B" w:rsidRPr="00292D9C">
        <w:rPr>
          <w:lang w:eastAsia="en-GB"/>
        </w:rPr>
        <w:t>seven</w:t>
      </w:r>
      <w:r w:rsidR="00E803D9" w:rsidRPr="00292D9C">
        <w:rPr>
          <w:lang w:eastAsia="en-GB"/>
        </w:rPr>
        <w:t xml:space="preserve"> per cent of NISA funding was </w:t>
      </w:r>
      <w:r w:rsidR="00C00065" w:rsidRPr="00292D9C">
        <w:rPr>
          <w:lang w:eastAsia="en-GB"/>
        </w:rPr>
        <w:t>allocated to initiatives that focused on</w:t>
      </w:r>
      <w:r w:rsidR="00E803D9" w:rsidRPr="00292D9C">
        <w:rPr>
          <w:lang w:eastAsia="en-GB"/>
        </w:rPr>
        <w:t xml:space="preserve"> maths</w:t>
      </w:r>
      <w:r w:rsidR="00C00065" w:rsidRPr="00292D9C">
        <w:rPr>
          <w:lang w:eastAsia="en-GB"/>
        </w:rPr>
        <w:t xml:space="preserve">. </w:t>
      </w:r>
      <w:r w:rsidR="00E803D9" w:rsidRPr="00292D9C">
        <w:rPr>
          <w:lang w:eastAsia="en-GB"/>
        </w:rPr>
        <w:t xml:space="preserve">In contrast, a </w:t>
      </w:r>
      <w:r w:rsidR="004C24C2" w:rsidRPr="00292D9C">
        <w:rPr>
          <w:lang w:eastAsia="en-GB"/>
        </w:rPr>
        <w:t>wide-range of stakeholders</w:t>
      </w:r>
      <w:r w:rsidR="007028FE" w:rsidRPr="00292D9C">
        <w:rPr>
          <w:lang w:eastAsia="en-GB"/>
        </w:rPr>
        <w:t>,</w:t>
      </w:r>
      <w:r w:rsidR="004C24C2" w:rsidRPr="00292D9C">
        <w:rPr>
          <w:lang w:eastAsia="en-GB"/>
        </w:rPr>
        <w:t xml:space="preserve"> beyond just maths teachers</w:t>
      </w:r>
      <w:r w:rsidR="007028FE" w:rsidRPr="00292D9C">
        <w:rPr>
          <w:lang w:eastAsia="en-GB"/>
        </w:rPr>
        <w:t>,</w:t>
      </w:r>
      <w:r w:rsidR="004C24C2" w:rsidRPr="00292D9C">
        <w:rPr>
          <w:lang w:eastAsia="en-GB"/>
        </w:rPr>
        <w:t xml:space="preserve"> identified</w:t>
      </w:r>
      <w:r w:rsidR="00C00065" w:rsidRPr="00292D9C">
        <w:rPr>
          <w:lang w:eastAsia="en-GB"/>
        </w:rPr>
        <w:t xml:space="preserve"> this</w:t>
      </w:r>
      <w:r w:rsidR="00E803D9" w:rsidRPr="00292D9C">
        <w:rPr>
          <w:lang w:eastAsia="en-GB"/>
        </w:rPr>
        <w:t xml:space="preserve"> as an area of significant need because teachers</w:t>
      </w:r>
      <w:r w:rsidR="00EA39BC" w:rsidRPr="00292D9C">
        <w:rPr>
          <w:lang w:eastAsia="en-GB"/>
        </w:rPr>
        <w:t xml:space="preserve"> (</w:t>
      </w:r>
      <w:r w:rsidR="00E803D9" w:rsidRPr="00292D9C">
        <w:rPr>
          <w:lang w:eastAsia="en-GB"/>
        </w:rPr>
        <w:t>many of whom are teaching out of field</w:t>
      </w:r>
      <w:r w:rsidR="00EA39BC" w:rsidRPr="00292D9C">
        <w:rPr>
          <w:lang w:eastAsia="en-GB"/>
        </w:rPr>
        <w:t>)</w:t>
      </w:r>
      <w:r w:rsidR="00EA39BC" w:rsidRPr="00292D9C">
        <w:rPr>
          <w:rStyle w:val="FootnoteReference"/>
          <w:lang w:eastAsia="en-GB"/>
        </w:rPr>
        <w:footnoteReference w:id="59"/>
      </w:r>
      <w:r w:rsidR="00EA7A70" w:rsidRPr="00292D9C">
        <w:rPr>
          <w:lang w:eastAsia="en-GB"/>
        </w:rPr>
        <w:t xml:space="preserve"> </w:t>
      </w:r>
      <w:r w:rsidR="00E803D9" w:rsidRPr="00292D9C">
        <w:rPr>
          <w:lang w:eastAsia="en-GB"/>
        </w:rPr>
        <w:t xml:space="preserve">do not have the skills and confidence they need to effectively teach maths. In particular, </w:t>
      </w:r>
      <w:r w:rsidR="00C00065" w:rsidRPr="00292D9C">
        <w:rPr>
          <w:lang w:eastAsia="en-GB"/>
        </w:rPr>
        <w:t>stakeholders said that maths teachers need more help to</w:t>
      </w:r>
      <w:r w:rsidR="00E803D9" w:rsidRPr="00292D9C">
        <w:rPr>
          <w:lang w:eastAsia="en-GB"/>
        </w:rPr>
        <w:t xml:space="preserve"> </w:t>
      </w:r>
      <w:r w:rsidR="00C00065" w:rsidRPr="00292D9C">
        <w:rPr>
          <w:lang w:eastAsia="en-GB"/>
        </w:rPr>
        <w:t xml:space="preserve">understand </w:t>
      </w:r>
      <w:r w:rsidR="007028FE" w:rsidRPr="00292D9C">
        <w:rPr>
          <w:lang w:eastAsia="en-GB"/>
        </w:rPr>
        <w:t>the value of</w:t>
      </w:r>
      <w:r w:rsidR="000D25AB" w:rsidRPr="00292D9C">
        <w:rPr>
          <w:lang w:eastAsia="en-GB"/>
        </w:rPr>
        <w:t>,</w:t>
      </w:r>
      <w:r w:rsidR="007028FE" w:rsidRPr="00292D9C">
        <w:rPr>
          <w:lang w:eastAsia="en-GB"/>
        </w:rPr>
        <w:t xml:space="preserve"> </w:t>
      </w:r>
      <w:r w:rsidR="00C00065" w:rsidRPr="00292D9C">
        <w:rPr>
          <w:lang w:eastAsia="en-GB"/>
        </w:rPr>
        <w:t>and develop skills in</w:t>
      </w:r>
      <w:r w:rsidR="000D25AB" w:rsidRPr="00292D9C">
        <w:rPr>
          <w:lang w:eastAsia="en-GB"/>
        </w:rPr>
        <w:t>,</w:t>
      </w:r>
      <w:r w:rsidR="00C00065" w:rsidRPr="00292D9C">
        <w:rPr>
          <w:lang w:eastAsia="en-GB"/>
        </w:rPr>
        <w:t xml:space="preserve"> using</w:t>
      </w:r>
      <w:r w:rsidR="00E803D9" w:rsidRPr="00292D9C">
        <w:rPr>
          <w:lang w:eastAsia="en-GB"/>
        </w:rPr>
        <w:t xml:space="preserve"> contemporary pedagogies that have been </w:t>
      </w:r>
      <w:r w:rsidR="007028FE" w:rsidRPr="00292D9C">
        <w:rPr>
          <w:lang w:eastAsia="en-GB"/>
        </w:rPr>
        <w:t>proven</w:t>
      </w:r>
      <w:r w:rsidR="00E803D9" w:rsidRPr="00292D9C">
        <w:rPr>
          <w:lang w:eastAsia="en-GB"/>
        </w:rPr>
        <w:t xml:space="preserve"> to be more engaging for students.</w:t>
      </w:r>
      <w:r w:rsidR="007028FE" w:rsidRPr="00292D9C">
        <w:rPr>
          <w:lang w:eastAsia="en-GB"/>
        </w:rPr>
        <w:t xml:space="preserve"> </w:t>
      </w:r>
    </w:p>
    <w:p w14:paraId="352CCBD8" w14:textId="77777777" w:rsidR="00916193" w:rsidRPr="00292D9C" w:rsidRDefault="00095C0E" w:rsidP="00A616D5">
      <w:pPr>
        <w:pStyle w:val="ListParagraph"/>
        <w:numPr>
          <w:ilvl w:val="0"/>
          <w:numId w:val="0"/>
        </w:num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805696" behindDoc="0" locked="0" layoutInCell="1" allowOverlap="1" wp14:anchorId="540D356F" wp14:editId="19C7D106">
                <wp:simplePos x="0" y="0"/>
                <wp:positionH relativeFrom="column">
                  <wp:posOffset>4269014</wp:posOffset>
                </wp:positionH>
                <wp:positionV relativeFrom="paragraph">
                  <wp:posOffset>251</wp:posOffset>
                </wp:positionV>
                <wp:extent cx="1826895" cy="751840"/>
                <wp:effectExtent l="0" t="0" r="1905" b="149860"/>
                <wp:wrapSquare wrapText="bothSides"/>
                <wp:docPr id="47" name="Rounded Rectangular Callout 47"/>
                <wp:cNvGraphicFramePr/>
                <a:graphic xmlns:a="http://schemas.openxmlformats.org/drawingml/2006/main">
                  <a:graphicData uri="http://schemas.microsoft.com/office/word/2010/wordprocessingShape">
                    <wps:wsp>
                      <wps:cNvSpPr/>
                      <wps:spPr>
                        <a:xfrm>
                          <a:off x="0" y="0"/>
                          <a:ext cx="1826895" cy="751840"/>
                        </a:xfrm>
                        <a:prstGeom prst="wedgeRoundRectCallout">
                          <a:avLst>
                            <a:gd name="adj1" fmla="val -10714"/>
                            <a:gd name="adj2" fmla="val 697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A1811" w14:textId="77777777" w:rsidR="007E2D07" w:rsidRDefault="007E2D07" w:rsidP="0087538D">
                            <w:pPr>
                              <w:spacing w:line="240" w:lineRule="auto"/>
                              <w:jc w:val="center"/>
                            </w:pPr>
                            <w:r>
                              <w:t>“Ensuring teachers have access to professional learning will vastly increase the buy-in and effective teaching of STEM” –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D356F" id="Rounded Rectangular Callout 47" o:spid="_x0000_s1069" type="#_x0000_t62" style="position:absolute;margin-left:336.15pt;margin-top:0;width:143.85pt;height:5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" adj="8486,25866" fillcolor="#f4c6cd [660]" stroked="f" strokeweight="2pt">
                <v:textbox inset="0,0,0,0">
                  <w:txbxContent>
                    <w:p w14:paraId="29FA1811" w14:textId="77777777" w:rsidR="007E2D07" w:rsidRDefault="007E2D07" w:rsidP="0087538D">
                      <w:pPr>
                        <w:spacing w:line="240" w:lineRule="auto"/>
                        <w:jc w:val="center"/>
                      </w:pPr>
                      <w:r>
                        <w:t>“Ensuring teachers have access to professional learning will vastly increase the buy-in and effective teaching of STEM” – Principal</w:t>
                      </w:r>
                    </w:p>
                  </w:txbxContent>
                </v:textbox>
                <w10:wrap type="square"/>
              </v:shape>
            </w:pict>
          </mc:Fallback>
        </mc:AlternateContent>
      </w:r>
      <w:r w:rsidR="007028FE" w:rsidRPr="00292D9C">
        <w:rPr>
          <w:lang w:eastAsia="en-GB"/>
        </w:rPr>
        <w:t xml:space="preserve">Stakeholders </w:t>
      </w:r>
      <w:r w:rsidR="00082086">
        <w:rPr>
          <w:lang w:eastAsia="en-GB"/>
        </w:rPr>
        <w:t>generally</w:t>
      </w:r>
      <w:r w:rsidR="007028FE" w:rsidRPr="00292D9C">
        <w:rPr>
          <w:lang w:eastAsia="en-GB"/>
        </w:rPr>
        <w:t xml:space="preserve"> agreed that the science learning area is sufficiently catered for by existing STEM initiatives and did not see this as a significant gap</w:t>
      </w:r>
      <w:r w:rsidR="001D188E" w:rsidRPr="00292D9C">
        <w:rPr>
          <w:lang w:eastAsia="en-GB"/>
        </w:rPr>
        <w:t xml:space="preserve"> which needs to be addressed by </w:t>
      </w:r>
      <w:r w:rsidR="000D25AB" w:rsidRPr="00292D9C">
        <w:rPr>
          <w:lang w:eastAsia="en-GB"/>
        </w:rPr>
        <w:t>g</w:t>
      </w:r>
      <w:r w:rsidR="001D188E" w:rsidRPr="00292D9C">
        <w:rPr>
          <w:lang w:eastAsia="en-GB"/>
        </w:rPr>
        <w:t>overnment</w:t>
      </w:r>
      <w:r w:rsidR="007028FE" w:rsidRPr="00292D9C">
        <w:rPr>
          <w:lang w:eastAsia="en-GB"/>
        </w:rPr>
        <w:t>.</w:t>
      </w:r>
    </w:p>
    <w:p w14:paraId="1294E70D" w14:textId="77777777" w:rsidR="006065B9" w:rsidRPr="00292D9C" w:rsidRDefault="001D188E" w:rsidP="00A616D5">
      <w:pPr>
        <w:pStyle w:val="Heading2Normal"/>
        <w:spacing w:before="0" w:after="120"/>
        <w:rPr>
          <w:rFonts w:asciiTheme="minorHAnsi" w:hAnsiTheme="minorHAnsi"/>
          <w:lang w:eastAsia="en-GB"/>
        </w:rPr>
      </w:pPr>
      <w:bookmarkStart w:id="146" w:name="_Toc21088267"/>
      <w:bookmarkStart w:id="147" w:name="_Toc23504240"/>
      <w:bookmarkStart w:id="148" w:name="_Toc25162074"/>
      <w:r w:rsidRPr="00292D9C">
        <w:rPr>
          <w:rFonts w:asciiTheme="minorHAnsi" w:eastAsia="Times New Roman" w:hAnsiTheme="minorHAnsi" w:cs="Times New Roman"/>
          <w:noProof/>
          <w:color w:val="auto"/>
          <w:szCs w:val="22"/>
          <w:lang w:eastAsia="en-AU"/>
        </w:rPr>
        <mc:AlternateContent>
          <mc:Choice Requires="wps">
            <w:drawing>
              <wp:anchor distT="0" distB="0" distL="114300" distR="114300" simplePos="0" relativeHeight="251843584" behindDoc="0" locked="0" layoutInCell="1" allowOverlap="1" wp14:anchorId="21AA83A9" wp14:editId="2589B1E1">
                <wp:simplePos x="0" y="0"/>
                <wp:positionH relativeFrom="column">
                  <wp:posOffset>4281805</wp:posOffset>
                </wp:positionH>
                <wp:positionV relativeFrom="paragraph">
                  <wp:posOffset>135178</wp:posOffset>
                </wp:positionV>
                <wp:extent cx="1838960" cy="941705"/>
                <wp:effectExtent l="0" t="0" r="2540" b="125095"/>
                <wp:wrapSquare wrapText="bothSides"/>
                <wp:docPr id="62" name="Rounded Rectangular Callout 62"/>
                <wp:cNvGraphicFramePr/>
                <a:graphic xmlns:a="http://schemas.openxmlformats.org/drawingml/2006/main">
                  <a:graphicData uri="http://schemas.microsoft.com/office/word/2010/wordprocessingShape">
                    <wps:wsp>
                      <wps:cNvSpPr/>
                      <wps:spPr>
                        <a:xfrm>
                          <a:off x="0" y="0"/>
                          <a:ext cx="1838960" cy="941705"/>
                        </a:xfrm>
                        <a:prstGeom prst="wedgeRoundRectCallout">
                          <a:avLst>
                            <a:gd name="adj1" fmla="val -9609"/>
                            <a:gd name="adj2" fmla="val 63278"/>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A999B" w14:textId="77777777" w:rsidR="007E2D07" w:rsidRDefault="007E2D07" w:rsidP="00D73157">
                            <w:pPr>
                              <w:spacing w:line="240" w:lineRule="auto"/>
                              <w:jc w:val="center"/>
                            </w:pPr>
                            <w:r>
                              <w:t>“There is a great need for freely-available, high-quality lesson plans. The government needs to pay for experts to edit these for quality.” - Stakeholder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A83A9" id="Rounded Rectangular Callout 62" o:spid="_x0000_s1070" type="#_x0000_t62" style="position:absolute;margin-left:337.15pt;margin-top:10.65pt;width:144.8pt;height:74.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" adj="8724,24468" fillcolor="#f4c6cd [660]" stroked="f" strokeweight="2pt">
                <v:textbox inset="0,0,0,0">
                  <w:txbxContent>
                    <w:p w14:paraId="365A999B" w14:textId="77777777" w:rsidR="007E2D07" w:rsidRDefault="007E2D07" w:rsidP="00D73157">
                      <w:pPr>
                        <w:spacing w:line="240" w:lineRule="auto"/>
                        <w:jc w:val="center"/>
                      </w:pPr>
                      <w:r>
                        <w:t>“There is a great need for freely-available, high-quality lesson plans. The government needs to pay for experts to edit these for quality.” - Stakeholder</w:t>
                      </w:r>
                    </w:p>
                  </w:txbxContent>
                </v:textbox>
                <w10:wrap type="square"/>
              </v:shape>
            </w:pict>
          </mc:Fallback>
        </mc:AlternateContent>
      </w:r>
      <w:bookmarkStart w:id="149" w:name="_Toc16707174"/>
      <w:r w:rsidR="00B0588C" w:rsidRPr="00292D9C">
        <w:rPr>
          <w:rFonts w:asciiTheme="minorHAnsi" w:hAnsiTheme="minorHAnsi"/>
          <w:lang w:eastAsia="en-GB"/>
        </w:rPr>
        <w:t xml:space="preserve">8.5. </w:t>
      </w:r>
      <w:r w:rsidR="000F5954" w:rsidRPr="00292D9C">
        <w:rPr>
          <w:rFonts w:asciiTheme="minorHAnsi" w:hAnsiTheme="minorHAnsi"/>
          <w:lang w:eastAsia="en-GB"/>
        </w:rPr>
        <w:t>What should the output or product be?</w:t>
      </w:r>
      <w:bookmarkEnd w:id="146"/>
      <w:bookmarkEnd w:id="147"/>
      <w:bookmarkEnd w:id="148"/>
      <w:bookmarkEnd w:id="149"/>
      <w:r w:rsidR="000F5954" w:rsidRPr="00292D9C">
        <w:rPr>
          <w:rFonts w:asciiTheme="minorHAnsi" w:hAnsiTheme="minorHAnsi"/>
          <w:lang w:eastAsia="en-GB"/>
        </w:rPr>
        <w:t xml:space="preserve"> </w:t>
      </w:r>
    </w:p>
    <w:p w14:paraId="75709F6F" w14:textId="77777777" w:rsidR="00017CDA" w:rsidRPr="00292D9C" w:rsidRDefault="00017CDA" w:rsidP="00A616D5">
      <w:pPr>
        <w:pStyle w:val="Heading3Normal"/>
        <w:spacing w:before="0" w:after="120"/>
        <w:rPr>
          <w:rFonts w:asciiTheme="minorHAnsi" w:hAnsiTheme="minorHAnsi"/>
          <w:lang w:eastAsia="en-GB"/>
        </w:rPr>
      </w:pPr>
      <w:r w:rsidRPr="00292D9C">
        <w:rPr>
          <w:rFonts w:asciiTheme="minorHAnsi" w:hAnsiTheme="minorHAnsi"/>
          <w:lang w:eastAsia="en-GB"/>
        </w:rPr>
        <w:t xml:space="preserve">Prioritise professional development and resources over student mentoring </w:t>
      </w:r>
    </w:p>
    <w:p w14:paraId="7CA14AA0" w14:textId="77777777" w:rsidR="001F0B81" w:rsidRPr="00292D9C" w:rsidRDefault="004B31AB" w:rsidP="00A616D5">
      <w:pPr>
        <w:rPr>
          <w:lang w:eastAsia="en-GB"/>
        </w:rPr>
      </w:pPr>
      <w:r w:rsidRPr="00292D9C">
        <w:rPr>
          <w:rFonts w:eastAsia="Times New Roman" w:cs="Times New Roman"/>
          <w:noProof/>
          <w:color w:val="auto"/>
          <w:szCs w:val="22"/>
          <w:lang w:eastAsia="en-AU"/>
        </w:rPr>
        <mc:AlternateContent>
          <mc:Choice Requires="wps">
            <w:drawing>
              <wp:anchor distT="0" distB="0" distL="114300" distR="114300" simplePos="0" relativeHeight="251809792" behindDoc="0" locked="0" layoutInCell="1" allowOverlap="1" wp14:anchorId="2E79C328" wp14:editId="104094C6">
                <wp:simplePos x="0" y="0"/>
                <wp:positionH relativeFrom="column">
                  <wp:posOffset>4287453</wp:posOffset>
                </wp:positionH>
                <wp:positionV relativeFrom="paragraph">
                  <wp:posOffset>548606</wp:posOffset>
                </wp:positionV>
                <wp:extent cx="1858645" cy="1075055"/>
                <wp:effectExtent l="0" t="0" r="0" b="144145"/>
                <wp:wrapSquare wrapText="bothSides"/>
                <wp:docPr id="88" name="Rounded Rectangular Callout 88"/>
                <wp:cNvGraphicFramePr/>
                <a:graphic xmlns:a="http://schemas.openxmlformats.org/drawingml/2006/main">
                  <a:graphicData uri="http://schemas.microsoft.com/office/word/2010/wordprocessingShape">
                    <wps:wsp>
                      <wps:cNvSpPr/>
                      <wps:spPr>
                        <a:xfrm>
                          <a:off x="0" y="0"/>
                          <a:ext cx="1858645" cy="1075055"/>
                        </a:xfrm>
                        <a:prstGeom prst="wedgeRoundRectCallout">
                          <a:avLst>
                            <a:gd name="adj1" fmla="val -10714"/>
                            <a:gd name="adj2" fmla="val 62551"/>
                            <a:gd name="adj3" fmla="val 1666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03C216" w14:textId="77777777" w:rsidR="007E2D07" w:rsidRDefault="007E2D07" w:rsidP="0087538D">
                            <w:pPr>
                              <w:spacing w:line="240" w:lineRule="auto"/>
                              <w:jc w:val="center"/>
                            </w:pPr>
                            <w:r>
                              <w:t>“Improving teacher quality and status through training and professional development, as well as funding individual planning time for teachers, would make a difference” –Principal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C328" id="Rounded Rectangular Callout 88" o:spid="_x0000_s1071" type="#_x0000_t62" style="position:absolute;margin-left:337.6pt;margin-top:43.2pt;width:146.35pt;height:84.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" adj="8486,24311" fillcolor="#f4c6cd [660]" stroked="f" strokeweight="2pt">
                <v:textbox inset="0,0,0,0">
                  <w:txbxContent>
                    <w:p w14:paraId="0703C216" w14:textId="77777777" w:rsidR="007E2D07" w:rsidRDefault="007E2D07" w:rsidP="0087538D">
                      <w:pPr>
                        <w:spacing w:line="240" w:lineRule="auto"/>
                        <w:jc w:val="center"/>
                      </w:pPr>
                      <w:r>
                        <w:t>“Improving teacher quality and status through training and professional development, as well as funding individual planning time for teachers, would make a difference” –Principal</w:t>
                      </w:r>
                    </w:p>
                  </w:txbxContent>
                </v:textbox>
                <w10:wrap type="square"/>
              </v:shape>
            </w:pict>
          </mc:Fallback>
        </mc:AlternateContent>
      </w:r>
      <w:r w:rsidR="00017CDA" w:rsidRPr="00292D9C">
        <w:rPr>
          <w:lang w:eastAsia="en-GB"/>
        </w:rPr>
        <w:t>Consistent with the view that teachers should be the main target audience, t</w:t>
      </w:r>
      <w:r w:rsidR="00EA7A70" w:rsidRPr="00292D9C">
        <w:rPr>
          <w:lang w:eastAsia="en-GB"/>
        </w:rPr>
        <w:t>he most beneficial</w:t>
      </w:r>
      <w:r w:rsidR="001F0B81" w:rsidRPr="00292D9C">
        <w:rPr>
          <w:lang w:eastAsia="en-GB"/>
        </w:rPr>
        <w:t xml:space="preserve"> categories </w:t>
      </w:r>
      <w:r w:rsidR="003746D8" w:rsidRPr="00292D9C">
        <w:rPr>
          <w:lang w:eastAsia="en-GB"/>
        </w:rPr>
        <w:t xml:space="preserve">for products </w:t>
      </w:r>
      <w:r w:rsidR="001F0B81" w:rsidRPr="00292D9C">
        <w:rPr>
          <w:lang w:eastAsia="en-GB"/>
        </w:rPr>
        <w:t xml:space="preserve">are professional </w:t>
      </w:r>
      <w:r w:rsidR="00D6794C" w:rsidRPr="00292D9C">
        <w:rPr>
          <w:lang w:eastAsia="en-GB"/>
        </w:rPr>
        <w:t xml:space="preserve">learning </w:t>
      </w:r>
      <w:r w:rsidR="00EA7A70" w:rsidRPr="00292D9C">
        <w:rPr>
          <w:lang w:eastAsia="en-GB"/>
        </w:rPr>
        <w:t xml:space="preserve">and </w:t>
      </w:r>
      <w:r w:rsidR="001F0B81" w:rsidRPr="00292D9C">
        <w:rPr>
          <w:lang w:eastAsia="en-GB"/>
        </w:rPr>
        <w:t>classroom material</w:t>
      </w:r>
      <w:r w:rsidR="00D6794C" w:rsidRPr="00292D9C">
        <w:rPr>
          <w:lang w:eastAsia="en-GB"/>
        </w:rPr>
        <w:t>s</w:t>
      </w:r>
      <w:r w:rsidR="001F0B81" w:rsidRPr="00292D9C">
        <w:rPr>
          <w:lang w:eastAsia="en-GB"/>
        </w:rPr>
        <w:t xml:space="preserve">/resources. </w:t>
      </w:r>
      <w:r w:rsidR="000F5954" w:rsidRPr="00292D9C">
        <w:rPr>
          <w:lang w:eastAsia="en-GB"/>
        </w:rPr>
        <w:t xml:space="preserve">Both professional development and resources can help to build teacher capability in STEM. </w:t>
      </w:r>
      <w:r w:rsidR="00D6794C" w:rsidRPr="00292D9C">
        <w:rPr>
          <w:lang w:eastAsia="en-GB"/>
        </w:rPr>
        <w:t>This is in alignment with the Australian Government’s current approach which focuses on professional learning.</w:t>
      </w:r>
    </w:p>
    <w:p w14:paraId="52B8CC24" w14:textId="77777777" w:rsidR="00F93B2A" w:rsidRPr="00292D9C" w:rsidRDefault="00F93B2A" w:rsidP="00A616D5">
      <w:pPr>
        <w:rPr>
          <w:b/>
          <w:color w:val="8C8686" w:themeColor="accent4"/>
          <w:lang w:eastAsia="en-GB"/>
        </w:rPr>
      </w:pPr>
      <w:r w:rsidRPr="00292D9C">
        <w:rPr>
          <w:b/>
          <w:color w:val="8C8686" w:themeColor="accent4"/>
          <w:lang w:val="en-US" w:eastAsia="en-GB"/>
        </w:rPr>
        <w:t>Invest in other product</w:t>
      </w:r>
      <w:r w:rsidR="00267459" w:rsidRPr="00292D9C">
        <w:rPr>
          <w:b/>
          <w:color w:val="8C8686" w:themeColor="accent4"/>
          <w:lang w:val="en-US" w:eastAsia="en-GB"/>
        </w:rPr>
        <w:t>s</w:t>
      </w:r>
      <w:r w:rsidRPr="00292D9C">
        <w:rPr>
          <w:b/>
          <w:color w:val="8C8686" w:themeColor="accent4"/>
          <w:lang w:val="en-US" w:eastAsia="en-GB"/>
        </w:rPr>
        <w:t xml:space="preserve"> that focus on coordination</w:t>
      </w:r>
      <w:r w:rsidR="00E42E50" w:rsidRPr="00292D9C">
        <w:rPr>
          <w:b/>
          <w:color w:val="8C8686" w:themeColor="accent4"/>
          <w:lang w:val="en-US" w:eastAsia="en-GB"/>
        </w:rPr>
        <w:t xml:space="preserve"> and </w:t>
      </w:r>
      <w:r w:rsidRPr="00292D9C">
        <w:rPr>
          <w:b/>
          <w:color w:val="8C8686" w:themeColor="accent4"/>
          <w:lang w:val="en-US" w:eastAsia="en-GB"/>
        </w:rPr>
        <w:t>evidence</w:t>
      </w:r>
    </w:p>
    <w:p w14:paraId="167C7033" w14:textId="77777777" w:rsidR="00E92C1B" w:rsidRPr="00292D9C" w:rsidRDefault="0011129E" w:rsidP="00A616D5">
      <w:pPr>
        <w:rPr>
          <w:lang w:eastAsia="en-GB"/>
        </w:rPr>
      </w:pPr>
      <w:r w:rsidRPr="00292D9C">
        <w:rPr>
          <w:lang w:eastAsia="en-GB"/>
        </w:rPr>
        <w:t xml:space="preserve">There are opportunities for the </w:t>
      </w:r>
      <w:r w:rsidR="00E6451D">
        <w:rPr>
          <w:lang w:eastAsia="en-GB"/>
        </w:rPr>
        <w:t>Australian Government</w:t>
      </w:r>
      <w:r w:rsidRPr="00292D9C">
        <w:rPr>
          <w:lang w:eastAsia="en-GB"/>
        </w:rPr>
        <w:t xml:space="preserve"> to offer additional products that focus </w:t>
      </w:r>
      <w:r w:rsidR="00017CDA" w:rsidRPr="00292D9C">
        <w:rPr>
          <w:lang w:eastAsia="en-GB"/>
        </w:rPr>
        <w:t xml:space="preserve">on </w:t>
      </w:r>
      <w:r w:rsidRPr="00292D9C">
        <w:rPr>
          <w:lang w:eastAsia="en-GB"/>
        </w:rPr>
        <w:t>coordination</w:t>
      </w:r>
      <w:r w:rsidR="00E42E50" w:rsidRPr="00292D9C">
        <w:rPr>
          <w:lang w:eastAsia="en-GB"/>
        </w:rPr>
        <w:t xml:space="preserve"> and evidence –</w:t>
      </w:r>
      <w:r w:rsidR="00293445" w:rsidRPr="00292D9C">
        <w:rPr>
          <w:lang w:eastAsia="en-GB"/>
        </w:rPr>
        <w:t xml:space="preserve"> roles identified as high value in </w:t>
      </w:r>
      <w:r w:rsidR="00293445" w:rsidRPr="00332210">
        <w:rPr>
          <w:lang w:eastAsia="en-GB"/>
        </w:rPr>
        <w:t xml:space="preserve">Section </w:t>
      </w:r>
      <w:r w:rsidR="00332210" w:rsidRPr="00332210">
        <w:rPr>
          <w:lang w:eastAsia="en-GB"/>
        </w:rPr>
        <w:t>5</w:t>
      </w:r>
      <w:r w:rsidRPr="00292D9C">
        <w:rPr>
          <w:lang w:eastAsia="en-GB"/>
        </w:rPr>
        <w:t xml:space="preserve">. </w:t>
      </w:r>
      <w:r w:rsidR="005C3966" w:rsidRPr="00292D9C">
        <w:rPr>
          <w:lang w:eastAsia="en-GB"/>
        </w:rPr>
        <w:t>C</w:t>
      </w:r>
      <w:r w:rsidR="00E42E50" w:rsidRPr="00292D9C">
        <w:rPr>
          <w:lang w:eastAsia="en-GB"/>
        </w:rPr>
        <w:t>oordination might include investing in an online portal that provides a directory of current initiatives across the STEM education space, accompanied by evidence about why these particular approaches are effective. An example</w:t>
      </w:r>
      <w:r w:rsidR="005C3966" w:rsidRPr="00292D9C">
        <w:rPr>
          <w:lang w:eastAsia="en-GB"/>
        </w:rPr>
        <w:t xml:space="preserve"> of a tool which </w:t>
      </w:r>
      <w:r w:rsidR="00E92C1B" w:rsidRPr="00292D9C">
        <w:rPr>
          <w:lang w:eastAsia="en-GB"/>
        </w:rPr>
        <w:t xml:space="preserve">currently </w:t>
      </w:r>
      <w:r w:rsidR="005C3966" w:rsidRPr="00292D9C">
        <w:rPr>
          <w:lang w:eastAsia="en-GB"/>
        </w:rPr>
        <w:t xml:space="preserve">promotes coordination is </w:t>
      </w:r>
      <w:proofErr w:type="spellStart"/>
      <w:r w:rsidR="005C3966" w:rsidRPr="00292D9C">
        <w:rPr>
          <w:lang w:eastAsia="en-GB"/>
        </w:rPr>
        <w:t>STARportal</w:t>
      </w:r>
      <w:proofErr w:type="spellEnd"/>
      <w:r w:rsidR="005C3966" w:rsidRPr="00292D9C">
        <w:rPr>
          <w:lang w:eastAsia="en-GB"/>
        </w:rPr>
        <w:t>, which was developed by the Office of the Chief Scientist in collaboration with Engineers Australia and other industry partners. It aims to connect parents, teachers and student with information about STEM activities and includes a section for providers.</w:t>
      </w:r>
      <w:r w:rsidR="00E35608">
        <w:rPr>
          <w:lang w:eastAsia="en-GB"/>
        </w:rPr>
        <w:t xml:space="preserve"> </w:t>
      </w:r>
      <w:r w:rsidR="00E452BF">
        <w:rPr>
          <w:lang w:eastAsia="en-GB"/>
        </w:rPr>
        <w:t xml:space="preserve">It is important to note that </w:t>
      </w:r>
      <w:proofErr w:type="spellStart"/>
      <w:r w:rsidR="00E452BF">
        <w:t>STARportal’s</w:t>
      </w:r>
      <w:proofErr w:type="spellEnd"/>
      <w:r w:rsidR="00E452BF">
        <w:t xml:space="preserve"> focus is on extracurricular, external school activities. It is not a source of curriculum-aligned teaching and learning resources.</w:t>
      </w:r>
    </w:p>
    <w:p w14:paraId="3EE91651" w14:textId="77777777" w:rsidR="00E92C1B" w:rsidRPr="00292D9C" w:rsidRDefault="003D57B2" w:rsidP="00A616D5">
      <w:pPr>
        <w:rPr>
          <w:lang w:eastAsia="en-GB"/>
        </w:rPr>
      </w:pPr>
      <w:r w:rsidRPr="00292D9C">
        <w:rPr>
          <w:lang w:eastAsia="en-GB"/>
        </w:rPr>
        <w:t xml:space="preserve">Many stakeholders and providers identified a lack of coordination of resources across STEM disciplines as an issue. Investing in products that help educators to identify effective STEM programs and approaches is a key area where the </w:t>
      </w:r>
      <w:r w:rsidR="00E6451D">
        <w:rPr>
          <w:lang w:eastAsia="en-GB"/>
        </w:rPr>
        <w:t>Australian Government</w:t>
      </w:r>
      <w:r w:rsidRPr="00292D9C">
        <w:rPr>
          <w:lang w:eastAsia="en-GB"/>
        </w:rPr>
        <w:t xml:space="preserve"> could add significant value. The Government is well-placed to </w:t>
      </w:r>
      <w:r w:rsidR="00E92C1B" w:rsidRPr="00292D9C">
        <w:rPr>
          <w:lang w:eastAsia="en-GB"/>
        </w:rPr>
        <w:t>fill</w:t>
      </w:r>
      <w:r w:rsidRPr="00292D9C">
        <w:rPr>
          <w:lang w:eastAsia="en-GB"/>
        </w:rPr>
        <w:t xml:space="preserve"> such a role as it is unlikely that other institutions, will invest in these types of tools. </w:t>
      </w:r>
      <w:r w:rsidR="00E35608">
        <w:rPr>
          <w:lang w:eastAsia="en-GB"/>
        </w:rPr>
        <w:t>For example, an Education Council report</w:t>
      </w:r>
      <w:r w:rsidR="00E35608">
        <w:rPr>
          <w:rStyle w:val="FootnoteReference"/>
          <w:lang w:eastAsia="en-GB"/>
        </w:rPr>
        <w:footnoteReference w:id="60"/>
      </w:r>
      <w:r w:rsidR="00E35608">
        <w:rPr>
          <w:lang w:eastAsia="en-GB"/>
        </w:rPr>
        <w:t xml:space="preserve"> described an opportunity for the Australian Government and states and territories to </w:t>
      </w:r>
      <w:r w:rsidR="00E92C1B" w:rsidRPr="00292D9C">
        <w:rPr>
          <w:lang w:eastAsia="en-GB"/>
        </w:rPr>
        <w:t>‘share and synthesise research and evaluation findings to identify successful STEM interventions and inform school practice’.</w:t>
      </w:r>
      <w:r w:rsidR="00E35608">
        <w:rPr>
          <w:lang w:eastAsia="en-GB"/>
        </w:rPr>
        <w:t xml:space="preserve"> The report </w:t>
      </w:r>
      <w:r w:rsidR="00E92C1B" w:rsidRPr="00292D9C">
        <w:rPr>
          <w:lang w:eastAsia="en-GB"/>
        </w:rPr>
        <w:t>shared information about existing STEM initiatives, including evaluation findings, to establish a stronger evidence base to improve understanding around what works in the Australian context. Such insights could inform content contained on the portal.</w:t>
      </w:r>
    </w:p>
    <w:p w14:paraId="0F09E756" w14:textId="77777777" w:rsidR="00916193" w:rsidRPr="00292D9C" w:rsidRDefault="00916193" w:rsidP="00A616D5">
      <w:pPr>
        <w:pStyle w:val="Heading2"/>
        <w:spacing w:before="0" w:after="120"/>
        <w:rPr>
          <w:rFonts w:asciiTheme="minorHAnsi" w:hAnsiTheme="minorHAnsi"/>
          <w:b/>
          <w:bCs/>
          <w:u w:val="single"/>
          <w:lang w:eastAsia="en-GB"/>
        </w:rPr>
      </w:pPr>
      <w:bookmarkStart w:id="150" w:name="_Toc16707175"/>
      <w:bookmarkStart w:id="151" w:name="_Toc21088268"/>
      <w:bookmarkStart w:id="152" w:name="_Toc23504241"/>
      <w:bookmarkStart w:id="153" w:name="_Toc25162075"/>
      <w:r w:rsidRPr="00292D9C">
        <w:rPr>
          <w:rFonts w:asciiTheme="minorHAnsi" w:hAnsiTheme="minorHAnsi"/>
          <w:b/>
          <w:bCs/>
          <w:u w:val="single"/>
          <w:lang w:eastAsia="en-GB"/>
        </w:rPr>
        <w:t>How</w:t>
      </w:r>
      <w:bookmarkEnd w:id="150"/>
      <w:bookmarkEnd w:id="151"/>
      <w:bookmarkEnd w:id="152"/>
      <w:bookmarkEnd w:id="153"/>
    </w:p>
    <w:p w14:paraId="09FC93C7" w14:textId="77777777" w:rsidR="00F93B2A" w:rsidRPr="00292D9C" w:rsidRDefault="00B0588C" w:rsidP="00A616D5">
      <w:pPr>
        <w:pStyle w:val="Heading2Normal"/>
        <w:spacing w:before="0" w:after="120"/>
        <w:rPr>
          <w:rFonts w:asciiTheme="minorHAnsi" w:hAnsiTheme="minorHAnsi"/>
          <w:lang w:eastAsia="en-GB"/>
        </w:rPr>
      </w:pPr>
      <w:bookmarkStart w:id="154" w:name="_Toc16707176"/>
      <w:bookmarkStart w:id="155" w:name="_Toc21088269"/>
      <w:bookmarkStart w:id="156" w:name="_Toc23504242"/>
      <w:bookmarkStart w:id="157" w:name="_Toc25162076"/>
      <w:r w:rsidRPr="00292D9C">
        <w:rPr>
          <w:rFonts w:asciiTheme="minorHAnsi" w:hAnsiTheme="minorHAnsi"/>
          <w:lang w:eastAsia="en-GB"/>
        </w:rPr>
        <w:t xml:space="preserve">8.6. </w:t>
      </w:r>
      <w:r w:rsidR="000F5954" w:rsidRPr="00292D9C">
        <w:rPr>
          <w:rFonts w:asciiTheme="minorHAnsi" w:hAnsiTheme="minorHAnsi"/>
          <w:lang w:eastAsia="en-GB"/>
        </w:rPr>
        <w:t>What processes, support and partnerships should be in place?</w:t>
      </w:r>
      <w:bookmarkEnd w:id="154"/>
      <w:bookmarkEnd w:id="155"/>
      <w:bookmarkEnd w:id="156"/>
      <w:bookmarkEnd w:id="157"/>
      <w:r w:rsidR="000F5954" w:rsidRPr="00292D9C">
        <w:rPr>
          <w:rFonts w:asciiTheme="minorHAnsi" w:hAnsiTheme="minorHAnsi"/>
          <w:lang w:eastAsia="en-GB"/>
        </w:rPr>
        <w:t xml:space="preserve"> </w:t>
      </w:r>
    </w:p>
    <w:p w14:paraId="39BE0259" w14:textId="77777777" w:rsidR="0075602A" w:rsidRPr="00292D9C" w:rsidRDefault="0092644B" w:rsidP="00A616D5">
      <w:pPr>
        <w:pStyle w:val="Heading3"/>
        <w:numPr>
          <w:ilvl w:val="0"/>
          <w:numId w:val="0"/>
        </w:numPr>
        <w:spacing w:before="0" w:after="120"/>
        <w:rPr>
          <w:rFonts w:asciiTheme="minorHAnsi" w:hAnsiTheme="minorHAnsi"/>
          <w:lang w:eastAsia="en-GB"/>
        </w:rPr>
      </w:pPr>
      <w:r w:rsidRPr="00292D9C">
        <w:rPr>
          <w:rFonts w:asciiTheme="minorHAnsi" w:hAnsiTheme="minorHAnsi"/>
          <w:lang w:eastAsia="en-GB"/>
        </w:rPr>
        <w:t>Continue to support</w:t>
      </w:r>
      <w:r w:rsidR="00552117" w:rsidRPr="00292D9C">
        <w:rPr>
          <w:rFonts w:asciiTheme="minorHAnsi" w:hAnsiTheme="minorHAnsi"/>
          <w:lang w:eastAsia="en-GB"/>
        </w:rPr>
        <w:t xml:space="preserve"> </w:t>
      </w:r>
      <w:r w:rsidR="0075602A" w:rsidRPr="00292D9C">
        <w:rPr>
          <w:rFonts w:asciiTheme="minorHAnsi" w:hAnsiTheme="minorHAnsi"/>
          <w:lang w:eastAsia="en-GB"/>
        </w:rPr>
        <w:t>independent evaluations</w:t>
      </w:r>
      <w:r w:rsidRPr="00292D9C">
        <w:rPr>
          <w:rFonts w:asciiTheme="minorHAnsi" w:hAnsiTheme="minorHAnsi"/>
          <w:lang w:eastAsia="en-GB"/>
        </w:rPr>
        <w:t>, and consider</w:t>
      </w:r>
      <w:r w:rsidR="0075602A" w:rsidRPr="00292D9C">
        <w:rPr>
          <w:rFonts w:asciiTheme="minorHAnsi" w:hAnsiTheme="minorHAnsi"/>
          <w:lang w:eastAsia="en-GB"/>
        </w:rPr>
        <w:t xml:space="preserve"> </w:t>
      </w:r>
      <w:r w:rsidRPr="00292D9C">
        <w:rPr>
          <w:rFonts w:asciiTheme="minorHAnsi" w:hAnsiTheme="minorHAnsi"/>
          <w:lang w:eastAsia="en-GB"/>
        </w:rPr>
        <w:t>using</w:t>
      </w:r>
      <w:r w:rsidR="0075602A" w:rsidRPr="00292D9C">
        <w:rPr>
          <w:rFonts w:asciiTheme="minorHAnsi" w:hAnsiTheme="minorHAnsi"/>
          <w:lang w:eastAsia="en-GB"/>
        </w:rPr>
        <w:t xml:space="preserve"> a standardi</w:t>
      </w:r>
      <w:r w:rsidRPr="00292D9C">
        <w:rPr>
          <w:rFonts w:asciiTheme="minorHAnsi" w:hAnsiTheme="minorHAnsi"/>
          <w:lang w:eastAsia="en-GB"/>
        </w:rPr>
        <w:t>s</w:t>
      </w:r>
      <w:r w:rsidR="0075602A" w:rsidRPr="00292D9C">
        <w:rPr>
          <w:rFonts w:asciiTheme="minorHAnsi" w:hAnsiTheme="minorHAnsi"/>
          <w:lang w:eastAsia="en-GB"/>
        </w:rPr>
        <w:t xml:space="preserve">ed evaluation framework </w:t>
      </w:r>
    </w:p>
    <w:p w14:paraId="496CEDFE" w14:textId="77777777" w:rsidR="00884BA3" w:rsidRPr="00292D9C" w:rsidRDefault="00060A7E" w:rsidP="00A616D5">
      <w:pPr>
        <w:rPr>
          <w:lang w:eastAsia="en-GB"/>
        </w:rPr>
      </w:pPr>
      <w:r w:rsidRPr="00292D9C">
        <w:rPr>
          <w:lang w:eastAsia="en-GB"/>
        </w:rPr>
        <w:t xml:space="preserve">It’s critical to build and maintain an evidence-base that contributes to an understanding of what ‘works’ and doesn’t ‘work’ in STEM education. The Australian Government should continue commissioning independent evaluations </w:t>
      </w:r>
      <w:r w:rsidR="0092644B" w:rsidRPr="00292D9C">
        <w:rPr>
          <w:lang w:eastAsia="en-GB"/>
        </w:rPr>
        <w:t>of NISA initiatives</w:t>
      </w:r>
      <w:r w:rsidRPr="00292D9C">
        <w:rPr>
          <w:lang w:eastAsia="en-GB"/>
        </w:rPr>
        <w:t xml:space="preserve"> to support this. </w:t>
      </w:r>
      <w:r w:rsidR="0092644B" w:rsidRPr="00292D9C">
        <w:rPr>
          <w:lang w:eastAsia="en-GB"/>
        </w:rPr>
        <w:t xml:space="preserve">However, one major challenge in gathering meaningful data from evaluations is inconsistent data collection and impact measures. One way to mitigate this in future would be to create a standardised evaluation framework that suppliers can use to gather and report on data. This would include some flexibility around initiative objectives and specific outcomes. The STEM education toolkit commissioned by the Department and developed by </w:t>
      </w:r>
      <w:proofErr w:type="spellStart"/>
      <w:r w:rsidR="0092644B" w:rsidRPr="00292D9C">
        <w:rPr>
          <w:lang w:eastAsia="en-GB"/>
        </w:rPr>
        <w:t>dandolopartners</w:t>
      </w:r>
      <w:proofErr w:type="spellEnd"/>
      <w:r w:rsidR="0092644B" w:rsidRPr="00292D9C">
        <w:rPr>
          <w:lang w:eastAsia="en-GB"/>
        </w:rPr>
        <w:t xml:space="preserve"> provides a standardised framework which has been tested in this evaluation. This Department could pursue use of this framework as standard practice. Ensuring consistent data collection will enable policy makers and the sector to make better decisions around the evolving nature of best-practice approaches, for example the tension between teaching STEM in an integrated or siloed approach. </w:t>
      </w:r>
    </w:p>
    <w:p w14:paraId="72F3050F" w14:textId="77777777" w:rsidR="00552117" w:rsidRPr="00292D9C" w:rsidRDefault="00F13125" w:rsidP="00A616D5">
      <w:pPr>
        <w:rPr>
          <w:lang w:eastAsia="en-GB"/>
        </w:rPr>
      </w:pPr>
      <w:r w:rsidRPr="00292D9C">
        <w:rPr>
          <w:lang w:eastAsia="en-GB"/>
        </w:rPr>
        <w:br w:type="page"/>
      </w:r>
    </w:p>
    <w:p w14:paraId="7015FDD8" w14:textId="77777777" w:rsidR="00BE6BEF" w:rsidRDefault="00B52150" w:rsidP="00A616D5">
      <w:pPr>
        <w:pStyle w:val="Heading1"/>
        <w:numPr>
          <w:ilvl w:val="0"/>
          <w:numId w:val="0"/>
        </w:numPr>
        <w:spacing w:before="0" w:after="120" w:line="360" w:lineRule="auto"/>
        <w:rPr>
          <w:rFonts w:asciiTheme="minorHAnsi" w:hAnsiTheme="minorHAnsi"/>
        </w:rPr>
      </w:pPr>
      <w:bookmarkStart w:id="158" w:name="_Toc25162077"/>
      <w:r w:rsidRPr="00292D9C">
        <w:rPr>
          <w:rFonts w:asciiTheme="minorHAnsi" w:hAnsiTheme="minorHAnsi"/>
        </w:rPr>
        <w:t xml:space="preserve">Appendix </w:t>
      </w:r>
      <w:r w:rsidR="00FE1B52" w:rsidRPr="00292D9C">
        <w:rPr>
          <w:rFonts w:asciiTheme="minorHAnsi" w:hAnsiTheme="minorHAnsi"/>
        </w:rPr>
        <w:t>1</w:t>
      </w:r>
      <w:r w:rsidRPr="00292D9C">
        <w:rPr>
          <w:rFonts w:asciiTheme="minorHAnsi" w:hAnsiTheme="minorHAnsi"/>
        </w:rPr>
        <w:t xml:space="preserve">: </w:t>
      </w:r>
      <w:r w:rsidR="00BE6BEF">
        <w:rPr>
          <w:rFonts w:asciiTheme="minorHAnsi" w:hAnsiTheme="minorHAnsi"/>
        </w:rPr>
        <w:t>Stakeholder consultation detail</w:t>
      </w:r>
      <w:bookmarkEnd w:id="158"/>
    </w:p>
    <w:p w14:paraId="16B828CE" w14:textId="77777777" w:rsidR="00BE6BEF" w:rsidRDefault="00BE6BEF" w:rsidP="00BE6BEF">
      <w:pPr>
        <w:rPr>
          <w:rFonts w:cs="Century Gothic"/>
          <w:color w:val="931B2F" w:themeColor="background2"/>
          <w:sz w:val="54"/>
        </w:rPr>
      </w:pPr>
      <w:r>
        <w:t xml:space="preserve">The table below provides a detailed breakdown of stakeholder consultation for this project. Stakeholders were engaged via phone and face-to-face interviews, and focus groups. </w:t>
      </w:r>
      <w:r w:rsidR="00FF6DDF">
        <w:t>I</w:t>
      </w:r>
      <w:r>
        <w:t xml:space="preserve">t’s important to note that engagement with stakeholders varied on a case-by-case basis. For example, stakeholders were asked broad, open-ended questions that were tailored to context and stakeholder responses. Stakeholders engaged in the process on the basis of anonymity, this means that </w:t>
      </w:r>
      <w:r w:rsidR="001B071A">
        <w:t xml:space="preserve">we are unable to attribute specific </w:t>
      </w:r>
      <w:r w:rsidR="00D971D6">
        <w:t xml:space="preserve">stakeholder views by identifying factors, e.g. organisation or name.  </w:t>
      </w:r>
    </w:p>
    <w:tbl>
      <w:tblPr>
        <w:tblStyle w:val="BoxGrid-Coloured"/>
        <w:tblW w:w="0" w:type="auto"/>
        <w:tblLook w:val="04A0" w:firstRow="1" w:lastRow="0" w:firstColumn="1" w:lastColumn="0" w:noHBand="0" w:noVBand="1"/>
      </w:tblPr>
      <w:tblGrid>
        <w:gridCol w:w="2299"/>
        <w:gridCol w:w="6752"/>
      </w:tblGrid>
      <w:tr w:rsidR="00BE6BEF" w:rsidRPr="00FE3B6B" w14:paraId="157343D7" w14:textId="77777777" w:rsidTr="00152B8F">
        <w:tc>
          <w:tcPr>
            <w:tcW w:w="9618" w:type="dxa"/>
            <w:gridSpan w:val="2"/>
            <w:shd w:val="clear" w:color="auto" w:fill="931B2F" w:themeFill="background2"/>
          </w:tcPr>
          <w:p w14:paraId="32021884" w14:textId="77777777" w:rsidR="00BE6BEF" w:rsidRPr="00FE3B6B" w:rsidRDefault="00BE6BEF" w:rsidP="00152B8F">
            <w:pPr>
              <w:spacing w:after="0" w:line="240" w:lineRule="auto"/>
              <w:rPr>
                <w:b/>
                <w:bCs/>
                <w:color w:val="FFFFFF" w:themeColor="background1"/>
                <w:sz w:val="20"/>
              </w:rPr>
            </w:pPr>
            <w:r w:rsidRPr="00FE3B6B">
              <w:rPr>
                <w:b/>
                <w:bCs/>
                <w:color w:val="FFFFFF" w:themeColor="background1"/>
                <w:sz w:val="20"/>
              </w:rPr>
              <w:t xml:space="preserve">Stakeholders consulted </w:t>
            </w:r>
          </w:p>
        </w:tc>
      </w:tr>
      <w:tr w:rsidR="00BE6BEF" w:rsidRPr="00FE3B6B" w14:paraId="1F8DC929" w14:textId="77777777" w:rsidTr="00152B8F">
        <w:tc>
          <w:tcPr>
            <w:tcW w:w="2400" w:type="dxa"/>
            <w:shd w:val="clear" w:color="auto" w:fill="auto"/>
          </w:tcPr>
          <w:p w14:paraId="01FE5851" w14:textId="77777777" w:rsidR="00BE6BEF" w:rsidRPr="00FE3B6B" w:rsidRDefault="00BE6BEF" w:rsidP="00152B8F">
            <w:pPr>
              <w:spacing w:after="0" w:line="240" w:lineRule="auto"/>
              <w:rPr>
                <w:b/>
                <w:bCs/>
                <w:sz w:val="20"/>
              </w:rPr>
            </w:pPr>
            <w:r w:rsidRPr="00FE3B6B">
              <w:rPr>
                <w:b/>
                <w:bCs/>
                <w:sz w:val="20"/>
              </w:rPr>
              <w:t>Name</w:t>
            </w:r>
          </w:p>
        </w:tc>
        <w:tc>
          <w:tcPr>
            <w:tcW w:w="7218" w:type="dxa"/>
            <w:shd w:val="clear" w:color="auto" w:fill="auto"/>
          </w:tcPr>
          <w:p w14:paraId="158EBA4D" w14:textId="77777777" w:rsidR="00BE6BEF" w:rsidRPr="00FE3B6B" w:rsidRDefault="00BE6BEF" w:rsidP="00152B8F">
            <w:pPr>
              <w:spacing w:after="0" w:line="240" w:lineRule="auto"/>
              <w:rPr>
                <w:b/>
                <w:bCs/>
                <w:sz w:val="20"/>
              </w:rPr>
            </w:pPr>
            <w:r w:rsidRPr="00FE3B6B">
              <w:rPr>
                <w:b/>
                <w:bCs/>
                <w:sz w:val="20"/>
              </w:rPr>
              <w:t>Position / Organisation</w:t>
            </w:r>
          </w:p>
        </w:tc>
      </w:tr>
      <w:tr w:rsidR="00BE6BEF" w:rsidRPr="00FE3B6B" w14:paraId="4733CC3F" w14:textId="77777777" w:rsidTr="00152B8F">
        <w:tc>
          <w:tcPr>
            <w:tcW w:w="2400" w:type="dxa"/>
          </w:tcPr>
          <w:p w14:paraId="1D6AE251" w14:textId="77777777" w:rsidR="00BE6BEF" w:rsidRPr="00FE3B6B" w:rsidRDefault="00BE6BEF" w:rsidP="00152B8F">
            <w:pPr>
              <w:spacing w:after="0" w:line="240" w:lineRule="auto"/>
              <w:rPr>
                <w:sz w:val="20"/>
              </w:rPr>
            </w:pPr>
            <w:r w:rsidRPr="00FE3B6B">
              <w:rPr>
                <w:sz w:val="20"/>
              </w:rPr>
              <w:t>Anna Maria Arabia</w:t>
            </w:r>
          </w:p>
        </w:tc>
        <w:tc>
          <w:tcPr>
            <w:tcW w:w="7218" w:type="dxa"/>
          </w:tcPr>
          <w:p w14:paraId="28790EA6" w14:textId="77777777" w:rsidR="00BE6BEF" w:rsidRPr="00FE3B6B" w:rsidRDefault="00BE6BEF" w:rsidP="00152B8F">
            <w:pPr>
              <w:spacing w:after="0" w:line="240" w:lineRule="auto"/>
              <w:rPr>
                <w:sz w:val="20"/>
              </w:rPr>
            </w:pPr>
            <w:r w:rsidRPr="00FE3B6B">
              <w:rPr>
                <w:sz w:val="20"/>
              </w:rPr>
              <w:t>Chief Executive, Australian Academy of Science</w:t>
            </w:r>
          </w:p>
        </w:tc>
      </w:tr>
      <w:tr w:rsidR="00BE6BEF" w:rsidRPr="00FE3B6B" w14:paraId="53CBE9C7" w14:textId="77777777" w:rsidTr="00152B8F">
        <w:tc>
          <w:tcPr>
            <w:tcW w:w="2400" w:type="dxa"/>
          </w:tcPr>
          <w:p w14:paraId="292F73D7"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Lora Bance</w:t>
            </w:r>
          </w:p>
        </w:tc>
        <w:tc>
          <w:tcPr>
            <w:tcW w:w="7218" w:type="dxa"/>
          </w:tcPr>
          <w:p w14:paraId="1C7BC89D" w14:textId="77777777" w:rsidR="00BE6BEF" w:rsidRPr="00FE3B6B" w:rsidRDefault="00BE6BEF" w:rsidP="00152B8F">
            <w:pPr>
              <w:spacing w:after="0" w:line="240" w:lineRule="auto"/>
              <w:rPr>
                <w:rFonts w:cstheme="minorHAnsi"/>
                <w:iCs/>
                <w:sz w:val="20"/>
              </w:rPr>
            </w:pPr>
            <w:r w:rsidRPr="00FE3B6B">
              <w:rPr>
                <w:rFonts w:cstheme="minorHAnsi"/>
                <w:iCs/>
                <w:sz w:val="20"/>
              </w:rPr>
              <w:t>Innovation Officer, National Catholic Education Commission</w:t>
            </w:r>
          </w:p>
        </w:tc>
      </w:tr>
      <w:tr w:rsidR="00BE6BEF" w:rsidRPr="00FE3B6B" w14:paraId="580263D3" w14:textId="77777777" w:rsidTr="00152B8F">
        <w:tc>
          <w:tcPr>
            <w:tcW w:w="2400" w:type="dxa"/>
          </w:tcPr>
          <w:p w14:paraId="50D460B7" w14:textId="77777777" w:rsidR="00BE6BEF" w:rsidRPr="00FE3B6B" w:rsidRDefault="00BE6BEF" w:rsidP="00152B8F">
            <w:pPr>
              <w:spacing w:after="0" w:line="240" w:lineRule="auto"/>
              <w:rPr>
                <w:sz w:val="20"/>
              </w:rPr>
            </w:pPr>
            <w:r w:rsidRPr="00FE3B6B">
              <w:rPr>
                <w:sz w:val="20"/>
              </w:rPr>
              <w:t>Sarah Brown</w:t>
            </w:r>
          </w:p>
        </w:tc>
        <w:tc>
          <w:tcPr>
            <w:tcW w:w="7218" w:type="dxa"/>
          </w:tcPr>
          <w:p w14:paraId="7E8F3C1F" w14:textId="77777777" w:rsidR="00BE6BEF" w:rsidRPr="00FE3B6B" w:rsidRDefault="00BE6BEF" w:rsidP="00152B8F">
            <w:pPr>
              <w:spacing w:after="0" w:line="240" w:lineRule="auto"/>
              <w:rPr>
                <w:sz w:val="20"/>
              </w:rPr>
            </w:pPr>
            <w:r w:rsidRPr="00FE3B6B">
              <w:rPr>
                <w:sz w:val="20"/>
              </w:rPr>
              <w:t>Chief of Staff, Office of the Chief Scientist</w:t>
            </w:r>
          </w:p>
        </w:tc>
      </w:tr>
      <w:tr w:rsidR="00BE6BEF" w:rsidRPr="00FE3B6B" w14:paraId="25F8CFEA" w14:textId="77777777" w:rsidTr="00152B8F">
        <w:tc>
          <w:tcPr>
            <w:tcW w:w="2400" w:type="dxa"/>
          </w:tcPr>
          <w:p w14:paraId="6EBC8B83"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Sue Carter</w:t>
            </w:r>
          </w:p>
        </w:tc>
        <w:tc>
          <w:tcPr>
            <w:tcW w:w="7218" w:type="dxa"/>
          </w:tcPr>
          <w:p w14:paraId="52411614" w14:textId="77777777" w:rsidR="00BE6BEF" w:rsidRPr="00FE3B6B" w:rsidRDefault="00BE6BEF" w:rsidP="00152B8F">
            <w:pPr>
              <w:spacing w:after="0" w:line="240" w:lineRule="auto"/>
              <w:rPr>
                <w:rFonts w:cstheme="minorHAnsi"/>
                <w:iCs/>
                <w:sz w:val="20"/>
              </w:rPr>
            </w:pPr>
            <w:r w:rsidRPr="00FE3B6B">
              <w:rPr>
                <w:rFonts w:cstheme="minorHAnsi"/>
                <w:iCs/>
                <w:sz w:val="20"/>
              </w:rPr>
              <w:t>Member Digital Technologies Steering Committee, NT Department of Education</w:t>
            </w:r>
          </w:p>
        </w:tc>
      </w:tr>
      <w:tr w:rsidR="00BE6BEF" w:rsidRPr="00FE3B6B" w14:paraId="4EB973A9" w14:textId="77777777" w:rsidTr="00152B8F">
        <w:tc>
          <w:tcPr>
            <w:tcW w:w="2400" w:type="dxa"/>
          </w:tcPr>
          <w:p w14:paraId="554D04E5" w14:textId="77777777" w:rsidR="00BE6BEF" w:rsidRPr="00FE3B6B" w:rsidRDefault="00BE6BEF" w:rsidP="00152B8F">
            <w:pPr>
              <w:spacing w:after="0" w:line="240" w:lineRule="auto"/>
              <w:rPr>
                <w:sz w:val="20"/>
              </w:rPr>
            </w:pPr>
            <w:r w:rsidRPr="00FE3B6B">
              <w:rPr>
                <w:sz w:val="20"/>
              </w:rPr>
              <w:t>Dene Cranwell</w:t>
            </w:r>
          </w:p>
        </w:tc>
        <w:tc>
          <w:tcPr>
            <w:tcW w:w="7218" w:type="dxa"/>
          </w:tcPr>
          <w:p w14:paraId="06C1AA93" w14:textId="77777777" w:rsidR="00BE6BEF" w:rsidRPr="00FE3B6B" w:rsidRDefault="00BE6BEF" w:rsidP="00152B8F">
            <w:pPr>
              <w:spacing w:after="0" w:line="240" w:lineRule="auto"/>
              <w:rPr>
                <w:sz w:val="20"/>
              </w:rPr>
            </w:pPr>
            <w:r w:rsidRPr="00FE3B6B">
              <w:rPr>
                <w:sz w:val="20"/>
              </w:rPr>
              <w:t>Assistant Director, Teaching and Learning Services, WA Department of Education</w:t>
            </w:r>
          </w:p>
        </w:tc>
      </w:tr>
      <w:tr w:rsidR="00BE6BEF" w:rsidRPr="00FE3B6B" w14:paraId="2D24EB0E" w14:textId="77777777" w:rsidTr="00152B8F">
        <w:tc>
          <w:tcPr>
            <w:tcW w:w="2400" w:type="dxa"/>
          </w:tcPr>
          <w:p w14:paraId="3B970551" w14:textId="77777777" w:rsidR="00BE6BEF" w:rsidRPr="00FE3B6B" w:rsidRDefault="00BE6BEF" w:rsidP="00152B8F">
            <w:pPr>
              <w:spacing w:after="0" w:line="240" w:lineRule="auto"/>
              <w:rPr>
                <w:sz w:val="20"/>
              </w:rPr>
            </w:pPr>
            <w:r w:rsidRPr="00FE3B6B">
              <w:rPr>
                <w:sz w:val="20"/>
              </w:rPr>
              <w:t>Paolo Damante</w:t>
            </w:r>
          </w:p>
        </w:tc>
        <w:tc>
          <w:tcPr>
            <w:tcW w:w="7218" w:type="dxa"/>
          </w:tcPr>
          <w:p w14:paraId="2BB3D5FC" w14:textId="77777777" w:rsidR="00BE6BEF" w:rsidRPr="00FE3B6B" w:rsidRDefault="00BE6BEF" w:rsidP="00152B8F">
            <w:pPr>
              <w:spacing w:after="0" w:line="240" w:lineRule="auto"/>
              <w:rPr>
                <w:sz w:val="20"/>
              </w:rPr>
            </w:pPr>
            <w:r w:rsidRPr="00FE3B6B">
              <w:rPr>
                <w:sz w:val="20"/>
              </w:rPr>
              <w:t>Senior Policy Officer Education and Training, AI Group</w:t>
            </w:r>
          </w:p>
        </w:tc>
      </w:tr>
      <w:tr w:rsidR="00BE6BEF" w:rsidRPr="00FE3B6B" w14:paraId="1B53B74C" w14:textId="77777777" w:rsidTr="00152B8F">
        <w:tc>
          <w:tcPr>
            <w:tcW w:w="2400" w:type="dxa"/>
          </w:tcPr>
          <w:p w14:paraId="7C5A4F00" w14:textId="77777777" w:rsidR="00BE6BEF" w:rsidRPr="00FE3B6B" w:rsidRDefault="00BE6BEF" w:rsidP="00152B8F">
            <w:pPr>
              <w:spacing w:after="0" w:line="240" w:lineRule="auto"/>
              <w:rPr>
                <w:sz w:val="20"/>
              </w:rPr>
            </w:pPr>
            <w:r w:rsidRPr="00FE3B6B">
              <w:rPr>
                <w:sz w:val="20"/>
              </w:rPr>
              <w:t>Janet Davy</w:t>
            </w:r>
          </w:p>
        </w:tc>
        <w:tc>
          <w:tcPr>
            <w:tcW w:w="7218" w:type="dxa"/>
          </w:tcPr>
          <w:p w14:paraId="2F95A7D1" w14:textId="77777777" w:rsidR="00BE6BEF" w:rsidRPr="00FE3B6B" w:rsidRDefault="00BE6BEF" w:rsidP="00152B8F">
            <w:pPr>
              <w:spacing w:after="0" w:line="240" w:lineRule="auto"/>
              <w:rPr>
                <w:sz w:val="20"/>
              </w:rPr>
            </w:pPr>
            <w:r w:rsidRPr="00FE3B6B">
              <w:rPr>
                <w:sz w:val="20"/>
              </w:rPr>
              <w:t>Director, Curriculum, ACARA</w:t>
            </w:r>
          </w:p>
        </w:tc>
      </w:tr>
      <w:tr w:rsidR="00BE6BEF" w:rsidRPr="00FE3B6B" w14:paraId="28F1F858" w14:textId="77777777" w:rsidTr="00152B8F">
        <w:tc>
          <w:tcPr>
            <w:tcW w:w="2400" w:type="dxa"/>
          </w:tcPr>
          <w:p w14:paraId="75ABA530"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Vic Dobos</w:t>
            </w:r>
          </w:p>
        </w:tc>
        <w:tc>
          <w:tcPr>
            <w:tcW w:w="7218" w:type="dxa"/>
          </w:tcPr>
          <w:p w14:paraId="54ED26AF" w14:textId="77777777" w:rsidR="00BE6BEF" w:rsidRPr="00FE3B6B" w:rsidRDefault="00BE6BEF" w:rsidP="00152B8F">
            <w:pPr>
              <w:spacing w:after="0" w:line="240" w:lineRule="auto"/>
              <w:rPr>
                <w:rFonts w:cstheme="minorHAnsi"/>
                <w:iCs/>
                <w:sz w:val="20"/>
              </w:rPr>
            </w:pPr>
            <w:r w:rsidRPr="00FE3B6B">
              <w:rPr>
                <w:rFonts w:cstheme="minorHAnsi"/>
                <w:iCs/>
                <w:sz w:val="20"/>
              </w:rPr>
              <w:t>CEO, Australian Science Teachers Association</w:t>
            </w:r>
          </w:p>
        </w:tc>
      </w:tr>
      <w:tr w:rsidR="00BE6BEF" w:rsidRPr="00FE3B6B" w14:paraId="4E9750B7" w14:textId="77777777" w:rsidTr="00152B8F">
        <w:tc>
          <w:tcPr>
            <w:tcW w:w="2400" w:type="dxa"/>
          </w:tcPr>
          <w:p w14:paraId="65D1099B" w14:textId="77777777" w:rsidR="00BE6BEF" w:rsidRPr="00FE3B6B" w:rsidRDefault="00BE6BEF" w:rsidP="00152B8F">
            <w:pPr>
              <w:spacing w:after="0" w:line="240" w:lineRule="auto"/>
              <w:rPr>
                <w:sz w:val="20"/>
              </w:rPr>
            </w:pPr>
            <w:r w:rsidRPr="00FE3B6B">
              <w:rPr>
                <w:sz w:val="20"/>
              </w:rPr>
              <w:t>Karen Elliott</w:t>
            </w:r>
          </w:p>
        </w:tc>
        <w:tc>
          <w:tcPr>
            <w:tcW w:w="7218" w:type="dxa"/>
          </w:tcPr>
          <w:p w14:paraId="1F6A5DA5" w14:textId="77777777" w:rsidR="00BE6BEF" w:rsidRPr="00FE3B6B" w:rsidRDefault="00BE6BEF" w:rsidP="00152B8F">
            <w:pPr>
              <w:spacing w:after="0" w:line="240" w:lineRule="auto"/>
              <w:rPr>
                <w:sz w:val="20"/>
              </w:rPr>
            </w:pPr>
            <w:r w:rsidRPr="00FE3B6B">
              <w:rPr>
                <w:sz w:val="20"/>
              </w:rPr>
              <w:t>Office of the Chief Scientist</w:t>
            </w:r>
          </w:p>
        </w:tc>
      </w:tr>
      <w:tr w:rsidR="00BE6BEF" w:rsidRPr="00FE3B6B" w14:paraId="6577DADC" w14:textId="77777777" w:rsidTr="00152B8F">
        <w:tc>
          <w:tcPr>
            <w:tcW w:w="2400" w:type="dxa"/>
          </w:tcPr>
          <w:p w14:paraId="1E006B27" w14:textId="77777777" w:rsidR="00BE6BEF" w:rsidRPr="00FE3B6B" w:rsidRDefault="00BE6BEF" w:rsidP="00152B8F">
            <w:pPr>
              <w:spacing w:after="0" w:line="240" w:lineRule="auto"/>
              <w:rPr>
                <w:sz w:val="20"/>
              </w:rPr>
            </w:pPr>
            <w:r w:rsidRPr="00FE3B6B">
              <w:rPr>
                <w:sz w:val="20"/>
              </w:rPr>
              <w:t>Katrina Elliott</w:t>
            </w:r>
          </w:p>
        </w:tc>
        <w:tc>
          <w:tcPr>
            <w:tcW w:w="7218" w:type="dxa"/>
          </w:tcPr>
          <w:p w14:paraId="111B7583" w14:textId="77777777" w:rsidR="00BE6BEF" w:rsidRPr="00FE3B6B" w:rsidRDefault="00BE6BEF" w:rsidP="00152B8F">
            <w:pPr>
              <w:spacing w:after="0" w:line="240" w:lineRule="auto"/>
              <w:rPr>
                <w:sz w:val="20"/>
              </w:rPr>
            </w:pPr>
            <w:r w:rsidRPr="00FE3B6B">
              <w:rPr>
                <w:sz w:val="20"/>
              </w:rPr>
              <w:t>Project Officer: Mathematics and Science, Department for Education South Australia</w:t>
            </w:r>
          </w:p>
        </w:tc>
      </w:tr>
      <w:tr w:rsidR="00BE6BEF" w:rsidRPr="00FE3B6B" w14:paraId="7FD8BEE8" w14:textId="77777777" w:rsidTr="00152B8F">
        <w:tc>
          <w:tcPr>
            <w:tcW w:w="2400" w:type="dxa"/>
          </w:tcPr>
          <w:p w14:paraId="42141392" w14:textId="77777777" w:rsidR="00BE6BEF" w:rsidRPr="00FE3B6B" w:rsidRDefault="00BE6BEF" w:rsidP="00152B8F">
            <w:pPr>
              <w:spacing w:after="0" w:line="240" w:lineRule="auto"/>
              <w:rPr>
                <w:sz w:val="20"/>
              </w:rPr>
            </w:pPr>
            <w:r w:rsidRPr="00FE3B6B">
              <w:rPr>
                <w:sz w:val="20"/>
              </w:rPr>
              <w:t>Justine Freeman</w:t>
            </w:r>
          </w:p>
        </w:tc>
        <w:tc>
          <w:tcPr>
            <w:tcW w:w="7218" w:type="dxa"/>
          </w:tcPr>
          <w:p w14:paraId="173FA63A" w14:textId="77777777" w:rsidR="00BE6BEF" w:rsidRPr="00FE3B6B" w:rsidRDefault="00BE6BEF" w:rsidP="00152B8F">
            <w:pPr>
              <w:spacing w:after="0" w:line="240" w:lineRule="auto"/>
              <w:rPr>
                <w:sz w:val="20"/>
              </w:rPr>
            </w:pPr>
            <w:r w:rsidRPr="00FE3B6B">
              <w:rPr>
                <w:sz w:val="20"/>
              </w:rPr>
              <w:t>Member Digital Technologies Steering Committee, WA Department for Education</w:t>
            </w:r>
          </w:p>
        </w:tc>
      </w:tr>
      <w:tr w:rsidR="00BE6BEF" w:rsidRPr="00FE3B6B" w14:paraId="7A7CA9A9" w14:textId="77777777" w:rsidTr="00152B8F">
        <w:tc>
          <w:tcPr>
            <w:tcW w:w="2400" w:type="dxa"/>
          </w:tcPr>
          <w:p w14:paraId="3920C131" w14:textId="77777777" w:rsidR="00BE6BEF" w:rsidRPr="00FE3B6B" w:rsidRDefault="00BE6BEF" w:rsidP="00152B8F">
            <w:pPr>
              <w:spacing w:after="0" w:line="240" w:lineRule="auto"/>
              <w:rPr>
                <w:sz w:val="20"/>
              </w:rPr>
            </w:pPr>
            <w:r w:rsidRPr="00FE3B6B">
              <w:rPr>
                <w:sz w:val="20"/>
              </w:rPr>
              <w:t>Dr Margaret Hartley</w:t>
            </w:r>
          </w:p>
        </w:tc>
        <w:tc>
          <w:tcPr>
            <w:tcW w:w="7218" w:type="dxa"/>
          </w:tcPr>
          <w:p w14:paraId="38A058D5" w14:textId="77777777" w:rsidR="00BE6BEF" w:rsidRPr="00FE3B6B" w:rsidRDefault="00BE6BEF" w:rsidP="00152B8F">
            <w:pPr>
              <w:spacing w:after="0" w:line="240" w:lineRule="auto"/>
              <w:rPr>
                <w:sz w:val="20"/>
              </w:rPr>
            </w:pPr>
            <w:r w:rsidRPr="00FE3B6B">
              <w:rPr>
                <w:sz w:val="20"/>
              </w:rPr>
              <w:t>Chief Executive Officer, Australian Academy of Technology and Engineering</w:t>
            </w:r>
          </w:p>
        </w:tc>
      </w:tr>
      <w:tr w:rsidR="00BE6BEF" w:rsidRPr="00FE3B6B" w14:paraId="66CDC8A4" w14:textId="77777777" w:rsidTr="00152B8F">
        <w:tc>
          <w:tcPr>
            <w:tcW w:w="2400" w:type="dxa"/>
          </w:tcPr>
          <w:p w14:paraId="1B85A0C6"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Kate Highfield</w:t>
            </w:r>
          </w:p>
        </w:tc>
        <w:tc>
          <w:tcPr>
            <w:tcW w:w="7218" w:type="dxa"/>
          </w:tcPr>
          <w:p w14:paraId="70758074" w14:textId="77777777" w:rsidR="00BE6BEF" w:rsidRPr="00FE3B6B" w:rsidRDefault="00BE6BEF" w:rsidP="00152B8F">
            <w:pPr>
              <w:spacing w:after="0" w:line="240" w:lineRule="auto"/>
              <w:rPr>
                <w:rFonts w:cstheme="minorHAnsi"/>
                <w:iCs/>
                <w:sz w:val="20"/>
              </w:rPr>
            </w:pPr>
            <w:r w:rsidRPr="00FE3B6B">
              <w:rPr>
                <w:rFonts w:cstheme="minorHAnsi"/>
                <w:iCs/>
                <w:sz w:val="20"/>
              </w:rPr>
              <w:t>Early Childhood Australia</w:t>
            </w:r>
          </w:p>
        </w:tc>
      </w:tr>
      <w:tr w:rsidR="00BE6BEF" w:rsidRPr="00FE3B6B" w14:paraId="744FF1EB" w14:textId="77777777" w:rsidTr="00152B8F">
        <w:tc>
          <w:tcPr>
            <w:tcW w:w="2400" w:type="dxa"/>
          </w:tcPr>
          <w:p w14:paraId="7F9727FF"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Sally Hodgson</w:t>
            </w:r>
          </w:p>
        </w:tc>
        <w:tc>
          <w:tcPr>
            <w:tcW w:w="7218" w:type="dxa"/>
          </w:tcPr>
          <w:p w14:paraId="64E65B78" w14:textId="77777777" w:rsidR="00BE6BEF" w:rsidRPr="00FE3B6B" w:rsidRDefault="00BE6BEF" w:rsidP="00152B8F">
            <w:pPr>
              <w:spacing w:after="0" w:line="240" w:lineRule="auto"/>
              <w:rPr>
                <w:rFonts w:cstheme="minorHAnsi"/>
                <w:iCs/>
                <w:sz w:val="20"/>
              </w:rPr>
            </w:pPr>
            <w:r w:rsidRPr="00FE3B6B">
              <w:rPr>
                <w:rFonts w:cstheme="minorHAnsi"/>
                <w:iCs/>
                <w:sz w:val="20"/>
              </w:rPr>
              <w:t>Director Quality Teaching, Education Policy and Programs, NT Department of Education</w:t>
            </w:r>
          </w:p>
        </w:tc>
      </w:tr>
      <w:tr w:rsidR="00BE6BEF" w:rsidRPr="00FE3B6B" w14:paraId="535E8E02" w14:textId="77777777" w:rsidTr="00152B8F">
        <w:tc>
          <w:tcPr>
            <w:tcW w:w="2400" w:type="dxa"/>
          </w:tcPr>
          <w:p w14:paraId="3A00B0B8"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Belinda Hoult</w:t>
            </w:r>
          </w:p>
        </w:tc>
        <w:tc>
          <w:tcPr>
            <w:tcW w:w="7218" w:type="dxa"/>
          </w:tcPr>
          <w:p w14:paraId="47884F7F" w14:textId="77777777" w:rsidR="00BE6BEF" w:rsidRPr="00FE3B6B" w:rsidRDefault="00BE6BEF" w:rsidP="00152B8F">
            <w:pPr>
              <w:spacing w:after="0" w:line="240" w:lineRule="auto"/>
              <w:rPr>
                <w:rFonts w:cstheme="minorHAnsi"/>
                <w:iCs/>
                <w:sz w:val="20"/>
              </w:rPr>
            </w:pPr>
            <w:r w:rsidRPr="00FE3B6B">
              <w:rPr>
                <w:rFonts w:cstheme="minorHAnsi"/>
                <w:iCs/>
                <w:sz w:val="20"/>
              </w:rPr>
              <w:t>Assistant Director, Early Childhood Programs, NT Department of Education</w:t>
            </w:r>
          </w:p>
        </w:tc>
      </w:tr>
      <w:tr w:rsidR="00BE6BEF" w:rsidRPr="00FE3B6B" w14:paraId="2ABE51A1" w14:textId="77777777" w:rsidTr="00152B8F">
        <w:tc>
          <w:tcPr>
            <w:tcW w:w="2400" w:type="dxa"/>
          </w:tcPr>
          <w:p w14:paraId="6D7AB884" w14:textId="77777777" w:rsidR="00BE6BEF" w:rsidRPr="00FE3B6B" w:rsidRDefault="00BE6BEF" w:rsidP="00152B8F">
            <w:pPr>
              <w:spacing w:after="0" w:line="240" w:lineRule="auto"/>
              <w:rPr>
                <w:sz w:val="20"/>
              </w:rPr>
            </w:pPr>
            <w:r w:rsidRPr="00FE3B6B">
              <w:rPr>
                <w:sz w:val="20"/>
              </w:rPr>
              <w:t>Ewan Johnston</w:t>
            </w:r>
          </w:p>
        </w:tc>
        <w:tc>
          <w:tcPr>
            <w:tcW w:w="7218" w:type="dxa"/>
          </w:tcPr>
          <w:p w14:paraId="18059F55" w14:textId="77777777" w:rsidR="00BE6BEF" w:rsidRPr="00FE3B6B" w:rsidRDefault="00BE6BEF" w:rsidP="00152B8F">
            <w:pPr>
              <w:spacing w:after="0" w:line="240" w:lineRule="auto"/>
              <w:rPr>
                <w:sz w:val="20"/>
              </w:rPr>
            </w:pPr>
            <w:r w:rsidRPr="00FE3B6B">
              <w:rPr>
                <w:sz w:val="20"/>
              </w:rPr>
              <w:t>Senior Research Officer, Office of the Chief Scientist</w:t>
            </w:r>
          </w:p>
        </w:tc>
      </w:tr>
      <w:tr w:rsidR="00BE6BEF" w:rsidRPr="00FE3B6B" w14:paraId="1072E64C" w14:textId="77777777" w:rsidTr="00152B8F">
        <w:tc>
          <w:tcPr>
            <w:tcW w:w="2400" w:type="dxa"/>
          </w:tcPr>
          <w:p w14:paraId="624E477B" w14:textId="77777777" w:rsidR="00BE6BEF" w:rsidRPr="00FE3B6B" w:rsidRDefault="00BE6BEF" w:rsidP="00152B8F">
            <w:pPr>
              <w:spacing w:after="0" w:line="240" w:lineRule="auto"/>
              <w:rPr>
                <w:sz w:val="20"/>
              </w:rPr>
            </w:pPr>
            <w:r w:rsidRPr="00FE3B6B">
              <w:rPr>
                <w:sz w:val="20"/>
              </w:rPr>
              <w:t xml:space="preserve">Michelle </w:t>
            </w:r>
            <w:proofErr w:type="spellStart"/>
            <w:r w:rsidRPr="00FE3B6B">
              <w:rPr>
                <w:sz w:val="20"/>
              </w:rPr>
              <w:t>Kriening</w:t>
            </w:r>
            <w:proofErr w:type="spellEnd"/>
          </w:p>
        </w:tc>
        <w:tc>
          <w:tcPr>
            <w:tcW w:w="7218" w:type="dxa"/>
          </w:tcPr>
          <w:p w14:paraId="70192A26" w14:textId="77777777" w:rsidR="00BE6BEF" w:rsidRPr="00FE3B6B" w:rsidRDefault="00BE6BEF" w:rsidP="00152B8F">
            <w:pPr>
              <w:spacing w:after="0" w:line="240" w:lineRule="auto"/>
              <w:rPr>
                <w:sz w:val="20"/>
              </w:rPr>
            </w:pPr>
            <w:r w:rsidRPr="00FE3B6B">
              <w:rPr>
                <w:sz w:val="20"/>
              </w:rPr>
              <w:t xml:space="preserve">Manager, Literacy, Numeracy, EAL/D, WA Department of Education </w:t>
            </w:r>
          </w:p>
        </w:tc>
      </w:tr>
      <w:tr w:rsidR="00BE6BEF" w:rsidRPr="00FE3B6B" w14:paraId="51263A88" w14:textId="77777777" w:rsidTr="00152B8F">
        <w:tc>
          <w:tcPr>
            <w:tcW w:w="2400" w:type="dxa"/>
          </w:tcPr>
          <w:p w14:paraId="22F9BA11" w14:textId="77777777" w:rsidR="00BE6BEF" w:rsidRPr="00FE3B6B" w:rsidRDefault="00BE6BEF" w:rsidP="00152B8F">
            <w:pPr>
              <w:spacing w:after="0" w:line="240" w:lineRule="auto"/>
              <w:rPr>
                <w:sz w:val="20"/>
              </w:rPr>
            </w:pPr>
            <w:r w:rsidRPr="00FE3B6B">
              <w:rPr>
                <w:sz w:val="20"/>
              </w:rPr>
              <w:t>Julie King</w:t>
            </w:r>
          </w:p>
        </w:tc>
        <w:tc>
          <w:tcPr>
            <w:tcW w:w="7218" w:type="dxa"/>
          </w:tcPr>
          <w:p w14:paraId="6163EA73" w14:textId="77777777" w:rsidR="00BE6BEF" w:rsidRPr="00FE3B6B" w:rsidRDefault="00BE6BEF" w:rsidP="00152B8F">
            <w:pPr>
              <w:spacing w:after="0" w:line="240" w:lineRule="auto"/>
              <w:rPr>
                <w:sz w:val="20"/>
              </w:rPr>
            </w:pPr>
            <w:r w:rsidRPr="00FE3B6B">
              <w:rPr>
                <w:sz w:val="20"/>
              </w:rPr>
              <w:t>Member Digital Technologies Steering Committee, ACARA</w:t>
            </w:r>
          </w:p>
        </w:tc>
      </w:tr>
      <w:tr w:rsidR="00BE6BEF" w:rsidRPr="00FE3B6B" w14:paraId="0E83202E" w14:textId="77777777" w:rsidTr="00152B8F">
        <w:tc>
          <w:tcPr>
            <w:tcW w:w="2400" w:type="dxa"/>
          </w:tcPr>
          <w:p w14:paraId="42A05DCE" w14:textId="77777777" w:rsidR="00BE6BEF" w:rsidRPr="00FE3B6B" w:rsidRDefault="00BE6BEF" w:rsidP="00152B8F">
            <w:pPr>
              <w:spacing w:after="0" w:line="240" w:lineRule="auto"/>
              <w:rPr>
                <w:sz w:val="20"/>
              </w:rPr>
            </w:pPr>
            <w:r w:rsidRPr="00FE3B6B">
              <w:rPr>
                <w:sz w:val="20"/>
              </w:rPr>
              <w:t>Penny Leggett</w:t>
            </w:r>
          </w:p>
        </w:tc>
        <w:tc>
          <w:tcPr>
            <w:tcW w:w="7218" w:type="dxa"/>
          </w:tcPr>
          <w:p w14:paraId="1D3B7EFB" w14:textId="77777777" w:rsidR="00BE6BEF" w:rsidRPr="00FE3B6B" w:rsidRDefault="00BE6BEF" w:rsidP="00152B8F">
            <w:pPr>
              <w:spacing w:after="0" w:line="240" w:lineRule="auto"/>
              <w:rPr>
                <w:sz w:val="20"/>
              </w:rPr>
            </w:pPr>
            <w:r w:rsidRPr="00FE3B6B">
              <w:rPr>
                <w:sz w:val="20"/>
              </w:rPr>
              <w:t>Office of the Chief Scientist</w:t>
            </w:r>
          </w:p>
        </w:tc>
      </w:tr>
      <w:tr w:rsidR="00BE6BEF" w:rsidRPr="00FE3B6B" w14:paraId="44977EA7" w14:textId="77777777" w:rsidTr="00152B8F">
        <w:tc>
          <w:tcPr>
            <w:tcW w:w="2400" w:type="dxa"/>
          </w:tcPr>
          <w:p w14:paraId="577632A4" w14:textId="77777777" w:rsidR="00BE6BEF" w:rsidRPr="00FE3B6B" w:rsidRDefault="00BE6BEF" w:rsidP="00152B8F">
            <w:pPr>
              <w:spacing w:after="0" w:line="240" w:lineRule="auto"/>
              <w:rPr>
                <w:sz w:val="20"/>
              </w:rPr>
            </w:pPr>
            <w:r w:rsidRPr="00FE3B6B">
              <w:rPr>
                <w:sz w:val="20"/>
              </w:rPr>
              <w:t>Jessica McDonald</w:t>
            </w:r>
          </w:p>
        </w:tc>
        <w:tc>
          <w:tcPr>
            <w:tcW w:w="7218" w:type="dxa"/>
          </w:tcPr>
          <w:p w14:paraId="6C81A4AD" w14:textId="77777777" w:rsidR="00BE6BEF" w:rsidRPr="00FE3B6B" w:rsidRDefault="00BE6BEF" w:rsidP="00152B8F">
            <w:pPr>
              <w:spacing w:after="0" w:line="240" w:lineRule="auto"/>
              <w:rPr>
                <w:sz w:val="20"/>
              </w:rPr>
            </w:pPr>
            <w:r w:rsidRPr="00FE3B6B">
              <w:rPr>
                <w:sz w:val="20"/>
              </w:rPr>
              <w:t>Manager, Science Policy, Department of Industry, Innovation and Science</w:t>
            </w:r>
          </w:p>
        </w:tc>
      </w:tr>
      <w:tr w:rsidR="00BE6BEF" w:rsidRPr="00FE3B6B" w14:paraId="08684C43" w14:textId="77777777" w:rsidTr="00152B8F">
        <w:tc>
          <w:tcPr>
            <w:tcW w:w="2400" w:type="dxa"/>
          </w:tcPr>
          <w:p w14:paraId="02E2A59D" w14:textId="77777777" w:rsidR="00BE6BEF" w:rsidRPr="00FE3B6B" w:rsidRDefault="00BE6BEF" w:rsidP="00152B8F">
            <w:pPr>
              <w:spacing w:after="0" w:line="240" w:lineRule="auto"/>
              <w:rPr>
                <w:sz w:val="20"/>
              </w:rPr>
            </w:pPr>
            <w:r w:rsidRPr="00FE3B6B">
              <w:rPr>
                <w:sz w:val="20"/>
              </w:rPr>
              <w:t>Mary Mulcahy</w:t>
            </w:r>
          </w:p>
        </w:tc>
        <w:tc>
          <w:tcPr>
            <w:tcW w:w="7218" w:type="dxa"/>
          </w:tcPr>
          <w:p w14:paraId="4BF81C73" w14:textId="77777777" w:rsidR="00BE6BEF" w:rsidRPr="00FE3B6B" w:rsidRDefault="00BE6BEF" w:rsidP="00152B8F">
            <w:pPr>
              <w:spacing w:after="0" w:line="240" w:lineRule="auto"/>
              <w:rPr>
                <w:sz w:val="20"/>
              </w:rPr>
            </w:pPr>
            <w:r w:rsidRPr="00FE3B6B">
              <w:rPr>
                <w:sz w:val="20"/>
              </w:rPr>
              <w:t>Director, CSIRO Education</w:t>
            </w:r>
          </w:p>
        </w:tc>
      </w:tr>
      <w:tr w:rsidR="00BE6BEF" w:rsidRPr="00FE3B6B" w14:paraId="03796CEB" w14:textId="77777777" w:rsidTr="00152B8F">
        <w:tc>
          <w:tcPr>
            <w:tcW w:w="2400" w:type="dxa"/>
          </w:tcPr>
          <w:p w14:paraId="244260B6"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Duncan Rayner</w:t>
            </w:r>
          </w:p>
        </w:tc>
        <w:tc>
          <w:tcPr>
            <w:tcW w:w="7218" w:type="dxa"/>
          </w:tcPr>
          <w:p w14:paraId="2184ECB4" w14:textId="77777777" w:rsidR="00BE6BEF" w:rsidRPr="00FE3B6B" w:rsidRDefault="00BE6BEF" w:rsidP="00152B8F">
            <w:pPr>
              <w:spacing w:after="0" w:line="240" w:lineRule="auto"/>
              <w:rPr>
                <w:rFonts w:cstheme="minorHAnsi"/>
                <w:iCs/>
                <w:sz w:val="20"/>
              </w:rPr>
            </w:pPr>
            <w:r w:rsidRPr="00FE3B6B">
              <w:rPr>
                <w:rFonts w:cstheme="minorHAnsi"/>
                <w:iCs/>
                <w:sz w:val="20"/>
              </w:rPr>
              <w:t>Chief Executive Officer, The Australian Association of Mathematics Teachers</w:t>
            </w:r>
          </w:p>
        </w:tc>
      </w:tr>
      <w:tr w:rsidR="00BE6BEF" w:rsidRPr="00FE3B6B" w14:paraId="4A8CA2E3" w14:textId="77777777" w:rsidTr="00152B8F">
        <w:tc>
          <w:tcPr>
            <w:tcW w:w="2400" w:type="dxa"/>
          </w:tcPr>
          <w:p w14:paraId="64541756" w14:textId="77777777" w:rsidR="00BE6BEF" w:rsidRPr="00FE3B6B" w:rsidRDefault="00BE6BEF" w:rsidP="00152B8F">
            <w:pPr>
              <w:spacing w:after="0" w:line="240" w:lineRule="auto"/>
              <w:rPr>
                <w:sz w:val="20"/>
              </w:rPr>
            </w:pPr>
            <w:r w:rsidRPr="00FE3B6B">
              <w:rPr>
                <w:sz w:val="20"/>
              </w:rPr>
              <w:t>Leanne Robertson</w:t>
            </w:r>
          </w:p>
        </w:tc>
        <w:tc>
          <w:tcPr>
            <w:tcW w:w="7218" w:type="dxa"/>
          </w:tcPr>
          <w:p w14:paraId="09101F47" w14:textId="77777777" w:rsidR="00BE6BEF" w:rsidRPr="00FE3B6B" w:rsidRDefault="00BE6BEF" w:rsidP="00152B8F">
            <w:pPr>
              <w:spacing w:after="0" w:line="240" w:lineRule="auto"/>
              <w:rPr>
                <w:sz w:val="20"/>
              </w:rPr>
            </w:pPr>
            <w:r w:rsidRPr="00FE3B6B">
              <w:rPr>
                <w:sz w:val="20"/>
              </w:rPr>
              <w:t>Member Digital Technologies Steering Committee, ESA</w:t>
            </w:r>
          </w:p>
        </w:tc>
      </w:tr>
      <w:tr w:rsidR="00BE6BEF" w:rsidRPr="00FE3B6B" w14:paraId="01992E45" w14:textId="77777777" w:rsidTr="00152B8F">
        <w:tc>
          <w:tcPr>
            <w:tcW w:w="2400" w:type="dxa"/>
          </w:tcPr>
          <w:p w14:paraId="1051ABDE" w14:textId="77777777" w:rsidR="00BE6BEF" w:rsidRPr="00FE3B6B" w:rsidRDefault="00BE6BEF" w:rsidP="00152B8F">
            <w:pPr>
              <w:spacing w:after="0" w:line="240" w:lineRule="auto"/>
              <w:rPr>
                <w:sz w:val="20"/>
              </w:rPr>
            </w:pPr>
            <w:r w:rsidRPr="00FE3B6B">
              <w:rPr>
                <w:sz w:val="20"/>
              </w:rPr>
              <w:t>Rose Wood</w:t>
            </w:r>
          </w:p>
        </w:tc>
        <w:tc>
          <w:tcPr>
            <w:tcW w:w="7218" w:type="dxa"/>
          </w:tcPr>
          <w:p w14:paraId="283B2F7A" w14:textId="77777777" w:rsidR="00BE6BEF" w:rsidRPr="00FE3B6B" w:rsidRDefault="00BE6BEF" w:rsidP="00152B8F">
            <w:pPr>
              <w:spacing w:after="0" w:line="240" w:lineRule="auto"/>
              <w:rPr>
                <w:sz w:val="20"/>
              </w:rPr>
            </w:pPr>
            <w:r w:rsidRPr="00FE3B6B">
              <w:rPr>
                <w:sz w:val="20"/>
              </w:rPr>
              <w:t>A/Manager STEM, Queensland Government Department of Education</w:t>
            </w:r>
          </w:p>
        </w:tc>
      </w:tr>
      <w:tr w:rsidR="00BE6BEF" w:rsidRPr="00FE3B6B" w14:paraId="08A78121" w14:textId="77777777" w:rsidTr="00152B8F">
        <w:tc>
          <w:tcPr>
            <w:tcW w:w="9618" w:type="dxa"/>
            <w:gridSpan w:val="2"/>
            <w:shd w:val="clear" w:color="auto" w:fill="931B2F" w:themeFill="background2"/>
          </w:tcPr>
          <w:p w14:paraId="6C90C376" w14:textId="77777777" w:rsidR="00BE6BEF" w:rsidRPr="00FE3B6B" w:rsidRDefault="00BE6BEF" w:rsidP="00152B8F">
            <w:pPr>
              <w:spacing w:after="0" w:line="240" w:lineRule="auto"/>
              <w:rPr>
                <w:b/>
                <w:bCs/>
                <w:sz w:val="20"/>
              </w:rPr>
            </w:pPr>
            <w:r w:rsidRPr="00FE3B6B">
              <w:rPr>
                <w:b/>
                <w:bCs/>
                <w:color w:val="FFFFFF" w:themeColor="background1"/>
                <w:sz w:val="20"/>
              </w:rPr>
              <w:t>Project Managers, NISA funded initiatives</w:t>
            </w:r>
          </w:p>
        </w:tc>
      </w:tr>
      <w:tr w:rsidR="00BE6BEF" w:rsidRPr="00FE3B6B" w14:paraId="25FC59A0" w14:textId="77777777" w:rsidTr="00152B8F">
        <w:tc>
          <w:tcPr>
            <w:tcW w:w="2400" w:type="dxa"/>
          </w:tcPr>
          <w:p w14:paraId="1D11865D" w14:textId="77777777" w:rsidR="00BE6BEF" w:rsidRPr="00FE3B6B" w:rsidRDefault="00BE6BEF" w:rsidP="00152B8F">
            <w:pPr>
              <w:spacing w:after="0" w:line="240" w:lineRule="auto"/>
              <w:rPr>
                <w:b/>
                <w:bCs/>
                <w:sz w:val="20"/>
              </w:rPr>
            </w:pPr>
            <w:r w:rsidRPr="00FE3B6B">
              <w:rPr>
                <w:b/>
                <w:bCs/>
                <w:sz w:val="20"/>
              </w:rPr>
              <w:t>Name</w:t>
            </w:r>
          </w:p>
        </w:tc>
        <w:tc>
          <w:tcPr>
            <w:tcW w:w="7218" w:type="dxa"/>
          </w:tcPr>
          <w:p w14:paraId="445C5A2D" w14:textId="77777777" w:rsidR="00BE6BEF" w:rsidRPr="00FE3B6B" w:rsidRDefault="00BE6BEF" w:rsidP="00152B8F">
            <w:pPr>
              <w:spacing w:after="0" w:line="240" w:lineRule="auto"/>
              <w:rPr>
                <w:b/>
                <w:bCs/>
                <w:sz w:val="20"/>
              </w:rPr>
            </w:pPr>
            <w:r w:rsidRPr="00FE3B6B">
              <w:rPr>
                <w:b/>
                <w:bCs/>
                <w:sz w:val="20"/>
              </w:rPr>
              <w:t>Project (Organisation)</w:t>
            </w:r>
          </w:p>
        </w:tc>
      </w:tr>
      <w:tr w:rsidR="00BE6BEF" w:rsidRPr="00FE3B6B" w14:paraId="3B08B84F" w14:textId="77777777" w:rsidTr="00152B8F">
        <w:tc>
          <w:tcPr>
            <w:tcW w:w="2400" w:type="dxa"/>
          </w:tcPr>
          <w:p w14:paraId="5D070A77"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Katrina Faulkner</w:t>
            </w:r>
          </w:p>
        </w:tc>
        <w:tc>
          <w:tcPr>
            <w:tcW w:w="7218" w:type="dxa"/>
          </w:tcPr>
          <w:p w14:paraId="72297209" w14:textId="77777777" w:rsidR="00BE6BEF" w:rsidRPr="00FE3B6B" w:rsidRDefault="00BE6BEF" w:rsidP="00152B8F">
            <w:pPr>
              <w:spacing w:after="0" w:line="240" w:lineRule="auto"/>
              <w:rPr>
                <w:sz w:val="20"/>
              </w:rPr>
            </w:pPr>
            <w:r w:rsidRPr="00FE3B6B">
              <w:rPr>
                <w:sz w:val="20"/>
              </w:rPr>
              <w:t>Digital Technologies Massive Open Online Courses (University of Adelaide)</w:t>
            </w:r>
          </w:p>
        </w:tc>
      </w:tr>
      <w:tr w:rsidR="00BE6BEF" w:rsidRPr="00FE3B6B" w14:paraId="07BCD9E9" w14:textId="77777777" w:rsidTr="00152B8F">
        <w:tc>
          <w:tcPr>
            <w:tcW w:w="2400" w:type="dxa"/>
          </w:tcPr>
          <w:p w14:paraId="58937E0C"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Mary Mulcahy</w:t>
            </w:r>
          </w:p>
        </w:tc>
        <w:tc>
          <w:tcPr>
            <w:tcW w:w="7218" w:type="dxa"/>
            <w:vMerge w:val="restart"/>
          </w:tcPr>
          <w:p w14:paraId="2D5779E9" w14:textId="77777777" w:rsidR="00BE6BEF" w:rsidRPr="00FE3B6B" w:rsidRDefault="00BE6BEF" w:rsidP="00152B8F">
            <w:pPr>
              <w:spacing w:after="0" w:line="240" w:lineRule="auto"/>
              <w:rPr>
                <w:sz w:val="20"/>
              </w:rPr>
            </w:pPr>
            <w:r w:rsidRPr="00FE3B6B">
              <w:rPr>
                <w:sz w:val="20"/>
              </w:rPr>
              <w:t>Digital Technologies in Focus (ACARA)</w:t>
            </w:r>
          </w:p>
          <w:p w14:paraId="0FECBA89" w14:textId="77777777" w:rsidR="00BE6BEF" w:rsidRPr="00FE3B6B" w:rsidRDefault="00BE6BEF" w:rsidP="00152B8F">
            <w:pPr>
              <w:spacing w:after="0" w:line="240" w:lineRule="auto"/>
              <w:rPr>
                <w:sz w:val="20"/>
              </w:rPr>
            </w:pPr>
          </w:p>
        </w:tc>
      </w:tr>
      <w:tr w:rsidR="00BE6BEF" w:rsidRPr="00FE3B6B" w14:paraId="4984683F" w14:textId="77777777" w:rsidTr="00152B8F">
        <w:trPr>
          <w:trHeight w:val="303"/>
        </w:trPr>
        <w:tc>
          <w:tcPr>
            <w:tcW w:w="2400" w:type="dxa"/>
          </w:tcPr>
          <w:p w14:paraId="730085B3"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Derek Williamson</w:t>
            </w:r>
          </w:p>
        </w:tc>
        <w:tc>
          <w:tcPr>
            <w:tcW w:w="7218" w:type="dxa"/>
            <w:vMerge/>
          </w:tcPr>
          <w:p w14:paraId="76161DDC" w14:textId="77777777" w:rsidR="00BE6BEF" w:rsidRPr="00FE3B6B" w:rsidRDefault="00BE6BEF" w:rsidP="00152B8F">
            <w:pPr>
              <w:spacing w:after="0" w:line="240" w:lineRule="auto"/>
              <w:rPr>
                <w:sz w:val="20"/>
              </w:rPr>
            </w:pPr>
          </w:p>
        </w:tc>
      </w:tr>
      <w:tr w:rsidR="00BE6BEF" w:rsidRPr="00FE3B6B" w14:paraId="5F5327F2" w14:textId="77777777" w:rsidTr="00152B8F">
        <w:tc>
          <w:tcPr>
            <w:tcW w:w="2400" w:type="dxa"/>
          </w:tcPr>
          <w:p w14:paraId="77A0254E"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David Lowe</w:t>
            </w:r>
          </w:p>
        </w:tc>
        <w:tc>
          <w:tcPr>
            <w:tcW w:w="7218" w:type="dxa"/>
          </w:tcPr>
          <w:p w14:paraId="55C41B2B" w14:textId="77777777" w:rsidR="00BE6BEF" w:rsidRPr="00FE3B6B" w:rsidRDefault="00BE6BEF" w:rsidP="00152B8F">
            <w:pPr>
              <w:spacing w:after="0" w:line="240" w:lineRule="auto"/>
              <w:rPr>
                <w:sz w:val="20"/>
              </w:rPr>
            </w:pPr>
            <w:r w:rsidRPr="00FE3B6B">
              <w:rPr>
                <w:sz w:val="20"/>
                <w:lang w:val="en-US"/>
              </w:rPr>
              <w:t>Australian Digital Technologies Challenges &amp; Dive into Code (University of Sydney)</w:t>
            </w:r>
          </w:p>
        </w:tc>
      </w:tr>
      <w:tr w:rsidR="00BE6BEF" w:rsidRPr="00FE3B6B" w14:paraId="48635467" w14:textId="77777777" w:rsidTr="00152B8F">
        <w:tc>
          <w:tcPr>
            <w:tcW w:w="2400" w:type="dxa"/>
          </w:tcPr>
          <w:p w14:paraId="14305B43"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James Curran</w:t>
            </w:r>
          </w:p>
        </w:tc>
        <w:tc>
          <w:tcPr>
            <w:tcW w:w="7218" w:type="dxa"/>
            <w:vMerge w:val="restart"/>
          </w:tcPr>
          <w:p w14:paraId="1E29E5D8" w14:textId="77777777" w:rsidR="00BE6BEF" w:rsidRPr="00FE3B6B" w:rsidRDefault="00BE6BEF" w:rsidP="00152B8F">
            <w:pPr>
              <w:spacing w:after="0" w:line="240" w:lineRule="auto"/>
              <w:rPr>
                <w:sz w:val="20"/>
              </w:rPr>
            </w:pPr>
            <w:r w:rsidRPr="00FE3B6B">
              <w:rPr>
                <w:sz w:val="20"/>
                <w:lang w:val="en-US"/>
              </w:rPr>
              <w:t>Australian Digital Technologies Challenges &amp; Dive into Code (Australian Computing Academy)</w:t>
            </w:r>
          </w:p>
        </w:tc>
      </w:tr>
      <w:tr w:rsidR="00BE6BEF" w:rsidRPr="00FE3B6B" w14:paraId="52559992" w14:textId="77777777" w:rsidTr="00152B8F">
        <w:tc>
          <w:tcPr>
            <w:tcW w:w="2400" w:type="dxa"/>
          </w:tcPr>
          <w:p w14:paraId="25A9D174"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Karsten Schulz</w:t>
            </w:r>
          </w:p>
        </w:tc>
        <w:tc>
          <w:tcPr>
            <w:tcW w:w="7218" w:type="dxa"/>
            <w:vMerge/>
          </w:tcPr>
          <w:p w14:paraId="7ED52767" w14:textId="77777777" w:rsidR="00BE6BEF" w:rsidRPr="00FE3B6B" w:rsidRDefault="00BE6BEF" w:rsidP="00152B8F">
            <w:pPr>
              <w:spacing w:after="0" w:line="240" w:lineRule="auto"/>
              <w:rPr>
                <w:sz w:val="20"/>
              </w:rPr>
            </w:pPr>
          </w:p>
        </w:tc>
      </w:tr>
      <w:tr w:rsidR="00BE6BEF" w:rsidRPr="00FE3B6B" w14:paraId="77CC7FC1" w14:textId="77777777" w:rsidTr="00152B8F">
        <w:tc>
          <w:tcPr>
            <w:tcW w:w="2400" w:type="dxa"/>
          </w:tcPr>
          <w:p w14:paraId="38F15952"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Sharon Fraser</w:t>
            </w:r>
          </w:p>
        </w:tc>
        <w:tc>
          <w:tcPr>
            <w:tcW w:w="7218" w:type="dxa"/>
            <w:vMerge w:val="restart"/>
          </w:tcPr>
          <w:p w14:paraId="1DFC6C1E" w14:textId="77777777" w:rsidR="00BE6BEF" w:rsidRPr="00FE3B6B" w:rsidRDefault="00BE6BEF" w:rsidP="00152B8F">
            <w:pPr>
              <w:spacing w:after="0" w:line="240" w:lineRule="auto"/>
              <w:rPr>
                <w:sz w:val="20"/>
                <w:lang w:val="en-US"/>
              </w:rPr>
            </w:pPr>
            <w:r w:rsidRPr="00FE3B6B">
              <w:rPr>
                <w:sz w:val="20"/>
                <w:lang w:val="en-US"/>
              </w:rPr>
              <w:t>Principals as STEM Leaders (University of Tasmania)</w:t>
            </w:r>
          </w:p>
        </w:tc>
      </w:tr>
      <w:tr w:rsidR="00BE6BEF" w:rsidRPr="00FE3B6B" w14:paraId="59B4D255" w14:textId="77777777" w:rsidTr="00152B8F">
        <w:tc>
          <w:tcPr>
            <w:tcW w:w="2400" w:type="dxa"/>
          </w:tcPr>
          <w:p w14:paraId="7B4E0C8A"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Kim Beswick</w:t>
            </w:r>
          </w:p>
        </w:tc>
        <w:tc>
          <w:tcPr>
            <w:tcW w:w="7218" w:type="dxa"/>
            <w:vMerge/>
          </w:tcPr>
          <w:p w14:paraId="7C440D07" w14:textId="77777777" w:rsidR="00BE6BEF" w:rsidRPr="00FE3B6B" w:rsidRDefault="00BE6BEF" w:rsidP="00152B8F">
            <w:pPr>
              <w:spacing w:after="0" w:line="240" w:lineRule="auto"/>
              <w:rPr>
                <w:sz w:val="20"/>
                <w:lang w:val="en-US"/>
              </w:rPr>
            </w:pPr>
          </w:p>
        </w:tc>
      </w:tr>
      <w:tr w:rsidR="00BE6BEF" w:rsidRPr="00FE3B6B" w14:paraId="59FA5C49" w14:textId="77777777" w:rsidTr="00152B8F">
        <w:tc>
          <w:tcPr>
            <w:tcW w:w="2400" w:type="dxa"/>
          </w:tcPr>
          <w:p w14:paraId="08F5EC69"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Vince Geiger</w:t>
            </w:r>
          </w:p>
        </w:tc>
        <w:tc>
          <w:tcPr>
            <w:tcW w:w="7218" w:type="dxa"/>
            <w:vMerge/>
          </w:tcPr>
          <w:p w14:paraId="5D7B3057" w14:textId="77777777" w:rsidR="00BE6BEF" w:rsidRPr="00FE3B6B" w:rsidRDefault="00BE6BEF" w:rsidP="00152B8F">
            <w:pPr>
              <w:spacing w:after="0" w:line="240" w:lineRule="auto"/>
              <w:rPr>
                <w:sz w:val="20"/>
                <w:lang w:val="en-US"/>
              </w:rPr>
            </w:pPr>
          </w:p>
        </w:tc>
      </w:tr>
      <w:tr w:rsidR="00BE6BEF" w:rsidRPr="00FE3B6B" w14:paraId="4D64E4D4" w14:textId="77777777" w:rsidTr="00152B8F">
        <w:trPr>
          <w:trHeight w:val="168"/>
        </w:trPr>
        <w:tc>
          <w:tcPr>
            <w:tcW w:w="2400" w:type="dxa"/>
            <w:vMerge w:val="restart"/>
          </w:tcPr>
          <w:p w14:paraId="74B33ED3" w14:textId="77777777" w:rsidR="00BE6BEF" w:rsidRPr="00FE3B6B" w:rsidRDefault="00BE6BEF" w:rsidP="00152B8F">
            <w:pPr>
              <w:spacing w:after="0" w:line="240" w:lineRule="auto"/>
              <w:rPr>
                <w:iCs/>
                <w:sz w:val="20"/>
              </w:rPr>
            </w:pPr>
            <w:r w:rsidRPr="00FE3B6B">
              <w:rPr>
                <w:iCs/>
                <w:sz w:val="20"/>
              </w:rPr>
              <w:t>Claudette Bateup</w:t>
            </w:r>
          </w:p>
        </w:tc>
        <w:tc>
          <w:tcPr>
            <w:tcW w:w="7218" w:type="dxa"/>
          </w:tcPr>
          <w:p w14:paraId="1B7E0A7C"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Primary Connections: Linking Science with Literacy (Australian Academy of Science)</w:t>
            </w:r>
          </w:p>
        </w:tc>
      </w:tr>
      <w:tr w:rsidR="00BE6BEF" w:rsidRPr="00FE3B6B" w14:paraId="4A28B0CF" w14:textId="77777777" w:rsidTr="00152B8F">
        <w:trPr>
          <w:trHeight w:val="20"/>
        </w:trPr>
        <w:tc>
          <w:tcPr>
            <w:tcW w:w="2400" w:type="dxa"/>
            <w:vMerge/>
          </w:tcPr>
          <w:p w14:paraId="32AB722E" w14:textId="77777777" w:rsidR="00BE6BEF" w:rsidRPr="00FE3B6B" w:rsidRDefault="00BE6BEF" w:rsidP="00152B8F">
            <w:pPr>
              <w:spacing w:after="0" w:line="240" w:lineRule="auto"/>
              <w:rPr>
                <w:iCs/>
                <w:sz w:val="20"/>
              </w:rPr>
            </w:pPr>
          </w:p>
        </w:tc>
        <w:tc>
          <w:tcPr>
            <w:tcW w:w="7218" w:type="dxa"/>
          </w:tcPr>
          <w:p w14:paraId="76482E64"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 xml:space="preserve">Science by Doing (Australian Academy </w:t>
            </w:r>
            <w:r w:rsidRPr="00FE3B6B">
              <w:rPr>
                <w:rFonts w:cstheme="minorHAnsi"/>
                <w:iCs/>
                <w:sz w:val="20"/>
                <w:lang w:val="en-US"/>
              </w:rPr>
              <w:t>of</w:t>
            </w:r>
            <w:r w:rsidRPr="00FE3B6B">
              <w:rPr>
                <w:rFonts w:cstheme="minorHAnsi"/>
                <w:iCs/>
                <w:sz w:val="20"/>
              </w:rPr>
              <w:t xml:space="preserve"> Science)</w:t>
            </w:r>
          </w:p>
        </w:tc>
      </w:tr>
      <w:tr w:rsidR="00BE6BEF" w:rsidRPr="00FE3B6B" w14:paraId="4EAFC398" w14:textId="77777777" w:rsidTr="00152B8F">
        <w:trPr>
          <w:trHeight w:val="166"/>
        </w:trPr>
        <w:tc>
          <w:tcPr>
            <w:tcW w:w="2400" w:type="dxa"/>
            <w:vMerge/>
          </w:tcPr>
          <w:p w14:paraId="1613C00E" w14:textId="77777777" w:rsidR="00BE6BEF" w:rsidRPr="00FE3B6B" w:rsidRDefault="00BE6BEF" w:rsidP="00152B8F">
            <w:pPr>
              <w:spacing w:after="0" w:line="240" w:lineRule="auto"/>
              <w:rPr>
                <w:iCs/>
                <w:sz w:val="20"/>
              </w:rPr>
            </w:pPr>
          </w:p>
        </w:tc>
        <w:tc>
          <w:tcPr>
            <w:tcW w:w="7218" w:type="dxa"/>
          </w:tcPr>
          <w:p w14:paraId="0EBB9E2C" w14:textId="77777777" w:rsidR="00BE6BEF" w:rsidRPr="00FE3B6B" w:rsidRDefault="00BE6BEF" w:rsidP="00152B8F">
            <w:pPr>
              <w:spacing w:after="0" w:line="240" w:lineRule="auto"/>
              <w:contextualSpacing/>
              <w:rPr>
                <w:rFonts w:cstheme="minorHAnsi"/>
                <w:iCs/>
                <w:sz w:val="20"/>
              </w:rPr>
            </w:pPr>
            <w:proofErr w:type="spellStart"/>
            <w:r w:rsidRPr="00FE3B6B">
              <w:rPr>
                <w:rFonts w:cstheme="minorHAnsi"/>
                <w:iCs/>
                <w:sz w:val="20"/>
              </w:rPr>
              <w:t>reSolve</w:t>
            </w:r>
            <w:proofErr w:type="spellEnd"/>
            <w:r w:rsidRPr="00FE3B6B">
              <w:rPr>
                <w:rFonts w:cstheme="minorHAnsi"/>
                <w:iCs/>
                <w:sz w:val="20"/>
              </w:rPr>
              <w:t>: Mathematics by Inquiry (Australian Academy of Science)</w:t>
            </w:r>
          </w:p>
        </w:tc>
      </w:tr>
      <w:tr w:rsidR="00BE6BEF" w:rsidRPr="00FE3B6B" w14:paraId="0CA5B3FA" w14:textId="77777777" w:rsidTr="00152B8F">
        <w:trPr>
          <w:trHeight w:val="121"/>
        </w:trPr>
        <w:tc>
          <w:tcPr>
            <w:tcW w:w="2400" w:type="dxa"/>
          </w:tcPr>
          <w:p w14:paraId="47EF6E3E"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Ruth Carr</w:t>
            </w:r>
          </w:p>
        </w:tc>
        <w:tc>
          <w:tcPr>
            <w:tcW w:w="7218" w:type="dxa"/>
            <w:vMerge w:val="restart"/>
          </w:tcPr>
          <w:p w14:paraId="47651A10"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Curious Minds summer schools for girls (Australian Mathematics Trust)</w:t>
            </w:r>
          </w:p>
        </w:tc>
      </w:tr>
      <w:tr w:rsidR="00BE6BEF" w:rsidRPr="00FE3B6B" w14:paraId="2F16E226" w14:textId="77777777" w:rsidTr="00152B8F">
        <w:trPr>
          <w:trHeight w:val="250"/>
        </w:trPr>
        <w:tc>
          <w:tcPr>
            <w:tcW w:w="2400" w:type="dxa"/>
          </w:tcPr>
          <w:p w14:paraId="4BF64155"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Nathan Ford</w:t>
            </w:r>
          </w:p>
        </w:tc>
        <w:tc>
          <w:tcPr>
            <w:tcW w:w="7218" w:type="dxa"/>
            <w:vMerge/>
          </w:tcPr>
          <w:p w14:paraId="4135269B" w14:textId="77777777" w:rsidR="00BE6BEF" w:rsidRPr="00FE3B6B" w:rsidRDefault="00BE6BEF" w:rsidP="00152B8F">
            <w:pPr>
              <w:spacing w:after="0" w:line="240" w:lineRule="auto"/>
              <w:contextualSpacing/>
              <w:rPr>
                <w:rFonts w:cstheme="minorHAnsi"/>
                <w:iCs/>
                <w:sz w:val="20"/>
              </w:rPr>
            </w:pPr>
          </w:p>
        </w:tc>
      </w:tr>
      <w:tr w:rsidR="00BE6BEF" w:rsidRPr="00FE3B6B" w14:paraId="4F9F5657" w14:textId="77777777" w:rsidTr="00152B8F">
        <w:trPr>
          <w:trHeight w:val="250"/>
        </w:trPr>
        <w:tc>
          <w:tcPr>
            <w:tcW w:w="2400" w:type="dxa"/>
          </w:tcPr>
          <w:p w14:paraId="1BEE9D7B"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Matt Bacon</w:t>
            </w:r>
          </w:p>
        </w:tc>
        <w:tc>
          <w:tcPr>
            <w:tcW w:w="7218" w:type="dxa"/>
            <w:vMerge w:val="restart"/>
          </w:tcPr>
          <w:p w14:paraId="2C1C2AB6"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Early Learning STEM Australia (ELSA) Pilot (University of Canberra)</w:t>
            </w:r>
          </w:p>
        </w:tc>
      </w:tr>
      <w:tr w:rsidR="00BE6BEF" w:rsidRPr="00FE3B6B" w14:paraId="228BFDF5" w14:textId="77777777" w:rsidTr="00152B8F">
        <w:trPr>
          <w:trHeight w:val="250"/>
        </w:trPr>
        <w:tc>
          <w:tcPr>
            <w:tcW w:w="2400" w:type="dxa"/>
          </w:tcPr>
          <w:p w14:paraId="2EC039B9"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Tom Lowry</w:t>
            </w:r>
          </w:p>
        </w:tc>
        <w:tc>
          <w:tcPr>
            <w:tcW w:w="7218" w:type="dxa"/>
            <w:vMerge/>
          </w:tcPr>
          <w:p w14:paraId="1F733A30" w14:textId="77777777" w:rsidR="00BE6BEF" w:rsidRPr="00FE3B6B" w:rsidRDefault="00BE6BEF" w:rsidP="00152B8F">
            <w:pPr>
              <w:spacing w:after="0" w:line="240" w:lineRule="auto"/>
              <w:contextualSpacing/>
              <w:rPr>
                <w:rFonts w:cstheme="minorHAnsi"/>
                <w:iCs/>
                <w:sz w:val="20"/>
              </w:rPr>
            </w:pPr>
          </w:p>
        </w:tc>
      </w:tr>
      <w:tr w:rsidR="00BE6BEF" w:rsidRPr="00FE3B6B" w14:paraId="0CB3514F" w14:textId="77777777" w:rsidTr="00152B8F">
        <w:trPr>
          <w:trHeight w:val="250"/>
        </w:trPr>
        <w:tc>
          <w:tcPr>
            <w:tcW w:w="2400" w:type="dxa"/>
          </w:tcPr>
          <w:p w14:paraId="6F9A7485"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Jo Carter</w:t>
            </w:r>
          </w:p>
        </w:tc>
        <w:tc>
          <w:tcPr>
            <w:tcW w:w="7218" w:type="dxa"/>
          </w:tcPr>
          <w:p w14:paraId="13750E53"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Little Scientists (</w:t>
            </w:r>
            <w:r w:rsidRPr="00FE3B6B">
              <w:rPr>
                <w:rFonts w:cstheme="minorHAnsi"/>
                <w:iCs/>
                <w:sz w:val="20"/>
                <w:lang w:val="en"/>
              </w:rPr>
              <w:t xml:space="preserve">Froebel </w:t>
            </w:r>
            <w:r w:rsidRPr="00FE3B6B">
              <w:rPr>
                <w:rFonts w:cstheme="minorHAnsi"/>
                <w:iCs/>
                <w:sz w:val="20"/>
              </w:rPr>
              <w:t>Australia)</w:t>
            </w:r>
          </w:p>
        </w:tc>
      </w:tr>
      <w:tr w:rsidR="00BE6BEF" w:rsidRPr="00FE3B6B" w14:paraId="389923D2" w14:textId="77777777" w:rsidTr="00152B8F">
        <w:trPr>
          <w:trHeight w:val="130"/>
        </w:trPr>
        <w:tc>
          <w:tcPr>
            <w:tcW w:w="2400" w:type="dxa"/>
          </w:tcPr>
          <w:p w14:paraId="5642FE4B"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Olde Lorenzen</w:t>
            </w:r>
          </w:p>
        </w:tc>
        <w:tc>
          <w:tcPr>
            <w:tcW w:w="7218" w:type="dxa"/>
            <w:vMerge w:val="restart"/>
          </w:tcPr>
          <w:p w14:paraId="63225EBB" w14:textId="77777777" w:rsidR="00BE6BEF" w:rsidRPr="00FE3B6B" w:rsidRDefault="00BE6BEF" w:rsidP="00152B8F">
            <w:pPr>
              <w:tabs>
                <w:tab w:val="left" w:pos="1120"/>
              </w:tabs>
              <w:spacing w:after="0" w:line="240" w:lineRule="auto"/>
              <w:contextualSpacing/>
              <w:jc w:val="both"/>
              <w:rPr>
                <w:rFonts w:cstheme="minorHAnsi"/>
                <w:iCs/>
                <w:sz w:val="20"/>
              </w:rPr>
            </w:pPr>
            <w:r w:rsidRPr="00FE3B6B">
              <w:rPr>
                <w:rFonts w:cstheme="minorHAnsi"/>
                <w:iCs/>
                <w:sz w:val="20"/>
              </w:rPr>
              <w:t>Let’s Count (The Smith Family)</w:t>
            </w:r>
          </w:p>
        </w:tc>
      </w:tr>
      <w:tr w:rsidR="00BE6BEF" w:rsidRPr="00FE3B6B" w14:paraId="3268A9C7" w14:textId="77777777" w:rsidTr="00152B8F">
        <w:trPr>
          <w:trHeight w:val="130"/>
        </w:trPr>
        <w:tc>
          <w:tcPr>
            <w:tcW w:w="2400" w:type="dxa"/>
          </w:tcPr>
          <w:p w14:paraId="65FFFABD"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Sybille Seidler</w:t>
            </w:r>
          </w:p>
        </w:tc>
        <w:tc>
          <w:tcPr>
            <w:tcW w:w="7218" w:type="dxa"/>
            <w:vMerge/>
          </w:tcPr>
          <w:p w14:paraId="2843217E" w14:textId="77777777" w:rsidR="00BE6BEF" w:rsidRPr="00FE3B6B" w:rsidRDefault="00BE6BEF" w:rsidP="00152B8F">
            <w:pPr>
              <w:tabs>
                <w:tab w:val="left" w:pos="1120"/>
              </w:tabs>
              <w:spacing w:after="0" w:line="240" w:lineRule="auto"/>
              <w:contextualSpacing/>
              <w:jc w:val="both"/>
              <w:rPr>
                <w:rFonts w:cstheme="minorHAnsi"/>
                <w:i/>
                <w:sz w:val="20"/>
              </w:rPr>
            </w:pPr>
          </w:p>
        </w:tc>
      </w:tr>
      <w:tr w:rsidR="00BE6BEF" w:rsidRPr="00FE3B6B" w14:paraId="63D67EAE" w14:textId="77777777" w:rsidTr="00152B8F">
        <w:trPr>
          <w:trHeight w:val="130"/>
        </w:trPr>
        <w:tc>
          <w:tcPr>
            <w:tcW w:w="2400" w:type="dxa"/>
          </w:tcPr>
          <w:p w14:paraId="74460A50" w14:textId="77777777" w:rsidR="00BE6BEF" w:rsidRPr="00FE3B6B" w:rsidRDefault="00BE6BEF" w:rsidP="00152B8F">
            <w:pPr>
              <w:spacing w:after="0" w:line="240" w:lineRule="auto"/>
              <w:contextualSpacing/>
              <w:rPr>
                <w:rFonts w:cstheme="minorHAnsi"/>
                <w:iCs/>
                <w:sz w:val="20"/>
              </w:rPr>
            </w:pPr>
            <w:r w:rsidRPr="00FE3B6B">
              <w:rPr>
                <w:rFonts w:cstheme="minorHAnsi"/>
                <w:iCs/>
                <w:sz w:val="20"/>
              </w:rPr>
              <w:t>Vic Dobos</w:t>
            </w:r>
          </w:p>
        </w:tc>
        <w:tc>
          <w:tcPr>
            <w:tcW w:w="7218" w:type="dxa"/>
          </w:tcPr>
          <w:p w14:paraId="3E0682CB" w14:textId="77777777" w:rsidR="00BE6BEF" w:rsidRPr="00FE3B6B" w:rsidRDefault="00BE6BEF" w:rsidP="00152B8F">
            <w:pPr>
              <w:spacing w:after="0" w:line="240" w:lineRule="auto"/>
              <w:contextualSpacing/>
              <w:rPr>
                <w:rFonts w:cstheme="minorHAnsi"/>
                <w:iCs/>
                <w:sz w:val="20"/>
                <w:lang w:val="en-US"/>
              </w:rPr>
            </w:pPr>
            <w:r w:rsidRPr="00FE3B6B">
              <w:rPr>
                <w:rFonts w:cstheme="minorHAnsi"/>
                <w:iCs/>
                <w:sz w:val="20"/>
                <w:lang w:val="en-US"/>
              </w:rPr>
              <w:t>Science ASSIST Advisory Service (Australian Science Teachers Association)</w:t>
            </w:r>
          </w:p>
          <w:p w14:paraId="1AD47699" w14:textId="77777777" w:rsidR="00BE6BEF" w:rsidRPr="00FE3B6B" w:rsidRDefault="00BE6BEF" w:rsidP="00152B8F">
            <w:pPr>
              <w:tabs>
                <w:tab w:val="left" w:pos="1120"/>
              </w:tabs>
              <w:spacing w:after="0" w:line="240" w:lineRule="auto"/>
              <w:contextualSpacing/>
              <w:jc w:val="both"/>
              <w:rPr>
                <w:rFonts w:cstheme="minorHAnsi"/>
                <w:iCs/>
                <w:sz w:val="20"/>
              </w:rPr>
            </w:pPr>
            <w:r w:rsidRPr="00FE3B6B">
              <w:rPr>
                <w:rFonts w:cstheme="minorHAnsi"/>
                <w:iCs/>
                <w:sz w:val="20"/>
                <w:lang w:val="en-US"/>
              </w:rPr>
              <w:t>Primary Connections: Linking Science with Literacy</w:t>
            </w:r>
          </w:p>
        </w:tc>
      </w:tr>
      <w:tr w:rsidR="00BE6BEF" w:rsidRPr="00FE3B6B" w14:paraId="04DD5134" w14:textId="77777777" w:rsidTr="00152B8F">
        <w:trPr>
          <w:trHeight w:val="130"/>
        </w:trPr>
        <w:tc>
          <w:tcPr>
            <w:tcW w:w="9618" w:type="dxa"/>
            <w:gridSpan w:val="2"/>
            <w:shd w:val="clear" w:color="auto" w:fill="931B2F" w:themeFill="background2"/>
          </w:tcPr>
          <w:p w14:paraId="36C6D4C5" w14:textId="77777777" w:rsidR="00BE6BEF" w:rsidRPr="00FE3B6B" w:rsidRDefault="00BE6BEF" w:rsidP="00152B8F">
            <w:pPr>
              <w:spacing w:after="0" w:line="240" w:lineRule="auto"/>
              <w:contextualSpacing/>
              <w:rPr>
                <w:rFonts w:cstheme="minorHAnsi"/>
                <w:b/>
                <w:bCs/>
                <w:iCs/>
                <w:color w:val="FFFFFF" w:themeColor="background1"/>
                <w:sz w:val="20"/>
                <w:lang w:val="en-US"/>
              </w:rPr>
            </w:pPr>
            <w:r w:rsidRPr="00FE3B6B">
              <w:rPr>
                <w:rFonts w:cstheme="minorHAnsi"/>
                <w:b/>
                <w:bCs/>
                <w:iCs/>
                <w:color w:val="FFFFFF" w:themeColor="background1"/>
                <w:sz w:val="20"/>
                <w:lang w:val="en-US"/>
              </w:rPr>
              <w:t>Evaluators</w:t>
            </w:r>
          </w:p>
        </w:tc>
      </w:tr>
      <w:tr w:rsidR="00BE6BEF" w:rsidRPr="00FE3B6B" w14:paraId="11714B5D" w14:textId="77777777" w:rsidTr="00152B8F">
        <w:trPr>
          <w:trHeight w:val="130"/>
        </w:trPr>
        <w:tc>
          <w:tcPr>
            <w:tcW w:w="2400" w:type="dxa"/>
            <w:shd w:val="clear" w:color="auto" w:fill="auto"/>
          </w:tcPr>
          <w:p w14:paraId="3980DDE1" w14:textId="77777777" w:rsidR="00BE6BEF" w:rsidRPr="00FE3B6B" w:rsidRDefault="00BE6BEF" w:rsidP="00152B8F">
            <w:pPr>
              <w:spacing w:after="0" w:line="240" w:lineRule="auto"/>
              <w:contextualSpacing/>
              <w:rPr>
                <w:rFonts w:cstheme="minorHAnsi"/>
                <w:b/>
                <w:bCs/>
                <w:iCs/>
                <w:sz w:val="20"/>
                <w:lang w:val="en-US"/>
              </w:rPr>
            </w:pPr>
            <w:r w:rsidRPr="00FE3B6B">
              <w:rPr>
                <w:rFonts w:cstheme="minorHAnsi"/>
                <w:b/>
                <w:bCs/>
                <w:iCs/>
                <w:sz w:val="20"/>
                <w:lang w:val="en-US"/>
              </w:rPr>
              <w:t>Name</w:t>
            </w:r>
          </w:p>
        </w:tc>
        <w:tc>
          <w:tcPr>
            <w:tcW w:w="7218" w:type="dxa"/>
            <w:shd w:val="clear" w:color="auto" w:fill="auto"/>
          </w:tcPr>
          <w:p w14:paraId="1FCCDE1A" w14:textId="77777777" w:rsidR="00BE6BEF" w:rsidRPr="00FE3B6B" w:rsidRDefault="00BE6BEF" w:rsidP="00152B8F">
            <w:pPr>
              <w:spacing w:after="0" w:line="240" w:lineRule="auto"/>
              <w:contextualSpacing/>
              <w:rPr>
                <w:rFonts w:cstheme="minorHAnsi"/>
                <w:b/>
                <w:bCs/>
                <w:iCs/>
                <w:sz w:val="20"/>
                <w:lang w:val="en-US"/>
              </w:rPr>
            </w:pPr>
            <w:r w:rsidRPr="00FE3B6B">
              <w:rPr>
                <w:rFonts w:cstheme="minorHAnsi"/>
                <w:b/>
                <w:bCs/>
                <w:iCs/>
                <w:sz w:val="20"/>
                <w:lang w:val="en-US"/>
              </w:rPr>
              <w:t>Evaluation</w:t>
            </w:r>
          </w:p>
        </w:tc>
      </w:tr>
      <w:tr w:rsidR="00BE6BEF" w:rsidRPr="00FE3B6B" w14:paraId="368BD7DF" w14:textId="77777777" w:rsidTr="00152B8F">
        <w:trPr>
          <w:trHeight w:val="130"/>
        </w:trPr>
        <w:tc>
          <w:tcPr>
            <w:tcW w:w="2400" w:type="dxa"/>
            <w:shd w:val="clear" w:color="auto" w:fill="auto"/>
          </w:tcPr>
          <w:p w14:paraId="4264DFF0" w14:textId="77777777" w:rsidR="00BE6BEF" w:rsidRPr="00FE3B6B" w:rsidRDefault="00BE6BEF" w:rsidP="00152B8F">
            <w:pPr>
              <w:spacing w:after="0" w:line="240" w:lineRule="auto"/>
              <w:rPr>
                <w:sz w:val="20"/>
              </w:rPr>
            </w:pPr>
            <w:r w:rsidRPr="00FE3B6B">
              <w:rPr>
                <w:sz w:val="20"/>
              </w:rPr>
              <w:t>Julianne Lynch</w:t>
            </w:r>
          </w:p>
        </w:tc>
        <w:tc>
          <w:tcPr>
            <w:tcW w:w="7218" w:type="dxa"/>
            <w:shd w:val="clear" w:color="auto" w:fill="auto"/>
          </w:tcPr>
          <w:p w14:paraId="32EFDA06" w14:textId="77777777" w:rsidR="00BE6BEF" w:rsidRPr="00FE3B6B" w:rsidRDefault="00BE6BEF" w:rsidP="00152B8F">
            <w:pPr>
              <w:spacing w:after="0" w:line="240" w:lineRule="auto"/>
              <w:rPr>
                <w:sz w:val="20"/>
              </w:rPr>
            </w:pPr>
            <w:r w:rsidRPr="00FE3B6B">
              <w:rPr>
                <w:sz w:val="20"/>
              </w:rPr>
              <w:t>Digital Technologies in Focus (Deakin University)</w:t>
            </w:r>
          </w:p>
        </w:tc>
      </w:tr>
      <w:tr w:rsidR="00BE6BEF" w:rsidRPr="00FE3B6B" w14:paraId="731286EE" w14:textId="77777777" w:rsidTr="00152B8F">
        <w:trPr>
          <w:trHeight w:val="130"/>
        </w:trPr>
        <w:tc>
          <w:tcPr>
            <w:tcW w:w="2400" w:type="dxa"/>
            <w:shd w:val="clear" w:color="auto" w:fill="auto"/>
          </w:tcPr>
          <w:p w14:paraId="2DE548A0" w14:textId="77777777" w:rsidR="00BE6BEF" w:rsidRPr="00FE3B6B" w:rsidRDefault="00BE6BEF" w:rsidP="00152B8F">
            <w:pPr>
              <w:spacing w:after="0" w:line="240" w:lineRule="auto"/>
              <w:rPr>
                <w:sz w:val="20"/>
              </w:rPr>
            </w:pPr>
            <w:r w:rsidRPr="00FE3B6B">
              <w:rPr>
                <w:sz w:val="20"/>
              </w:rPr>
              <w:t>Amy McDonald</w:t>
            </w:r>
          </w:p>
        </w:tc>
        <w:tc>
          <w:tcPr>
            <w:tcW w:w="7218" w:type="dxa"/>
            <w:shd w:val="clear" w:color="auto" w:fill="auto"/>
          </w:tcPr>
          <w:p w14:paraId="501FE7F5" w14:textId="77777777" w:rsidR="00BE6BEF" w:rsidRPr="00FE3B6B" w:rsidRDefault="00BE6BEF" w:rsidP="00152B8F">
            <w:pPr>
              <w:spacing w:after="0" w:line="240" w:lineRule="auto"/>
              <w:rPr>
                <w:sz w:val="20"/>
              </w:rPr>
            </w:pPr>
            <w:r w:rsidRPr="00FE3B6B">
              <w:rPr>
                <w:sz w:val="20"/>
              </w:rPr>
              <w:t>Little Scientists (Charles Sturt University)</w:t>
            </w:r>
          </w:p>
        </w:tc>
      </w:tr>
      <w:tr w:rsidR="00BE6BEF" w:rsidRPr="00FE3B6B" w14:paraId="21768492" w14:textId="77777777" w:rsidTr="00152B8F">
        <w:trPr>
          <w:trHeight w:val="130"/>
        </w:trPr>
        <w:tc>
          <w:tcPr>
            <w:tcW w:w="2400" w:type="dxa"/>
            <w:shd w:val="clear" w:color="auto" w:fill="auto"/>
          </w:tcPr>
          <w:p w14:paraId="28CF4C01" w14:textId="77777777" w:rsidR="00BE6BEF" w:rsidRPr="00FE3B6B" w:rsidRDefault="00BE6BEF" w:rsidP="00152B8F">
            <w:pPr>
              <w:spacing w:after="0" w:line="240" w:lineRule="auto"/>
              <w:rPr>
                <w:sz w:val="20"/>
              </w:rPr>
            </w:pPr>
            <w:r w:rsidRPr="00FE3B6B">
              <w:rPr>
                <w:sz w:val="20"/>
              </w:rPr>
              <w:t>Lotti O’Dea</w:t>
            </w:r>
          </w:p>
        </w:tc>
        <w:tc>
          <w:tcPr>
            <w:tcW w:w="7218" w:type="dxa"/>
            <w:shd w:val="clear" w:color="auto" w:fill="auto"/>
          </w:tcPr>
          <w:p w14:paraId="33A37970" w14:textId="77777777" w:rsidR="00BE6BEF" w:rsidRPr="00FE3B6B" w:rsidRDefault="00BE6BEF" w:rsidP="00152B8F">
            <w:pPr>
              <w:spacing w:after="0" w:line="240" w:lineRule="auto"/>
              <w:rPr>
                <w:sz w:val="20"/>
              </w:rPr>
            </w:pPr>
            <w:proofErr w:type="spellStart"/>
            <w:r w:rsidRPr="00FE3B6B">
              <w:rPr>
                <w:sz w:val="20"/>
              </w:rPr>
              <w:t>reSolve</w:t>
            </w:r>
            <w:proofErr w:type="spellEnd"/>
            <w:r w:rsidRPr="00FE3B6B">
              <w:rPr>
                <w:sz w:val="20"/>
              </w:rPr>
              <w:t>: Maths by Inquiry (</w:t>
            </w:r>
            <w:proofErr w:type="spellStart"/>
            <w:r w:rsidRPr="00FE3B6B">
              <w:rPr>
                <w:sz w:val="20"/>
              </w:rPr>
              <w:t>dandolopartners</w:t>
            </w:r>
            <w:proofErr w:type="spellEnd"/>
            <w:r w:rsidRPr="00FE3B6B">
              <w:rPr>
                <w:sz w:val="20"/>
              </w:rPr>
              <w:t>)</w:t>
            </w:r>
          </w:p>
        </w:tc>
      </w:tr>
      <w:tr w:rsidR="00BE6BEF" w:rsidRPr="00FE3B6B" w14:paraId="19B965F1" w14:textId="77777777" w:rsidTr="00152B8F">
        <w:trPr>
          <w:trHeight w:val="130"/>
        </w:trPr>
        <w:tc>
          <w:tcPr>
            <w:tcW w:w="2400" w:type="dxa"/>
            <w:shd w:val="clear" w:color="auto" w:fill="auto"/>
          </w:tcPr>
          <w:p w14:paraId="5AC8A86F" w14:textId="77777777" w:rsidR="00BE6BEF" w:rsidRPr="00FE3B6B" w:rsidRDefault="00BE6BEF" w:rsidP="00152B8F">
            <w:pPr>
              <w:spacing w:after="0" w:line="240" w:lineRule="auto"/>
              <w:rPr>
                <w:sz w:val="20"/>
              </w:rPr>
            </w:pPr>
            <w:r w:rsidRPr="00FE3B6B">
              <w:rPr>
                <w:sz w:val="20"/>
              </w:rPr>
              <w:t>Sam Rothman</w:t>
            </w:r>
          </w:p>
        </w:tc>
        <w:tc>
          <w:tcPr>
            <w:tcW w:w="7218" w:type="dxa"/>
            <w:shd w:val="clear" w:color="auto" w:fill="auto"/>
          </w:tcPr>
          <w:p w14:paraId="5EF28A88" w14:textId="77777777" w:rsidR="00BE6BEF" w:rsidRPr="00FE3B6B" w:rsidRDefault="00BE6BEF" w:rsidP="00152B8F">
            <w:pPr>
              <w:spacing w:after="0" w:line="240" w:lineRule="auto"/>
              <w:rPr>
                <w:sz w:val="20"/>
              </w:rPr>
            </w:pPr>
            <w:r w:rsidRPr="00FE3B6B">
              <w:rPr>
                <w:sz w:val="20"/>
              </w:rPr>
              <w:t>ELSA Pilot (ACER)</w:t>
            </w:r>
          </w:p>
        </w:tc>
      </w:tr>
      <w:tr w:rsidR="00BE6BEF" w:rsidRPr="00FE3B6B" w14:paraId="271F41A8" w14:textId="77777777" w:rsidTr="00152B8F">
        <w:trPr>
          <w:trHeight w:val="130"/>
        </w:trPr>
        <w:tc>
          <w:tcPr>
            <w:tcW w:w="9618" w:type="dxa"/>
            <w:gridSpan w:val="2"/>
            <w:shd w:val="clear" w:color="auto" w:fill="931B2F" w:themeFill="background2"/>
          </w:tcPr>
          <w:p w14:paraId="78887C8E" w14:textId="77777777" w:rsidR="00BE6BEF" w:rsidRPr="00FE3B6B" w:rsidRDefault="00F7119F" w:rsidP="00152B8F">
            <w:pPr>
              <w:spacing w:after="0" w:line="240" w:lineRule="auto"/>
              <w:rPr>
                <w:b/>
                <w:bCs/>
                <w:sz w:val="20"/>
              </w:rPr>
            </w:pPr>
            <w:r w:rsidRPr="00FE3B6B">
              <w:rPr>
                <w:b/>
                <w:bCs/>
                <w:color w:val="FFFFFF" w:themeColor="background1"/>
                <w:sz w:val="20"/>
              </w:rPr>
              <w:t>F</w:t>
            </w:r>
            <w:r w:rsidR="002300C5" w:rsidRPr="00FE3B6B">
              <w:rPr>
                <w:b/>
                <w:bCs/>
                <w:color w:val="FFFFFF" w:themeColor="background1"/>
                <w:sz w:val="20"/>
              </w:rPr>
              <w:t>ocus group participants</w:t>
            </w:r>
            <w:r w:rsidR="0023269B" w:rsidRPr="00FE3B6B">
              <w:rPr>
                <w:b/>
                <w:bCs/>
                <w:color w:val="FFFFFF" w:themeColor="background1"/>
                <w:sz w:val="20"/>
              </w:rPr>
              <w:t xml:space="preserve"> (detail below refers to</w:t>
            </w:r>
            <w:r w:rsidR="00BE6BEF" w:rsidRPr="00FE3B6B">
              <w:rPr>
                <w:b/>
                <w:bCs/>
                <w:color w:val="FFFFFF" w:themeColor="background1"/>
                <w:sz w:val="20"/>
              </w:rPr>
              <w:t xml:space="preserve"> </w:t>
            </w:r>
            <w:r w:rsidR="0023269B" w:rsidRPr="00FE3B6B">
              <w:rPr>
                <w:b/>
                <w:bCs/>
                <w:color w:val="FFFFFF" w:themeColor="background1"/>
                <w:sz w:val="20"/>
              </w:rPr>
              <w:t xml:space="preserve">number of </w:t>
            </w:r>
            <w:r w:rsidR="00BE6BEF" w:rsidRPr="00FE3B6B">
              <w:rPr>
                <w:b/>
                <w:bCs/>
                <w:color w:val="FFFFFF" w:themeColor="background1"/>
                <w:sz w:val="20"/>
              </w:rPr>
              <w:t>participants in focus groups</w:t>
            </w:r>
            <w:r w:rsidRPr="00FE3B6B">
              <w:rPr>
                <w:b/>
                <w:bCs/>
                <w:color w:val="FFFFFF" w:themeColor="background1"/>
                <w:sz w:val="20"/>
              </w:rPr>
              <w:t>)</w:t>
            </w:r>
            <w:r w:rsidR="00FF6DDF">
              <w:rPr>
                <w:rStyle w:val="FootnoteReference"/>
                <w:b w:val="0"/>
                <w:bCs/>
                <w:color w:val="FFFFFF" w:themeColor="background1"/>
                <w:sz w:val="20"/>
              </w:rPr>
              <w:footnoteReference w:id="61"/>
            </w:r>
          </w:p>
        </w:tc>
      </w:tr>
      <w:tr w:rsidR="00BE6BEF" w:rsidRPr="00FE3B6B" w14:paraId="6AE0475D" w14:textId="77777777" w:rsidTr="00152B8F">
        <w:trPr>
          <w:trHeight w:val="130"/>
        </w:trPr>
        <w:tc>
          <w:tcPr>
            <w:tcW w:w="2400" w:type="dxa"/>
            <w:shd w:val="clear" w:color="auto" w:fill="auto"/>
          </w:tcPr>
          <w:p w14:paraId="75269D6C" w14:textId="77777777" w:rsidR="00BE6BEF" w:rsidRPr="00FE3B6B" w:rsidRDefault="00BE6BEF" w:rsidP="00152B8F">
            <w:pPr>
              <w:spacing w:after="0" w:line="240" w:lineRule="auto"/>
              <w:rPr>
                <w:sz w:val="20"/>
              </w:rPr>
            </w:pPr>
            <w:r w:rsidRPr="00FE3B6B">
              <w:rPr>
                <w:sz w:val="20"/>
              </w:rPr>
              <w:t>Early childhood educators</w:t>
            </w:r>
          </w:p>
        </w:tc>
        <w:tc>
          <w:tcPr>
            <w:tcW w:w="7218" w:type="dxa"/>
            <w:shd w:val="clear" w:color="auto" w:fill="auto"/>
          </w:tcPr>
          <w:p w14:paraId="65723ECE" w14:textId="77777777" w:rsidR="00BE6BEF" w:rsidRPr="00FE3B6B" w:rsidRDefault="00BE6BEF" w:rsidP="00152B8F">
            <w:pPr>
              <w:spacing w:after="0" w:line="240" w:lineRule="auto"/>
              <w:rPr>
                <w:sz w:val="20"/>
              </w:rPr>
            </w:pPr>
            <w:r w:rsidRPr="00FE3B6B">
              <w:rPr>
                <w:sz w:val="20"/>
              </w:rPr>
              <w:t>16</w:t>
            </w:r>
          </w:p>
        </w:tc>
      </w:tr>
      <w:tr w:rsidR="00BE6BEF" w:rsidRPr="00FE3B6B" w14:paraId="60B6B43D" w14:textId="77777777" w:rsidTr="00152B8F">
        <w:trPr>
          <w:trHeight w:val="130"/>
        </w:trPr>
        <w:tc>
          <w:tcPr>
            <w:tcW w:w="2400" w:type="dxa"/>
            <w:shd w:val="clear" w:color="auto" w:fill="auto"/>
          </w:tcPr>
          <w:p w14:paraId="391EB585" w14:textId="77777777" w:rsidR="00BE6BEF" w:rsidRPr="00FE3B6B" w:rsidRDefault="00BE6BEF" w:rsidP="00152B8F">
            <w:pPr>
              <w:spacing w:after="0" w:line="240" w:lineRule="auto"/>
              <w:rPr>
                <w:sz w:val="20"/>
              </w:rPr>
            </w:pPr>
            <w:r w:rsidRPr="00FE3B6B">
              <w:rPr>
                <w:sz w:val="20"/>
              </w:rPr>
              <w:t>Primary teachers</w:t>
            </w:r>
          </w:p>
        </w:tc>
        <w:tc>
          <w:tcPr>
            <w:tcW w:w="7218" w:type="dxa"/>
            <w:shd w:val="clear" w:color="auto" w:fill="auto"/>
          </w:tcPr>
          <w:p w14:paraId="6A26772C" w14:textId="77777777" w:rsidR="00BE6BEF" w:rsidRPr="00FE3B6B" w:rsidRDefault="00231A17" w:rsidP="00152B8F">
            <w:pPr>
              <w:spacing w:after="0" w:line="240" w:lineRule="auto"/>
              <w:rPr>
                <w:sz w:val="20"/>
              </w:rPr>
            </w:pPr>
            <w:r w:rsidRPr="00FE3B6B">
              <w:rPr>
                <w:sz w:val="20"/>
              </w:rPr>
              <w:t>32</w:t>
            </w:r>
          </w:p>
        </w:tc>
      </w:tr>
      <w:tr w:rsidR="00BE6BEF" w:rsidRPr="00FE3B6B" w14:paraId="0D2F77CC" w14:textId="77777777" w:rsidTr="00152B8F">
        <w:trPr>
          <w:trHeight w:val="130"/>
        </w:trPr>
        <w:tc>
          <w:tcPr>
            <w:tcW w:w="2400" w:type="dxa"/>
            <w:shd w:val="clear" w:color="auto" w:fill="auto"/>
          </w:tcPr>
          <w:p w14:paraId="5C2D7F85" w14:textId="77777777" w:rsidR="00BE6BEF" w:rsidRPr="00FE3B6B" w:rsidRDefault="00BE6BEF" w:rsidP="00152B8F">
            <w:pPr>
              <w:spacing w:after="0" w:line="240" w:lineRule="auto"/>
              <w:rPr>
                <w:sz w:val="20"/>
              </w:rPr>
            </w:pPr>
            <w:r w:rsidRPr="00FE3B6B">
              <w:rPr>
                <w:sz w:val="20"/>
              </w:rPr>
              <w:t>Maths secondary</w:t>
            </w:r>
          </w:p>
        </w:tc>
        <w:tc>
          <w:tcPr>
            <w:tcW w:w="7218" w:type="dxa"/>
            <w:shd w:val="clear" w:color="auto" w:fill="auto"/>
          </w:tcPr>
          <w:p w14:paraId="5881F8B7" w14:textId="77777777" w:rsidR="00BE6BEF" w:rsidRPr="00FE3B6B" w:rsidRDefault="00BE6BEF" w:rsidP="00152B8F">
            <w:pPr>
              <w:spacing w:after="0" w:line="240" w:lineRule="auto"/>
              <w:rPr>
                <w:sz w:val="20"/>
              </w:rPr>
            </w:pPr>
            <w:r w:rsidRPr="00FE3B6B">
              <w:rPr>
                <w:sz w:val="20"/>
              </w:rPr>
              <w:t>7</w:t>
            </w:r>
          </w:p>
        </w:tc>
      </w:tr>
      <w:tr w:rsidR="00BE6BEF" w:rsidRPr="00FE3B6B" w14:paraId="10BAA838" w14:textId="77777777" w:rsidTr="00152B8F">
        <w:trPr>
          <w:trHeight w:val="130"/>
        </w:trPr>
        <w:tc>
          <w:tcPr>
            <w:tcW w:w="2400" w:type="dxa"/>
            <w:shd w:val="clear" w:color="auto" w:fill="auto"/>
          </w:tcPr>
          <w:p w14:paraId="7113957D" w14:textId="77777777" w:rsidR="00BE6BEF" w:rsidRPr="00FE3B6B" w:rsidRDefault="00BE6BEF" w:rsidP="00152B8F">
            <w:pPr>
              <w:spacing w:after="0" w:line="240" w:lineRule="auto"/>
              <w:rPr>
                <w:sz w:val="20"/>
              </w:rPr>
            </w:pPr>
            <w:r w:rsidRPr="00FE3B6B">
              <w:rPr>
                <w:sz w:val="20"/>
              </w:rPr>
              <w:t>Science secondary</w:t>
            </w:r>
          </w:p>
        </w:tc>
        <w:tc>
          <w:tcPr>
            <w:tcW w:w="7218" w:type="dxa"/>
            <w:shd w:val="clear" w:color="auto" w:fill="auto"/>
          </w:tcPr>
          <w:p w14:paraId="175AC816" w14:textId="77777777" w:rsidR="00BE6BEF" w:rsidRPr="00FE3B6B" w:rsidRDefault="00BE6BEF" w:rsidP="00152B8F">
            <w:pPr>
              <w:spacing w:after="0" w:line="240" w:lineRule="auto"/>
              <w:rPr>
                <w:sz w:val="20"/>
              </w:rPr>
            </w:pPr>
            <w:r w:rsidRPr="00FE3B6B">
              <w:rPr>
                <w:sz w:val="20"/>
              </w:rPr>
              <w:t>30</w:t>
            </w:r>
          </w:p>
        </w:tc>
      </w:tr>
      <w:tr w:rsidR="00BE6BEF" w:rsidRPr="00FE3B6B" w14:paraId="458B62F9" w14:textId="77777777" w:rsidTr="00152B8F">
        <w:trPr>
          <w:trHeight w:val="130"/>
        </w:trPr>
        <w:tc>
          <w:tcPr>
            <w:tcW w:w="2400" w:type="dxa"/>
            <w:shd w:val="clear" w:color="auto" w:fill="auto"/>
          </w:tcPr>
          <w:p w14:paraId="63D436F8" w14:textId="77777777" w:rsidR="00BE6BEF" w:rsidRPr="00FE3B6B" w:rsidRDefault="00BE6BEF" w:rsidP="00152B8F">
            <w:pPr>
              <w:spacing w:after="0" w:line="240" w:lineRule="auto"/>
              <w:rPr>
                <w:sz w:val="20"/>
              </w:rPr>
            </w:pPr>
            <w:r w:rsidRPr="00FE3B6B">
              <w:rPr>
                <w:sz w:val="20"/>
              </w:rPr>
              <w:t>Digital Technologies secondary</w:t>
            </w:r>
          </w:p>
        </w:tc>
        <w:tc>
          <w:tcPr>
            <w:tcW w:w="7218" w:type="dxa"/>
            <w:shd w:val="clear" w:color="auto" w:fill="auto"/>
          </w:tcPr>
          <w:p w14:paraId="5F4DC4FF" w14:textId="77777777" w:rsidR="00BE6BEF" w:rsidRPr="00FE3B6B" w:rsidRDefault="00BE6BEF" w:rsidP="00152B8F">
            <w:pPr>
              <w:spacing w:after="0" w:line="240" w:lineRule="auto"/>
              <w:rPr>
                <w:sz w:val="20"/>
              </w:rPr>
            </w:pPr>
            <w:r w:rsidRPr="00FE3B6B">
              <w:rPr>
                <w:sz w:val="20"/>
              </w:rPr>
              <w:t>11</w:t>
            </w:r>
          </w:p>
        </w:tc>
      </w:tr>
      <w:tr w:rsidR="00BE6BEF" w:rsidRPr="00FE3B6B" w14:paraId="66466482" w14:textId="77777777" w:rsidTr="00152B8F">
        <w:trPr>
          <w:trHeight w:val="130"/>
        </w:trPr>
        <w:tc>
          <w:tcPr>
            <w:tcW w:w="2400" w:type="dxa"/>
            <w:shd w:val="clear" w:color="auto" w:fill="auto"/>
          </w:tcPr>
          <w:p w14:paraId="0F60B95C" w14:textId="77777777" w:rsidR="00BE6BEF" w:rsidRPr="00FE3B6B" w:rsidRDefault="00BE6BEF" w:rsidP="00152B8F">
            <w:pPr>
              <w:spacing w:after="0" w:line="240" w:lineRule="auto"/>
              <w:rPr>
                <w:sz w:val="20"/>
              </w:rPr>
            </w:pPr>
            <w:r w:rsidRPr="00FE3B6B">
              <w:rPr>
                <w:sz w:val="20"/>
              </w:rPr>
              <w:t>Primary school leaders</w:t>
            </w:r>
          </w:p>
        </w:tc>
        <w:tc>
          <w:tcPr>
            <w:tcW w:w="7218" w:type="dxa"/>
            <w:shd w:val="clear" w:color="auto" w:fill="auto"/>
          </w:tcPr>
          <w:p w14:paraId="0CB3BC2B" w14:textId="77777777" w:rsidR="00BE6BEF" w:rsidRPr="00FE3B6B" w:rsidRDefault="00BE6BEF" w:rsidP="00152B8F">
            <w:pPr>
              <w:spacing w:after="0" w:line="240" w:lineRule="auto"/>
              <w:rPr>
                <w:sz w:val="20"/>
              </w:rPr>
            </w:pPr>
            <w:r w:rsidRPr="00FE3B6B">
              <w:rPr>
                <w:sz w:val="20"/>
              </w:rPr>
              <w:t>4</w:t>
            </w:r>
          </w:p>
        </w:tc>
      </w:tr>
      <w:tr w:rsidR="00BE6BEF" w:rsidRPr="00FE3B6B" w14:paraId="176F5707" w14:textId="77777777" w:rsidTr="00152B8F">
        <w:trPr>
          <w:trHeight w:val="130"/>
        </w:trPr>
        <w:tc>
          <w:tcPr>
            <w:tcW w:w="2400" w:type="dxa"/>
            <w:shd w:val="clear" w:color="auto" w:fill="auto"/>
          </w:tcPr>
          <w:p w14:paraId="358AB37B" w14:textId="77777777" w:rsidR="00BE6BEF" w:rsidRPr="00FE3B6B" w:rsidRDefault="00BE6BEF" w:rsidP="00152B8F">
            <w:pPr>
              <w:spacing w:after="0" w:line="240" w:lineRule="auto"/>
              <w:rPr>
                <w:sz w:val="20"/>
              </w:rPr>
            </w:pPr>
            <w:r w:rsidRPr="00FE3B6B">
              <w:rPr>
                <w:sz w:val="20"/>
              </w:rPr>
              <w:t>Secondary school leaders</w:t>
            </w:r>
          </w:p>
        </w:tc>
        <w:tc>
          <w:tcPr>
            <w:tcW w:w="7218" w:type="dxa"/>
            <w:shd w:val="clear" w:color="auto" w:fill="auto"/>
          </w:tcPr>
          <w:p w14:paraId="251450E0" w14:textId="77777777" w:rsidR="00BE6BEF" w:rsidRPr="00FE3B6B" w:rsidRDefault="00BE6BEF" w:rsidP="00152B8F">
            <w:pPr>
              <w:spacing w:after="0" w:line="240" w:lineRule="auto"/>
              <w:rPr>
                <w:sz w:val="20"/>
              </w:rPr>
            </w:pPr>
            <w:r w:rsidRPr="00FE3B6B">
              <w:rPr>
                <w:sz w:val="20"/>
              </w:rPr>
              <w:t>16</w:t>
            </w:r>
          </w:p>
        </w:tc>
      </w:tr>
      <w:tr w:rsidR="00BE6BEF" w:rsidRPr="00FE3B6B" w14:paraId="4CF749BD" w14:textId="77777777" w:rsidTr="00152B8F">
        <w:trPr>
          <w:trHeight w:val="130"/>
        </w:trPr>
        <w:tc>
          <w:tcPr>
            <w:tcW w:w="2400" w:type="dxa"/>
            <w:shd w:val="clear" w:color="auto" w:fill="auto"/>
          </w:tcPr>
          <w:p w14:paraId="256A5D1E" w14:textId="77777777" w:rsidR="00BE6BEF" w:rsidRPr="00FE3B6B" w:rsidRDefault="00BE6BEF" w:rsidP="00152B8F">
            <w:pPr>
              <w:spacing w:after="0" w:line="240" w:lineRule="auto"/>
              <w:rPr>
                <w:sz w:val="20"/>
              </w:rPr>
            </w:pPr>
            <w:r w:rsidRPr="00FE3B6B">
              <w:rPr>
                <w:sz w:val="20"/>
              </w:rPr>
              <w:t>Interested stakeholders (NB: this may also involve industry leaders / associations)</w:t>
            </w:r>
          </w:p>
        </w:tc>
        <w:tc>
          <w:tcPr>
            <w:tcW w:w="7218" w:type="dxa"/>
            <w:shd w:val="clear" w:color="auto" w:fill="auto"/>
          </w:tcPr>
          <w:p w14:paraId="7C831CDD" w14:textId="77777777" w:rsidR="00BE6BEF" w:rsidRPr="00FE3B6B" w:rsidRDefault="00BE6BEF" w:rsidP="00152B8F">
            <w:pPr>
              <w:spacing w:after="0" w:line="240" w:lineRule="auto"/>
              <w:rPr>
                <w:sz w:val="20"/>
              </w:rPr>
            </w:pPr>
            <w:r w:rsidRPr="00FE3B6B">
              <w:rPr>
                <w:sz w:val="20"/>
              </w:rPr>
              <w:t>13</w:t>
            </w:r>
          </w:p>
        </w:tc>
      </w:tr>
      <w:tr w:rsidR="00BE6BEF" w:rsidRPr="00FE3B6B" w14:paraId="17859FE8" w14:textId="77777777" w:rsidTr="00152B8F">
        <w:trPr>
          <w:trHeight w:val="130"/>
        </w:trPr>
        <w:tc>
          <w:tcPr>
            <w:tcW w:w="2400" w:type="dxa"/>
            <w:shd w:val="clear" w:color="auto" w:fill="auto"/>
          </w:tcPr>
          <w:p w14:paraId="45D4B073" w14:textId="77777777" w:rsidR="00BE6BEF" w:rsidRPr="00FE3B6B" w:rsidRDefault="00BE6BEF" w:rsidP="00152B8F">
            <w:pPr>
              <w:spacing w:after="0" w:line="240" w:lineRule="auto"/>
              <w:rPr>
                <w:sz w:val="20"/>
              </w:rPr>
            </w:pPr>
            <w:r w:rsidRPr="00FE3B6B">
              <w:rPr>
                <w:sz w:val="20"/>
              </w:rPr>
              <w:t>Parents</w:t>
            </w:r>
          </w:p>
        </w:tc>
        <w:tc>
          <w:tcPr>
            <w:tcW w:w="7218" w:type="dxa"/>
            <w:shd w:val="clear" w:color="auto" w:fill="auto"/>
          </w:tcPr>
          <w:p w14:paraId="0B820EFC" w14:textId="77777777" w:rsidR="00BE6BEF" w:rsidRPr="00FE3B6B" w:rsidRDefault="00BE6BEF" w:rsidP="00152B8F">
            <w:pPr>
              <w:spacing w:after="0" w:line="240" w:lineRule="auto"/>
              <w:rPr>
                <w:sz w:val="20"/>
              </w:rPr>
            </w:pPr>
            <w:r w:rsidRPr="00FE3B6B">
              <w:rPr>
                <w:sz w:val="20"/>
              </w:rPr>
              <w:t>9</w:t>
            </w:r>
          </w:p>
        </w:tc>
      </w:tr>
      <w:tr w:rsidR="002300C5" w:rsidRPr="00FE3B6B" w14:paraId="65069FE3" w14:textId="77777777" w:rsidTr="00152B8F">
        <w:trPr>
          <w:trHeight w:val="130"/>
        </w:trPr>
        <w:tc>
          <w:tcPr>
            <w:tcW w:w="2400" w:type="dxa"/>
            <w:shd w:val="clear" w:color="auto" w:fill="auto"/>
          </w:tcPr>
          <w:p w14:paraId="7C545042" w14:textId="77777777" w:rsidR="002300C5" w:rsidRPr="00FE3B6B" w:rsidRDefault="002300C5" w:rsidP="00152B8F">
            <w:pPr>
              <w:spacing w:after="0" w:line="240" w:lineRule="auto"/>
              <w:rPr>
                <w:sz w:val="20"/>
              </w:rPr>
            </w:pPr>
            <w:r w:rsidRPr="00FE3B6B">
              <w:rPr>
                <w:sz w:val="20"/>
              </w:rPr>
              <w:t>Mixed group of stakeholders as part of face-to-face focus group</w:t>
            </w:r>
            <w:r w:rsidR="00F7119F" w:rsidRPr="00FE3B6B">
              <w:rPr>
                <w:sz w:val="20"/>
              </w:rPr>
              <w:t xml:space="preserve"> (including associations, education authorities, teachers, school leaders etc)</w:t>
            </w:r>
          </w:p>
        </w:tc>
        <w:tc>
          <w:tcPr>
            <w:tcW w:w="7218" w:type="dxa"/>
            <w:shd w:val="clear" w:color="auto" w:fill="auto"/>
          </w:tcPr>
          <w:p w14:paraId="4997F108" w14:textId="77777777" w:rsidR="002300C5" w:rsidRPr="00FE3B6B" w:rsidRDefault="002300C5" w:rsidP="00152B8F">
            <w:pPr>
              <w:spacing w:after="0" w:line="240" w:lineRule="auto"/>
              <w:rPr>
                <w:sz w:val="20"/>
              </w:rPr>
            </w:pPr>
            <w:r w:rsidRPr="00FE3B6B">
              <w:rPr>
                <w:sz w:val="20"/>
              </w:rPr>
              <w:t>23</w:t>
            </w:r>
          </w:p>
        </w:tc>
      </w:tr>
    </w:tbl>
    <w:p w14:paraId="181815F7" w14:textId="77777777" w:rsidR="004139D4" w:rsidRPr="00292D9C" w:rsidRDefault="004139D4" w:rsidP="00A616D5">
      <w:pPr>
        <w:sectPr w:rsidR="004139D4" w:rsidRPr="00292D9C" w:rsidSect="00A272C5">
          <w:pgSz w:w="11906" w:h="16838" w:code="9"/>
          <w:pgMar w:top="720" w:right="1701" w:bottom="720" w:left="1134" w:header="567" w:footer="567" w:gutter="0"/>
          <w:cols w:space="708"/>
          <w:docGrid w:linePitch="360"/>
        </w:sectPr>
      </w:pPr>
    </w:p>
    <w:p w14:paraId="349ADCB0" w14:textId="77777777" w:rsidR="00762B5A" w:rsidRDefault="00762B5A" w:rsidP="00762B5A">
      <w:pPr>
        <w:pStyle w:val="Heading1"/>
        <w:numPr>
          <w:ilvl w:val="0"/>
          <w:numId w:val="0"/>
        </w:numPr>
        <w:spacing w:before="0" w:after="120" w:line="360" w:lineRule="auto"/>
        <w:rPr>
          <w:rFonts w:asciiTheme="minorHAnsi" w:hAnsiTheme="minorHAnsi"/>
        </w:rPr>
      </w:pPr>
      <w:bookmarkStart w:id="159" w:name="_Toc25162078"/>
      <w:bookmarkStart w:id="160" w:name="_Toc21088271"/>
      <w:bookmarkStart w:id="161" w:name="_Toc509243548"/>
      <w:bookmarkStart w:id="162" w:name="_Toc509236564"/>
      <w:r w:rsidRPr="00292D9C">
        <w:rPr>
          <w:rFonts w:asciiTheme="minorHAnsi" w:hAnsiTheme="minorHAnsi"/>
        </w:rPr>
        <w:t xml:space="preserve">Appendix </w:t>
      </w:r>
      <w:r>
        <w:rPr>
          <w:rFonts w:asciiTheme="minorHAnsi" w:hAnsiTheme="minorHAnsi"/>
        </w:rPr>
        <w:t>2</w:t>
      </w:r>
      <w:r w:rsidRPr="00292D9C">
        <w:rPr>
          <w:rFonts w:asciiTheme="minorHAnsi" w:hAnsiTheme="minorHAnsi"/>
        </w:rPr>
        <w:t>: Evaluation summaries</w:t>
      </w:r>
      <w:bookmarkEnd w:id="159"/>
    </w:p>
    <w:p w14:paraId="3411100C" w14:textId="77777777" w:rsidR="00762B5A" w:rsidRDefault="00762B5A" w:rsidP="00762B5A">
      <w:pPr>
        <w:pStyle w:val="Heading1"/>
        <w:numPr>
          <w:ilvl w:val="0"/>
          <w:numId w:val="0"/>
        </w:numPr>
        <w:spacing w:before="0" w:after="120" w:line="360" w:lineRule="auto"/>
        <w:rPr>
          <w:rFonts w:asciiTheme="minorHAnsi" w:hAnsiTheme="minorHAnsi"/>
          <w:sz w:val="44"/>
          <w:szCs w:val="15"/>
        </w:rPr>
      </w:pPr>
      <w:bookmarkStart w:id="163" w:name="_Toc25162079"/>
      <w:r>
        <w:rPr>
          <w:rFonts w:asciiTheme="minorHAnsi" w:hAnsiTheme="minorHAnsi"/>
          <w:sz w:val="44"/>
          <w:szCs w:val="15"/>
        </w:rPr>
        <w:t>School initiatives</w:t>
      </w:r>
      <w:bookmarkEnd w:id="163"/>
    </w:p>
    <w:p w14:paraId="0DA17A79" w14:textId="77777777" w:rsidR="00762B5A" w:rsidRDefault="00762B5A" w:rsidP="00762B5A">
      <w:pPr>
        <w:pStyle w:val="Heading1"/>
        <w:numPr>
          <w:ilvl w:val="0"/>
          <w:numId w:val="0"/>
        </w:numPr>
        <w:spacing w:before="0" w:after="120" w:line="360" w:lineRule="auto"/>
        <w:rPr>
          <w:rFonts w:asciiTheme="minorHAnsi" w:hAnsiTheme="minorHAnsi" w:cs="Arial"/>
          <w:b/>
          <w:bCs/>
          <w:sz w:val="36"/>
          <w:szCs w:val="36"/>
        </w:rPr>
      </w:pPr>
      <w:bookmarkStart w:id="164" w:name="_Toc25162080"/>
      <w:r>
        <w:rPr>
          <w:rFonts w:asciiTheme="minorHAnsi" w:hAnsiTheme="minorHAnsi" w:cs="Arial"/>
          <w:b/>
          <w:bCs/>
          <w:sz w:val="36"/>
          <w:szCs w:val="36"/>
        </w:rPr>
        <w:t>Digital Technologies Massive Open Online Courses (MOOCs)</w:t>
      </w:r>
      <w:bookmarkEnd w:id="164"/>
    </w:p>
    <w:tbl>
      <w:tblPr>
        <w:tblStyle w:val="PlainTable2"/>
        <w:tblW w:w="0" w:type="auto"/>
        <w:tblInd w:w="-95" w:type="dxa"/>
        <w:tblLook w:val="04A0" w:firstRow="1" w:lastRow="0" w:firstColumn="1" w:lastColumn="0" w:noHBand="0" w:noVBand="1"/>
      </w:tblPr>
      <w:tblGrid>
        <w:gridCol w:w="2809"/>
        <w:gridCol w:w="6337"/>
      </w:tblGrid>
      <w:tr w:rsidR="00762B5A" w14:paraId="4AB33E27" w14:textId="77777777" w:rsidTr="007E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6E42CD5" w14:textId="77777777" w:rsidR="00762B5A" w:rsidRDefault="00762B5A" w:rsidP="007E2D07">
            <w:pPr>
              <w:rPr>
                <w:b w:val="0"/>
                <w:bCs w:val="0"/>
                <w:szCs w:val="22"/>
              </w:rPr>
            </w:pPr>
            <w:r>
              <w:rPr>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A9895AE" w14:textId="77777777" w:rsidR="00762B5A" w:rsidRDefault="00762B5A" w:rsidP="007E2D07">
            <w:pPr>
              <w:cnfStyle w:val="100000000000" w:firstRow="1" w:lastRow="0" w:firstColumn="0" w:lastColumn="0" w:oddVBand="0" w:evenVBand="0" w:oddHBand="0" w:evenHBand="0" w:firstRowFirstColumn="0" w:firstRowLastColumn="0" w:lastRowFirstColumn="0" w:lastRowLastColumn="0"/>
              <w:rPr>
                <w:szCs w:val="22"/>
              </w:rPr>
            </w:pPr>
            <w:r>
              <w:rPr>
                <w:szCs w:val="22"/>
              </w:rPr>
              <w:t xml:space="preserve">University of Adelaide </w:t>
            </w:r>
          </w:p>
        </w:tc>
      </w:tr>
      <w:tr w:rsidR="00762B5A" w14:paraId="5CB2410B"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644771" w14:textId="77777777" w:rsidR="00762B5A" w:rsidRDefault="00762B5A" w:rsidP="007E2D07">
            <w:pPr>
              <w:rPr>
                <w:szCs w:val="22"/>
              </w:rPr>
            </w:pPr>
            <w:r>
              <w:rPr>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7159BC1"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Digital Technologies Massive Open Online Courses (MOOCs) provide free professional learning for teachers on the Australian Curriculum: Digital Technologies (DT). The Digital Technologies MOOCs also provides free access to the latest DT equipment through a National Lending Library, including equipment, lesson plans, maps to the Australian Curriculum and assessment support. </w:t>
            </w:r>
          </w:p>
          <w:p w14:paraId="130535EC"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Part-time project officers based in every state and territory work with schools to support teachers’ ongoing engagement in professional development. Teachers use the Library and its resources, what they’ve learned from the MOOC and professional learning sessions (online/face-to-face) to develop their teaching. </w:t>
            </w:r>
          </w:p>
          <w:p w14:paraId="49F26D7C"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Objectives</w:t>
            </w:r>
          </w:p>
          <w:p w14:paraId="745F0436" w14:textId="77777777" w:rsidR="00762B5A" w:rsidRDefault="00762B5A" w:rsidP="00164DD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2"/>
                <w:u w:val="single"/>
              </w:rPr>
            </w:pPr>
            <w:r>
              <w:rPr>
                <w:szCs w:val="22"/>
              </w:rPr>
              <w:t>Raise awareness, skill levels and confidence in Digital Technologies for Australian teachers, with a specific focus on teachers from disadvantaged and Indigenous schools</w:t>
            </w:r>
          </w:p>
          <w:p w14:paraId="7C318778" w14:textId="77777777" w:rsidR="00762B5A" w:rsidRDefault="00762B5A" w:rsidP="00164DD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2"/>
                <w:u w:val="single"/>
              </w:rPr>
            </w:pPr>
            <w:r>
              <w:rPr>
                <w:szCs w:val="22"/>
              </w:rPr>
              <w:t>Update and expand the MOOC professional development materials</w:t>
            </w:r>
          </w:p>
          <w:p w14:paraId="1327108A" w14:textId="77777777" w:rsidR="00762B5A" w:rsidRDefault="00762B5A" w:rsidP="00164DD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Cs w:val="22"/>
                <w:u w:val="single"/>
              </w:rPr>
            </w:pPr>
            <w:r>
              <w:rPr>
                <w:szCs w:val="22"/>
              </w:rPr>
              <w:t xml:space="preserve">Develop and deliver facilitated face-to-face support and an equipment lending library </w:t>
            </w:r>
          </w:p>
        </w:tc>
      </w:tr>
      <w:tr w:rsidR="00762B5A" w14:paraId="37669D6B" w14:textId="77777777" w:rsidTr="007E2D07">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D7624B4" w14:textId="77777777" w:rsidR="00762B5A" w:rsidRDefault="00762B5A" w:rsidP="007E2D07">
            <w:pPr>
              <w:rPr>
                <w:szCs w:val="22"/>
              </w:rPr>
            </w:pPr>
            <w:r>
              <w:rPr>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86AE1D5"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Teachers; students </w:t>
            </w:r>
          </w:p>
        </w:tc>
      </w:tr>
      <w:tr w:rsidR="00762B5A" w14:paraId="7ED4143A" w14:textId="77777777" w:rsidTr="007E2D07">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6B1E138" w14:textId="77777777" w:rsidR="00762B5A" w:rsidRDefault="00762B5A" w:rsidP="007E2D07">
            <w:pPr>
              <w:rPr>
                <w:szCs w:val="22"/>
              </w:rPr>
            </w:pPr>
            <w:r>
              <w:rPr>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11A08E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eastAsia="Times New Roman"/>
                <w:szCs w:val="22"/>
              </w:rPr>
            </w:pPr>
            <w:r>
              <w:rPr>
                <w:szCs w:val="22"/>
              </w:rPr>
              <w:t xml:space="preserve">NISA funding is $6,900,000 (exclusive of GST) for the period of 2016-2020. </w:t>
            </w:r>
          </w:p>
        </w:tc>
      </w:tr>
      <w:tr w:rsidR="00762B5A" w14:paraId="0A184253" w14:textId="77777777" w:rsidTr="007E2D07">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918E983" w14:textId="77777777" w:rsidR="00762B5A" w:rsidRDefault="00762B5A" w:rsidP="007E2D07">
            <w:pPr>
              <w:rPr>
                <w:szCs w:val="22"/>
              </w:rPr>
            </w:pPr>
            <w:r>
              <w:rPr>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BC3048E" w14:textId="77777777" w:rsidR="00762B5A" w:rsidRDefault="00762B5A" w:rsidP="00164DDE">
            <w:pPr>
              <w:pStyle w:val="ListParagraph"/>
              <w:numPr>
                <w:ilvl w:val="0"/>
                <w:numId w:val="138"/>
              </w:numPr>
              <w:cnfStyle w:val="000000000000" w:firstRow="0" w:lastRow="0" w:firstColumn="0" w:lastColumn="0" w:oddVBand="0" w:evenVBand="0" w:oddHBand="0" w:evenHBand="0" w:firstRowFirstColumn="0" w:firstRowLastColumn="0" w:lastRowFirstColumn="0" w:lastRowLastColumn="0"/>
              <w:rPr>
                <w:szCs w:val="22"/>
              </w:rPr>
            </w:pPr>
            <w:proofErr w:type="spellStart"/>
            <w:r>
              <w:rPr>
                <w:szCs w:val="22"/>
              </w:rPr>
              <w:t>dandolo</w:t>
            </w:r>
            <w:proofErr w:type="spellEnd"/>
            <w:r>
              <w:rPr>
                <w:szCs w:val="22"/>
              </w:rPr>
              <w:t xml:space="preserve"> completed interviews and a series of online focus groups with stakeholders including STEM organisations and representatives from state and territory departments of education. Stakeholders were asked to provide feedback on individual NISA initiatives, including MOOCs. In addition to </w:t>
            </w:r>
            <w:proofErr w:type="spellStart"/>
            <w:r>
              <w:rPr>
                <w:szCs w:val="22"/>
              </w:rPr>
              <w:t>dandolo’s</w:t>
            </w:r>
            <w:proofErr w:type="spellEnd"/>
            <w:r>
              <w:rPr>
                <w:szCs w:val="22"/>
              </w:rPr>
              <w:t xml:space="preserve"> evaluation, we’ve described an internal evaluation below.</w:t>
            </w:r>
          </w:p>
          <w:p w14:paraId="43929DBE" w14:textId="77777777" w:rsidR="00762B5A" w:rsidRDefault="00762B5A" w:rsidP="00164DDE">
            <w:pPr>
              <w:pStyle w:val="ListParagraph"/>
              <w:numPr>
                <w:ilvl w:val="0"/>
                <w:numId w:val="138"/>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No external evaluation was funded as part of the initiative </w:t>
            </w:r>
          </w:p>
          <w:p w14:paraId="6ABA59E9" w14:textId="77777777" w:rsidR="00762B5A" w:rsidRDefault="00762B5A" w:rsidP="00164DDE">
            <w:pPr>
              <w:pStyle w:val="ListParagraph"/>
              <w:numPr>
                <w:ilvl w:val="0"/>
                <w:numId w:val="138"/>
              </w:numPr>
              <w:cnfStyle w:val="000000000000" w:firstRow="0" w:lastRow="0" w:firstColumn="0" w:lastColumn="0" w:oddVBand="0" w:evenVBand="0" w:oddHBand="0" w:evenHBand="0" w:firstRowFirstColumn="0" w:firstRowLastColumn="0" w:lastRowFirstColumn="0" w:lastRowLastColumn="0"/>
              <w:rPr>
                <w:szCs w:val="22"/>
              </w:rPr>
            </w:pPr>
            <w:r>
              <w:rPr>
                <w:szCs w:val="22"/>
              </w:rPr>
              <w:t>Internal evaluation activities have been undertaken to inform internal evaluations and progress reports – a mid-term evaluation report was completed in June 2018 and a Progress Report #6 was completed in June 2019</w:t>
            </w:r>
          </w:p>
        </w:tc>
      </w:tr>
      <w:tr w:rsidR="00762B5A" w14:paraId="33395988"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FB5153C" w14:textId="77777777" w:rsidR="00762B5A" w:rsidRDefault="00762B5A" w:rsidP="007E2D07">
            <w:pPr>
              <w:rPr>
                <w:szCs w:val="22"/>
              </w:rPr>
            </w:pPr>
            <w:r>
              <w:rPr>
                <w:szCs w:val="22"/>
              </w:rPr>
              <w:t>Evaluation purpose (internal 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0FC89A5"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The purpose of the evaluation is to better understand the impact to date and to explore ways to improve the efficiency and effectiveness of the program in its remaining time.</w:t>
            </w:r>
          </w:p>
        </w:tc>
      </w:tr>
      <w:tr w:rsidR="00762B5A" w14:paraId="1346B553" w14:textId="77777777" w:rsidTr="007E2D07">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A2C8109" w14:textId="77777777" w:rsidR="00762B5A" w:rsidRDefault="00762B5A" w:rsidP="007E2D07">
            <w:pPr>
              <w:rPr>
                <w:szCs w:val="22"/>
              </w:rPr>
            </w:pPr>
            <w:r>
              <w:rPr>
                <w:szCs w:val="22"/>
              </w:rPr>
              <w:t>Evaluation framework / methodology (internal 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85F0CD0" w14:textId="77777777" w:rsidR="00762B5A" w:rsidRDefault="00762B5A" w:rsidP="00164DD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An analysis of associated learning analytics and program demographics </w:t>
            </w:r>
          </w:p>
          <w:p w14:paraId="517B5989" w14:textId="77777777" w:rsidR="00762B5A" w:rsidRDefault="00762B5A" w:rsidP="00164DD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Cs w:val="22"/>
              </w:rPr>
            </w:pPr>
            <w:r>
              <w:rPr>
                <w:szCs w:val="22"/>
              </w:rPr>
              <w:t>Longitudinal impact analysis, including pre- and post-survey analysis and evaluation of content knowledge development</w:t>
            </w:r>
          </w:p>
          <w:p w14:paraId="0426ABAC" w14:textId="77777777" w:rsidR="00762B5A" w:rsidRDefault="00762B5A" w:rsidP="00164DD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Cs w:val="22"/>
              </w:rPr>
            </w:pPr>
            <w:r>
              <w:rPr>
                <w:szCs w:val="22"/>
              </w:rPr>
              <w:t>Case studies of program engagement</w:t>
            </w:r>
          </w:p>
          <w:p w14:paraId="5A94A339" w14:textId="77777777" w:rsidR="00762B5A" w:rsidRDefault="00762B5A" w:rsidP="00164DD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Cs w:val="22"/>
              </w:rPr>
            </w:pPr>
            <w:proofErr w:type="spellStart"/>
            <w:r>
              <w:rPr>
                <w:szCs w:val="22"/>
              </w:rPr>
              <w:t>dandolo</w:t>
            </w:r>
            <w:proofErr w:type="spellEnd"/>
            <w:r>
              <w:rPr>
                <w:szCs w:val="22"/>
              </w:rPr>
              <w:t xml:space="preserve"> completed interviews with stakeholders, including STEM organisations, representatives from state and territory departments of education – stakeholders were asked to provide feedback on individual NISA initiatives, including MOOCs. </w:t>
            </w:r>
          </w:p>
        </w:tc>
      </w:tr>
      <w:tr w:rsidR="00762B5A" w14:paraId="665E955E" w14:textId="77777777" w:rsidTr="007E2D07">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AA6EF0C" w14:textId="77777777" w:rsidR="00762B5A" w:rsidRDefault="00762B5A" w:rsidP="007E2D07">
            <w:pPr>
              <w:rPr>
                <w:szCs w:val="22"/>
              </w:rPr>
            </w:pPr>
            <w:r>
              <w:rPr>
                <w:szCs w:val="22"/>
              </w:rPr>
              <w:t xml:space="preserve">Summary of evaluation conclusions (internal evaluation and </w:t>
            </w:r>
            <w:proofErr w:type="spellStart"/>
            <w:r>
              <w:rPr>
                <w:szCs w:val="22"/>
              </w:rPr>
              <w:t>dandolo</w:t>
            </w:r>
            <w:proofErr w:type="spellEnd"/>
            <w:r>
              <w:rPr>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12D5430"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Stakeholders interviewed consistently report positive feedback about MOOCs, in particular its ability to translate digital technologies concepts and availability of project officers and lending libraries. </w:t>
            </w:r>
          </w:p>
          <w:p w14:paraId="13036B17"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Stakeholders value the ability to have contact with project officers in a coaching capacity – including in regional or rural areas. Project officers are known for their helpful engagement, approachable manner and detailed information sharing. Lending libraries are beneficial for schools who want to ‘try’ before they buy. </w:t>
            </w:r>
          </w:p>
          <w:p w14:paraId="053006EF"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MOOCs is widely credited as making a significant difference in teachers’ understanding of digital technologies, this also aligns with provider internal evaluation findings, and was often referred to as a ‘stand-out’ NISA initiative. </w:t>
            </w:r>
          </w:p>
          <w:p w14:paraId="1E86AD6F"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The provider has already seen significant benefit and impact of the program on participants, including increased confidence, skill development, and school-level impact</w:t>
            </w:r>
          </w:p>
          <w:p w14:paraId="2FB82E0D"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Target metrics have been exceeded, with strong engagement by participants in all parts of the program: professional learning events, online course and community participation, and lending library access. </w:t>
            </w:r>
          </w:p>
          <w:p w14:paraId="47CB8170"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There has been good engagement across all of Australia; there is less engagement in the eastern states, and unmet demand for lending library access nationally. This is expected to increase. </w:t>
            </w:r>
          </w:p>
          <w:p w14:paraId="653181EC"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flexible structure of the program has proven beneficial, with participants able to negotiate a pathway through the program that meets their organisational or personal needs </w:t>
            </w:r>
          </w:p>
          <w:p w14:paraId="37522B94"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For many individuals and schools, engagement with Digital Technologies professional learning is a journey, taking a period of time – in many cases a number of years – to achieve whole of school engagement and the development of deep content knowledge and rich pedagogical practice</w:t>
            </w:r>
          </w:p>
        </w:tc>
      </w:tr>
      <w:tr w:rsidR="00762B5A" w14:paraId="105199DC" w14:textId="77777777" w:rsidTr="007E2D07">
        <w:trPr>
          <w:trHeight w:val="682"/>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59537B9" w14:textId="77777777" w:rsidR="00762B5A" w:rsidRDefault="00762B5A" w:rsidP="007E2D07">
            <w:pPr>
              <w:rPr>
                <w:szCs w:val="22"/>
              </w:rPr>
            </w:pPr>
            <w:r>
              <w:rPr>
                <w:szCs w:val="22"/>
              </w:rPr>
              <w:t>Evaluation limitations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887A8B8" w14:textId="77777777" w:rsidR="00762B5A" w:rsidRDefault="00762B5A" w:rsidP="00164DD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No external evaluation has been undertaken. The evaluation was conducted by the provider and is therefore not independent </w:t>
            </w:r>
          </w:p>
          <w:p w14:paraId="676085FD" w14:textId="77777777" w:rsidR="00762B5A" w:rsidRDefault="00762B5A" w:rsidP="00164DD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Final conclusions have not been reached because the internal evaluation is ongoing – the project will continue until July 2020 </w:t>
            </w:r>
          </w:p>
          <w:p w14:paraId="7D01315E" w14:textId="77777777" w:rsidR="00762B5A" w:rsidRDefault="00762B5A" w:rsidP="00164DD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2"/>
              </w:rPr>
            </w:pPr>
            <w:r>
              <w:rPr>
                <w:szCs w:val="22"/>
              </w:rPr>
              <w:t>The internal evaluation does include any direct measures of the impact on student engagement or achievement</w:t>
            </w:r>
          </w:p>
          <w:p w14:paraId="31CFEA05" w14:textId="77777777" w:rsidR="00762B5A" w:rsidRDefault="00762B5A" w:rsidP="00164DD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szCs w:val="22"/>
              </w:rPr>
            </w:pPr>
            <w:r>
              <w:rPr>
                <w:szCs w:val="22"/>
              </w:rPr>
              <w:t>The internal evaluation does not investigate the way that the materials or lending library are used in schools</w:t>
            </w:r>
          </w:p>
        </w:tc>
      </w:tr>
      <w:tr w:rsidR="00762B5A" w14:paraId="4699B7F2" w14:textId="77777777" w:rsidTr="007E2D07">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58850CF" w14:textId="77777777" w:rsidR="00762B5A" w:rsidRDefault="00762B5A" w:rsidP="007E2D07">
            <w:pPr>
              <w:rPr>
                <w:szCs w:val="22"/>
              </w:rPr>
            </w:pPr>
            <w:r>
              <w:rPr>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990DE67" w14:textId="77777777" w:rsidR="00762B5A" w:rsidRDefault="00762B5A" w:rsidP="00164DDE">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b/>
                <w:szCs w:val="22"/>
              </w:rPr>
            </w:pPr>
            <w:r>
              <w:rPr>
                <w:szCs w:val="22"/>
              </w:rPr>
              <w:t>Demand has far exceeded supply for the Lending Library and the professional learning from both target and non-target schools</w:t>
            </w:r>
          </w:p>
          <w:p w14:paraId="45B10104" w14:textId="77777777" w:rsidR="00762B5A" w:rsidRDefault="00762B5A" w:rsidP="00164DDE">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b/>
                <w:szCs w:val="22"/>
              </w:rPr>
            </w:pPr>
            <w:r>
              <w:rPr>
                <w:szCs w:val="22"/>
              </w:rPr>
              <w:t>It has been challenging running a national professional learning program because each offering has had to be adapted to account for variations in the curriculum in different states and territories. Project officers based in each state are able to show schools how to make these adaptations</w:t>
            </w:r>
          </w:p>
          <w:p w14:paraId="3280CA00" w14:textId="77777777" w:rsidR="00762B5A" w:rsidRDefault="00762B5A" w:rsidP="00164DDE">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b/>
                <w:szCs w:val="22"/>
              </w:rPr>
            </w:pPr>
            <w:r>
              <w:rPr>
                <w:szCs w:val="22"/>
              </w:rPr>
              <w:t>The most effective professional learning is ongoing and sustained, however, many low SES schools have limited resources and time. Project officers have had to visit these under-resourced schools more than was expected to engender greater engagement and confidence in teachers, many of whom haven’t done a lot of professional learning before</w:t>
            </w:r>
          </w:p>
          <w:p w14:paraId="11D229C9" w14:textId="77777777" w:rsidR="00762B5A" w:rsidRDefault="00762B5A" w:rsidP="00164DDE">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szCs w:val="22"/>
              </w:rPr>
            </w:pPr>
            <w:r>
              <w:rPr>
                <w:szCs w:val="22"/>
              </w:rPr>
              <w:t>The scale of the program means that it is difficult to disseminate Lending Library resources to the remote areas Australia</w:t>
            </w:r>
          </w:p>
        </w:tc>
      </w:tr>
      <w:tr w:rsidR="00762B5A" w14:paraId="6164A493" w14:textId="77777777" w:rsidTr="007E2D07">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2329409" w14:textId="77777777" w:rsidR="00762B5A" w:rsidRDefault="00762B5A" w:rsidP="007E2D07">
            <w:pPr>
              <w:rPr>
                <w:szCs w:val="22"/>
              </w:rPr>
            </w:pPr>
            <w:r>
              <w:rPr>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965DDEF" w14:textId="77777777" w:rsidR="00762B5A" w:rsidRDefault="00762B5A" w:rsidP="00164DD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initiative is extending its project officer support in NSW to accommodate the growing interest in DT in the curriculum. This will mean reductions to project officer support elsewhere. </w:t>
            </w:r>
          </w:p>
          <w:p w14:paraId="13FFEA4D" w14:textId="77777777" w:rsidR="00762B5A" w:rsidRDefault="00762B5A" w:rsidP="00164DD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Increase in demand for pre-service teacher training within DT learning area requires specialist support in resource development – to build content knowledge and pedagogical content knowledge and technical skills. </w:t>
            </w:r>
          </w:p>
          <w:p w14:paraId="5BCC4298" w14:textId="77777777" w:rsidR="00762B5A" w:rsidRDefault="00762B5A" w:rsidP="00164DD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2"/>
              </w:rPr>
            </w:pPr>
            <w:r>
              <w:rPr>
                <w:szCs w:val="22"/>
              </w:rPr>
              <w:t>Resources will have to evolve as teacher competence/confidence grows and past resources become too simple. There is a need for more advanced support addressing assessment and discipline-specific pedagogical needs to explore more challenging DT/Computer Science areas like Cybersecurity and AI</w:t>
            </w:r>
          </w:p>
          <w:p w14:paraId="4623AB04" w14:textId="77777777" w:rsidR="00762B5A" w:rsidRDefault="00762B5A" w:rsidP="00164DD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Cs w:val="22"/>
              </w:rPr>
            </w:pPr>
            <w:r>
              <w:rPr>
                <w:szCs w:val="22"/>
              </w:rPr>
              <w:t>Continued expansion of the program and increased support for PL programs to improve accessibility</w:t>
            </w:r>
          </w:p>
        </w:tc>
      </w:tr>
      <w:tr w:rsidR="00762B5A" w14:paraId="1A66FB2B" w14:textId="77777777" w:rsidTr="007E2D0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D0A795C" w14:textId="77777777" w:rsidR="00762B5A" w:rsidRDefault="00762B5A" w:rsidP="007E2D07">
            <w:pPr>
              <w:rPr>
                <w:szCs w:val="22"/>
              </w:rPr>
            </w:pPr>
            <w:r>
              <w:rPr>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5DEB615" w14:textId="77777777" w:rsidR="00762B5A" w:rsidRDefault="00762B5A" w:rsidP="00164DD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Falkner, K. (June 2018). </w:t>
            </w:r>
            <w:r>
              <w:rPr>
                <w:i/>
                <w:iCs/>
                <w:szCs w:val="22"/>
              </w:rPr>
              <w:t>For</w:t>
            </w:r>
            <w:r>
              <w:rPr>
                <w:szCs w:val="22"/>
              </w:rPr>
              <w:t xml:space="preserve"> </w:t>
            </w:r>
            <w:r>
              <w:rPr>
                <w:i/>
                <w:iCs/>
                <w:szCs w:val="22"/>
              </w:rPr>
              <w:t xml:space="preserve">the expanded rollout and support of University of Adelaide Digital Technology MOOCS - Closing the digital divide for disadvantaged students </w:t>
            </w:r>
            <w:r>
              <w:rPr>
                <w:szCs w:val="22"/>
              </w:rPr>
              <w:t>(Mid-program Evaluation Report). CSER, School of Computer Science, University of Adelaide</w:t>
            </w:r>
          </w:p>
          <w:p w14:paraId="0BFC209E" w14:textId="77777777" w:rsidR="00762B5A" w:rsidRDefault="00762B5A" w:rsidP="00164DD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Falkner, K. (n.d.). </w:t>
            </w:r>
            <w:r>
              <w:rPr>
                <w:i/>
                <w:iCs/>
                <w:szCs w:val="22"/>
              </w:rPr>
              <w:t>For</w:t>
            </w:r>
            <w:r>
              <w:rPr>
                <w:szCs w:val="22"/>
              </w:rPr>
              <w:t xml:space="preserve"> </w:t>
            </w:r>
            <w:r>
              <w:rPr>
                <w:i/>
                <w:iCs/>
                <w:szCs w:val="22"/>
              </w:rPr>
              <w:t xml:space="preserve">the expanded rollout and support of University of Adelaide Digital Technology MOOCS - Closing the digital divide for disadvantaged students </w:t>
            </w:r>
            <w:r>
              <w:rPr>
                <w:szCs w:val="22"/>
              </w:rPr>
              <w:t>(Progress Report 5). CSER, School of Computer Science, University of Adelaide</w:t>
            </w:r>
          </w:p>
          <w:p w14:paraId="627C10D5" w14:textId="77777777" w:rsidR="00762B5A" w:rsidRDefault="00762B5A" w:rsidP="00164DD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Falkner, K. (n.d.) </w:t>
            </w:r>
            <w:r>
              <w:rPr>
                <w:i/>
                <w:iCs/>
                <w:szCs w:val="22"/>
              </w:rPr>
              <w:t>For</w:t>
            </w:r>
            <w:r>
              <w:rPr>
                <w:szCs w:val="22"/>
              </w:rPr>
              <w:t xml:space="preserve"> </w:t>
            </w:r>
            <w:r>
              <w:rPr>
                <w:i/>
                <w:iCs/>
                <w:szCs w:val="22"/>
              </w:rPr>
              <w:t xml:space="preserve">the expanded rollout and support of University of Adelaide Digital Technology MOOCS - Closing the digital divide for disadvantaged students </w:t>
            </w:r>
            <w:r>
              <w:rPr>
                <w:szCs w:val="22"/>
              </w:rPr>
              <w:t>(Progress Report 6). CSER, School of Computer Science, University of Adelaide</w:t>
            </w:r>
          </w:p>
          <w:p w14:paraId="4C9EA780" w14:textId="77777777" w:rsidR="00762B5A" w:rsidRDefault="00762B5A" w:rsidP="00164DD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Interview with provider </w:t>
            </w:r>
          </w:p>
          <w:p w14:paraId="7D8CB775" w14:textId="77777777" w:rsidR="00762B5A" w:rsidRDefault="00762B5A" w:rsidP="00164DDE">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Contract between the Australian Government and the University of Adelaide </w:t>
            </w:r>
          </w:p>
        </w:tc>
      </w:tr>
    </w:tbl>
    <w:p w14:paraId="7BBE573E" w14:textId="77777777" w:rsidR="00762B5A" w:rsidRDefault="00762B5A" w:rsidP="00762B5A">
      <w:pPr>
        <w:rPr>
          <w:rFonts w:cs="Arial"/>
          <w:szCs w:val="22"/>
        </w:rPr>
      </w:pPr>
    </w:p>
    <w:p w14:paraId="5025CF52" w14:textId="77777777" w:rsidR="00762B5A" w:rsidRDefault="00762B5A" w:rsidP="00762B5A">
      <w:pPr>
        <w:rPr>
          <w:rFonts w:cs="Arial"/>
          <w:szCs w:val="22"/>
        </w:rPr>
      </w:pPr>
    </w:p>
    <w:p w14:paraId="558F68E9" w14:textId="77777777" w:rsidR="00762B5A" w:rsidRDefault="00762B5A" w:rsidP="00762B5A">
      <w:pPr>
        <w:spacing w:after="240" w:line="240" w:lineRule="auto"/>
        <w:rPr>
          <w:rFonts w:cs="Arial"/>
          <w:b/>
          <w:bCs/>
          <w:color w:val="931B2F" w:themeColor="background2"/>
          <w:sz w:val="36"/>
          <w:szCs w:val="36"/>
          <w:highlight w:val="yellow"/>
        </w:rPr>
      </w:pPr>
      <w:r>
        <w:rPr>
          <w:rFonts w:cs="Arial"/>
          <w:b/>
          <w:bCs/>
          <w:sz w:val="36"/>
          <w:szCs w:val="36"/>
          <w:highlight w:val="yellow"/>
        </w:rPr>
        <w:br w:type="page"/>
      </w:r>
    </w:p>
    <w:p w14:paraId="79B8909A" w14:textId="77777777" w:rsidR="00762B5A" w:rsidRDefault="00762B5A" w:rsidP="00762B5A">
      <w:pPr>
        <w:pStyle w:val="Heading1"/>
        <w:numPr>
          <w:ilvl w:val="0"/>
          <w:numId w:val="0"/>
        </w:numPr>
        <w:spacing w:before="0" w:after="120" w:line="360" w:lineRule="auto"/>
        <w:rPr>
          <w:rFonts w:asciiTheme="minorHAnsi" w:hAnsiTheme="minorHAnsi" w:cs="Arial"/>
          <w:b/>
          <w:bCs/>
          <w:sz w:val="36"/>
          <w:szCs w:val="36"/>
        </w:rPr>
      </w:pPr>
      <w:bookmarkStart w:id="165" w:name="_Toc25162081"/>
      <w:r>
        <w:rPr>
          <w:rFonts w:asciiTheme="minorHAnsi" w:hAnsiTheme="minorHAnsi" w:cs="Arial"/>
          <w:b/>
          <w:bCs/>
          <w:sz w:val="36"/>
          <w:szCs w:val="36"/>
        </w:rPr>
        <w:t>Digital Technologies in Focus (</w:t>
      </w:r>
      <w:proofErr w:type="spellStart"/>
      <w:r>
        <w:rPr>
          <w:rFonts w:asciiTheme="minorHAnsi" w:hAnsiTheme="minorHAnsi" w:cs="Arial"/>
          <w:b/>
          <w:bCs/>
          <w:sz w:val="36"/>
          <w:szCs w:val="36"/>
        </w:rPr>
        <w:t>DTiF</w:t>
      </w:r>
      <w:proofErr w:type="spellEnd"/>
      <w:r>
        <w:rPr>
          <w:rFonts w:asciiTheme="minorHAnsi" w:hAnsiTheme="minorHAnsi" w:cs="Arial"/>
          <w:b/>
          <w:bCs/>
          <w:sz w:val="36"/>
          <w:szCs w:val="36"/>
        </w:rPr>
        <w:t>)</w:t>
      </w:r>
      <w:bookmarkEnd w:id="165"/>
    </w:p>
    <w:tbl>
      <w:tblPr>
        <w:tblStyle w:val="PlainTable2"/>
        <w:tblW w:w="0" w:type="auto"/>
        <w:tblInd w:w="-95" w:type="dxa"/>
        <w:tblLook w:val="04A0" w:firstRow="1" w:lastRow="0" w:firstColumn="1" w:lastColumn="0" w:noHBand="0" w:noVBand="1"/>
      </w:tblPr>
      <w:tblGrid>
        <w:gridCol w:w="2796"/>
        <w:gridCol w:w="3064"/>
        <w:gridCol w:w="3286"/>
      </w:tblGrid>
      <w:tr w:rsidR="00762B5A" w14:paraId="3424F50C" w14:textId="77777777" w:rsidTr="007E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8905B9B" w14:textId="77777777" w:rsidR="00762B5A" w:rsidRDefault="00762B5A" w:rsidP="007E2D07">
            <w:pPr>
              <w:rPr>
                <w:b w:val="0"/>
                <w:bCs w:val="0"/>
                <w:szCs w:val="22"/>
              </w:rPr>
            </w:pPr>
            <w:r>
              <w:rPr>
                <w:szCs w:val="22"/>
              </w:rPr>
              <w:t xml:space="preserve">Provider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517264C" w14:textId="77777777" w:rsidR="00762B5A" w:rsidRDefault="00762B5A" w:rsidP="007E2D07">
            <w:pPr>
              <w:cnfStyle w:val="100000000000" w:firstRow="1" w:lastRow="0" w:firstColumn="0" w:lastColumn="0" w:oddVBand="0" w:evenVBand="0" w:oddHBand="0" w:evenHBand="0" w:firstRowFirstColumn="0" w:firstRowLastColumn="0" w:lastRowFirstColumn="0" w:lastRowLastColumn="0"/>
              <w:rPr>
                <w:szCs w:val="22"/>
              </w:rPr>
            </w:pPr>
            <w:r>
              <w:rPr>
                <w:szCs w:val="22"/>
              </w:rPr>
              <w:t>Australian Curriculum, Assessment and Reporting Authority (ACARA)</w:t>
            </w:r>
          </w:p>
        </w:tc>
      </w:tr>
      <w:tr w:rsidR="00762B5A" w14:paraId="6E7A9A32"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8D9931F" w14:textId="77777777" w:rsidR="00762B5A" w:rsidRDefault="00762B5A" w:rsidP="007E2D07">
            <w:pPr>
              <w:rPr>
                <w:szCs w:val="22"/>
              </w:rPr>
            </w:pPr>
            <w:r>
              <w:rPr>
                <w:szCs w:val="22"/>
              </w:rPr>
              <w:t xml:space="preserve">Initiative description and objectives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DEDC3DC"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Digital Technologies in Focus provides support for around 155 disadvantaged schools to assist them in implementing the Australian Curriculum: Digital Technologies (DT). The Australian Curriculum, Assessment and Reporting Authority (ACARA) has been engaged to provide specialist digital technologies and ICT Curriculum Officers in these schools. </w:t>
            </w:r>
          </w:p>
          <w:p w14:paraId="457FA038"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Objectives</w:t>
            </w:r>
          </w:p>
          <w:p w14:paraId="4C326141" w14:textId="77777777" w:rsidR="00762B5A" w:rsidRDefault="00762B5A" w:rsidP="00164DDE">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r>
              <w:rPr>
                <w:szCs w:val="22"/>
              </w:rPr>
              <w:t>Support school leaders and classroom teachers to facilitate implementation of the Digital Technologies curriculum, in specific schools in disadvantaged areas</w:t>
            </w:r>
          </w:p>
          <w:p w14:paraId="43C9DD72" w14:textId="77777777" w:rsidR="00762B5A" w:rsidRDefault="00762B5A" w:rsidP="00164DDE">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r>
              <w:rPr>
                <w:szCs w:val="22"/>
              </w:rPr>
              <w:t>Deliver professional learning workshops across all of Australia to support change management in implementing the Digital Technologies curriculum in targeted schools in disadvantaged areas</w:t>
            </w:r>
          </w:p>
          <w:p w14:paraId="3241284B" w14:textId="77777777" w:rsidR="00762B5A" w:rsidRDefault="00762B5A" w:rsidP="00164DDE">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r>
              <w:rPr>
                <w:szCs w:val="22"/>
              </w:rPr>
              <w:t>Provide in-school, face-to-face and online support to enhance implementation of the Digital Technologies curriculum, in targeted schools in disadvantaged areas</w:t>
            </w:r>
          </w:p>
          <w:p w14:paraId="08B3A2D6" w14:textId="77777777" w:rsidR="00762B5A" w:rsidRDefault="00762B5A" w:rsidP="00164DDE">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Cs w:val="22"/>
              </w:rPr>
            </w:pPr>
            <w:r>
              <w:rPr>
                <w:szCs w:val="22"/>
              </w:rPr>
              <w:t>Make freely and publicly available materials developed for use in delivery of the services as legacy products to provide ongoing support for other teachers and schools to implement the Digital Technologies curriculum</w:t>
            </w:r>
          </w:p>
        </w:tc>
      </w:tr>
      <w:tr w:rsidR="00762B5A" w14:paraId="4927FA0E" w14:textId="77777777" w:rsidTr="007E2D07">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07A61AE" w14:textId="77777777" w:rsidR="00762B5A" w:rsidRDefault="00762B5A" w:rsidP="007E2D07">
            <w:pPr>
              <w:rPr>
                <w:szCs w:val="22"/>
              </w:rPr>
            </w:pPr>
            <w:r>
              <w:rPr>
                <w:szCs w:val="22"/>
              </w:rPr>
              <w:t>Target audience</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202313F"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Teachers; school leaders</w:t>
            </w:r>
          </w:p>
        </w:tc>
      </w:tr>
      <w:tr w:rsidR="00762B5A" w14:paraId="42C0F1F0" w14:textId="77777777" w:rsidTr="007E2D07">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DB0BF75" w14:textId="77777777" w:rsidR="00762B5A" w:rsidRDefault="00762B5A" w:rsidP="007E2D07">
            <w:pPr>
              <w:rPr>
                <w:szCs w:val="22"/>
              </w:rPr>
            </w:pPr>
            <w:r>
              <w:rPr>
                <w:szCs w:val="22"/>
              </w:rPr>
              <w:t xml:space="preserve">Initiative funding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0ADB33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NISA funding is $7,888,000 (excluding GST) for the period of 2016-2020. </w:t>
            </w:r>
          </w:p>
        </w:tc>
      </w:tr>
      <w:tr w:rsidR="00762B5A" w14:paraId="0B8D3C66" w14:textId="77777777" w:rsidTr="007E2D07">
        <w:tc>
          <w:tcPr>
            <w:cnfStyle w:val="001000000000" w:firstRow="0" w:lastRow="0" w:firstColumn="1" w:lastColumn="0" w:oddVBand="0" w:evenVBand="0" w:oddHBand="0" w:evenHBand="0" w:firstRowFirstColumn="0" w:firstRowLastColumn="0" w:lastRowFirstColumn="0" w:lastRowLastColumn="0"/>
            <w:tcW w:w="2796" w:type="dxa"/>
            <w:vMerge w:val="restart"/>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F0E5D6C" w14:textId="77777777" w:rsidR="00762B5A" w:rsidRDefault="00762B5A" w:rsidP="007E2D07">
            <w:pPr>
              <w:rPr>
                <w:szCs w:val="22"/>
              </w:rPr>
            </w:pPr>
            <w:r>
              <w:rPr>
                <w:szCs w:val="22"/>
              </w:rPr>
              <w:t>Evaluation</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523053F"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proofErr w:type="spellStart"/>
            <w:r>
              <w:rPr>
                <w:szCs w:val="22"/>
              </w:rPr>
              <w:t>dandolo</w:t>
            </w:r>
            <w:proofErr w:type="spellEnd"/>
            <w:r>
              <w:rPr>
                <w:szCs w:val="22"/>
              </w:rPr>
              <w:t xml:space="preserve"> completed interviews and a series of online focus groups with stakeholders including STEM organisations and representatives from state and territory departments of education. Stakeholders were asked to provide feedback on individual NISA initiatives, including </w:t>
            </w:r>
            <w:proofErr w:type="spellStart"/>
            <w:r>
              <w:rPr>
                <w:szCs w:val="22"/>
              </w:rPr>
              <w:t>DTiF</w:t>
            </w:r>
            <w:proofErr w:type="spellEnd"/>
            <w:r>
              <w:rPr>
                <w:szCs w:val="22"/>
              </w:rPr>
              <w:t xml:space="preserve">. In addition to </w:t>
            </w:r>
            <w:proofErr w:type="spellStart"/>
            <w:r>
              <w:rPr>
                <w:szCs w:val="22"/>
              </w:rPr>
              <w:t>dandolo’s</w:t>
            </w:r>
            <w:proofErr w:type="spellEnd"/>
            <w:r>
              <w:rPr>
                <w:szCs w:val="22"/>
              </w:rPr>
              <w:t xml:space="preserve"> evaluation, we’ve described an internal and external evaluation below. </w:t>
            </w:r>
          </w:p>
        </w:tc>
      </w:tr>
      <w:tr w:rsidR="00762B5A" w14:paraId="62DE946E"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vAlign w:val="center"/>
            <w:hideMark/>
          </w:tcPr>
          <w:p w14:paraId="4452C7DB" w14:textId="77777777" w:rsidR="00762B5A" w:rsidRDefault="00762B5A" w:rsidP="007E2D07">
            <w:pPr>
              <w:spacing w:after="0" w:line="240" w:lineRule="auto"/>
              <w:rPr>
                <w:szCs w:val="22"/>
              </w:rPr>
            </w:pPr>
          </w:p>
        </w:tc>
        <w:tc>
          <w:tcPr>
            <w:tcW w:w="30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6C9FC3E"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pPr>
            <w:r>
              <w:rPr>
                <w:szCs w:val="22"/>
              </w:rPr>
              <w:t xml:space="preserve">Internal evaluation activities are being conducted. An interim report was submitted in 2018 and the final report is due December 2020. </w:t>
            </w:r>
          </w:p>
        </w:tc>
        <w:tc>
          <w:tcPr>
            <w:tcW w:w="328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DDEAEA3"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An external evaluation is being conducted by Deakin University for the period of 2018 to 2020. Progress Report 1 and 2 have been submitted. </w:t>
            </w:r>
          </w:p>
        </w:tc>
      </w:tr>
      <w:tr w:rsidR="00762B5A" w14:paraId="6C5BD474" w14:textId="77777777" w:rsidTr="007E2D07">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FF12B7C" w14:textId="77777777" w:rsidR="00762B5A" w:rsidRDefault="00762B5A" w:rsidP="007E2D07">
            <w:pPr>
              <w:rPr>
                <w:szCs w:val="22"/>
              </w:rPr>
            </w:pPr>
            <w:r>
              <w:rPr>
                <w:szCs w:val="22"/>
              </w:rPr>
              <w:t xml:space="preserve">Evaluation purpose </w:t>
            </w:r>
          </w:p>
        </w:tc>
        <w:tc>
          <w:tcPr>
            <w:tcW w:w="30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21E00A0"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A series of interim evaluation reports will be prepared by the </w:t>
            </w:r>
            <w:proofErr w:type="spellStart"/>
            <w:r>
              <w:rPr>
                <w:szCs w:val="22"/>
              </w:rPr>
              <w:t>DTiF</w:t>
            </w:r>
            <w:proofErr w:type="spellEnd"/>
            <w:r>
              <w:rPr>
                <w:szCs w:val="22"/>
              </w:rPr>
              <w:t xml:space="preserve"> project team to inform next steps and a </w:t>
            </w:r>
            <w:r>
              <w:rPr>
                <w:color w:val="1E1E0F"/>
                <w:szCs w:val="22"/>
                <w:shd w:val="clear" w:color="auto" w:fill="FFFFFF"/>
              </w:rPr>
              <w:t>final pr</w:t>
            </w:r>
            <w:r>
              <w:rPr>
                <w:szCs w:val="22"/>
              </w:rPr>
              <w:t xml:space="preserve">oject report. </w:t>
            </w:r>
          </w:p>
        </w:tc>
        <w:tc>
          <w:tcPr>
            <w:tcW w:w="328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40AC607"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The external evaluation conducted by Deakin University uses a case study design involving 6 case study schools to understand the impact of the initiative. </w:t>
            </w:r>
          </w:p>
        </w:tc>
      </w:tr>
      <w:tr w:rsidR="00762B5A" w14:paraId="201E0A1E" w14:textId="77777777" w:rsidTr="007E2D07">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9F26526" w14:textId="77777777" w:rsidR="00762B5A" w:rsidRDefault="00762B5A" w:rsidP="007E2D07">
            <w:pPr>
              <w:rPr>
                <w:szCs w:val="22"/>
              </w:rPr>
            </w:pPr>
            <w:r>
              <w:rPr>
                <w:szCs w:val="22"/>
              </w:rPr>
              <w:t xml:space="preserve">Evaluation framework / methodology </w:t>
            </w:r>
          </w:p>
        </w:tc>
        <w:tc>
          <w:tcPr>
            <w:tcW w:w="30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31F11CA"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Framework</w:t>
            </w:r>
          </w:p>
          <w:p w14:paraId="59FA219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success of the project will be based on three components: </w:t>
            </w:r>
          </w:p>
          <w:p w14:paraId="6BE761F7" w14:textId="77777777" w:rsidR="00762B5A" w:rsidRDefault="00762B5A" w:rsidP="00164DD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szCs w:val="22"/>
              </w:rPr>
              <w:t xml:space="preserve">Impact – success including sustainability within each participating school </w:t>
            </w:r>
          </w:p>
          <w:p w14:paraId="26A635D8" w14:textId="77777777" w:rsidR="00762B5A" w:rsidRDefault="00762B5A" w:rsidP="00164DD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Outcomes – including transferability of outcomes to schools outside the project methodology, including transferability to similar initiatives. </w:t>
            </w:r>
          </w:p>
          <w:p w14:paraId="516C75B6" w14:textId="77777777" w:rsidR="00762B5A" w:rsidRDefault="00762B5A" w:rsidP="00164DDE">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Methodology – including transferability to similar initiatives. </w:t>
            </w:r>
          </w:p>
          <w:p w14:paraId="48ECA394"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Methodology</w:t>
            </w:r>
          </w:p>
          <w:p w14:paraId="394C442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This 2018 Evaluation Report is a collation of the data from the 160 schools involved in the project in November 2018: </w:t>
            </w:r>
          </w:p>
          <w:p w14:paraId="3DDF4869" w14:textId="77777777" w:rsidR="00762B5A" w:rsidRDefault="00762B5A" w:rsidP="00164DD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Pre-project teacher survey </w:t>
            </w:r>
          </w:p>
          <w:p w14:paraId="39E9BF7C" w14:textId="77777777" w:rsidR="00762B5A" w:rsidRDefault="00762B5A" w:rsidP="00164DD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Professional learning evaluations </w:t>
            </w:r>
          </w:p>
          <w:p w14:paraId="5763BBA2" w14:textId="77777777" w:rsidR="00762B5A" w:rsidRDefault="00762B5A" w:rsidP="00164DD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Teacher self-assessment matrices </w:t>
            </w:r>
          </w:p>
          <w:p w14:paraId="2822098C" w14:textId="77777777" w:rsidR="00762B5A" w:rsidRDefault="00762B5A" w:rsidP="00164DDE">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Cs w:val="22"/>
              </w:rPr>
            </w:pPr>
            <w:r>
              <w:rPr>
                <w:szCs w:val="22"/>
              </w:rPr>
              <w:t>Pre-project student assessment</w:t>
            </w:r>
          </w:p>
        </w:tc>
        <w:tc>
          <w:tcPr>
            <w:tcW w:w="328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CD51594"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Framework</w:t>
            </w:r>
          </w:p>
          <w:p w14:paraId="55A9A0D0"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evaluation will focus on six schools from four states and territories as a representative sample of all jurisdictions. </w:t>
            </w:r>
          </w:p>
          <w:p w14:paraId="678B216E" w14:textId="77777777" w:rsidR="00762B5A" w:rsidRDefault="00762B5A" w:rsidP="007E2D07">
            <w:pPr>
              <w:ind w:left="357" w:hanging="357"/>
              <w:cnfStyle w:val="000000100000" w:firstRow="0" w:lastRow="0" w:firstColumn="0" w:lastColumn="0" w:oddVBand="0" w:evenVBand="0" w:oddHBand="1" w:evenHBand="0" w:firstRowFirstColumn="0" w:firstRowLastColumn="0" w:lastRowFirstColumn="0" w:lastRowLastColumn="0"/>
              <w:rPr>
                <w:szCs w:val="22"/>
              </w:rPr>
            </w:pPr>
            <w:r>
              <w:rPr>
                <w:szCs w:val="22"/>
              </w:rPr>
              <w:t>The initiative will be evaluated against</w:t>
            </w:r>
          </w:p>
          <w:p w14:paraId="5F8E58F1" w14:textId="77777777" w:rsidR="00762B5A" w:rsidRDefault="00762B5A" w:rsidP="007E2D07">
            <w:pPr>
              <w:ind w:left="357" w:hanging="357"/>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three data points: </w:t>
            </w:r>
          </w:p>
          <w:p w14:paraId="72F70989" w14:textId="77777777" w:rsidR="00762B5A" w:rsidRDefault="00762B5A" w:rsidP="00164DD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Data Point 1 – Site historical/contextual factors; participating teacher backgrounds; project engagement. </w:t>
            </w:r>
          </w:p>
          <w:p w14:paraId="0A35D3DE" w14:textId="77777777" w:rsidR="00762B5A" w:rsidRDefault="00762B5A" w:rsidP="00164DD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szCs w:val="22"/>
              </w:rPr>
            </w:pPr>
            <w:r>
              <w:rPr>
                <w:szCs w:val="22"/>
              </w:rPr>
              <w:t>Data Point 2 – Narratives of curriculum, pedagogy and learning outcomes.</w:t>
            </w:r>
          </w:p>
          <w:p w14:paraId="4E0DB24E" w14:textId="77777777" w:rsidR="00762B5A" w:rsidRDefault="00762B5A" w:rsidP="00164DDE">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szCs w:val="22"/>
              </w:rPr>
            </w:pPr>
            <w:r>
              <w:rPr>
                <w:szCs w:val="22"/>
              </w:rPr>
              <w:t>Data Point 3 – Narratives of curriculum, pedagogy and learning outcomes; Impact; Strategies for sustainability</w:t>
            </w:r>
          </w:p>
          <w:p w14:paraId="7E7E3F30"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Methodology</w:t>
            </w:r>
          </w:p>
          <w:p w14:paraId="4C4B0102"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Data collection activities include: </w:t>
            </w:r>
          </w:p>
          <w:p w14:paraId="74728B35"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Interviews with school leaders, teachers and teacher’s aides</w:t>
            </w:r>
          </w:p>
          <w:p w14:paraId="69535627"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School visits </w:t>
            </w:r>
          </w:p>
          <w:p w14:paraId="3D1D1792" w14:textId="77777777" w:rsidR="00762B5A" w:rsidRDefault="00762B5A" w:rsidP="00164DDE">
            <w:pPr>
              <w:pStyle w:val="ListParagraph"/>
              <w:numPr>
                <w:ilvl w:val="0"/>
                <w:numId w:val="36"/>
              </w:numPr>
              <w:cnfStyle w:val="000000100000" w:firstRow="0" w:lastRow="0" w:firstColumn="0" w:lastColumn="0" w:oddVBand="0" w:evenVBand="0" w:oddHBand="1" w:evenHBand="0" w:firstRowFirstColumn="0" w:firstRowLastColumn="0" w:lastRowFirstColumn="0" w:lastRowLastColumn="0"/>
              <w:rPr>
                <w:szCs w:val="22"/>
              </w:rPr>
            </w:pPr>
            <w:r>
              <w:rPr>
                <w:szCs w:val="22"/>
              </w:rPr>
              <w:t>The collection of relevant documentation in some schools</w:t>
            </w:r>
          </w:p>
        </w:tc>
      </w:tr>
      <w:tr w:rsidR="00762B5A" w14:paraId="6359EFE6" w14:textId="77777777" w:rsidTr="007E2D07">
        <w:trPr>
          <w:trHeight w:val="1999"/>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B76DEB7" w14:textId="77777777" w:rsidR="00762B5A" w:rsidRDefault="00762B5A" w:rsidP="007E2D07">
            <w:pPr>
              <w:rPr>
                <w:szCs w:val="22"/>
              </w:rPr>
            </w:pPr>
            <w:r>
              <w:rPr>
                <w:szCs w:val="22"/>
              </w:rPr>
              <w:t>Summary of evaluation conclusions</w:t>
            </w:r>
          </w:p>
        </w:tc>
        <w:tc>
          <w:tcPr>
            <w:tcW w:w="30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A4AE6B3"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Initial findings and recommendations from internal evaluation - Evaluation Report 2018 include: </w:t>
            </w:r>
          </w:p>
          <w:p w14:paraId="0681412A" w14:textId="77777777" w:rsidR="00762B5A" w:rsidRDefault="00762B5A" w:rsidP="00164DDE">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Not all educators aware of digital technologies curriculum – even if they are, most educators are not implementing it </w:t>
            </w:r>
          </w:p>
          <w:p w14:paraId="27AD9D75" w14:textId="77777777" w:rsidR="00762B5A" w:rsidRDefault="00762B5A" w:rsidP="00164DDE">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Some ICT infrastructure needs to be improved </w:t>
            </w:r>
          </w:p>
          <w:p w14:paraId="4A7E69FE" w14:textId="77777777" w:rsidR="00762B5A" w:rsidRDefault="00762B5A" w:rsidP="00164DDE">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Cs w:val="22"/>
              </w:rPr>
            </w:pPr>
            <w:r>
              <w:rPr>
                <w:szCs w:val="22"/>
              </w:rPr>
              <w:t>Schools would benefit from partnerships to enrich the digital technologies curriculum</w:t>
            </w:r>
          </w:p>
          <w:p w14:paraId="6EB522F7" w14:textId="77777777" w:rsidR="00762B5A" w:rsidRDefault="00762B5A" w:rsidP="00164DDE">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zCs w:val="22"/>
              </w:rPr>
            </w:pPr>
            <w:r>
              <w:rPr>
                <w:szCs w:val="22"/>
              </w:rPr>
              <w:t>Most project schools participated in an introductory workshop – survey results show that the workshop was well-received</w:t>
            </w:r>
          </w:p>
          <w:p w14:paraId="360B5AF0" w14:textId="77777777" w:rsidR="00762B5A" w:rsidRDefault="00762B5A" w:rsidP="00164DDE">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Teachers at the beginning of the project have a low understanding of Digital Technologies and in particular, ‘assessment’. </w:t>
            </w:r>
          </w:p>
          <w:p w14:paraId="6CAC70BE" w14:textId="77777777" w:rsidR="00762B5A" w:rsidRDefault="00762B5A" w:rsidP="00762B5A">
            <w:pPr>
              <w:pStyle w:val="ListBullet"/>
              <w:spacing w:before="0" w:after="120"/>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Year 2 students tested for ICT and computational knowledge had the lowest performance in abstraction/decomposition and logical thinking in computational thinking </w:t>
            </w:r>
          </w:p>
          <w:p w14:paraId="2E6E14C6" w14:textId="77777777" w:rsidR="00762B5A" w:rsidRDefault="00762B5A" w:rsidP="007E2D07">
            <w:pPr>
              <w:pStyle w:val="ListBullet"/>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eastAsia="Times New Roman"/>
                <w:i/>
                <w:iCs/>
                <w:szCs w:val="22"/>
              </w:rPr>
            </w:pPr>
            <w:r>
              <w:rPr>
                <w:i/>
                <w:iCs/>
                <w:szCs w:val="22"/>
              </w:rPr>
              <w:t xml:space="preserve">Note: This report focuses more on testing the instruments and providing baseline data, rather than evaluating impact </w:t>
            </w:r>
          </w:p>
        </w:tc>
        <w:tc>
          <w:tcPr>
            <w:tcW w:w="328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01FAB33"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Findings from external evaluation - Progress Report 2 include: </w:t>
            </w:r>
          </w:p>
          <w:p w14:paraId="69F79100"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Establishing IT infrastructure was necessary for progress </w:t>
            </w:r>
          </w:p>
          <w:p w14:paraId="5982A628"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All sites are working on ICT capability</w:t>
            </w:r>
          </w:p>
          <w:p w14:paraId="042D41B9"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Integrated curriculum approaches are evident at all sites  </w:t>
            </w:r>
          </w:p>
          <w:p w14:paraId="573F0CFB"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A high level of value is derived from contact with ACARA Curriculum Officers </w:t>
            </w:r>
          </w:p>
          <w:p w14:paraId="28E1CA8F"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Most sites report greater teacher confidence with using digital tools and resources; though sometimes confined to those staff members directly involved in the </w:t>
            </w:r>
            <w:proofErr w:type="spellStart"/>
            <w:r>
              <w:rPr>
                <w:szCs w:val="22"/>
              </w:rPr>
              <w:t>DTiF</w:t>
            </w:r>
            <w:proofErr w:type="spellEnd"/>
            <w:r>
              <w:rPr>
                <w:szCs w:val="22"/>
              </w:rPr>
              <w:t xml:space="preserve"> professional learning.</w:t>
            </w:r>
          </w:p>
          <w:p w14:paraId="79248D76"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Provoked by the action research projects, methodologies of audit and ongoing professional learning have stimulated positive change at some schools, where the schools can identify their focus and track change. </w:t>
            </w:r>
          </w:p>
          <w:p w14:paraId="0A53ECF2"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Professional networking (with other teachers in other schools) is noted as a positive </w:t>
            </w:r>
          </w:p>
          <w:p w14:paraId="50B5A3CE" w14:textId="77777777" w:rsidR="00762B5A" w:rsidRDefault="00762B5A" w:rsidP="00164DDE">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eastAsia="Times New Roman"/>
                <w:szCs w:val="22"/>
              </w:rPr>
            </w:pPr>
            <w:proofErr w:type="spellStart"/>
            <w:r>
              <w:rPr>
                <w:szCs w:val="22"/>
              </w:rPr>
              <w:t>DTiF</w:t>
            </w:r>
            <w:proofErr w:type="spellEnd"/>
            <w:r>
              <w:rPr>
                <w:szCs w:val="22"/>
              </w:rPr>
              <w:t xml:space="preserve"> program’s flexibility and responsiveness is considered necessary for highly disadvantaged context</w:t>
            </w:r>
          </w:p>
        </w:tc>
      </w:tr>
      <w:tr w:rsidR="00762B5A" w14:paraId="04321C0C" w14:textId="77777777" w:rsidTr="007E2D07">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553123" w14:textId="77777777" w:rsidR="00762B5A" w:rsidRDefault="00762B5A" w:rsidP="007E2D07">
            <w:pPr>
              <w:rPr>
                <w:szCs w:val="22"/>
              </w:rPr>
            </w:pPr>
            <w:r>
              <w:rPr>
                <w:szCs w:val="22"/>
              </w:rPr>
              <w:t xml:space="preserve">Additional </w:t>
            </w:r>
            <w:proofErr w:type="spellStart"/>
            <w:r>
              <w:rPr>
                <w:szCs w:val="22"/>
              </w:rPr>
              <w:t>dandolo</w:t>
            </w:r>
            <w:proofErr w:type="spellEnd"/>
            <w:r>
              <w:rPr>
                <w:szCs w:val="22"/>
              </w:rPr>
              <w:t xml:space="preserve"> comments</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B4AB261" w14:textId="77777777" w:rsidR="00762B5A" w:rsidRDefault="00762B5A" w:rsidP="00164DDE">
            <w:pPr>
              <w:pStyle w:val="ListParagraph"/>
              <w:numPr>
                <w:ilvl w:val="0"/>
                <w:numId w:val="14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Some stakeholders suggest that </w:t>
            </w:r>
            <w:proofErr w:type="spellStart"/>
            <w:r>
              <w:rPr>
                <w:szCs w:val="22"/>
              </w:rPr>
              <w:t>DTiF</w:t>
            </w:r>
            <w:proofErr w:type="spellEnd"/>
            <w:r>
              <w:rPr>
                <w:szCs w:val="22"/>
              </w:rPr>
              <w:t xml:space="preserve"> is the only initiative within the NT to make genuine attempts to support and connect with Aboriginal communities </w:t>
            </w:r>
          </w:p>
          <w:p w14:paraId="3BAA0297" w14:textId="77777777" w:rsidR="00762B5A" w:rsidRDefault="00762B5A" w:rsidP="00164DDE">
            <w:pPr>
              <w:pStyle w:val="ListParagraph"/>
              <w:numPr>
                <w:ilvl w:val="0"/>
                <w:numId w:val="146"/>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Despite the fact that </w:t>
            </w:r>
            <w:proofErr w:type="spellStart"/>
            <w:r>
              <w:rPr>
                <w:szCs w:val="22"/>
              </w:rPr>
              <w:t>dandolo</w:t>
            </w:r>
            <w:proofErr w:type="spellEnd"/>
            <w:r>
              <w:rPr>
                <w:szCs w:val="22"/>
              </w:rPr>
              <w:t xml:space="preserve"> suggests limiting emphasis on funding school-level initiatives, ACARA has had success with effectively tailoring, coordinating and monitoring progress within schools. However, there are some reservations about the scalability of this approach. </w:t>
            </w:r>
          </w:p>
        </w:tc>
      </w:tr>
      <w:tr w:rsidR="00762B5A" w14:paraId="5B10299E" w14:textId="77777777" w:rsidTr="007E2D07">
        <w:trPr>
          <w:trHeight w:val="620"/>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16AACE3" w14:textId="77777777" w:rsidR="00762B5A" w:rsidRDefault="00762B5A" w:rsidP="007E2D07">
            <w:pPr>
              <w:rPr>
                <w:szCs w:val="22"/>
              </w:rPr>
            </w:pPr>
            <w:r>
              <w:rPr>
                <w:szCs w:val="22"/>
              </w:rPr>
              <w:t>Evaluation limitations</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477409B" w14:textId="77777777" w:rsidR="00762B5A" w:rsidRDefault="00762B5A" w:rsidP="00164DDE">
            <w:pPr>
              <w:pStyle w:val="ListParagraph"/>
              <w:numPr>
                <w:ilvl w:val="0"/>
                <w:numId w:val="146"/>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Both the providers and Deakin University evaluators are in the early stages of their evaluation of the initiative – there are limited findings and conclusions that address outcomes </w:t>
            </w:r>
          </w:p>
          <w:p w14:paraId="2DF6405E" w14:textId="77777777" w:rsidR="00762B5A" w:rsidRDefault="00762B5A" w:rsidP="00164DDE">
            <w:pPr>
              <w:pStyle w:val="ListParagraph"/>
              <w:numPr>
                <w:ilvl w:val="0"/>
                <w:numId w:val="146"/>
              </w:numPr>
              <w:cnfStyle w:val="000000000000" w:firstRow="0" w:lastRow="0" w:firstColumn="0" w:lastColumn="0" w:oddVBand="0" w:evenVBand="0" w:oddHBand="0" w:evenHBand="0" w:firstRowFirstColumn="0" w:firstRowLastColumn="0" w:lastRowFirstColumn="0" w:lastRowLastColumn="0"/>
              <w:rPr>
                <w:szCs w:val="22"/>
              </w:rPr>
            </w:pPr>
            <w:r>
              <w:rPr>
                <w:rFonts w:cs="Arial Narrow"/>
                <w:szCs w:val="22"/>
                <w:lang w:val="en-GB"/>
              </w:rPr>
              <w:t>The evaluations do not include any direct measures of the impact of the initiative on student engagement or achievement</w:t>
            </w:r>
          </w:p>
        </w:tc>
      </w:tr>
      <w:tr w:rsidR="00762B5A" w14:paraId="5F97F72E" w14:textId="77777777" w:rsidTr="007E2D07">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6197994" w14:textId="77777777" w:rsidR="00762B5A" w:rsidRDefault="00762B5A" w:rsidP="007E2D07">
            <w:pPr>
              <w:rPr>
                <w:szCs w:val="22"/>
              </w:rPr>
            </w:pPr>
            <w:r>
              <w:rPr>
                <w:szCs w:val="22"/>
              </w:rPr>
              <w:t xml:space="preserve">Challenges faced by the provider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59DACF" w14:textId="77777777" w:rsidR="00762B5A" w:rsidRDefault="00762B5A" w:rsidP="00164DDE">
            <w:pPr>
              <w:pStyle w:val="ListParagraph"/>
              <w:numPr>
                <w:ilvl w:val="0"/>
                <w:numId w:val="35"/>
              </w:numPr>
              <w:ind w:left="303"/>
              <w:cnfStyle w:val="000000100000" w:firstRow="0" w:lastRow="0" w:firstColumn="0" w:lastColumn="0" w:oddVBand="0" w:evenVBand="0" w:oddHBand="1" w:evenHBand="0" w:firstRowFirstColumn="0" w:firstRowLastColumn="0" w:lastRowFirstColumn="0" w:lastRowLastColumn="0"/>
              <w:rPr>
                <w:szCs w:val="22"/>
              </w:rPr>
            </w:pPr>
            <w:r>
              <w:rPr>
                <w:szCs w:val="22"/>
              </w:rPr>
              <w:t>It is challenging to ensure principal buy-in, especially if the principal does not attend the first workshop</w:t>
            </w:r>
          </w:p>
          <w:p w14:paraId="142C324F" w14:textId="77777777" w:rsidR="00762B5A" w:rsidRDefault="00762B5A" w:rsidP="00164DDE">
            <w:pPr>
              <w:pStyle w:val="ListParagraph"/>
              <w:numPr>
                <w:ilvl w:val="0"/>
                <w:numId w:val="35"/>
              </w:numPr>
              <w:ind w:left="303"/>
              <w:cnfStyle w:val="000000100000" w:firstRow="0" w:lastRow="0" w:firstColumn="0" w:lastColumn="0" w:oddVBand="0" w:evenVBand="0" w:oddHBand="1" w:evenHBand="0" w:firstRowFirstColumn="0" w:firstRowLastColumn="0" w:lastRowFirstColumn="0" w:lastRowLastColumn="0"/>
              <w:rPr>
                <w:szCs w:val="22"/>
              </w:rPr>
            </w:pPr>
            <w:r>
              <w:rPr>
                <w:szCs w:val="22"/>
              </w:rPr>
              <w:t>There are difficulties associated in working with disadvantaged schools including high staff turnover</w:t>
            </w:r>
          </w:p>
          <w:p w14:paraId="7E92C4E1" w14:textId="77777777" w:rsidR="00762B5A" w:rsidRDefault="00762B5A" w:rsidP="00164DDE">
            <w:pPr>
              <w:pStyle w:val="ListParagraph"/>
              <w:numPr>
                <w:ilvl w:val="0"/>
                <w:numId w:val="35"/>
              </w:numPr>
              <w:ind w:left="303"/>
              <w:cnfStyle w:val="000000100000" w:firstRow="0" w:lastRow="0" w:firstColumn="0" w:lastColumn="0" w:oddVBand="0" w:evenVBand="0" w:oddHBand="1" w:evenHBand="0" w:firstRowFirstColumn="0" w:firstRowLastColumn="0" w:lastRowFirstColumn="0" w:lastRowLastColumn="0"/>
              <w:rPr>
                <w:szCs w:val="22"/>
              </w:rPr>
            </w:pPr>
            <w:r>
              <w:rPr>
                <w:szCs w:val="22"/>
              </w:rPr>
              <w:t>There is a potential risk of not meeting timelines because of highly complex nature of curriculum implementation in disadvantaged contexts</w:t>
            </w:r>
          </w:p>
        </w:tc>
      </w:tr>
      <w:tr w:rsidR="00762B5A" w14:paraId="6FA06A73" w14:textId="77777777" w:rsidTr="007E2D07">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3F27AE6" w14:textId="77777777" w:rsidR="00762B5A" w:rsidRDefault="00762B5A" w:rsidP="007E2D07">
            <w:pPr>
              <w:rPr>
                <w:szCs w:val="22"/>
              </w:rPr>
            </w:pPr>
            <w:r>
              <w:rPr>
                <w:szCs w:val="22"/>
              </w:rPr>
              <w:t xml:space="preserve">Future plans and goals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861A591" w14:textId="77777777" w:rsidR="00762B5A" w:rsidRDefault="00762B5A" w:rsidP="00164DD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Cs w:val="22"/>
              </w:rPr>
            </w:pPr>
            <w:r>
              <w:rPr>
                <w:szCs w:val="22"/>
              </w:rPr>
              <w:t>Demonstrate that the model has a positive impact and is scalable</w:t>
            </w:r>
          </w:p>
          <w:p w14:paraId="0519879E" w14:textId="77777777" w:rsidR="00762B5A" w:rsidRDefault="00762B5A" w:rsidP="00164DD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Cs w:val="22"/>
              </w:rPr>
            </w:pPr>
            <w:r>
              <w:rPr>
                <w:szCs w:val="22"/>
              </w:rPr>
              <w:t>Continue to try to meet unmet need – 80 per cent of participants are still struggling to implement the Digital Technologies curriculum</w:t>
            </w:r>
          </w:p>
          <w:p w14:paraId="3F746701" w14:textId="77777777" w:rsidR="00762B5A" w:rsidRDefault="00762B5A" w:rsidP="00164DD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Cs w:val="22"/>
              </w:rPr>
            </w:pPr>
            <w:r>
              <w:rPr>
                <w:szCs w:val="22"/>
              </w:rPr>
              <w:t>The provider would like to involve other schools as current schools finish the program and is considering other models – for example a ‘train the trainer’ approach</w:t>
            </w:r>
          </w:p>
        </w:tc>
      </w:tr>
      <w:tr w:rsidR="00762B5A" w14:paraId="20AC557E" w14:textId="77777777" w:rsidTr="007E2D0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79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820BCDA" w14:textId="77777777" w:rsidR="00762B5A" w:rsidRDefault="00762B5A" w:rsidP="007E2D07">
            <w:pPr>
              <w:rPr>
                <w:szCs w:val="22"/>
              </w:rPr>
            </w:pPr>
            <w:r>
              <w:rPr>
                <w:szCs w:val="22"/>
              </w:rPr>
              <w:t xml:space="preserve">Sources </w:t>
            </w:r>
          </w:p>
        </w:tc>
        <w:tc>
          <w:tcPr>
            <w:tcW w:w="6350"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AF9F9CC"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ACARA. (2018). </w:t>
            </w:r>
            <w:r>
              <w:rPr>
                <w:i/>
                <w:iCs/>
                <w:szCs w:val="22"/>
              </w:rPr>
              <w:t>Digital Technologies in focus: Supporting implementation of Digital Technologies (</w:t>
            </w:r>
            <w:r>
              <w:rPr>
                <w:szCs w:val="22"/>
              </w:rPr>
              <w:t>Project evaluation report)</w:t>
            </w:r>
          </w:p>
          <w:p w14:paraId="02F0D1AB"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Deakin University. (16 July 2019). </w:t>
            </w:r>
            <w:r>
              <w:rPr>
                <w:i/>
                <w:iCs/>
                <w:szCs w:val="22"/>
              </w:rPr>
              <w:t>Supporting Implementation of Digital Technologies Progress report – Data Point 2 – Focus on curriculum and pedagogy and learning outcomes</w:t>
            </w:r>
          </w:p>
          <w:p w14:paraId="6BA83654"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Deakin University. (28 September 2018). </w:t>
            </w:r>
            <w:r>
              <w:rPr>
                <w:i/>
                <w:iCs/>
                <w:szCs w:val="22"/>
              </w:rPr>
              <w:t xml:space="preserve">Supporting Implementation of Digital Technologies </w:t>
            </w:r>
            <w:r>
              <w:rPr>
                <w:szCs w:val="22"/>
              </w:rPr>
              <w:t>(Evaluation progress report)</w:t>
            </w:r>
          </w:p>
          <w:p w14:paraId="2F3930FA"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Interview with provider </w:t>
            </w:r>
          </w:p>
          <w:p w14:paraId="4018A5FC"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szCs w:val="22"/>
              </w:rPr>
              <w:t xml:space="preserve">Interview with evaluator </w:t>
            </w:r>
          </w:p>
          <w:p w14:paraId="0CA4931C" w14:textId="77777777" w:rsidR="00762B5A" w:rsidRDefault="00762B5A" w:rsidP="00164DDE">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szCs w:val="22"/>
              </w:rPr>
              <w:t xml:space="preserve">Contract between the Australian Government and ACARA </w:t>
            </w:r>
          </w:p>
        </w:tc>
      </w:tr>
    </w:tbl>
    <w:p w14:paraId="0E587EB8" w14:textId="77777777" w:rsidR="00762B5A" w:rsidRDefault="00762B5A" w:rsidP="00762B5A">
      <w:pPr>
        <w:rPr>
          <w:rFonts w:cs="Arial"/>
          <w:szCs w:val="22"/>
        </w:rPr>
      </w:pPr>
    </w:p>
    <w:p w14:paraId="7402184E" w14:textId="77777777" w:rsidR="00762B5A" w:rsidRDefault="00762B5A" w:rsidP="00762B5A">
      <w:pPr>
        <w:rPr>
          <w:rFonts w:cs="Arial"/>
          <w:szCs w:val="22"/>
        </w:rPr>
      </w:pPr>
    </w:p>
    <w:p w14:paraId="0F6B62C6" w14:textId="77777777" w:rsidR="00762B5A" w:rsidRDefault="00762B5A" w:rsidP="00762B5A">
      <w:pPr>
        <w:rPr>
          <w:rFonts w:cs="Arial"/>
          <w:szCs w:val="22"/>
        </w:rPr>
      </w:pPr>
    </w:p>
    <w:p w14:paraId="25B8F1EA" w14:textId="77777777" w:rsidR="00762B5A" w:rsidRDefault="00762B5A" w:rsidP="00762B5A">
      <w:pPr>
        <w:rPr>
          <w:rFonts w:cs="Arial"/>
          <w:szCs w:val="22"/>
        </w:rPr>
      </w:pPr>
    </w:p>
    <w:p w14:paraId="43256963" w14:textId="77777777" w:rsidR="00762B5A" w:rsidRDefault="00762B5A" w:rsidP="00762B5A">
      <w:pPr>
        <w:rPr>
          <w:rFonts w:cs="Arial"/>
          <w:szCs w:val="22"/>
        </w:rPr>
      </w:pPr>
    </w:p>
    <w:p w14:paraId="0D48CA78" w14:textId="77777777" w:rsidR="00762B5A" w:rsidRDefault="00762B5A" w:rsidP="00762B5A">
      <w:pPr>
        <w:rPr>
          <w:rFonts w:cs="Arial"/>
          <w:szCs w:val="22"/>
        </w:rPr>
      </w:pPr>
    </w:p>
    <w:p w14:paraId="3C8C065B" w14:textId="77777777" w:rsidR="00762B5A" w:rsidRDefault="00762B5A" w:rsidP="00762B5A">
      <w:pPr>
        <w:spacing w:after="240" w:line="240" w:lineRule="auto"/>
        <w:rPr>
          <w:rFonts w:cs="Arial"/>
          <w:b/>
          <w:bCs/>
          <w:color w:val="931B2F" w:themeColor="background2"/>
          <w:sz w:val="36"/>
          <w:szCs w:val="36"/>
        </w:rPr>
      </w:pPr>
      <w:r>
        <w:rPr>
          <w:rFonts w:cs="Arial"/>
          <w:b/>
          <w:bCs/>
          <w:sz w:val="36"/>
          <w:szCs w:val="36"/>
        </w:rPr>
        <w:br w:type="page"/>
      </w:r>
    </w:p>
    <w:p w14:paraId="62DCA3B4" w14:textId="77777777" w:rsidR="00762B5A" w:rsidRDefault="00762B5A" w:rsidP="00762B5A">
      <w:pPr>
        <w:pStyle w:val="Heading1"/>
        <w:numPr>
          <w:ilvl w:val="0"/>
          <w:numId w:val="0"/>
        </w:numPr>
        <w:spacing w:before="0" w:after="120" w:line="360" w:lineRule="auto"/>
        <w:rPr>
          <w:rFonts w:asciiTheme="minorHAnsi" w:hAnsiTheme="minorHAnsi" w:cs="Arial"/>
          <w:b/>
          <w:bCs/>
          <w:sz w:val="36"/>
          <w:szCs w:val="36"/>
        </w:rPr>
      </w:pPr>
      <w:bookmarkStart w:id="166" w:name="_Toc25162082"/>
      <w:r>
        <w:rPr>
          <w:rFonts w:asciiTheme="minorHAnsi" w:hAnsiTheme="minorHAnsi" w:cs="Arial"/>
          <w:b/>
          <w:bCs/>
          <w:sz w:val="36"/>
          <w:szCs w:val="36"/>
        </w:rPr>
        <w:t>STEM Professionals in Schools</w:t>
      </w:r>
      <w:bookmarkEnd w:id="166"/>
      <w:r>
        <w:rPr>
          <w:rFonts w:asciiTheme="minorHAnsi" w:hAnsiTheme="minorHAnsi" w:cs="Arial"/>
          <w:b/>
          <w:bCs/>
          <w:sz w:val="36"/>
          <w:szCs w:val="36"/>
        </w:rPr>
        <w:t xml:space="preserve"> </w:t>
      </w:r>
    </w:p>
    <w:tbl>
      <w:tblPr>
        <w:tblStyle w:val="BoxGrid-Coloured"/>
        <w:tblW w:w="0" w:type="auto"/>
        <w:tblInd w:w="-95" w:type="dxa"/>
        <w:tblLook w:val="04A0" w:firstRow="1" w:lastRow="0" w:firstColumn="1" w:lastColumn="0" w:noHBand="0" w:noVBand="1"/>
      </w:tblPr>
      <w:tblGrid>
        <w:gridCol w:w="2810"/>
        <w:gridCol w:w="6336"/>
      </w:tblGrid>
      <w:tr w:rsidR="00762B5A" w14:paraId="10F42EA1"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58117A4" w14:textId="77777777" w:rsidR="00762B5A" w:rsidRPr="006C5C38" w:rsidRDefault="00762B5A" w:rsidP="007E2D07">
            <w:pPr>
              <w:rPr>
                <w:b/>
                <w:bCs/>
                <w:szCs w:val="22"/>
              </w:rPr>
            </w:pPr>
            <w:r w:rsidRPr="006C5C38">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474D3F6" w14:textId="77777777" w:rsidR="00762B5A" w:rsidRDefault="00762B5A" w:rsidP="007E2D07">
            <w:pPr>
              <w:rPr>
                <w:szCs w:val="22"/>
              </w:rPr>
            </w:pPr>
            <w:r>
              <w:rPr>
                <w:szCs w:val="22"/>
              </w:rPr>
              <w:t xml:space="preserve">CSIRO </w:t>
            </w:r>
          </w:p>
        </w:tc>
      </w:tr>
      <w:tr w:rsidR="00762B5A" w14:paraId="26587AAE"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AD9B0D" w14:textId="77777777" w:rsidR="00762B5A" w:rsidRPr="006C5C38" w:rsidRDefault="00762B5A" w:rsidP="007E2D07">
            <w:pPr>
              <w:rPr>
                <w:b/>
                <w:bCs/>
                <w:szCs w:val="22"/>
              </w:rPr>
            </w:pPr>
            <w:r w:rsidRPr="006C5C38">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21FCEA" w14:textId="77777777" w:rsidR="00762B5A" w:rsidRDefault="00762B5A" w:rsidP="007E2D07">
            <w:pPr>
              <w:rPr>
                <w:szCs w:val="22"/>
              </w:rPr>
            </w:pPr>
            <w:r>
              <w:rPr>
                <w:szCs w:val="22"/>
              </w:rPr>
              <w:t>STEM Professionals in Schools (previously called Scientists and Mathematicians in Schools) is a STEM education volunteering program that partners primary and secondary school teachers with STEM professionals from industry and business, to help build the STEM skills of school educators and develop more engaging STEM education in Australian schools.</w:t>
            </w:r>
          </w:p>
          <w:p w14:paraId="07F089E2" w14:textId="77777777" w:rsidR="00762B5A" w:rsidRDefault="00762B5A" w:rsidP="007E2D07">
            <w:pPr>
              <w:rPr>
                <w:szCs w:val="22"/>
                <w:u w:val="single"/>
              </w:rPr>
            </w:pPr>
            <w:r>
              <w:rPr>
                <w:szCs w:val="22"/>
                <w:u w:val="single"/>
              </w:rPr>
              <w:t>Objectives</w:t>
            </w:r>
          </w:p>
          <w:p w14:paraId="31E66AA9" w14:textId="77777777" w:rsidR="00762B5A" w:rsidRDefault="00762B5A" w:rsidP="00164DDE">
            <w:pPr>
              <w:pStyle w:val="ListParagraph"/>
              <w:numPr>
                <w:ilvl w:val="0"/>
                <w:numId w:val="51"/>
              </w:numPr>
              <w:rPr>
                <w:szCs w:val="22"/>
                <w:u w:val="single"/>
              </w:rPr>
            </w:pPr>
            <w:r>
              <w:rPr>
                <w:szCs w:val="22"/>
              </w:rPr>
              <w:t>Bring the practice of real-world science and mathematics to students and teachers</w:t>
            </w:r>
          </w:p>
          <w:p w14:paraId="6F969AC7" w14:textId="77777777" w:rsidR="00762B5A" w:rsidRDefault="00762B5A" w:rsidP="00164DDE">
            <w:pPr>
              <w:pStyle w:val="ListParagraph"/>
              <w:numPr>
                <w:ilvl w:val="0"/>
                <w:numId w:val="51"/>
              </w:numPr>
              <w:rPr>
                <w:szCs w:val="22"/>
              </w:rPr>
            </w:pPr>
            <w:r>
              <w:rPr>
                <w:szCs w:val="22"/>
              </w:rPr>
              <w:t>Inspire and motivate teachers and students in the teaching and learning of science and mathematics</w:t>
            </w:r>
          </w:p>
          <w:p w14:paraId="7FBCA5C5" w14:textId="77777777" w:rsidR="00762B5A" w:rsidRDefault="00762B5A" w:rsidP="00164DDE">
            <w:pPr>
              <w:pStyle w:val="ListParagraph"/>
              <w:numPr>
                <w:ilvl w:val="0"/>
                <w:numId w:val="51"/>
              </w:numPr>
              <w:rPr>
                <w:szCs w:val="22"/>
              </w:rPr>
            </w:pPr>
            <w:r>
              <w:rPr>
                <w:szCs w:val="22"/>
              </w:rPr>
              <w:t>Provide teachers with the opportunity to strengthen their knowledge of current scientific practice and mathematical applications</w:t>
            </w:r>
          </w:p>
          <w:p w14:paraId="033082E9" w14:textId="77777777" w:rsidR="00762B5A" w:rsidRDefault="00762B5A" w:rsidP="00164DDE">
            <w:pPr>
              <w:pStyle w:val="ListParagraph"/>
              <w:numPr>
                <w:ilvl w:val="0"/>
                <w:numId w:val="51"/>
              </w:numPr>
              <w:rPr>
                <w:szCs w:val="22"/>
              </w:rPr>
            </w:pPr>
            <w:r>
              <w:rPr>
                <w:szCs w:val="22"/>
              </w:rPr>
              <w:t>Enable scientists and mathematicians to act as mentors or role models for students</w:t>
            </w:r>
          </w:p>
          <w:p w14:paraId="771AE05C" w14:textId="77777777" w:rsidR="00762B5A" w:rsidRDefault="00762B5A" w:rsidP="00164DDE">
            <w:pPr>
              <w:pStyle w:val="ListParagraph"/>
              <w:numPr>
                <w:ilvl w:val="0"/>
                <w:numId w:val="51"/>
              </w:numPr>
              <w:rPr>
                <w:szCs w:val="22"/>
              </w:rPr>
            </w:pPr>
            <w:r>
              <w:rPr>
                <w:szCs w:val="22"/>
              </w:rPr>
              <w:t>Broaden awareness of the types and variety of careers that are available within the mathematics and science fields</w:t>
            </w:r>
          </w:p>
          <w:p w14:paraId="5D1E20B5" w14:textId="77777777" w:rsidR="00762B5A" w:rsidRDefault="00762B5A" w:rsidP="00164DDE">
            <w:pPr>
              <w:pStyle w:val="ListParagraph"/>
              <w:numPr>
                <w:ilvl w:val="0"/>
                <w:numId w:val="51"/>
              </w:numPr>
              <w:rPr>
                <w:szCs w:val="22"/>
              </w:rPr>
            </w:pPr>
            <w:r>
              <w:rPr>
                <w:szCs w:val="22"/>
              </w:rPr>
              <w:t xml:space="preserve">Enable teachers, scientists and mathematicians to share ideas and practices with other Teachers, scientists and mathematicians; and </w:t>
            </w:r>
          </w:p>
          <w:p w14:paraId="67D9B743" w14:textId="77777777" w:rsidR="00762B5A" w:rsidRDefault="00762B5A" w:rsidP="00164DDE">
            <w:pPr>
              <w:pStyle w:val="ListParagraph"/>
              <w:numPr>
                <w:ilvl w:val="0"/>
                <w:numId w:val="51"/>
              </w:numPr>
              <w:rPr>
                <w:szCs w:val="22"/>
              </w:rPr>
            </w:pPr>
            <w:r>
              <w:rPr>
                <w:szCs w:val="22"/>
              </w:rPr>
              <w:t>Increase scientists and mathematician’s engagement with the broader community, thus raising public awareness of their work and its social and economic importance</w:t>
            </w:r>
          </w:p>
        </w:tc>
      </w:tr>
      <w:tr w:rsidR="00762B5A" w14:paraId="759401E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B6729EC" w14:textId="77777777" w:rsidR="00762B5A" w:rsidRPr="006C5C38" w:rsidRDefault="00762B5A" w:rsidP="007E2D07">
            <w:pPr>
              <w:rPr>
                <w:b/>
                <w:bCs/>
                <w:szCs w:val="22"/>
              </w:rPr>
            </w:pPr>
            <w:r w:rsidRPr="006C5C38">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FC00BDE" w14:textId="77777777" w:rsidR="00762B5A" w:rsidRDefault="00762B5A" w:rsidP="007E2D07">
            <w:pPr>
              <w:rPr>
                <w:szCs w:val="22"/>
              </w:rPr>
            </w:pPr>
            <w:r>
              <w:rPr>
                <w:szCs w:val="22"/>
              </w:rPr>
              <w:t xml:space="preserve">Teachers, STEM professionals </w:t>
            </w:r>
          </w:p>
        </w:tc>
      </w:tr>
      <w:tr w:rsidR="00762B5A" w14:paraId="4574EC2A" w14:textId="77777777" w:rsidTr="007E2D07">
        <w:trPr>
          <w:trHeight w:val="23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A1A45AC" w14:textId="77777777" w:rsidR="00762B5A" w:rsidRPr="006C5C38" w:rsidRDefault="00762B5A" w:rsidP="007E2D07">
            <w:pPr>
              <w:rPr>
                <w:b/>
                <w:bCs/>
                <w:szCs w:val="22"/>
              </w:rPr>
            </w:pPr>
            <w:r w:rsidRPr="006C5C38">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CEFC567" w14:textId="77777777" w:rsidR="00762B5A" w:rsidRDefault="00762B5A" w:rsidP="007E2D07">
            <w:pPr>
              <w:rPr>
                <w:szCs w:val="22"/>
              </w:rPr>
            </w:pPr>
            <w:r>
              <w:rPr>
                <w:szCs w:val="22"/>
              </w:rPr>
              <w:t xml:space="preserve">NISA funding is $10,000,000 (excluding GST) for the period of 2016 to 2020. </w:t>
            </w:r>
          </w:p>
        </w:tc>
      </w:tr>
      <w:tr w:rsidR="00762B5A" w14:paraId="3A68A17C"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194E8E4" w14:textId="77777777" w:rsidR="00762B5A" w:rsidRPr="006C5C38" w:rsidRDefault="00762B5A" w:rsidP="007E2D07">
            <w:pPr>
              <w:rPr>
                <w:b/>
                <w:bCs/>
                <w:szCs w:val="22"/>
              </w:rPr>
            </w:pPr>
            <w:r w:rsidRPr="006C5C38">
              <w:rPr>
                <w:b/>
                <w:bCs/>
                <w:szCs w:val="22"/>
              </w:rPr>
              <w:t>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8B7404E" w14:textId="77777777" w:rsidR="00762B5A" w:rsidRPr="00EB7212" w:rsidRDefault="00762B5A" w:rsidP="00164DDE">
            <w:pPr>
              <w:pStyle w:val="ListParagraph"/>
              <w:numPr>
                <w:ilvl w:val="0"/>
                <w:numId w:val="54"/>
              </w:numPr>
              <w:rPr>
                <w:szCs w:val="22"/>
              </w:rPr>
            </w:pPr>
            <w:r>
              <w:rPr>
                <w:szCs w:val="22"/>
              </w:rPr>
              <w:t xml:space="preserve">In addition to </w:t>
            </w:r>
            <w:proofErr w:type="spellStart"/>
            <w:r>
              <w:rPr>
                <w:szCs w:val="22"/>
              </w:rPr>
              <w:t>dandolo’s</w:t>
            </w:r>
            <w:proofErr w:type="spellEnd"/>
            <w:r>
              <w:rPr>
                <w:szCs w:val="22"/>
              </w:rPr>
              <w:t xml:space="preserve"> evaluation, t</w:t>
            </w:r>
            <w:r w:rsidRPr="00EB7212">
              <w:rPr>
                <w:szCs w:val="22"/>
              </w:rPr>
              <w:t>he initiative has undergone four external evaluations (2007, 2008-9, 2011-12, 2015-16); however, no external evaluation was required for the extension of the project funded through NISA</w:t>
            </w:r>
          </w:p>
          <w:p w14:paraId="692AC321" w14:textId="77777777" w:rsidR="00762B5A" w:rsidRDefault="00762B5A" w:rsidP="00164DDE">
            <w:pPr>
              <w:pStyle w:val="ListParagraph"/>
              <w:numPr>
                <w:ilvl w:val="0"/>
                <w:numId w:val="54"/>
              </w:numPr>
              <w:rPr>
                <w:szCs w:val="22"/>
              </w:rPr>
            </w:pPr>
            <w:r>
              <w:rPr>
                <w:szCs w:val="22"/>
              </w:rPr>
              <w:t>Internal evaluation activities have been undertaken to inform progress reports. The information in this evaluation summary is from Progress Report #5 covering the period of July -December 2018</w:t>
            </w:r>
          </w:p>
          <w:p w14:paraId="288CBE2E" w14:textId="77777777" w:rsidR="00762B5A" w:rsidRDefault="00762B5A" w:rsidP="00164DDE">
            <w:pPr>
              <w:pStyle w:val="ListParagraph"/>
              <w:numPr>
                <w:ilvl w:val="0"/>
                <w:numId w:val="54"/>
              </w:numPr>
              <w:rPr>
                <w:rFonts w:eastAsia="Times New Roman"/>
                <w:szCs w:val="22"/>
              </w:rPr>
            </w:pPr>
            <w:r>
              <w:rPr>
                <w:rFonts w:eastAsia="Times New Roman"/>
                <w:szCs w:val="22"/>
              </w:rPr>
              <w:t>Tessellate Communication Pty Ltd was awarded the contract to undertake an impact study and commenced work during late June/early July 2019. This evaluation summary does not include the Tessellate evaluation</w:t>
            </w:r>
          </w:p>
        </w:tc>
      </w:tr>
      <w:tr w:rsidR="00762B5A" w14:paraId="687B9B75"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B07E36B" w14:textId="77777777" w:rsidR="00762B5A" w:rsidRPr="006C5C38" w:rsidRDefault="00762B5A" w:rsidP="007E2D07">
            <w:pPr>
              <w:rPr>
                <w:b/>
                <w:bCs/>
                <w:szCs w:val="22"/>
              </w:rPr>
            </w:pPr>
            <w:r w:rsidRPr="006C5C38">
              <w:rPr>
                <w:b/>
                <w:bCs/>
                <w:szCs w:val="22"/>
              </w:rPr>
              <w:t>Evaluation purpose (internal 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8AC63C0" w14:textId="77777777" w:rsidR="00762B5A" w:rsidRDefault="00762B5A" w:rsidP="007E2D07">
            <w:pPr>
              <w:rPr>
                <w:szCs w:val="22"/>
              </w:rPr>
            </w:pPr>
            <w:r>
              <w:rPr>
                <w:szCs w:val="22"/>
              </w:rPr>
              <w:t xml:space="preserve">The purpose of the evaluation is to provide the Australian Government with information about outcomes, activities and deliverables, as specified in the funding agreement. </w:t>
            </w:r>
          </w:p>
        </w:tc>
      </w:tr>
      <w:tr w:rsidR="00762B5A" w14:paraId="1C07AFF6"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907C81E" w14:textId="77777777" w:rsidR="00762B5A" w:rsidRPr="006C5C38" w:rsidRDefault="00762B5A" w:rsidP="007E2D07">
            <w:pPr>
              <w:rPr>
                <w:b/>
                <w:bCs/>
                <w:szCs w:val="22"/>
              </w:rPr>
            </w:pPr>
            <w:r w:rsidRPr="006C5C38">
              <w:rPr>
                <w:b/>
                <w:bCs/>
                <w:szCs w:val="22"/>
              </w:rPr>
              <w:t>Evaluation framework / methodology (internal evaluation – Progress Report 5)</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952753" w14:textId="77777777" w:rsidR="00762B5A" w:rsidRDefault="00762B5A" w:rsidP="00164DDE">
            <w:pPr>
              <w:pStyle w:val="ListParagraph"/>
              <w:numPr>
                <w:ilvl w:val="0"/>
                <w:numId w:val="138"/>
              </w:numPr>
              <w:rPr>
                <w:szCs w:val="22"/>
              </w:rPr>
            </w:pPr>
            <w:proofErr w:type="spellStart"/>
            <w:r>
              <w:rPr>
                <w:szCs w:val="22"/>
              </w:rPr>
              <w:t>dandolo</w:t>
            </w:r>
            <w:proofErr w:type="spellEnd"/>
            <w:r>
              <w:rPr>
                <w:szCs w:val="22"/>
              </w:rPr>
              <w:t xml:space="preserve"> completed interviews and a series of online focus groups with stakeholders including STEM organisations and representatives from state and territory departments of education. Stakeholders were asked to provide feedback on individual NISA initiatives, including STEM Professionals in Schools. In addition to </w:t>
            </w:r>
            <w:proofErr w:type="spellStart"/>
            <w:r>
              <w:rPr>
                <w:szCs w:val="22"/>
              </w:rPr>
              <w:t>dandolo’s</w:t>
            </w:r>
            <w:proofErr w:type="spellEnd"/>
            <w:r>
              <w:rPr>
                <w:szCs w:val="22"/>
              </w:rPr>
              <w:t xml:space="preserve"> evaluation, we’ve described an internal evaluation below.</w:t>
            </w:r>
          </w:p>
          <w:p w14:paraId="771281BA" w14:textId="77777777" w:rsidR="00762B5A" w:rsidRPr="00EB7212" w:rsidRDefault="00762B5A" w:rsidP="00164DDE">
            <w:pPr>
              <w:pStyle w:val="ListParagraph"/>
              <w:numPr>
                <w:ilvl w:val="0"/>
                <w:numId w:val="138"/>
              </w:numPr>
              <w:rPr>
                <w:szCs w:val="22"/>
              </w:rPr>
            </w:pPr>
            <w:r w:rsidRPr="00EB7212">
              <w:rPr>
                <w:szCs w:val="22"/>
              </w:rPr>
              <w:t xml:space="preserve">Progress Report #5 used CSIRO’s impact framework and template provided by the Department of Innovation, Industry and Science (DIIS). No more information was provided. </w:t>
            </w:r>
          </w:p>
        </w:tc>
      </w:tr>
      <w:tr w:rsidR="00762B5A" w14:paraId="0C9CF08A" w14:textId="77777777" w:rsidTr="007E2D07">
        <w:trPr>
          <w:trHeight w:val="241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DF63FB7" w14:textId="77777777" w:rsidR="00762B5A" w:rsidRPr="006C5C38" w:rsidRDefault="00762B5A" w:rsidP="007E2D07">
            <w:pPr>
              <w:rPr>
                <w:b/>
                <w:bCs/>
                <w:szCs w:val="22"/>
              </w:rPr>
            </w:pPr>
            <w:r w:rsidRPr="006C5C38">
              <w:rPr>
                <w:b/>
                <w:bCs/>
                <w:szCs w:val="22"/>
              </w:rPr>
              <w:t xml:space="preserve">Summary of evaluation conclusions (internal evaluation – Progress Report 5 and </w:t>
            </w:r>
            <w:proofErr w:type="spellStart"/>
            <w:r w:rsidRPr="006C5C38">
              <w:rPr>
                <w:b/>
                <w:bCs/>
                <w:szCs w:val="22"/>
              </w:rPr>
              <w:t>dandolo</w:t>
            </w:r>
            <w:proofErr w:type="spellEnd"/>
            <w:r w:rsidRPr="006C5C38">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AF73709" w14:textId="77777777" w:rsidR="00762B5A" w:rsidRDefault="00762B5A" w:rsidP="00164DDE">
            <w:pPr>
              <w:pStyle w:val="ListParagraph"/>
              <w:numPr>
                <w:ilvl w:val="0"/>
                <w:numId w:val="182"/>
              </w:numPr>
              <w:rPr>
                <w:szCs w:val="22"/>
                <w:lang w:eastAsia="en-GB"/>
              </w:rPr>
            </w:pPr>
            <w:r>
              <w:rPr>
                <w:szCs w:val="22"/>
                <w:lang w:eastAsia="en-GB"/>
              </w:rPr>
              <w:t xml:space="preserve">Stakeholders report that the initiative is well-regarded for the expertise STEM professionals bring into primary schools where teacher capacity in science can be limited. They also appreciate the opportunity to have access to role models for students to explore careers in STEM in an engaging environment for students. Stakeholders also value the opportunity to connect with CSIRO, given its strong brand reputation. </w:t>
            </w:r>
          </w:p>
          <w:p w14:paraId="190708F2" w14:textId="77777777" w:rsidR="00762B5A" w:rsidRDefault="00762B5A" w:rsidP="00164DDE">
            <w:pPr>
              <w:pStyle w:val="ListParagraph"/>
              <w:numPr>
                <w:ilvl w:val="0"/>
                <w:numId w:val="182"/>
              </w:numPr>
              <w:rPr>
                <w:szCs w:val="22"/>
                <w:lang w:eastAsia="en-GB"/>
              </w:rPr>
            </w:pPr>
            <w:r>
              <w:rPr>
                <w:szCs w:val="22"/>
                <w:lang w:eastAsia="en-GB"/>
              </w:rPr>
              <w:t>The provider completed a transition to a new Customer Relationship Management (CRM) system, which was the key activity for the reporting period. The decision was made not to migrate existing program data. One of the reasons for this was the requirement for all program participants to acknowledge and accept the CSIRO Child Safe Policy. While the uptake of participants engaging directly and re-registering with the new CRM was less than expected, this is expected to improve.</w:t>
            </w:r>
          </w:p>
          <w:p w14:paraId="3DEEF9FD" w14:textId="77777777" w:rsidR="00762B5A" w:rsidRDefault="00762B5A" w:rsidP="00164DDE">
            <w:pPr>
              <w:pStyle w:val="ListParagraph"/>
              <w:numPr>
                <w:ilvl w:val="0"/>
                <w:numId w:val="182"/>
              </w:numPr>
              <w:rPr>
                <w:szCs w:val="22"/>
                <w:lang w:eastAsia="en-GB"/>
              </w:rPr>
            </w:pPr>
            <w:r>
              <w:rPr>
                <w:szCs w:val="22"/>
                <w:lang w:eastAsia="en-GB"/>
              </w:rPr>
              <w:t>Program scalability and sustainability were a priority for the providers and Tesselate Communication Pty Ltd was awarded the contract to conduct an impact study</w:t>
            </w:r>
          </w:p>
          <w:p w14:paraId="13F94318" w14:textId="77777777" w:rsidR="00762B5A" w:rsidRDefault="00762B5A" w:rsidP="00164DDE">
            <w:pPr>
              <w:pStyle w:val="ListParagraph"/>
              <w:numPr>
                <w:ilvl w:val="0"/>
                <w:numId w:val="182"/>
              </w:numPr>
              <w:rPr>
                <w:szCs w:val="22"/>
                <w:lang w:eastAsia="en-GB"/>
              </w:rPr>
            </w:pPr>
            <w:r>
              <w:rPr>
                <w:szCs w:val="22"/>
                <w:lang w:eastAsia="en-GB"/>
              </w:rPr>
              <w:t xml:space="preserve">Significant work was undertaken in relation to partnership support with a new focus on a suite of networking resources to be made available for Project Officers to deliver locally. Additionally, new webinar content was trialled with positive feedback. </w:t>
            </w:r>
          </w:p>
          <w:p w14:paraId="5C8F9D93" w14:textId="77777777" w:rsidR="00762B5A" w:rsidRDefault="00762B5A" w:rsidP="00164DDE">
            <w:pPr>
              <w:pStyle w:val="ListParagraph"/>
              <w:numPr>
                <w:ilvl w:val="0"/>
                <w:numId w:val="182"/>
              </w:numPr>
              <w:rPr>
                <w:rFonts w:cs="Times New Roman"/>
                <w:szCs w:val="22"/>
                <w:lang w:eastAsia="en-GB"/>
              </w:rPr>
            </w:pPr>
            <w:r>
              <w:rPr>
                <w:szCs w:val="22"/>
                <w:lang w:eastAsia="en-GB"/>
              </w:rPr>
              <w:t>New key relationships have been established with Western Australia, Northern Territory, New South Wales and Victorian departments of education, with further engagement to continue with the Australian Capital Territory and Queensland</w:t>
            </w:r>
          </w:p>
        </w:tc>
      </w:tr>
      <w:tr w:rsidR="00762B5A" w14:paraId="3A628FEB" w14:textId="77777777" w:rsidTr="007E2D07">
        <w:trPr>
          <w:trHeight w:val="940"/>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C49354" w14:textId="77777777" w:rsidR="00762B5A" w:rsidRPr="006C5C38" w:rsidRDefault="00762B5A" w:rsidP="007E2D07">
            <w:pPr>
              <w:rPr>
                <w:b/>
                <w:bCs/>
                <w:szCs w:val="22"/>
              </w:rPr>
            </w:pPr>
            <w:r w:rsidRPr="006C5C38">
              <w:rPr>
                <w:b/>
                <w:bCs/>
                <w:szCs w:val="22"/>
              </w:rPr>
              <w:t>Evaluation limitations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F54FC5F" w14:textId="77777777" w:rsidR="00762B5A" w:rsidRDefault="00762B5A" w:rsidP="00164DDE">
            <w:pPr>
              <w:pStyle w:val="ListParagraph"/>
              <w:numPr>
                <w:ilvl w:val="0"/>
                <w:numId w:val="147"/>
              </w:numPr>
              <w:rPr>
                <w:szCs w:val="22"/>
              </w:rPr>
            </w:pPr>
            <w:r>
              <w:rPr>
                <w:szCs w:val="22"/>
              </w:rPr>
              <w:t xml:space="preserve">Internal progress reports do not provide information about the impact of the program on student engagement or achievement </w:t>
            </w:r>
          </w:p>
        </w:tc>
      </w:tr>
      <w:tr w:rsidR="00762B5A" w14:paraId="6914793B" w14:textId="77777777" w:rsidTr="007E2D07">
        <w:trPr>
          <w:trHeight w:val="80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238082E" w14:textId="77777777" w:rsidR="00762B5A" w:rsidRPr="006C5C38" w:rsidRDefault="00762B5A" w:rsidP="007E2D07">
            <w:pPr>
              <w:rPr>
                <w:b/>
                <w:bCs/>
                <w:szCs w:val="22"/>
              </w:rPr>
            </w:pPr>
            <w:r w:rsidRPr="006C5C38">
              <w:rPr>
                <w:b/>
                <w:bCs/>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9EB66F" w14:textId="77777777" w:rsidR="00762B5A" w:rsidRDefault="00762B5A" w:rsidP="00164DDE">
            <w:pPr>
              <w:pStyle w:val="ListParagraph"/>
              <w:numPr>
                <w:ilvl w:val="0"/>
                <w:numId w:val="50"/>
              </w:numPr>
              <w:rPr>
                <w:szCs w:val="22"/>
                <w:lang w:val="en-US"/>
              </w:rPr>
            </w:pPr>
            <w:r>
              <w:rPr>
                <w:szCs w:val="22"/>
                <w:lang w:val="en-US"/>
              </w:rPr>
              <w:t xml:space="preserve">The provider has experienced high overall project team turnover during the current contract period. This has created challenges for delivery, consistency and continuity. </w:t>
            </w:r>
          </w:p>
          <w:p w14:paraId="65C9A58D" w14:textId="77777777" w:rsidR="00762B5A" w:rsidRDefault="00762B5A" w:rsidP="00164DDE">
            <w:pPr>
              <w:pStyle w:val="ListParagraph"/>
              <w:numPr>
                <w:ilvl w:val="0"/>
                <w:numId w:val="50"/>
              </w:numPr>
              <w:rPr>
                <w:szCs w:val="22"/>
                <w:lang w:val="en-US"/>
              </w:rPr>
            </w:pPr>
            <w:r>
              <w:rPr>
                <w:szCs w:val="22"/>
                <w:lang w:val="en-US"/>
              </w:rPr>
              <w:t>The provider undertook whole-of-</w:t>
            </w:r>
            <w:proofErr w:type="spellStart"/>
            <w:r>
              <w:rPr>
                <w:szCs w:val="22"/>
                <w:lang w:val="en-US"/>
              </w:rPr>
              <w:t>organisation</w:t>
            </w:r>
            <w:proofErr w:type="spellEnd"/>
            <w:r>
              <w:rPr>
                <w:szCs w:val="22"/>
                <w:lang w:val="en-US"/>
              </w:rPr>
              <w:t xml:space="preserve"> IT system change during the contract period, including moving operations from an unsupported Microsoft Access database to a Microsoft Dynamics Customer Relationship Management (CRM) platform. This transition has posed significant disruptions in terms of availability and scalability of program.</w:t>
            </w:r>
          </w:p>
          <w:p w14:paraId="03E0FB47" w14:textId="77777777" w:rsidR="00762B5A" w:rsidRDefault="00762B5A" w:rsidP="00164DDE">
            <w:pPr>
              <w:pStyle w:val="ListParagraph"/>
              <w:numPr>
                <w:ilvl w:val="0"/>
                <w:numId w:val="50"/>
              </w:numPr>
              <w:rPr>
                <w:rFonts w:eastAsia="Times New Roman"/>
                <w:szCs w:val="22"/>
              </w:rPr>
            </w:pPr>
            <w:r>
              <w:rPr>
                <w:rFonts w:eastAsia="Times New Roman"/>
                <w:szCs w:val="22"/>
              </w:rPr>
              <w:t>The uptake of participants engaging directly and re-registering with the new CRM was significantly less than expected, seeing a drop in reported partnerships numbers from around 1,700 to only around 462 initially. While this has steadily built back up over the course of 2019 to around 1,000 by August, there is still significant further work to do to re-build partnerships</w:t>
            </w:r>
          </w:p>
        </w:tc>
      </w:tr>
      <w:tr w:rsidR="00762B5A" w14:paraId="4A5B752A"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17BAD3D" w14:textId="77777777" w:rsidR="00762B5A" w:rsidRPr="006C5C38" w:rsidRDefault="00762B5A" w:rsidP="007E2D07">
            <w:pPr>
              <w:rPr>
                <w:b/>
                <w:bCs/>
                <w:szCs w:val="22"/>
              </w:rPr>
            </w:pPr>
            <w:r w:rsidRPr="006C5C38">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0B1F114" w14:textId="77777777" w:rsidR="00762B5A" w:rsidRDefault="00762B5A" w:rsidP="00164DDE">
            <w:pPr>
              <w:pStyle w:val="ListParagraph"/>
              <w:numPr>
                <w:ilvl w:val="0"/>
                <w:numId w:val="52"/>
              </w:numPr>
              <w:rPr>
                <w:szCs w:val="22"/>
                <w:lang w:val="en-US"/>
              </w:rPr>
            </w:pPr>
            <w:r>
              <w:rPr>
                <w:szCs w:val="22"/>
                <w:lang w:val="en-US"/>
              </w:rPr>
              <w:t>The provider would like to continue the program and expand partnerships, ideally with the support of the Australian Government beyond 2020 when the current funding agreement ends. The provider is also exploring other sources of funding to ensure program sustainability</w:t>
            </w:r>
          </w:p>
          <w:p w14:paraId="157A3FAB" w14:textId="77777777" w:rsidR="00762B5A" w:rsidRDefault="00762B5A" w:rsidP="00164DDE">
            <w:pPr>
              <w:pStyle w:val="ListParagraph"/>
              <w:numPr>
                <w:ilvl w:val="0"/>
                <w:numId w:val="52"/>
              </w:numPr>
              <w:rPr>
                <w:szCs w:val="22"/>
                <w:lang w:val="en-US"/>
              </w:rPr>
            </w:pPr>
            <w:r>
              <w:rPr>
                <w:szCs w:val="22"/>
                <w:lang w:val="en-US"/>
              </w:rPr>
              <w:t>Continue to support the external evaluation with Tesselate</w:t>
            </w:r>
          </w:p>
          <w:p w14:paraId="0DE94DD4" w14:textId="77777777" w:rsidR="00762B5A" w:rsidRDefault="00762B5A" w:rsidP="00164DDE">
            <w:pPr>
              <w:pStyle w:val="ListParagraph"/>
              <w:numPr>
                <w:ilvl w:val="0"/>
                <w:numId w:val="52"/>
              </w:numPr>
              <w:rPr>
                <w:szCs w:val="22"/>
                <w:lang w:val="en-US"/>
              </w:rPr>
            </w:pPr>
            <w:r>
              <w:rPr>
                <w:szCs w:val="22"/>
                <w:lang w:val="en-US"/>
              </w:rPr>
              <w:t>Ongoing monitoring and adherence to Child Safety policies</w:t>
            </w:r>
          </w:p>
        </w:tc>
      </w:tr>
      <w:tr w:rsidR="00762B5A" w14:paraId="232EE1B9" w14:textId="77777777" w:rsidTr="007E2D07">
        <w:trPr>
          <w:trHeight w:val="37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1AA9A1C" w14:textId="77777777" w:rsidR="00762B5A" w:rsidRPr="006C5C38" w:rsidRDefault="00762B5A" w:rsidP="007E2D07">
            <w:pPr>
              <w:rPr>
                <w:b/>
                <w:bCs/>
                <w:szCs w:val="22"/>
              </w:rPr>
            </w:pPr>
            <w:r w:rsidRPr="006C5C38">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8E6F371" w14:textId="77777777" w:rsidR="00762B5A" w:rsidRDefault="00762B5A" w:rsidP="00164DDE">
            <w:pPr>
              <w:pStyle w:val="ListParagraph"/>
              <w:numPr>
                <w:ilvl w:val="0"/>
                <w:numId w:val="53"/>
              </w:numPr>
              <w:rPr>
                <w:szCs w:val="22"/>
              </w:rPr>
            </w:pPr>
            <w:r>
              <w:rPr>
                <w:szCs w:val="22"/>
              </w:rPr>
              <w:t xml:space="preserve">Hetherington, K. (n.d.). </w:t>
            </w:r>
            <w:r>
              <w:rPr>
                <w:i/>
                <w:iCs/>
                <w:szCs w:val="22"/>
              </w:rPr>
              <w:t>STEM Professionals in Schools Progress Report</w:t>
            </w:r>
            <w:r>
              <w:rPr>
                <w:szCs w:val="22"/>
              </w:rPr>
              <w:t xml:space="preserve"> (#5 – Milestone #11, July - December 2018). CSIRO</w:t>
            </w:r>
          </w:p>
          <w:p w14:paraId="4F163CFF" w14:textId="77777777" w:rsidR="00762B5A" w:rsidRDefault="00762B5A" w:rsidP="00164DDE">
            <w:pPr>
              <w:pStyle w:val="ListParagraph"/>
              <w:numPr>
                <w:ilvl w:val="0"/>
                <w:numId w:val="53"/>
              </w:numPr>
              <w:rPr>
                <w:rFonts w:eastAsia="Times New Roman"/>
                <w:szCs w:val="22"/>
              </w:rPr>
            </w:pPr>
            <w:r>
              <w:rPr>
                <w:rFonts w:eastAsia="Times New Roman"/>
                <w:szCs w:val="22"/>
              </w:rPr>
              <w:t>Interview with provider</w:t>
            </w:r>
          </w:p>
        </w:tc>
      </w:tr>
    </w:tbl>
    <w:p w14:paraId="58963CF0" w14:textId="77777777" w:rsidR="00762B5A" w:rsidRDefault="00762B5A" w:rsidP="00762B5A">
      <w:pPr>
        <w:rPr>
          <w:rFonts w:cs="Arial"/>
        </w:rPr>
      </w:pPr>
    </w:p>
    <w:p w14:paraId="16ACAF03" w14:textId="77777777" w:rsidR="00762B5A" w:rsidRDefault="00762B5A" w:rsidP="00762B5A">
      <w:pPr>
        <w:rPr>
          <w:rFonts w:cs="Arial"/>
        </w:rPr>
      </w:pPr>
    </w:p>
    <w:p w14:paraId="79C2C82C" w14:textId="77777777" w:rsidR="00762B5A" w:rsidRDefault="00762B5A" w:rsidP="00762B5A">
      <w:pPr>
        <w:rPr>
          <w:rFonts w:cs="Arial"/>
        </w:rPr>
      </w:pPr>
    </w:p>
    <w:p w14:paraId="40864821" w14:textId="77777777" w:rsidR="00762B5A" w:rsidRDefault="00762B5A" w:rsidP="00762B5A">
      <w:pPr>
        <w:rPr>
          <w:rFonts w:cs="Arial"/>
        </w:rPr>
      </w:pPr>
    </w:p>
    <w:p w14:paraId="7A89F579" w14:textId="77777777" w:rsidR="00762B5A" w:rsidRDefault="00762B5A" w:rsidP="00762B5A">
      <w:pPr>
        <w:rPr>
          <w:rFonts w:cs="Arial"/>
        </w:rPr>
      </w:pPr>
    </w:p>
    <w:p w14:paraId="199B1AD8" w14:textId="77777777" w:rsidR="00762B5A" w:rsidRDefault="00762B5A" w:rsidP="00762B5A">
      <w:pPr>
        <w:rPr>
          <w:rFonts w:cs="Arial"/>
        </w:rPr>
      </w:pPr>
    </w:p>
    <w:p w14:paraId="6E619BEB" w14:textId="77777777" w:rsidR="00762B5A" w:rsidRDefault="00762B5A" w:rsidP="00762B5A">
      <w:pPr>
        <w:rPr>
          <w:rFonts w:cs="Arial"/>
        </w:rPr>
      </w:pPr>
    </w:p>
    <w:p w14:paraId="31A78334" w14:textId="77777777" w:rsidR="00762B5A" w:rsidRDefault="00762B5A" w:rsidP="00762B5A">
      <w:pPr>
        <w:pStyle w:val="Heading1"/>
        <w:numPr>
          <w:ilvl w:val="0"/>
          <w:numId w:val="0"/>
        </w:numPr>
        <w:spacing w:before="0" w:after="120" w:line="360" w:lineRule="auto"/>
        <w:ind w:left="567" w:hanging="567"/>
        <w:rPr>
          <w:rFonts w:asciiTheme="minorHAnsi" w:hAnsiTheme="minorHAnsi" w:cs="Arial"/>
          <w:b/>
          <w:bCs/>
          <w:sz w:val="36"/>
          <w:szCs w:val="36"/>
        </w:rPr>
      </w:pPr>
      <w:bookmarkStart w:id="167" w:name="_Toc25162083"/>
      <w:r>
        <w:rPr>
          <w:rFonts w:asciiTheme="minorHAnsi" w:hAnsiTheme="minorHAnsi" w:cs="Arial"/>
          <w:b/>
          <w:bCs/>
          <w:sz w:val="36"/>
          <w:szCs w:val="36"/>
        </w:rPr>
        <w:t>Digital Literacy School Grants (DLSG)</w:t>
      </w:r>
      <w:bookmarkEnd w:id="167"/>
    </w:p>
    <w:tbl>
      <w:tblPr>
        <w:tblStyle w:val="PlainTable2"/>
        <w:tblW w:w="9075" w:type="dxa"/>
        <w:tblInd w:w="-10" w:type="dxa"/>
        <w:tblLayout w:type="fixed"/>
        <w:tblLook w:val="04A0" w:firstRow="1" w:lastRow="0" w:firstColumn="1" w:lastColumn="0" w:noHBand="0" w:noVBand="1"/>
      </w:tblPr>
      <w:tblGrid>
        <w:gridCol w:w="1627"/>
        <w:gridCol w:w="7448"/>
      </w:tblGrid>
      <w:tr w:rsidR="00762B5A" w14:paraId="46E16F21" w14:textId="77777777" w:rsidTr="007E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612D0C" w14:textId="77777777" w:rsidR="00762B5A" w:rsidRDefault="00762B5A" w:rsidP="007E2D07">
            <w:pPr>
              <w:rPr>
                <w:rFonts w:cs="Arial"/>
                <w:b w:val="0"/>
                <w:bCs w:val="0"/>
                <w:szCs w:val="22"/>
              </w:rPr>
            </w:pPr>
            <w:r>
              <w:rPr>
                <w:rFonts w:cs="Arial"/>
                <w:szCs w:val="22"/>
              </w:rPr>
              <w:t>Provider</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509DFF4" w14:textId="77777777" w:rsidR="00762B5A" w:rsidRDefault="00762B5A" w:rsidP="007E2D07">
            <w:pPr>
              <w:cnfStyle w:val="100000000000" w:firstRow="1" w:lastRow="0" w:firstColumn="0" w:lastColumn="0" w:oddVBand="0" w:evenVBand="0" w:oddHBand="0" w:evenHBand="0" w:firstRowFirstColumn="0" w:firstRowLastColumn="0" w:lastRowFirstColumn="0" w:lastRowLastColumn="0"/>
              <w:rPr>
                <w:rFonts w:cs="Arial"/>
                <w:szCs w:val="22"/>
              </w:rPr>
            </w:pPr>
            <w:r>
              <w:rPr>
                <w:rFonts w:cs="Arial"/>
                <w:szCs w:val="22"/>
              </w:rPr>
              <w:t>Australian Government Department of Education and Training</w:t>
            </w:r>
          </w:p>
        </w:tc>
      </w:tr>
      <w:tr w:rsidR="00762B5A" w14:paraId="0EAE6350"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51712D83" w14:textId="77777777" w:rsidR="00762B5A" w:rsidRDefault="00762B5A" w:rsidP="007E2D07">
            <w:pPr>
              <w:rPr>
                <w:rFonts w:cs="Arial"/>
                <w:szCs w:val="22"/>
              </w:rPr>
            </w:pPr>
            <w:r>
              <w:rPr>
                <w:rFonts w:cs="Arial"/>
                <w:szCs w:val="22"/>
              </w:rPr>
              <w:t xml:space="preserve">Initiative description and </w:t>
            </w:r>
          </w:p>
          <w:p w14:paraId="7DEBE356" w14:textId="77777777" w:rsidR="00762B5A" w:rsidRDefault="00762B5A" w:rsidP="007E2D07">
            <w:pPr>
              <w:rPr>
                <w:rFonts w:cs="Arial"/>
                <w:szCs w:val="22"/>
              </w:rPr>
            </w:pPr>
            <w:r>
              <w:rPr>
                <w:rFonts w:cs="Arial"/>
                <w:szCs w:val="22"/>
              </w:rPr>
              <w:t xml:space="preserve">objectives </w:t>
            </w:r>
          </w:p>
          <w:p w14:paraId="5D7D57E5" w14:textId="77777777" w:rsidR="00762B5A" w:rsidRDefault="00762B5A" w:rsidP="007E2D07">
            <w:pPr>
              <w:rPr>
                <w:rFonts w:cs="Arial"/>
                <w:sz w:val="21"/>
                <w:szCs w:val="21"/>
              </w:rPr>
            </w:pP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CA1DD8F"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Cs w:val="22"/>
                <w:u w:val="single"/>
              </w:rPr>
            </w:pPr>
            <w:r>
              <w:rPr>
                <w:rFonts w:cs="Arial"/>
                <w:szCs w:val="22"/>
              </w:rPr>
              <w:t>The Digital Literacy School Grants initiative provided funding to 114 projects to support innovative methods for implementing the Digital Technologies Australian Curriculum in schools and enhancing digital literacy. As part of the initiative, two competitive grant rounds were held in the 2016-17 and 2017-18. There were 54 grant recipients in round one and 60 recipients in round two.</w:t>
            </w:r>
          </w:p>
          <w:p w14:paraId="58BD89F8"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Grants for projects under the program were application based. Grant application project proposals must drive enhanced digital literacy in schools, for example through:</w:t>
            </w:r>
          </w:p>
          <w:p w14:paraId="7A62D2D2" w14:textId="77777777" w:rsidR="00762B5A" w:rsidRDefault="00762B5A" w:rsidP="00164DDE">
            <w:pPr>
              <w:pStyle w:val="ListParagraph"/>
              <w:numPr>
                <w:ilvl w:val="0"/>
                <w:numId w:val="183"/>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Partnership models whereby a school partners with one or more schools to exchange best practice ideas</w:t>
            </w:r>
          </w:p>
          <w:p w14:paraId="3C3EB96D" w14:textId="77777777" w:rsidR="00762B5A" w:rsidRDefault="00762B5A" w:rsidP="00164DDE">
            <w:pPr>
              <w:pStyle w:val="ListParagraph"/>
              <w:numPr>
                <w:ilvl w:val="0"/>
                <w:numId w:val="183"/>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Partnerships between a school with industry to gain access to professional expertise and/or equipment</w:t>
            </w:r>
          </w:p>
          <w:p w14:paraId="4D5C5D3E" w14:textId="77777777" w:rsidR="00762B5A" w:rsidRDefault="00762B5A" w:rsidP="00164DDE">
            <w:pPr>
              <w:pStyle w:val="ListParagraph"/>
              <w:numPr>
                <w:ilvl w:val="0"/>
                <w:numId w:val="183"/>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Leveraging off existing facilities to establish cross curricular spaces (e.g. 3D printers)</w:t>
            </w:r>
          </w:p>
          <w:p w14:paraId="6B71FAC6" w14:textId="77777777" w:rsidR="00762B5A" w:rsidRDefault="00762B5A" w:rsidP="00164DDE">
            <w:pPr>
              <w:pStyle w:val="ListParagraph"/>
              <w:numPr>
                <w:ilvl w:val="0"/>
                <w:numId w:val="183"/>
              </w:num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Cs w:val="22"/>
              </w:rPr>
              <w:t>Support professional learning for principals to become ICT champions</w:t>
            </w:r>
          </w:p>
        </w:tc>
      </w:tr>
      <w:tr w:rsidR="00762B5A" w14:paraId="51B48390"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3249E65" w14:textId="77777777" w:rsidR="00762B5A" w:rsidRDefault="00762B5A" w:rsidP="007E2D07">
            <w:pPr>
              <w:rPr>
                <w:rFonts w:cs="Arial"/>
                <w:szCs w:val="22"/>
              </w:rPr>
            </w:pPr>
            <w:r>
              <w:rPr>
                <w:rFonts w:cs="Arial"/>
                <w:szCs w:val="22"/>
              </w:rPr>
              <w:t>Target audience</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DD7A95"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Cs w:val="22"/>
              </w:rPr>
              <w:t xml:space="preserve">Teachers, school leaders, students </w:t>
            </w:r>
          </w:p>
        </w:tc>
      </w:tr>
      <w:tr w:rsidR="00762B5A" w14:paraId="152D191C"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5281890" w14:textId="77777777" w:rsidR="00762B5A" w:rsidRDefault="00762B5A" w:rsidP="007E2D07">
            <w:pPr>
              <w:rPr>
                <w:rFonts w:cs="Arial"/>
                <w:szCs w:val="22"/>
              </w:rPr>
            </w:pPr>
            <w:r>
              <w:rPr>
                <w:rFonts w:cs="Arial"/>
                <w:szCs w:val="22"/>
              </w:rPr>
              <w:t xml:space="preserve">Initiative </w:t>
            </w:r>
            <w:r>
              <w:rPr>
                <w:rFonts w:cs="Arial"/>
                <w:szCs w:val="22"/>
              </w:rPr>
              <w:br/>
              <w:t>funding</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42F958" w14:textId="77777777" w:rsidR="00762B5A" w:rsidRDefault="00762B5A" w:rsidP="00164DDE">
            <w:pPr>
              <w:pStyle w:val="ListParagraph"/>
              <w:numPr>
                <w:ilvl w:val="0"/>
                <w:numId w:val="139"/>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NISA funding is $3,989,273 (exclusive of GST) for the period 2016-2018</w:t>
            </w:r>
          </w:p>
          <w:p w14:paraId="2A64852E" w14:textId="77777777" w:rsidR="00762B5A" w:rsidRDefault="00762B5A" w:rsidP="00164DDE">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Funding for round one projects totalled $1,989,319 </w:t>
            </w:r>
          </w:p>
          <w:p w14:paraId="6D55F1E0" w14:textId="77777777" w:rsidR="00762B5A" w:rsidRDefault="00762B5A" w:rsidP="00164DDE">
            <w:pPr>
              <w:pStyle w:val="ListParagraph"/>
              <w:numPr>
                <w:ilvl w:val="0"/>
                <w:numId w:val="56"/>
              </w:num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Cs w:val="22"/>
              </w:rPr>
              <w:t>Funding for round two projects totalled $1,999,954</w:t>
            </w:r>
          </w:p>
        </w:tc>
      </w:tr>
      <w:tr w:rsidR="00762B5A" w14:paraId="3BD3625F"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E290F06" w14:textId="77777777" w:rsidR="00762B5A" w:rsidRDefault="00762B5A" w:rsidP="007E2D07">
            <w:pPr>
              <w:rPr>
                <w:rFonts w:cs="Arial"/>
                <w:szCs w:val="22"/>
              </w:rPr>
            </w:pPr>
            <w:r>
              <w:rPr>
                <w:rFonts w:cs="Arial"/>
                <w:szCs w:val="22"/>
              </w:rPr>
              <w:t>Evaluation</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83260CE" w14:textId="77777777" w:rsidR="00762B5A" w:rsidRDefault="00762B5A" w:rsidP="00164DDE">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Beyond </w:t>
            </w:r>
            <w:proofErr w:type="spellStart"/>
            <w:r>
              <w:rPr>
                <w:szCs w:val="22"/>
              </w:rPr>
              <w:t>dandolo’s</w:t>
            </w:r>
            <w:proofErr w:type="spellEnd"/>
            <w:r>
              <w:rPr>
                <w:szCs w:val="22"/>
              </w:rPr>
              <w:t xml:space="preserve"> evaluation, there is no formal evaluation of individual grants or of the program as a whole</w:t>
            </w:r>
          </w:p>
          <w:p w14:paraId="0FB869A0" w14:textId="77777777" w:rsidR="00762B5A" w:rsidRDefault="00762B5A" w:rsidP="00164DDE">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szCs w:val="22"/>
              </w:rPr>
            </w:pPr>
            <w:r>
              <w:rPr>
                <w:szCs w:val="22"/>
              </w:rPr>
              <w:t>Grant recipients were required to report on their projects using a standard form provided by the Department of Education</w:t>
            </w:r>
          </w:p>
          <w:p w14:paraId="30B8C7BD" w14:textId="77777777" w:rsidR="00762B5A" w:rsidRDefault="00762B5A" w:rsidP="00164DDE">
            <w:pPr>
              <w:pStyle w:val="ListParagraph"/>
              <w:numPr>
                <w:ilvl w:val="0"/>
                <w:numId w:val="61"/>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This evaluation summary includes analysis of DLSG undertaken by </w:t>
            </w:r>
            <w:proofErr w:type="spellStart"/>
            <w:r>
              <w:rPr>
                <w:szCs w:val="22"/>
              </w:rPr>
              <w:t>dandolopartners</w:t>
            </w:r>
            <w:proofErr w:type="spellEnd"/>
            <w:r>
              <w:rPr>
                <w:szCs w:val="22"/>
              </w:rPr>
              <w:t xml:space="preserve"> as part of its 2019 Evaluation of Early Learning and Schools Initiatives in the National Innovation and Science Agenda</w:t>
            </w:r>
          </w:p>
        </w:tc>
      </w:tr>
      <w:tr w:rsidR="00762B5A" w14:paraId="131A37EC" w14:textId="77777777" w:rsidTr="007E2D07">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7719FA5" w14:textId="77777777" w:rsidR="00762B5A" w:rsidRDefault="00762B5A" w:rsidP="007E2D07">
            <w:pPr>
              <w:rPr>
                <w:rFonts w:cs="Arial"/>
                <w:szCs w:val="22"/>
              </w:rPr>
            </w:pPr>
            <w:r>
              <w:rPr>
                <w:rFonts w:cs="Arial"/>
                <w:szCs w:val="22"/>
              </w:rPr>
              <w:t>Evaluation purpose (</w:t>
            </w:r>
            <w:proofErr w:type="spellStart"/>
            <w:r>
              <w:rPr>
                <w:rFonts w:cs="Arial"/>
                <w:szCs w:val="22"/>
              </w:rPr>
              <w:t>dandolo</w:t>
            </w:r>
            <w:proofErr w:type="spellEnd"/>
            <w:r>
              <w:rPr>
                <w:rFonts w:cs="Arial"/>
                <w:szCs w:val="22"/>
              </w:rPr>
              <w:t xml:space="preserve"> evaluation)</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D063B3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Cs w:val="22"/>
              </w:rPr>
              <w:t xml:space="preserve">The purpose of </w:t>
            </w:r>
            <w:proofErr w:type="spellStart"/>
            <w:r>
              <w:rPr>
                <w:rFonts w:cs="Arial"/>
                <w:szCs w:val="22"/>
              </w:rPr>
              <w:t>dandolo’s</w:t>
            </w:r>
            <w:proofErr w:type="spellEnd"/>
            <w:r>
              <w:rPr>
                <w:rFonts w:cs="Arial"/>
                <w:szCs w:val="22"/>
              </w:rPr>
              <w:t xml:space="preserve"> evaluation of DLSG is to assess the effectiveness of the initiative in the absence of a formal evaluation and generate insights that will inform the </w:t>
            </w:r>
            <w:r>
              <w:rPr>
                <w:szCs w:val="22"/>
              </w:rPr>
              <w:t>2019 Evaluation of Early Learning and Schools Initiatives in the National Innovation and Science Agenda</w:t>
            </w:r>
          </w:p>
        </w:tc>
      </w:tr>
      <w:tr w:rsidR="00762B5A" w14:paraId="314DE222"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6FE02023" w14:textId="77777777" w:rsidR="00762B5A" w:rsidRDefault="00762B5A" w:rsidP="007E2D07">
            <w:pPr>
              <w:rPr>
                <w:rFonts w:cs="Arial"/>
                <w:szCs w:val="22"/>
              </w:rPr>
            </w:pPr>
            <w:r>
              <w:rPr>
                <w:rFonts w:cs="Arial"/>
                <w:szCs w:val="22"/>
              </w:rPr>
              <w:t>Evaluation framework / methodology (</w:t>
            </w:r>
            <w:proofErr w:type="spellStart"/>
            <w:r>
              <w:rPr>
                <w:rFonts w:cs="Arial"/>
                <w:szCs w:val="22"/>
              </w:rPr>
              <w:t>dandolo</w:t>
            </w:r>
            <w:proofErr w:type="spellEnd"/>
            <w:r>
              <w:rPr>
                <w:rFonts w:cs="Arial"/>
                <w:szCs w:val="22"/>
              </w:rPr>
              <w:t xml:space="preserve"> evaluation)</w:t>
            </w:r>
          </w:p>
          <w:p w14:paraId="043DE2E4" w14:textId="77777777" w:rsidR="00762B5A" w:rsidRDefault="00762B5A" w:rsidP="007E2D07">
            <w:pPr>
              <w:rPr>
                <w:rFonts w:cs="Arial"/>
                <w:szCs w:val="22"/>
              </w:rPr>
            </w:pP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5360830"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cs="Arial"/>
                <w:szCs w:val="22"/>
                <w:u w:val="single"/>
              </w:rPr>
            </w:pPr>
            <w:r>
              <w:rPr>
                <w:rFonts w:cs="Arial"/>
                <w:szCs w:val="22"/>
                <w:u w:val="single"/>
              </w:rPr>
              <w:t>Framework</w:t>
            </w:r>
          </w:p>
          <w:p w14:paraId="14E4FE98"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Design: </w:t>
            </w:r>
            <w:r>
              <w:rPr>
                <w:rFonts w:cs="Arial"/>
                <w:szCs w:val="22"/>
                <w:lang w:val="en-US"/>
              </w:rPr>
              <w:t>Does the initiative’s design set it up for success?</w:t>
            </w:r>
          </w:p>
          <w:p w14:paraId="3007C8F0"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Implementation: How</w:t>
            </w:r>
            <w:r>
              <w:rPr>
                <w:rFonts w:cs="Arial"/>
                <w:szCs w:val="22"/>
                <w:lang w:val="en-US"/>
              </w:rPr>
              <w:t xml:space="preserve"> has the initiative been implemented in practice?</w:t>
            </w:r>
          </w:p>
          <w:p w14:paraId="35B4701C"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Output: </w:t>
            </w:r>
            <w:r>
              <w:rPr>
                <w:rFonts w:cs="Arial"/>
                <w:szCs w:val="22"/>
                <w:lang w:val="en-US"/>
              </w:rPr>
              <w:t>What has the initiative produced or delivered?</w:t>
            </w:r>
          </w:p>
          <w:p w14:paraId="663DC29A"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Impact: W</w:t>
            </w:r>
            <w:r>
              <w:rPr>
                <w:rFonts w:cs="Arial"/>
                <w:szCs w:val="22"/>
                <w:lang w:val="en-US"/>
              </w:rPr>
              <w:t>hat impacts, or consequences did the initiative have for students?</w:t>
            </w:r>
          </w:p>
          <w:p w14:paraId="6A5F8561"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u w:val="single"/>
              </w:rPr>
            </w:pPr>
            <w:r>
              <w:rPr>
                <w:szCs w:val="22"/>
                <w:u w:val="single"/>
              </w:rPr>
              <w:t>Methodology</w:t>
            </w:r>
          </w:p>
          <w:p w14:paraId="6D8CC89B"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Data collection activities included: </w:t>
            </w:r>
          </w:p>
          <w:p w14:paraId="4CF8D180"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szCs w:val="22"/>
              </w:rPr>
            </w:pPr>
            <w:r>
              <w:rPr>
                <w:szCs w:val="22"/>
              </w:rPr>
              <w:t>Conversations with STEM Team in the Department of Education</w:t>
            </w:r>
          </w:p>
          <w:p w14:paraId="008A0A9F" w14:textId="77777777" w:rsidR="00762B5A" w:rsidRPr="00EB7212"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szCs w:val="22"/>
              </w:rPr>
            </w:pPr>
            <w:proofErr w:type="spellStart"/>
            <w:r>
              <w:rPr>
                <w:szCs w:val="22"/>
              </w:rPr>
              <w:t>dandolo</w:t>
            </w:r>
            <w:proofErr w:type="spellEnd"/>
            <w:r>
              <w:rPr>
                <w:szCs w:val="22"/>
              </w:rPr>
              <w:t xml:space="preserve"> completed interviews and a series of online focus groups with stakeholders including STEM organisations and representatives from state and territory departments of education. Stakeholders were asked to provide feedback on individual NISA initiatives, including DLSG. </w:t>
            </w:r>
          </w:p>
          <w:p w14:paraId="4AC6378C" w14:textId="77777777" w:rsidR="00762B5A" w:rsidRDefault="00762B5A" w:rsidP="00164DDE">
            <w:pPr>
              <w:pStyle w:val="ListParagraph"/>
              <w:numPr>
                <w:ilvl w:val="0"/>
                <w:numId w:val="59"/>
              </w:numPr>
              <w:cnfStyle w:val="000000000000" w:firstRow="0" w:lastRow="0" w:firstColumn="0" w:lastColumn="0" w:oddVBand="0" w:evenVBand="0" w:oddHBand="0" w:evenHBand="0" w:firstRowFirstColumn="0" w:firstRowLastColumn="0" w:lastRowFirstColumn="0" w:lastRowLastColumn="0"/>
            </w:pPr>
            <w:r>
              <w:rPr>
                <w:szCs w:val="22"/>
              </w:rPr>
              <w:t>Analysis of pro-forma acquittal forms submitted by grant recipient schools (Round 1 only) according to the following criteria: main target participant, STEM area, main project activity</w:t>
            </w:r>
          </w:p>
        </w:tc>
      </w:tr>
      <w:tr w:rsidR="00762B5A" w14:paraId="25A6A7EA"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13E9035A" w14:textId="77777777" w:rsidR="00762B5A" w:rsidRDefault="00762B5A" w:rsidP="007E2D07">
            <w:pPr>
              <w:rPr>
                <w:rFonts w:cs="Arial"/>
                <w:szCs w:val="22"/>
              </w:rPr>
            </w:pPr>
            <w:r>
              <w:rPr>
                <w:rFonts w:cs="Arial"/>
                <w:szCs w:val="22"/>
              </w:rPr>
              <w:t>Evaluation findings (</w:t>
            </w:r>
            <w:proofErr w:type="spellStart"/>
            <w:r>
              <w:rPr>
                <w:rFonts w:cs="Arial"/>
                <w:szCs w:val="22"/>
              </w:rPr>
              <w:t>dandolo</w:t>
            </w:r>
            <w:proofErr w:type="spellEnd"/>
            <w:r>
              <w:rPr>
                <w:rFonts w:cs="Arial"/>
                <w:szCs w:val="22"/>
              </w:rPr>
              <w:t xml:space="preserve"> evaluation)</w:t>
            </w:r>
          </w:p>
          <w:p w14:paraId="6D3254BB" w14:textId="77777777" w:rsidR="00762B5A" w:rsidRDefault="00762B5A" w:rsidP="007E2D07">
            <w:pPr>
              <w:rPr>
                <w:rFonts w:cs="Arial"/>
                <w:szCs w:val="22"/>
              </w:rPr>
            </w:pP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E97D40" w14:textId="77777777" w:rsidR="00762B5A" w:rsidRDefault="00762B5A" w:rsidP="007E2D07">
            <w:pPr>
              <w:tabs>
                <w:tab w:val="left" w:pos="2622"/>
                <w:tab w:val="left" w:pos="2906"/>
              </w:tabs>
              <w:ind w:left="360" w:hanging="360"/>
              <w:cnfStyle w:val="000000100000" w:firstRow="0" w:lastRow="0" w:firstColumn="0" w:lastColumn="0" w:oddVBand="0" w:evenVBand="0" w:oddHBand="1" w:evenHBand="0" w:firstRowFirstColumn="0" w:firstRowLastColumn="0" w:lastRowFirstColumn="0" w:lastRowLastColumn="0"/>
              <w:rPr>
                <w:szCs w:val="22"/>
                <w:u w:val="single"/>
                <w:shd w:val="clear" w:color="auto" w:fill="FFFFFF"/>
              </w:rPr>
            </w:pPr>
            <w:r>
              <w:rPr>
                <w:szCs w:val="22"/>
                <w:u w:val="single"/>
                <w:shd w:val="clear" w:color="auto" w:fill="FFFFFF"/>
              </w:rPr>
              <w:t>Design</w:t>
            </w:r>
          </w:p>
          <w:p w14:paraId="1E76C8B5" w14:textId="77777777" w:rsidR="00762B5A" w:rsidRDefault="00762B5A" w:rsidP="00164DDE">
            <w:pPr>
              <w:pStyle w:val="ListParagraph"/>
              <w:numPr>
                <w:ilvl w:val="0"/>
                <w:numId w:val="60"/>
              </w:numPr>
              <w:tabs>
                <w:tab w:val="left" w:pos="2622"/>
                <w:tab w:val="left" w:pos="2906"/>
              </w:tabs>
              <w:cnfStyle w:val="000000100000" w:firstRow="0" w:lastRow="0" w:firstColumn="0" w:lastColumn="0" w:oddVBand="0" w:evenVBand="0" w:oddHBand="1" w:evenHBand="0" w:firstRowFirstColumn="0" w:firstRowLastColumn="0" w:lastRowFirstColumn="0" w:lastRowLastColumn="0"/>
              <w:rPr>
                <w:szCs w:val="22"/>
                <w:shd w:val="clear" w:color="auto" w:fill="FFFFFF"/>
              </w:rPr>
            </w:pPr>
            <w:r>
              <w:rPr>
                <w:szCs w:val="22"/>
                <w:shd w:val="clear" w:color="auto" w:fill="FFFFFF"/>
              </w:rPr>
              <w:t>Objectives/rationale: The initiative aimed to encourage and facilitate implementation of the new Australian Curriculum: Digital Technologies in response to the new curriculum, which was released in 2015</w:t>
            </w:r>
          </w:p>
          <w:p w14:paraId="4DFE9408" w14:textId="77777777" w:rsidR="00762B5A" w:rsidRDefault="00762B5A" w:rsidP="00164DDE">
            <w:pPr>
              <w:pStyle w:val="ListParagraph"/>
              <w:numPr>
                <w:ilvl w:val="0"/>
                <w:numId w:val="58"/>
              </w:numPr>
              <w:tabs>
                <w:tab w:val="left" w:pos="2622"/>
                <w:tab w:val="left" w:pos="2906"/>
              </w:tabs>
              <w:cnfStyle w:val="000000100000" w:firstRow="0" w:lastRow="0" w:firstColumn="0" w:lastColumn="0" w:oddVBand="0" w:evenVBand="0" w:oddHBand="1" w:evenHBand="0" w:firstRowFirstColumn="0" w:firstRowLastColumn="0" w:lastRowFirstColumn="0" w:lastRowLastColumn="0"/>
              <w:rPr>
                <w:rFonts w:eastAsia="Times New Roman"/>
              </w:rPr>
            </w:pPr>
            <w:r>
              <w:rPr>
                <w:szCs w:val="22"/>
                <w:shd w:val="clear" w:color="auto" w:fill="FFFFFF"/>
              </w:rPr>
              <w:t>Target audience: Schools, teachers and students</w:t>
            </w:r>
          </w:p>
          <w:p w14:paraId="3A81CD4D" w14:textId="77777777" w:rsidR="00762B5A" w:rsidRDefault="00762B5A" w:rsidP="00164DDE">
            <w:pPr>
              <w:pStyle w:val="ListParagraph"/>
              <w:numPr>
                <w:ilvl w:val="0"/>
                <w:numId w:val="58"/>
              </w:numPr>
              <w:tabs>
                <w:tab w:val="left" w:pos="2622"/>
                <w:tab w:val="left" w:pos="2906"/>
              </w:tabs>
              <w:cnfStyle w:val="000000100000" w:firstRow="0" w:lastRow="0" w:firstColumn="0" w:lastColumn="0" w:oddVBand="0" w:evenVBand="0" w:oddHBand="1" w:evenHBand="0" w:firstRowFirstColumn="0" w:firstRowLastColumn="0" w:lastRowFirstColumn="0" w:lastRowLastColumn="0"/>
              <w:rPr>
                <w:szCs w:val="22"/>
                <w:shd w:val="clear" w:color="auto" w:fill="FFFFFF"/>
              </w:rPr>
            </w:pPr>
            <w:r>
              <w:rPr>
                <w:szCs w:val="22"/>
                <w:shd w:val="clear" w:color="auto" w:fill="FFFFFF"/>
              </w:rPr>
              <w:t>Initiative type and approach to implementation</w:t>
            </w:r>
            <w:r>
              <w:rPr>
                <w:b/>
                <w:bCs/>
                <w:szCs w:val="22"/>
                <w:shd w:val="clear" w:color="auto" w:fill="FFFFFF"/>
              </w:rPr>
              <w:t>:</w:t>
            </w:r>
            <w:r>
              <w:rPr>
                <w:szCs w:val="22"/>
                <w:shd w:val="clear" w:color="auto" w:fill="FFFFFF"/>
              </w:rPr>
              <w:t xml:space="preserve"> DLSG was a competitive grants program. Two state and territory stakeholders expressed a view that the grants process advantaged schools with more resources who were able to dedicate resources to producing high-quality grant applications and school needs.</w:t>
            </w:r>
            <w:r>
              <w:rPr>
                <w:rStyle w:val="FootnoteReference"/>
                <w:szCs w:val="22"/>
                <w:shd w:val="clear" w:color="auto" w:fill="FFFFFF"/>
              </w:rPr>
              <w:footnoteReference w:id="62"/>
            </w:r>
            <w:r>
              <w:rPr>
                <w:szCs w:val="22"/>
                <w:shd w:val="clear" w:color="auto" w:fill="FFFFFF"/>
              </w:rPr>
              <w:t xml:space="preserve"> More detail provided on this hypothesis in the evaluation findings section below.</w:t>
            </w:r>
          </w:p>
          <w:p w14:paraId="20ADC703"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Cs w:val="22"/>
                <w:u w:val="single"/>
              </w:rPr>
            </w:pPr>
            <w:r>
              <w:rPr>
                <w:rFonts w:cs="Arial"/>
                <w:szCs w:val="22"/>
                <w:u w:val="single"/>
              </w:rPr>
              <w:t xml:space="preserve">Implementation </w:t>
            </w:r>
          </w:p>
          <w:p w14:paraId="45B86EDE"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szCs w:val="22"/>
                <w:lang w:val="en"/>
              </w:rPr>
            </w:pPr>
            <w:r>
              <w:rPr>
                <w:szCs w:val="22"/>
                <w:lang w:val="en"/>
              </w:rPr>
              <w:t xml:space="preserve">Delivery: 114 projects in total have been funded over the two rounds of the project in 2016-17 and 2017-18. While funding ended in June 2018, there will be projects being delivered until 31 July 2019. Approximately 3500 schools applied for a grant over the 2 rounds. </w:t>
            </w:r>
            <w:r>
              <w:rPr>
                <w:szCs w:val="22"/>
              </w:rPr>
              <w:t>45 Round 1 projects have been completed to date (including submitting completion reports); 9 are still in progress. 27 Round 2 projects have been completed to date; 40 are still in progress.</w:t>
            </w:r>
          </w:p>
          <w:p w14:paraId="4F821E01"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szCs w:val="22"/>
                <w:lang w:val="en"/>
              </w:rPr>
            </w:pPr>
            <w:r>
              <w:rPr>
                <w:szCs w:val="22"/>
              </w:rPr>
              <w:t>Budget: The average grant awarded was $35,085 ($36,839 round one; $33,332 round two).</w:t>
            </w:r>
          </w:p>
          <w:p w14:paraId="4DC5E0A8"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szCs w:val="22"/>
                <w:lang w:val="en"/>
              </w:rPr>
            </w:pPr>
            <w:r>
              <w:rPr>
                <w:szCs w:val="22"/>
                <w:lang w:val="en"/>
              </w:rPr>
              <w:t>Monitoring and reporting: No evaluation was conducted of the program as a whole; schools were required to complete standard acquittal form answering questions about their activities</w:t>
            </w:r>
          </w:p>
          <w:p w14:paraId="3B487422"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Outputs</w:t>
            </w:r>
          </w:p>
          <w:p w14:paraId="659C13CA"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Students reached: 34 193 school students directly benefited or participated in an initiative funded by the grants (24 704 primary school students and 9489 secondary school students) </w:t>
            </w:r>
          </w:p>
          <w:p w14:paraId="2FB02B9D"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szCs w:val="22"/>
              </w:rPr>
            </w:pPr>
            <w:r>
              <w:rPr>
                <w:szCs w:val="22"/>
              </w:rPr>
              <w:t>Schools reached: There were 54 grant recipients in round one and 60 recipients in round two</w:t>
            </w:r>
          </w:p>
          <w:p w14:paraId="1485E9D9"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States reached round 1: the largest states received the most grants in Queensland (13 schools), NSW and Victoria (11 respectively). The greatest amount of funding was directed at NSW, which was allocated over $500,000 worth of grant money; NT received funding for one project totalling $50 000. </w:t>
            </w:r>
          </w:p>
          <w:p w14:paraId="7068EC11"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States reached round 2: NSW received funding for 18 initiatives amounting to over $600,000. The next highest amount was QLD (around $350 000); the state with the next highest number of funded projects was WA (with 10 projects); ACT had 2 projects totalling around $70 000. While funding per capita or state / territory ‘size’ is one way to consider equity, there are other ways to consider equity, for example – identifying need through disadvantage or existing STEM approaches / support by state and territory. </w:t>
            </w:r>
          </w:p>
          <w:p w14:paraId="043537E6"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Main participants: As </w:t>
            </w:r>
            <w:r>
              <w:rPr>
                <w:szCs w:val="22"/>
              </w:rPr>
              <w:t>shown in</w:t>
            </w:r>
            <w:r>
              <w:t xml:space="preserve"> </w:t>
            </w:r>
            <w:r>
              <w:rPr>
                <w:szCs w:val="22"/>
              </w:rPr>
              <w:t>Figure 26,</w:t>
            </w:r>
            <w:r>
              <w:t xml:space="preserve"> </w:t>
            </w:r>
            <w:r>
              <w:rPr>
                <w:rFonts w:cs="Arial"/>
                <w:szCs w:val="22"/>
              </w:rPr>
              <w:t>the majority of project activities were directed at teachers (30%) and then students (14%)</w:t>
            </w:r>
          </w:p>
          <w:p w14:paraId="08AE1F71" w14:textId="12F4A42F"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szCs w:val="22"/>
              </w:rPr>
            </w:pPr>
            <w:r>
              <w:rPr>
                <w:szCs w:val="22"/>
              </w:rPr>
              <w:t xml:space="preserve">Project focus: As shown in </w:t>
            </w:r>
            <w:r>
              <w:fldChar w:fldCharType="begin"/>
            </w:r>
            <w:r>
              <w:rPr>
                <w:szCs w:val="22"/>
              </w:rPr>
              <w:instrText xml:space="preserve"> REF _Ref19459689 \h  \* MERGEFORMAT </w:instrText>
            </w:r>
            <w:r>
              <w:fldChar w:fldCharType="separate"/>
            </w:r>
            <w:r w:rsidR="00887DB6">
              <w:rPr>
                <w:b/>
                <w:bCs/>
                <w:lang w:val="en-US"/>
              </w:rPr>
              <w:t>Error! Reference source not found.</w:t>
            </w:r>
            <w:r>
              <w:fldChar w:fldCharType="end"/>
            </w:r>
            <w:r>
              <w:rPr>
                <w:szCs w:val="22"/>
              </w:rPr>
              <w:t xml:space="preserve">7 the main focus for projects was professional learning (22%). Other foci included resources, professional learning and resources, and networking </w:t>
            </w:r>
          </w:p>
          <w:p w14:paraId="1AF8DDF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Cs w:val="22"/>
                <w:u w:val="single"/>
              </w:rPr>
            </w:pPr>
            <w:r>
              <w:rPr>
                <w:rFonts w:cs="Arial"/>
                <w:szCs w:val="22"/>
                <w:u w:val="single"/>
              </w:rPr>
              <w:t>Impact</w:t>
            </w:r>
          </w:p>
          <w:p w14:paraId="5867EAC7" w14:textId="77777777" w:rsidR="00762B5A" w:rsidRDefault="00762B5A" w:rsidP="00164DDE">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Reports of teacher confidence and student engagement: All school grant recipients reported that the grant led to an increase in teacher confidence and student engagement and provided anecdotal evidence of this.  </w:t>
            </w:r>
          </w:p>
        </w:tc>
      </w:tr>
      <w:tr w:rsidR="00762B5A" w14:paraId="0E9B1FB1"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5848AC3" w14:textId="77777777" w:rsidR="00762B5A" w:rsidRDefault="00762B5A" w:rsidP="007E2D07">
            <w:pPr>
              <w:rPr>
                <w:rFonts w:cs="Arial"/>
                <w:szCs w:val="22"/>
              </w:rPr>
            </w:pPr>
            <w:r>
              <w:rPr>
                <w:rFonts w:cs="Arial"/>
                <w:szCs w:val="22"/>
              </w:rPr>
              <w:t>Summary of evaluation conclusions (</w:t>
            </w:r>
            <w:proofErr w:type="spellStart"/>
            <w:r>
              <w:rPr>
                <w:rFonts w:cs="Arial"/>
                <w:szCs w:val="22"/>
              </w:rPr>
              <w:t>dandolo</w:t>
            </w:r>
            <w:proofErr w:type="spellEnd"/>
            <w:r>
              <w:rPr>
                <w:rFonts w:cs="Arial"/>
                <w:szCs w:val="22"/>
              </w:rPr>
              <w:t xml:space="preserve"> comments)</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8CC0AA5" w14:textId="77777777" w:rsidR="00762B5A" w:rsidRDefault="00762B5A" w:rsidP="00164D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Digital Literacy School Grants was implemented as a response to the newly realised Australian Curriculum: Digital Technologies and was therefore timely because schools and teachers needed support with implementation</w:t>
            </w:r>
          </w:p>
          <w:p w14:paraId="56C1316F" w14:textId="77777777" w:rsidR="00762B5A" w:rsidRDefault="00762B5A" w:rsidP="00164D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The initiative reached a large number of teachers and students, although the depth of engagement by these teachers and students is unknown</w:t>
            </w:r>
          </w:p>
          <w:p w14:paraId="4C9252D4" w14:textId="77777777" w:rsidR="00762B5A" w:rsidRDefault="00762B5A" w:rsidP="00164D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According to anecdotal evidence provided by school grant recipients, the initiative led to a range of innovative projects and contributed to an increase in teacher confidence and student engagement, although the reliability of this data is uncertain because it is self-reported by grant recipients</w:t>
            </w:r>
          </w:p>
          <w:p w14:paraId="24807140" w14:textId="77777777" w:rsidR="00762B5A" w:rsidRDefault="00762B5A" w:rsidP="00164DDE">
            <w:pPr>
              <w:pStyle w:val="ListParagraph"/>
              <w:numPr>
                <w:ilvl w:val="0"/>
                <w:numId w:val="58"/>
              </w:numPr>
              <w:tabs>
                <w:tab w:val="left" w:pos="2622"/>
                <w:tab w:val="left" w:pos="2906"/>
              </w:tabs>
              <w:cnfStyle w:val="000000000000" w:firstRow="0" w:lastRow="0" w:firstColumn="0" w:lastColumn="0" w:oddVBand="0" w:evenVBand="0" w:oddHBand="0" w:evenHBand="0" w:firstRowFirstColumn="0" w:firstRowLastColumn="0" w:lastRowFirstColumn="0" w:lastRowLastColumn="0"/>
              <w:rPr>
                <w:szCs w:val="22"/>
                <w:shd w:val="clear" w:color="auto" w:fill="FFFFFF"/>
              </w:rPr>
            </w:pPr>
            <w:r>
              <w:rPr>
                <w:szCs w:val="22"/>
                <w:shd w:val="clear" w:color="auto" w:fill="FFFFFF"/>
              </w:rPr>
              <w:t>Analysis of Round 1 grants based on school ICSEA and funding reveals that more advantaged schools were slightly more likely to receive higher grants. This remains largely consistent for Round 2 grants, for example, the total funding of each grant tended to increase alongside ICSEA score.</w:t>
            </w:r>
            <w:r>
              <w:rPr>
                <w:rStyle w:val="FootnoteReference"/>
                <w:szCs w:val="22"/>
                <w:shd w:val="clear" w:color="auto" w:fill="FFFFFF"/>
              </w:rPr>
              <w:footnoteReference w:id="63"/>
            </w:r>
          </w:p>
          <w:p w14:paraId="6E855CBE" w14:textId="77777777" w:rsidR="00762B5A" w:rsidRDefault="00762B5A" w:rsidP="00164DDE">
            <w:pPr>
              <w:pStyle w:val="ListParagraph"/>
              <w:numPr>
                <w:ilvl w:val="0"/>
                <w:numId w:val="58"/>
              </w:numPr>
              <w:tabs>
                <w:tab w:val="left" w:pos="2622"/>
                <w:tab w:val="left" w:pos="2906"/>
              </w:tabs>
              <w:cnfStyle w:val="000000000000" w:firstRow="0" w:lastRow="0" w:firstColumn="0" w:lastColumn="0" w:oddVBand="0" w:evenVBand="0" w:oddHBand="0" w:evenHBand="0" w:firstRowFirstColumn="0" w:firstRowLastColumn="0" w:lastRowFirstColumn="0" w:lastRowLastColumn="0"/>
              <w:rPr>
                <w:szCs w:val="22"/>
                <w:shd w:val="clear" w:color="auto" w:fill="FFFFFF"/>
              </w:rPr>
            </w:pPr>
            <w:r>
              <w:rPr>
                <w:szCs w:val="22"/>
                <w:shd w:val="clear" w:color="auto" w:fill="FFFFFF"/>
              </w:rPr>
              <w:t xml:space="preserve">However, grants awarded as a whole tend to spread relatively evenly between a range of low to high ICSEA schools. This changes in Round 2 where there is a higher proportion of schools with lower ICSEA schools awarded grants. </w:t>
            </w:r>
          </w:p>
          <w:p w14:paraId="0D43E395" w14:textId="77777777" w:rsidR="00762B5A" w:rsidRDefault="00762B5A" w:rsidP="00164D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The largest / most populous Australian states received the most funding: QLD, NSW and Victoria, however, size does not necessarily represent need. For example, despite its population size, NT may have additional and specific needs to support underrepresented cohorts or low ICSEA schools, or some states may have stronger STEM outcomes / existing support than others.</w:t>
            </w:r>
          </w:p>
          <w:p w14:paraId="007E76AB" w14:textId="77777777" w:rsidR="00762B5A" w:rsidRDefault="00762B5A" w:rsidP="00164DDE">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While there were incentives included in the grants process to encourage scalability and sustainability, the nature of the initiative (114 grants to schools) means that the Department of Education is unlikely to be able to monitor or encourage this. This limits the impact of the grants beyond the grant period</w:t>
            </w:r>
          </w:p>
        </w:tc>
      </w:tr>
      <w:tr w:rsidR="00762B5A" w14:paraId="22C28068"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701B8B29" w14:textId="77777777" w:rsidR="00762B5A" w:rsidRDefault="00762B5A" w:rsidP="007E2D07">
            <w:pPr>
              <w:rPr>
                <w:rFonts w:cs="Arial"/>
                <w:szCs w:val="22"/>
              </w:rPr>
            </w:pPr>
            <w:r>
              <w:rPr>
                <w:rFonts w:cs="Arial"/>
                <w:szCs w:val="22"/>
              </w:rPr>
              <w:t>Limitations of the evaluation</w:t>
            </w:r>
          </w:p>
          <w:p w14:paraId="6BB6A2A2" w14:textId="77777777" w:rsidR="00762B5A" w:rsidRDefault="00762B5A" w:rsidP="007E2D07">
            <w:pPr>
              <w:rPr>
                <w:rFonts w:cs="Arial"/>
                <w:szCs w:val="22"/>
              </w:rPr>
            </w:pP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88A1750" w14:textId="77777777" w:rsidR="00762B5A" w:rsidRDefault="00762B5A" w:rsidP="00164DDE">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The variability in the types of projects that schools used their funding for makes it difficult to develop a uniform framework to assess grant recipients </w:t>
            </w:r>
          </w:p>
          <w:p w14:paraId="44AD38A5" w14:textId="77777777" w:rsidR="00762B5A" w:rsidRDefault="00762B5A" w:rsidP="00164DDE">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The evaluation largely relied on self-reported information and anecdotal evidence in acquittal forms </w:t>
            </w:r>
          </w:p>
          <w:p w14:paraId="4462F0F3" w14:textId="77777777" w:rsidR="00762B5A" w:rsidRDefault="00762B5A" w:rsidP="00164DDE">
            <w:pPr>
              <w:pStyle w:val="ListParagraph"/>
              <w:numPr>
                <w:ilvl w:val="0"/>
                <w:numId w:val="57"/>
              </w:numPr>
              <w:cnfStyle w:val="000000100000" w:firstRow="0" w:lastRow="0" w:firstColumn="0" w:lastColumn="0" w:oddVBand="0" w:evenVBand="0" w:oddHBand="1" w:evenHBand="0" w:firstRowFirstColumn="0" w:firstRowLastColumn="0" w:lastRowFirstColumn="0" w:lastRowLastColumn="0"/>
              <w:rPr>
                <w:rFonts w:cs="Arial"/>
                <w:szCs w:val="22"/>
              </w:rPr>
            </w:pPr>
            <w:proofErr w:type="spellStart"/>
            <w:r>
              <w:rPr>
                <w:rFonts w:cs="Arial"/>
                <w:szCs w:val="22"/>
              </w:rPr>
              <w:t>dandolo</w:t>
            </w:r>
            <w:proofErr w:type="spellEnd"/>
            <w:r>
              <w:rPr>
                <w:rFonts w:cs="Arial"/>
                <w:szCs w:val="22"/>
              </w:rPr>
              <w:t xml:space="preserve"> only had access to acquittal information from the first round of grants funding </w:t>
            </w:r>
          </w:p>
        </w:tc>
      </w:tr>
      <w:tr w:rsidR="00762B5A" w14:paraId="284E5171"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AC4DF5D" w14:textId="77777777" w:rsidR="00762B5A" w:rsidRDefault="00762B5A" w:rsidP="007E2D07">
            <w:pPr>
              <w:rPr>
                <w:rFonts w:cs="Arial"/>
                <w:szCs w:val="22"/>
              </w:rPr>
            </w:pPr>
            <w:r>
              <w:rPr>
                <w:rFonts w:cs="Arial"/>
                <w:szCs w:val="22"/>
              </w:rPr>
              <w:t xml:space="preserve">Challenges faced by the provider </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DB9B480"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 xml:space="preserve">Information about the challenges faced by individual schools was not collected as part of this evaluation.   </w:t>
            </w:r>
          </w:p>
        </w:tc>
      </w:tr>
      <w:tr w:rsidR="00762B5A" w14:paraId="2409D882"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F9725B4" w14:textId="77777777" w:rsidR="00762B5A" w:rsidRDefault="00762B5A" w:rsidP="007E2D07">
            <w:pPr>
              <w:rPr>
                <w:rFonts w:cs="Arial"/>
                <w:szCs w:val="22"/>
              </w:rPr>
            </w:pPr>
            <w:r>
              <w:rPr>
                <w:rFonts w:cs="Arial"/>
                <w:szCs w:val="22"/>
              </w:rPr>
              <w:t xml:space="preserve">Future plans and goals </w:t>
            </w: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48E596F"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n/a</w:t>
            </w:r>
          </w:p>
        </w:tc>
      </w:tr>
      <w:tr w:rsidR="00762B5A" w14:paraId="0F2146A3" w14:textId="77777777" w:rsidTr="007E2D07">
        <w:tc>
          <w:tcPr>
            <w:cnfStyle w:val="001000000000" w:firstRow="0" w:lastRow="0" w:firstColumn="1" w:lastColumn="0" w:oddVBand="0" w:evenVBand="0" w:oddHBand="0" w:evenHBand="0" w:firstRowFirstColumn="0" w:firstRowLastColumn="0" w:lastRowFirstColumn="0" w:lastRowLastColumn="0"/>
            <w:tcW w:w="162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28C3BD42" w14:textId="77777777" w:rsidR="00762B5A" w:rsidRDefault="00762B5A" w:rsidP="007E2D07">
            <w:pPr>
              <w:rPr>
                <w:rFonts w:cs="Arial"/>
                <w:szCs w:val="22"/>
              </w:rPr>
            </w:pPr>
            <w:r>
              <w:rPr>
                <w:rFonts w:cs="Arial"/>
                <w:szCs w:val="22"/>
              </w:rPr>
              <w:t xml:space="preserve">Sources </w:t>
            </w:r>
          </w:p>
          <w:p w14:paraId="78405222" w14:textId="77777777" w:rsidR="00762B5A" w:rsidRDefault="00762B5A" w:rsidP="007E2D07">
            <w:pPr>
              <w:rPr>
                <w:rFonts w:cs="Arial"/>
                <w:szCs w:val="22"/>
              </w:rPr>
            </w:pPr>
          </w:p>
        </w:tc>
        <w:tc>
          <w:tcPr>
            <w:tcW w:w="7446"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69BD54A" w14:textId="77777777" w:rsidR="00762B5A" w:rsidRDefault="00762B5A" w:rsidP="00164DDE">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szCs w:val="22"/>
              </w:rPr>
            </w:pPr>
            <w:r>
              <w:rPr>
                <w:rFonts w:cs="Arial"/>
                <w:szCs w:val="22"/>
              </w:rPr>
              <w:t xml:space="preserve">DET website: </w:t>
            </w:r>
            <w:hyperlink r:id="rId27" w:history="1">
              <w:r>
                <w:rPr>
                  <w:rStyle w:val="Hyperlink"/>
                  <w:szCs w:val="22"/>
                </w:rPr>
                <w:t>https://www.education.gov.au/support-science-technology-engineering-and-mathematics</w:t>
              </w:r>
            </w:hyperlink>
          </w:p>
          <w:p w14:paraId="33526A4D" w14:textId="77777777" w:rsidR="00762B5A" w:rsidRDefault="00762B5A" w:rsidP="00164DDE">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Round one successful projects: </w:t>
            </w:r>
            <w:hyperlink r:id="rId28" w:history="1">
              <w:r>
                <w:rPr>
                  <w:rStyle w:val="Hyperlink"/>
                  <w:szCs w:val="22"/>
                </w:rPr>
                <w:t>https://docs.education.gov.au/system/files/doc/other/digital_literacy_school_grants_round_1_-_successful_projects_alphabetical_order.pdf</w:t>
              </w:r>
            </w:hyperlink>
            <w:r>
              <w:rPr>
                <w:szCs w:val="22"/>
              </w:rPr>
              <w:t xml:space="preserve"> </w:t>
            </w:r>
          </w:p>
          <w:p w14:paraId="7BC4CD75" w14:textId="77777777" w:rsidR="00762B5A" w:rsidRDefault="00762B5A" w:rsidP="00164DDE">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Round two successful projects: </w:t>
            </w:r>
            <w:hyperlink r:id="rId29" w:history="1">
              <w:r>
                <w:rPr>
                  <w:rStyle w:val="Hyperlink"/>
                  <w:szCs w:val="22"/>
                </w:rPr>
                <w:t>https://docs.education.gov.au/system/files/doc/other/list_of_schools_020318.pdf</w:t>
              </w:r>
            </w:hyperlink>
            <w:r>
              <w:rPr>
                <w:szCs w:val="22"/>
              </w:rPr>
              <w:t xml:space="preserve"> </w:t>
            </w:r>
          </w:p>
          <w:p w14:paraId="480AF844" w14:textId="77777777" w:rsidR="00762B5A" w:rsidRDefault="00762B5A" w:rsidP="00164DDE">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szCs w:val="22"/>
              </w:rPr>
            </w:pPr>
            <w:r>
              <w:rPr>
                <w:szCs w:val="22"/>
              </w:rPr>
              <w:t>Acquittal forms from school grant recipients</w:t>
            </w:r>
          </w:p>
          <w:p w14:paraId="67E31ECB" w14:textId="77777777" w:rsidR="00762B5A" w:rsidRDefault="00762B5A" w:rsidP="00164DDE">
            <w:pPr>
              <w:pStyle w:val="ListParagraph"/>
              <w:numPr>
                <w:ilvl w:val="0"/>
                <w:numId w:val="55"/>
              </w:numPr>
              <w:cnfStyle w:val="000000000000" w:firstRow="0" w:lastRow="0" w:firstColumn="0" w:lastColumn="0" w:oddVBand="0" w:evenVBand="0" w:oddHBand="0" w:evenHBand="0" w:firstRowFirstColumn="0" w:firstRowLastColumn="0" w:lastRowFirstColumn="0" w:lastRowLastColumn="0"/>
              <w:rPr>
                <w:szCs w:val="22"/>
              </w:rPr>
            </w:pPr>
            <w:r>
              <w:rPr>
                <w:szCs w:val="22"/>
              </w:rPr>
              <w:t>Grant data provided by the Department of Education</w:t>
            </w:r>
          </w:p>
        </w:tc>
      </w:tr>
    </w:tbl>
    <w:p w14:paraId="0A9F9C7B" w14:textId="77777777" w:rsidR="00762B5A" w:rsidRDefault="00762B5A" w:rsidP="00762B5A">
      <w:pPr>
        <w:rPr>
          <w:rFonts w:cs="Arial"/>
          <w:b/>
          <w:bCs/>
          <w:color w:val="931B2F" w:themeColor="background2"/>
          <w:szCs w:val="22"/>
        </w:rPr>
      </w:pPr>
    </w:p>
    <w:p w14:paraId="2842D62E" w14:textId="77777777" w:rsidR="00762B5A" w:rsidRDefault="00762B5A" w:rsidP="00762B5A">
      <w:pPr>
        <w:jc w:val="center"/>
        <w:rPr>
          <w:rFonts w:cs="Arial"/>
          <w:b/>
          <w:bCs/>
          <w:color w:val="931B2F" w:themeColor="background2"/>
          <w:sz w:val="24"/>
          <w:szCs w:val="24"/>
        </w:rPr>
      </w:pPr>
    </w:p>
    <w:p w14:paraId="271F5EBB" w14:textId="77777777" w:rsidR="00762B5A" w:rsidRDefault="00762B5A" w:rsidP="00762B5A">
      <w:pPr>
        <w:spacing w:after="240" w:line="240" w:lineRule="auto"/>
        <w:rPr>
          <w:rFonts w:cs="Arial"/>
          <w:b/>
          <w:bCs/>
          <w:color w:val="931B2F" w:themeColor="background2"/>
          <w:sz w:val="24"/>
          <w:szCs w:val="24"/>
        </w:rPr>
      </w:pPr>
      <w:r>
        <w:rPr>
          <w:rFonts w:cs="Arial"/>
          <w:b/>
          <w:bCs/>
          <w:color w:val="931B2F" w:themeColor="background2"/>
          <w:sz w:val="24"/>
          <w:szCs w:val="24"/>
        </w:rPr>
        <w:br w:type="page"/>
      </w:r>
    </w:p>
    <w:p w14:paraId="7981F25D" w14:textId="77777777" w:rsidR="00762B5A" w:rsidRDefault="00762B5A" w:rsidP="00762B5A">
      <w:pPr>
        <w:jc w:val="center"/>
        <w:rPr>
          <w:rFonts w:cs="Arial"/>
          <w:b/>
          <w:bCs/>
          <w:color w:val="931B2F" w:themeColor="background2"/>
          <w:sz w:val="24"/>
          <w:szCs w:val="24"/>
        </w:rPr>
      </w:pPr>
      <w:r>
        <w:rPr>
          <w:rFonts w:cs="Arial"/>
          <w:b/>
          <w:bCs/>
          <w:color w:val="931B2F" w:themeColor="background2"/>
          <w:sz w:val="24"/>
          <w:szCs w:val="24"/>
        </w:rPr>
        <w:t>Breakdown of Round One Digital Literacy School Grants Projects</w:t>
      </w:r>
    </w:p>
    <w:p w14:paraId="093BD01A" w14:textId="77777777" w:rsidR="00762B5A" w:rsidRDefault="00762B5A" w:rsidP="00762B5A">
      <w:pPr>
        <w:pStyle w:val="Caption"/>
        <w:keepNext/>
        <w:spacing w:before="0" w:after="120" w:line="360" w:lineRule="auto"/>
        <w:rPr>
          <w:b w:val="0"/>
          <w:bCs/>
          <w:color w:val="A6A6A6" w:themeColor="background1" w:themeShade="A6"/>
          <w:szCs w:val="22"/>
        </w:rPr>
      </w:pPr>
      <w:r>
        <w:rPr>
          <w:b w:val="0"/>
          <w:bCs/>
          <w:color w:val="A6A6A6" w:themeColor="background1" w:themeShade="A6"/>
          <w:szCs w:val="22"/>
        </w:rPr>
        <w:t>Figure 25. Breakdown by state</w:t>
      </w:r>
    </w:p>
    <w:p w14:paraId="56AB21BA" w14:textId="77777777" w:rsidR="00762B5A" w:rsidRDefault="00762B5A" w:rsidP="00762B5A">
      <w:pPr>
        <w:rPr>
          <w:rFonts w:cs="Arial"/>
          <w:b/>
          <w:bCs/>
        </w:rPr>
      </w:pPr>
      <w:r>
        <w:rPr>
          <w:noProof/>
          <w:color w:val="FFFFFF" w:themeColor="background1"/>
          <w:lang w:eastAsia="en-AU"/>
        </w:rPr>
        <w:drawing>
          <wp:inline distT="0" distB="0" distL="0" distR="0" wp14:anchorId="4A4ADC05" wp14:editId="01DBAC23">
            <wp:extent cx="5857875" cy="2085975"/>
            <wp:effectExtent l="0" t="0" r="0" b="0"/>
            <wp:docPr id="13" name="Chart 13" descr="Figure 25">
              <a:extLst xmlns:a="http://schemas.openxmlformats.org/drawingml/2006/main">
                <a:ext uri="{FF2B5EF4-FFF2-40B4-BE49-F238E27FC236}">
                  <a16:creationId xmlns:a16="http://schemas.microsoft.com/office/drawing/2014/main" id="{D2E59DAB-73DF-8C4D-934F-5F48A42431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39C3D1" w14:textId="21725BF3" w:rsidR="00762B5A" w:rsidRDefault="00762B5A" w:rsidP="00762B5A">
      <w:pPr>
        <w:pStyle w:val="Caption"/>
        <w:keepNext/>
        <w:spacing w:before="0" w:after="120" w:line="360" w:lineRule="auto"/>
        <w:rPr>
          <w:b w:val="0"/>
          <w:bCs/>
          <w:color w:val="A6A6A6" w:themeColor="background1" w:themeShade="A6"/>
          <w:szCs w:val="22"/>
        </w:rPr>
      </w:pPr>
      <w:r>
        <w:rPr>
          <w:b w:val="0"/>
          <w:bCs/>
          <w:color w:val="A6A6A6" w:themeColor="background1" w:themeShade="A6"/>
          <w:szCs w:val="22"/>
        </w:rPr>
        <w:t xml:space="preserve">Figure </w:t>
      </w:r>
      <w:r>
        <w:fldChar w:fldCharType="begin"/>
      </w:r>
      <w:r>
        <w:rPr>
          <w:b w:val="0"/>
          <w:bCs/>
          <w:color w:val="A6A6A6" w:themeColor="background1" w:themeShade="A6"/>
          <w:szCs w:val="22"/>
        </w:rPr>
        <w:instrText xml:space="preserve"> SEQ Figure \* ARABIC </w:instrText>
      </w:r>
      <w:r>
        <w:fldChar w:fldCharType="separate"/>
      </w:r>
      <w:r w:rsidR="00887DB6">
        <w:rPr>
          <w:b w:val="0"/>
          <w:bCs/>
          <w:noProof/>
          <w:color w:val="A6A6A6" w:themeColor="background1" w:themeShade="A6"/>
          <w:szCs w:val="22"/>
        </w:rPr>
        <w:t>2</w:t>
      </w:r>
      <w:r>
        <w:fldChar w:fldCharType="end"/>
      </w:r>
      <w:r>
        <w:rPr>
          <w:b w:val="0"/>
          <w:bCs/>
          <w:color w:val="A6A6A6" w:themeColor="background1" w:themeShade="A6"/>
          <w:szCs w:val="22"/>
        </w:rPr>
        <w:t>6. Breakdown by target participant of project</w:t>
      </w:r>
    </w:p>
    <w:p w14:paraId="091A34AC" w14:textId="77777777" w:rsidR="00762B5A" w:rsidRDefault="00762B5A" w:rsidP="00762B5A">
      <w:pPr>
        <w:rPr>
          <w:rFonts w:cs="Arial"/>
          <w:b/>
        </w:rPr>
      </w:pPr>
      <w:r>
        <w:rPr>
          <w:noProof/>
          <w:lang w:eastAsia="en-AU"/>
        </w:rPr>
        <w:drawing>
          <wp:inline distT="0" distB="0" distL="0" distR="0" wp14:anchorId="2F13C5D2" wp14:editId="0EE782EA">
            <wp:extent cx="5857875" cy="2085975"/>
            <wp:effectExtent l="0" t="0" r="0" b="0"/>
            <wp:docPr id="6" name="Chart 6" descr="Figure 26">
              <a:extLst xmlns:a="http://schemas.openxmlformats.org/drawingml/2006/main">
                <a:ext uri="{FF2B5EF4-FFF2-40B4-BE49-F238E27FC236}">
                  <a16:creationId xmlns:a16="http://schemas.microsoft.com/office/drawing/2014/main" id="{6294BAF8-1BAE-BC45-96C9-3BBC9A8F0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D6354D2" w14:textId="77777777" w:rsidR="00762B5A" w:rsidRDefault="00762B5A" w:rsidP="00762B5A">
      <w:pPr>
        <w:rPr>
          <w:rFonts w:cs="Arial"/>
          <w:color w:val="8C8686" w:themeColor="accent4"/>
          <w:szCs w:val="22"/>
        </w:rPr>
      </w:pPr>
      <w:r>
        <w:rPr>
          <w:rFonts w:cs="Arial"/>
          <w:color w:val="8C8686" w:themeColor="accent4"/>
          <w:szCs w:val="22"/>
        </w:rPr>
        <w:t>Figure 27. Breakdown by Project Focus</w:t>
      </w:r>
    </w:p>
    <w:p w14:paraId="76B9C7D0" w14:textId="77777777" w:rsidR="00762B5A" w:rsidRPr="003B4C2F" w:rsidRDefault="00762B5A" w:rsidP="00762B5A">
      <w:pPr>
        <w:rPr>
          <w:rFonts w:cs="Arial"/>
          <w:b/>
          <w:bCs/>
          <w:sz w:val="36"/>
          <w:szCs w:val="36"/>
        </w:rPr>
      </w:pPr>
      <w:r>
        <w:rPr>
          <w:noProof/>
          <w:lang w:eastAsia="en-AU"/>
        </w:rPr>
        <w:drawing>
          <wp:inline distT="0" distB="0" distL="0" distR="0" wp14:anchorId="149C8536" wp14:editId="2F704B4C">
            <wp:extent cx="5857875" cy="1971675"/>
            <wp:effectExtent l="0" t="0" r="0" b="0"/>
            <wp:docPr id="2" name="Chart 2" descr="Figure 27">
              <a:extLst xmlns:a="http://schemas.openxmlformats.org/drawingml/2006/main">
                <a:ext uri="{FF2B5EF4-FFF2-40B4-BE49-F238E27FC236}">
                  <a16:creationId xmlns:a16="http://schemas.microsoft.com/office/drawing/2014/main" id="{BAEACE45-1BF1-3440-AA53-4920D85E8F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0337A5C" w14:textId="77777777" w:rsidR="00762B5A" w:rsidRDefault="00762B5A" w:rsidP="00762B5A">
      <w:pPr>
        <w:rPr>
          <w:color w:val="931B2F" w:themeColor="accent1"/>
        </w:rPr>
      </w:pPr>
      <w:r>
        <w:rPr>
          <w:rFonts w:cs="Arial"/>
          <w:b/>
          <w:bCs/>
          <w:color w:val="931B2F" w:themeColor="accent1"/>
          <w:sz w:val="36"/>
          <w:szCs w:val="36"/>
        </w:rPr>
        <w:t xml:space="preserve">Australian Digital Technologies Challenges </w:t>
      </w:r>
    </w:p>
    <w:tbl>
      <w:tblPr>
        <w:tblStyle w:val="BoxGrid-Coloured"/>
        <w:tblW w:w="0" w:type="auto"/>
        <w:tblLook w:val="04A0" w:firstRow="1" w:lastRow="0" w:firstColumn="1" w:lastColumn="0" w:noHBand="0" w:noVBand="1"/>
      </w:tblPr>
      <w:tblGrid>
        <w:gridCol w:w="2774"/>
        <w:gridCol w:w="6277"/>
      </w:tblGrid>
      <w:tr w:rsidR="00762B5A" w14:paraId="3C19210D"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EA08BE"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5E3B62" w14:textId="77777777" w:rsidR="00762B5A" w:rsidRDefault="00762B5A" w:rsidP="007E2D07">
            <w:pPr>
              <w:rPr>
                <w:szCs w:val="22"/>
              </w:rPr>
            </w:pPr>
            <w:r>
              <w:rPr>
                <w:szCs w:val="22"/>
              </w:rPr>
              <w:t xml:space="preserve">Australian Computing Academy at The University of Sydney </w:t>
            </w:r>
          </w:p>
        </w:tc>
      </w:tr>
      <w:tr w:rsidR="00762B5A" w14:paraId="71D0D23A"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B15D2A1"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F3E3B55" w14:textId="77777777" w:rsidR="00762B5A" w:rsidRDefault="00762B5A" w:rsidP="007E2D07">
            <w:pPr>
              <w:rPr>
                <w:szCs w:val="22"/>
              </w:rPr>
            </w:pPr>
            <w:r>
              <w:rPr>
                <w:szCs w:val="22"/>
              </w:rPr>
              <w:t>Australian Digital Technologies Challenges are a series of free online teaching and learning activities including coding, algorithms, data representation and interpretation. They are freely available to all Australian students in years 3 to 12. </w:t>
            </w:r>
          </w:p>
          <w:p w14:paraId="11772BB6" w14:textId="77777777" w:rsidR="00762B5A" w:rsidRDefault="00762B5A" w:rsidP="007E2D07">
            <w:pPr>
              <w:rPr>
                <w:szCs w:val="22"/>
              </w:rPr>
            </w:pPr>
            <w:r>
              <w:rPr>
                <w:szCs w:val="22"/>
              </w:rPr>
              <w:t>The activities are a mix of mini Digital Technology Challenges (part of Dive into Code (</w:t>
            </w:r>
            <w:proofErr w:type="spellStart"/>
            <w:r>
              <w:rPr>
                <w:szCs w:val="22"/>
              </w:rPr>
              <w:t>DiC</w:t>
            </w:r>
            <w:proofErr w:type="spellEnd"/>
            <w:r>
              <w:rPr>
                <w:szCs w:val="22"/>
              </w:rPr>
              <w:t xml:space="preserve">)), which introduce simple coding concepts for students and provide 1-2 weeks of lesson activities, and full Digital Technology Challenges that provide 4-5 weeks of lesson activities. </w:t>
            </w:r>
          </w:p>
          <w:p w14:paraId="23D49419" w14:textId="77777777" w:rsidR="00762B5A" w:rsidRDefault="00762B5A" w:rsidP="007E2D07">
            <w:pPr>
              <w:rPr>
                <w:szCs w:val="22"/>
              </w:rPr>
            </w:pPr>
            <w:r>
              <w:rPr>
                <w:szCs w:val="22"/>
              </w:rPr>
              <w:t xml:space="preserve">The resources teach scratch, </w:t>
            </w:r>
            <w:proofErr w:type="spellStart"/>
            <w:r>
              <w:rPr>
                <w:szCs w:val="22"/>
              </w:rPr>
              <w:t>Blockly</w:t>
            </w:r>
            <w:proofErr w:type="spellEnd"/>
            <w:r>
              <w:rPr>
                <w:szCs w:val="22"/>
              </w:rPr>
              <w:t xml:space="preserve">, Python, </w:t>
            </w:r>
            <w:proofErr w:type="spellStart"/>
            <w:r>
              <w:rPr>
                <w:szCs w:val="22"/>
              </w:rPr>
              <w:t>Javascript</w:t>
            </w:r>
            <w:proofErr w:type="spellEnd"/>
            <w:r>
              <w:rPr>
                <w:szCs w:val="22"/>
              </w:rPr>
              <w:t xml:space="preserve">, Arduino and </w:t>
            </w:r>
            <w:proofErr w:type="spellStart"/>
            <w:r>
              <w:rPr>
                <w:szCs w:val="22"/>
              </w:rPr>
              <w:t>Microbit</w:t>
            </w:r>
            <w:proofErr w:type="spellEnd"/>
            <w:r>
              <w:rPr>
                <w:szCs w:val="22"/>
              </w:rPr>
              <w:t xml:space="preserve">. The online challenges provide automated marking and a teacher dashboard. </w:t>
            </w:r>
          </w:p>
          <w:p w14:paraId="2D4258A7" w14:textId="77777777" w:rsidR="00762B5A" w:rsidRDefault="00762B5A" w:rsidP="007E2D07">
            <w:pPr>
              <w:rPr>
                <w:szCs w:val="22"/>
              </w:rPr>
            </w:pPr>
            <w:proofErr w:type="spellStart"/>
            <w:r>
              <w:rPr>
                <w:szCs w:val="22"/>
              </w:rPr>
              <w:t>DiC</w:t>
            </w:r>
            <w:proofErr w:type="spellEnd"/>
            <w:r>
              <w:rPr>
                <w:szCs w:val="22"/>
              </w:rPr>
              <w:t xml:space="preserve"> is part of the Australian Digital Technologies Challenges initiative, which aims to introduce simple coding concepts to students and support teachers implementing the coding aspect of Digital Technologies. </w:t>
            </w:r>
          </w:p>
          <w:p w14:paraId="654FC2C7" w14:textId="77777777" w:rsidR="00762B5A" w:rsidRDefault="00762B5A" w:rsidP="007E2D07">
            <w:pPr>
              <w:rPr>
                <w:rFonts w:eastAsia="Times New Roman"/>
                <w:szCs w:val="22"/>
                <w:u w:val="single"/>
              </w:rPr>
            </w:pPr>
            <w:r>
              <w:rPr>
                <w:rFonts w:eastAsia="Times New Roman"/>
                <w:szCs w:val="22"/>
                <w:u w:val="single"/>
              </w:rPr>
              <w:t>Objectives</w:t>
            </w:r>
          </w:p>
          <w:p w14:paraId="3FF02A67" w14:textId="77777777" w:rsidR="00762B5A" w:rsidRDefault="00762B5A" w:rsidP="00164DDE">
            <w:pPr>
              <w:pStyle w:val="ListParagraph"/>
              <w:numPr>
                <w:ilvl w:val="0"/>
                <w:numId w:val="63"/>
              </w:numPr>
              <w:rPr>
                <w:rFonts w:eastAsia="Times New Roman"/>
                <w:szCs w:val="22"/>
              </w:rPr>
            </w:pPr>
            <w:r>
              <w:rPr>
                <w:rFonts w:eastAsia="Times New Roman"/>
                <w:szCs w:val="22"/>
              </w:rPr>
              <w:t>Support student learning in the Australian Curriculum Digital Technologies by providing fun computing challenges that are aligned with the curriculum</w:t>
            </w:r>
          </w:p>
          <w:p w14:paraId="7B9790A6" w14:textId="77777777" w:rsidR="00762B5A" w:rsidRDefault="00762B5A" w:rsidP="00164DDE">
            <w:pPr>
              <w:pStyle w:val="ListParagraph"/>
              <w:numPr>
                <w:ilvl w:val="0"/>
                <w:numId w:val="63"/>
              </w:numPr>
              <w:rPr>
                <w:rFonts w:eastAsia="Times New Roman"/>
                <w:szCs w:val="22"/>
              </w:rPr>
            </w:pPr>
            <w:r>
              <w:rPr>
                <w:rFonts w:eastAsia="Times New Roman"/>
                <w:szCs w:val="22"/>
              </w:rPr>
              <w:t>Provide teachers with computing challenge activities with professional learning and lesson plans that are aligned to the Australian Curriculum: Digital Technologies to support them in their own learning and teaching of ICT</w:t>
            </w:r>
          </w:p>
          <w:p w14:paraId="00952B57" w14:textId="77777777" w:rsidR="00762B5A" w:rsidRDefault="00762B5A" w:rsidP="00164DDE">
            <w:pPr>
              <w:pStyle w:val="ListParagraph"/>
              <w:numPr>
                <w:ilvl w:val="0"/>
                <w:numId w:val="63"/>
              </w:numPr>
              <w:rPr>
                <w:rFonts w:eastAsia="Times New Roman"/>
                <w:szCs w:val="22"/>
              </w:rPr>
            </w:pPr>
            <w:r>
              <w:rPr>
                <w:rFonts w:eastAsia="Times New Roman"/>
                <w:szCs w:val="22"/>
              </w:rPr>
              <w:t>Increase student access to and participation in ICT learning across Australia</w:t>
            </w:r>
          </w:p>
          <w:p w14:paraId="75AC65F8" w14:textId="77777777" w:rsidR="00762B5A" w:rsidRDefault="00762B5A" w:rsidP="00164DDE">
            <w:pPr>
              <w:pStyle w:val="ListParagraph"/>
              <w:numPr>
                <w:ilvl w:val="0"/>
                <w:numId w:val="63"/>
              </w:numPr>
              <w:rPr>
                <w:szCs w:val="22"/>
              </w:rPr>
            </w:pPr>
            <w:r>
              <w:rPr>
                <w:szCs w:val="22"/>
              </w:rPr>
              <w:t>The initiative also includes one and two-day professional learning workshops to primary and secondary teachers across Australia</w:t>
            </w:r>
          </w:p>
        </w:tc>
      </w:tr>
      <w:tr w:rsidR="00762B5A" w14:paraId="51858EA8"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31DFF77"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0DE76EF" w14:textId="77777777" w:rsidR="00762B5A" w:rsidRDefault="00762B5A" w:rsidP="007E2D07">
            <w:pPr>
              <w:rPr>
                <w:szCs w:val="22"/>
              </w:rPr>
            </w:pPr>
            <w:r>
              <w:rPr>
                <w:szCs w:val="22"/>
              </w:rPr>
              <w:t xml:space="preserve">Teachers; students  </w:t>
            </w:r>
          </w:p>
        </w:tc>
      </w:tr>
      <w:tr w:rsidR="00762B5A" w14:paraId="6484C724"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BBEA916"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C69739B" w14:textId="77777777" w:rsidR="00762B5A" w:rsidRDefault="00762B5A" w:rsidP="007E2D07">
            <w:r>
              <w:rPr>
                <w:szCs w:val="22"/>
              </w:rPr>
              <w:t xml:space="preserve">NISA funding for Australian Digital Technologies Challenges including Dive into Code is $9,100 000 (exclusive of GST) for the 2016-2019.  </w:t>
            </w:r>
          </w:p>
        </w:tc>
      </w:tr>
      <w:tr w:rsidR="00762B5A" w14:paraId="42F6E333" w14:textId="77777777" w:rsidTr="007E2D07">
        <w:trPr>
          <w:trHeight w:val="972"/>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4D89501"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3D93AE8" w14:textId="77777777" w:rsidR="00762B5A" w:rsidRDefault="00762B5A" w:rsidP="00164DDE">
            <w:pPr>
              <w:pStyle w:val="ListParagraph"/>
              <w:numPr>
                <w:ilvl w:val="0"/>
                <w:numId w:val="64"/>
              </w:numPr>
              <w:ind w:left="360"/>
              <w:rPr>
                <w:szCs w:val="22"/>
              </w:rPr>
            </w:pPr>
            <w:r>
              <w:rPr>
                <w:szCs w:val="22"/>
              </w:rPr>
              <w:t xml:space="preserve">Beyond </w:t>
            </w:r>
            <w:proofErr w:type="spellStart"/>
            <w:r>
              <w:rPr>
                <w:szCs w:val="22"/>
              </w:rPr>
              <w:t>dandolo’s</w:t>
            </w:r>
            <w:proofErr w:type="spellEnd"/>
            <w:r>
              <w:rPr>
                <w:szCs w:val="22"/>
              </w:rPr>
              <w:t xml:space="preserve"> evaluation, no external evaluation has been completed. However, ACA has designed a framework for an evaluation that will be completed in collaboration with an external evaluator, funded via Australian Government project funding. A final evaluation report is expected in 2020</w:t>
            </w:r>
          </w:p>
          <w:p w14:paraId="0FB58D35" w14:textId="77777777" w:rsidR="00762B5A" w:rsidRDefault="00762B5A" w:rsidP="00164DDE">
            <w:pPr>
              <w:pStyle w:val="ListParagraph"/>
              <w:numPr>
                <w:ilvl w:val="0"/>
                <w:numId w:val="64"/>
              </w:numPr>
              <w:ind w:left="360"/>
              <w:rPr>
                <w:szCs w:val="22"/>
              </w:rPr>
            </w:pPr>
            <w:r>
              <w:rPr>
                <w:szCs w:val="22"/>
              </w:rPr>
              <w:t xml:space="preserve">Internal evaluation activities have been undertaken by the provider </w:t>
            </w:r>
          </w:p>
        </w:tc>
      </w:tr>
      <w:tr w:rsidR="00762B5A" w14:paraId="1FD2FB4E"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476F72B" w14:textId="77777777" w:rsidR="00762B5A" w:rsidRPr="00EB7212" w:rsidRDefault="00762B5A" w:rsidP="007E2D07">
            <w:pPr>
              <w:rPr>
                <w:b/>
                <w:bCs/>
                <w:szCs w:val="22"/>
              </w:rPr>
            </w:pPr>
            <w:r w:rsidRPr="00EB7212">
              <w:rPr>
                <w:b/>
                <w:bCs/>
                <w:szCs w:val="22"/>
              </w:rPr>
              <w:t xml:space="preserve">Evaluation purpose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2F4E5B8" w14:textId="77777777" w:rsidR="00762B5A" w:rsidRDefault="00762B5A" w:rsidP="00164DDE">
            <w:pPr>
              <w:pStyle w:val="ListParagraph"/>
              <w:numPr>
                <w:ilvl w:val="0"/>
                <w:numId w:val="65"/>
              </w:numPr>
              <w:rPr>
                <w:szCs w:val="22"/>
              </w:rPr>
            </w:pPr>
            <w:r>
              <w:rPr>
                <w:szCs w:val="22"/>
              </w:rPr>
              <w:t>The external evaluation will examine the design and implementation of the whole program, including measuring the impact on teacher capacity, students and schools, governance, development and delivery of the program and the value for money/cost effectiveness of the program</w:t>
            </w:r>
          </w:p>
          <w:p w14:paraId="781D870D" w14:textId="77777777" w:rsidR="00762B5A" w:rsidRDefault="00762B5A" w:rsidP="00164DDE">
            <w:pPr>
              <w:pStyle w:val="ListParagraph"/>
              <w:numPr>
                <w:ilvl w:val="0"/>
                <w:numId w:val="65"/>
              </w:numPr>
              <w:rPr>
                <w:szCs w:val="22"/>
              </w:rPr>
            </w:pPr>
            <w:r>
              <w:rPr>
                <w:szCs w:val="22"/>
              </w:rPr>
              <w:t>The purpose of internal evaluation activity is to ascertain the usefulness of the challenges, their implementation and the main issues teachers face on the way to help students to engage with DT courses. This is informing continual refinement of the program and resources as it progresses.</w:t>
            </w:r>
          </w:p>
        </w:tc>
      </w:tr>
      <w:tr w:rsidR="00762B5A" w14:paraId="306C51E3" w14:textId="77777777" w:rsidTr="007E2D07">
        <w:trPr>
          <w:trHeight w:val="345"/>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FFA34B" w14:textId="77777777" w:rsidR="00762B5A" w:rsidRPr="00EB7212" w:rsidRDefault="00762B5A" w:rsidP="007E2D07">
            <w:pPr>
              <w:rPr>
                <w:b/>
                <w:bCs/>
                <w:szCs w:val="22"/>
              </w:rPr>
            </w:pPr>
            <w:r w:rsidRPr="00EB7212">
              <w:rPr>
                <w:b/>
                <w:bCs/>
                <w:szCs w:val="22"/>
              </w:rPr>
              <w:t xml:space="preserve">Evaluation framework / methodology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9286AC9" w14:textId="77777777" w:rsidR="00762B5A" w:rsidRPr="003F6AC8" w:rsidRDefault="00762B5A" w:rsidP="007E2D07">
            <w:pPr>
              <w:ind w:left="360" w:hanging="360"/>
              <w:rPr>
                <w:szCs w:val="22"/>
                <w:u w:val="single"/>
              </w:rPr>
            </w:pPr>
            <w:r w:rsidRPr="003F6AC8">
              <w:rPr>
                <w:szCs w:val="22"/>
                <w:u w:val="single"/>
              </w:rPr>
              <w:t>Evaluation framework</w:t>
            </w:r>
          </w:p>
          <w:p w14:paraId="3E956248" w14:textId="77777777" w:rsidR="00762B5A" w:rsidRDefault="00762B5A" w:rsidP="00164DDE">
            <w:pPr>
              <w:pStyle w:val="ListParagraph"/>
              <w:numPr>
                <w:ilvl w:val="0"/>
                <w:numId w:val="184"/>
              </w:numPr>
              <w:rPr>
                <w:szCs w:val="22"/>
              </w:rPr>
            </w:pPr>
            <w:r>
              <w:rPr>
                <w:szCs w:val="22"/>
              </w:rPr>
              <w:t>Overarching questions for the evaluation are:</w:t>
            </w:r>
          </w:p>
          <w:p w14:paraId="03E84604" w14:textId="77777777" w:rsidR="00762B5A" w:rsidRDefault="00762B5A" w:rsidP="00164DDE">
            <w:pPr>
              <w:pStyle w:val="ListParagraph"/>
              <w:numPr>
                <w:ilvl w:val="1"/>
                <w:numId w:val="184"/>
              </w:numPr>
              <w:rPr>
                <w:szCs w:val="22"/>
              </w:rPr>
            </w:pPr>
            <w:r>
              <w:rPr>
                <w:szCs w:val="22"/>
              </w:rPr>
              <w:t>Appropriateness</w:t>
            </w:r>
          </w:p>
          <w:p w14:paraId="00D2C37A" w14:textId="77777777" w:rsidR="00762B5A" w:rsidRDefault="00762B5A" w:rsidP="00164DDE">
            <w:pPr>
              <w:pStyle w:val="ListParagraph"/>
              <w:numPr>
                <w:ilvl w:val="1"/>
                <w:numId w:val="184"/>
              </w:numPr>
              <w:rPr>
                <w:szCs w:val="22"/>
              </w:rPr>
            </w:pPr>
            <w:r>
              <w:rPr>
                <w:szCs w:val="22"/>
              </w:rPr>
              <w:t>Effectiveness</w:t>
            </w:r>
          </w:p>
          <w:p w14:paraId="30A1BF64" w14:textId="77777777" w:rsidR="00762B5A" w:rsidRDefault="00762B5A" w:rsidP="00164DDE">
            <w:pPr>
              <w:pStyle w:val="ListParagraph"/>
              <w:numPr>
                <w:ilvl w:val="1"/>
                <w:numId w:val="184"/>
              </w:numPr>
              <w:rPr>
                <w:szCs w:val="22"/>
              </w:rPr>
            </w:pPr>
            <w:r>
              <w:rPr>
                <w:szCs w:val="22"/>
              </w:rPr>
              <w:t>Efficiency</w:t>
            </w:r>
          </w:p>
          <w:p w14:paraId="48382F47" w14:textId="77777777" w:rsidR="00762B5A" w:rsidRDefault="00762B5A" w:rsidP="00164DDE">
            <w:pPr>
              <w:pStyle w:val="ListParagraph"/>
              <w:numPr>
                <w:ilvl w:val="1"/>
                <w:numId w:val="184"/>
              </w:numPr>
              <w:rPr>
                <w:szCs w:val="22"/>
              </w:rPr>
            </w:pPr>
            <w:r>
              <w:rPr>
                <w:szCs w:val="22"/>
              </w:rPr>
              <w:t xml:space="preserve">Governance </w:t>
            </w:r>
          </w:p>
          <w:p w14:paraId="2E7A94DE" w14:textId="77777777" w:rsidR="00762B5A" w:rsidRDefault="00762B5A" w:rsidP="00164DDE">
            <w:pPr>
              <w:pStyle w:val="ListParagraph"/>
              <w:numPr>
                <w:ilvl w:val="0"/>
                <w:numId w:val="184"/>
              </w:numPr>
              <w:rPr>
                <w:szCs w:val="22"/>
              </w:rPr>
            </w:pPr>
            <w:r>
              <w:rPr>
                <w:szCs w:val="22"/>
              </w:rPr>
              <w:t xml:space="preserve">Design and implementation considerations </w:t>
            </w:r>
          </w:p>
          <w:p w14:paraId="2FADD12E" w14:textId="77777777" w:rsidR="00762B5A" w:rsidRDefault="00762B5A" w:rsidP="00164DDE">
            <w:pPr>
              <w:pStyle w:val="ListParagraph"/>
              <w:numPr>
                <w:ilvl w:val="0"/>
                <w:numId w:val="184"/>
              </w:numPr>
              <w:rPr>
                <w:szCs w:val="22"/>
              </w:rPr>
            </w:pPr>
            <w:r>
              <w:rPr>
                <w:szCs w:val="22"/>
              </w:rPr>
              <w:t>Outputs</w:t>
            </w:r>
          </w:p>
          <w:p w14:paraId="3A3EA4F5" w14:textId="77777777" w:rsidR="00762B5A" w:rsidRDefault="00762B5A" w:rsidP="00164DDE">
            <w:pPr>
              <w:pStyle w:val="ListParagraph"/>
              <w:numPr>
                <w:ilvl w:val="0"/>
                <w:numId w:val="184"/>
              </w:numPr>
              <w:rPr>
                <w:szCs w:val="22"/>
              </w:rPr>
            </w:pPr>
            <w:r>
              <w:rPr>
                <w:szCs w:val="22"/>
              </w:rPr>
              <w:t xml:space="preserve">Impact of Project deliverables (Challenges, </w:t>
            </w:r>
            <w:proofErr w:type="spellStart"/>
            <w:r>
              <w:rPr>
                <w:szCs w:val="22"/>
              </w:rPr>
              <w:t>DiC</w:t>
            </w:r>
            <w:proofErr w:type="spellEnd"/>
            <w:r>
              <w:rPr>
                <w:szCs w:val="22"/>
              </w:rPr>
              <w:t xml:space="preserve"> activities and PD workshops) against project objectives, including: </w:t>
            </w:r>
          </w:p>
          <w:p w14:paraId="104B1D47" w14:textId="77777777" w:rsidR="00762B5A" w:rsidRDefault="00762B5A" w:rsidP="00164DDE">
            <w:pPr>
              <w:pStyle w:val="ListParagraph"/>
              <w:numPr>
                <w:ilvl w:val="1"/>
                <w:numId w:val="184"/>
              </w:numPr>
              <w:rPr>
                <w:szCs w:val="22"/>
              </w:rPr>
            </w:pPr>
            <w:r>
              <w:rPr>
                <w:szCs w:val="22"/>
              </w:rPr>
              <w:t>Quality and effectiveness as judged by teachers</w:t>
            </w:r>
          </w:p>
          <w:p w14:paraId="2CAEF134" w14:textId="77777777" w:rsidR="00762B5A" w:rsidRDefault="00762B5A" w:rsidP="00164DDE">
            <w:pPr>
              <w:pStyle w:val="ListParagraph"/>
              <w:numPr>
                <w:ilvl w:val="1"/>
                <w:numId w:val="184"/>
              </w:numPr>
              <w:rPr>
                <w:szCs w:val="22"/>
              </w:rPr>
            </w:pPr>
            <w:r>
              <w:rPr>
                <w:szCs w:val="22"/>
              </w:rPr>
              <w:t xml:space="preserve">Use of the Challenges and </w:t>
            </w:r>
            <w:proofErr w:type="spellStart"/>
            <w:r>
              <w:rPr>
                <w:szCs w:val="22"/>
              </w:rPr>
              <w:t>DiC</w:t>
            </w:r>
            <w:proofErr w:type="spellEnd"/>
            <w:r>
              <w:rPr>
                <w:szCs w:val="22"/>
              </w:rPr>
              <w:t xml:space="preserve"> activities by students and teachers</w:t>
            </w:r>
          </w:p>
          <w:p w14:paraId="4E682B83" w14:textId="77777777" w:rsidR="00762B5A" w:rsidRDefault="00762B5A" w:rsidP="00164DDE">
            <w:pPr>
              <w:pStyle w:val="ListParagraph"/>
              <w:numPr>
                <w:ilvl w:val="1"/>
                <w:numId w:val="184"/>
              </w:numPr>
              <w:rPr>
                <w:szCs w:val="22"/>
              </w:rPr>
            </w:pPr>
            <w:r>
              <w:rPr>
                <w:szCs w:val="22"/>
              </w:rPr>
              <w:t>Increased expertise and confidence of teachers to deliver the DT curriculum</w:t>
            </w:r>
          </w:p>
          <w:p w14:paraId="0D5A0F58" w14:textId="77777777" w:rsidR="00762B5A" w:rsidRPr="003F6AC8" w:rsidRDefault="00762B5A" w:rsidP="007E2D07">
            <w:pPr>
              <w:ind w:left="360" w:hanging="360"/>
              <w:rPr>
                <w:szCs w:val="22"/>
                <w:u w:val="single"/>
              </w:rPr>
            </w:pPr>
            <w:r w:rsidRPr="003F6AC8">
              <w:rPr>
                <w:szCs w:val="22"/>
                <w:u w:val="single"/>
              </w:rPr>
              <w:t>Methodology</w:t>
            </w:r>
          </w:p>
          <w:p w14:paraId="530B52C6" w14:textId="77777777" w:rsidR="00762B5A" w:rsidRDefault="00762B5A" w:rsidP="007E2D07">
            <w:pPr>
              <w:rPr>
                <w:szCs w:val="22"/>
              </w:rPr>
            </w:pPr>
            <w:r>
              <w:rPr>
                <w:szCs w:val="22"/>
              </w:rPr>
              <w:t>Gathering and analysing a combination of existing quantitative and qualitative data:</w:t>
            </w:r>
          </w:p>
          <w:p w14:paraId="74734B6C" w14:textId="77777777" w:rsidR="00762B5A" w:rsidRDefault="00762B5A" w:rsidP="00164DDE">
            <w:pPr>
              <w:pStyle w:val="ListParagraph"/>
              <w:numPr>
                <w:ilvl w:val="0"/>
                <w:numId w:val="184"/>
              </w:numPr>
              <w:rPr>
                <w:szCs w:val="22"/>
              </w:rPr>
            </w:pPr>
            <w:r>
              <w:rPr>
                <w:szCs w:val="22"/>
              </w:rPr>
              <w:t>Data analysis, e.g. based on Grok System, data from Eventbrite / ASANA</w:t>
            </w:r>
          </w:p>
          <w:p w14:paraId="062151BE" w14:textId="77777777" w:rsidR="00762B5A" w:rsidRDefault="00762B5A" w:rsidP="00164DDE">
            <w:pPr>
              <w:pStyle w:val="ListParagraph"/>
              <w:numPr>
                <w:ilvl w:val="0"/>
                <w:numId w:val="184"/>
              </w:numPr>
              <w:rPr>
                <w:szCs w:val="22"/>
              </w:rPr>
            </w:pPr>
            <w:r>
              <w:rPr>
                <w:szCs w:val="22"/>
              </w:rPr>
              <w:t>Web analysis e.g. clickthrough data from the ACA website and / or from Grok, social media analysis</w:t>
            </w:r>
          </w:p>
          <w:p w14:paraId="4749A1E4" w14:textId="77777777" w:rsidR="00762B5A" w:rsidRDefault="00762B5A" w:rsidP="00164DDE">
            <w:pPr>
              <w:pStyle w:val="ListParagraph"/>
              <w:numPr>
                <w:ilvl w:val="0"/>
                <w:numId w:val="184"/>
              </w:numPr>
              <w:rPr>
                <w:szCs w:val="22"/>
              </w:rPr>
            </w:pPr>
            <w:r>
              <w:rPr>
                <w:szCs w:val="22"/>
              </w:rPr>
              <w:t>Survey data, e.g. based on teacher workshop participation</w:t>
            </w:r>
          </w:p>
          <w:p w14:paraId="6ED486AF" w14:textId="77777777" w:rsidR="00762B5A" w:rsidRDefault="00762B5A" w:rsidP="00164DDE">
            <w:pPr>
              <w:pStyle w:val="ListParagraph"/>
              <w:numPr>
                <w:ilvl w:val="0"/>
                <w:numId w:val="184"/>
              </w:numPr>
              <w:rPr>
                <w:szCs w:val="22"/>
              </w:rPr>
            </w:pPr>
            <w:r>
              <w:rPr>
                <w:szCs w:val="22"/>
              </w:rPr>
              <w:t xml:space="preserve">Reviews of existing documentation / processes e.g. records of conferences and presentations </w:t>
            </w:r>
          </w:p>
          <w:p w14:paraId="6A3FE620" w14:textId="77777777" w:rsidR="00762B5A" w:rsidRPr="00EB7212" w:rsidRDefault="00762B5A" w:rsidP="00164DDE">
            <w:pPr>
              <w:pStyle w:val="ListParagraph"/>
              <w:numPr>
                <w:ilvl w:val="0"/>
                <w:numId w:val="184"/>
              </w:numPr>
              <w:rPr>
                <w:szCs w:val="22"/>
              </w:rPr>
            </w:pPr>
            <w:proofErr w:type="spellStart"/>
            <w:r w:rsidRPr="00EB7212">
              <w:rPr>
                <w:szCs w:val="22"/>
              </w:rPr>
              <w:t>dandolo</w:t>
            </w:r>
            <w:proofErr w:type="spellEnd"/>
            <w:r w:rsidRPr="00EB7212">
              <w:rPr>
                <w:szCs w:val="22"/>
              </w:rPr>
              <w:t xml:space="preserve"> completed interviews and a series of online focus groups with stakeholders including STEM organisations and representatives from state and territory departments of education. Stakeholders were asked to provide feedback on individual NISA initiatives, including the Australian Digital Technologies Challenges. </w:t>
            </w:r>
          </w:p>
        </w:tc>
      </w:tr>
      <w:tr w:rsidR="00762B5A" w14:paraId="2B631A30" w14:textId="77777777" w:rsidTr="007E2D07">
        <w:trPr>
          <w:trHeight w:val="9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68E3965" w14:textId="77777777" w:rsidR="00762B5A" w:rsidRPr="00EB7212" w:rsidRDefault="00762B5A" w:rsidP="007E2D07">
            <w:pPr>
              <w:rPr>
                <w:b/>
                <w:bCs/>
                <w:szCs w:val="22"/>
              </w:rPr>
            </w:pPr>
            <w:r w:rsidRPr="00EB7212">
              <w:rPr>
                <w:b/>
                <w:bCs/>
                <w:szCs w:val="22"/>
              </w:rPr>
              <w:t xml:space="preserve">Summary of evaluation conclusions (internal evaluation – Progress Report 6 and </w:t>
            </w:r>
            <w:proofErr w:type="spellStart"/>
            <w:r w:rsidRPr="00EB7212">
              <w:rPr>
                <w:b/>
                <w:bCs/>
                <w:szCs w:val="22"/>
              </w:rPr>
              <w:t>dandolo</w:t>
            </w:r>
            <w:proofErr w:type="spellEnd"/>
            <w:r w:rsidRPr="00EB7212">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3CBFEA" w14:textId="77777777" w:rsidR="00762B5A" w:rsidRDefault="00762B5A" w:rsidP="00164DDE">
            <w:pPr>
              <w:pStyle w:val="ListParagraph"/>
              <w:numPr>
                <w:ilvl w:val="0"/>
                <w:numId w:val="185"/>
              </w:numPr>
              <w:rPr>
                <w:iCs/>
                <w:szCs w:val="22"/>
              </w:rPr>
            </w:pPr>
            <w:r>
              <w:rPr>
                <w:iCs/>
                <w:szCs w:val="22"/>
              </w:rPr>
              <w:t xml:space="preserve">This initiative is known for its universal focus and wide reach – for example engaging 61,656 students and 3,111 teachers since its inception. </w:t>
            </w:r>
          </w:p>
          <w:p w14:paraId="0A9B6740" w14:textId="77777777" w:rsidR="00762B5A" w:rsidRDefault="00762B5A" w:rsidP="00164DDE">
            <w:pPr>
              <w:pStyle w:val="ListParagraph"/>
              <w:numPr>
                <w:ilvl w:val="0"/>
                <w:numId w:val="185"/>
              </w:numPr>
              <w:rPr>
                <w:iCs/>
                <w:szCs w:val="22"/>
              </w:rPr>
            </w:pPr>
            <w:r>
              <w:rPr>
                <w:iCs/>
                <w:szCs w:val="22"/>
              </w:rPr>
              <w:t>It’s also well-regarded for its alignment with curriculum and easy to access student computing challenges.</w:t>
            </w:r>
          </w:p>
          <w:p w14:paraId="06D4C3AB" w14:textId="77777777" w:rsidR="00762B5A" w:rsidRDefault="00762B5A" w:rsidP="00164DDE">
            <w:pPr>
              <w:pStyle w:val="ListParagraph"/>
              <w:numPr>
                <w:ilvl w:val="0"/>
                <w:numId w:val="185"/>
              </w:numPr>
              <w:rPr>
                <w:iCs/>
                <w:szCs w:val="22"/>
              </w:rPr>
            </w:pPr>
            <w:r>
              <w:rPr>
                <w:iCs/>
                <w:szCs w:val="22"/>
              </w:rPr>
              <w:t xml:space="preserve">The internal evaluation affirms this, demonstrating that the Australian Digital Technologies Challenges has exceeded its targets in terms of teacher professional development attendance and teachers’ engagement in DT Challenges. Student enrolment and engagement in DT Challenges has yet to reach targets, but is increasing.  </w:t>
            </w:r>
          </w:p>
        </w:tc>
      </w:tr>
      <w:tr w:rsidR="00762B5A" w14:paraId="38F58424"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3F07D94" w14:textId="77777777" w:rsidR="00762B5A" w:rsidRPr="00EB7212" w:rsidRDefault="00762B5A" w:rsidP="007E2D07">
            <w:pPr>
              <w:rPr>
                <w:b/>
                <w:bCs/>
                <w:szCs w:val="22"/>
              </w:rPr>
            </w:pPr>
            <w:r w:rsidRPr="00EB7212">
              <w:rPr>
                <w:b/>
                <w:bCs/>
                <w:szCs w:val="22"/>
              </w:rPr>
              <w:t xml:space="preserve">Limitations of the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0E5DF3" w14:textId="77777777" w:rsidR="00762B5A" w:rsidRDefault="00762B5A" w:rsidP="00164DDE">
            <w:pPr>
              <w:pStyle w:val="ListParagraph"/>
              <w:numPr>
                <w:ilvl w:val="0"/>
                <w:numId w:val="66"/>
              </w:numPr>
              <w:rPr>
                <w:szCs w:val="22"/>
              </w:rPr>
            </w:pPr>
            <w:r>
              <w:rPr>
                <w:szCs w:val="22"/>
              </w:rPr>
              <w:t xml:space="preserve">The evaluation planned by the provider will include some input from external evaluator; however, will not be completely independent </w:t>
            </w:r>
          </w:p>
          <w:p w14:paraId="1E36FC2F" w14:textId="77777777" w:rsidR="00762B5A" w:rsidRDefault="00762B5A" w:rsidP="00164DDE">
            <w:pPr>
              <w:pStyle w:val="ListParagraph"/>
              <w:numPr>
                <w:ilvl w:val="0"/>
                <w:numId w:val="66"/>
              </w:numPr>
              <w:rPr>
                <w:szCs w:val="22"/>
              </w:rPr>
            </w:pPr>
            <w:r>
              <w:rPr>
                <w:rFonts w:cs="Arial Narrow"/>
                <w:szCs w:val="22"/>
                <w:lang w:val="en-GB"/>
              </w:rPr>
              <w:t>The internal evaluation does not include any direct measures of the impact on student engagement or achievement</w:t>
            </w:r>
          </w:p>
          <w:p w14:paraId="3E7566CC" w14:textId="77777777" w:rsidR="00762B5A" w:rsidRDefault="00762B5A" w:rsidP="00164DDE">
            <w:pPr>
              <w:pStyle w:val="ListParagraph"/>
              <w:numPr>
                <w:ilvl w:val="0"/>
                <w:numId w:val="66"/>
              </w:numPr>
              <w:rPr>
                <w:szCs w:val="22"/>
              </w:rPr>
            </w:pPr>
            <w:r>
              <w:rPr>
                <w:szCs w:val="22"/>
              </w:rPr>
              <w:t>Survey data shows teachers thoroughly enjoyed attending workshops but whether such lessons are realised in the classroom has yet to be examined</w:t>
            </w:r>
          </w:p>
        </w:tc>
      </w:tr>
      <w:tr w:rsidR="00762B5A" w14:paraId="112675FC" w14:textId="77777777" w:rsidTr="007E2D07">
        <w:trPr>
          <w:trHeight w:val="207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DDB1F5C" w14:textId="77777777" w:rsidR="00762B5A" w:rsidRPr="00EB7212" w:rsidRDefault="00762B5A" w:rsidP="007E2D07">
            <w:pPr>
              <w:rPr>
                <w:b/>
                <w:bCs/>
                <w:szCs w:val="22"/>
              </w:rPr>
            </w:pPr>
            <w:r w:rsidRPr="00EB7212">
              <w:rPr>
                <w:b/>
                <w:bCs/>
                <w:szCs w:val="22"/>
              </w:rPr>
              <w:t>Challenges faced by the provider</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A4EF4CD" w14:textId="77777777" w:rsidR="00762B5A" w:rsidRDefault="00762B5A" w:rsidP="00164DDE">
            <w:pPr>
              <w:pStyle w:val="ListParagraph"/>
              <w:numPr>
                <w:ilvl w:val="0"/>
                <w:numId w:val="62"/>
              </w:numPr>
              <w:rPr>
                <w:szCs w:val="22"/>
              </w:rPr>
            </w:pPr>
            <w:r>
              <w:rPr>
                <w:szCs w:val="22"/>
              </w:rPr>
              <w:t>Difficulties reaching and communicating with teachers has led to low awareness about the initiative and resources</w:t>
            </w:r>
          </w:p>
          <w:p w14:paraId="621210EC" w14:textId="77777777" w:rsidR="00762B5A" w:rsidRDefault="00762B5A" w:rsidP="00164DDE">
            <w:pPr>
              <w:pStyle w:val="ListParagraph"/>
              <w:numPr>
                <w:ilvl w:val="0"/>
                <w:numId w:val="62"/>
              </w:numPr>
              <w:rPr>
                <w:szCs w:val="22"/>
              </w:rPr>
            </w:pPr>
            <w:r>
              <w:rPr>
                <w:szCs w:val="22"/>
              </w:rPr>
              <w:t xml:space="preserve">There is no shared database that provides information on which teachers Australian Digital Technologies Challenges and other DT providers are reaching. </w:t>
            </w:r>
          </w:p>
          <w:p w14:paraId="6A200D44" w14:textId="77777777" w:rsidR="00762B5A" w:rsidRDefault="00762B5A" w:rsidP="00164DDE">
            <w:pPr>
              <w:pStyle w:val="ListParagraph"/>
              <w:numPr>
                <w:ilvl w:val="0"/>
                <w:numId w:val="62"/>
              </w:numPr>
              <w:rPr>
                <w:bCs/>
                <w:szCs w:val="22"/>
              </w:rPr>
            </w:pPr>
            <w:r>
              <w:rPr>
                <w:bCs/>
                <w:szCs w:val="22"/>
              </w:rPr>
              <w:t xml:space="preserve">There has been variable interest and engagement from ICT associations </w:t>
            </w:r>
          </w:p>
          <w:p w14:paraId="6AA9DA3E" w14:textId="77777777" w:rsidR="00762B5A" w:rsidRDefault="00762B5A" w:rsidP="00164DDE">
            <w:pPr>
              <w:pStyle w:val="ListParagraph"/>
              <w:numPr>
                <w:ilvl w:val="0"/>
                <w:numId w:val="62"/>
              </w:numPr>
              <w:rPr>
                <w:bCs/>
                <w:szCs w:val="22"/>
              </w:rPr>
            </w:pPr>
            <w:r>
              <w:rPr>
                <w:bCs/>
                <w:szCs w:val="22"/>
              </w:rPr>
              <w:t xml:space="preserve">The provider has found it difficult to secure buy-in from principals and senior school leadership, which is important for teacher engagement  </w:t>
            </w:r>
          </w:p>
        </w:tc>
      </w:tr>
      <w:tr w:rsidR="00762B5A" w14:paraId="66130395"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B8908E3" w14:textId="77777777" w:rsidR="00762B5A" w:rsidRPr="00EB7212" w:rsidRDefault="00762B5A" w:rsidP="007E2D07">
            <w:pPr>
              <w:rPr>
                <w:b/>
                <w:bCs/>
                <w:szCs w:val="22"/>
              </w:rPr>
            </w:pPr>
            <w:r w:rsidRPr="00EB7212">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32692C1" w14:textId="77777777" w:rsidR="00762B5A" w:rsidRDefault="00762B5A" w:rsidP="00164DDE">
            <w:pPr>
              <w:pStyle w:val="ListParagraph"/>
              <w:numPr>
                <w:ilvl w:val="0"/>
                <w:numId w:val="62"/>
              </w:numPr>
              <w:rPr>
                <w:szCs w:val="22"/>
              </w:rPr>
            </w:pPr>
            <w:r>
              <w:rPr>
                <w:szCs w:val="22"/>
              </w:rPr>
              <w:t>Investigate the possibility of offering PD that is 1-2 hours instead of 1-2 days to increase access and to enable teachers to get a lot more value from the sessions</w:t>
            </w:r>
          </w:p>
          <w:p w14:paraId="19D8C8FD" w14:textId="77777777" w:rsidR="00762B5A" w:rsidRDefault="00762B5A" w:rsidP="00164DDE">
            <w:pPr>
              <w:pStyle w:val="ListParagraph"/>
              <w:numPr>
                <w:ilvl w:val="0"/>
                <w:numId w:val="62"/>
              </w:numPr>
              <w:rPr>
                <w:szCs w:val="22"/>
              </w:rPr>
            </w:pPr>
            <w:r>
              <w:rPr>
                <w:szCs w:val="22"/>
              </w:rPr>
              <w:t>Create a dashboard, which will provide teachers with immediate feedback and student learning analytics</w:t>
            </w:r>
          </w:p>
          <w:p w14:paraId="2CA34157" w14:textId="77777777" w:rsidR="00762B5A" w:rsidRDefault="00762B5A" w:rsidP="00164DDE">
            <w:pPr>
              <w:pStyle w:val="ListParagraph"/>
              <w:numPr>
                <w:ilvl w:val="0"/>
                <w:numId w:val="62"/>
              </w:numPr>
              <w:rPr>
                <w:szCs w:val="22"/>
              </w:rPr>
            </w:pPr>
            <w:r>
              <w:rPr>
                <w:szCs w:val="22"/>
              </w:rPr>
              <w:t>Deeper engagement with schools in digital technologies and increase teachers’ digital literacy skills, especially in coding</w:t>
            </w:r>
          </w:p>
          <w:p w14:paraId="0E0E7FA0" w14:textId="77777777" w:rsidR="00762B5A" w:rsidRDefault="00762B5A" w:rsidP="00164DDE">
            <w:pPr>
              <w:pStyle w:val="ListParagraph"/>
              <w:numPr>
                <w:ilvl w:val="0"/>
                <w:numId w:val="62"/>
              </w:numPr>
              <w:rPr>
                <w:szCs w:val="22"/>
              </w:rPr>
            </w:pPr>
            <w:r>
              <w:rPr>
                <w:szCs w:val="22"/>
              </w:rPr>
              <w:t>Revise the champion teacher program and potentially re-launch.</w:t>
            </w:r>
          </w:p>
          <w:p w14:paraId="5D42C882" w14:textId="77777777" w:rsidR="00762B5A" w:rsidRDefault="00762B5A" w:rsidP="00164DDE">
            <w:pPr>
              <w:pStyle w:val="ListParagraph"/>
              <w:numPr>
                <w:ilvl w:val="0"/>
                <w:numId w:val="62"/>
              </w:numPr>
              <w:rPr>
                <w:szCs w:val="22"/>
              </w:rPr>
            </w:pPr>
            <w:r>
              <w:rPr>
                <w:szCs w:val="22"/>
              </w:rPr>
              <w:t>Connect DT challenges to other subjects (for example, Biology)</w:t>
            </w:r>
          </w:p>
        </w:tc>
      </w:tr>
      <w:tr w:rsidR="00762B5A" w14:paraId="299ED8C7" w14:textId="77777777" w:rsidTr="007E2D07">
        <w:trPr>
          <w:trHeight w:val="401"/>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7D5B9A" w14:textId="77777777" w:rsidR="00762B5A" w:rsidRPr="00EB7212" w:rsidRDefault="00762B5A" w:rsidP="007E2D07">
            <w:pPr>
              <w:rPr>
                <w:b/>
                <w:bCs/>
                <w:szCs w:val="22"/>
              </w:rPr>
            </w:pPr>
            <w:r w:rsidRPr="00EB7212">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E2FC8B6" w14:textId="77777777" w:rsidR="00762B5A" w:rsidRDefault="00762B5A" w:rsidP="00164DDE">
            <w:pPr>
              <w:pStyle w:val="ListParagraph"/>
              <w:numPr>
                <w:ilvl w:val="0"/>
                <w:numId w:val="68"/>
              </w:numPr>
              <w:rPr>
                <w:szCs w:val="22"/>
              </w:rPr>
            </w:pPr>
            <w:r>
              <w:rPr>
                <w:color w:val="000000"/>
                <w:szCs w:val="22"/>
              </w:rPr>
              <w:t>Huseynova A.</w:t>
            </w:r>
            <w:r>
              <w:rPr>
                <w:color w:val="000000"/>
                <w:sz w:val="28"/>
                <w:szCs w:val="28"/>
              </w:rPr>
              <w:t xml:space="preserve"> </w:t>
            </w:r>
            <w:r>
              <w:rPr>
                <w:szCs w:val="22"/>
              </w:rPr>
              <w:t xml:space="preserve">(11 June 2019). </w:t>
            </w:r>
            <w:r>
              <w:rPr>
                <w:i/>
                <w:iCs/>
                <w:szCs w:val="22"/>
              </w:rPr>
              <w:t xml:space="preserve">Progress Report 6 For National Digital Technologies Challenges for the period of 10 December 2018 – 13 May 2019 (Revision 1). </w:t>
            </w:r>
            <w:r>
              <w:rPr>
                <w:szCs w:val="22"/>
              </w:rPr>
              <w:t>Australian Computing Academy, University of Sydney.</w:t>
            </w:r>
          </w:p>
          <w:p w14:paraId="2A33B694" w14:textId="77777777" w:rsidR="00762B5A" w:rsidRDefault="00762B5A" w:rsidP="00164DDE">
            <w:pPr>
              <w:pStyle w:val="ListParagraph"/>
              <w:numPr>
                <w:ilvl w:val="0"/>
                <w:numId w:val="68"/>
              </w:numPr>
              <w:rPr>
                <w:szCs w:val="22"/>
              </w:rPr>
            </w:pPr>
            <w:r>
              <w:rPr>
                <w:rFonts w:cs="Arial"/>
                <w:szCs w:val="22"/>
              </w:rPr>
              <w:t xml:space="preserve">Australian Computing Academy Website: </w:t>
            </w:r>
            <w:hyperlink r:id="rId33" w:history="1">
              <w:r>
                <w:rPr>
                  <w:rStyle w:val="Hyperlink"/>
                  <w:rFonts w:cs="Arial"/>
                  <w:szCs w:val="22"/>
                </w:rPr>
                <w:t>https://aca.edu.au/projects/dt-challenges/</w:t>
              </w:r>
            </w:hyperlink>
            <w:r>
              <w:rPr>
                <w:rFonts w:cs="Arial"/>
                <w:szCs w:val="22"/>
              </w:rPr>
              <w:t xml:space="preserve"> </w:t>
            </w:r>
          </w:p>
          <w:p w14:paraId="1CF008AF" w14:textId="77777777" w:rsidR="00762B5A" w:rsidRDefault="00762B5A" w:rsidP="00164DDE">
            <w:pPr>
              <w:pStyle w:val="ListParagraph"/>
              <w:numPr>
                <w:ilvl w:val="0"/>
                <w:numId w:val="67"/>
              </w:numPr>
              <w:rPr>
                <w:rStyle w:val="Hyperlink"/>
                <w:rFonts w:cs="Arial"/>
              </w:rPr>
            </w:pPr>
            <w:r>
              <w:rPr>
                <w:rFonts w:cs="Arial"/>
                <w:szCs w:val="22"/>
              </w:rPr>
              <w:t xml:space="preserve">Dive into Code website: </w:t>
            </w:r>
            <w:hyperlink r:id="rId34" w:anchor="dive-into-code" w:history="1">
              <w:r>
                <w:rPr>
                  <w:rStyle w:val="Hyperlink"/>
                  <w:szCs w:val="22"/>
                </w:rPr>
                <w:t>h</w:t>
              </w:r>
              <w:r>
                <w:rPr>
                  <w:rStyle w:val="Hyperlink"/>
                  <w:rFonts w:cs="Arial"/>
                  <w:szCs w:val="22"/>
                </w:rPr>
                <w:t>ttps://aca.edu.au/resources/#dive-into-code</w:t>
              </w:r>
            </w:hyperlink>
            <w:r>
              <w:rPr>
                <w:rStyle w:val="Hyperlink"/>
                <w:rFonts w:cs="Arial"/>
                <w:color w:val="00B0F0"/>
              </w:rPr>
              <w:t xml:space="preserve"> </w:t>
            </w:r>
          </w:p>
          <w:p w14:paraId="3F89EEE7" w14:textId="77777777" w:rsidR="00762B5A" w:rsidRDefault="00762B5A" w:rsidP="00164DDE">
            <w:pPr>
              <w:pStyle w:val="ListParagraph"/>
              <w:numPr>
                <w:ilvl w:val="0"/>
                <w:numId w:val="67"/>
              </w:numPr>
            </w:pPr>
            <w:r>
              <w:rPr>
                <w:rStyle w:val="Hyperlink"/>
                <w:rFonts w:cs="Arial"/>
                <w:szCs w:val="22"/>
              </w:rPr>
              <w:t>Interview with the provider</w:t>
            </w:r>
          </w:p>
        </w:tc>
      </w:tr>
    </w:tbl>
    <w:p w14:paraId="4DEF215C" w14:textId="77777777" w:rsidR="00762B5A" w:rsidRDefault="00762B5A" w:rsidP="00762B5A"/>
    <w:p w14:paraId="69DFA2CE" w14:textId="77777777" w:rsidR="00762B5A" w:rsidRDefault="00762B5A" w:rsidP="00762B5A"/>
    <w:p w14:paraId="4375B79D" w14:textId="77777777" w:rsidR="00762B5A" w:rsidRDefault="00762B5A" w:rsidP="00762B5A"/>
    <w:p w14:paraId="1611E8C4" w14:textId="77777777" w:rsidR="00762B5A" w:rsidRDefault="00762B5A" w:rsidP="00762B5A">
      <w:pPr>
        <w:rPr>
          <w:rFonts w:cs="Arial"/>
        </w:rPr>
      </w:pPr>
    </w:p>
    <w:p w14:paraId="481B5BCD" w14:textId="77777777" w:rsidR="00762B5A" w:rsidRDefault="00762B5A" w:rsidP="00762B5A">
      <w:pPr>
        <w:rPr>
          <w:rFonts w:cs="Arial"/>
        </w:rPr>
      </w:pPr>
    </w:p>
    <w:p w14:paraId="5C9DB4F1" w14:textId="77777777" w:rsidR="00762B5A" w:rsidRDefault="00762B5A" w:rsidP="00762B5A">
      <w:pPr>
        <w:rPr>
          <w:rFonts w:cs="Arial"/>
        </w:rPr>
      </w:pPr>
    </w:p>
    <w:p w14:paraId="293369DA" w14:textId="77777777" w:rsidR="00762B5A" w:rsidRDefault="00762B5A" w:rsidP="00762B5A">
      <w:pPr>
        <w:rPr>
          <w:rFonts w:cs="Arial"/>
        </w:rPr>
      </w:pPr>
    </w:p>
    <w:p w14:paraId="3470A40B" w14:textId="77777777" w:rsidR="00762B5A" w:rsidRDefault="00762B5A" w:rsidP="00762B5A">
      <w:pPr>
        <w:rPr>
          <w:rFonts w:cs="Arial"/>
        </w:rPr>
      </w:pPr>
    </w:p>
    <w:p w14:paraId="6051F749" w14:textId="77777777" w:rsidR="00762B5A" w:rsidRDefault="00762B5A" w:rsidP="00762B5A">
      <w:pPr>
        <w:rPr>
          <w:rFonts w:cs="Arial"/>
          <w:b/>
          <w:bCs/>
          <w:color w:val="931B2F" w:themeColor="background2"/>
          <w:sz w:val="36"/>
          <w:szCs w:val="36"/>
        </w:rPr>
      </w:pPr>
      <w:r>
        <w:rPr>
          <w:rFonts w:cs="Arial"/>
          <w:color w:val="931B2F" w:themeColor="background2"/>
        </w:rPr>
        <w:br w:type="page"/>
      </w:r>
      <w:proofErr w:type="spellStart"/>
      <w:r>
        <w:rPr>
          <w:rFonts w:cs="Arial"/>
          <w:b/>
          <w:bCs/>
          <w:color w:val="931B2F" w:themeColor="background2"/>
          <w:sz w:val="36"/>
          <w:szCs w:val="36"/>
        </w:rPr>
        <w:t>digIT</w:t>
      </w:r>
      <w:proofErr w:type="spellEnd"/>
      <w:r>
        <w:rPr>
          <w:rFonts w:cs="Arial"/>
          <w:b/>
          <w:bCs/>
          <w:color w:val="931B2F" w:themeColor="background2"/>
          <w:sz w:val="36"/>
          <w:szCs w:val="36"/>
        </w:rPr>
        <w:t xml:space="preserve"> (ICT Summer Schools)</w:t>
      </w:r>
    </w:p>
    <w:tbl>
      <w:tblPr>
        <w:tblStyle w:val="BoxGrid-Coloured"/>
        <w:tblW w:w="0" w:type="auto"/>
        <w:tblLook w:val="04A0" w:firstRow="1" w:lastRow="0" w:firstColumn="1" w:lastColumn="0" w:noHBand="0" w:noVBand="1"/>
      </w:tblPr>
      <w:tblGrid>
        <w:gridCol w:w="2769"/>
        <w:gridCol w:w="6282"/>
      </w:tblGrid>
      <w:tr w:rsidR="00762B5A" w14:paraId="50157186"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3889BB0"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C9858D" w14:textId="77777777" w:rsidR="00762B5A" w:rsidRDefault="00762B5A" w:rsidP="007E2D07">
            <w:pPr>
              <w:rPr>
                <w:szCs w:val="22"/>
              </w:rPr>
            </w:pPr>
            <w:r>
              <w:rPr>
                <w:szCs w:val="22"/>
              </w:rPr>
              <w:t xml:space="preserve">Australian Mathematics Trust </w:t>
            </w:r>
          </w:p>
        </w:tc>
      </w:tr>
      <w:tr w:rsidR="00762B5A" w14:paraId="1D862D75"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B112E5"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2EC6A3" w14:textId="77777777" w:rsidR="00762B5A" w:rsidRDefault="00762B5A" w:rsidP="007E2D07">
            <w:pPr>
              <w:rPr>
                <w:szCs w:val="22"/>
              </w:rPr>
            </w:pPr>
            <w:proofErr w:type="spellStart"/>
            <w:r>
              <w:rPr>
                <w:szCs w:val="22"/>
              </w:rPr>
              <w:t>digIT</w:t>
            </w:r>
            <w:proofErr w:type="spellEnd"/>
            <w:r>
              <w:rPr>
                <w:szCs w:val="22"/>
              </w:rPr>
              <w:t xml:space="preserve"> provides a six-month invitational program each year that aims to engage students in Digital Technologies and related careers and develop their coding skills, their problem-solving abilities and their algorithmic thinking. It selects Year 9 and 10 students based on: </w:t>
            </w:r>
          </w:p>
          <w:p w14:paraId="5A87472F" w14:textId="77777777" w:rsidR="00762B5A" w:rsidRDefault="00762B5A" w:rsidP="00164DDE">
            <w:pPr>
              <w:pStyle w:val="ListParagraph"/>
              <w:numPr>
                <w:ilvl w:val="0"/>
                <w:numId w:val="71"/>
              </w:numPr>
              <w:rPr>
                <w:szCs w:val="22"/>
              </w:rPr>
            </w:pPr>
            <w:r>
              <w:rPr>
                <w:szCs w:val="22"/>
              </w:rPr>
              <w:t xml:space="preserve">Their performance in the Australian Mathematics Competition and the Computational and Algorithmic Thinking competition or by recommendation from their teachers </w:t>
            </w:r>
          </w:p>
          <w:p w14:paraId="12C2CC77" w14:textId="77777777" w:rsidR="00762B5A" w:rsidRDefault="00762B5A" w:rsidP="00164DDE">
            <w:pPr>
              <w:pStyle w:val="ListParagraph"/>
              <w:numPr>
                <w:ilvl w:val="0"/>
                <w:numId w:val="71"/>
              </w:numPr>
              <w:rPr>
                <w:szCs w:val="22"/>
              </w:rPr>
            </w:pPr>
            <w:r>
              <w:rPr>
                <w:szCs w:val="22"/>
              </w:rPr>
              <w:t xml:space="preserve">Their rural/regional/disadvantaged/indigenous background </w:t>
            </w:r>
          </w:p>
          <w:p w14:paraId="562AA468" w14:textId="77777777" w:rsidR="00762B5A" w:rsidRDefault="00762B5A" w:rsidP="00164DDE">
            <w:pPr>
              <w:pStyle w:val="ListParagraph"/>
              <w:numPr>
                <w:ilvl w:val="0"/>
                <w:numId w:val="71"/>
              </w:numPr>
              <w:rPr>
                <w:szCs w:val="22"/>
              </w:rPr>
            </w:pPr>
            <w:r>
              <w:rPr>
                <w:szCs w:val="22"/>
              </w:rPr>
              <w:t>Their interest in ICT</w:t>
            </w:r>
          </w:p>
          <w:p w14:paraId="3CF205F2" w14:textId="77777777" w:rsidR="00762B5A" w:rsidRDefault="00762B5A" w:rsidP="007E2D07">
            <w:pPr>
              <w:rPr>
                <w:szCs w:val="22"/>
              </w:rPr>
            </w:pPr>
            <w:r>
              <w:rPr>
                <w:szCs w:val="22"/>
              </w:rPr>
              <w:t xml:space="preserve">The 6-month digital technology-based program includes two residential camps – Summer and Winter – accompanied by five months of mentoring in between. </w:t>
            </w:r>
          </w:p>
          <w:p w14:paraId="2BDAD86D" w14:textId="77777777" w:rsidR="00762B5A" w:rsidRDefault="00762B5A" w:rsidP="007E2D07">
            <w:pPr>
              <w:rPr>
                <w:szCs w:val="22"/>
                <w:u w:val="single"/>
              </w:rPr>
            </w:pPr>
            <w:r>
              <w:rPr>
                <w:szCs w:val="22"/>
                <w:u w:val="single"/>
              </w:rPr>
              <w:t>Objectives</w:t>
            </w:r>
          </w:p>
          <w:p w14:paraId="05AD9A54" w14:textId="77777777" w:rsidR="00762B5A" w:rsidRDefault="00762B5A" w:rsidP="00164DDE">
            <w:pPr>
              <w:pStyle w:val="ListParagraph"/>
              <w:numPr>
                <w:ilvl w:val="0"/>
                <w:numId w:val="70"/>
              </w:numPr>
              <w:rPr>
                <w:szCs w:val="22"/>
              </w:rPr>
            </w:pPr>
            <w:r>
              <w:rPr>
                <w:szCs w:val="22"/>
              </w:rPr>
              <w:t xml:space="preserve">To identify and select a cohort of 60 students from the targeted group each year </w:t>
            </w:r>
          </w:p>
          <w:p w14:paraId="70063BFD" w14:textId="77777777" w:rsidR="00762B5A" w:rsidRDefault="00762B5A" w:rsidP="00164DDE">
            <w:pPr>
              <w:pStyle w:val="ListParagraph"/>
              <w:numPr>
                <w:ilvl w:val="0"/>
                <w:numId w:val="70"/>
              </w:numPr>
              <w:rPr>
                <w:szCs w:val="22"/>
              </w:rPr>
            </w:pPr>
            <w:r>
              <w:rPr>
                <w:szCs w:val="22"/>
              </w:rPr>
              <w:t xml:space="preserve">To prepare these students to learn, train, live and work in a digital world through a cycle of engaging, educational activities as set out in this Schedule. </w:t>
            </w:r>
          </w:p>
          <w:p w14:paraId="3A3850F2" w14:textId="77777777" w:rsidR="00762B5A" w:rsidRDefault="00762B5A" w:rsidP="00164DDE">
            <w:pPr>
              <w:pStyle w:val="ListParagraph"/>
              <w:numPr>
                <w:ilvl w:val="0"/>
                <w:numId w:val="70"/>
              </w:numPr>
              <w:rPr>
                <w:szCs w:val="22"/>
              </w:rPr>
            </w:pPr>
            <w:r>
              <w:rPr>
                <w:szCs w:val="22"/>
              </w:rPr>
              <w:t>To increase the interest and participation in, and access to, Information and Communication Technologies (ICT) by the targeted students.</w:t>
            </w:r>
          </w:p>
        </w:tc>
      </w:tr>
      <w:tr w:rsidR="00762B5A" w14:paraId="726CA78E"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F8A974E"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2DB4ED9" w14:textId="77777777" w:rsidR="00762B5A" w:rsidRDefault="00762B5A" w:rsidP="007E2D07">
            <w:pPr>
              <w:rPr>
                <w:szCs w:val="22"/>
              </w:rPr>
            </w:pPr>
            <w:r>
              <w:rPr>
                <w:szCs w:val="22"/>
              </w:rPr>
              <w:t xml:space="preserve">Students   </w:t>
            </w:r>
          </w:p>
        </w:tc>
      </w:tr>
      <w:tr w:rsidR="00762B5A" w14:paraId="380F2F5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D64F2CA"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4C30121" w14:textId="77777777" w:rsidR="00762B5A" w:rsidRDefault="00762B5A" w:rsidP="007E2D07">
            <w:pPr>
              <w:rPr>
                <w:bCs/>
                <w:szCs w:val="22"/>
              </w:rPr>
            </w:pPr>
            <w:r>
              <w:rPr>
                <w:bCs/>
                <w:szCs w:val="22"/>
              </w:rPr>
              <w:t xml:space="preserve">NISA funding is </w:t>
            </w:r>
            <w:r>
              <w:rPr>
                <w:szCs w:val="22"/>
              </w:rPr>
              <w:t xml:space="preserve">$999,860 (exclusive of GST) for the period of 2016-2020. </w:t>
            </w:r>
          </w:p>
        </w:tc>
      </w:tr>
      <w:tr w:rsidR="00762B5A" w14:paraId="234B20E1" w14:textId="77777777" w:rsidTr="007E2D07">
        <w:trPr>
          <w:trHeight w:val="74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9983370"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EFA1BD1" w14:textId="77777777" w:rsidR="00762B5A" w:rsidRDefault="00762B5A" w:rsidP="00164DDE">
            <w:pPr>
              <w:pStyle w:val="ListParagraph"/>
              <w:numPr>
                <w:ilvl w:val="0"/>
                <w:numId w:val="72"/>
              </w:numPr>
              <w:rPr>
                <w:szCs w:val="22"/>
              </w:rPr>
            </w:pPr>
            <w:r>
              <w:rPr>
                <w:szCs w:val="22"/>
              </w:rPr>
              <w:t xml:space="preserve">Beyond </w:t>
            </w:r>
            <w:proofErr w:type="spellStart"/>
            <w:r>
              <w:rPr>
                <w:szCs w:val="22"/>
              </w:rPr>
              <w:t>dandolo’s</w:t>
            </w:r>
            <w:proofErr w:type="spellEnd"/>
            <w:r>
              <w:rPr>
                <w:szCs w:val="22"/>
              </w:rPr>
              <w:t xml:space="preserve"> evaluation, no external evaluation has been conducted </w:t>
            </w:r>
          </w:p>
          <w:p w14:paraId="7C09E961" w14:textId="77777777" w:rsidR="00762B5A" w:rsidRDefault="00762B5A" w:rsidP="00164DDE">
            <w:pPr>
              <w:pStyle w:val="ListParagraph"/>
              <w:numPr>
                <w:ilvl w:val="0"/>
                <w:numId w:val="72"/>
              </w:numPr>
              <w:rPr>
                <w:szCs w:val="22"/>
              </w:rPr>
            </w:pPr>
            <w:r>
              <w:rPr>
                <w:szCs w:val="22"/>
              </w:rPr>
              <w:t>Internal evaluation activities have been undertaken to inform evaluation and progress reports – an evaluation report was produced in 2018</w:t>
            </w:r>
          </w:p>
        </w:tc>
      </w:tr>
      <w:tr w:rsidR="00762B5A" w14:paraId="5DA88AE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4392E49" w14:textId="77777777" w:rsidR="00762B5A" w:rsidRPr="00EB7212" w:rsidRDefault="00762B5A" w:rsidP="007E2D07">
            <w:pPr>
              <w:rPr>
                <w:b/>
                <w:bCs/>
                <w:szCs w:val="22"/>
              </w:rPr>
            </w:pPr>
            <w:r w:rsidRPr="00EB7212">
              <w:rPr>
                <w:b/>
                <w:bCs/>
                <w:szCs w:val="22"/>
              </w:rPr>
              <w:t>Evaluation purpose (internal evaluation – Evaluation Report)</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0B15220" w14:textId="77777777" w:rsidR="00762B5A" w:rsidRDefault="00762B5A" w:rsidP="007E2D07">
            <w:pPr>
              <w:rPr>
                <w:rFonts w:eastAsia="Times New Roman"/>
              </w:rPr>
            </w:pPr>
            <w:r>
              <w:rPr>
                <w:szCs w:val="22"/>
              </w:rPr>
              <w:t xml:space="preserve">The purpose of the evaluation report is to provide a thematic review of key aspects of the </w:t>
            </w:r>
            <w:proofErr w:type="spellStart"/>
            <w:r>
              <w:rPr>
                <w:szCs w:val="22"/>
              </w:rPr>
              <w:t>digIT</w:t>
            </w:r>
            <w:proofErr w:type="spellEnd"/>
            <w:r>
              <w:rPr>
                <w:szCs w:val="22"/>
              </w:rPr>
              <w:t xml:space="preserve"> program requiring further development or improvement</w:t>
            </w:r>
          </w:p>
        </w:tc>
      </w:tr>
      <w:tr w:rsidR="00762B5A" w14:paraId="3C447D31" w14:textId="77777777" w:rsidTr="007E2D07">
        <w:trPr>
          <w:trHeight w:val="345"/>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25E50AA5" w14:textId="77777777" w:rsidR="00762B5A" w:rsidRPr="00EB7212" w:rsidRDefault="00762B5A" w:rsidP="007E2D07">
            <w:pPr>
              <w:rPr>
                <w:b/>
                <w:bCs/>
                <w:szCs w:val="22"/>
              </w:rPr>
            </w:pPr>
            <w:r w:rsidRPr="00EB7212">
              <w:rPr>
                <w:b/>
                <w:bCs/>
                <w:szCs w:val="22"/>
              </w:rPr>
              <w:t>Evaluation framework / methodology (internal evaluation – Evaluation Report)</w:t>
            </w:r>
          </w:p>
          <w:p w14:paraId="5ED63029" w14:textId="77777777" w:rsidR="00762B5A" w:rsidRPr="00EB7212" w:rsidRDefault="00762B5A" w:rsidP="007E2D07">
            <w:pPr>
              <w:rPr>
                <w:b/>
                <w:bCs/>
                <w:szCs w:val="22"/>
              </w:rPr>
            </w:pP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A027507" w14:textId="77777777" w:rsidR="00762B5A" w:rsidRDefault="00762B5A" w:rsidP="007E2D07">
            <w:pPr>
              <w:rPr>
                <w:szCs w:val="22"/>
                <w:u w:val="single"/>
              </w:rPr>
            </w:pPr>
            <w:r>
              <w:rPr>
                <w:szCs w:val="22"/>
                <w:u w:val="single"/>
              </w:rPr>
              <w:t>Framework</w:t>
            </w:r>
          </w:p>
          <w:p w14:paraId="2B50691B" w14:textId="77777777" w:rsidR="00762B5A" w:rsidRDefault="00762B5A" w:rsidP="007E2D07">
            <w:pPr>
              <w:rPr>
                <w:rFonts w:eastAsia="Times New Roman"/>
                <w:szCs w:val="22"/>
              </w:rPr>
            </w:pPr>
            <w:r>
              <w:rPr>
                <w:szCs w:val="22"/>
              </w:rPr>
              <w:t xml:space="preserve">The evaluation includes information about key challenges, opportunities for improvement, and participant feedback. The report also compares </w:t>
            </w:r>
            <w:proofErr w:type="spellStart"/>
            <w:r>
              <w:rPr>
                <w:szCs w:val="22"/>
              </w:rPr>
              <w:t>digIT</w:t>
            </w:r>
            <w:proofErr w:type="spellEnd"/>
            <w:r>
              <w:rPr>
                <w:szCs w:val="22"/>
              </w:rPr>
              <w:t xml:space="preserve"> activities and achievements against key performance indicators (KPIs) and outcomes for the report, which are based on the ‘Program Logic Model: ICT Summer Schools program (</w:t>
            </w:r>
            <w:proofErr w:type="spellStart"/>
            <w:r>
              <w:rPr>
                <w:szCs w:val="22"/>
              </w:rPr>
              <w:t>digIT</w:t>
            </w:r>
            <w:proofErr w:type="spellEnd"/>
            <w:r>
              <w:rPr>
                <w:szCs w:val="22"/>
              </w:rPr>
              <w:t>)’ model provided to AMT by the Department.</w:t>
            </w:r>
            <w:r>
              <w:rPr>
                <w:rStyle w:val="FootnoteReference"/>
                <w:szCs w:val="22"/>
              </w:rPr>
              <w:footnoteReference w:id="64"/>
            </w:r>
            <w:r>
              <w:rPr>
                <w:szCs w:val="22"/>
              </w:rPr>
              <w:t xml:space="preserve">  </w:t>
            </w:r>
          </w:p>
          <w:p w14:paraId="46DD094C" w14:textId="77777777" w:rsidR="00762B5A" w:rsidRDefault="00762B5A" w:rsidP="007E2D07">
            <w:pPr>
              <w:rPr>
                <w:szCs w:val="22"/>
                <w:u w:val="single"/>
              </w:rPr>
            </w:pPr>
            <w:r>
              <w:rPr>
                <w:szCs w:val="22"/>
                <w:u w:val="single"/>
              </w:rPr>
              <w:t>Methodology</w:t>
            </w:r>
          </w:p>
          <w:p w14:paraId="28BA964E" w14:textId="77777777" w:rsidR="00762B5A" w:rsidRDefault="00762B5A" w:rsidP="007E2D07">
            <w:pPr>
              <w:rPr>
                <w:szCs w:val="22"/>
              </w:rPr>
            </w:pPr>
            <w:r>
              <w:rPr>
                <w:szCs w:val="22"/>
              </w:rPr>
              <w:t xml:space="preserve">Pre and post surveys of participants including students of summer schools and mentors </w:t>
            </w:r>
          </w:p>
          <w:p w14:paraId="1925052E" w14:textId="77777777" w:rsidR="00762B5A" w:rsidRDefault="00762B5A" w:rsidP="007E2D07">
            <w:pPr>
              <w:rPr>
                <w:szCs w:val="22"/>
              </w:rPr>
            </w:pPr>
            <w:proofErr w:type="spellStart"/>
            <w:r>
              <w:t>dandolo</w:t>
            </w:r>
            <w:proofErr w:type="spellEnd"/>
            <w:r>
              <w:t xml:space="preserve">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w:t>
            </w:r>
            <w:proofErr w:type="spellStart"/>
            <w:r>
              <w:rPr>
                <w:szCs w:val="22"/>
              </w:rPr>
              <w:t>digIT</w:t>
            </w:r>
            <w:proofErr w:type="spellEnd"/>
            <w:r>
              <w:rPr>
                <w:szCs w:val="22"/>
              </w:rPr>
              <w:t>.</w:t>
            </w:r>
          </w:p>
        </w:tc>
      </w:tr>
      <w:tr w:rsidR="00762B5A" w14:paraId="201FE24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A83A595" w14:textId="77777777" w:rsidR="00762B5A" w:rsidRPr="00EB7212" w:rsidRDefault="00762B5A" w:rsidP="007E2D07">
            <w:pPr>
              <w:rPr>
                <w:b/>
                <w:bCs/>
                <w:szCs w:val="22"/>
              </w:rPr>
            </w:pPr>
            <w:r w:rsidRPr="00EB7212">
              <w:rPr>
                <w:b/>
                <w:bCs/>
                <w:szCs w:val="22"/>
              </w:rPr>
              <w:t xml:space="preserve">Summary of evaluation conclusions (internal evaluation – Evaluation Report and </w:t>
            </w:r>
            <w:proofErr w:type="spellStart"/>
            <w:r w:rsidRPr="00EB7212">
              <w:rPr>
                <w:b/>
                <w:bCs/>
                <w:szCs w:val="22"/>
              </w:rPr>
              <w:t>dandolo</w:t>
            </w:r>
            <w:proofErr w:type="spellEnd"/>
            <w:r w:rsidRPr="00EB7212">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774045F" w14:textId="77777777" w:rsidR="00762B5A" w:rsidRDefault="00762B5A" w:rsidP="00164DDE">
            <w:pPr>
              <w:pStyle w:val="ListParagraph"/>
              <w:numPr>
                <w:ilvl w:val="0"/>
                <w:numId w:val="186"/>
              </w:numPr>
              <w:rPr>
                <w:szCs w:val="22"/>
              </w:rPr>
            </w:pPr>
            <w:r>
              <w:rPr>
                <w:szCs w:val="22"/>
              </w:rPr>
              <w:t xml:space="preserve">Overall, </w:t>
            </w:r>
            <w:proofErr w:type="spellStart"/>
            <w:r>
              <w:rPr>
                <w:szCs w:val="22"/>
              </w:rPr>
              <w:t>digIT</w:t>
            </w:r>
            <w:proofErr w:type="spellEnd"/>
            <w:r>
              <w:rPr>
                <w:szCs w:val="22"/>
              </w:rPr>
              <w:t xml:space="preserve"> seems to be less well-known with stakeholders compared with other NISA-funded initiatives. Some stakeholders suggested the scale and focus of the initiative is too narrow, with a perception that only two jurisdictions at a time are able to participate. For example, NT is yet to engage with </w:t>
            </w:r>
            <w:proofErr w:type="spellStart"/>
            <w:r>
              <w:rPr>
                <w:szCs w:val="22"/>
              </w:rPr>
              <w:t>digIT</w:t>
            </w:r>
            <w:proofErr w:type="spellEnd"/>
            <w:r>
              <w:rPr>
                <w:szCs w:val="22"/>
              </w:rPr>
              <w:t>.</w:t>
            </w:r>
          </w:p>
          <w:p w14:paraId="58D86FAD" w14:textId="77777777" w:rsidR="00762B5A" w:rsidRDefault="00762B5A" w:rsidP="00164DDE">
            <w:pPr>
              <w:pStyle w:val="ListParagraph"/>
              <w:numPr>
                <w:ilvl w:val="0"/>
                <w:numId w:val="186"/>
              </w:numPr>
              <w:rPr>
                <w:lang w:eastAsia="en-GB"/>
              </w:rPr>
            </w:pPr>
            <w:r>
              <w:rPr>
                <w:lang w:eastAsia="en-GB"/>
              </w:rPr>
              <w:t xml:space="preserve">However, findings for </w:t>
            </w:r>
            <w:proofErr w:type="spellStart"/>
            <w:r>
              <w:rPr>
                <w:lang w:eastAsia="en-GB"/>
              </w:rPr>
              <w:t>digIT</w:t>
            </w:r>
            <w:proofErr w:type="spellEnd"/>
            <w:r>
              <w:rPr>
                <w:lang w:eastAsia="en-GB"/>
              </w:rPr>
              <w:t xml:space="preserve"> suggest positive outcomes for students, including an increased likelihood of students pursuing STEM subjects in later years. However, there are reservations about the initiative’s scope and its direct student focus rather than strengthening teacher capability. </w:t>
            </w:r>
          </w:p>
          <w:p w14:paraId="02411E69" w14:textId="77777777" w:rsidR="00762B5A" w:rsidRDefault="00762B5A" w:rsidP="00164DDE">
            <w:pPr>
              <w:pStyle w:val="ListParagraph"/>
              <w:numPr>
                <w:ilvl w:val="0"/>
                <w:numId w:val="186"/>
              </w:numPr>
              <w:rPr>
                <w:szCs w:val="22"/>
              </w:rPr>
            </w:pPr>
            <w:r>
              <w:rPr>
                <w:szCs w:val="22"/>
              </w:rPr>
              <w:t xml:space="preserve">Findings from the internal evaluation characterise positive successes based on the second </w:t>
            </w:r>
            <w:proofErr w:type="spellStart"/>
            <w:r>
              <w:rPr>
                <w:szCs w:val="22"/>
              </w:rPr>
              <w:t>digIT</w:t>
            </w:r>
            <w:proofErr w:type="spellEnd"/>
            <w:r>
              <w:rPr>
                <w:szCs w:val="22"/>
              </w:rPr>
              <w:t xml:space="preserve"> program held at Monash University in 2018:</w:t>
            </w:r>
          </w:p>
          <w:p w14:paraId="17385E77" w14:textId="77777777" w:rsidR="00762B5A" w:rsidRDefault="00762B5A" w:rsidP="00164DDE">
            <w:pPr>
              <w:pStyle w:val="ListParagraph"/>
              <w:numPr>
                <w:ilvl w:val="0"/>
                <w:numId w:val="186"/>
              </w:numPr>
              <w:rPr>
                <w:szCs w:val="22"/>
              </w:rPr>
            </w:pPr>
            <w:r>
              <w:rPr>
                <w:szCs w:val="22"/>
              </w:rPr>
              <w:t>Excellent satisfaction feedback from participants</w:t>
            </w:r>
          </w:p>
          <w:p w14:paraId="688CB72C" w14:textId="77777777" w:rsidR="00762B5A" w:rsidRDefault="00762B5A" w:rsidP="00164DDE">
            <w:pPr>
              <w:pStyle w:val="ListParagraph"/>
              <w:numPr>
                <w:ilvl w:val="0"/>
                <w:numId w:val="186"/>
              </w:numPr>
              <w:rPr>
                <w:szCs w:val="22"/>
              </w:rPr>
            </w:pPr>
            <w:r>
              <w:rPr>
                <w:szCs w:val="22"/>
              </w:rPr>
              <w:t>A continued increase in students’ confidence in IT, Mathematics and Science subjects</w:t>
            </w:r>
          </w:p>
          <w:p w14:paraId="795C0FD0" w14:textId="77777777" w:rsidR="00762B5A" w:rsidRDefault="00762B5A" w:rsidP="00164DDE">
            <w:pPr>
              <w:pStyle w:val="ListParagraph"/>
              <w:numPr>
                <w:ilvl w:val="0"/>
                <w:numId w:val="186"/>
              </w:numPr>
              <w:rPr>
                <w:szCs w:val="22"/>
              </w:rPr>
            </w:pPr>
            <w:r>
              <w:rPr>
                <w:szCs w:val="22"/>
              </w:rPr>
              <w:t>A continued increase in students reporting likelihood of studying IT, Mathematics and/or Science in Years 11 and 12 and at university, and</w:t>
            </w:r>
          </w:p>
          <w:p w14:paraId="5BD78FED" w14:textId="77777777" w:rsidR="00762B5A" w:rsidRDefault="00762B5A" w:rsidP="00164DDE">
            <w:pPr>
              <w:pStyle w:val="ListParagraph"/>
              <w:numPr>
                <w:ilvl w:val="0"/>
                <w:numId w:val="186"/>
              </w:numPr>
              <w:rPr>
                <w:szCs w:val="22"/>
              </w:rPr>
            </w:pPr>
            <w:r>
              <w:rPr>
                <w:szCs w:val="22"/>
              </w:rPr>
              <w:t>Continuing development and delivery of a range of high-quality, interactive activities and experiences designed to help students engage with different types of ICT content areas including algorithmic thinking, coding web design, gaming and robotics.</w:t>
            </w:r>
          </w:p>
          <w:p w14:paraId="77B9708E" w14:textId="77777777" w:rsidR="00762B5A" w:rsidRDefault="00762B5A" w:rsidP="00164DDE">
            <w:pPr>
              <w:pStyle w:val="ListParagraph"/>
              <w:numPr>
                <w:ilvl w:val="0"/>
                <w:numId w:val="186"/>
              </w:numPr>
              <w:rPr>
                <w:szCs w:val="22"/>
              </w:rPr>
            </w:pPr>
            <w:r>
              <w:rPr>
                <w:szCs w:val="22"/>
              </w:rPr>
              <w:t>Survey results from 2018 over most KPIs are comparable to 2017: there were slight decreases (2-6%) in student participants completing the program and student interest/likelihood of studying ICT; an increase (8%) in mentor satisfaction for the 2018 program. These slight differences reflect the variation in student cohort between the first and second programs.</w:t>
            </w:r>
          </w:p>
        </w:tc>
      </w:tr>
      <w:tr w:rsidR="00762B5A" w14:paraId="2306293D"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38D72D" w14:textId="77777777" w:rsidR="00762B5A" w:rsidRPr="00EB7212" w:rsidRDefault="00762B5A" w:rsidP="007E2D07">
            <w:pPr>
              <w:rPr>
                <w:b/>
                <w:bCs/>
                <w:szCs w:val="22"/>
              </w:rPr>
            </w:pPr>
            <w:r w:rsidRPr="00EB7212">
              <w:rPr>
                <w:b/>
                <w:bCs/>
                <w:szCs w:val="22"/>
              </w:rPr>
              <w:t xml:space="preserve">Limitations of the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A385DB" w14:textId="77777777" w:rsidR="00762B5A" w:rsidRDefault="00762B5A" w:rsidP="00164DDE">
            <w:pPr>
              <w:pStyle w:val="ListParagraph"/>
              <w:numPr>
                <w:ilvl w:val="0"/>
                <w:numId w:val="76"/>
              </w:numPr>
              <w:rPr>
                <w:szCs w:val="22"/>
                <w:lang w:val="en-GB"/>
              </w:rPr>
            </w:pPr>
            <w:r>
              <w:rPr>
                <w:rFonts w:cs="Arial Narrow"/>
                <w:szCs w:val="22"/>
                <w:lang w:val="en-GB"/>
              </w:rPr>
              <w:t xml:space="preserve">No external evaluation has been undertaken. The evaluation was conducted by the provider and is therefore not independent </w:t>
            </w:r>
          </w:p>
          <w:p w14:paraId="7152F85A" w14:textId="77777777" w:rsidR="00762B5A" w:rsidRDefault="00762B5A" w:rsidP="00164DDE">
            <w:pPr>
              <w:pStyle w:val="ListParagraph"/>
              <w:numPr>
                <w:ilvl w:val="0"/>
                <w:numId w:val="76"/>
              </w:numPr>
              <w:rPr>
                <w:szCs w:val="22"/>
                <w:lang w:val="en-GB"/>
              </w:rPr>
            </w:pPr>
            <w:r>
              <w:rPr>
                <w:rFonts w:cs="Arial Narrow"/>
                <w:szCs w:val="22"/>
                <w:lang w:val="en-GB"/>
              </w:rPr>
              <w:t xml:space="preserve">Final conclusions have not been reached because the internal evaluation is ongoing </w:t>
            </w:r>
            <w:r>
              <w:rPr>
                <w:szCs w:val="22"/>
                <w:lang w:val="en-GB"/>
              </w:rPr>
              <w:t>– the final evaluation report is due in 2020</w:t>
            </w:r>
          </w:p>
          <w:p w14:paraId="170E84B7" w14:textId="77777777" w:rsidR="00762B5A" w:rsidRDefault="00762B5A" w:rsidP="00164DDE">
            <w:pPr>
              <w:pStyle w:val="ListParagraph"/>
              <w:numPr>
                <w:ilvl w:val="0"/>
                <w:numId w:val="76"/>
              </w:numPr>
              <w:rPr>
                <w:szCs w:val="22"/>
              </w:rPr>
            </w:pPr>
            <w:r>
              <w:rPr>
                <w:szCs w:val="22"/>
                <w:lang w:val="en-GB"/>
              </w:rPr>
              <w:t>The internal evaluation does not include direct measures of student achievement or engagement or information about the resources developed as part the imitative</w:t>
            </w:r>
          </w:p>
        </w:tc>
      </w:tr>
      <w:tr w:rsidR="00762B5A" w14:paraId="579C9440" w14:textId="77777777" w:rsidTr="007E2D07">
        <w:trPr>
          <w:trHeight w:val="242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68CAF3" w14:textId="77777777" w:rsidR="00762B5A" w:rsidRPr="00EB7212" w:rsidRDefault="00762B5A" w:rsidP="007E2D07">
            <w:pPr>
              <w:rPr>
                <w:b/>
                <w:bCs/>
                <w:szCs w:val="22"/>
              </w:rPr>
            </w:pPr>
            <w:r w:rsidRPr="00EB7212">
              <w:rPr>
                <w:b/>
                <w:bCs/>
                <w:szCs w:val="22"/>
              </w:rPr>
              <w:t>Challenges faced by the provider</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53E922F" w14:textId="77777777" w:rsidR="00762B5A" w:rsidRDefault="00762B5A" w:rsidP="00164DDE">
            <w:pPr>
              <w:pStyle w:val="ListParagraph"/>
              <w:numPr>
                <w:ilvl w:val="0"/>
                <w:numId w:val="73"/>
              </w:numPr>
              <w:rPr>
                <w:bCs/>
                <w:szCs w:val="22"/>
              </w:rPr>
            </w:pPr>
            <w:r>
              <w:rPr>
                <w:bCs/>
                <w:szCs w:val="22"/>
              </w:rPr>
              <w:t xml:space="preserve">The program has struggled with brand recognition because it moves from state to state each year. This leads to difficulties recruiting teachers, students, schools and finding platforms and organisations to promote the mentor program  </w:t>
            </w:r>
          </w:p>
          <w:p w14:paraId="5C7B00F8" w14:textId="77777777" w:rsidR="00762B5A" w:rsidRDefault="00762B5A" w:rsidP="00164DDE">
            <w:pPr>
              <w:pStyle w:val="ListParagraph"/>
              <w:numPr>
                <w:ilvl w:val="0"/>
                <w:numId w:val="73"/>
              </w:numPr>
              <w:rPr>
                <w:szCs w:val="22"/>
              </w:rPr>
            </w:pPr>
            <w:r>
              <w:rPr>
                <w:bCs/>
                <w:szCs w:val="22"/>
              </w:rPr>
              <w:t xml:space="preserve">Finding suitable excursion locations and safe, secure and appropriate accommodation during school holidays is difficult </w:t>
            </w:r>
          </w:p>
          <w:p w14:paraId="75E11982" w14:textId="77777777" w:rsidR="00762B5A" w:rsidRDefault="00762B5A" w:rsidP="00164DDE">
            <w:pPr>
              <w:pStyle w:val="ListParagraph"/>
              <w:numPr>
                <w:ilvl w:val="0"/>
                <w:numId w:val="73"/>
              </w:numPr>
              <w:rPr>
                <w:szCs w:val="22"/>
              </w:rPr>
            </w:pPr>
            <w:r>
              <w:rPr>
                <w:bCs/>
                <w:szCs w:val="22"/>
              </w:rPr>
              <w:t>Convincing ICT companies to be involved has been challenging because they cannot often deal with large groups and have issues around classified data</w:t>
            </w:r>
          </w:p>
        </w:tc>
      </w:tr>
      <w:tr w:rsidR="00762B5A" w14:paraId="12A602B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CF03730" w14:textId="77777777" w:rsidR="00762B5A" w:rsidRPr="00EB7212" w:rsidRDefault="00762B5A" w:rsidP="007E2D07">
            <w:pPr>
              <w:rPr>
                <w:b/>
                <w:bCs/>
                <w:szCs w:val="22"/>
              </w:rPr>
            </w:pPr>
            <w:r w:rsidRPr="00EB7212">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6820169" w14:textId="77777777" w:rsidR="00762B5A" w:rsidRDefault="00762B5A" w:rsidP="00164DDE">
            <w:pPr>
              <w:pStyle w:val="ListParagraph"/>
              <w:numPr>
                <w:ilvl w:val="0"/>
                <w:numId w:val="74"/>
              </w:numPr>
              <w:rPr>
                <w:szCs w:val="22"/>
              </w:rPr>
            </w:pPr>
            <w:r>
              <w:rPr>
                <w:szCs w:val="22"/>
              </w:rPr>
              <w:t>Developers are considering scaling up the project, but this would put monitoring and management strain on mentor-mentee relationships which take time to foster</w:t>
            </w:r>
          </w:p>
          <w:p w14:paraId="147CCBE0" w14:textId="77777777" w:rsidR="00762B5A" w:rsidRDefault="00762B5A" w:rsidP="00164DDE">
            <w:pPr>
              <w:pStyle w:val="ListParagraph"/>
              <w:numPr>
                <w:ilvl w:val="0"/>
                <w:numId w:val="74"/>
              </w:numPr>
              <w:rPr>
                <w:iCs/>
                <w:szCs w:val="22"/>
              </w:rPr>
            </w:pPr>
            <w:r>
              <w:rPr>
                <w:iCs/>
                <w:szCs w:val="22"/>
              </w:rPr>
              <w:t xml:space="preserve">Refine and improve </w:t>
            </w:r>
            <w:r>
              <w:rPr>
                <w:rFonts w:eastAsia="Times New Roman" w:cs="Times New Roman"/>
                <w:iCs/>
                <w:szCs w:val="22"/>
              </w:rPr>
              <w:t xml:space="preserve">the </w:t>
            </w:r>
            <w:r>
              <w:rPr>
                <w:szCs w:val="22"/>
              </w:rPr>
              <w:t>experience for mentors and mentees based on the feedback and learning from previous programs</w:t>
            </w:r>
          </w:p>
        </w:tc>
      </w:tr>
      <w:tr w:rsidR="00762B5A" w14:paraId="460FB23A" w14:textId="77777777" w:rsidTr="007E2D07">
        <w:trPr>
          <w:trHeight w:val="401"/>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5C375D0" w14:textId="77777777" w:rsidR="00762B5A" w:rsidRPr="00EB7212" w:rsidRDefault="00762B5A" w:rsidP="007E2D07">
            <w:pPr>
              <w:rPr>
                <w:b/>
                <w:bCs/>
                <w:szCs w:val="22"/>
              </w:rPr>
            </w:pPr>
            <w:r w:rsidRPr="00EB7212">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68B50AE" w14:textId="77777777" w:rsidR="00762B5A" w:rsidRDefault="00762B5A" w:rsidP="00164DDE">
            <w:pPr>
              <w:pStyle w:val="ListParagraph"/>
              <w:numPr>
                <w:ilvl w:val="0"/>
                <w:numId w:val="75"/>
              </w:numPr>
              <w:rPr>
                <w:szCs w:val="22"/>
              </w:rPr>
            </w:pPr>
            <w:r>
              <w:rPr>
                <w:szCs w:val="22"/>
              </w:rPr>
              <w:t xml:space="preserve">Australian Mathematics Trust. (n.d.) </w:t>
            </w:r>
            <w:r>
              <w:rPr>
                <w:i/>
                <w:iCs/>
                <w:szCs w:val="22"/>
              </w:rPr>
              <w:t xml:space="preserve">Evaluation Report </w:t>
            </w:r>
            <w:proofErr w:type="spellStart"/>
            <w:r>
              <w:rPr>
                <w:i/>
                <w:iCs/>
                <w:szCs w:val="22"/>
              </w:rPr>
              <w:t>digIT</w:t>
            </w:r>
            <w:proofErr w:type="spellEnd"/>
            <w:r>
              <w:rPr>
                <w:szCs w:val="22"/>
              </w:rPr>
              <w:t xml:space="preserve"> </w:t>
            </w:r>
            <w:r>
              <w:rPr>
                <w:i/>
                <w:iCs/>
                <w:szCs w:val="22"/>
              </w:rPr>
              <w:t>2018</w:t>
            </w:r>
          </w:p>
          <w:p w14:paraId="19A2EBD2" w14:textId="77777777" w:rsidR="00762B5A" w:rsidRDefault="00762B5A" w:rsidP="00164DDE">
            <w:pPr>
              <w:pStyle w:val="ListParagraph"/>
              <w:numPr>
                <w:ilvl w:val="0"/>
                <w:numId w:val="69"/>
              </w:numPr>
              <w:rPr>
                <w:b/>
                <w:bCs/>
                <w:sz w:val="21"/>
                <w:szCs w:val="21"/>
              </w:rPr>
            </w:pPr>
            <w:r>
              <w:rPr>
                <w:szCs w:val="22"/>
              </w:rPr>
              <w:t>Interview with provider</w:t>
            </w:r>
          </w:p>
          <w:p w14:paraId="1A3D8B24" w14:textId="77777777" w:rsidR="00762B5A" w:rsidRDefault="00762B5A" w:rsidP="00164DDE">
            <w:pPr>
              <w:pStyle w:val="ListParagraph"/>
              <w:numPr>
                <w:ilvl w:val="0"/>
                <w:numId w:val="69"/>
              </w:numPr>
              <w:rPr>
                <w:b/>
                <w:bCs/>
              </w:rPr>
            </w:pPr>
            <w:r>
              <w:rPr>
                <w:szCs w:val="22"/>
              </w:rPr>
              <w:t xml:space="preserve">Contract between the Australian Government and the Australian Mathematics Trust </w:t>
            </w:r>
          </w:p>
        </w:tc>
      </w:tr>
    </w:tbl>
    <w:p w14:paraId="63354637" w14:textId="77777777" w:rsidR="00762B5A" w:rsidRDefault="00762B5A" w:rsidP="00762B5A">
      <w:pPr>
        <w:rPr>
          <w:szCs w:val="22"/>
        </w:rPr>
      </w:pPr>
    </w:p>
    <w:p w14:paraId="0DD3A272" w14:textId="77777777" w:rsidR="00762B5A" w:rsidRDefault="00762B5A" w:rsidP="00762B5A">
      <w:pPr>
        <w:rPr>
          <w:rFonts w:cs="Arial"/>
        </w:rPr>
      </w:pPr>
      <w:r>
        <w:rPr>
          <w:rFonts w:cs="Arial"/>
        </w:rPr>
        <w:br w:type="page"/>
      </w:r>
    </w:p>
    <w:p w14:paraId="0B0BA990" w14:textId="77777777" w:rsidR="00762B5A" w:rsidRDefault="00762B5A" w:rsidP="00762B5A">
      <w:pPr>
        <w:pStyle w:val="Heading1"/>
        <w:numPr>
          <w:ilvl w:val="0"/>
          <w:numId w:val="0"/>
        </w:numPr>
        <w:spacing w:before="0" w:after="120" w:line="360" w:lineRule="auto"/>
        <w:rPr>
          <w:rFonts w:asciiTheme="minorHAnsi" w:hAnsiTheme="minorHAnsi"/>
          <w:sz w:val="44"/>
          <w:szCs w:val="44"/>
        </w:rPr>
      </w:pPr>
      <w:bookmarkStart w:id="168" w:name="_Toc25162084"/>
      <w:r>
        <w:rPr>
          <w:rFonts w:asciiTheme="minorHAnsi" w:hAnsiTheme="minorHAnsi"/>
          <w:sz w:val="44"/>
          <w:szCs w:val="44"/>
        </w:rPr>
        <w:t>Additional school initiatives</w:t>
      </w:r>
      <w:bookmarkEnd w:id="168"/>
      <w:r>
        <w:rPr>
          <w:rFonts w:asciiTheme="minorHAnsi" w:hAnsiTheme="minorHAnsi"/>
          <w:sz w:val="44"/>
          <w:szCs w:val="44"/>
        </w:rPr>
        <w:t xml:space="preserve"> </w:t>
      </w:r>
    </w:p>
    <w:p w14:paraId="5974AAFD" w14:textId="77777777" w:rsidR="00762B5A" w:rsidRDefault="00762B5A" w:rsidP="00762B5A">
      <w:pPr>
        <w:rPr>
          <w:rFonts w:cs="Arial"/>
          <w:b/>
          <w:bCs/>
          <w:color w:val="931B2F" w:themeColor="background2"/>
          <w:sz w:val="36"/>
          <w:szCs w:val="36"/>
        </w:rPr>
      </w:pPr>
      <w:r>
        <w:rPr>
          <w:rFonts w:cs="Arial"/>
          <w:b/>
          <w:bCs/>
          <w:color w:val="931B2F" w:themeColor="background2"/>
          <w:sz w:val="36"/>
          <w:szCs w:val="36"/>
        </w:rPr>
        <w:t>Principals as STEM Leaders (PASL)</w:t>
      </w:r>
    </w:p>
    <w:tbl>
      <w:tblPr>
        <w:tblStyle w:val="BoxGrid-Coloured"/>
        <w:tblW w:w="9062" w:type="dxa"/>
        <w:tblLook w:val="04A0" w:firstRow="1" w:lastRow="0" w:firstColumn="1" w:lastColumn="0" w:noHBand="0" w:noVBand="1"/>
      </w:tblPr>
      <w:tblGrid>
        <w:gridCol w:w="2784"/>
        <w:gridCol w:w="6278"/>
      </w:tblGrid>
      <w:tr w:rsidR="00762B5A" w14:paraId="4FC8E6C1"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BD09628" w14:textId="77777777" w:rsidR="00762B5A" w:rsidRPr="00EB7212" w:rsidRDefault="00762B5A" w:rsidP="007E2D07">
            <w:pPr>
              <w:rPr>
                <w:b/>
                <w:bCs/>
                <w:szCs w:val="22"/>
              </w:rPr>
            </w:pPr>
            <w:r w:rsidRPr="00EB7212">
              <w:rPr>
                <w:b/>
                <w:bCs/>
                <w:szCs w:val="22"/>
              </w:rPr>
              <w:t xml:space="preserve">Provider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C1D6C1A" w14:textId="77777777" w:rsidR="00762B5A" w:rsidRDefault="00762B5A" w:rsidP="007E2D07">
            <w:pPr>
              <w:rPr>
                <w:szCs w:val="22"/>
              </w:rPr>
            </w:pPr>
            <w:r>
              <w:rPr>
                <w:szCs w:val="22"/>
              </w:rPr>
              <w:t xml:space="preserve">Principals as STEM Leaders (PASL) </w:t>
            </w:r>
          </w:p>
        </w:tc>
      </w:tr>
      <w:tr w:rsidR="00762B5A" w14:paraId="40FC2AD3"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94954A0" w14:textId="77777777" w:rsidR="00762B5A" w:rsidRPr="00EB7212" w:rsidRDefault="00762B5A" w:rsidP="007E2D07">
            <w:pPr>
              <w:rPr>
                <w:b/>
                <w:bCs/>
                <w:szCs w:val="22"/>
              </w:rPr>
            </w:pPr>
            <w:r w:rsidRPr="00EB7212">
              <w:rPr>
                <w:b/>
                <w:bCs/>
                <w:szCs w:val="22"/>
              </w:rPr>
              <w:t xml:space="preserve">Initiative description and objectives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D406826" w14:textId="77777777" w:rsidR="00762B5A" w:rsidRDefault="00762B5A" w:rsidP="007E2D07">
            <w:pPr>
              <w:rPr>
                <w:szCs w:val="22"/>
              </w:rPr>
            </w:pPr>
            <w:r>
              <w:rPr>
                <w:szCs w:val="22"/>
              </w:rPr>
              <w:t xml:space="preserve">The Principals as STEM Leaders project is developing and piloting new approaches to support principals to provide high quality STEM leadership in schools. The project will involve around 200 primary and secondary schools in the government and non-government sectors, covering rural, regional, remote and metropolitan areas. A suite of high-quality professional learning and mentoring resources developed through the project will be made available for all Australian schools to use at the end of the project, alongside a research report detailing key findings. </w:t>
            </w:r>
          </w:p>
          <w:p w14:paraId="6AE85477" w14:textId="77777777" w:rsidR="00762B5A" w:rsidRDefault="00762B5A" w:rsidP="007E2D07">
            <w:pPr>
              <w:rPr>
                <w:szCs w:val="22"/>
                <w:u w:val="single"/>
              </w:rPr>
            </w:pPr>
            <w:r>
              <w:rPr>
                <w:szCs w:val="22"/>
                <w:u w:val="single"/>
              </w:rPr>
              <w:t>Objectives</w:t>
            </w:r>
          </w:p>
          <w:p w14:paraId="6DFD5130" w14:textId="77777777" w:rsidR="00762B5A" w:rsidRDefault="00762B5A" w:rsidP="00164DDE">
            <w:pPr>
              <w:pStyle w:val="ListParagraph"/>
              <w:numPr>
                <w:ilvl w:val="0"/>
                <w:numId w:val="77"/>
              </w:numPr>
              <w:rPr>
                <w:szCs w:val="22"/>
              </w:rPr>
            </w:pPr>
            <w:r>
              <w:rPr>
                <w:szCs w:val="22"/>
              </w:rPr>
              <w:t>To determine best-practice and expand evidence-based approaches that enhance student STEM engagement and outcomes, through the professional development of principals as successful STEM leaders</w:t>
            </w:r>
          </w:p>
          <w:p w14:paraId="2A20974C" w14:textId="77777777" w:rsidR="00762B5A" w:rsidRDefault="00762B5A" w:rsidP="00164DDE">
            <w:pPr>
              <w:pStyle w:val="ListParagraph"/>
              <w:numPr>
                <w:ilvl w:val="0"/>
                <w:numId w:val="77"/>
              </w:numPr>
              <w:rPr>
                <w:szCs w:val="22"/>
              </w:rPr>
            </w:pPr>
            <w:r>
              <w:rPr>
                <w:szCs w:val="22"/>
              </w:rPr>
              <w:t>Develop high quality and accessible resources</w:t>
            </w:r>
          </w:p>
          <w:p w14:paraId="3F591800" w14:textId="77777777" w:rsidR="00762B5A" w:rsidRDefault="00762B5A" w:rsidP="00164DDE">
            <w:pPr>
              <w:pStyle w:val="ListParagraph"/>
              <w:numPr>
                <w:ilvl w:val="0"/>
                <w:numId w:val="77"/>
              </w:numPr>
              <w:rPr>
                <w:szCs w:val="22"/>
              </w:rPr>
            </w:pPr>
            <w:r>
              <w:rPr>
                <w:szCs w:val="22"/>
              </w:rPr>
              <w:t>Support mentoring model to be made available beyond the life of the project</w:t>
            </w:r>
          </w:p>
          <w:p w14:paraId="57FA8639" w14:textId="77777777" w:rsidR="00762B5A" w:rsidRDefault="00762B5A" w:rsidP="00164DDE">
            <w:pPr>
              <w:pStyle w:val="ListParagraph"/>
              <w:numPr>
                <w:ilvl w:val="0"/>
                <w:numId w:val="77"/>
              </w:numPr>
              <w:rPr>
                <w:szCs w:val="22"/>
              </w:rPr>
            </w:pPr>
            <w:r>
              <w:rPr>
                <w:szCs w:val="22"/>
              </w:rPr>
              <w:t>Evaluate both the impact of the resources and the project overall and share lessons learned to inform future policy and practice</w:t>
            </w:r>
          </w:p>
        </w:tc>
      </w:tr>
      <w:tr w:rsidR="00762B5A" w14:paraId="0F907A09"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503ACA2" w14:textId="77777777" w:rsidR="00762B5A" w:rsidRPr="00EB7212" w:rsidRDefault="00762B5A" w:rsidP="007E2D07">
            <w:pPr>
              <w:rPr>
                <w:b/>
                <w:bCs/>
                <w:szCs w:val="22"/>
              </w:rPr>
            </w:pPr>
            <w:r w:rsidRPr="00EB7212">
              <w:rPr>
                <w:b/>
                <w:bCs/>
                <w:szCs w:val="22"/>
              </w:rPr>
              <w:t>Target audience</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9027D60" w14:textId="77777777" w:rsidR="00762B5A" w:rsidRDefault="00762B5A" w:rsidP="007E2D07">
            <w:pPr>
              <w:rPr>
                <w:szCs w:val="22"/>
              </w:rPr>
            </w:pPr>
            <w:r>
              <w:rPr>
                <w:szCs w:val="22"/>
              </w:rPr>
              <w:t xml:space="preserve">Principals </w:t>
            </w:r>
          </w:p>
        </w:tc>
      </w:tr>
      <w:tr w:rsidR="00762B5A" w14:paraId="4C81C9F6"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4A65A8D" w14:textId="77777777" w:rsidR="00762B5A" w:rsidRPr="00EB7212" w:rsidRDefault="00762B5A" w:rsidP="007E2D07">
            <w:pPr>
              <w:rPr>
                <w:b/>
                <w:bCs/>
                <w:szCs w:val="22"/>
              </w:rPr>
            </w:pPr>
            <w:r w:rsidRPr="00EB7212">
              <w:rPr>
                <w:b/>
                <w:bCs/>
                <w:szCs w:val="22"/>
              </w:rPr>
              <w:t xml:space="preserve">Initiative funding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CEC9E4C" w14:textId="77777777" w:rsidR="00762B5A" w:rsidRDefault="00762B5A" w:rsidP="007E2D07">
            <w:pPr>
              <w:rPr>
                <w:szCs w:val="22"/>
              </w:rPr>
            </w:pPr>
            <w:r>
              <w:rPr>
                <w:szCs w:val="22"/>
              </w:rPr>
              <w:t>NISA funding is $2, 594, 410 (excluding GST) for the period of 2017-2020</w:t>
            </w:r>
          </w:p>
        </w:tc>
      </w:tr>
      <w:tr w:rsidR="00762B5A" w14:paraId="45AFB6F5"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A2DC20D" w14:textId="77777777" w:rsidR="00762B5A" w:rsidRPr="00EB7212" w:rsidRDefault="00762B5A" w:rsidP="007E2D07">
            <w:pPr>
              <w:rPr>
                <w:b/>
                <w:bCs/>
                <w:szCs w:val="22"/>
              </w:rPr>
            </w:pPr>
            <w:r w:rsidRPr="00EB7212">
              <w:rPr>
                <w:b/>
                <w:bCs/>
                <w:szCs w:val="22"/>
              </w:rPr>
              <w:t xml:space="preserve">Evaluation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87A44D7" w14:textId="77777777" w:rsidR="00762B5A" w:rsidRDefault="00762B5A" w:rsidP="007E2D07">
            <w:pPr>
              <w:rPr>
                <w:szCs w:val="22"/>
              </w:rPr>
            </w:pPr>
            <w:r>
              <w:rPr>
                <w:szCs w:val="22"/>
              </w:rPr>
              <w:t xml:space="preserve">In addition to </w:t>
            </w:r>
            <w:proofErr w:type="spellStart"/>
            <w:r>
              <w:rPr>
                <w:szCs w:val="22"/>
              </w:rPr>
              <w:t>dandolo’s</w:t>
            </w:r>
            <w:proofErr w:type="spellEnd"/>
            <w:r>
              <w:rPr>
                <w:szCs w:val="22"/>
              </w:rPr>
              <w:t xml:space="preserve"> evaluation, an external evaluation is built into the project as part of workstream 3. The external evaluator is evaluating PASL throughout the life of the project and will provide an evaluation report at the midway point of the project (mid-2019), and at the end of the project. </w:t>
            </w:r>
          </w:p>
        </w:tc>
      </w:tr>
      <w:tr w:rsidR="00762B5A" w14:paraId="701880C6"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10AC075" w14:textId="77777777" w:rsidR="00762B5A" w:rsidRPr="00EB7212" w:rsidRDefault="00762B5A" w:rsidP="007E2D07">
            <w:pPr>
              <w:rPr>
                <w:b/>
                <w:bCs/>
                <w:szCs w:val="22"/>
              </w:rPr>
            </w:pPr>
            <w:r w:rsidRPr="00EB7212">
              <w:rPr>
                <w:b/>
                <w:bCs/>
                <w:szCs w:val="22"/>
              </w:rPr>
              <w:t>Evaluation purpose (external evaluation)</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485E7C1" w14:textId="77777777" w:rsidR="00762B5A" w:rsidRDefault="00762B5A" w:rsidP="007E2D07">
            <w:pPr>
              <w:rPr>
                <w:b/>
                <w:bCs/>
                <w:szCs w:val="22"/>
              </w:rPr>
            </w:pPr>
            <w:r>
              <w:rPr>
                <w:szCs w:val="22"/>
              </w:rPr>
              <w:t>The purpose of the monitoring and evaluation workstream of the PASL project is to evaluate the effectiveness of the programs and resources developed and the conduct of the PASL research project.</w:t>
            </w:r>
          </w:p>
        </w:tc>
      </w:tr>
      <w:tr w:rsidR="00762B5A" w14:paraId="6BE2F11C"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771110F8" w14:textId="77777777" w:rsidR="00762B5A" w:rsidRPr="00EB7212" w:rsidRDefault="00762B5A" w:rsidP="007E2D07">
            <w:pPr>
              <w:rPr>
                <w:b/>
                <w:bCs/>
                <w:szCs w:val="22"/>
              </w:rPr>
            </w:pPr>
            <w:r w:rsidRPr="00EB7212">
              <w:rPr>
                <w:b/>
                <w:bCs/>
                <w:szCs w:val="22"/>
              </w:rPr>
              <w:t>Evaluation framework / methodology (external evaluation)</w:t>
            </w:r>
          </w:p>
          <w:p w14:paraId="64C4E504" w14:textId="77777777" w:rsidR="00762B5A" w:rsidRPr="00EB7212" w:rsidRDefault="00762B5A" w:rsidP="007E2D07">
            <w:pPr>
              <w:rPr>
                <w:b/>
                <w:bCs/>
                <w:szCs w:val="22"/>
              </w:rPr>
            </w:pP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092AC15" w14:textId="77777777" w:rsidR="00762B5A" w:rsidRDefault="00762B5A" w:rsidP="007E2D07">
            <w:pPr>
              <w:rPr>
                <w:szCs w:val="22"/>
                <w:u w:val="single"/>
              </w:rPr>
            </w:pPr>
            <w:r>
              <w:rPr>
                <w:szCs w:val="22"/>
                <w:u w:val="single"/>
              </w:rPr>
              <w:t>Evaluation framework</w:t>
            </w:r>
          </w:p>
          <w:p w14:paraId="45E09578" w14:textId="77777777" w:rsidR="00762B5A" w:rsidRDefault="00762B5A" w:rsidP="007E2D07">
            <w:pPr>
              <w:rPr>
                <w:szCs w:val="22"/>
              </w:rPr>
            </w:pPr>
            <w:r>
              <w:rPr>
                <w:szCs w:val="22"/>
              </w:rPr>
              <w:t xml:space="preserve">Not provided </w:t>
            </w:r>
          </w:p>
          <w:p w14:paraId="53D2EF8A" w14:textId="77777777" w:rsidR="00762B5A" w:rsidRDefault="00762B5A" w:rsidP="007E2D07">
            <w:pPr>
              <w:rPr>
                <w:szCs w:val="22"/>
                <w:u w:val="single"/>
              </w:rPr>
            </w:pPr>
            <w:r>
              <w:rPr>
                <w:szCs w:val="22"/>
                <w:u w:val="single"/>
              </w:rPr>
              <w:t xml:space="preserve">Methodology </w:t>
            </w:r>
          </w:p>
          <w:p w14:paraId="5E3C5DE4" w14:textId="77777777" w:rsidR="00762B5A" w:rsidRDefault="00762B5A" w:rsidP="007E2D07">
            <w:pPr>
              <w:rPr>
                <w:szCs w:val="22"/>
                <w:u w:val="single"/>
              </w:rPr>
            </w:pPr>
            <w:r>
              <w:rPr>
                <w:szCs w:val="22"/>
              </w:rPr>
              <w:t>Interviews and focus groups with PASL team members and principals</w:t>
            </w:r>
          </w:p>
          <w:p w14:paraId="4CEAEF16" w14:textId="55388B6B"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w:t>
            </w:r>
            <w:r w:rsidR="00760166">
              <w:rPr>
                <w:szCs w:val="22"/>
              </w:rPr>
              <w:t xml:space="preserve"> </w:t>
            </w:r>
            <w:r>
              <w:rPr>
                <w:szCs w:val="22"/>
              </w:rPr>
              <w:t xml:space="preserve">Stakeholders were asked to provide feedback on individual NISA initiatives, including PASL. </w:t>
            </w:r>
          </w:p>
        </w:tc>
      </w:tr>
      <w:tr w:rsidR="00762B5A" w14:paraId="26673CB6"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C48C25E" w14:textId="77777777" w:rsidR="00762B5A" w:rsidRPr="00EB7212" w:rsidRDefault="00762B5A" w:rsidP="007E2D07">
            <w:pPr>
              <w:rPr>
                <w:b/>
                <w:bCs/>
                <w:szCs w:val="22"/>
              </w:rPr>
            </w:pPr>
            <w:r w:rsidRPr="00EB7212">
              <w:rPr>
                <w:b/>
                <w:bCs/>
                <w:szCs w:val="22"/>
              </w:rPr>
              <w:t xml:space="preserve">Summary of evaluation conclusions (external evaluation and </w:t>
            </w:r>
            <w:proofErr w:type="spellStart"/>
            <w:r w:rsidRPr="00EB7212">
              <w:rPr>
                <w:b/>
                <w:bCs/>
                <w:szCs w:val="22"/>
              </w:rPr>
              <w:t>dandolo</w:t>
            </w:r>
            <w:proofErr w:type="spellEnd"/>
            <w:r w:rsidRPr="00EB7212">
              <w:rPr>
                <w:b/>
                <w:bCs/>
                <w:szCs w:val="22"/>
              </w:rPr>
              <w:t xml:space="preserve"> comments)</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E559274" w14:textId="77777777" w:rsidR="00762B5A" w:rsidRDefault="00762B5A" w:rsidP="00164DDE">
            <w:pPr>
              <w:pStyle w:val="ListParagraph"/>
              <w:numPr>
                <w:ilvl w:val="0"/>
                <w:numId w:val="75"/>
              </w:numPr>
              <w:rPr>
                <w:lang w:eastAsia="en-GB"/>
              </w:rPr>
            </w:pPr>
            <w:r>
              <w:rPr>
                <w:lang w:eastAsia="en-GB"/>
              </w:rPr>
              <w:t xml:space="preserve">Generally, stakeholders described PASL as having significant potential to positively influence principals to lead school-wide improvements in STEM, particularly given PASL stands out as an initiative specifically targeting principals as an audience. PASL can also serve as an opportunity to develop and share lessons learned from targeting principals as a key mechanism to achieve school-wide change. However, given PASL’s later start-date, it’s difficult to draw out specific conclusions regarding effectiveness. </w:t>
            </w:r>
          </w:p>
          <w:p w14:paraId="03E01AD3" w14:textId="77777777" w:rsidR="00762B5A" w:rsidRDefault="00762B5A" w:rsidP="00164DDE">
            <w:pPr>
              <w:pStyle w:val="ListParagraph"/>
              <w:numPr>
                <w:ilvl w:val="0"/>
                <w:numId w:val="75"/>
              </w:numPr>
              <w:rPr>
                <w:lang w:eastAsia="en-GB"/>
              </w:rPr>
            </w:pPr>
            <w:r>
              <w:rPr>
                <w:lang w:eastAsia="en-GB"/>
              </w:rPr>
              <w:t xml:space="preserve">Some stakeholders also commented that PASL is an inclusive program with sound objectives, filling a gap in existing STEM offerings. </w:t>
            </w:r>
          </w:p>
          <w:p w14:paraId="4771CA59" w14:textId="77777777" w:rsidR="00762B5A" w:rsidRDefault="00762B5A" w:rsidP="00164DDE">
            <w:pPr>
              <w:pStyle w:val="ListParagraph"/>
              <w:numPr>
                <w:ilvl w:val="0"/>
                <w:numId w:val="80"/>
              </w:numPr>
              <w:rPr>
                <w:bCs/>
                <w:szCs w:val="22"/>
                <w:lang w:val="en-US"/>
              </w:rPr>
            </w:pPr>
            <w:r>
              <w:rPr>
                <w:bCs/>
                <w:szCs w:val="22"/>
                <w:lang w:val="en-US"/>
              </w:rPr>
              <w:t>An external evaluation identified communication among team members as an area for improvement</w:t>
            </w:r>
          </w:p>
          <w:p w14:paraId="736C8CEC" w14:textId="77777777" w:rsidR="00762B5A" w:rsidRDefault="00762B5A" w:rsidP="00164DDE">
            <w:pPr>
              <w:pStyle w:val="ListParagraph"/>
              <w:numPr>
                <w:ilvl w:val="0"/>
                <w:numId w:val="80"/>
              </w:numPr>
              <w:rPr>
                <w:bCs/>
                <w:szCs w:val="22"/>
                <w:lang w:val="en-US"/>
              </w:rPr>
            </w:pPr>
            <w:r>
              <w:rPr>
                <w:bCs/>
                <w:szCs w:val="22"/>
                <w:lang w:val="en-US"/>
              </w:rPr>
              <w:t>The providers reported that the first professional learning with principals in NSW went well and resulted in feedback that has been useful for future planning</w:t>
            </w:r>
          </w:p>
        </w:tc>
      </w:tr>
      <w:tr w:rsidR="00762B5A" w14:paraId="364C74CA"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90D913" w14:textId="77777777" w:rsidR="00762B5A" w:rsidRPr="00EB7212" w:rsidRDefault="00762B5A" w:rsidP="007E2D07">
            <w:pPr>
              <w:rPr>
                <w:b/>
                <w:bCs/>
                <w:szCs w:val="22"/>
              </w:rPr>
            </w:pPr>
            <w:r w:rsidRPr="00EB7212">
              <w:rPr>
                <w:b/>
                <w:bCs/>
                <w:szCs w:val="22"/>
              </w:rPr>
              <w:t xml:space="preserve">Limitations of the evaluation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E48845" w14:textId="77777777" w:rsidR="00762B5A" w:rsidRDefault="00762B5A" w:rsidP="007E2D07">
            <w:pPr>
              <w:rPr>
                <w:bCs/>
                <w:szCs w:val="22"/>
                <w:lang w:val="en-US"/>
              </w:rPr>
            </w:pPr>
            <w:r>
              <w:rPr>
                <w:szCs w:val="22"/>
              </w:rPr>
              <w:t xml:space="preserve">PASL commenced later than the other NISA projects. This limits the period of time the evaluators have had to evaluate the initiative -- </w:t>
            </w:r>
            <w:r>
              <w:rPr>
                <w:bCs/>
                <w:szCs w:val="22"/>
                <w:lang w:val="en-US"/>
              </w:rPr>
              <w:t>the interim evaluation report is due November 2019</w:t>
            </w:r>
          </w:p>
        </w:tc>
      </w:tr>
      <w:tr w:rsidR="00762B5A" w14:paraId="1C8CFC40"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E294C4A" w14:textId="77777777" w:rsidR="00762B5A" w:rsidRPr="00EB7212" w:rsidRDefault="00762B5A" w:rsidP="007E2D07">
            <w:pPr>
              <w:rPr>
                <w:b/>
                <w:bCs/>
                <w:szCs w:val="22"/>
              </w:rPr>
            </w:pPr>
            <w:r w:rsidRPr="00EB7212">
              <w:rPr>
                <w:b/>
                <w:bCs/>
                <w:szCs w:val="22"/>
              </w:rPr>
              <w:t xml:space="preserve">Challenges faced by the provider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16083BC" w14:textId="77777777" w:rsidR="00762B5A" w:rsidRDefault="00762B5A" w:rsidP="00164DDE">
            <w:pPr>
              <w:pStyle w:val="ListParagraph"/>
              <w:numPr>
                <w:ilvl w:val="0"/>
                <w:numId w:val="81"/>
              </w:numPr>
              <w:rPr>
                <w:szCs w:val="22"/>
                <w:u w:val="single"/>
                <w:lang w:val="en-US"/>
              </w:rPr>
            </w:pPr>
            <w:r>
              <w:rPr>
                <w:szCs w:val="22"/>
              </w:rPr>
              <w:t>The provider reported that securing ethics approval in multiple jurisdictions was a lengthy process -- this contributed to substantial project delays because the provider was unable to recruit participants</w:t>
            </w:r>
          </w:p>
          <w:p w14:paraId="6EAA7665" w14:textId="77777777" w:rsidR="00762B5A" w:rsidRDefault="00762B5A" w:rsidP="00164DDE">
            <w:pPr>
              <w:pStyle w:val="ListParagraph"/>
              <w:numPr>
                <w:ilvl w:val="0"/>
                <w:numId w:val="81"/>
              </w:numPr>
              <w:rPr>
                <w:szCs w:val="22"/>
                <w:u w:val="single"/>
                <w:lang w:val="en-US"/>
              </w:rPr>
            </w:pPr>
            <w:r>
              <w:rPr>
                <w:szCs w:val="22"/>
              </w:rPr>
              <w:t>Changes in requirements related to data storage and collection created significant additional work for the provider, which they have found time-consuming and difficult to navigate</w:t>
            </w:r>
          </w:p>
        </w:tc>
      </w:tr>
      <w:tr w:rsidR="00762B5A" w14:paraId="002F2789" w14:textId="77777777" w:rsidTr="007E2D07">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7B5F67E" w14:textId="77777777" w:rsidR="00762B5A" w:rsidRPr="00EB7212" w:rsidRDefault="00762B5A" w:rsidP="007E2D07">
            <w:pPr>
              <w:rPr>
                <w:b/>
                <w:bCs/>
                <w:szCs w:val="22"/>
              </w:rPr>
            </w:pPr>
            <w:r w:rsidRPr="00EB7212">
              <w:rPr>
                <w:b/>
                <w:bCs/>
                <w:szCs w:val="22"/>
              </w:rPr>
              <w:t xml:space="preserve">Future plans and goals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ABE3868" w14:textId="77777777" w:rsidR="00762B5A" w:rsidRDefault="00762B5A" w:rsidP="00164DDE">
            <w:pPr>
              <w:pStyle w:val="ListParagraph"/>
              <w:numPr>
                <w:ilvl w:val="0"/>
                <w:numId w:val="78"/>
              </w:numPr>
              <w:ind w:right="346"/>
              <w:rPr>
                <w:szCs w:val="22"/>
                <w:lang w:val="en-US"/>
              </w:rPr>
            </w:pPr>
            <w:r>
              <w:rPr>
                <w:szCs w:val="22"/>
                <w:lang w:val="en-US"/>
              </w:rPr>
              <w:t xml:space="preserve">Continue with the project and building positive relationships in government and non-government sectors  </w:t>
            </w:r>
          </w:p>
          <w:p w14:paraId="7E86D88D" w14:textId="77777777" w:rsidR="00762B5A" w:rsidRDefault="00762B5A" w:rsidP="00164DDE">
            <w:pPr>
              <w:pStyle w:val="ListParagraph"/>
              <w:numPr>
                <w:ilvl w:val="0"/>
                <w:numId w:val="78"/>
              </w:numPr>
              <w:rPr>
                <w:szCs w:val="22"/>
                <w:lang w:val="en-US"/>
              </w:rPr>
            </w:pPr>
            <w:r>
              <w:rPr>
                <w:szCs w:val="22"/>
                <w:lang w:val="en-US"/>
              </w:rPr>
              <w:t xml:space="preserve">Trial professional learning in a range of different schools, including in far North Queensland </w:t>
            </w:r>
          </w:p>
          <w:p w14:paraId="162E9335" w14:textId="77777777" w:rsidR="00762B5A" w:rsidRDefault="00762B5A" w:rsidP="00164DDE">
            <w:pPr>
              <w:pStyle w:val="ListParagraph"/>
              <w:numPr>
                <w:ilvl w:val="0"/>
                <w:numId w:val="78"/>
              </w:numPr>
              <w:rPr>
                <w:szCs w:val="22"/>
                <w:lang w:val="en-US"/>
              </w:rPr>
            </w:pPr>
            <w:r>
              <w:rPr>
                <w:szCs w:val="22"/>
                <w:lang w:val="en-US"/>
              </w:rPr>
              <w:t xml:space="preserve">Develop case studies to show what diverse schools are doing as a result of the professional learning  </w:t>
            </w:r>
          </w:p>
          <w:p w14:paraId="13D22702" w14:textId="77777777" w:rsidR="00762B5A" w:rsidRDefault="00762B5A" w:rsidP="00164DDE">
            <w:pPr>
              <w:pStyle w:val="ListParagraph"/>
              <w:numPr>
                <w:ilvl w:val="0"/>
                <w:numId w:val="78"/>
              </w:numPr>
              <w:rPr>
                <w:szCs w:val="22"/>
                <w:lang w:val="en-US"/>
              </w:rPr>
            </w:pPr>
            <w:r>
              <w:rPr>
                <w:szCs w:val="22"/>
                <w:lang w:val="en-US"/>
              </w:rPr>
              <w:t xml:space="preserve">Develop STEM capability sets for different stakeholders (for example, principals, parents) </w:t>
            </w:r>
          </w:p>
        </w:tc>
      </w:tr>
      <w:tr w:rsidR="00762B5A" w14:paraId="1758A09C" w14:textId="77777777" w:rsidTr="007E2D07">
        <w:trPr>
          <w:trHeight w:val="1102"/>
        </w:trPr>
        <w:tc>
          <w:tcPr>
            <w:tcW w:w="278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C0C61E7" w14:textId="77777777" w:rsidR="00762B5A" w:rsidRPr="00EB7212" w:rsidRDefault="00762B5A" w:rsidP="007E2D07">
            <w:pPr>
              <w:rPr>
                <w:b/>
                <w:bCs/>
                <w:szCs w:val="22"/>
              </w:rPr>
            </w:pPr>
            <w:r w:rsidRPr="00EB7212">
              <w:rPr>
                <w:b/>
                <w:bCs/>
                <w:szCs w:val="22"/>
              </w:rPr>
              <w:t xml:space="preserve">Sources </w:t>
            </w:r>
          </w:p>
        </w:tc>
        <w:tc>
          <w:tcPr>
            <w:tcW w:w="627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214980F" w14:textId="77777777" w:rsidR="00762B5A" w:rsidRDefault="00762B5A" w:rsidP="00164DDE">
            <w:pPr>
              <w:pStyle w:val="ListParagraph"/>
              <w:numPr>
                <w:ilvl w:val="0"/>
                <w:numId w:val="82"/>
              </w:numPr>
              <w:rPr>
                <w:rFonts w:eastAsia="Times New Roman"/>
                <w:szCs w:val="22"/>
              </w:rPr>
            </w:pPr>
            <w:r>
              <w:rPr>
                <w:szCs w:val="22"/>
                <w:lang w:val="de-DE"/>
              </w:rPr>
              <w:t xml:space="preserve">Beswick K., Fraser S., Geiger, V., Page, L.  </w:t>
            </w:r>
            <w:r>
              <w:rPr>
                <w:szCs w:val="22"/>
              </w:rPr>
              <w:t>(</w:t>
            </w:r>
            <w:proofErr w:type="spellStart"/>
            <w:r>
              <w:rPr>
                <w:szCs w:val="22"/>
              </w:rPr>
              <w:t>n.d</w:t>
            </w:r>
            <w:proofErr w:type="spellEnd"/>
            <w:r>
              <w:rPr>
                <w:szCs w:val="22"/>
              </w:rPr>
              <w:t xml:space="preserve">). </w:t>
            </w:r>
            <w:r>
              <w:rPr>
                <w:i/>
                <w:iCs/>
                <w:szCs w:val="22"/>
              </w:rPr>
              <w:t xml:space="preserve">Principals as STEM Leaders Building the Evidence Base for Improved STEM Learning </w:t>
            </w:r>
            <w:r>
              <w:rPr>
                <w:szCs w:val="22"/>
              </w:rPr>
              <w:t>(Progress Report #2 Period: August 2018-December 2018). A Consortium led by the University of Tasmania</w:t>
            </w:r>
          </w:p>
          <w:p w14:paraId="1B1A6812" w14:textId="77777777" w:rsidR="00762B5A" w:rsidRDefault="00762B5A" w:rsidP="00164DDE">
            <w:pPr>
              <w:pStyle w:val="ListParagraph"/>
              <w:numPr>
                <w:ilvl w:val="0"/>
                <w:numId w:val="79"/>
              </w:numPr>
              <w:rPr>
                <w:rFonts w:eastAsia="Times New Roman"/>
                <w:szCs w:val="22"/>
              </w:rPr>
            </w:pPr>
            <w:r>
              <w:rPr>
                <w:szCs w:val="22"/>
              </w:rPr>
              <w:t xml:space="preserve">Interview with providers </w:t>
            </w:r>
          </w:p>
          <w:p w14:paraId="5F172E50" w14:textId="77777777" w:rsidR="00762B5A" w:rsidRDefault="00762B5A" w:rsidP="00164DDE">
            <w:pPr>
              <w:pStyle w:val="ListParagraph"/>
              <w:numPr>
                <w:ilvl w:val="0"/>
                <w:numId w:val="79"/>
              </w:numPr>
              <w:rPr>
                <w:rFonts w:eastAsia="Times New Roman"/>
                <w:szCs w:val="22"/>
              </w:rPr>
            </w:pPr>
            <w:r>
              <w:rPr>
                <w:szCs w:val="22"/>
              </w:rPr>
              <w:t>Contract between the Australian Government and the University of Tasmania</w:t>
            </w:r>
          </w:p>
        </w:tc>
      </w:tr>
    </w:tbl>
    <w:p w14:paraId="3E164994" w14:textId="77777777" w:rsidR="00762B5A" w:rsidRDefault="00762B5A" w:rsidP="00762B5A">
      <w:pPr>
        <w:rPr>
          <w:rFonts w:cs="Arial"/>
          <w:szCs w:val="22"/>
        </w:rPr>
      </w:pPr>
    </w:p>
    <w:p w14:paraId="7811827C" w14:textId="77777777" w:rsidR="00762B5A" w:rsidRDefault="00762B5A" w:rsidP="00762B5A">
      <w:pPr>
        <w:rPr>
          <w:rFonts w:cs="Arial"/>
          <w:szCs w:val="22"/>
        </w:rPr>
      </w:pPr>
    </w:p>
    <w:p w14:paraId="52C7D970" w14:textId="77777777" w:rsidR="00762B5A" w:rsidRDefault="00762B5A" w:rsidP="00762B5A">
      <w:pPr>
        <w:pStyle w:val="Heading1"/>
        <w:numPr>
          <w:ilvl w:val="0"/>
          <w:numId w:val="0"/>
        </w:numPr>
        <w:spacing w:before="0" w:after="120" w:line="360" w:lineRule="auto"/>
        <w:ind w:left="567" w:hanging="567"/>
        <w:rPr>
          <w:rFonts w:asciiTheme="minorHAnsi" w:hAnsiTheme="minorHAnsi" w:cs="Arial"/>
          <w:b/>
          <w:bCs/>
          <w:sz w:val="36"/>
          <w:szCs w:val="36"/>
        </w:rPr>
      </w:pPr>
      <w:bookmarkStart w:id="169" w:name="_Toc25162085"/>
      <w:r>
        <w:rPr>
          <w:rFonts w:asciiTheme="minorHAnsi" w:hAnsiTheme="minorHAnsi" w:cs="Arial"/>
          <w:b/>
          <w:bCs/>
          <w:sz w:val="36"/>
          <w:szCs w:val="36"/>
        </w:rPr>
        <w:t>Science Assist Advisory Service</w:t>
      </w:r>
      <w:bookmarkEnd w:id="169"/>
      <w:r>
        <w:rPr>
          <w:rFonts w:asciiTheme="minorHAnsi" w:hAnsiTheme="minorHAnsi" w:cs="Arial"/>
          <w:b/>
          <w:bCs/>
          <w:sz w:val="36"/>
          <w:szCs w:val="36"/>
        </w:rPr>
        <w:t xml:space="preserve"> </w:t>
      </w:r>
    </w:p>
    <w:tbl>
      <w:tblPr>
        <w:tblStyle w:val="BoxGrid-Coloured"/>
        <w:tblW w:w="9062" w:type="dxa"/>
        <w:tblLook w:val="04A0" w:firstRow="1" w:lastRow="0" w:firstColumn="1" w:lastColumn="0" w:noHBand="0" w:noVBand="1"/>
      </w:tblPr>
      <w:tblGrid>
        <w:gridCol w:w="2564"/>
        <w:gridCol w:w="6498"/>
      </w:tblGrid>
      <w:tr w:rsidR="00762B5A" w14:paraId="0E8F4D52"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7ED8A68" w14:textId="77777777" w:rsidR="00762B5A" w:rsidRPr="00EB7212" w:rsidRDefault="00762B5A" w:rsidP="007E2D07">
            <w:pPr>
              <w:rPr>
                <w:b/>
                <w:bCs/>
                <w:szCs w:val="22"/>
              </w:rPr>
            </w:pPr>
            <w:r w:rsidRPr="00EB7212">
              <w:rPr>
                <w:b/>
                <w:bCs/>
                <w:szCs w:val="22"/>
              </w:rPr>
              <w:t xml:space="preserve">Provider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EE3A720" w14:textId="77777777" w:rsidR="00762B5A" w:rsidRDefault="00762B5A" w:rsidP="007E2D07">
            <w:pPr>
              <w:rPr>
                <w:szCs w:val="22"/>
              </w:rPr>
            </w:pPr>
            <w:r>
              <w:rPr>
                <w:szCs w:val="22"/>
              </w:rPr>
              <w:t>Australian Science Teachers Association (ASTA) and Science Education Technicians Australia</w:t>
            </w:r>
          </w:p>
        </w:tc>
      </w:tr>
      <w:tr w:rsidR="00762B5A" w14:paraId="79A0ED3F"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A95FC56" w14:textId="77777777" w:rsidR="00762B5A" w:rsidRPr="00EB7212" w:rsidRDefault="00762B5A" w:rsidP="007E2D07">
            <w:pPr>
              <w:rPr>
                <w:b/>
                <w:bCs/>
                <w:szCs w:val="22"/>
              </w:rPr>
            </w:pPr>
            <w:r w:rsidRPr="00EB7212">
              <w:rPr>
                <w:b/>
                <w:bCs/>
                <w:szCs w:val="22"/>
              </w:rPr>
              <w:t xml:space="preserve">Initiative description and objectives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6FE35E6" w14:textId="77777777" w:rsidR="00762B5A" w:rsidRDefault="00762B5A" w:rsidP="007E2D07">
            <w:pPr>
              <w:rPr>
                <w:szCs w:val="22"/>
              </w:rPr>
            </w:pPr>
            <w:r>
              <w:rPr>
                <w:szCs w:val="22"/>
                <w:lang w:val="en-US"/>
              </w:rPr>
              <w:t xml:space="preserve">Science ASSIST was an online advisory service </w:t>
            </w:r>
            <w:r>
              <w:rPr>
                <w:szCs w:val="22"/>
              </w:rPr>
              <w:t xml:space="preserve">for science teachers and laboratory technicians. Developed in 2014, the initiative provided free, online science education resources, focussed on the curriculum and providing technical support for practicals in line with relevant state/territory requirements, and a panel of experts, able to give safety advice and lab management guidelines to teachers and technicians, in line with state and territory requirements. </w:t>
            </w:r>
          </w:p>
          <w:p w14:paraId="71669D68" w14:textId="77777777" w:rsidR="00762B5A" w:rsidRDefault="00762B5A" w:rsidP="007E2D07">
            <w:pPr>
              <w:rPr>
                <w:i/>
                <w:iCs/>
                <w:szCs w:val="22"/>
              </w:rPr>
            </w:pPr>
            <w:r>
              <w:rPr>
                <w:szCs w:val="22"/>
                <w:u w:val="single"/>
              </w:rPr>
              <w:t>Objectives</w:t>
            </w:r>
            <w:r>
              <w:rPr>
                <w:i/>
                <w:iCs/>
                <w:szCs w:val="22"/>
              </w:rPr>
              <w:t xml:space="preserve"> </w:t>
            </w:r>
          </w:p>
          <w:p w14:paraId="08B18B5B" w14:textId="77777777" w:rsidR="00762B5A" w:rsidRDefault="00762B5A" w:rsidP="00164DDE">
            <w:pPr>
              <w:pStyle w:val="ListParagraph"/>
              <w:numPr>
                <w:ilvl w:val="0"/>
                <w:numId w:val="83"/>
              </w:numPr>
              <w:rPr>
                <w:szCs w:val="22"/>
              </w:rPr>
            </w:pPr>
            <w:r>
              <w:rPr>
                <w:szCs w:val="22"/>
              </w:rPr>
              <w:t>To improve the safety of practical work and school laboratories to ensure science teachers and technicians can deliver meaningful, hands-on practicals for students</w:t>
            </w:r>
          </w:p>
          <w:p w14:paraId="1E3BDD2E" w14:textId="77777777" w:rsidR="00762B5A" w:rsidRDefault="00762B5A" w:rsidP="00164DDE">
            <w:pPr>
              <w:pStyle w:val="ListParagraph"/>
              <w:numPr>
                <w:ilvl w:val="0"/>
                <w:numId w:val="83"/>
              </w:numPr>
              <w:rPr>
                <w:szCs w:val="22"/>
              </w:rPr>
            </w:pPr>
            <w:r>
              <w:rPr>
                <w:szCs w:val="22"/>
              </w:rPr>
              <w:t xml:space="preserve">To be recognised as the national authoritative source of training and advice </w:t>
            </w:r>
          </w:p>
        </w:tc>
      </w:tr>
      <w:tr w:rsidR="00762B5A" w14:paraId="53D0720E"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DBA8B4A" w14:textId="77777777" w:rsidR="00762B5A" w:rsidRPr="00EB7212" w:rsidRDefault="00762B5A" w:rsidP="007E2D07">
            <w:pPr>
              <w:rPr>
                <w:b/>
                <w:bCs/>
                <w:szCs w:val="22"/>
              </w:rPr>
            </w:pPr>
            <w:r w:rsidRPr="00EB7212">
              <w:rPr>
                <w:b/>
                <w:bCs/>
                <w:szCs w:val="22"/>
              </w:rPr>
              <w:t>Target audience</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87E6408" w14:textId="77777777" w:rsidR="00762B5A" w:rsidRDefault="00762B5A" w:rsidP="007E2D07">
            <w:pPr>
              <w:rPr>
                <w:szCs w:val="22"/>
              </w:rPr>
            </w:pPr>
            <w:r>
              <w:rPr>
                <w:szCs w:val="22"/>
              </w:rPr>
              <w:t xml:space="preserve">Teachers; science lab technicians </w:t>
            </w:r>
          </w:p>
        </w:tc>
      </w:tr>
      <w:tr w:rsidR="00762B5A" w14:paraId="701DB62B" w14:textId="77777777" w:rsidTr="007E2D07">
        <w:trPr>
          <w:trHeight w:val="485"/>
        </w:trPr>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EB4532E" w14:textId="77777777" w:rsidR="00762B5A" w:rsidRPr="00EB7212" w:rsidRDefault="00762B5A" w:rsidP="007E2D07">
            <w:pPr>
              <w:rPr>
                <w:b/>
                <w:bCs/>
                <w:szCs w:val="22"/>
              </w:rPr>
            </w:pPr>
            <w:r w:rsidRPr="00EB7212">
              <w:rPr>
                <w:b/>
                <w:bCs/>
                <w:szCs w:val="22"/>
              </w:rPr>
              <w:t xml:space="preserve">Initiative funding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6E81294" w14:textId="77777777" w:rsidR="00762B5A" w:rsidRDefault="00762B5A" w:rsidP="007E2D07">
            <w:pPr>
              <w:rPr>
                <w:szCs w:val="22"/>
                <w:lang w:val="en-US"/>
              </w:rPr>
            </w:pPr>
            <w:r>
              <w:rPr>
                <w:szCs w:val="22"/>
                <w:lang w:val="en-US"/>
              </w:rPr>
              <w:t>NISA funding was $100,680 (excluding GST) for the period of 2016-17 (this was in addition to substantial previous Australian Government funding)</w:t>
            </w:r>
          </w:p>
        </w:tc>
      </w:tr>
      <w:tr w:rsidR="00762B5A" w14:paraId="1614EB18" w14:textId="77777777" w:rsidTr="007E2D07">
        <w:trPr>
          <w:trHeight w:val="892"/>
        </w:trPr>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E279DF" w14:textId="77777777" w:rsidR="00762B5A" w:rsidRPr="00EB7212" w:rsidRDefault="00762B5A" w:rsidP="007E2D07">
            <w:pPr>
              <w:rPr>
                <w:b/>
                <w:bCs/>
                <w:szCs w:val="22"/>
              </w:rPr>
            </w:pPr>
            <w:r w:rsidRPr="00EB7212">
              <w:rPr>
                <w:b/>
                <w:bCs/>
                <w:szCs w:val="22"/>
              </w:rPr>
              <w:t xml:space="preserve">Evaluation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16A295F" w14:textId="77777777" w:rsidR="00762B5A" w:rsidRDefault="00762B5A" w:rsidP="00164DDE">
            <w:pPr>
              <w:pStyle w:val="ListParagraph"/>
              <w:numPr>
                <w:ilvl w:val="0"/>
                <w:numId w:val="85"/>
              </w:numPr>
              <w:rPr>
                <w:szCs w:val="22"/>
              </w:rPr>
            </w:pPr>
            <w:r>
              <w:rPr>
                <w:szCs w:val="22"/>
              </w:rPr>
              <w:t xml:space="preserve">Beyond </w:t>
            </w:r>
            <w:proofErr w:type="spellStart"/>
            <w:r>
              <w:rPr>
                <w:szCs w:val="22"/>
              </w:rPr>
              <w:t>dandolo’s</w:t>
            </w:r>
            <w:proofErr w:type="spellEnd"/>
            <w:r>
              <w:rPr>
                <w:szCs w:val="22"/>
              </w:rPr>
              <w:t xml:space="preserve"> evaluation, no external evaluation has been conducted </w:t>
            </w:r>
          </w:p>
          <w:p w14:paraId="30C1CE52" w14:textId="77777777" w:rsidR="00762B5A" w:rsidRDefault="00762B5A" w:rsidP="00164DDE">
            <w:pPr>
              <w:pStyle w:val="ListParagraph"/>
              <w:numPr>
                <w:ilvl w:val="0"/>
                <w:numId w:val="85"/>
              </w:numPr>
              <w:rPr>
                <w:szCs w:val="22"/>
              </w:rPr>
            </w:pPr>
            <w:r>
              <w:rPr>
                <w:szCs w:val="22"/>
              </w:rPr>
              <w:t>Internal evaluation activities have been undertaken – a final report was produced for the period of July 2017-30 November 2018</w:t>
            </w:r>
          </w:p>
        </w:tc>
      </w:tr>
      <w:tr w:rsidR="00762B5A" w14:paraId="737A1C68" w14:textId="77777777" w:rsidTr="007E2D07">
        <w:trPr>
          <w:trHeight w:val="716"/>
        </w:trPr>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B8BC040" w14:textId="77777777" w:rsidR="00762B5A" w:rsidRPr="00EB7212" w:rsidRDefault="00762B5A" w:rsidP="007E2D07">
            <w:pPr>
              <w:rPr>
                <w:b/>
                <w:bCs/>
                <w:szCs w:val="22"/>
              </w:rPr>
            </w:pPr>
            <w:r w:rsidRPr="00EB7212">
              <w:rPr>
                <w:b/>
                <w:bCs/>
                <w:szCs w:val="22"/>
              </w:rPr>
              <w:t>Evaluation purpose (internal evaluation)</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5B2A7E" w14:textId="77777777" w:rsidR="00762B5A" w:rsidRDefault="00762B5A" w:rsidP="007E2D07">
            <w:pPr>
              <w:rPr>
                <w:rFonts w:eastAsia="Times New Roman"/>
                <w:szCs w:val="22"/>
              </w:rPr>
            </w:pPr>
            <w:r>
              <w:rPr>
                <w:szCs w:val="22"/>
              </w:rPr>
              <w:t xml:space="preserve">The final report from the provider details the outcomes and achievements of the Science ASSIST Advisory Service against the schedule of work and timelines specified in the approved project plan. </w:t>
            </w:r>
          </w:p>
        </w:tc>
      </w:tr>
      <w:tr w:rsidR="00762B5A" w14:paraId="54AAA0AC"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2EA0ACB5" w14:textId="77777777" w:rsidR="00762B5A" w:rsidRPr="00EB7212" w:rsidRDefault="00762B5A" w:rsidP="007E2D07">
            <w:pPr>
              <w:rPr>
                <w:b/>
                <w:bCs/>
                <w:szCs w:val="22"/>
              </w:rPr>
            </w:pPr>
            <w:r w:rsidRPr="00EB7212">
              <w:rPr>
                <w:b/>
                <w:bCs/>
                <w:szCs w:val="22"/>
              </w:rPr>
              <w:t>Evaluation framework / methodology (internal evaluation – Final Report)</w:t>
            </w:r>
          </w:p>
          <w:p w14:paraId="650E5705" w14:textId="77777777" w:rsidR="00762B5A" w:rsidRPr="00EB7212" w:rsidRDefault="00762B5A" w:rsidP="007E2D07">
            <w:pPr>
              <w:rPr>
                <w:b/>
                <w:bCs/>
                <w:szCs w:val="22"/>
              </w:rPr>
            </w:pP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22D4EA7" w14:textId="77777777" w:rsidR="00762B5A" w:rsidRDefault="00762B5A" w:rsidP="007E2D07">
            <w:pPr>
              <w:rPr>
                <w:szCs w:val="22"/>
                <w:u w:val="single"/>
              </w:rPr>
            </w:pPr>
            <w:r>
              <w:rPr>
                <w:szCs w:val="22"/>
                <w:u w:val="single"/>
              </w:rPr>
              <w:t>Framework</w:t>
            </w:r>
          </w:p>
          <w:p w14:paraId="4F2F55D4" w14:textId="77777777" w:rsidR="00762B5A" w:rsidRDefault="00762B5A" w:rsidP="007E2D07">
            <w:pPr>
              <w:rPr>
                <w:szCs w:val="22"/>
              </w:rPr>
            </w:pPr>
            <w:r>
              <w:rPr>
                <w:szCs w:val="22"/>
              </w:rPr>
              <w:t>The final report from the provider details the outcomes and achievements Science Assist against the schedule of work and timelines specified in the approved Project Plan.</w:t>
            </w:r>
          </w:p>
          <w:p w14:paraId="65FC74EA" w14:textId="77777777" w:rsidR="00762B5A" w:rsidRDefault="00762B5A" w:rsidP="007E2D07">
            <w:pPr>
              <w:rPr>
                <w:szCs w:val="22"/>
                <w:u w:val="single"/>
              </w:rPr>
            </w:pPr>
            <w:r>
              <w:rPr>
                <w:szCs w:val="22"/>
                <w:u w:val="single"/>
              </w:rPr>
              <w:t>Methodology</w:t>
            </w:r>
          </w:p>
          <w:p w14:paraId="211E191D" w14:textId="77777777" w:rsidR="00762B5A" w:rsidRDefault="00762B5A" w:rsidP="007E2D07">
            <w:pPr>
              <w:rPr>
                <w:szCs w:val="22"/>
              </w:rPr>
            </w:pPr>
            <w:r>
              <w:rPr>
                <w:szCs w:val="22"/>
              </w:rPr>
              <w:t xml:space="preserve">The following data collection activities informed the final report: </w:t>
            </w:r>
          </w:p>
          <w:p w14:paraId="1AB63ACA" w14:textId="77777777" w:rsidR="00762B5A" w:rsidRDefault="00762B5A" w:rsidP="00164DDE">
            <w:pPr>
              <w:pStyle w:val="ListParagraph"/>
              <w:numPr>
                <w:ilvl w:val="0"/>
                <w:numId w:val="86"/>
              </w:numPr>
              <w:ind w:left="360"/>
              <w:rPr>
                <w:szCs w:val="22"/>
              </w:rPr>
            </w:pPr>
            <w:r>
              <w:rPr>
                <w:szCs w:val="22"/>
              </w:rPr>
              <w:t xml:space="preserve">Usage of Science ASSIST web portal </w:t>
            </w:r>
          </w:p>
          <w:p w14:paraId="5BFA1546" w14:textId="77777777" w:rsidR="00762B5A" w:rsidRDefault="00762B5A" w:rsidP="00164DDE">
            <w:pPr>
              <w:pStyle w:val="ListParagraph"/>
              <w:numPr>
                <w:ilvl w:val="0"/>
                <w:numId w:val="86"/>
              </w:numPr>
              <w:ind w:left="360"/>
              <w:rPr>
                <w:szCs w:val="22"/>
              </w:rPr>
            </w:pPr>
            <w:r>
              <w:rPr>
                <w:szCs w:val="22"/>
              </w:rPr>
              <w:t xml:space="preserve">Analysis of questions and engagement from users, including 2018 user satisfaction surveys (635 completed or partially completed) </w:t>
            </w:r>
          </w:p>
          <w:p w14:paraId="240EF99F" w14:textId="77777777" w:rsidR="00762B5A" w:rsidRDefault="00762B5A" w:rsidP="00164DDE">
            <w:pPr>
              <w:pStyle w:val="ListParagraph"/>
              <w:numPr>
                <w:ilvl w:val="0"/>
                <w:numId w:val="86"/>
              </w:numPr>
              <w:ind w:left="360"/>
              <w:rPr>
                <w:szCs w:val="22"/>
              </w:rPr>
            </w:pPr>
            <w:r>
              <w:rPr>
                <w:szCs w:val="22"/>
              </w:rPr>
              <w:t>Analysis of resource and content developed</w:t>
            </w:r>
          </w:p>
          <w:p w14:paraId="6D8AFE68" w14:textId="77777777" w:rsidR="00762B5A" w:rsidRDefault="00762B5A" w:rsidP="00164DDE">
            <w:pPr>
              <w:pStyle w:val="ListParagraph"/>
              <w:numPr>
                <w:ilvl w:val="0"/>
                <w:numId w:val="86"/>
              </w:numPr>
              <w:ind w:left="360"/>
              <w:rPr>
                <w:szCs w:val="22"/>
              </w:rPr>
            </w:pPr>
            <w:r>
              <w:rPr>
                <w:szCs w:val="22"/>
              </w:rPr>
              <w:t xml:space="preserve">Overview of governance arrangements </w:t>
            </w:r>
          </w:p>
          <w:p w14:paraId="084EDE16" w14:textId="77777777"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Science ASSIST.</w:t>
            </w:r>
          </w:p>
        </w:tc>
      </w:tr>
      <w:tr w:rsidR="00762B5A" w14:paraId="69198706"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0E2C68B" w14:textId="77777777" w:rsidR="00762B5A" w:rsidRPr="00EB7212" w:rsidRDefault="00762B5A" w:rsidP="007E2D07">
            <w:pPr>
              <w:rPr>
                <w:b/>
                <w:bCs/>
                <w:szCs w:val="22"/>
              </w:rPr>
            </w:pPr>
            <w:r w:rsidRPr="00EB7212">
              <w:rPr>
                <w:b/>
                <w:bCs/>
                <w:szCs w:val="22"/>
              </w:rPr>
              <w:t xml:space="preserve">Summary of evaluation conclusions (internal evaluation – Final Report and </w:t>
            </w:r>
            <w:proofErr w:type="spellStart"/>
            <w:r w:rsidRPr="00EB7212">
              <w:rPr>
                <w:b/>
                <w:bCs/>
                <w:szCs w:val="22"/>
              </w:rPr>
              <w:t>dandolo</w:t>
            </w:r>
            <w:proofErr w:type="spellEnd"/>
            <w:r w:rsidRPr="00EB7212">
              <w:rPr>
                <w:b/>
                <w:bCs/>
                <w:szCs w:val="22"/>
              </w:rPr>
              <w:t xml:space="preserve"> comments)</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6E79718" w14:textId="77777777" w:rsidR="00762B5A" w:rsidRDefault="00762B5A" w:rsidP="00164DDE">
            <w:pPr>
              <w:pStyle w:val="ListParagraph"/>
              <w:numPr>
                <w:ilvl w:val="0"/>
                <w:numId w:val="187"/>
              </w:numPr>
              <w:rPr>
                <w:szCs w:val="22"/>
                <w:lang w:val="en-US"/>
              </w:rPr>
            </w:pPr>
            <w:r>
              <w:rPr>
                <w:szCs w:val="22"/>
                <w:lang w:val="en-US"/>
              </w:rPr>
              <w:t xml:space="preserve">Science ASSIST is a lesser-known initiative among stakeholders, but some report positive feedback about the initiative’s specific science content and resource quality. </w:t>
            </w:r>
          </w:p>
          <w:p w14:paraId="7D9C29F7" w14:textId="77777777" w:rsidR="00762B5A" w:rsidRDefault="00762B5A" w:rsidP="00164DDE">
            <w:pPr>
              <w:pStyle w:val="ListParagraph"/>
              <w:numPr>
                <w:ilvl w:val="0"/>
                <w:numId w:val="187"/>
              </w:numPr>
              <w:rPr>
                <w:szCs w:val="22"/>
                <w:lang w:val="en-US"/>
              </w:rPr>
            </w:pPr>
            <w:r>
              <w:rPr>
                <w:szCs w:val="22"/>
                <w:lang w:val="en-US"/>
              </w:rPr>
              <w:t xml:space="preserve">An internal evaluation suggests that the initiative was ‘well-used’ however, site usage is not particularly strong, for example, 174 questions from users over a 15-month period. Low uptake and usage contributed to decisions about future Australian Government funding. </w:t>
            </w:r>
          </w:p>
          <w:p w14:paraId="6B02D60C" w14:textId="77777777" w:rsidR="00762B5A" w:rsidRDefault="00762B5A" w:rsidP="00164DDE">
            <w:pPr>
              <w:pStyle w:val="ListParagraph"/>
              <w:numPr>
                <w:ilvl w:val="0"/>
                <w:numId w:val="187"/>
              </w:numPr>
              <w:rPr>
                <w:szCs w:val="22"/>
                <w:lang w:val="en-US"/>
              </w:rPr>
            </w:pPr>
            <w:r>
              <w:rPr>
                <w:szCs w:val="22"/>
                <w:lang w:val="en-US"/>
              </w:rPr>
              <w:t xml:space="preserve">Internally collected feedback from users suggests that the service was useful – </w:t>
            </w:r>
            <w:r>
              <w:rPr>
                <w:szCs w:val="22"/>
              </w:rPr>
              <w:t xml:space="preserve">77% of respondents see Science ASSIST, its services and resources as ‘very to extremely’ valuable. Usage data indicates that Science ASSIST is especially useful for those in independent schools </w:t>
            </w:r>
            <w:r>
              <w:rPr>
                <w:szCs w:val="22"/>
                <w:lang w:val="en-US"/>
              </w:rPr>
              <w:t xml:space="preserve">and rural and remote schools. </w:t>
            </w:r>
          </w:p>
          <w:p w14:paraId="66DA8B29" w14:textId="77777777" w:rsidR="00762B5A" w:rsidRPr="00EB7212" w:rsidRDefault="00762B5A" w:rsidP="00164DDE">
            <w:pPr>
              <w:pStyle w:val="ListParagraph"/>
              <w:numPr>
                <w:ilvl w:val="0"/>
                <w:numId w:val="187"/>
              </w:numPr>
              <w:rPr>
                <w:szCs w:val="22"/>
                <w:lang w:val="en-US"/>
              </w:rPr>
            </w:pPr>
            <w:r>
              <w:rPr>
                <w:bCs/>
                <w:szCs w:val="22"/>
                <w:lang w:val="en-US"/>
              </w:rPr>
              <w:t xml:space="preserve">The website was kept up-to-date and monitored with no major concerns. </w:t>
            </w:r>
          </w:p>
        </w:tc>
      </w:tr>
      <w:tr w:rsidR="00762B5A" w14:paraId="1B22EAF1"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35DD6EF" w14:textId="77777777" w:rsidR="00762B5A" w:rsidRPr="00EB7212" w:rsidRDefault="00762B5A" w:rsidP="007E2D07">
            <w:pPr>
              <w:rPr>
                <w:b/>
                <w:bCs/>
                <w:szCs w:val="22"/>
              </w:rPr>
            </w:pPr>
            <w:r w:rsidRPr="00EB7212">
              <w:rPr>
                <w:b/>
                <w:bCs/>
                <w:szCs w:val="22"/>
              </w:rPr>
              <w:t xml:space="preserve">Limitations of the evaluation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20B5BEE" w14:textId="77777777" w:rsidR="00762B5A" w:rsidRDefault="00762B5A" w:rsidP="00164DDE">
            <w:pPr>
              <w:pStyle w:val="ListParagraph"/>
              <w:numPr>
                <w:ilvl w:val="0"/>
                <w:numId w:val="87"/>
              </w:numPr>
              <w:rPr>
                <w:szCs w:val="22"/>
              </w:rPr>
            </w:pPr>
            <w:r>
              <w:rPr>
                <w:rFonts w:cs="Arial Narrow"/>
                <w:szCs w:val="22"/>
                <w:lang w:val="en-GB"/>
              </w:rPr>
              <w:t xml:space="preserve">No external evaluation has been undertaken. The evaluation was conducted by the provider and is therefore not independent </w:t>
            </w:r>
          </w:p>
          <w:p w14:paraId="58D2696A" w14:textId="77777777" w:rsidR="00762B5A" w:rsidRDefault="00762B5A" w:rsidP="00164DDE">
            <w:pPr>
              <w:pStyle w:val="ListParagraph"/>
              <w:numPr>
                <w:ilvl w:val="0"/>
                <w:numId w:val="87"/>
              </w:numPr>
              <w:rPr>
                <w:szCs w:val="22"/>
              </w:rPr>
            </w:pPr>
            <w:r>
              <w:rPr>
                <w:rFonts w:cs="Arial Narrow"/>
                <w:szCs w:val="22"/>
                <w:lang w:val="en-GB"/>
              </w:rPr>
              <w:t>The internal evaluation does include any direct measures of the impact on student engagement or achievement</w:t>
            </w:r>
          </w:p>
        </w:tc>
      </w:tr>
      <w:tr w:rsidR="00762B5A" w14:paraId="10C3646D" w14:textId="77777777" w:rsidTr="007E2D07">
        <w:trPr>
          <w:trHeight w:val="2789"/>
        </w:trPr>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59BD474" w14:textId="77777777" w:rsidR="00762B5A" w:rsidRPr="00EB7212" w:rsidRDefault="00762B5A" w:rsidP="007E2D07">
            <w:pPr>
              <w:rPr>
                <w:b/>
                <w:bCs/>
                <w:szCs w:val="22"/>
              </w:rPr>
            </w:pPr>
            <w:r w:rsidRPr="00EB7212">
              <w:rPr>
                <w:b/>
                <w:bCs/>
                <w:szCs w:val="22"/>
              </w:rPr>
              <w:t>Challenges by the provider</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63222C1" w14:textId="77777777" w:rsidR="00762B5A" w:rsidRDefault="00762B5A" w:rsidP="00164DDE">
            <w:pPr>
              <w:pStyle w:val="ListParagraph"/>
              <w:numPr>
                <w:ilvl w:val="0"/>
                <w:numId w:val="148"/>
              </w:numPr>
              <w:rPr>
                <w:szCs w:val="22"/>
              </w:rPr>
            </w:pPr>
            <w:r>
              <w:rPr>
                <w:szCs w:val="22"/>
              </w:rPr>
              <w:t>Throughout the entire project period – including four years prior to NISA funding – the Science ASSIST team had to build content quickly, recruit a network of people who could answer questions and procure high-quality resources, whilst also testing this material through workshops</w:t>
            </w:r>
          </w:p>
          <w:p w14:paraId="2C6C444B" w14:textId="77777777" w:rsidR="00762B5A" w:rsidRDefault="00762B5A" w:rsidP="00164DDE">
            <w:pPr>
              <w:pStyle w:val="ListParagraph"/>
              <w:numPr>
                <w:ilvl w:val="0"/>
                <w:numId w:val="148"/>
              </w:numPr>
              <w:rPr>
                <w:szCs w:val="22"/>
                <w:u w:val="single"/>
                <w:lang w:val="en-US"/>
              </w:rPr>
            </w:pPr>
            <w:r>
              <w:rPr>
                <w:szCs w:val="22"/>
              </w:rPr>
              <w:t xml:space="preserve">There were some challenges around building a big teacher network because Science Assist has not been able to run many workshops and because there are a lot of science resources competing for teachers’ attention </w:t>
            </w:r>
          </w:p>
          <w:p w14:paraId="5084C697" w14:textId="77777777" w:rsidR="00762B5A" w:rsidRDefault="00762B5A" w:rsidP="00164DDE">
            <w:pPr>
              <w:pStyle w:val="ListParagraph"/>
              <w:numPr>
                <w:ilvl w:val="0"/>
                <w:numId w:val="148"/>
              </w:numPr>
              <w:rPr>
                <w:szCs w:val="22"/>
                <w:u w:val="single"/>
                <w:lang w:val="en-US"/>
              </w:rPr>
            </w:pPr>
            <w:r>
              <w:rPr>
                <w:szCs w:val="22"/>
                <w:lang w:val="en-US"/>
              </w:rPr>
              <w:t>The regulations around laboratories vary across the</w:t>
            </w:r>
            <w:r>
              <w:rPr>
                <w:szCs w:val="22"/>
              </w:rPr>
              <w:t xml:space="preserve"> across the country, which makes it difficult to create general safety rules. Science ASSIST has developed a common set of practices and procedures specifically for schools that have not been adapted from universities or industry like other regulation</w:t>
            </w:r>
          </w:p>
        </w:tc>
      </w:tr>
      <w:tr w:rsidR="00762B5A" w14:paraId="146C71FD" w14:textId="77777777" w:rsidTr="007E2D07">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2F06DB5" w14:textId="77777777" w:rsidR="00762B5A" w:rsidRPr="00EB7212" w:rsidRDefault="00762B5A" w:rsidP="007E2D07">
            <w:pPr>
              <w:rPr>
                <w:b/>
                <w:bCs/>
                <w:szCs w:val="22"/>
              </w:rPr>
            </w:pPr>
            <w:r w:rsidRPr="00EB7212">
              <w:rPr>
                <w:b/>
                <w:bCs/>
                <w:szCs w:val="22"/>
              </w:rPr>
              <w:t xml:space="preserve">Future plans and goals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CAD96DD" w14:textId="77777777" w:rsidR="00762B5A" w:rsidRDefault="00762B5A" w:rsidP="00164DDE">
            <w:pPr>
              <w:pStyle w:val="ListParagraph"/>
              <w:numPr>
                <w:ilvl w:val="0"/>
                <w:numId w:val="88"/>
              </w:numPr>
              <w:rPr>
                <w:szCs w:val="22"/>
                <w:lang w:val="en-US"/>
              </w:rPr>
            </w:pPr>
            <w:r>
              <w:rPr>
                <w:szCs w:val="22"/>
                <w:lang w:val="en-US"/>
              </w:rPr>
              <w:t>At the end of 2020, ASTA plans to incorporate Science ASSIST into another ASTA project called STEM-X Academy. STEM X Academy is a five-day residential program for science teachers supported by industry</w:t>
            </w:r>
          </w:p>
          <w:p w14:paraId="3A817B85" w14:textId="77777777" w:rsidR="00762B5A" w:rsidRDefault="00762B5A" w:rsidP="00164DDE">
            <w:pPr>
              <w:pStyle w:val="ListParagraph"/>
              <w:numPr>
                <w:ilvl w:val="0"/>
                <w:numId w:val="88"/>
              </w:numPr>
              <w:rPr>
                <w:rFonts w:eastAsia="Times New Roman"/>
                <w:szCs w:val="22"/>
              </w:rPr>
            </w:pPr>
            <w:r>
              <w:rPr>
                <w:szCs w:val="22"/>
                <w:lang w:val="en-US"/>
              </w:rPr>
              <w:t xml:space="preserve">Science Assist secured funding from CSIRO and other sources to ensure the project continues until 2020 </w:t>
            </w:r>
          </w:p>
        </w:tc>
      </w:tr>
      <w:tr w:rsidR="00762B5A" w14:paraId="666B607E" w14:textId="77777777" w:rsidTr="007E2D07">
        <w:trPr>
          <w:trHeight w:val="628"/>
        </w:trPr>
        <w:tc>
          <w:tcPr>
            <w:tcW w:w="256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F5DB421" w14:textId="77777777" w:rsidR="00762B5A" w:rsidRPr="00EB7212" w:rsidRDefault="00762B5A" w:rsidP="007E2D07">
            <w:pPr>
              <w:rPr>
                <w:b/>
                <w:bCs/>
                <w:szCs w:val="22"/>
              </w:rPr>
            </w:pPr>
            <w:r w:rsidRPr="00EB7212">
              <w:rPr>
                <w:b/>
                <w:bCs/>
                <w:szCs w:val="22"/>
              </w:rPr>
              <w:t xml:space="preserve">Sources </w:t>
            </w:r>
          </w:p>
        </w:tc>
        <w:tc>
          <w:tcPr>
            <w:tcW w:w="6498"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8D418D2" w14:textId="77777777" w:rsidR="00762B5A" w:rsidRDefault="00762B5A" w:rsidP="00164DDE">
            <w:pPr>
              <w:pStyle w:val="ListParagraph"/>
              <w:numPr>
                <w:ilvl w:val="0"/>
                <w:numId w:val="84"/>
              </w:numPr>
              <w:rPr>
                <w:szCs w:val="22"/>
                <w:lang w:val="en-US"/>
              </w:rPr>
            </w:pPr>
            <w:r>
              <w:rPr>
                <w:szCs w:val="22"/>
                <w:lang w:val="en-US"/>
              </w:rPr>
              <w:t xml:space="preserve">ASSIST website </w:t>
            </w:r>
            <w:hyperlink r:id="rId35" w:history="1">
              <w:r>
                <w:rPr>
                  <w:rStyle w:val="Hyperlink"/>
                  <w:rFonts w:cs="Arial"/>
                  <w:szCs w:val="22"/>
                  <w:lang w:val="en-US"/>
                </w:rPr>
                <w:t>https://assist.asta.edu.au</w:t>
              </w:r>
            </w:hyperlink>
          </w:p>
          <w:p w14:paraId="2BC93164" w14:textId="77777777" w:rsidR="00762B5A" w:rsidRDefault="00762B5A" w:rsidP="00164DDE">
            <w:pPr>
              <w:pStyle w:val="ListParagraph"/>
              <w:numPr>
                <w:ilvl w:val="0"/>
                <w:numId w:val="84"/>
              </w:numPr>
              <w:rPr>
                <w:szCs w:val="22"/>
                <w:lang w:val="en-US"/>
              </w:rPr>
            </w:pPr>
            <w:r>
              <w:rPr>
                <w:szCs w:val="22"/>
                <w:lang w:val="en-US"/>
              </w:rPr>
              <w:t>Science ASSIST. (n.d.).</w:t>
            </w:r>
            <w:r>
              <w:rPr>
                <w:i/>
                <w:iCs/>
                <w:szCs w:val="22"/>
                <w:lang w:val="en-US"/>
              </w:rPr>
              <w:t xml:space="preserve"> Science Assist Advisory Service Final Report (</w:t>
            </w:r>
            <w:r>
              <w:rPr>
                <w:szCs w:val="22"/>
              </w:rPr>
              <w:t>1 July 2017 – 30 November 2018)</w:t>
            </w:r>
          </w:p>
          <w:p w14:paraId="6078A1E4" w14:textId="77777777" w:rsidR="00762B5A" w:rsidRDefault="00762B5A" w:rsidP="00164DDE">
            <w:pPr>
              <w:pStyle w:val="ListParagraph"/>
              <w:numPr>
                <w:ilvl w:val="0"/>
                <w:numId w:val="84"/>
              </w:numPr>
              <w:rPr>
                <w:szCs w:val="22"/>
                <w:lang w:val="en-US"/>
              </w:rPr>
            </w:pPr>
            <w:r>
              <w:rPr>
                <w:szCs w:val="22"/>
                <w:lang w:val="en-US"/>
              </w:rPr>
              <w:t xml:space="preserve">Funding agreement between the Australian Government and Science Assist </w:t>
            </w:r>
          </w:p>
          <w:p w14:paraId="0EE79C7F" w14:textId="77777777" w:rsidR="00762B5A" w:rsidRDefault="00762B5A" w:rsidP="00164DDE">
            <w:pPr>
              <w:pStyle w:val="ListParagraph"/>
              <w:numPr>
                <w:ilvl w:val="0"/>
                <w:numId w:val="84"/>
              </w:numPr>
              <w:rPr>
                <w:szCs w:val="22"/>
                <w:lang w:val="en-US"/>
              </w:rPr>
            </w:pPr>
            <w:r>
              <w:rPr>
                <w:szCs w:val="22"/>
                <w:lang w:val="en-US"/>
              </w:rPr>
              <w:t xml:space="preserve">Interview with the provider  </w:t>
            </w:r>
          </w:p>
        </w:tc>
      </w:tr>
    </w:tbl>
    <w:p w14:paraId="4061AFFE" w14:textId="77777777" w:rsidR="00762B5A" w:rsidRDefault="00762B5A" w:rsidP="00762B5A">
      <w:pPr>
        <w:rPr>
          <w:szCs w:val="22"/>
        </w:rPr>
      </w:pPr>
    </w:p>
    <w:p w14:paraId="7EA98487" w14:textId="77777777" w:rsidR="00762B5A" w:rsidRDefault="00762B5A" w:rsidP="00762B5A">
      <w:pPr>
        <w:rPr>
          <w:rFonts w:cs="Arial"/>
          <w:szCs w:val="22"/>
        </w:rPr>
      </w:pPr>
    </w:p>
    <w:p w14:paraId="484E2667" w14:textId="77777777" w:rsidR="00762B5A" w:rsidRDefault="00762B5A" w:rsidP="00762B5A">
      <w:pPr>
        <w:rPr>
          <w:rFonts w:cs="Arial"/>
          <w:szCs w:val="22"/>
        </w:rPr>
      </w:pPr>
    </w:p>
    <w:p w14:paraId="792424E4" w14:textId="77777777" w:rsidR="00762B5A" w:rsidRDefault="00762B5A" w:rsidP="00762B5A">
      <w:pPr>
        <w:spacing w:after="240" w:line="240" w:lineRule="auto"/>
        <w:rPr>
          <w:rFonts w:cs="Arial"/>
          <w:b/>
          <w:bCs/>
          <w:color w:val="931B2F" w:themeColor="background2"/>
          <w:sz w:val="36"/>
          <w:szCs w:val="36"/>
        </w:rPr>
      </w:pPr>
      <w:r>
        <w:rPr>
          <w:rFonts w:cs="Arial"/>
          <w:b/>
          <w:bCs/>
          <w:sz w:val="36"/>
          <w:szCs w:val="36"/>
        </w:rPr>
        <w:br w:type="page"/>
      </w:r>
    </w:p>
    <w:p w14:paraId="7AA8391C" w14:textId="77777777" w:rsidR="00762B5A" w:rsidRDefault="00762B5A" w:rsidP="00762B5A">
      <w:pPr>
        <w:pStyle w:val="Heading1"/>
        <w:numPr>
          <w:ilvl w:val="0"/>
          <w:numId w:val="0"/>
        </w:numPr>
        <w:spacing w:before="0" w:after="120" w:line="360" w:lineRule="auto"/>
        <w:ind w:left="567" w:hanging="567"/>
        <w:rPr>
          <w:rFonts w:asciiTheme="minorHAnsi" w:hAnsiTheme="minorHAnsi" w:cs="Arial"/>
          <w:b/>
          <w:bCs/>
          <w:sz w:val="36"/>
          <w:szCs w:val="36"/>
        </w:rPr>
      </w:pPr>
      <w:bookmarkStart w:id="170" w:name="_Toc25162086"/>
      <w:r>
        <w:rPr>
          <w:rFonts w:asciiTheme="minorHAnsi" w:hAnsiTheme="minorHAnsi" w:cs="Arial"/>
          <w:b/>
          <w:bCs/>
          <w:sz w:val="36"/>
          <w:szCs w:val="36"/>
        </w:rPr>
        <w:t>Curious Minds</w:t>
      </w:r>
      <w:bookmarkEnd w:id="170"/>
    </w:p>
    <w:tbl>
      <w:tblPr>
        <w:tblStyle w:val="BoxGrid-Coloured"/>
        <w:tblW w:w="0" w:type="auto"/>
        <w:tblLook w:val="04A0" w:firstRow="1" w:lastRow="0" w:firstColumn="1" w:lastColumn="0" w:noHBand="0" w:noVBand="1"/>
      </w:tblPr>
      <w:tblGrid>
        <w:gridCol w:w="2788"/>
        <w:gridCol w:w="6263"/>
      </w:tblGrid>
      <w:tr w:rsidR="00762B5A" w14:paraId="7BC2D69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2A3D1CC"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1B444DF" w14:textId="77777777" w:rsidR="00762B5A" w:rsidRDefault="00762B5A" w:rsidP="007E2D07">
            <w:pPr>
              <w:rPr>
                <w:szCs w:val="22"/>
              </w:rPr>
            </w:pPr>
            <w:r>
              <w:rPr>
                <w:szCs w:val="22"/>
              </w:rPr>
              <w:t>Australian Mathematics Trust and Australian Science Innovations</w:t>
            </w:r>
          </w:p>
        </w:tc>
      </w:tr>
      <w:tr w:rsidR="00762B5A" w14:paraId="0224182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CAFEFF8"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495F103" w14:textId="77777777" w:rsidR="00762B5A" w:rsidRDefault="00762B5A" w:rsidP="007E2D07">
            <w:pPr>
              <w:rPr>
                <w:szCs w:val="22"/>
              </w:rPr>
            </w:pPr>
            <w:r>
              <w:rPr>
                <w:szCs w:val="22"/>
              </w:rPr>
              <w:t xml:space="preserve">Curious Minds targets high-potential female students from disadvantaged backgrounds in year 9 and 10. Each year, the program selects a minimum of 54 students, with the aim to include participants from different states and territories. Students partake in summer and winter residential workshops where they attend seminars by STEM experts, practical sessions and group tutorials and participate in mentoring with student mentors from university, industry and Olympiad alumni. </w:t>
            </w:r>
          </w:p>
          <w:p w14:paraId="074BB392" w14:textId="77777777" w:rsidR="00762B5A" w:rsidRDefault="00762B5A" w:rsidP="007E2D07">
            <w:pPr>
              <w:rPr>
                <w:szCs w:val="22"/>
                <w:u w:val="single"/>
              </w:rPr>
            </w:pPr>
            <w:r>
              <w:rPr>
                <w:szCs w:val="22"/>
                <w:u w:val="single"/>
              </w:rPr>
              <w:t>Objectives</w:t>
            </w:r>
          </w:p>
          <w:p w14:paraId="7E349358" w14:textId="77777777" w:rsidR="00762B5A" w:rsidRDefault="00762B5A" w:rsidP="00164DDE">
            <w:pPr>
              <w:pStyle w:val="ListParagraph"/>
              <w:numPr>
                <w:ilvl w:val="0"/>
                <w:numId w:val="89"/>
              </w:numPr>
              <w:rPr>
                <w:rFonts w:eastAsia="Times New Roman"/>
                <w:szCs w:val="22"/>
              </w:rPr>
            </w:pPr>
            <w:r>
              <w:rPr>
                <w:rFonts w:eastAsia="Times New Roman"/>
                <w:szCs w:val="22"/>
              </w:rPr>
              <w:t>Develop and implement a coherent cycle of educational activities that foster the interest of the target group in STEM learning areas</w:t>
            </w:r>
          </w:p>
          <w:p w14:paraId="420596B9" w14:textId="77777777" w:rsidR="00762B5A" w:rsidRDefault="00762B5A" w:rsidP="00164DDE">
            <w:pPr>
              <w:pStyle w:val="ListParagraph"/>
              <w:numPr>
                <w:ilvl w:val="0"/>
                <w:numId w:val="89"/>
              </w:numPr>
              <w:rPr>
                <w:rFonts w:eastAsia="Times New Roman"/>
                <w:szCs w:val="22"/>
              </w:rPr>
            </w:pPr>
            <w:r>
              <w:rPr>
                <w:rFonts w:eastAsia="Times New Roman"/>
                <w:szCs w:val="22"/>
              </w:rPr>
              <w:t>Identify students from the target group who have significant potential in STEM studies and encourage them in the activities developed under this project</w:t>
            </w:r>
          </w:p>
          <w:p w14:paraId="6B740581" w14:textId="77777777" w:rsidR="00762B5A" w:rsidRDefault="00762B5A" w:rsidP="00164DDE">
            <w:pPr>
              <w:pStyle w:val="ListParagraph"/>
              <w:numPr>
                <w:ilvl w:val="0"/>
                <w:numId w:val="89"/>
              </w:numPr>
              <w:rPr>
                <w:rFonts w:eastAsia="Times New Roman"/>
                <w:szCs w:val="22"/>
              </w:rPr>
            </w:pPr>
            <w:r>
              <w:rPr>
                <w:rFonts w:eastAsia="Times New Roman"/>
                <w:szCs w:val="22"/>
              </w:rPr>
              <w:t>Build participants' skills in critical thinking, logical reasoning and problem solving and strengthen exam techniques. Encourage the participants to take risks, test their limits and create confidence in their abilities</w:t>
            </w:r>
          </w:p>
          <w:p w14:paraId="5D041EF2" w14:textId="77777777" w:rsidR="00762B5A" w:rsidRDefault="00762B5A" w:rsidP="00164DDE">
            <w:pPr>
              <w:pStyle w:val="ListParagraph"/>
              <w:numPr>
                <w:ilvl w:val="0"/>
                <w:numId w:val="89"/>
              </w:numPr>
              <w:rPr>
                <w:rFonts w:eastAsia="Times New Roman"/>
                <w:szCs w:val="22"/>
              </w:rPr>
            </w:pPr>
            <w:r>
              <w:rPr>
                <w:rFonts w:eastAsia="Times New Roman"/>
                <w:szCs w:val="22"/>
              </w:rPr>
              <w:t>Inspire the participants to continue their STEM studies at the senior secondary level; to increase the number of students from the target groups selected</w:t>
            </w:r>
          </w:p>
        </w:tc>
      </w:tr>
      <w:tr w:rsidR="00762B5A" w14:paraId="28F86487"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DBEB19C"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7B07EAC" w14:textId="77777777" w:rsidR="00762B5A" w:rsidRDefault="00762B5A" w:rsidP="007E2D07">
            <w:pPr>
              <w:rPr>
                <w:szCs w:val="22"/>
              </w:rPr>
            </w:pPr>
            <w:r>
              <w:rPr>
                <w:szCs w:val="22"/>
              </w:rPr>
              <w:t xml:space="preserve">Students </w:t>
            </w:r>
          </w:p>
        </w:tc>
      </w:tr>
      <w:tr w:rsidR="00762B5A" w14:paraId="1E398E5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C3552ED"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4BB3DAB" w14:textId="77777777" w:rsidR="00762B5A" w:rsidRDefault="00762B5A" w:rsidP="007E2D07">
            <w:pPr>
              <w:rPr>
                <w:szCs w:val="22"/>
              </w:rPr>
            </w:pPr>
            <w:r>
              <w:rPr>
                <w:szCs w:val="22"/>
              </w:rPr>
              <w:t xml:space="preserve">NISA funding is $640,000 (excluding GST) for the period of 2018-2020. (building on several previous years of Australian Government funding) </w:t>
            </w:r>
          </w:p>
        </w:tc>
      </w:tr>
      <w:tr w:rsidR="00762B5A" w14:paraId="48EBF90F"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1170C9B"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4B5E18" w14:textId="77777777" w:rsidR="00762B5A" w:rsidRDefault="00762B5A" w:rsidP="00164DDE">
            <w:pPr>
              <w:pStyle w:val="ListParagraph"/>
              <w:numPr>
                <w:ilvl w:val="0"/>
                <w:numId w:val="93"/>
              </w:numPr>
              <w:rPr>
                <w:szCs w:val="22"/>
              </w:rPr>
            </w:pPr>
            <w:r>
              <w:rPr>
                <w:szCs w:val="22"/>
              </w:rPr>
              <w:t xml:space="preserve">Beyond </w:t>
            </w:r>
            <w:proofErr w:type="spellStart"/>
            <w:r>
              <w:rPr>
                <w:szCs w:val="22"/>
              </w:rPr>
              <w:t>dandolo’s</w:t>
            </w:r>
            <w:proofErr w:type="spellEnd"/>
            <w:r>
              <w:rPr>
                <w:szCs w:val="22"/>
              </w:rPr>
              <w:t xml:space="preserve"> evaluation, no departmental or external evaluation has been conducted</w:t>
            </w:r>
          </w:p>
          <w:p w14:paraId="426572A5" w14:textId="77777777" w:rsidR="00762B5A" w:rsidRDefault="00762B5A" w:rsidP="00164DDE">
            <w:pPr>
              <w:pStyle w:val="ListParagraph"/>
              <w:numPr>
                <w:ilvl w:val="0"/>
                <w:numId w:val="93"/>
              </w:numPr>
              <w:rPr>
                <w:szCs w:val="22"/>
              </w:rPr>
            </w:pPr>
            <w:r>
              <w:rPr>
                <w:szCs w:val="22"/>
              </w:rPr>
              <w:t>Internal evaluation activities have been undertaken -- Progress Report 7 for the period of 1 August 2018 to 31 January 2019 was completed in March 2019</w:t>
            </w:r>
          </w:p>
        </w:tc>
      </w:tr>
      <w:tr w:rsidR="00762B5A" w14:paraId="5D1DB3B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FBE9B7A" w14:textId="77777777" w:rsidR="00762B5A" w:rsidRPr="00EB7212" w:rsidRDefault="00762B5A" w:rsidP="007E2D07">
            <w:pPr>
              <w:rPr>
                <w:b/>
                <w:bCs/>
                <w:szCs w:val="22"/>
              </w:rPr>
            </w:pPr>
            <w:r w:rsidRPr="00EB7212">
              <w:rPr>
                <w:b/>
                <w:bCs/>
                <w:szCs w:val="22"/>
              </w:rPr>
              <w:t xml:space="preserve">Evaluation purpose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E5F67CA" w14:textId="77777777" w:rsidR="00762B5A" w:rsidRDefault="00762B5A" w:rsidP="007E2D07">
            <w:pPr>
              <w:rPr>
                <w:szCs w:val="22"/>
              </w:rPr>
            </w:pPr>
            <w:r>
              <w:rPr>
                <w:szCs w:val="22"/>
              </w:rPr>
              <w:t xml:space="preserve">The provider is required to produce annual progress reports as part of the contract with Australian Government </w:t>
            </w:r>
          </w:p>
        </w:tc>
      </w:tr>
      <w:tr w:rsidR="00762B5A" w14:paraId="6328C331" w14:textId="77777777" w:rsidTr="007E2D07">
        <w:trPr>
          <w:trHeight w:val="94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5784F6CE" w14:textId="77777777" w:rsidR="00762B5A" w:rsidRPr="00EB7212" w:rsidRDefault="00762B5A" w:rsidP="007E2D07">
            <w:pPr>
              <w:rPr>
                <w:b/>
                <w:bCs/>
                <w:szCs w:val="22"/>
              </w:rPr>
            </w:pPr>
            <w:r w:rsidRPr="00EB7212">
              <w:rPr>
                <w:b/>
                <w:bCs/>
                <w:szCs w:val="22"/>
              </w:rPr>
              <w:t>Evaluation framework / methodology (internal evaluation – Progress Report 7)</w:t>
            </w:r>
          </w:p>
          <w:p w14:paraId="22FD2FEE" w14:textId="77777777" w:rsidR="00762B5A" w:rsidRPr="00EB7212" w:rsidRDefault="00762B5A" w:rsidP="007E2D07">
            <w:pPr>
              <w:rPr>
                <w:b/>
                <w:bCs/>
                <w:szCs w:val="22"/>
              </w:rPr>
            </w:pP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62470EF" w14:textId="77777777" w:rsidR="00762B5A" w:rsidRDefault="00762B5A" w:rsidP="007E2D07">
            <w:pPr>
              <w:rPr>
                <w:szCs w:val="22"/>
                <w:u w:val="single"/>
              </w:rPr>
            </w:pPr>
            <w:r>
              <w:rPr>
                <w:szCs w:val="22"/>
                <w:u w:val="single"/>
              </w:rPr>
              <w:t>Framework</w:t>
            </w:r>
          </w:p>
          <w:p w14:paraId="1F0D78DD" w14:textId="77777777" w:rsidR="00762B5A" w:rsidRDefault="00762B5A" w:rsidP="007E2D07">
            <w:pPr>
              <w:rPr>
                <w:szCs w:val="22"/>
              </w:rPr>
            </w:pPr>
            <w:r>
              <w:rPr>
                <w:szCs w:val="22"/>
              </w:rPr>
              <w:t xml:space="preserve">The internal evaluation report draws on a framework developed with the support of PwC. No more information was provided. </w:t>
            </w:r>
          </w:p>
          <w:p w14:paraId="62E2694F" w14:textId="77777777" w:rsidR="00762B5A" w:rsidRDefault="00762B5A" w:rsidP="007E2D07">
            <w:pPr>
              <w:rPr>
                <w:szCs w:val="22"/>
                <w:u w:val="single"/>
              </w:rPr>
            </w:pPr>
            <w:r>
              <w:rPr>
                <w:szCs w:val="22"/>
                <w:u w:val="single"/>
              </w:rPr>
              <w:t>Methodology</w:t>
            </w:r>
          </w:p>
          <w:p w14:paraId="22EEF04A" w14:textId="77777777" w:rsidR="00762B5A" w:rsidRDefault="00762B5A" w:rsidP="007E2D07">
            <w:pPr>
              <w:rPr>
                <w:szCs w:val="22"/>
                <w:lang w:val="en-US"/>
              </w:rPr>
            </w:pPr>
            <w:r>
              <w:rPr>
                <w:szCs w:val="22"/>
                <w:lang w:val="en-US"/>
              </w:rPr>
              <w:t xml:space="preserve">Before and after camp student surveys and mentor surveys. </w:t>
            </w:r>
          </w:p>
          <w:p w14:paraId="438512A3" w14:textId="77777777"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Curious Minds.</w:t>
            </w:r>
          </w:p>
        </w:tc>
      </w:tr>
      <w:tr w:rsidR="00762B5A" w14:paraId="56F1F60A"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DD50FAF" w14:textId="77777777" w:rsidR="00762B5A" w:rsidRPr="00EB7212" w:rsidRDefault="00762B5A" w:rsidP="007E2D07">
            <w:pPr>
              <w:rPr>
                <w:b/>
                <w:bCs/>
                <w:szCs w:val="22"/>
              </w:rPr>
            </w:pPr>
            <w:r w:rsidRPr="00EB7212">
              <w:rPr>
                <w:b/>
                <w:bCs/>
                <w:szCs w:val="22"/>
              </w:rPr>
              <w:t xml:space="preserve">Summary of evaluation conclusions (internal evaluation – Progress Report 7 and </w:t>
            </w:r>
            <w:proofErr w:type="spellStart"/>
            <w:r w:rsidRPr="00EB7212">
              <w:rPr>
                <w:b/>
                <w:bCs/>
                <w:szCs w:val="22"/>
              </w:rPr>
              <w:t>dandolo</w:t>
            </w:r>
            <w:proofErr w:type="spellEnd"/>
            <w:r w:rsidRPr="00EB7212">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C78117" w14:textId="77777777" w:rsidR="00762B5A" w:rsidRDefault="00762B5A" w:rsidP="00164DDE">
            <w:pPr>
              <w:pStyle w:val="ListParagraph"/>
              <w:numPr>
                <w:ilvl w:val="0"/>
                <w:numId w:val="188"/>
              </w:numPr>
              <w:rPr>
                <w:lang w:eastAsia="en-GB"/>
              </w:rPr>
            </w:pPr>
            <w:r>
              <w:rPr>
                <w:lang w:eastAsia="en-GB"/>
              </w:rPr>
              <w:t>Some stakeholders are familiar with Curious Minds due to its objectives addressing gender diversity, and the initiative has positive brand recognition in this regard. It’s considered as a useful ‘feeder’ program to create a pipeline of girls into STEM.</w:t>
            </w:r>
          </w:p>
          <w:p w14:paraId="3DB04B5D" w14:textId="77777777" w:rsidR="00762B5A" w:rsidRDefault="00762B5A" w:rsidP="00164DDE">
            <w:pPr>
              <w:pStyle w:val="ListParagraph"/>
              <w:numPr>
                <w:ilvl w:val="0"/>
                <w:numId w:val="188"/>
              </w:numPr>
              <w:rPr>
                <w:lang w:eastAsia="en-GB"/>
              </w:rPr>
            </w:pPr>
            <w:r>
              <w:rPr>
                <w:lang w:eastAsia="en-GB"/>
              </w:rPr>
              <w:t xml:space="preserve">Initiative findings for Curious Minds also suggest positive outcomes for students, including an increased likelihood of students pursuing STEM subjects in later years. However, there are reservations about the initiative’s scope and its direct student focus rather than strengthening teacher capability. </w:t>
            </w:r>
          </w:p>
          <w:p w14:paraId="2F47F9DD" w14:textId="77777777" w:rsidR="00762B5A" w:rsidRDefault="00762B5A" w:rsidP="00164DDE">
            <w:pPr>
              <w:pStyle w:val="ListParagraph"/>
              <w:numPr>
                <w:ilvl w:val="0"/>
                <w:numId w:val="144"/>
              </w:numPr>
              <w:rPr>
                <w:b/>
                <w:szCs w:val="22"/>
                <w:lang w:val="en-US"/>
              </w:rPr>
            </w:pPr>
            <w:r>
              <w:rPr>
                <w:szCs w:val="22"/>
                <w:lang w:val="en-US"/>
              </w:rPr>
              <w:t xml:space="preserve">An internal evaluation suggests the initiative exceeded its target student attendance for its 2018 camp, with 63 students attending (initial target was 54 students). </w:t>
            </w:r>
          </w:p>
          <w:p w14:paraId="77496D45" w14:textId="77777777" w:rsidR="00762B5A" w:rsidRDefault="00762B5A" w:rsidP="00164DDE">
            <w:pPr>
              <w:pStyle w:val="ListParagraph"/>
              <w:numPr>
                <w:ilvl w:val="0"/>
                <w:numId w:val="144"/>
              </w:numPr>
              <w:rPr>
                <w:b/>
                <w:szCs w:val="22"/>
                <w:lang w:val="en-US"/>
              </w:rPr>
            </w:pPr>
            <w:r>
              <w:rPr>
                <w:szCs w:val="22"/>
                <w:lang w:val="en-US"/>
              </w:rPr>
              <w:t>Most of the student participants not only enjoyed attending the program but grew in confidence and developed STEM career aspirations. This increase in engagement resulted in all participants from the 2015 survey enrolling in STEM subjects in years 11 and 12.</w:t>
            </w:r>
          </w:p>
        </w:tc>
      </w:tr>
      <w:tr w:rsidR="00762B5A" w14:paraId="15060185"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B78AEC8" w14:textId="77777777" w:rsidR="00762B5A" w:rsidRDefault="00762B5A" w:rsidP="007E2D07">
            <w:pPr>
              <w:rPr>
                <w:szCs w:val="22"/>
              </w:rPr>
            </w:pPr>
            <w:r>
              <w:rPr>
                <w:szCs w:val="22"/>
              </w:rPr>
              <w:t xml:space="preserve">Limitations of the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FD5FDA1" w14:textId="77777777" w:rsidR="00762B5A" w:rsidRDefault="00762B5A" w:rsidP="00164DDE">
            <w:pPr>
              <w:pStyle w:val="ListParagraph"/>
              <w:numPr>
                <w:ilvl w:val="0"/>
                <w:numId w:val="91"/>
              </w:numPr>
              <w:rPr>
                <w:szCs w:val="22"/>
              </w:rPr>
            </w:pPr>
            <w:r>
              <w:rPr>
                <w:rFonts w:cs="Arial Narrow"/>
                <w:szCs w:val="22"/>
                <w:lang w:val="en-GB"/>
              </w:rPr>
              <w:t xml:space="preserve">No external evaluation has been undertaken. The evaluation was conducted by the provider and is therefore not independent </w:t>
            </w:r>
          </w:p>
          <w:p w14:paraId="4F6FF48F" w14:textId="77777777" w:rsidR="00762B5A" w:rsidRDefault="00762B5A" w:rsidP="00164DDE">
            <w:pPr>
              <w:pStyle w:val="ListParagraph"/>
              <w:numPr>
                <w:ilvl w:val="0"/>
                <w:numId w:val="91"/>
              </w:numPr>
              <w:rPr>
                <w:szCs w:val="22"/>
              </w:rPr>
            </w:pPr>
            <w:r>
              <w:rPr>
                <w:szCs w:val="22"/>
              </w:rPr>
              <w:t>The internal evaluation does not include direct measures of student achievement or engagement</w:t>
            </w:r>
          </w:p>
        </w:tc>
      </w:tr>
      <w:tr w:rsidR="00762B5A" w14:paraId="6B718158"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275108D" w14:textId="77777777" w:rsidR="00762B5A" w:rsidRDefault="00762B5A" w:rsidP="007E2D07">
            <w:pPr>
              <w:rPr>
                <w:szCs w:val="22"/>
              </w:rPr>
            </w:pPr>
            <w:r>
              <w:rPr>
                <w:szCs w:val="22"/>
              </w:rPr>
              <w:t>Challenges faced by the provider</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008C4C6" w14:textId="77777777" w:rsidR="00762B5A" w:rsidRDefault="00762B5A" w:rsidP="007E2D07">
            <w:pPr>
              <w:rPr>
                <w:szCs w:val="22"/>
                <w:lang w:val="en-US"/>
              </w:rPr>
            </w:pPr>
            <w:r>
              <w:rPr>
                <w:szCs w:val="22"/>
                <w:lang w:val="en-US"/>
              </w:rPr>
              <w:t xml:space="preserve">Some of the girls who attend the program do not have the resilience to go deeper into STEM or to complete activities outside of what they are used to in schools. </w:t>
            </w:r>
          </w:p>
        </w:tc>
      </w:tr>
      <w:tr w:rsidR="00762B5A" w14:paraId="024A508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C7C0D9E" w14:textId="77777777" w:rsidR="00762B5A" w:rsidRDefault="00762B5A" w:rsidP="007E2D07">
            <w:pPr>
              <w:rPr>
                <w:szCs w:val="22"/>
              </w:rPr>
            </w:pPr>
            <w:r>
              <w:rPr>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E236F98" w14:textId="77777777" w:rsidR="00762B5A" w:rsidRDefault="00762B5A" w:rsidP="00164DDE">
            <w:pPr>
              <w:pStyle w:val="ListParagraph"/>
              <w:numPr>
                <w:ilvl w:val="0"/>
                <w:numId w:val="90"/>
              </w:numPr>
              <w:rPr>
                <w:b/>
                <w:szCs w:val="22"/>
                <w:lang w:val="en-US"/>
              </w:rPr>
            </w:pPr>
            <w:r>
              <w:rPr>
                <w:szCs w:val="22"/>
                <w:lang w:val="en-US"/>
              </w:rPr>
              <w:t>Continue to improve the program and gain a deeper understanding of the impact that such outreach programs can have on students</w:t>
            </w:r>
          </w:p>
          <w:p w14:paraId="707CE42C" w14:textId="77777777" w:rsidR="00762B5A" w:rsidRDefault="00762B5A" w:rsidP="00164DDE">
            <w:pPr>
              <w:pStyle w:val="ListParagraph"/>
              <w:numPr>
                <w:ilvl w:val="0"/>
                <w:numId w:val="90"/>
              </w:numPr>
              <w:rPr>
                <w:b/>
                <w:szCs w:val="22"/>
                <w:lang w:val="en-US"/>
              </w:rPr>
            </w:pPr>
            <w:r>
              <w:rPr>
                <w:bCs/>
                <w:szCs w:val="22"/>
                <w:lang w:val="en-US"/>
              </w:rPr>
              <w:t>A PhD Candidate in</w:t>
            </w:r>
            <w:r>
              <w:rPr>
                <w:b/>
                <w:szCs w:val="22"/>
                <w:lang w:val="en-US"/>
              </w:rPr>
              <w:t xml:space="preserve"> </w:t>
            </w:r>
            <w:r>
              <w:rPr>
                <w:szCs w:val="22"/>
                <w:lang w:val="en-US"/>
              </w:rPr>
              <w:t>the Research School of Psychology at the Australian National University (ANU) is conducting an evaluation of the 2018/2019 Curious Minds program as part of her PhD research</w:t>
            </w:r>
          </w:p>
        </w:tc>
      </w:tr>
      <w:tr w:rsidR="00762B5A" w14:paraId="3AE80207" w14:textId="77777777" w:rsidTr="007E2D07">
        <w:trPr>
          <w:trHeight w:val="62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8008EFA" w14:textId="77777777" w:rsidR="00762B5A" w:rsidRDefault="00762B5A" w:rsidP="007E2D07">
            <w:pPr>
              <w:rPr>
                <w:szCs w:val="22"/>
              </w:rPr>
            </w:pPr>
            <w:r>
              <w:rPr>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87A0CA6" w14:textId="77777777" w:rsidR="00762B5A" w:rsidRDefault="00762B5A" w:rsidP="00164DDE">
            <w:pPr>
              <w:pStyle w:val="ListParagraph"/>
              <w:numPr>
                <w:ilvl w:val="0"/>
                <w:numId w:val="92"/>
              </w:numPr>
              <w:rPr>
                <w:szCs w:val="22"/>
              </w:rPr>
            </w:pPr>
            <w:r>
              <w:rPr>
                <w:szCs w:val="22"/>
              </w:rPr>
              <w:t xml:space="preserve">Australian Mathematics Trust and Australian Science Innovations. (March 2019). </w:t>
            </w:r>
            <w:r>
              <w:rPr>
                <w:i/>
                <w:iCs/>
                <w:szCs w:val="22"/>
              </w:rPr>
              <w:t>Curious Minds Progress Report 7 (1 August 2018 to 31 January 2019)</w:t>
            </w:r>
          </w:p>
          <w:p w14:paraId="0D442894" w14:textId="77777777" w:rsidR="00762B5A" w:rsidRDefault="00762B5A" w:rsidP="00164DDE">
            <w:pPr>
              <w:pStyle w:val="ListParagraph"/>
              <w:numPr>
                <w:ilvl w:val="0"/>
                <w:numId w:val="92"/>
              </w:numPr>
              <w:rPr>
                <w:szCs w:val="22"/>
              </w:rPr>
            </w:pPr>
            <w:r>
              <w:rPr>
                <w:szCs w:val="22"/>
              </w:rPr>
              <w:t>Curious Minds Infographic</w:t>
            </w:r>
          </w:p>
          <w:p w14:paraId="0AD57B4D" w14:textId="77777777" w:rsidR="00762B5A" w:rsidRDefault="00762B5A" w:rsidP="00164DDE">
            <w:pPr>
              <w:pStyle w:val="ListParagraph"/>
              <w:numPr>
                <w:ilvl w:val="0"/>
                <w:numId w:val="92"/>
              </w:numPr>
              <w:rPr>
                <w:szCs w:val="22"/>
              </w:rPr>
            </w:pPr>
            <w:r>
              <w:rPr>
                <w:szCs w:val="22"/>
              </w:rPr>
              <w:t xml:space="preserve">Interview with provider </w:t>
            </w:r>
          </w:p>
        </w:tc>
      </w:tr>
    </w:tbl>
    <w:p w14:paraId="71A2A433" w14:textId="77777777" w:rsidR="00762B5A" w:rsidRDefault="00762B5A" w:rsidP="00762B5A">
      <w:pPr>
        <w:rPr>
          <w:szCs w:val="22"/>
        </w:rPr>
      </w:pPr>
    </w:p>
    <w:p w14:paraId="07823AAE" w14:textId="77777777" w:rsidR="00762B5A" w:rsidRDefault="00762B5A" w:rsidP="00762B5A">
      <w:pPr>
        <w:rPr>
          <w:rFonts w:cs="Arial"/>
          <w:szCs w:val="22"/>
        </w:rPr>
      </w:pPr>
    </w:p>
    <w:p w14:paraId="2A11EC52" w14:textId="77777777" w:rsidR="00762B5A" w:rsidRDefault="00762B5A" w:rsidP="00762B5A">
      <w:pPr>
        <w:rPr>
          <w:rFonts w:cs="Arial"/>
          <w:szCs w:val="22"/>
        </w:rPr>
      </w:pPr>
    </w:p>
    <w:p w14:paraId="0CA3C7BB" w14:textId="77777777" w:rsidR="00762B5A" w:rsidRDefault="00762B5A" w:rsidP="00762B5A">
      <w:pPr>
        <w:pStyle w:val="Heading1"/>
        <w:numPr>
          <w:ilvl w:val="0"/>
          <w:numId w:val="0"/>
        </w:numPr>
        <w:spacing w:before="0" w:after="120" w:line="360" w:lineRule="auto"/>
        <w:ind w:left="567" w:hanging="567"/>
        <w:rPr>
          <w:rFonts w:asciiTheme="minorHAnsi" w:hAnsiTheme="minorHAnsi" w:cs="Arial"/>
          <w:b/>
          <w:bCs/>
          <w:sz w:val="36"/>
          <w:szCs w:val="36"/>
        </w:rPr>
      </w:pPr>
      <w:bookmarkStart w:id="171" w:name="_Toc25162087"/>
      <w:r>
        <w:rPr>
          <w:rFonts w:asciiTheme="minorHAnsi" w:hAnsiTheme="minorHAnsi" w:cs="Arial"/>
          <w:b/>
          <w:bCs/>
          <w:sz w:val="36"/>
          <w:szCs w:val="36"/>
        </w:rPr>
        <w:t>Primary Connections</w:t>
      </w:r>
      <w:bookmarkEnd w:id="171"/>
      <w:r>
        <w:rPr>
          <w:rFonts w:asciiTheme="minorHAnsi" w:hAnsiTheme="minorHAnsi" w:cs="Arial"/>
          <w:b/>
          <w:bCs/>
          <w:sz w:val="36"/>
          <w:szCs w:val="36"/>
        </w:rPr>
        <w:t xml:space="preserve"> </w:t>
      </w:r>
    </w:p>
    <w:tbl>
      <w:tblPr>
        <w:tblStyle w:val="BoxGrid-Coloured"/>
        <w:tblW w:w="0" w:type="auto"/>
        <w:tblInd w:w="-95" w:type="dxa"/>
        <w:tblLook w:val="04A0" w:firstRow="1" w:lastRow="0" w:firstColumn="1" w:lastColumn="0" w:noHBand="0" w:noVBand="1"/>
      </w:tblPr>
      <w:tblGrid>
        <w:gridCol w:w="2810"/>
        <w:gridCol w:w="6336"/>
      </w:tblGrid>
      <w:tr w:rsidR="00762B5A" w14:paraId="5DB17110"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31FE6B"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2FA0C29" w14:textId="77777777" w:rsidR="00762B5A" w:rsidRDefault="00762B5A" w:rsidP="007E2D07">
            <w:pPr>
              <w:rPr>
                <w:szCs w:val="22"/>
              </w:rPr>
            </w:pPr>
            <w:r>
              <w:rPr>
                <w:szCs w:val="22"/>
              </w:rPr>
              <w:t xml:space="preserve">Australian Academy of Science </w:t>
            </w:r>
          </w:p>
        </w:tc>
      </w:tr>
      <w:tr w:rsidR="00762B5A" w14:paraId="45E2EBF1" w14:textId="77777777" w:rsidTr="007E2D07">
        <w:trPr>
          <w:trHeight w:val="1262"/>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4B606E"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5BF5233" w14:textId="77777777" w:rsidR="00762B5A" w:rsidRDefault="00762B5A" w:rsidP="007E2D07">
            <w:pPr>
              <w:rPr>
                <w:szCs w:val="22"/>
              </w:rPr>
            </w:pPr>
            <w:r>
              <w:rPr>
                <w:szCs w:val="22"/>
              </w:rPr>
              <w:t xml:space="preserve">Primary Connections (PC) is an F-6 implementation support program that provides primary teachers with comprehensive curriculum and professional learning resources that link the teaching of science with the teaching of literacy. It focusses on developing primary students’ knowledge, understanding and skill-set in science and literacy, through an inquiry-based approach.   </w:t>
            </w:r>
          </w:p>
          <w:p w14:paraId="67C13A47" w14:textId="77777777" w:rsidR="00762B5A" w:rsidRDefault="00762B5A" w:rsidP="007E2D07">
            <w:pPr>
              <w:rPr>
                <w:szCs w:val="22"/>
                <w:u w:val="single"/>
              </w:rPr>
            </w:pPr>
            <w:r>
              <w:rPr>
                <w:szCs w:val="22"/>
                <w:u w:val="single"/>
              </w:rPr>
              <w:t>Objectives of Stage 6 and 7</w:t>
            </w:r>
          </w:p>
          <w:p w14:paraId="7AE5A821" w14:textId="77777777" w:rsidR="00762B5A" w:rsidRDefault="00762B5A" w:rsidP="00164DDE">
            <w:pPr>
              <w:pStyle w:val="ListParagraph"/>
              <w:numPr>
                <w:ilvl w:val="0"/>
                <w:numId w:val="94"/>
              </w:numPr>
              <w:rPr>
                <w:szCs w:val="22"/>
              </w:rPr>
            </w:pPr>
            <w:r>
              <w:rPr>
                <w:szCs w:val="22"/>
              </w:rPr>
              <w:t>Increase the uptake of Primary Connections in schools</w:t>
            </w:r>
          </w:p>
          <w:p w14:paraId="5770013C" w14:textId="77777777" w:rsidR="00762B5A" w:rsidRDefault="00762B5A" w:rsidP="00164DDE">
            <w:pPr>
              <w:pStyle w:val="ListParagraph"/>
              <w:numPr>
                <w:ilvl w:val="0"/>
                <w:numId w:val="94"/>
              </w:numPr>
              <w:rPr>
                <w:szCs w:val="22"/>
              </w:rPr>
            </w:pPr>
            <w:r>
              <w:rPr>
                <w:szCs w:val="22"/>
              </w:rPr>
              <w:t>Support primary school teachers and final year pre-service primary school teachers to teach science through inquiry</w:t>
            </w:r>
          </w:p>
          <w:p w14:paraId="7EEC2F63" w14:textId="77777777" w:rsidR="00762B5A" w:rsidRDefault="00762B5A" w:rsidP="00164DDE">
            <w:pPr>
              <w:pStyle w:val="ListParagraph"/>
              <w:numPr>
                <w:ilvl w:val="0"/>
                <w:numId w:val="94"/>
              </w:numPr>
              <w:rPr>
                <w:szCs w:val="22"/>
              </w:rPr>
            </w:pPr>
            <w:r>
              <w:rPr>
                <w:szCs w:val="22"/>
              </w:rPr>
              <w:t>Ensure primary school teachers, pre-service primary teachers and school educators are informed about PC</w:t>
            </w:r>
          </w:p>
        </w:tc>
      </w:tr>
      <w:tr w:rsidR="00762B5A" w14:paraId="263DF8F2"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D824382"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964AC96" w14:textId="77777777" w:rsidR="00762B5A" w:rsidRDefault="00762B5A" w:rsidP="007E2D07">
            <w:pPr>
              <w:rPr>
                <w:szCs w:val="22"/>
              </w:rPr>
            </w:pPr>
            <w:r>
              <w:rPr>
                <w:szCs w:val="22"/>
              </w:rPr>
              <w:t>Teachers</w:t>
            </w:r>
          </w:p>
        </w:tc>
      </w:tr>
      <w:tr w:rsidR="00762B5A" w14:paraId="7C0BED0C" w14:textId="77777777" w:rsidTr="007E2D07">
        <w:trPr>
          <w:trHeight w:val="780"/>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2841888"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0ADF13A" w14:textId="77777777" w:rsidR="00762B5A" w:rsidRDefault="00762B5A" w:rsidP="007E2D07">
            <w:pPr>
              <w:rPr>
                <w:szCs w:val="22"/>
              </w:rPr>
            </w:pPr>
            <w:r>
              <w:rPr>
                <w:szCs w:val="22"/>
              </w:rPr>
              <w:t>NISA funding is $1,000,000 (excluding GST) for the period of 2018-2020 (Stage 7). (building on many years of previous Australian Government funding)</w:t>
            </w:r>
          </w:p>
        </w:tc>
      </w:tr>
      <w:tr w:rsidR="00762B5A" w14:paraId="1AA10F82"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091E14A"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77CBE82" w14:textId="77777777" w:rsidR="00762B5A" w:rsidRPr="00EB7212" w:rsidRDefault="00762B5A" w:rsidP="00164DDE">
            <w:pPr>
              <w:pStyle w:val="ListParagraph"/>
              <w:numPr>
                <w:ilvl w:val="0"/>
                <w:numId w:val="140"/>
              </w:numPr>
              <w:rPr>
                <w:szCs w:val="22"/>
              </w:rPr>
            </w:pPr>
            <w:r>
              <w:rPr>
                <w:szCs w:val="22"/>
              </w:rPr>
              <w:t xml:space="preserve">Beyond </w:t>
            </w:r>
            <w:proofErr w:type="spellStart"/>
            <w:r>
              <w:rPr>
                <w:szCs w:val="22"/>
              </w:rPr>
              <w:t>dandolo’s</w:t>
            </w:r>
            <w:proofErr w:type="spellEnd"/>
            <w:r>
              <w:rPr>
                <w:szCs w:val="22"/>
              </w:rPr>
              <w:t xml:space="preserve"> evaluation, t</w:t>
            </w:r>
            <w:r w:rsidRPr="00EB7212">
              <w:rPr>
                <w:szCs w:val="22"/>
              </w:rPr>
              <w:t>he initiative has been evaluated multiple times in previous stages by different evaluators</w:t>
            </w:r>
          </w:p>
          <w:p w14:paraId="77A546FB" w14:textId="77777777" w:rsidR="00762B5A" w:rsidRDefault="00762B5A" w:rsidP="00164DDE">
            <w:pPr>
              <w:pStyle w:val="ListParagraph"/>
              <w:numPr>
                <w:ilvl w:val="0"/>
                <w:numId w:val="140"/>
              </w:numPr>
              <w:rPr>
                <w:szCs w:val="22"/>
              </w:rPr>
            </w:pPr>
            <w:r>
              <w:rPr>
                <w:szCs w:val="22"/>
              </w:rPr>
              <w:t xml:space="preserve">The University of Technology Sydney (UTS) completed the most recent external evaluation of Stage 6 (2014-2015) in 2018 </w:t>
            </w:r>
          </w:p>
        </w:tc>
      </w:tr>
      <w:tr w:rsidR="00762B5A" w14:paraId="44544240"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FDCBFAD" w14:textId="77777777" w:rsidR="00762B5A" w:rsidRPr="00EB7212" w:rsidRDefault="00762B5A" w:rsidP="007E2D07">
            <w:pPr>
              <w:rPr>
                <w:b/>
                <w:bCs/>
                <w:szCs w:val="22"/>
              </w:rPr>
            </w:pPr>
            <w:r w:rsidRPr="00EB7212">
              <w:rPr>
                <w:b/>
                <w:bCs/>
                <w:szCs w:val="22"/>
              </w:rPr>
              <w:t>Evaluation purpose (external evaluation of Stage 6)</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2B21455" w14:textId="77777777" w:rsidR="00762B5A" w:rsidRDefault="00762B5A" w:rsidP="007E2D07">
            <w:pPr>
              <w:rPr>
                <w:szCs w:val="22"/>
              </w:rPr>
            </w:pPr>
            <w:r>
              <w:rPr>
                <w:szCs w:val="22"/>
              </w:rPr>
              <w:t>The purpose of the UTS’ Stage 6 evaluation was to:</w:t>
            </w:r>
          </w:p>
          <w:p w14:paraId="44C2DB78" w14:textId="77777777" w:rsidR="00762B5A" w:rsidRDefault="00762B5A" w:rsidP="00164DDE">
            <w:pPr>
              <w:pStyle w:val="ListParagraph"/>
              <w:numPr>
                <w:ilvl w:val="0"/>
                <w:numId w:val="100"/>
              </w:numPr>
              <w:rPr>
                <w:b/>
                <w:bCs/>
                <w:szCs w:val="22"/>
              </w:rPr>
            </w:pPr>
            <w:r>
              <w:rPr>
                <w:szCs w:val="22"/>
              </w:rPr>
              <w:t xml:space="preserve">To assess the program outcomes against Stage 6 objectives, and; </w:t>
            </w:r>
          </w:p>
          <w:p w14:paraId="026A553A" w14:textId="77777777" w:rsidR="00762B5A" w:rsidRDefault="00762B5A" w:rsidP="00164DDE">
            <w:pPr>
              <w:pStyle w:val="ListParagraph"/>
              <w:numPr>
                <w:ilvl w:val="0"/>
                <w:numId w:val="100"/>
              </w:numPr>
              <w:rPr>
                <w:szCs w:val="22"/>
              </w:rPr>
            </w:pPr>
            <w:r>
              <w:rPr>
                <w:szCs w:val="22"/>
              </w:rPr>
              <w:t xml:space="preserve">To assess the impact of the program more broadly in order to enable program improvement </w:t>
            </w:r>
          </w:p>
        </w:tc>
      </w:tr>
      <w:tr w:rsidR="00762B5A" w14:paraId="0A52C094"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F7E6339" w14:textId="77777777" w:rsidR="00762B5A" w:rsidRPr="00EB7212" w:rsidRDefault="00762B5A" w:rsidP="007E2D07">
            <w:pPr>
              <w:rPr>
                <w:b/>
                <w:bCs/>
                <w:szCs w:val="22"/>
              </w:rPr>
            </w:pPr>
            <w:r w:rsidRPr="00EB7212">
              <w:rPr>
                <w:b/>
                <w:bCs/>
                <w:szCs w:val="22"/>
              </w:rPr>
              <w:t>Evaluation framework / methodology (external evaluation of Stage 6)</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EB1679C" w14:textId="77777777" w:rsidR="00762B5A" w:rsidRDefault="00762B5A" w:rsidP="007E2D07">
            <w:pPr>
              <w:rPr>
                <w:szCs w:val="22"/>
                <w:u w:val="single"/>
              </w:rPr>
            </w:pPr>
            <w:r>
              <w:rPr>
                <w:szCs w:val="22"/>
                <w:u w:val="single"/>
              </w:rPr>
              <w:t>Framework</w:t>
            </w:r>
          </w:p>
          <w:p w14:paraId="56E0A6B5" w14:textId="77777777" w:rsidR="00762B5A" w:rsidRDefault="00762B5A" w:rsidP="007E2D07">
            <w:pPr>
              <w:rPr>
                <w:szCs w:val="22"/>
              </w:rPr>
            </w:pPr>
            <w:r>
              <w:rPr>
                <w:szCs w:val="22"/>
              </w:rPr>
              <w:t xml:space="preserve">The research questions addressed are in four streams: </w:t>
            </w:r>
          </w:p>
          <w:p w14:paraId="03686232" w14:textId="77777777" w:rsidR="00762B5A" w:rsidRDefault="00762B5A" w:rsidP="00164DDE">
            <w:pPr>
              <w:pStyle w:val="ListParagraph"/>
              <w:numPr>
                <w:ilvl w:val="0"/>
                <w:numId w:val="99"/>
              </w:numPr>
              <w:rPr>
                <w:szCs w:val="22"/>
              </w:rPr>
            </w:pPr>
            <w:r>
              <w:rPr>
                <w:szCs w:val="22"/>
              </w:rPr>
              <w:t xml:space="preserve">Appropriateness </w:t>
            </w:r>
          </w:p>
          <w:p w14:paraId="568BD5FB" w14:textId="77777777" w:rsidR="00762B5A" w:rsidRDefault="00762B5A" w:rsidP="00164DDE">
            <w:pPr>
              <w:pStyle w:val="ListParagraph"/>
              <w:numPr>
                <w:ilvl w:val="0"/>
                <w:numId w:val="99"/>
              </w:numPr>
              <w:rPr>
                <w:szCs w:val="22"/>
              </w:rPr>
            </w:pPr>
            <w:r>
              <w:rPr>
                <w:szCs w:val="22"/>
              </w:rPr>
              <w:t xml:space="preserve">Efficiency </w:t>
            </w:r>
          </w:p>
          <w:p w14:paraId="4D9CD267" w14:textId="77777777" w:rsidR="00762B5A" w:rsidRDefault="00762B5A" w:rsidP="00164DDE">
            <w:pPr>
              <w:pStyle w:val="ListParagraph"/>
              <w:numPr>
                <w:ilvl w:val="0"/>
                <w:numId w:val="99"/>
              </w:numPr>
              <w:rPr>
                <w:szCs w:val="22"/>
              </w:rPr>
            </w:pPr>
            <w:r>
              <w:rPr>
                <w:szCs w:val="22"/>
              </w:rPr>
              <w:t xml:space="preserve">Effectiveness </w:t>
            </w:r>
          </w:p>
          <w:p w14:paraId="1440998E" w14:textId="77777777" w:rsidR="00762B5A" w:rsidRDefault="00762B5A" w:rsidP="00164DDE">
            <w:pPr>
              <w:pStyle w:val="ListParagraph"/>
              <w:numPr>
                <w:ilvl w:val="0"/>
                <w:numId w:val="99"/>
              </w:numPr>
              <w:rPr>
                <w:szCs w:val="22"/>
              </w:rPr>
            </w:pPr>
            <w:r>
              <w:rPr>
                <w:szCs w:val="22"/>
              </w:rPr>
              <w:t xml:space="preserve">Governance </w:t>
            </w:r>
          </w:p>
          <w:p w14:paraId="0D4F91CA" w14:textId="77777777" w:rsidR="00762B5A" w:rsidRDefault="00762B5A" w:rsidP="007E2D07">
            <w:pPr>
              <w:rPr>
                <w:szCs w:val="22"/>
                <w:u w:val="single"/>
              </w:rPr>
            </w:pPr>
            <w:r>
              <w:rPr>
                <w:szCs w:val="22"/>
                <w:u w:val="single"/>
              </w:rPr>
              <w:t>Methodology</w:t>
            </w:r>
          </w:p>
          <w:p w14:paraId="4098A483" w14:textId="77777777" w:rsidR="00762B5A" w:rsidRDefault="00762B5A" w:rsidP="007E2D07">
            <w:pPr>
              <w:rPr>
                <w:szCs w:val="22"/>
              </w:rPr>
            </w:pPr>
            <w:r>
              <w:rPr>
                <w:szCs w:val="22"/>
              </w:rPr>
              <w:t xml:space="preserve">This evaluation employed a range of qualitative and quantitative methods, including observations of delivery of professional learning workshops, a literature review, focus group and individual interviews, and surveys with a range of stakeholders. </w:t>
            </w:r>
          </w:p>
          <w:p w14:paraId="3AEBFCEC" w14:textId="77777777"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Primary Connections.</w:t>
            </w:r>
          </w:p>
        </w:tc>
      </w:tr>
      <w:tr w:rsidR="00762B5A" w14:paraId="12E02871" w14:textId="77777777" w:rsidTr="007E2D07">
        <w:trPr>
          <w:trHeight w:val="84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3B2B540" w14:textId="77777777" w:rsidR="00762B5A" w:rsidRPr="00EB7212" w:rsidRDefault="00762B5A" w:rsidP="007E2D07">
            <w:pPr>
              <w:rPr>
                <w:b/>
                <w:bCs/>
                <w:szCs w:val="22"/>
              </w:rPr>
            </w:pPr>
            <w:r w:rsidRPr="00EB7212">
              <w:rPr>
                <w:b/>
                <w:bCs/>
                <w:szCs w:val="22"/>
              </w:rPr>
              <w:t xml:space="preserve">Summary of evaluation conclusions (external evaluation of Stage 6 and </w:t>
            </w:r>
            <w:proofErr w:type="spellStart"/>
            <w:r w:rsidRPr="00EB7212">
              <w:rPr>
                <w:b/>
                <w:bCs/>
                <w:szCs w:val="22"/>
              </w:rPr>
              <w:t>dandolo</w:t>
            </w:r>
            <w:proofErr w:type="spellEnd"/>
            <w:r w:rsidRPr="00EB7212">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9E016AB" w14:textId="77777777" w:rsidR="00762B5A" w:rsidRDefault="00762B5A" w:rsidP="00164DDE">
            <w:pPr>
              <w:pStyle w:val="ListParagraph"/>
              <w:numPr>
                <w:ilvl w:val="0"/>
                <w:numId w:val="189"/>
              </w:numPr>
              <w:rPr>
                <w:szCs w:val="22"/>
              </w:rPr>
            </w:pPr>
            <w:r>
              <w:rPr>
                <w:szCs w:val="22"/>
              </w:rPr>
              <w:t xml:space="preserve">Primary Connections fills a gap in NISA-funded initiatives as it provides support for the early primary years, as well as engaging pre-service teachers. </w:t>
            </w:r>
          </w:p>
          <w:p w14:paraId="44D25D5C" w14:textId="77777777" w:rsidR="00762B5A" w:rsidRDefault="00762B5A" w:rsidP="00164DDE">
            <w:pPr>
              <w:pStyle w:val="ListParagraph"/>
              <w:numPr>
                <w:ilvl w:val="0"/>
                <w:numId w:val="189"/>
              </w:numPr>
              <w:rPr>
                <w:szCs w:val="22"/>
              </w:rPr>
            </w:pPr>
            <w:r>
              <w:rPr>
                <w:szCs w:val="22"/>
              </w:rPr>
              <w:t>Some stakeholders describe Primary Connections as having strong professional development offerings, and it is well-received by teachers. Stakeholders also note the positive link between STEM and literacy within the initiative, and the accessibility of its online functions.</w:t>
            </w:r>
          </w:p>
          <w:p w14:paraId="555477F3" w14:textId="77777777" w:rsidR="00762B5A" w:rsidRDefault="00762B5A" w:rsidP="00164DDE">
            <w:pPr>
              <w:pStyle w:val="ListParagraph"/>
              <w:numPr>
                <w:ilvl w:val="0"/>
                <w:numId w:val="189"/>
              </w:numPr>
              <w:rPr>
                <w:szCs w:val="22"/>
              </w:rPr>
            </w:pPr>
            <w:r>
              <w:rPr>
                <w:szCs w:val="22"/>
              </w:rPr>
              <w:t xml:space="preserve">An external evaluation found that Primary Connections has been widely implemented and has strong brand recognition. Stage 6 has been successful in extending the reach of Primary Connections among regional, rural and remote teachers, primarily in building capacity among current users to implement Primary Connections more faithfully and with greater skill and confidence. </w:t>
            </w:r>
          </w:p>
          <w:p w14:paraId="248A83D7" w14:textId="77777777" w:rsidR="00762B5A" w:rsidRDefault="00762B5A" w:rsidP="00164DDE">
            <w:pPr>
              <w:pStyle w:val="ListParagraph"/>
              <w:numPr>
                <w:ilvl w:val="0"/>
                <w:numId w:val="189"/>
              </w:numPr>
              <w:rPr>
                <w:szCs w:val="22"/>
              </w:rPr>
            </w:pPr>
            <w:r>
              <w:rPr>
                <w:szCs w:val="22"/>
              </w:rPr>
              <w:t xml:space="preserve">The research team took the view that </w:t>
            </w:r>
            <w:r>
              <w:rPr>
                <w:i/>
                <w:iCs/>
                <w:szCs w:val="22"/>
              </w:rPr>
              <w:t xml:space="preserve">Primary Connections </w:t>
            </w:r>
            <w:r>
              <w:rPr>
                <w:szCs w:val="22"/>
              </w:rPr>
              <w:t xml:space="preserve">should continue much as it is and provided the following recommendations: </w:t>
            </w:r>
          </w:p>
          <w:p w14:paraId="70F08B6C" w14:textId="77777777" w:rsidR="00762B5A" w:rsidRDefault="00762B5A" w:rsidP="00164DDE">
            <w:pPr>
              <w:pStyle w:val="ListParagraph"/>
              <w:numPr>
                <w:ilvl w:val="0"/>
                <w:numId w:val="193"/>
              </w:numPr>
              <w:ind w:left="714" w:hanging="357"/>
              <w:rPr>
                <w:szCs w:val="22"/>
              </w:rPr>
            </w:pPr>
            <w:r>
              <w:rPr>
                <w:szCs w:val="22"/>
              </w:rPr>
              <w:t>More ongoing professional learning that promotes teacher collaboration,</w:t>
            </w:r>
          </w:p>
          <w:p w14:paraId="5721908A" w14:textId="77777777" w:rsidR="00762B5A" w:rsidRDefault="00762B5A" w:rsidP="00164DDE">
            <w:pPr>
              <w:pStyle w:val="ListParagraph"/>
              <w:numPr>
                <w:ilvl w:val="0"/>
                <w:numId w:val="193"/>
              </w:numPr>
              <w:ind w:left="714" w:hanging="357"/>
              <w:rPr>
                <w:szCs w:val="22"/>
              </w:rPr>
            </w:pPr>
            <w:r>
              <w:rPr>
                <w:szCs w:val="22"/>
              </w:rPr>
              <w:t>Investigating an online platform that allows teachers to readily select, adapt and build their own program of work</w:t>
            </w:r>
          </w:p>
          <w:p w14:paraId="3DB2E3F6" w14:textId="77777777" w:rsidR="00762B5A" w:rsidRDefault="00762B5A" w:rsidP="00164DDE">
            <w:pPr>
              <w:pStyle w:val="ListParagraph"/>
              <w:numPr>
                <w:ilvl w:val="0"/>
                <w:numId w:val="193"/>
              </w:numPr>
              <w:ind w:left="714" w:hanging="357"/>
              <w:rPr>
                <w:szCs w:val="22"/>
              </w:rPr>
            </w:pPr>
            <w:r>
              <w:rPr>
                <w:szCs w:val="22"/>
              </w:rPr>
              <w:t>Students directly engage with varied learning activities that make the most effective use of digital learning.</w:t>
            </w:r>
          </w:p>
        </w:tc>
      </w:tr>
      <w:tr w:rsidR="00762B5A" w14:paraId="0F1993D1" w14:textId="77777777" w:rsidTr="007E2D07">
        <w:trPr>
          <w:trHeight w:val="664"/>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C7C22E2" w14:textId="77777777" w:rsidR="00762B5A" w:rsidRPr="00EB7212" w:rsidRDefault="00762B5A" w:rsidP="007E2D07">
            <w:pPr>
              <w:rPr>
                <w:b/>
                <w:bCs/>
                <w:szCs w:val="22"/>
              </w:rPr>
            </w:pPr>
            <w:r w:rsidRPr="00EB7212">
              <w:rPr>
                <w:b/>
                <w:bCs/>
                <w:szCs w:val="22"/>
              </w:rPr>
              <w:t xml:space="preserve">Limitations of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1531BE9" w14:textId="77777777" w:rsidR="00762B5A" w:rsidRDefault="00762B5A" w:rsidP="00164DDE">
            <w:pPr>
              <w:pStyle w:val="ListParagraph"/>
              <w:numPr>
                <w:ilvl w:val="0"/>
                <w:numId w:val="101"/>
              </w:numPr>
              <w:rPr>
                <w:szCs w:val="22"/>
              </w:rPr>
            </w:pPr>
            <w:r>
              <w:rPr>
                <w:szCs w:val="22"/>
              </w:rPr>
              <w:t>The most recent external evaluation is of Stage 6 only. The stage funded through NISA (Stage 7) has not been externally evaluated</w:t>
            </w:r>
          </w:p>
          <w:p w14:paraId="6C626B05" w14:textId="77777777" w:rsidR="00762B5A" w:rsidRDefault="00762B5A" w:rsidP="00164DDE">
            <w:pPr>
              <w:pStyle w:val="ListParagraph"/>
              <w:numPr>
                <w:ilvl w:val="0"/>
                <w:numId w:val="101"/>
              </w:numPr>
              <w:rPr>
                <w:szCs w:val="22"/>
              </w:rPr>
            </w:pPr>
            <w:r>
              <w:rPr>
                <w:rFonts w:cs="Arial Narrow"/>
                <w:szCs w:val="22"/>
                <w:lang w:val="en-GB"/>
              </w:rPr>
              <w:t>The Stage 6 evaluation does not include direct measures of student achievement or engagement</w:t>
            </w:r>
          </w:p>
          <w:p w14:paraId="16B0938F" w14:textId="77777777" w:rsidR="00762B5A" w:rsidRDefault="00762B5A" w:rsidP="00164DDE">
            <w:pPr>
              <w:pStyle w:val="ListParagraph"/>
              <w:numPr>
                <w:ilvl w:val="0"/>
                <w:numId w:val="101"/>
              </w:numPr>
              <w:rPr>
                <w:szCs w:val="22"/>
              </w:rPr>
            </w:pPr>
            <w:r>
              <w:rPr>
                <w:szCs w:val="22"/>
              </w:rPr>
              <w:t>The UTS evaluation team is conscious that much of the evaluation data about Primary Connections</w:t>
            </w:r>
            <w:r>
              <w:rPr>
                <w:i/>
                <w:iCs/>
                <w:szCs w:val="22"/>
              </w:rPr>
              <w:t xml:space="preserve"> </w:t>
            </w:r>
            <w:r>
              <w:rPr>
                <w:szCs w:val="22"/>
              </w:rPr>
              <w:t>come from those who have chosen to use it rather than those who have chosen not to use it</w:t>
            </w:r>
          </w:p>
        </w:tc>
      </w:tr>
      <w:tr w:rsidR="00762B5A" w14:paraId="25B06AC6" w14:textId="77777777" w:rsidTr="007E2D07">
        <w:trPr>
          <w:trHeight w:val="114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3487B9C" w14:textId="77777777" w:rsidR="00762B5A" w:rsidRPr="00EB7212" w:rsidRDefault="00762B5A" w:rsidP="007E2D07">
            <w:pPr>
              <w:rPr>
                <w:b/>
                <w:bCs/>
                <w:szCs w:val="22"/>
              </w:rPr>
            </w:pPr>
            <w:r w:rsidRPr="00EB7212">
              <w:rPr>
                <w:b/>
                <w:bCs/>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EBB02D6" w14:textId="77777777" w:rsidR="00762B5A" w:rsidRDefault="00762B5A" w:rsidP="00164DDE">
            <w:pPr>
              <w:pStyle w:val="ListParagraph"/>
              <w:numPr>
                <w:ilvl w:val="0"/>
                <w:numId w:val="98"/>
              </w:numPr>
              <w:rPr>
                <w:b/>
                <w:bCs/>
                <w:szCs w:val="22"/>
              </w:rPr>
            </w:pPr>
            <w:r>
              <w:rPr>
                <w:szCs w:val="22"/>
              </w:rPr>
              <w:t xml:space="preserve">Transitioning to the national curriculum and adapting material to align to individual state and territory curricula </w:t>
            </w:r>
          </w:p>
          <w:p w14:paraId="1768AC8D" w14:textId="77777777" w:rsidR="00762B5A" w:rsidRDefault="00762B5A" w:rsidP="00164DDE">
            <w:pPr>
              <w:pStyle w:val="ListParagraph"/>
              <w:numPr>
                <w:ilvl w:val="0"/>
                <w:numId w:val="97"/>
              </w:numPr>
              <w:rPr>
                <w:szCs w:val="22"/>
              </w:rPr>
            </w:pPr>
            <w:r>
              <w:rPr>
                <w:szCs w:val="22"/>
              </w:rPr>
              <w:t xml:space="preserve">Managing the digital transformation – adapting the professional learning for online delivery </w:t>
            </w:r>
          </w:p>
        </w:tc>
      </w:tr>
      <w:tr w:rsidR="00762B5A" w14:paraId="001CDFAF"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FD07B1" w14:textId="77777777" w:rsidR="00762B5A" w:rsidRPr="00EB7212" w:rsidRDefault="00762B5A" w:rsidP="007E2D07">
            <w:pPr>
              <w:rPr>
                <w:b/>
                <w:bCs/>
                <w:szCs w:val="22"/>
              </w:rPr>
            </w:pPr>
            <w:r w:rsidRPr="00EB7212">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51D025E" w14:textId="77777777" w:rsidR="00762B5A" w:rsidRDefault="00762B5A" w:rsidP="00164DDE">
            <w:pPr>
              <w:pStyle w:val="ListParagraph"/>
              <w:numPr>
                <w:ilvl w:val="0"/>
                <w:numId w:val="97"/>
              </w:numPr>
              <w:rPr>
                <w:szCs w:val="22"/>
              </w:rPr>
            </w:pPr>
            <w:r>
              <w:rPr>
                <w:szCs w:val="22"/>
              </w:rPr>
              <w:t>As recommended by the Stage 6 evaluation report, Primary Connections is exploring how to better take advantage of the digital learning environment.</w:t>
            </w:r>
          </w:p>
          <w:p w14:paraId="34F0ADBC" w14:textId="77777777" w:rsidR="00762B5A" w:rsidRDefault="00762B5A" w:rsidP="00164DDE">
            <w:pPr>
              <w:pStyle w:val="ListParagraph"/>
              <w:numPr>
                <w:ilvl w:val="0"/>
                <w:numId w:val="95"/>
              </w:numPr>
              <w:rPr>
                <w:szCs w:val="22"/>
              </w:rPr>
            </w:pPr>
            <w:r>
              <w:rPr>
                <w:szCs w:val="22"/>
              </w:rPr>
              <w:t>Increasing interactivity of Primary Connections resources</w:t>
            </w:r>
          </w:p>
          <w:p w14:paraId="1045DA1E" w14:textId="77777777" w:rsidR="00762B5A" w:rsidRDefault="00762B5A" w:rsidP="00164DDE">
            <w:pPr>
              <w:pStyle w:val="ListParagraph"/>
              <w:numPr>
                <w:ilvl w:val="0"/>
                <w:numId w:val="95"/>
              </w:numPr>
              <w:rPr>
                <w:szCs w:val="22"/>
              </w:rPr>
            </w:pPr>
            <w:r>
              <w:rPr>
                <w:szCs w:val="22"/>
              </w:rPr>
              <w:t>Providing teachers with greater opportunities to access professional learning by piloting online offerings</w:t>
            </w:r>
          </w:p>
          <w:p w14:paraId="62CD7C0D" w14:textId="77777777" w:rsidR="00762B5A" w:rsidRDefault="00762B5A" w:rsidP="00164DDE">
            <w:pPr>
              <w:pStyle w:val="ListParagraph"/>
              <w:numPr>
                <w:ilvl w:val="0"/>
                <w:numId w:val="95"/>
              </w:numPr>
              <w:rPr>
                <w:szCs w:val="22"/>
              </w:rPr>
            </w:pPr>
            <w:r>
              <w:rPr>
                <w:szCs w:val="22"/>
              </w:rPr>
              <w:t>Collaborating with universities to enhance STEM understanding for pre-service teachers</w:t>
            </w:r>
          </w:p>
        </w:tc>
      </w:tr>
      <w:tr w:rsidR="00762B5A" w14:paraId="0758A3EB" w14:textId="77777777" w:rsidTr="007E2D07">
        <w:trPr>
          <w:trHeight w:val="273"/>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EBDF1B2" w14:textId="77777777" w:rsidR="00762B5A" w:rsidRPr="00EB7212" w:rsidRDefault="00762B5A" w:rsidP="007E2D07">
            <w:pPr>
              <w:rPr>
                <w:b/>
                <w:bCs/>
                <w:szCs w:val="22"/>
              </w:rPr>
            </w:pPr>
            <w:r w:rsidRPr="00EB7212">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7EE318E" w14:textId="77777777" w:rsidR="00762B5A" w:rsidRDefault="00762B5A" w:rsidP="00164DDE">
            <w:pPr>
              <w:pStyle w:val="ListParagraph"/>
              <w:numPr>
                <w:ilvl w:val="0"/>
                <w:numId w:val="102"/>
              </w:numPr>
              <w:rPr>
                <w:rFonts w:eastAsia="Times New Roman"/>
                <w:szCs w:val="22"/>
              </w:rPr>
            </w:pPr>
            <w:r>
              <w:rPr>
                <w:szCs w:val="22"/>
              </w:rPr>
              <w:t xml:space="preserve">Aubusson P., </w:t>
            </w:r>
            <w:proofErr w:type="spellStart"/>
            <w:r>
              <w:rPr>
                <w:szCs w:val="22"/>
              </w:rPr>
              <w:t>Skamp</w:t>
            </w:r>
            <w:proofErr w:type="spellEnd"/>
            <w:r>
              <w:rPr>
                <w:szCs w:val="22"/>
              </w:rPr>
              <w:t xml:space="preserve">, K., Paul F. Burke, P. F., </w:t>
            </w:r>
            <w:proofErr w:type="spellStart"/>
            <w:r>
              <w:rPr>
                <w:szCs w:val="22"/>
              </w:rPr>
              <w:t>Pressick</w:t>
            </w:r>
            <w:proofErr w:type="spellEnd"/>
            <w:r>
              <w:rPr>
                <w:szCs w:val="22"/>
              </w:rPr>
              <w:t xml:space="preserve">-Kilborn K., Ng W., Palmer, T. &amp; Goodall, A. Fergusson, J. (2018). </w:t>
            </w:r>
            <w:r>
              <w:rPr>
                <w:i/>
                <w:iCs/>
                <w:szCs w:val="22"/>
              </w:rPr>
              <w:t>Primary Connections: Linking science with literacy Stage 6 research evaluation final internal report</w:t>
            </w:r>
            <w:r>
              <w:rPr>
                <w:szCs w:val="22"/>
              </w:rPr>
              <w:t xml:space="preserve"> </w:t>
            </w:r>
          </w:p>
          <w:p w14:paraId="57EFC80F" w14:textId="77777777" w:rsidR="00762B5A" w:rsidRDefault="00762B5A" w:rsidP="00164DDE">
            <w:pPr>
              <w:pStyle w:val="ListParagraph"/>
              <w:numPr>
                <w:ilvl w:val="0"/>
                <w:numId w:val="96"/>
              </w:numPr>
              <w:rPr>
                <w:szCs w:val="22"/>
              </w:rPr>
            </w:pPr>
            <w:r>
              <w:rPr>
                <w:szCs w:val="22"/>
              </w:rPr>
              <w:t xml:space="preserve">Interview with provider </w:t>
            </w:r>
          </w:p>
          <w:p w14:paraId="24DADF7C" w14:textId="77777777" w:rsidR="00762B5A" w:rsidRDefault="00762B5A" w:rsidP="00164DDE">
            <w:pPr>
              <w:pStyle w:val="ListParagraph"/>
              <w:numPr>
                <w:ilvl w:val="0"/>
                <w:numId w:val="96"/>
              </w:numPr>
              <w:rPr>
                <w:szCs w:val="22"/>
              </w:rPr>
            </w:pPr>
            <w:r>
              <w:rPr>
                <w:szCs w:val="22"/>
              </w:rPr>
              <w:t xml:space="preserve">Interview with the evaluator </w:t>
            </w:r>
          </w:p>
          <w:p w14:paraId="7BBC716F" w14:textId="77777777" w:rsidR="00762B5A" w:rsidRDefault="00762B5A" w:rsidP="00164DDE">
            <w:pPr>
              <w:pStyle w:val="ListParagraph"/>
              <w:numPr>
                <w:ilvl w:val="0"/>
                <w:numId w:val="96"/>
              </w:numPr>
              <w:rPr>
                <w:szCs w:val="22"/>
              </w:rPr>
            </w:pPr>
            <w:r>
              <w:rPr>
                <w:szCs w:val="22"/>
              </w:rPr>
              <w:t xml:space="preserve">Funding agreement between the Australian Government and the Australian Academy of Science </w:t>
            </w:r>
          </w:p>
        </w:tc>
      </w:tr>
    </w:tbl>
    <w:p w14:paraId="6E9513C2" w14:textId="77777777" w:rsidR="00762B5A" w:rsidRDefault="00762B5A" w:rsidP="00762B5A">
      <w:pPr>
        <w:rPr>
          <w:rFonts w:cs="Arial"/>
          <w:szCs w:val="22"/>
        </w:rPr>
      </w:pPr>
    </w:p>
    <w:p w14:paraId="6823EBD1" w14:textId="77777777" w:rsidR="00762B5A" w:rsidRDefault="00762B5A" w:rsidP="00762B5A">
      <w:pPr>
        <w:rPr>
          <w:rFonts w:cs="Arial"/>
          <w:szCs w:val="22"/>
        </w:rPr>
      </w:pPr>
      <w:r>
        <w:rPr>
          <w:rFonts w:cs="Arial"/>
          <w:szCs w:val="22"/>
        </w:rPr>
        <w:br w:type="page"/>
      </w:r>
    </w:p>
    <w:p w14:paraId="451A91F5" w14:textId="77777777" w:rsidR="00762B5A" w:rsidRDefault="00762B5A" w:rsidP="00762B5A">
      <w:pPr>
        <w:pStyle w:val="Heading1"/>
        <w:numPr>
          <w:ilvl w:val="0"/>
          <w:numId w:val="0"/>
        </w:numPr>
        <w:spacing w:before="0" w:after="120" w:line="360" w:lineRule="auto"/>
        <w:rPr>
          <w:rFonts w:asciiTheme="minorHAnsi" w:hAnsiTheme="minorHAnsi"/>
          <w:b/>
          <w:sz w:val="18"/>
          <w:szCs w:val="18"/>
        </w:rPr>
      </w:pPr>
      <w:bookmarkStart w:id="172" w:name="_Toc25162088"/>
      <w:r>
        <w:rPr>
          <w:rFonts w:asciiTheme="minorHAnsi" w:hAnsiTheme="minorHAnsi"/>
          <w:b/>
          <w:sz w:val="36"/>
          <w:szCs w:val="11"/>
        </w:rPr>
        <w:t>Science by Doing</w:t>
      </w:r>
      <w:bookmarkEnd w:id="172"/>
      <w:r>
        <w:rPr>
          <w:rFonts w:asciiTheme="minorHAnsi" w:hAnsiTheme="minorHAnsi"/>
          <w:b/>
          <w:sz w:val="36"/>
          <w:szCs w:val="11"/>
        </w:rPr>
        <w:t xml:space="preserve"> </w:t>
      </w:r>
      <w:r>
        <w:rPr>
          <w:rFonts w:asciiTheme="minorHAnsi" w:hAnsiTheme="minorHAnsi"/>
          <w:b/>
          <w:sz w:val="18"/>
          <w:szCs w:val="18"/>
        </w:rPr>
        <w:t xml:space="preserve"> </w:t>
      </w:r>
    </w:p>
    <w:tbl>
      <w:tblPr>
        <w:tblStyle w:val="BoxGrid-Coloured"/>
        <w:tblW w:w="0" w:type="auto"/>
        <w:tblInd w:w="-95" w:type="dxa"/>
        <w:tblLook w:val="04A0" w:firstRow="1" w:lastRow="0" w:firstColumn="1" w:lastColumn="0" w:noHBand="0" w:noVBand="1"/>
      </w:tblPr>
      <w:tblGrid>
        <w:gridCol w:w="2810"/>
        <w:gridCol w:w="6336"/>
      </w:tblGrid>
      <w:tr w:rsidR="00762B5A" w14:paraId="384524E5"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75E4676"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6C1EA44" w14:textId="77777777" w:rsidR="00762B5A" w:rsidRDefault="00762B5A" w:rsidP="007E2D07">
            <w:pPr>
              <w:rPr>
                <w:szCs w:val="22"/>
              </w:rPr>
            </w:pPr>
            <w:r>
              <w:rPr>
                <w:szCs w:val="22"/>
              </w:rPr>
              <w:t xml:space="preserve">Australian Academy of Science </w:t>
            </w:r>
          </w:p>
        </w:tc>
      </w:tr>
      <w:tr w:rsidR="00762B5A" w14:paraId="19DFA1D2" w14:textId="77777777" w:rsidTr="007E2D07">
        <w:trPr>
          <w:trHeight w:val="3672"/>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FA53823"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067737B" w14:textId="77777777" w:rsidR="00762B5A" w:rsidRDefault="00762B5A" w:rsidP="007E2D07">
            <w:pPr>
              <w:rPr>
                <w:szCs w:val="22"/>
              </w:rPr>
            </w:pPr>
            <w:r>
              <w:rPr>
                <w:rFonts w:cs="Arial"/>
                <w:szCs w:val="22"/>
              </w:rPr>
              <w:t>Science by Doing</w:t>
            </w:r>
            <w:r>
              <w:rPr>
                <w:rFonts w:cs="Arial"/>
                <w:i/>
                <w:iCs/>
                <w:szCs w:val="22"/>
              </w:rPr>
              <w:t xml:space="preserve"> </w:t>
            </w:r>
            <w:r>
              <w:rPr>
                <w:szCs w:val="22"/>
              </w:rPr>
              <w:t xml:space="preserve">is an evidence-based online science program for Years 7 to 10, developed by the Australian Academy of Science (AAS). The program resources are free to all Australian students and teachers and are supported by professional learning modules and a research-based professional learning approach. </w:t>
            </w:r>
          </w:p>
          <w:p w14:paraId="6BC5E436" w14:textId="77777777" w:rsidR="00762B5A" w:rsidRDefault="00762B5A" w:rsidP="007E2D07">
            <w:pPr>
              <w:rPr>
                <w:position w:val="-2"/>
                <w:szCs w:val="22"/>
              </w:rPr>
            </w:pPr>
            <w:r>
              <w:rPr>
                <w:position w:val="-2"/>
                <w:szCs w:val="22"/>
              </w:rPr>
              <w:t>The aim of the initiative is to improve teaching and student learning outcomes in science within schools, increase student interest and engagement in learning about science and improve the skills and confidence of school teachers to teach science through guided inquiry.</w:t>
            </w:r>
          </w:p>
          <w:p w14:paraId="21D0E41B" w14:textId="77777777" w:rsidR="00762B5A" w:rsidRDefault="00762B5A" w:rsidP="007E2D07">
            <w:pPr>
              <w:rPr>
                <w:rFonts w:eastAsia="Times New Roman"/>
                <w:szCs w:val="22"/>
                <w:u w:val="single"/>
              </w:rPr>
            </w:pPr>
            <w:r>
              <w:rPr>
                <w:rFonts w:eastAsia="Times New Roman"/>
                <w:szCs w:val="22"/>
                <w:u w:val="single"/>
              </w:rPr>
              <w:t>Objectives</w:t>
            </w:r>
          </w:p>
          <w:p w14:paraId="65CB9648" w14:textId="77777777" w:rsidR="00762B5A" w:rsidRDefault="00762B5A" w:rsidP="00164DDE">
            <w:pPr>
              <w:pStyle w:val="ListParagraph"/>
              <w:numPr>
                <w:ilvl w:val="0"/>
                <w:numId w:val="103"/>
              </w:numPr>
              <w:rPr>
                <w:szCs w:val="22"/>
              </w:rPr>
            </w:pPr>
            <w:r>
              <w:rPr>
                <w:szCs w:val="22"/>
              </w:rPr>
              <w:t xml:space="preserve">To ensure an innovative, comprehensive suite of high-quality </w:t>
            </w:r>
            <w:r>
              <w:rPr>
                <w:position w:val="2"/>
                <w:szCs w:val="22"/>
              </w:rPr>
              <w:t xml:space="preserve">curriculum </w:t>
            </w:r>
            <w:r>
              <w:rPr>
                <w:szCs w:val="22"/>
              </w:rPr>
              <w:t>units for school students is available and discoverable online to support the teaching of the Australian Curriculum: Science</w:t>
            </w:r>
          </w:p>
          <w:p w14:paraId="4E512405" w14:textId="77777777" w:rsidR="00762B5A" w:rsidRDefault="00762B5A" w:rsidP="00164DDE">
            <w:pPr>
              <w:pStyle w:val="ListParagraph"/>
              <w:numPr>
                <w:ilvl w:val="0"/>
                <w:numId w:val="103"/>
              </w:numPr>
              <w:rPr>
                <w:szCs w:val="22"/>
              </w:rPr>
            </w:pPr>
            <w:r>
              <w:rPr>
                <w:szCs w:val="22"/>
              </w:rPr>
              <w:t>Teachers and school educators are informed about Science by Doing and its resources</w:t>
            </w:r>
            <w:r>
              <w:rPr>
                <w:rFonts w:cs="Arial"/>
                <w:i/>
                <w:iCs/>
                <w:position w:val="2"/>
                <w:szCs w:val="22"/>
              </w:rPr>
              <w:t xml:space="preserve"> </w:t>
            </w:r>
            <w:r>
              <w:rPr>
                <w:szCs w:val="22"/>
              </w:rPr>
              <w:t xml:space="preserve"> </w:t>
            </w:r>
          </w:p>
        </w:tc>
      </w:tr>
      <w:tr w:rsidR="00762B5A" w14:paraId="0F955FD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34FAC23"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28B930F" w14:textId="77777777" w:rsidR="00762B5A" w:rsidRDefault="00762B5A" w:rsidP="007E2D07">
            <w:pPr>
              <w:rPr>
                <w:szCs w:val="22"/>
              </w:rPr>
            </w:pPr>
            <w:r>
              <w:rPr>
                <w:szCs w:val="22"/>
              </w:rPr>
              <w:t xml:space="preserve">Teachers, students </w:t>
            </w:r>
          </w:p>
        </w:tc>
      </w:tr>
      <w:tr w:rsidR="00762B5A" w14:paraId="113CE540" w14:textId="77777777" w:rsidTr="007E2D07">
        <w:trPr>
          <w:trHeight w:val="680"/>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08AC08D"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609CE52" w14:textId="77777777" w:rsidR="00762B5A" w:rsidRDefault="00762B5A" w:rsidP="007E2D07">
            <w:pPr>
              <w:rPr>
                <w:bCs/>
                <w:iCs/>
                <w:szCs w:val="22"/>
              </w:rPr>
            </w:pPr>
            <w:r>
              <w:rPr>
                <w:bCs/>
                <w:iCs/>
                <w:szCs w:val="22"/>
              </w:rPr>
              <w:t>NISA funding is $1,000,000 (excluding GST) for the period of 2018-2020 (Stage 5). (building on many years of previous Australian Government funding)</w:t>
            </w:r>
          </w:p>
        </w:tc>
      </w:tr>
      <w:tr w:rsidR="00762B5A" w14:paraId="4D470DC6"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8338A56"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C4EE707" w14:textId="77777777" w:rsidR="00762B5A" w:rsidRDefault="00762B5A" w:rsidP="00164DDE">
            <w:pPr>
              <w:pStyle w:val="ListParagraph"/>
              <w:numPr>
                <w:ilvl w:val="0"/>
                <w:numId w:val="104"/>
              </w:numPr>
              <w:rPr>
                <w:szCs w:val="22"/>
              </w:rPr>
            </w:pPr>
            <w:r>
              <w:rPr>
                <w:szCs w:val="22"/>
              </w:rPr>
              <w:t xml:space="preserve">Beyond </w:t>
            </w:r>
            <w:proofErr w:type="spellStart"/>
            <w:r>
              <w:rPr>
                <w:szCs w:val="22"/>
              </w:rPr>
              <w:t>dandol’s</w:t>
            </w:r>
            <w:proofErr w:type="spellEnd"/>
            <w:r>
              <w:rPr>
                <w:szCs w:val="22"/>
              </w:rPr>
              <w:t xml:space="preserve"> evaluation, an external evaluation of Science by Doing (Stage 4) was undertaken by the University of Technology Sydney and completed in 2018</w:t>
            </w:r>
          </w:p>
          <w:p w14:paraId="1A01AC98" w14:textId="77777777" w:rsidR="00762B5A" w:rsidRDefault="00762B5A" w:rsidP="00164DDE">
            <w:pPr>
              <w:pStyle w:val="ListParagraph"/>
              <w:numPr>
                <w:ilvl w:val="0"/>
                <w:numId w:val="104"/>
              </w:numPr>
              <w:rPr>
                <w:szCs w:val="22"/>
              </w:rPr>
            </w:pPr>
            <w:r>
              <w:rPr>
                <w:szCs w:val="22"/>
              </w:rPr>
              <w:t>Stage 5 (funded through NISA) has not been evaluated externally, however, the provider has undertaken internal evaluation activities including collecting website usage and download data</w:t>
            </w:r>
          </w:p>
        </w:tc>
      </w:tr>
      <w:tr w:rsidR="00762B5A" w14:paraId="6DD19B87"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9E83481" w14:textId="77777777" w:rsidR="00762B5A" w:rsidRPr="00EB7212" w:rsidRDefault="00762B5A" w:rsidP="007E2D07">
            <w:pPr>
              <w:rPr>
                <w:b/>
                <w:bCs/>
                <w:szCs w:val="22"/>
              </w:rPr>
            </w:pPr>
            <w:r w:rsidRPr="00EB7212">
              <w:rPr>
                <w:b/>
                <w:bCs/>
                <w:szCs w:val="22"/>
              </w:rPr>
              <w:t>Evaluation purpose (external evaluation of Stage 4)</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C330EF5" w14:textId="77777777" w:rsidR="00762B5A" w:rsidRDefault="00762B5A" w:rsidP="007E2D07">
            <w:pPr>
              <w:rPr>
                <w:szCs w:val="22"/>
              </w:rPr>
            </w:pPr>
            <w:r>
              <w:rPr>
                <w:szCs w:val="22"/>
              </w:rPr>
              <w:t>The purpose of this evaluation was to identify perceptions of Stage 4 of the program, in particular element 4 (revise curriculum units embedding each with a student e-Notebook component) and 5 (implement teacher education with universities)</w:t>
            </w:r>
          </w:p>
        </w:tc>
      </w:tr>
      <w:tr w:rsidR="00762B5A" w14:paraId="28173E67"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1D4871AC" w14:textId="77777777" w:rsidR="00762B5A" w:rsidRPr="00EB7212" w:rsidRDefault="00762B5A" w:rsidP="007E2D07">
            <w:pPr>
              <w:rPr>
                <w:b/>
                <w:bCs/>
                <w:szCs w:val="22"/>
              </w:rPr>
            </w:pPr>
            <w:r w:rsidRPr="00EB7212">
              <w:rPr>
                <w:b/>
                <w:bCs/>
                <w:szCs w:val="22"/>
              </w:rPr>
              <w:t>Evaluation framework / methodology (external evaluation of Stage 4)</w:t>
            </w:r>
          </w:p>
          <w:p w14:paraId="7F3D8F0D" w14:textId="77777777" w:rsidR="00762B5A" w:rsidRPr="00EB7212" w:rsidRDefault="00762B5A" w:rsidP="007E2D07">
            <w:pPr>
              <w:rPr>
                <w:b/>
                <w:bCs/>
                <w:szCs w:val="22"/>
              </w:rPr>
            </w:pP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7A5CF12" w14:textId="77777777" w:rsidR="00762B5A" w:rsidRDefault="00762B5A" w:rsidP="007E2D07">
            <w:pPr>
              <w:rPr>
                <w:iCs/>
                <w:szCs w:val="22"/>
                <w:u w:val="single"/>
              </w:rPr>
            </w:pPr>
            <w:r>
              <w:rPr>
                <w:iCs/>
                <w:szCs w:val="22"/>
                <w:u w:val="single"/>
              </w:rPr>
              <w:t>Framework</w:t>
            </w:r>
          </w:p>
          <w:p w14:paraId="2F05CE5D" w14:textId="77777777" w:rsidR="00762B5A" w:rsidRDefault="00762B5A" w:rsidP="007E2D07">
            <w:pPr>
              <w:rPr>
                <w:szCs w:val="22"/>
              </w:rPr>
            </w:pPr>
            <w:r>
              <w:rPr>
                <w:szCs w:val="22"/>
              </w:rPr>
              <w:t xml:space="preserve">The research questions related to the four research areas for this evaluation: </w:t>
            </w:r>
          </w:p>
          <w:p w14:paraId="0CCAA420" w14:textId="77777777" w:rsidR="00762B5A" w:rsidRDefault="00762B5A" w:rsidP="00164DDE">
            <w:pPr>
              <w:pStyle w:val="ListParagraph"/>
              <w:numPr>
                <w:ilvl w:val="0"/>
                <w:numId w:val="105"/>
              </w:numPr>
              <w:rPr>
                <w:szCs w:val="22"/>
              </w:rPr>
            </w:pPr>
            <w:r>
              <w:rPr>
                <w:szCs w:val="22"/>
              </w:rPr>
              <w:t xml:space="preserve">Effectiveness of implementation of </w:t>
            </w:r>
            <w:r>
              <w:rPr>
                <w:rFonts w:cs="Arial"/>
                <w:szCs w:val="22"/>
              </w:rPr>
              <w:t>Science by Doing</w:t>
            </w:r>
            <w:r>
              <w:rPr>
                <w:rFonts w:cs="Arial"/>
                <w:i/>
                <w:iCs/>
                <w:szCs w:val="22"/>
              </w:rPr>
              <w:t xml:space="preserve"> </w:t>
            </w:r>
          </w:p>
          <w:p w14:paraId="55070709" w14:textId="77777777" w:rsidR="00762B5A" w:rsidRDefault="00762B5A" w:rsidP="00164DDE">
            <w:pPr>
              <w:pStyle w:val="ListParagraph"/>
              <w:numPr>
                <w:ilvl w:val="0"/>
                <w:numId w:val="105"/>
              </w:numPr>
              <w:rPr>
                <w:szCs w:val="22"/>
              </w:rPr>
            </w:pPr>
            <w:r>
              <w:rPr>
                <w:szCs w:val="22"/>
              </w:rPr>
              <w:t xml:space="preserve">Effectiveness of science teacher educator workshops and resources </w:t>
            </w:r>
          </w:p>
          <w:p w14:paraId="09A5D2F1" w14:textId="77777777" w:rsidR="00762B5A" w:rsidRDefault="00762B5A" w:rsidP="00164DDE">
            <w:pPr>
              <w:pStyle w:val="ListParagraph"/>
              <w:numPr>
                <w:ilvl w:val="0"/>
                <w:numId w:val="105"/>
              </w:numPr>
              <w:rPr>
                <w:iCs/>
                <w:szCs w:val="22"/>
              </w:rPr>
            </w:pPr>
            <w:r>
              <w:rPr>
                <w:szCs w:val="22"/>
              </w:rPr>
              <w:t xml:space="preserve">Appropriateness </w:t>
            </w:r>
          </w:p>
          <w:p w14:paraId="399A25E4" w14:textId="77777777" w:rsidR="00762B5A" w:rsidRDefault="00762B5A" w:rsidP="00164DDE">
            <w:pPr>
              <w:pStyle w:val="ListParagraph"/>
              <w:numPr>
                <w:ilvl w:val="0"/>
                <w:numId w:val="105"/>
              </w:numPr>
              <w:rPr>
                <w:iCs/>
                <w:szCs w:val="22"/>
              </w:rPr>
            </w:pPr>
            <w:r>
              <w:rPr>
                <w:szCs w:val="22"/>
              </w:rPr>
              <w:t xml:space="preserve">Governance </w:t>
            </w:r>
          </w:p>
          <w:p w14:paraId="69AC7A76" w14:textId="77777777" w:rsidR="00762B5A" w:rsidRDefault="00762B5A" w:rsidP="007E2D07">
            <w:pPr>
              <w:rPr>
                <w:iCs/>
                <w:szCs w:val="22"/>
                <w:u w:val="single"/>
              </w:rPr>
            </w:pPr>
            <w:r>
              <w:rPr>
                <w:iCs/>
                <w:szCs w:val="22"/>
                <w:u w:val="single"/>
              </w:rPr>
              <w:t>Methodology</w:t>
            </w:r>
          </w:p>
          <w:p w14:paraId="18E2EA85" w14:textId="77777777" w:rsidR="00762B5A" w:rsidRDefault="00762B5A" w:rsidP="007E2D07">
            <w:pPr>
              <w:rPr>
                <w:szCs w:val="22"/>
              </w:rPr>
            </w:pPr>
            <w:r>
              <w:rPr>
                <w:iCs/>
                <w:szCs w:val="22"/>
              </w:rPr>
              <w:t>The</w:t>
            </w:r>
            <w:r>
              <w:rPr>
                <w:szCs w:val="22"/>
              </w:rPr>
              <w:t xml:space="preserve"> evaluation involved qualitative and quantitative research conducted in approximately six case study schools and with teacher education providers: </w:t>
            </w:r>
          </w:p>
          <w:p w14:paraId="544BA823" w14:textId="77777777" w:rsidR="00762B5A" w:rsidRDefault="00762B5A" w:rsidP="00164DDE">
            <w:pPr>
              <w:pStyle w:val="ListParagraph"/>
              <w:numPr>
                <w:ilvl w:val="0"/>
                <w:numId w:val="105"/>
              </w:numPr>
              <w:rPr>
                <w:szCs w:val="22"/>
              </w:rPr>
            </w:pPr>
            <w:r>
              <w:rPr>
                <w:szCs w:val="22"/>
              </w:rPr>
              <w:t xml:space="preserve">Effectiveness of implementation of </w:t>
            </w:r>
            <w:r>
              <w:rPr>
                <w:rFonts w:cs="Arial"/>
                <w:szCs w:val="22"/>
              </w:rPr>
              <w:t>Science by Doing</w:t>
            </w:r>
            <w:r>
              <w:rPr>
                <w:rFonts w:cs="Arial"/>
                <w:i/>
                <w:iCs/>
                <w:szCs w:val="22"/>
              </w:rPr>
              <w:t xml:space="preserve"> </w:t>
            </w:r>
            <w:r>
              <w:rPr>
                <w:szCs w:val="22"/>
              </w:rPr>
              <w:t>units within schools was determined through surveys of school science teachers and students together with case studies on teachers and students in six schools</w:t>
            </w:r>
          </w:p>
          <w:p w14:paraId="757E2CEA" w14:textId="77777777" w:rsidR="00762B5A" w:rsidRDefault="00762B5A" w:rsidP="00164DDE">
            <w:pPr>
              <w:pStyle w:val="ListParagraph"/>
              <w:numPr>
                <w:ilvl w:val="0"/>
                <w:numId w:val="105"/>
              </w:numPr>
              <w:rPr>
                <w:szCs w:val="22"/>
              </w:rPr>
            </w:pPr>
            <w:r>
              <w:rPr>
                <w:szCs w:val="22"/>
              </w:rPr>
              <w:t xml:space="preserve">Effectiveness of science teacher educator workshops and resources was determined using focus groups and a survey of science teacher educators and science teacher education students. Existing data on </w:t>
            </w:r>
            <w:r>
              <w:rPr>
                <w:iCs/>
                <w:szCs w:val="22"/>
              </w:rPr>
              <w:t>Science by Doing</w:t>
            </w:r>
            <w:r>
              <w:rPr>
                <w:szCs w:val="22"/>
              </w:rPr>
              <w:t xml:space="preserve"> held by the Academy of Science was also reviewed to investigate effectiveness</w:t>
            </w:r>
          </w:p>
          <w:p w14:paraId="048E03EC" w14:textId="77777777" w:rsidR="00762B5A" w:rsidRDefault="00762B5A" w:rsidP="00164DDE">
            <w:pPr>
              <w:pStyle w:val="ListParagraph"/>
              <w:numPr>
                <w:ilvl w:val="0"/>
                <w:numId w:val="105"/>
              </w:numPr>
              <w:rPr>
                <w:szCs w:val="22"/>
              </w:rPr>
            </w:pPr>
            <w:r>
              <w:rPr>
                <w:szCs w:val="22"/>
              </w:rPr>
              <w:t>Appropriateness was evaluated using document mapping and interviews, and efficiency evaluated via a document audit and discussions with stakeholders. The surveys noted above also obtained information on participant perceptions of appropriateness</w:t>
            </w:r>
          </w:p>
          <w:p w14:paraId="57393266" w14:textId="77777777" w:rsidR="00762B5A" w:rsidRDefault="00762B5A" w:rsidP="00164DDE">
            <w:pPr>
              <w:pStyle w:val="ListParagraph"/>
              <w:numPr>
                <w:ilvl w:val="0"/>
                <w:numId w:val="105"/>
              </w:numPr>
              <w:rPr>
                <w:szCs w:val="22"/>
              </w:rPr>
            </w:pPr>
            <w:r>
              <w:rPr>
                <w:szCs w:val="22"/>
              </w:rPr>
              <w:t>Governance was evaluated using an audit of existing governance plans, procedures and practices</w:t>
            </w:r>
          </w:p>
          <w:p w14:paraId="484F5FB3" w14:textId="77777777"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Science by Doing.</w:t>
            </w:r>
          </w:p>
        </w:tc>
      </w:tr>
      <w:tr w:rsidR="00762B5A" w14:paraId="790AB2E3" w14:textId="77777777" w:rsidTr="007E2D07">
        <w:trPr>
          <w:trHeight w:val="558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EC1D03C" w14:textId="77777777" w:rsidR="00762B5A" w:rsidRPr="00EB7212" w:rsidRDefault="00762B5A" w:rsidP="007E2D07">
            <w:pPr>
              <w:rPr>
                <w:b/>
                <w:bCs/>
                <w:szCs w:val="22"/>
              </w:rPr>
            </w:pPr>
            <w:r w:rsidRPr="00EB7212">
              <w:rPr>
                <w:b/>
                <w:bCs/>
                <w:szCs w:val="22"/>
              </w:rPr>
              <w:t xml:space="preserve">Summary of evaluation conclusions (external evaluation of Stage 4 and </w:t>
            </w:r>
            <w:proofErr w:type="spellStart"/>
            <w:r w:rsidRPr="00EB7212">
              <w:rPr>
                <w:b/>
                <w:bCs/>
                <w:szCs w:val="22"/>
              </w:rPr>
              <w:t>dandolo</w:t>
            </w:r>
            <w:proofErr w:type="spellEnd"/>
            <w:r w:rsidRPr="00EB7212">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5E46F8" w14:textId="77777777" w:rsidR="00762B5A" w:rsidRDefault="00762B5A" w:rsidP="00164DDE">
            <w:pPr>
              <w:pStyle w:val="ListParagraph"/>
              <w:numPr>
                <w:ilvl w:val="0"/>
                <w:numId w:val="107"/>
              </w:numPr>
              <w:rPr>
                <w:szCs w:val="22"/>
              </w:rPr>
            </w:pPr>
            <w:r>
              <w:rPr>
                <w:szCs w:val="22"/>
              </w:rPr>
              <w:t>Some stakeholders express enthusiastic uptake of Science by Doing by teachers in their jurisdiction, including that modules are widely used for professional learning. However, some stakeholders report that objectives and offerings of the initiative may be unclear to wide range of teachers.</w:t>
            </w:r>
          </w:p>
          <w:p w14:paraId="17D56247" w14:textId="77777777" w:rsidR="00762B5A" w:rsidRDefault="00762B5A" w:rsidP="00164DDE">
            <w:pPr>
              <w:pStyle w:val="ListParagraph"/>
              <w:numPr>
                <w:ilvl w:val="0"/>
                <w:numId w:val="107"/>
              </w:numPr>
              <w:rPr>
                <w:szCs w:val="22"/>
              </w:rPr>
            </w:pPr>
            <w:r>
              <w:rPr>
                <w:bCs/>
                <w:iCs/>
                <w:szCs w:val="22"/>
              </w:rPr>
              <w:t>An external evaluation found that Science by Doing</w:t>
            </w:r>
            <w:r>
              <w:rPr>
                <w:bCs/>
                <w:i/>
                <w:szCs w:val="22"/>
              </w:rPr>
              <w:t xml:space="preserve"> </w:t>
            </w:r>
            <w:r>
              <w:rPr>
                <w:bCs/>
                <w:szCs w:val="22"/>
              </w:rPr>
              <w:t xml:space="preserve">is very popular with in-service and pre-service teachers and students. The initiative’s </w:t>
            </w:r>
            <w:r>
              <w:rPr>
                <w:szCs w:val="22"/>
              </w:rPr>
              <w:t>resources were highly valued by in-service teachers because of their flexibility, which enabled teachers to adapt them to suit their needs, and students, who found them engaging and interesting and helpful in building their understanding of science and how scientists work. Professional learning modules were particularly popular with pre-service teachers.</w:t>
            </w:r>
          </w:p>
          <w:p w14:paraId="7027EA86" w14:textId="77777777" w:rsidR="00762B5A" w:rsidRDefault="00762B5A" w:rsidP="00164DDE">
            <w:pPr>
              <w:pStyle w:val="ListParagraph"/>
              <w:numPr>
                <w:ilvl w:val="0"/>
                <w:numId w:val="107"/>
              </w:numPr>
              <w:rPr>
                <w:szCs w:val="22"/>
              </w:rPr>
            </w:pPr>
            <w:r>
              <w:rPr>
                <w:szCs w:val="22"/>
              </w:rPr>
              <w:t>According to the evidence gathered from the high school teachers and students during the evaluation process, the revised curriculum units containing the student e-Notebook have had a very positive impact on their teaching and learning experience.</w:t>
            </w:r>
          </w:p>
          <w:p w14:paraId="465D0161" w14:textId="77777777" w:rsidR="00762B5A" w:rsidRDefault="00762B5A" w:rsidP="00164DDE">
            <w:pPr>
              <w:pStyle w:val="ListParagraph"/>
              <w:numPr>
                <w:ilvl w:val="0"/>
                <w:numId w:val="107"/>
              </w:numPr>
              <w:rPr>
                <w:szCs w:val="22"/>
              </w:rPr>
            </w:pPr>
            <w:r>
              <w:rPr>
                <w:szCs w:val="22"/>
              </w:rPr>
              <w:t xml:space="preserve">The evaluation of governance indicates that the Australian Academy of Science, the Department, and the Steering Committee effectively supported and oversaw the delivery of Stage 4. </w:t>
            </w:r>
          </w:p>
        </w:tc>
      </w:tr>
      <w:tr w:rsidR="00762B5A" w14:paraId="7FDBEDDC" w14:textId="77777777" w:rsidTr="007E2D07">
        <w:trPr>
          <w:trHeight w:val="664"/>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A7DA7B3" w14:textId="77777777" w:rsidR="00762B5A" w:rsidRPr="00EB7212" w:rsidRDefault="00762B5A" w:rsidP="007E2D07">
            <w:pPr>
              <w:rPr>
                <w:b/>
                <w:bCs/>
                <w:szCs w:val="22"/>
              </w:rPr>
            </w:pPr>
            <w:r w:rsidRPr="00EB7212">
              <w:rPr>
                <w:b/>
                <w:bCs/>
                <w:szCs w:val="22"/>
              </w:rPr>
              <w:t xml:space="preserve">Limitations of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19753F9" w14:textId="77777777" w:rsidR="00762B5A" w:rsidRDefault="00762B5A" w:rsidP="00164DDE">
            <w:pPr>
              <w:pStyle w:val="ListParagraph"/>
              <w:numPr>
                <w:ilvl w:val="0"/>
                <w:numId w:val="106"/>
              </w:numPr>
              <w:rPr>
                <w:szCs w:val="22"/>
              </w:rPr>
            </w:pPr>
            <w:r>
              <w:rPr>
                <w:szCs w:val="22"/>
              </w:rPr>
              <w:t>There is no independent evaluation of Stage 5 (funded through NISA)</w:t>
            </w:r>
          </w:p>
          <w:p w14:paraId="157D380C" w14:textId="77777777" w:rsidR="00762B5A" w:rsidRDefault="00762B5A" w:rsidP="00164DDE">
            <w:pPr>
              <w:pStyle w:val="ListParagraph"/>
              <w:numPr>
                <w:ilvl w:val="0"/>
                <w:numId w:val="106"/>
              </w:numPr>
              <w:rPr>
                <w:szCs w:val="22"/>
              </w:rPr>
            </w:pPr>
            <w:r>
              <w:rPr>
                <w:szCs w:val="22"/>
              </w:rPr>
              <w:t>The Stage 4 independent evaluation did not include any direct measures of student engagement or achievement</w:t>
            </w:r>
          </w:p>
        </w:tc>
      </w:tr>
      <w:tr w:rsidR="00762B5A" w14:paraId="1394835B" w14:textId="77777777" w:rsidTr="007E2D07">
        <w:trPr>
          <w:trHeight w:val="114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3411865" w14:textId="77777777" w:rsidR="00762B5A" w:rsidRPr="00EB7212" w:rsidRDefault="00762B5A" w:rsidP="007E2D07">
            <w:pPr>
              <w:rPr>
                <w:b/>
                <w:bCs/>
                <w:szCs w:val="22"/>
              </w:rPr>
            </w:pPr>
            <w:r w:rsidRPr="00EB7212">
              <w:rPr>
                <w:b/>
                <w:bCs/>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3519DC0" w14:textId="77777777" w:rsidR="00762B5A" w:rsidRDefault="00762B5A" w:rsidP="00164DDE">
            <w:pPr>
              <w:pStyle w:val="ListParagraph"/>
              <w:numPr>
                <w:ilvl w:val="0"/>
                <w:numId w:val="35"/>
              </w:numPr>
              <w:rPr>
                <w:szCs w:val="22"/>
              </w:rPr>
            </w:pPr>
            <w:r>
              <w:rPr>
                <w:szCs w:val="22"/>
              </w:rPr>
              <w:t xml:space="preserve">As with some other NISA-funded initiatives, Science by Doing must compete with other emerging resources and providers </w:t>
            </w:r>
          </w:p>
          <w:p w14:paraId="4D1DBE65" w14:textId="77777777" w:rsidR="00762B5A" w:rsidRDefault="00762B5A" w:rsidP="00164DDE">
            <w:pPr>
              <w:pStyle w:val="ListParagraph"/>
              <w:numPr>
                <w:ilvl w:val="0"/>
                <w:numId w:val="35"/>
              </w:numPr>
              <w:rPr>
                <w:szCs w:val="22"/>
              </w:rPr>
            </w:pPr>
            <w:r>
              <w:rPr>
                <w:szCs w:val="22"/>
              </w:rPr>
              <w:t>The e-notebook component of Science by Doing was built using an older code – there is an opportunity to update this</w:t>
            </w:r>
          </w:p>
          <w:p w14:paraId="091DF4E6" w14:textId="77777777" w:rsidR="00762B5A" w:rsidRDefault="00762B5A" w:rsidP="00164DDE">
            <w:pPr>
              <w:pStyle w:val="ListParagraph"/>
              <w:numPr>
                <w:ilvl w:val="0"/>
                <w:numId w:val="35"/>
              </w:numPr>
              <w:rPr>
                <w:szCs w:val="22"/>
              </w:rPr>
            </w:pPr>
            <w:r>
              <w:rPr>
                <w:szCs w:val="22"/>
              </w:rPr>
              <w:t xml:space="preserve">Science by Doing is not currently delivering workshops, which means there is not a lot of active promotion of the initiative </w:t>
            </w:r>
          </w:p>
          <w:p w14:paraId="5D48C49D" w14:textId="77777777" w:rsidR="00762B5A" w:rsidRDefault="00762B5A" w:rsidP="00164DDE">
            <w:pPr>
              <w:pStyle w:val="ListParagraph"/>
              <w:numPr>
                <w:ilvl w:val="0"/>
                <w:numId w:val="35"/>
              </w:numPr>
              <w:rPr>
                <w:szCs w:val="22"/>
              </w:rPr>
            </w:pPr>
            <w:r>
              <w:rPr>
                <w:szCs w:val="22"/>
              </w:rPr>
              <w:t xml:space="preserve">Differences in the technology schools have meant it can sometimes be difficult for students to participate in activities and for teachers to access resources   </w:t>
            </w:r>
          </w:p>
          <w:p w14:paraId="4BABA98E" w14:textId="77777777" w:rsidR="00762B5A" w:rsidRDefault="00762B5A" w:rsidP="00164DDE">
            <w:pPr>
              <w:pStyle w:val="ListParagraph"/>
              <w:numPr>
                <w:ilvl w:val="0"/>
                <w:numId w:val="35"/>
              </w:numPr>
              <w:rPr>
                <w:b/>
                <w:szCs w:val="22"/>
              </w:rPr>
            </w:pPr>
            <w:r>
              <w:rPr>
                <w:szCs w:val="22"/>
              </w:rPr>
              <w:t>Many teachers still favour students handwriting in their work, rather than typing. This affects how students use the e-Notebook function of the program</w:t>
            </w:r>
          </w:p>
        </w:tc>
      </w:tr>
      <w:tr w:rsidR="00762B5A" w14:paraId="21B72B6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37FFA92" w14:textId="77777777" w:rsidR="00762B5A" w:rsidRPr="00EB7212" w:rsidRDefault="00762B5A" w:rsidP="007E2D07">
            <w:pPr>
              <w:rPr>
                <w:b/>
                <w:bCs/>
                <w:szCs w:val="22"/>
              </w:rPr>
            </w:pPr>
            <w:r w:rsidRPr="00EB7212">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FBC9BF1" w14:textId="77777777" w:rsidR="00762B5A" w:rsidRDefault="00762B5A" w:rsidP="007E2D07">
            <w:pPr>
              <w:rPr>
                <w:szCs w:val="22"/>
              </w:rPr>
            </w:pPr>
            <w:r>
              <w:rPr>
                <w:szCs w:val="22"/>
              </w:rPr>
              <w:t>The evaluation suggests the initiative could expand its contribution to the evidence base for improving STEM education outcomes in Australia, by using data analytics to track student learning progress.</w:t>
            </w:r>
          </w:p>
        </w:tc>
      </w:tr>
      <w:tr w:rsidR="00762B5A" w14:paraId="17E39045" w14:textId="77777777" w:rsidTr="007E2D07">
        <w:trPr>
          <w:trHeight w:val="273"/>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B096A90" w14:textId="77777777" w:rsidR="00762B5A" w:rsidRPr="00EB7212" w:rsidRDefault="00762B5A" w:rsidP="007E2D07">
            <w:pPr>
              <w:rPr>
                <w:b/>
                <w:bCs/>
                <w:szCs w:val="22"/>
              </w:rPr>
            </w:pPr>
            <w:r w:rsidRPr="00EB7212">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349BCC1" w14:textId="77777777" w:rsidR="00762B5A" w:rsidRDefault="00762B5A" w:rsidP="00164DDE">
            <w:pPr>
              <w:pStyle w:val="ListParagraph"/>
              <w:numPr>
                <w:ilvl w:val="0"/>
                <w:numId w:val="108"/>
              </w:numPr>
              <w:rPr>
                <w:szCs w:val="22"/>
                <w:lang w:eastAsia="en-GB"/>
              </w:rPr>
            </w:pPr>
            <w:r>
              <w:rPr>
                <w:szCs w:val="22"/>
                <w:lang w:eastAsia="en-GB"/>
              </w:rPr>
              <w:t xml:space="preserve">UTS. (March 2018). </w:t>
            </w:r>
            <w:r>
              <w:rPr>
                <w:i/>
                <w:iCs/>
                <w:szCs w:val="22"/>
                <w:lang w:eastAsia="en-GB"/>
              </w:rPr>
              <w:t>Science by doing Stage 4</w:t>
            </w:r>
            <w:r>
              <w:rPr>
                <w:szCs w:val="22"/>
                <w:lang w:eastAsia="en-GB"/>
              </w:rPr>
              <w:t xml:space="preserve"> Final Report (</w:t>
            </w:r>
            <w:r>
              <w:rPr>
                <w:i/>
                <w:iCs/>
                <w:szCs w:val="22"/>
                <w:lang w:eastAsia="en-GB"/>
              </w:rPr>
              <w:t>2016 to 2018)</w:t>
            </w:r>
            <w:r>
              <w:rPr>
                <w:szCs w:val="22"/>
                <w:lang w:eastAsia="en-GB"/>
              </w:rPr>
              <w:t xml:space="preserve"> </w:t>
            </w:r>
          </w:p>
          <w:p w14:paraId="3EDAF28F" w14:textId="77777777" w:rsidR="00762B5A" w:rsidRDefault="00762B5A" w:rsidP="00164DDE">
            <w:pPr>
              <w:pStyle w:val="ListParagraph"/>
              <w:numPr>
                <w:ilvl w:val="0"/>
                <w:numId w:val="108"/>
              </w:numPr>
              <w:rPr>
                <w:szCs w:val="22"/>
                <w:lang w:eastAsia="en-GB"/>
              </w:rPr>
            </w:pPr>
            <w:r>
              <w:rPr>
                <w:szCs w:val="22"/>
              </w:rPr>
              <w:t xml:space="preserve">Interviews with the provider </w:t>
            </w:r>
          </w:p>
          <w:p w14:paraId="70982580" w14:textId="77777777" w:rsidR="00762B5A" w:rsidRDefault="00762B5A" w:rsidP="00164DDE">
            <w:pPr>
              <w:pStyle w:val="ListParagraph"/>
              <w:numPr>
                <w:ilvl w:val="0"/>
                <w:numId w:val="108"/>
              </w:numPr>
              <w:rPr>
                <w:szCs w:val="22"/>
                <w:lang w:eastAsia="en-GB"/>
              </w:rPr>
            </w:pPr>
            <w:r>
              <w:rPr>
                <w:szCs w:val="22"/>
                <w:lang w:eastAsia="en-GB"/>
              </w:rPr>
              <w:t xml:space="preserve">Interview with the evaluator </w:t>
            </w:r>
          </w:p>
        </w:tc>
      </w:tr>
    </w:tbl>
    <w:p w14:paraId="102268C8" w14:textId="77777777" w:rsidR="00762B5A" w:rsidRDefault="00762B5A" w:rsidP="00762B5A">
      <w:pPr>
        <w:rPr>
          <w:szCs w:val="22"/>
        </w:rPr>
      </w:pPr>
    </w:p>
    <w:p w14:paraId="131A7F99" w14:textId="77777777" w:rsidR="00762B5A" w:rsidRDefault="00762B5A" w:rsidP="00762B5A">
      <w:pPr>
        <w:rPr>
          <w:szCs w:val="22"/>
        </w:rPr>
      </w:pPr>
    </w:p>
    <w:p w14:paraId="7A9DDA3C" w14:textId="77777777" w:rsidR="00762B5A" w:rsidRDefault="00762B5A" w:rsidP="00762B5A">
      <w:pPr>
        <w:rPr>
          <w:szCs w:val="22"/>
        </w:rPr>
      </w:pPr>
    </w:p>
    <w:p w14:paraId="14CA1ED8" w14:textId="77777777" w:rsidR="00762B5A" w:rsidRDefault="00762B5A" w:rsidP="00762B5A">
      <w:pPr>
        <w:rPr>
          <w:szCs w:val="22"/>
        </w:rPr>
      </w:pPr>
    </w:p>
    <w:p w14:paraId="290DFF70" w14:textId="77777777" w:rsidR="00762B5A" w:rsidRDefault="00762B5A" w:rsidP="00762B5A">
      <w:pPr>
        <w:rPr>
          <w:szCs w:val="22"/>
        </w:rPr>
      </w:pPr>
    </w:p>
    <w:p w14:paraId="190D43A8" w14:textId="77777777" w:rsidR="00762B5A" w:rsidRDefault="00762B5A" w:rsidP="00762B5A">
      <w:pPr>
        <w:pStyle w:val="Heading1"/>
        <w:numPr>
          <w:ilvl w:val="0"/>
          <w:numId w:val="0"/>
        </w:numPr>
        <w:spacing w:before="0" w:after="120" w:line="360" w:lineRule="auto"/>
        <w:rPr>
          <w:rFonts w:asciiTheme="minorHAnsi" w:hAnsiTheme="minorHAnsi" w:cs="Arial"/>
          <w:b/>
          <w:bCs/>
          <w:sz w:val="36"/>
          <w:szCs w:val="36"/>
        </w:rPr>
      </w:pPr>
      <w:bookmarkStart w:id="173" w:name="_Toc25162089"/>
      <w:proofErr w:type="spellStart"/>
      <w:r>
        <w:rPr>
          <w:rFonts w:asciiTheme="minorHAnsi" w:hAnsiTheme="minorHAnsi" w:cs="Arial"/>
          <w:b/>
          <w:bCs/>
          <w:sz w:val="36"/>
          <w:szCs w:val="36"/>
        </w:rPr>
        <w:t>reSolve</w:t>
      </w:r>
      <w:proofErr w:type="spellEnd"/>
      <w:r>
        <w:rPr>
          <w:rFonts w:asciiTheme="minorHAnsi" w:hAnsiTheme="minorHAnsi" w:cs="Arial"/>
          <w:b/>
          <w:bCs/>
          <w:sz w:val="36"/>
          <w:szCs w:val="36"/>
        </w:rPr>
        <w:t>: Maths by Inquiry (</w:t>
      </w:r>
      <w:proofErr w:type="spellStart"/>
      <w:r>
        <w:rPr>
          <w:rFonts w:asciiTheme="minorHAnsi" w:hAnsiTheme="minorHAnsi" w:cs="Arial"/>
          <w:b/>
          <w:bCs/>
          <w:sz w:val="36"/>
          <w:szCs w:val="36"/>
        </w:rPr>
        <w:t>reSolve</w:t>
      </w:r>
      <w:proofErr w:type="spellEnd"/>
      <w:r>
        <w:rPr>
          <w:rFonts w:asciiTheme="minorHAnsi" w:hAnsiTheme="minorHAnsi" w:cs="Arial"/>
          <w:b/>
          <w:bCs/>
          <w:sz w:val="36"/>
          <w:szCs w:val="36"/>
        </w:rPr>
        <w:t>)</w:t>
      </w:r>
      <w:bookmarkEnd w:id="173"/>
    </w:p>
    <w:tbl>
      <w:tblPr>
        <w:tblStyle w:val="BoxGrid-Coloured"/>
        <w:tblW w:w="0" w:type="auto"/>
        <w:tblLook w:val="04A0" w:firstRow="1" w:lastRow="0" w:firstColumn="1" w:lastColumn="0" w:noHBand="0" w:noVBand="1"/>
      </w:tblPr>
      <w:tblGrid>
        <w:gridCol w:w="2783"/>
        <w:gridCol w:w="6268"/>
      </w:tblGrid>
      <w:tr w:rsidR="00762B5A" w14:paraId="01923A2C"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CE940F3" w14:textId="77777777" w:rsidR="00762B5A" w:rsidRPr="00EB7212" w:rsidRDefault="00762B5A" w:rsidP="007E2D07">
            <w:pPr>
              <w:rPr>
                <w:b/>
                <w:bCs/>
                <w:szCs w:val="22"/>
              </w:rPr>
            </w:pPr>
            <w:r w:rsidRPr="00EB7212">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B6D779B" w14:textId="77777777" w:rsidR="00762B5A" w:rsidRDefault="00762B5A" w:rsidP="007E2D07">
            <w:pPr>
              <w:rPr>
                <w:szCs w:val="22"/>
              </w:rPr>
            </w:pPr>
            <w:r>
              <w:rPr>
                <w:szCs w:val="22"/>
              </w:rPr>
              <w:t xml:space="preserve">Australian Academy of Science </w:t>
            </w:r>
          </w:p>
        </w:tc>
      </w:tr>
      <w:tr w:rsidR="00762B5A" w14:paraId="741366B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1CE5AB0" w14:textId="77777777" w:rsidR="00762B5A" w:rsidRPr="00EB7212" w:rsidRDefault="00762B5A" w:rsidP="007E2D07">
            <w:pPr>
              <w:rPr>
                <w:b/>
                <w:bCs/>
                <w:szCs w:val="22"/>
              </w:rPr>
            </w:pPr>
            <w:r w:rsidRPr="00EB7212">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479EE53" w14:textId="77777777" w:rsidR="00762B5A" w:rsidRDefault="00762B5A" w:rsidP="007E2D07">
            <w:pPr>
              <w:rPr>
                <w:szCs w:val="22"/>
              </w:rPr>
            </w:pPr>
            <w:proofErr w:type="spellStart"/>
            <w:r>
              <w:rPr>
                <w:szCs w:val="22"/>
              </w:rPr>
              <w:t>reSolve</w:t>
            </w:r>
            <w:proofErr w:type="spellEnd"/>
            <w:r>
              <w:rPr>
                <w:szCs w:val="22"/>
              </w:rPr>
              <w:t xml:space="preserve">: Maths by Inquiry provides teaching and professional learning resources that aim to transform the teaching and learning of mathematics in Australian schools. The initiative supports an inquiry-based pedagogical approach that links mathematics to real-world situations and focuses on problem-solving and reasoning.  </w:t>
            </w:r>
          </w:p>
          <w:p w14:paraId="14B8CA09" w14:textId="77777777" w:rsidR="00762B5A" w:rsidRDefault="00762B5A" w:rsidP="007E2D07">
            <w:pPr>
              <w:rPr>
                <w:szCs w:val="22"/>
                <w:u w:val="single"/>
              </w:rPr>
            </w:pPr>
            <w:r>
              <w:rPr>
                <w:szCs w:val="22"/>
                <w:u w:val="single"/>
              </w:rPr>
              <w:t>Objectives</w:t>
            </w:r>
          </w:p>
          <w:p w14:paraId="102B739E" w14:textId="77777777" w:rsidR="00762B5A" w:rsidRDefault="00762B5A" w:rsidP="00164DDE">
            <w:pPr>
              <w:pStyle w:val="ListParagraph"/>
              <w:numPr>
                <w:ilvl w:val="0"/>
                <w:numId w:val="119"/>
              </w:numPr>
              <w:rPr>
                <w:rFonts w:eastAsia="Times New Roman"/>
                <w:szCs w:val="22"/>
              </w:rPr>
            </w:pPr>
            <w:r>
              <w:rPr>
                <w:szCs w:val="22"/>
              </w:rPr>
              <w:t>Develop and disseminate a suite of innovative, high quality mathematics teaching and learning resources for Foundation to Year 10 school students, teachers and school leaders, incorporating contemporary mathematics pedagogies that are aimed at transforming the teaching and learning of mathematics</w:t>
            </w:r>
          </w:p>
          <w:p w14:paraId="6DFF3EA6" w14:textId="77777777" w:rsidR="00762B5A" w:rsidRDefault="00762B5A" w:rsidP="00164DDE">
            <w:pPr>
              <w:pStyle w:val="ListParagraph"/>
              <w:numPr>
                <w:ilvl w:val="0"/>
                <w:numId w:val="119"/>
              </w:numPr>
              <w:rPr>
                <w:szCs w:val="22"/>
              </w:rPr>
            </w:pPr>
            <w:r>
              <w:rPr>
                <w:szCs w:val="22"/>
              </w:rPr>
              <w:t>Ensure widespread awareness and uptake of the resources and associated pedagogical approaches in schools across Australia</w:t>
            </w:r>
          </w:p>
        </w:tc>
      </w:tr>
      <w:tr w:rsidR="00762B5A" w14:paraId="3E3E7066"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758FAAA" w14:textId="77777777" w:rsidR="00762B5A" w:rsidRPr="00EB7212" w:rsidRDefault="00762B5A" w:rsidP="007E2D07">
            <w:pPr>
              <w:rPr>
                <w:b/>
                <w:bCs/>
                <w:szCs w:val="22"/>
              </w:rPr>
            </w:pPr>
            <w:r w:rsidRPr="00EB7212">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B95006F" w14:textId="77777777" w:rsidR="00762B5A" w:rsidRDefault="00762B5A" w:rsidP="007E2D07">
            <w:pPr>
              <w:rPr>
                <w:szCs w:val="22"/>
              </w:rPr>
            </w:pPr>
            <w:r>
              <w:rPr>
                <w:szCs w:val="22"/>
              </w:rPr>
              <w:t xml:space="preserve">Teachers </w:t>
            </w:r>
          </w:p>
        </w:tc>
      </w:tr>
      <w:tr w:rsidR="00762B5A" w14:paraId="27374897"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C6ADD3B" w14:textId="77777777" w:rsidR="00762B5A" w:rsidRPr="00EB7212" w:rsidRDefault="00762B5A" w:rsidP="007E2D07">
            <w:pPr>
              <w:rPr>
                <w:b/>
                <w:bCs/>
                <w:szCs w:val="22"/>
              </w:rPr>
            </w:pPr>
            <w:r w:rsidRPr="00EB7212">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AB61B05" w14:textId="77777777" w:rsidR="00762B5A" w:rsidRDefault="00762B5A" w:rsidP="007E2D07">
            <w:pPr>
              <w:rPr>
                <w:szCs w:val="22"/>
              </w:rPr>
            </w:pPr>
            <w:r>
              <w:rPr>
                <w:szCs w:val="22"/>
              </w:rPr>
              <w:t>NISA funding is $1,000,000 (excluding GST) for the period of 2018-2020. (building on several previous years of Australian Government funding)</w:t>
            </w:r>
          </w:p>
        </w:tc>
      </w:tr>
      <w:tr w:rsidR="00762B5A" w14:paraId="02E7701A" w14:textId="77777777" w:rsidTr="007E2D07">
        <w:trPr>
          <w:trHeight w:val="74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EE87E0F" w14:textId="77777777" w:rsidR="00762B5A" w:rsidRPr="00EB7212" w:rsidRDefault="00762B5A" w:rsidP="007E2D07">
            <w:pPr>
              <w:rPr>
                <w:b/>
                <w:bCs/>
                <w:szCs w:val="22"/>
              </w:rPr>
            </w:pPr>
            <w:r w:rsidRPr="00EB7212">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838B794" w14:textId="77777777" w:rsidR="00762B5A" w:rsidRDefault="00762B5A" w:rsidP="007E2D07">
            <w:pPr>
              <w:rPr>
                <w:szCs w:val="22"/>
              </w:rPr>
            </w:pPr>
            <w:r>
              <w:rPr>
                <w:szCs w:val="22"/>
              </w:rPr>
              <w:t xml:space="preserve">In addition to </w:t>
            </w:r>
            <w:proofErr w:type="spellStart"/>
            <w:r>
              <w:rPr>
                <w:szCs w:val="22"/>
              </w:rPr>
              <w:t>dandolo’s</w:t>
            </w:r>
            <w:proofErr w:type="spellEnd"/>
            <w:r>
              <w:rPr>
                <w:szCs w:val="22"/>
              </w:rPr>
              <w:t xml:space="preserve"> NISA evaluation, an external evaluation of </w:t>
            </w:r>
            <w:proofErr w:type="spellStart"/>
            <w:r>
              <w:rPr>
                <w:szCs w:val="22"/>
              </w:rPr>
              <w:t>reSolve</w:t>
            </w:r>
            <w:proofErr w:type="spellEnd"/>
            <w:r>
              <w:rPr>
                <w:szCs w:val="22"/>
              </w:rPr>
              <w:t xml:space="preserve"> is being conducted by </w:t>
            </w:r>
            <w:proofErr w:type="spellStart"/>
            <w:r>
              <w:rPr>
                <w:szCs w:val="22"/>
              </w:rPr>
              <w:t>dandolo</w:t>
            </w:r>
            <w:proofErr w:type="spellEnd"/>
            <w:r>
              <w:rPr>
                <w:szCs w:val="22"/>
              </w:rPr>
              <w:t xml:space="preserve">. The evaluation commenced in June 2017 and is ongoing.  </w:t>
            </w:r>
          </w:p>
        </w:tc>
      </w:tr>
      <w:tr w:rsidR="00762B5A" w14:paraId="7DDB958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3C445EE" w14:textId="77777777" w:rsidR="00762B5A" w:rsidRPr="00EB7212" w:rsidRDefault="00762B5A" w:rsidP="007E2D07">
            <w:pPr>
              <w:rPr>
                <w:b/>
                <w:bCs/>
                <w:szCs w:val="22"/>
              </w:rPr>
            </w:pPr>
            <w:r w:rsidRPr="00EB7212">
              <w:rPr>
                <w:b/>
                <w:bCs/>
                <w:szCs w:val="22"/>
              </w:rPr>
              <w:t>Evaluation purpose (external 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BBB5C96" w14:textId="77777777" w:rsidR="00762B5A" w:rsidRDefault="00762B5A" w:rsidP="007E2D07">
            <w:pPr>
              <w:rPr>
                <w:szCs w:val="22"/>
              </w:rPr>
            </w:pPr>
            <w:r>
              <w:rPr>
                <w:szCs w:val="22"/>
              </w:rPr>
              <w:t xml:space="preserve">The purpose of the evaluation is to evaluate the design and implementation of </w:t>
            </w:r>
            <w:proofErr w:type="spellStart"/>
            <w:r>
              <w:rPr>
                <w:szCs w:val="22"/>
              </w:rPr>
              <w:t>reSolve</w:t>
            </w:r>
            <w:proofErr w:type="spellEnd"/>
            <w:r>
              <w:rPr>
                <w:szCs w:val="22"/>
              </w:rPr>
              <w:t xml:space="preserve"> and measure its impact on teacher capacity and student outcomes. </w:t>
            </w:r>
          </w:p>
        </w:tc>
      </w:tr>
      <w:tr w:rsidR="00762B5A" w14:paraId="0131C5D0" w14:textId="77777777" w:rsidTr="007E2D07">
        <w:trPr>
          <w:trHeight w:val="345"/>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C049C6B" w14:textId="77777777" w:rsidR="00762B5A" w:rsidRPr="00125FCF" w:rsidRDefault="00762B5A" w:rsidP="007E2D07">
            <w:pPr>
              <w:rPr>
                <w:b/>
                <w:bCs/>
                <w:szCs w:val="22"/>
              </w:rPr>
            </w:pPr>
            <w:r w:rsidRPr="00125FCF">
              <w:rPr>
                <w:b/>
                <w:bCs/>
                <w:szCs w:val="22"/>
              </w:rPr>
              <w:t>Evaluation framework / methodology (external 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7F1AFD5" w14:textId="77777777" w:rsidR="00762B5A" w:rsidRDefault="00762B5A" w:rsidP="007E2D07">
            <w:pPr>
              <w:rPr>
                <w:szCs w:val="22"/>
                <w:u w:val="single"/>
              </w:rPr>
            </w:pPr>
            <w:r>
              <w:rPr>
                <w:szCs w:val="22"/>
                <w:u w:val="single"/>
              </w:rPr>
              <w:t>Framework</w:t>
            </w:r>
          </w:p>
          <w:p w14:paraId="5DF334B3" w14:textId="77777777" w:rsidR="00762B5A" w:rsidRDefault="00762B5A" w:rsidP="00164DDE">
            <w:pPr>
              <w:pStyle w:val="ListParagraph"/>
              <w:numPr>
                <w:ilvl w:val="0"/>
                <w:numId w:val="114"/>
              </w:numPr>
              <w:rPr>
                <w:szCs w:val="22"/>
              </w:rPr>
            </w:pPr>
            <w:r>
              <w:rPr>
                <w:szCs w:val="22"/>
              </w:rPr>
              <w:t xml:space="preserve">Design: Were design decisions and processes evidence based? </w:t>
            </w:r>
          </w:p>
          <w:p w14:paraId="5639AB51" w14:textId="77777777" w:rsidR="00762B5A" w:rsidRDefault="00762B5A" w:rsidP="00164DDE">
            <w:pPr>
              <w:pStyle w:val="ListParagraph"/>
              <w:numPr>
                <w:ilvl w:val="0"/>
                <w:numId w:val="114"/>
              </w:numPr>
              <w:rPr>
                <w:szCs w:val="22"/>
              </w:rPr>
            </w:pPr>
            <w:r>
              <w:rPr>
                <w:szCs w:val="22"/>
              </w:rPr>
              <w:t xml:space="preserve">Implementation: Has </w:t>
            </w:r>
            <w:proofErr w:type="spellStart"/>
            <w:r>
              <w:rPr>
                <w:szCs w:val="22"/>
              </w:rPr>
              <w:t>reSolve</w:t>
            </w:r>
            <w:proofErr w:type="spellEnd"/>
            <w:r>
              <w:rPr>
                <w:szCs w:val="22"/>
              </w:rPr>
              <w:t xml:space="preserve"> been implemented as intended? </w:t>
            </w:r>
          </w:p>
          <w:p w14:paraId="7D6E18AA" w14:textId="77777777" w:rsidR="00762B5A" w:rsidRDefault="00762B5A" w:rsidP="00164DDE">
            <w:pPr>
              <w:pStyle w:val="ListParagraph"/>
              <w:numPr>
                <w:ilvl w:val="0"/>
                <w:numId w:val="114"/>
              </w:numPr>
              <w:rPr>
                <w:szCs w:val="22"/>
              </w:rPr>
            </w:pPr>
            <w:r>
              <w:rPr>
                <w:szCs w:val="22"/>
              </w:rPr>
              <w:t xml:space="preserve">Outputs: What outputs were produced and used? </w:t>
            </w:r>
          </w:p>
          <w:p w14:paraId="03B53496" w14:textId="77777777" w:rsidR="00762B5A" w:rsidRDefault="00762B5A" w:rsidP="00164DDE">
            <w:pPr>
              <w:pStyle w:val="ListParagraph"/>
              <w:numPr>
                <w:ilvl w:val="0"/>
                <w:numId w:val="114"/>
              </w:numPr>
              <w:rPr>
                <w:szCs w:val="22"/>
              </w:rPr>
            </w:pPr>
            <w:r>
              <w:rPr>
                <w:szCs w:val="22"/>
              </w:rPr>
              <w:t xml:space="preserve">What indicators are there that </w:t>
            </w:r>
            <w:proofErr w:type="spellStart"/>
            <w:r>
              <w:rPr>
                <w:szCs w:val="22"/>
              </w:rPr>
              <w:t>reSolve</w:t>
            </w:r>
            <w:proofErr w:type="spellEnd"/>
            <w:r>
              <w:rPr>
                <w:szCs w:val="22"/>
              </w:rPr>
              <w:t xml:space="preserve"> is meeting/not meeting its objectives?</w:t>
            </w:r>
          </w:p>
          <w:p w14:paraId="59AF17A9" w14:textId="77777777" w:rsidR="00762B5A" w:rsidRDefault="00762B5A" w:rsidP="00164DDE">
            <w:pPr>
              <w:pStyle w:val="ListParagraph"/>
              <w:numPr>
                <w:ilvl w:val="0"/>
                <w:numId w:val="114"/>
              </w:numPr>
              <w:rPr>
                <w:szCs w:val="22"/>
              </w:rPr>
            </w:pPr>
            <w:r>
              <w:rPr>
                <w:szCs w:val="22"/>
              </w:rPr>
              <w:t xml:space="preserve">Lenses for analysis: </w:t>
            </w:r>
          </w:p>
          <w:p w14:paraId="2D2B9EF0" w14:textId="77777777" w:rsidR="00762B5A" w:rsidRDefault="00762B5A" w:rsidP="00164DDE">
            <w:pPr>
              <w:pStyle w:val="ListParagraph"/>
              <w:numPr>
                <w:ilvl w:val="1"/>
                <w:numId w:val="114"/>
              </w:numPr>
              <w:rPr>
                <w:szCs w:val="22"/>
              </w:rPr>
            </w:pPr>
            <w:r>
              <w:rPr>
                <w:szCs w:val="22"/>
              </w:rPr>
              <w:t xml:space="preserve">Delivery of state objectives </w:t>
            </w:r>
          </w:p>
          <w:p w14:paraId="7D7D3048" w14:textId="77777777" w:rsidR="00762B5A" w:rsidRDefault="00762B5A" w:rsidP="00164DDE">
            <w:pPr>
              <w:pStyle w:val="ListParagraph"/>
              <w:numPr>
                <w:ilvl w:val="1"/>
                <w:numId w:val="114"/>
              </w:numPr>
              <w:rPr>
                <w:szCs w:val="22"/>
              </w:rPr>
            </w:pPr>
            <w:r>
              <w:rPr>
                <w:szCs w:val="22"/>
              </w:rPr>
              <w:t xml:space="preserve">Segmentation </w:t>
            </w:r>
          </w:p>
          <w:p w14:paraId="46B224DB" w14:textId="77777777" w:rsidR="00762B5A" w:rsidRDefault="00762B5A" w:rsidP="00164DDE">
            <w:pPr>
              <w:pStyle w:val="ListParagraph"/>
              <w:numPr>
                <w:ilvl w:val="1"/>
                <w:numId w:val="114"/>
              </w:numPr>
              <w:rPr>
                <w:szCs w:val="22"/>
              </w:rPr>
            </w:pPr>
            <w:r>
              <w:rPr>
                <w:szCs w:val="22"/>
              </w:rPr>
              <w:t xml:space="preserve">Potential for change </w:t>
            </w:r>
          </w:p>
          <w:p w14:paraId="3B3CB236" w14:textId="77777777" w:rsidR="00762B5A" w:rsidRDefault="00762B5A" w:rsidP="007E2D07">
            <w:pPr>
              <w:rPr>
                <w:szCs w:val="22"/>
                <w:u w:val="single"/>
              </w:rPr>
            </w:pPr>
            <w:r>
              <w:rPr>
                <w:szCs w:val="22"/>
                <w:u w:val="single"/>
              </w:rPr>
              <w:t>Methodology</w:t>
            </w:r>
          </w:p>
          <w:p w14:paraId="228D947D" w14:textId="77777777" w:rsidR="00762B5A" w:rsidRDefault="00762B5A" w:rsidP="007E2D07">
            <w:pPr>
              <w:rPr>
                <w:szCs w:val="22"/>
              </w:rPr>
            </w:pPr>
            <w:r>
              <w:rPr>
                <w:szCs w:val="22"/>
              </w:rPr>
              <w:t xml:space="preserve">For the external evaluation </w:t>
            </w:r>
            <w:proofErr w:type="spellStart"/>
            <w:r>
              <w:rPr>
                <w:szCs w:val="22"/>
              </w:rPr>
              <w:t>dandolo</w:t>
            </w:r>
            <w:proofErr w:type="spellEnd"/>
            <w:r>
              <w:rPr>
                <w:szCs w:val="22"/>
              </w:rPr>
              <w:t xml:space="preserve"> conducted, a mixed methods approach using:</w:t>
            </w:r>
          </w:p>
          <w:p w14:paraId="2C865534" w14:textId="77777777" w:rsidR="00762B5A" w:rsidRDefault="00762B5A" w:rsidP="00164DDE">
            <w:pPr>
              <w:pStyle w:val="ListParagraph"/>
              <w:numPr>
                <w:ilvl w:val="0"/>
                <w:numId w:val="143"/>
              </w:numPr>
              <w:rPr>
                <w:szCs w:val="22"/>
              </w:rPr>
            </w:pPr>
            <w:r>
              <w:rPr>
                <w:szCs w:val="22"/>
              </w:rPr>
              <w:t>Interviews with Departmental stakeholders</w:t>
            </w:r>
          </w:p>
          <w:p w14:paraId="387F84E8" w14:textId="77777777" w:rsidR="00762B5A" w:rsidRDefault="00762B5A" w:rsidP="00164DDE">
            <w:pPr>
              <w:pStyle w:val="ListParagraph"/>
              <w:numPr>
                <w:ilvl w:val="0"/>
                <w:numId w:val="143"/>
              </w:numPr>
              <w:rPr>
                <w:szCs w:val="22"/>
              </w:rPr>
            </w:pPr>
            <w:r>
              <w:rPr>
                <w:szCs w:val="22"/>
              </w:rPr>
              <w:t>Online questionnaires</w:t>
            </w:r>
          </w:p>
          <w:p w14:paraId="0F1A8A08" w14:textId="77777777" w:rsidR="00762B5A" w:rsidRDefault="00762B5A" w:rsidP="00164DDE">
            <w:pPr>
              <w:pStyle w:val="ListParagraph"/>
              <w:numPr>
                <w:ilvl w:val="0"/>
                <w:numId w:val="143"/>
              </w:numPr>
              <w:rPr>
                <w:szCs w:val="22"/>
              </w:rPr>
            </w:pPr>
            <w:r>
              <w:rPr>
                <w:szCs w:val="22"/>
              </w:rPr>
              <w:t>Focus groups to canvas views on rollout progress</w:t>
            </w:r>
          </w:p>
          <w:p w14:paraId="082E0EE8" w14:textId="77777777" w:rsidR="00762B5A" w:rsidRDefault="00762B5A" w:rsidP="00164DDE">
            <w:pPr>
              <w:pStyle w:val="ListParagraph"/>
              <w:numPr>
                <w:ilvl w:val="0"/>
                <w:numId w:val="143"/>
              </w:numPr>
              <w:rPr>
                <w:szCs w:val="22"/>
              </w:rPr>
            </w:pPr>
            <w:r>
              <w:rPr>
                <w:szCs w:val="22"/>
              </w:rPr>
              <w:t>School visits for observation and interviews</w:t>
            </w:r>
          </w:p>
          <w:p w14:paraId="69FE7E05" w14:textId="77777777" w:rsidR="00762B5A" w:rsidRDefault="00762B5A" w:rsidP="00164DDE">
            <w:pPr>
              <w:pStyle w:val="ListParagraph"/>
              <w:numPr>
                <w:ilvl w:val="0"/>
                <w:numId w:val="143"/>
              </w:numPr>
              <w:rPr>
                <w:szCs w:val="22"/>
              </w:rPr>
            </w:pPr>
            <w:r>
              <w:rPr>
                <w:szCs w:val="22"/>
              </w:rPr>
              <w:t>Qualitative and quantitative data (e.g. web portal access data, survey data)</w:t>
            </w:r>
          </w:p>
          <w:p w14:paraId="6335784E" w14:textId="77777777" w:rsidR="00762B5A" w:rsidRDefault="00762B5A" w:rsidP="00164DDE">
            <w:pPr>
              <w:pStyle w:val="ListParagraph"/>
              <w:numPr>
                <w:ilvl w:val="0"/>
                <w:numId w:val="143"/>
              </w:numPr>
              <w:rPr>
                <w:szCs w:val="22"/>
              </w:rPr>
            </w:pPr>
            <w:r>
              <w:rPr>
                <w:szCs w:val="22"/>
              </w:rPr>
              <w:t>Surveys for teachers and champions</w:t>
            </w:r>
          </w:p>
          <w:p w14:paraId="15553728" w14:textId="77777777" w:rsidR="00762B5A" w:rsidRDefault="00762B5A" w:rsidP="007E2D07">
            <w:pPr>
              <w:rPr>
                <w:szCs w:val="22"/>
              </w:rPr>
            </w:pPr>
            <w:r>
              <w:rPr>
                <w:szCs w:val="22"/>
              </w:rPr>
              <w:t xml:space="preserve">For this project, </w:t>
            </w: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w:t>
            </w:r>
            <w:proofErr w:type="spellStart"/>
            <w:r>
              <w:rPr>
                <w:szCs w:val="22"/>
              </w:rPr>
              <w:t>reSolve</w:t>
            </w:r>
            <w:proofErr w:type="spellEnd"/>
            <w:r>
              <w:rPr>
                <w:szCs w:val="22"/>
              </w:rPr>
              <w:t xml:space="preserve">. </w:t>
            </w:r>
          </w:p>
        </w:tc>
      </w:tr>
      <w:tr w:rsidR="00762B5A" w14:paraId="24DF8209"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D7E6C97" w14:textId="77777777" w:rsidR="00762B5A" w:rsidRPr="00125FCF" w:rsidRDefault="00762B5A" w:rsidP="007E2D07">
            <w:pPr>
              <w:rPr>
                <w:b/>
                <w:bCs/>
                <w:szCs w:val="22"/>
              </w:rPr>
            </w:pPr>
            <w:r w:rsidRPr="00125FCF">
              <w:rPr>
                <w:b/>
                <w:bCs/>
                <w:szCs w:val="22"/>
              </w:rPr>
              <w:t xml:space="preserve">Summary of evaluation conclusions (external evaluation and </w:t>
            </w:r>
            <w:proofErr w:type="spellStart"/>
            <w:r w:rsidRPr="00125FCF">
              <w:rPr>
                <w:b/>
                <w:bCs/>
                <w:szCs w:val="22"/>
              </w:rPr>
              <w:t>dandol</w:t>
            </w:r>
            <w:proofErr w:type="spellEnd"/>
            <w:r w:rsidRPr="00125FCF">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618C742" w14:textId="77777777" w:rsidR="00762B5A" w:rsidRDefault="00762B5A" w:rsidP="00164DDE">
            <w:pPr>
              <w:pStyle w:val="ListParagraph"/>
              <w:numPr>
                <w:ilvl w:val="0"/>
                <w:numId w:val="143"/>
              </w:numPr>
              <w:rPr>
                <w:szCs w:val="22"/>
              </w:rPr>
            </w:pPr>
            <w:r>
              <w:rPr>
                <w:szCs w:val="22"/>
              </w:rPr>
              <w:t xml:space="preserve">Stakeholder perspectives from this round of consultation align strongly with findings from </w:t>
            </w:r>
            <w:proofErr w:type="spellStart"/>
            <w:r>
              <w:rPr>
                <w:szCs w:val="22"/>
              </w:rPr>
              <w:t>dandolo’s</w:t>
            </w:r>
            <w:proofErr w:type="spellEnd"/>
            <w:r>
              <w:rPr>
                <w:szCs w:val="22"/>
              </w:rPr>
              <w:t xml:space="preserve"> separate, external evaluation.  For example, stakeholders speak highly of </w:t>
            </w:r>
            <w:proofErr w:type="spellStart"/>
            <w:r>
              <w:rPr>
                <w:szCs w:val="22"/>
              </w:rPr>
              <w:t>reSolve’s</w:t>
            </w:r>
            <w:proofErr w:type="spellEnd"/>
            <w:r>
              <w:rPr>
                <w:szCs w:val="22"/>
              </w:rPr>
              <w:t xml:space="preserve"> resources and its specific focus on increasing teacher capability. Stakeholders also applaud the ‘champions’ model and networking opportunities it creates.</w:t>
            </w:r>
          </w:p>
          <w:p w14:paraId="1FA0EB4C" w14:textId="77777777" w:rsidR="00762B5A" w:rsidRDefault="00762B5A" w:rsidP="007E2D07">
            <w:pPr>
              <w:rPr>
                <w:szCs w:val="22"/>
              </w:rPr>
            </w:pPr>
            <w:r>
              <w:rPr>
                <w:szCs w:val="22"/>
              </w:rPr>
              <w:t xml:space="preserve">An overview of findings from </w:t>
            </w:r>
            <w:proofErr w:type="spellStart"/>
            <w:r>
              <w:rPr>
                <w:szCs w:val="22"/>
              </w:rPr>
              <w:t>dandolo’s</w:t>
            </w:r>
            <w:proofErr w:type="spellEnd"/>
            <w:r>
              <w:rPr>
                <w:szCs w:val="22"/>
              </w:rPr>
              <w:t xml:space="preserve"> separate evaluation is provided below:</w:t>
            </w:r>
          </w:p>
          <w:p w14:paraId="7B6F7E8C" w14:textId="77777777" w:rsidR="00762B5A" w:rsidRDefault="00762B5A" w:rsidP="007E2D07">
            <w:pPr>
              <w:rPr>
                <w:szCs w:val="22"/>
                <w:u w:val="single"/>
              </w:rPr>
            </w:pPr>
            <w:proofErr w:type="spellStart"/>
            <w:r>
              <w:rPr>
                <w:szCs w:val="22"/>
                <w:u w:val="single"/>
              </w:rPr>
              <w:t>reSolve</w:t>
            </w:r>
            <w:proofErr w:type="spellEnd"/>
            <w:r>
              <w:rPr>
                <w:szCs w:val="22"/>
                <w:u w:val="single"/>
              </w:rPr>
              <w:t xml:space="preserve"> resources</w:t>
            </w:r>
          </w:p>
          <w:p w14:paraId="7F56CD0C" w14:textId="77777777" w:rsidR="00762B5A" w:rsidRDefault="00762B5A" w:rsidP="007E2D07">
            <w:pPr>
              <w:rPr>
                <w:szCs w:val="22"/>
              </w:rPr>
            </w:pPr>
            <w:r>
              <w:rPr>
                <w:szCs w:val="22"/>
              </w:rPr>
              <w:t>High quality resources</w:t>
            </w:r>
          </w:p>
          <w:p w14:paraId="40053FDE" w14:textId="77777777" w:rsidR="00762B5A" w:rsidRDefault="00762B5A" w:rsidP="00164DDE">
            <w:pPr>
              <w:pStyle w:val="ListParagraph"/>
              <w:numPr>
                <w:ilvl w:val="0"/>
                <w:numId w:val="109"/>
              </w:numPr>
              <w:rPr>
                <w:szCs w:val="22"/>
              </w:rPr>
            </w:pPr>
            <w:proofErr w:type="spellStart"/>
            <w:r>
              <w:rPr>
                <w:szCs w:val="22"/>
              </w:rPr>
              <w:t>reSolve</w:t>
            </w:r>
            <w:proofErr w:type="spellEnd"/>
            <w:r>
              <w:rPr>
                <w:szCs w:val="22"/>
              </w:rPr>
              <w:t xml:space="preserve"> resources continue to be highly regarded and valued by school leaders, Champions and teachers – but there is unmet demand for more resources</w:t>
            </w:r>
          </w:p>
          <w:p w14:paraId="247000E4" w14:textId="77777777" w:rsidR="00762B5A" w:rsidRDefault="00762B5A" w:rsidP="007E2D07">
            <w:pPr>
              <w:rPr>
                <w:szCs w:val="22"/>
              </w:rPr>
            </w:pPr>
            <w:r>
              <w:rPr>
                <w:szCs w:val="22"/>
              </w:rPr>
              <w:t>Awareness</w:t>
            </w:r>
          </w:p>
          <w:p w14:paraId="77DEEB1D" w14:textId="77777777" w:rsidR="00762B5A" w:rsidRDefault="00762B5A" w:rsidP="00164DDE">
            <w:pPr>
              <w:pStyle w:val="ListParagraph"/>
              <w:numPr>
                <w:ilvl w:val="0"/>
                <w:numId w:val="109"/>
              </w:numPr>
              <w:rPr>
                <w:szCs w:val="22"/>
              </w:rPr>
            </w:pPr>
            <w:r>
              <w:rPr>
                <w:szCs w:val="22"/>
              </w:rPr>
              <w:t xml:space="preserve">Only a minority of champions are networking outside of their own schools – those that are rely on pre-existing relationships or expect </w:t>
            </w:r>
            <w:proofErr w:type="spellStart"/>
            <w:r>
              <w:rPr>
                <w:szCs w:val="22"/>
              </w:rPr>
              <w:t>reSolve</w:t>
            </w:r>
            <w:proofErr w:type="spellEnd"/>
            <w:r>
              <w:rPr>
                <w:szCs w:val="22"/>
              </w:rPr>
              <w:t xml:space="preserve"> to provide them with opportunities to network</w:t>
            </w:r>
          </w:p>
          <w:p w14:paraId="3DEEB1E5" w14:textId="77777777" w:rsidR="00762B5A" w:rsidRDefault="00762B5A" w:rsidP="007E2D07">
            <w:pPr>
              <w:rPr>
                <w:szCs w:val="22"/>
              </w:rPr>
            </w:pPr>
            <w:r>
              <w:rPr>
                <w:szCs w:val="22"/>
              </w:rPr>
              <w:t>Uptake/use</w:t>
            </w:r>
          </w:p>
          <w:p w14:paraId="092B697F" w14:textId="77777777" w:rsidR="00762B5A" w:rsidRDefault="00762B5A" w:rsidP="00164DDE">
            <w:pPr>
              <w:pStyle w:val="ListParagraph"/>
              <w:numPr>
                <w:ilvl w:val="0"/>
                <w:numId w:val="110"/>
              </w:numPr>
              <w:rPr>
                <w:szCs w:val="22"/>
              </w:rPr>
            </w:pPr>
            <w:r>
              <w:rPr>
                <w:szCs w:val="22"/>
              </w:rPr>
              <w:t>Most website users are repeat users and resources for upper primary levels are particularly popular</w:t>
            </w:r>
          </w:p>
          <w:p w14:paraId="617AF5AA" w14:textId="77777777" w:rsidR="00762B5A" w:rsidRDefault="00762B5A" w:rsidP="00164DDE">
            <w:pPr>
              <w:pStyle w:val="ListParagraph"/>
              <w:numPr>
                <w:ilvl w:val="0"/>
                <w:numId w:val="110"/>
              </w:numPr>
              <w:rPr>
                <w:szCs w:val="22"/>
              </w:rPr>
            </w:pPr>
            <w:r>
              <w:rPr>
                <w:szCs w:val="22"/>
              </w:rPr>
              <w:t>Key success factors in schools with continued use include familiarity with inquiry, school leadership support and having several inquiry-enthusiasts in the school</w:t>
            </w:r>
          </w:p>
          <w:p w14:paraId="452F745E" w14:textId="77777777" w:rsidR="00762B5A" w:rsidRDefault="00762B5A" w:rsidP="007E2D07">
            <w:pPr>
              <w:rPr>
                <w:szCs w:val="22"/>
              </w:rPr>
            </w:pPr>
            <w:r>
              <w:rPr>
                <w:szCs w:val="22"/>
              </w:rPr>
              <w:t>Impact</w:t>
            </w:r>
          </w:p>
          <w:p w14:paraId="48900C6B" w14:textId="77777777" w:rsidR="00762B5A" w:rsidRDefault="00762B5A" w:rsidP="00164DDE">
            <w:pPr>
              <w:pStyle w:val="ListParagraph"/>
              <w:numPr>
                <w:ilvl w:val="2"/>
                <w:numId w:val="111"/>
              </w:numPr>
              <w:rPr>
                <w:szCs w:val="22"/>
              </w:rPr>
            </w:pPr>
            <w:r>
              <w:rPr>
                <w:szCs w:val="22"/>
              </w:rPr>
              <w:t>User reports indicate positive impacts on teachers’ knowledge, attitudes and actions.</w:t>
            </w:r>
          </w:p>
          <w:p w14:paraId="59394FA5" w14:textId="77777777" w:rsidR="00762B5A" w:rsidRDefault="00762B5A" w:rsidP="00164DDE">
            <w:pPr>
              <w:pStyle w:val="ListParagraph"/>
              <w:numPr>
                <w:ilvl w:val="0"/>
                <w:numId w:val="112"/>
              </w:numPr>
              <w:rPr>
                <w:szCs w:val="22"/>
              </w:rPr>
            </w:pPr>
            <w:proofErr w:type="spellStart"/>
            <w:r>
              <w:rPr>
                <w:szCs w:val="22"/>
              </w:rPr>
              <w:t>reSolve</w:t>
            </w:r>
            <w:proofErr w:type="spellEnd"/>
            <w:r>
              <w:rPr>
                <w:szCs w:val="22"/>
              </w:rPr>
              <w:t xml:space="preserve"> is particularly beneficial to students attending schools in remote areas or with high proportions of Indigenous students</w:t>
            </w:r>
          </w:p>
          <w:p w14:paraId="06B14091" w14:textId="77777777" w:rsidR="00762B5A" w:rsidRDefault="00762B5A" w:rsidP="00164DDE">
            <w:pPr>
              <w:pStyle w:val="ListParagraph"/>
              <w:numPr>
                <w:ilvl w:val="0"/>
                <w:numId w:val="112"/>
              </w:numPr>
              <w:rPr>
                <w:szCs w:val="22"/>
              </w:rPr>
            </w:pPr>
            <w:r>
              <w:rPr>
                <w:szCs w:val="22"/>
              </w:rPr>
              <w:t>Users have identified a range of additional support needed to realise an impact on wider behaviour change</w:t>
            </w:r>
          </w:p>
          <w:p w14:paraId="5906A310" w14:textId="77777777" w:rsidR="00762B5A" w:rsidRDefault="00762B5A" w:rsidP="007E2D07">
            <w:pPr>
              <w:rPr>
                <w:szCs w:val="22"/>
                <w:u w:val="single"/>
              </w:rPr>
            </w:pPr>
            <w:r>
              <w:rPr>
                <w:szCs w:val="22"/>
                <w:u w:val="single"/>
              </w:rPr>
              <w:t xml:space="preserve">Professional Learning Modules (PLMs): </w:t>
            </w:r>
          </w:p>
          <w:p w14:paraId="6EAA72FA" w14:textId="77777777" w:rsidR="00762B5A" w:rsidRDefault="00762B5A" w:rsidP="007E2D07">
            <w:pPr>
              <w:rPr>
                <w:szCs w:val="22"/>
              </w:rPr>
            </w:pPr>
            <w:r>
              <w:rPr>
                <w:szCs w:val="22"/>
              </w:rPr>
              <w:t>High quality resources</w:t>
            </w:r>
          </w:p>
          <w:p w14:paraId="1C09DCAE" w14:textId="77777777" w:rsidR="00762B5A" w:rsidRDefault="00762B5A" w:rsidP="00164DDE">
            <w:pPr>
              <w:pStyle w:val="ListParagraph"/>
              <w:numPr>
                <w:ilvl w:val="0"/>
                <w:numId w:val="118"/>
              </w:numPr>
              <w:rPr>
                <w:szCs w:val="22"/>
              </w:rPr>
            </w:pPr>
            <w:r>
              <w:rPr>
                <w:szCs w:val="22"/>
              </w:rPr>
              <w:t>Champions identified that the PLMs are very good and that they find the concepts within the PLMs important and useful in their own teaching practice</w:t>
            </w:r>
          </w:p>
          <w:p w14:paraId="4163BC6D" w14:textId="77777777" w:rsidR="00762B5A" w:rsidRDefault="00762B5A" w:rsidP="007E2D07">
            <w:pPr>
              <w:rPr>
                <w:szCs w:val="22"/>
              </w:rPr>
            </w:pPr>
            <w:r>
              <w:rPr>
                <w:szCs w:val="22"/>
              </w:rPr>
              <w:t>Awareness</w:t>
            </w:r>
          </w:p>
          <w:p w14:paraId="2A408ACC" w14:textId="77777777" w:rsidR="00762B5A" w:rsidRDefault="00762B5A" w:rsidP="00164DDE">
            <w:pPr>
              <w:pStyle w:val="ListParagraph"/>
              <w:numPr>
                <w:ilvl w:val="0"/>
                <w:numId w:val="117"/>
              </w:numPr>
              <w:rPr>
                <w:szCs w:val="22"/>
              </w:rPr>
            </w:pPr>
            <w:r>
              <w:rPr>
                <w:szCs w:val="22"/>
              </w:rPr>
              <w:t xml:space="preserve">Teachers have not heard about the PLMs </w:t>
            </w:r>
          </w:p>
          <w:p w14:paraId="09198EDA" w14:textId="77777777" w:rsidR="00762B5A" w:rsidRDefault="00762B5A" w:rsidP="00164DDE">
            <w:pPr>
              <w:pStyle w:val="ListParagraph"/>
              <w:numPr>
                <w:ilvl w:val="0"/>
                <w:numId w:val="117"/>
              </w:numPr>
              <w:rPr>
                <w:szCs w:val="22"/>
              </w:rPr>
            </w:pPr>
            <w:r>
              <w:rPr>
                <w:szCs w:val="22"/>
              </w:rPr>
              <w:t xml:space="preserve">Teachers get their professional learning from many other sources despite being users of </w:t>
            </w:r>
            <w:proofErr w:type="spellStart"/>
            <w:r>
              <w:rPr>
                <w:szCs w:val="22"/>
              </w:rPr>
              <w:t>reSolve</w:t>
            </w:r>
            <w:proofErr w:type="spellEnd"/>
            <w:r>
              <w:rPr>
                <w:szCs w:val="22"/>
              </w:rPr>
              <w:t xml:space="preserve"> and proactively searching for professional learning opportunities</w:t>
            </w:r>
          </w:p>
          <w:p w14:paraId="3489F366" w14:textId="77777777" w:rsidR="00762B5A" w:rsidRDefault="00762B5A" w:rsidP="00164DDE">
            <w:pPr>
              <w:pStyle w:val="ListParagraph"/>
              <w:numPr>
                <w:ilvl w:val="0"/>
                <w:numId w:val="117"/>
              </w:numPr>
              <w:rPr>
                <w:szCs w:val="22"/>
              </w:rPr>
            </w:pPr>
            <w:r>
              <w:rPr>
                <w:szCs w:val="22"/>
              </w:rPr>
              <w:t>The value of the PLMs is not well understood</w:t>
            </w:r>
          </w:p>
          <w:p w14:paraId="2B4B5E5B" w14:textId="77777777" w:rsidR="00762B5A" w:rsidRDefault="00762B5A" w:rsidP="007E2D07">
            <w:pPr>
              <w:rPr>
                <w:szCs w:val="22"/>
              </w:rPr>
            </w:pPr>
            <w:r>
              <w:rPr>
                <w:szCs w:val="22"/>
              </w:rPr>
              <w:t>Uptake/use</w:t>
            </w:r>
          </w:p>
          <w:p w14:paraId="056F9BC9" w14:textId="77777777" w:rsidR="00762B5A" w:rsidRDefault="00762B5A" w:rsidP="00164DDE">
            <w:pPr>
              <w:numPr>
                <w:ilvl w:val="0"/>
                <w:numId w:val="116"/>
              </w:numPr>
              <w:rPr>
                <w:szCs w:val="22"/>
              </w:rPr>
            </w:pPr>
            <w:r>
              <w:rPr>
                <w:szCs w:val="22"/>
              </w:rPr>
              <w:t>Time is a barrier to using the PLMs</w:t>
            </w:r>
          </w:p>
          <w:p w14:paraId="25B80F84" w14:textId="77777777" w:rsidR="00762B5A" w:rsidRDefault="00762B5A" w:rsidP="00164DDE">
            <w:pPr>
              <w:numPr>
                <w:ilvl w:val="0"/>
                <w:numId w:val="116"/>
              </w:numPr>
              <w:rPr>
                <w:szCs w:val="22"/>
              </w:rPr>
            </w:pPr>
            <w:r>
              <w:rPr>
                <w:szCs w:val="22"/>
              </w:rPr>
              <w:t>Champions have used the PLMs as part of their champion training, and use the PLMs for their own improvement</w:t>
            </w:r>
          </w:p>
          <w:p w14:paraId="2137F5D9" w14:textId="77777777" w:rsidR="00762B5A" w:rsidRDefault="00762B5A" w:rsidP="00164DDE">
            <w:pPr>
              <w:numPr>
                <w:ilvl w:val="0"/>
                <w:numId w:val="116"/>
              </w:numPr>
              <w:rPr>
                <w:szCs w:val="22"/>
              </w:rPr>
            </w:pPr>
            <w:r>
              <w:rPr>
                <w:szCs w:val="22"/>
              </w:rPr>
              <w:t>Online delivery of PLMs is likely to support uptake and use by school staff in regional and rural areas</w:t>
            </w:r>
          </w:p>
          <w:p w14:paraId="7ADF56D4" w14:textId="77777777" w:rsidR="00762B5A" w:rsidRDefault="00762B5A" w:rsidP="007E2D07">
            <w:pPr>
              <w:rPr>
                <w:szCs w:val="22"/>
              </w:rPr>
            </w:pPr>
            <w:r>
              <w:rPr>
                <w:szCs w:val="22"/>
              </w:rPr>
              <w:t>Impact</w:t>
            </w:r>
          </w:p>
          <w:p w14:paraId="6512EA6A" w14:textId="77777777" w:rsidR="00762B5A" w:rsidRDefault="00762B5A" w:rsidP="00164DDE">
            <w:pPr>
              <w:pStyle w:val="ListParagraph"/>
              <w:numPr>
                <w:ilvl w:val="0"/>
                <w:numId w:val="115"/>
              </w:numPr>
              <w:rPr>
                <w:szCs w:val="22"/>
              </w:rPr>
            </w:pPr>
            <w:r>
              <w:rPr>
                <w:szCs w:val="22"/>
              </w:rPr>
              <w:t>PLMs help users reflect on their teaching practice and encourage them to think about and use new frameworks</w:t>
            </w:r>
          </w:p>
          <w:p w14:paraId="21B7D7D3" w14:textId="77777777" w:rsidR="00762B5A" w:rsidRDefault="00762B5A" w:rsidP="00164DDE">
            <w:pPr>
              <w:pStyle w:val="ListParagraph"/>
              <w:numPr>
                <w:ilvl w:val="0"/>
                <w:numId w:val="115"/>
              </w:numPr>
              <w:rPr>
                <w:szCs w:val="22"/>
              </w:rPr>
            </w:pPr>
            <w:r>
              <w:rPr>
                <w:szCs w:val="22"/>
              </w:rPr>
              <w:t xml:space="preserve">PLMs used with others (e.g. in a teacher team setting) sparked engaging conversations but did not generate substantial uptake of </w:t>
            </w:r>
            <w:proofErr w:type="spellStart"/>
            <w:r>
              <w:rPr>
                <w:szCs w:val="22"/>
              </w:rPr>
              <w:t>reSolve</w:t>
            </w:r>
            <w:proofErr w:type="spellEnd"/>
            <w:r>
              <w:rPr>
                <w:szCs w:val="22"/>
              </w:rPr>
              <w:t xml:space="preserve"> resources or PLMs by other staff</w:t>
            </w:r>
          </w:p>
        </w:tc>
      </w:tr>
      <w:tr w:rsidR="00762B5A" w14:paraId="258F65AA"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D8C5894" w14:textId="77777777" w:rsidR="00762B5A" w:rsidRPr="00125FCF" w:rsidRDefault="00762B5A" w:rsidP="007E2D07">
            <w:pPr>
              <w:rPr>
                <w:b/>
                <w:bCs/>
                <w:szCs w:val="22"/>
              </w:rPr>
            </w:pPr>
            <w:r w:rsidRPr="00125FCF">
              <w:rPr>
                <w:b/>
                <w:bCs/>
                <w:szCs w:val="22"/>
              </w:rPr>
              <w:t xml:space="preserve">Limitations of the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C2F0047" w14:textId="77777777" w:rsidR="00762B5A" w:rsidRDefault="00762B5A" w:rsidP="00164DDE">
            <w:pPr>
              <w:pStyle w:val="ListParagraph"/>
              <w:numPr>
                <w:ilvl w:val="0"/>
                <w:numId w:val="62"/>
              </w:numPr>
              <w:rPr>
                <w:szCs w:val="22"/>
              </w:rPr>
            </w:pPr>
            <w:r>
              <w:rPr>
                <w:szCs w:val="22"/>
              </w:rPr>
              <w:t xml:space="preserve">Schools volunteering for observations may have created selection bias – schools participating in the evaluation and school observations were using </w:t>
            </w:r>
            <w:proofErr w:type="spellStart"/>
            <w:r>
              <w:rPr>
                <w:szCs w:val="22"/>
              </w:rPr>
              <w:t>reSolve</w:t>
            </w:r>
            <w:proofErr w:type="spellEnd"/>
            <w:r>
              <w:rPr>
                <w:szCs w:val="22"/>
              </w:rPr>
              <w:t xml:space="preserve"> because most of them were already convinced of the value of inquiry-based learning, which is not necessarily illustrative of the general teaching population’s view. </w:t>
            </w:r>
          </w:p>
          <w:p w14:paraId="322A8DD1" w14:textId="77777777" w:rsidR="00762B5A" w:rsidRDefault="00762B5A" w:rsidP="00164DDE">
            <w:pPr>
              <w:pStyle w:val="ListParagraph"/>
              <w:numPr>
                <w:ilvl w:val="0"/>
                <w:numId w:val="62"/>
              </w:numPr>
              <w:rPr>
                <w:szCs w:val="22"/>
              </w:rPr>
            </w:pPr>
            <w:r>
              <w:rPr>
                <w:szCs w:val="22"/>
              </w:rPr>
              <w:t xml:space="preserve">There was limited exposure to </w:t>
            </w:r>
            <w:proofErr w:type="spellStart"/>
            <w:r>
              <w:rPr>
                <w:szCs w:val="22"/>
              </w:rPr>
              <w:t>reSolve’s</w:t>
            </w:r>
            <w:proofErr w:type="spellEnd"/>
            <w:r>
              <w:rPr>
                <w:szCs w:val="22"/>
              </w:rPr>
              <w:t xml:space="preserve"> use at secondary schools – all schools visited and most Champions in the focus group were from primary schools (primary schools over-represented in samples)</w:t>
            </w:r>
          </w:p>
        </w:tc>
      </w:tr>
      <w:tr w:rsidR="00762B5A" w14:paraId="7DD315DC" w14:textId="77777777" w:rsidTr="007E2D07">
        <w:trPr>
          <w:trHeight w:val="60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93C0354" w14:textId="77777777" w:rsidR="00762B5A" w:rsidRPr="00125FCF" w:rsidRDefault="00762B5A" w:rsidP="007E2D07">
            <w:pPr>
              <w:rPr>
                <w:b/>
                <w:bCs/>
                <w:szCs w:val="22"/>
              </w:rPr>
            </w:pPr>
            <w:r w:rsidRPr="00125FCF">
              <w:rPr>
                <w:b/>
                <w:bCs/>
                <w:szCs w:val="22"/>
              </w:rPr>
              <w:t>Challenges faced by the provider</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E585573" w14:textId="77777777" w:rsidR="00762B5A" w:rsidRDefault="00762B5A" w:rsidP="007E2D07">
            <w:pPr>
              <w:rPr>
                <w:szCs w:val="22"/>
              </w:rPr>
            </w:pPr>
            <w:r>
              <w:rPr>
                <w:szCs w:val="22"/>
              </w:rPr>
              <w:t xml:space="preserve">The biggest challenges facing </w:t>
            </w:r>
            <w:proofErr w:type="spellStart"/>
            <w:r>
              <w:rPr>
                <w:szCs w:val="22"/>
              </w:rPr>
              <w:t>reSolve</w:t>
            </w:r>
            <w:proofErr w:type="spellEnd"/>
            <w:r>
              <w:rPr>
                <w:szCs w:val="22"/>
              </w:rPr>
              <w:t xml:space="preserve"> are uptake barriers – including attitudes towards, and awareness of, the program. </w:t>
            </w:r>
          </w:p>
        </w:tc>
      </w:tr>
      <w:tr w:rsidR="00762B5A" w14:paraId="67CE727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5FA8725" w14:textId="77777777" w:rsidR="00762B5A" w:rsidRPr="00125FCF" w:rsidRDefault="00762B5A" w:rsidP="007E2D07">
            <w:pPr>
              <w:rPr>
                <w:b/>
                <w:bCs/>
                <w:szCs w:val="22"/>
              </w:rPr>
            </w:pPr>
            <w:r w:rsidRPr="00125FCF">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71F516A" w14:textId="77777777" w:rsidR="00762B5A" w:rsidRDefault="00762B5A" w:rsidP="00164DDE">
            <w:pPr>
              <w:pStyle w:val="ListParagraph"/>
              <w:numPr>
                <w:ilvl w:val="0"/>
                <w:numId w:val="113"/>
              </w:numPr>
              <w:rPr>
                <w:szCs w:val="22"/>
              </w:rPr>
            </w:pPr>
            <w:r>
              <w:rPr>
                <w:szCs w:val="22"/>
              </w:rPr>
              <w:t xml:space="preserve">Developing more resources including learning professions </w:t>
            </w:r>
          </w:p>
          <w:p w14:paraId="2783011D" w14:textId="77777777" w:rsidR="00762B5A" w:rsidRDefault="00762B5A" w:rsidP="00164DDE">
            <w:pPr>
              <w:pStyle w:val="ListParagraph"/>
              <w:numPr>
                <w:ilvl w:val="0"/>
                <w:numId w:val="113"/>
              </w:numPr>
              <w:rPr>
                <w:szCs w:val="22"/>
              </w:rPr>
            </w:pPr>
            <w:r>
              <w:rPr>
                <w:szCs w:val="22"/>
              </w:rPr>
              <w:t xml:space="preserve">Reviewing the champion program to make improvements </w:t>
            </w:r>
          </w:p>
        </w:tc>
      </w:tr>
      <w:tr w:rsidR="00762B5A" w14:paraId="0E655CF3" w14:textId="77777777" w:rsidTr="007E2D07">
        <w:trPr>
          <w:trHeight w:val="401"/>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6099977" w14:textId="77777777" w:rsidR="00762B5A" w:rsidRPr="00125FCF" w:rsidRDefault="00762B5A" w:rsidP="007E2D07">
            <w:pPr>
              <w:rPr>
                <w:b/>
                <w:bCs/>
                <w:szCs w:val="22"/>
              </w:rPr>
            </w:pPr>
            <w:r w:rsidRPr="00125FCF">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9515573" w14:textId="77777777" w:rsidR="00762B5A" w:rsidRDefault="00762B5A" w:rsidP="00164DDE">
            <w:pPr>
              <w:pStyle w:val="ListParagraph"/>
              <w:numPr>
                <w:ilvl w:val="0"/>
                <w:numId w:val="69"/>
              </w:numPr>
              <w:rPr>
                <w:b/>
                <w:bCs/>
                <w:szCs w:val="22"/>
              </w:rPr>
            </w:pPr>
            <w:proofErr w:type="spellStart"/>
            <w:r>
              <w:rPr>
                <w:szCs w:val="22"/>
              </w:rPr>
              <w:t>dandolopartners</w:t>
            </w:r>
            <w:proofErr w:type="spellEnd"/>
            <w:r>
              <w:rPr>
                <w:szCs w:val="22"/>
              </w:rPr>
              <w:t xml:space="preserve">. (February 2019). </w:t>
            </w:r>
            <w:r>
              <w:rPr>
                <w:i/>
                <w:iCs/>
                <w:szCs w:val="22"/>
              </w:rPr>
              <w:t>Evaluation of the Maths by Inquiry Program: Second Progress Report</w:t>
            </w:r>
          </w:p>
          <w:p w14:paraId="70481A48" w14:textId="77777777" w:rsidR="00762B5A" w:rsidRDefault="00762B5A" w:rsidP="00164DDE">
            <w:pPr>
              <w:pStyle w:val="ListParagraph"/>
              <w:numPr>
                <w:ilvl w:val="0"/>
                <w:numId w:val="69"/>
              </w:numPr>
              <w:rPr>
                <w:b/>
                <w:bCs/>
                <w:szCs w:val="22"/>
              </w:rPr>
            </w:pPr>
            <w:r>
              <w:rPr>
                <w:szCs w:val="22"/>
              </w:rPr>
              <w:t>Contract between the Department and the Australian Academic of Science</w:t>
            </w:r>
          </w:p>
          <w:p w14:paraId="19251F84" w14:textId="77777777" w:rsidR="00762B5A" w:rsidRDefault="00762B5A" w:rsidP="00164DDE">
            <w:pPr>
              <w:pStyle w:val="ListParagraph"/>
              <w:numPr>
                <w:ilvl w:val="0"/>
                <w:numId w:val="69"/>
              </w:numPr>
              <w:rPr>
                <w:szCs w:val="22"/>
              </w:rPr>
            </w:pPr>
            <w:r>
              <w:rPr>
                <w:szCs w:val="22"/>
              </w:rPr>
              <w:t xml:space="preserve">Interview with provider </w:t>
            </w:r>
          </w:p>
          <w:p w14:paraId="4036B909" w14:textId="77777777" w:rsidR="00762B5A" w:rsidRDefault="00762B5A" w:rsidP="00164DDE">
            <w:pPr>
              <w:pStyle w:val="ListParagraph"/>
              <w:numPr>
                <w:ilvl w:val="0"/>
                <w:numId w:val="69"/>
              </w:numPr>
              <w:rPr>
                <w:szCs w:val="22"/>
              </w:rPr>
            </w:pPr>
            <w:r>
              <w:rPr>
                <w:szCs w:val="22"/>
              </w:rPr>
              <w:t xml:space="preserve">Interview with evaluator </w:t>
            </w:r>
          </w:p>
        </w:tc>
      </w:tr>
    </w:tbl>
    <w:p w14:paraId="61AB7F1D" w14:textId="77777777" w:rsidR="00762B5A" w:rsidRDefault="00762B5A" w:rsidP="00762B5A">
      <w:pPr>
        <w:rPr>
          <w:szCs w:val="22"/>
        </w:rPr>
      </w:pPr>
    </w:p>
    <w:p w14:paraId="0B385527" w14:textId="77777777" w:rsidR="00762B5A" w:rsidRDefault="00762B5A" w:rsidP="00762B5A">
      <w:pPr>
        <w:rPr>
          <w:szCs w:val="22"/>
        </w:rPr>
      </w:pPr>
    </w:p>
    <w:p w14:paraId="0B2775F0" w14:textId="77777777" w:rsidR="00762B5A" w:rsidRDefault="00762B5A" w:rsidP="00762B5A">
      <w:pPr>
        <w:rPr>
          <w:szCs w:val="22"/>
        </w:rPr>
      </w:pPr>
    </w:p>
    <w:p w14:paraId="03E43795" w14:textId="77777777" w:rsidR="00762B5A" w:rsidRDefault="00762B5A" w:rsidP="00762B5A">
      <w:pPr>
        <w:rPr>
          <w:szCs w:val="22"/>
        </w:rPr>
      </w:pPr>
    </w:p>
    <w:p w14:paraId="6534F5DD" w14:textId="77777777" w:rsidR="00762B5A" w:rsidRDefault="00762B5A" w:rsidP="00762B5A">
      <w:pPr>
        <w:rPr>
          <w:rFonts w:cs="Arial"/>
          <w:szCs w:val="22"/>
        </w:rPr>
      </w:pPr>
    </w:p>
    <w:p w14:paraId="3BC91BF7" w14:textId="77777777" w:rsidR="00762B5A" w:rsidRDefault="00762B5A" w:rsidP="00762B5A">
      <w:pPr>
        <w:rPr>
          <w:rFonts w:cs="Arial"/>
          <w:szCs w:val="22"/>
        </w:rPr>
      </w:pPr>
    </w:p>
    <w:p w14:paraId="2D42B629" w14:textId="77777777" w:rsidR="00762B5A" w:rsidRDefault="00762B5A" w:rsidP="00762B5A">
      <w:pPr>
        <w:rPr>
          <w:rFonts w:cs="Arial"/>
          <w:szCs w:val="22"/>
        </w:rPr>
      </w:pPr>
      <w:r>
        <w:rPr>
          <w:rFonts w:cs="Arial"/>
          <w:szCs w:val="22"/>
        </w:rPr>
        <w:br w:type="page"/>
      </w:r>
    </w:p>
    <w:p w14:paraId="73531E28" w14:textId="77777777" w:rsidR="00762B5A" w:rsidRDefault="00762B5A" w:rsidP="00762B5A">
      <w:pPr>
        <w:pStyle w:val="Heading1"/>
        <w:numPr>
          <w:ilvl w:val="0"/>
          <w:numId w:val="0"/>
        </w:numPr>
        <w:spacing w:before="0" w:after="120" w:line="360" w:lineRule="auto"/>
        <w:ind w:left="567" w:hanging="567"/>
        <w:rPr>
          <w:rFonts w:asciiTheme="minorHAnsi" w:hAnsiTheme="minorHAnsi"/>
          <w:sz w:val="44"/>
          <w:szCs w:val="15"/>
        </w:rPr>
      </w:pPr>
      <w:bookmarkStart w:id="174" w:name="_Toc25162090"/>
      <w:r>
        <w:rPr>
          <w:rFonts w:asciiTheme="minorHAnsi" w:hAnsiTheme="minorHAnsi"/>
          <w:sz w:val="44"/>
          <w:szCs w:val="15"/>
        </w:rPr>
        <w:t>Early learning initiatives</w:t>
      </w:r>
      <w:bookmarkEnd w:id="174"/>
      <w:r>
        <w:rPr>
          <w:rFonts w:asciiTheme="minorHAnsi" w:hAnsiTheme="minorHAnsi"/>
          <w:sz w:val="44"/>
          <w:szCs w:val="15"/>
        </w:rPr>
        <w:t xml:space="preserve"> </w:t>
      </w:r>
    </w:p>
    <w:p w14:paraId="56B8C783" w14:textId="77777777" w:rsidR="00762B5A" w:rsidRDefault="00762B5A" w:rsidP="00762B5A">
      <w:pPr>
        <w:pStyle w:val="Heading1"/>
        <w:numPr>
          <w:ilvl w:val="0"/>
          <w:numId w:val="0"/>
        </w:numPr>
        <w:spacing w:before="0" w:after="120" w:line="360" w:lineRule="auto"/>
        <w:ind w:left="567" w:hanging="567"/>
        <w:rPr>
          <w:rFonts w:asciiTheme="minorHAnsi" w:hAnsiTheme="minorHAnsi" w:cs="Arial"/>
          <w:b/>
          <w:bCs/>
          <w:sz w:val="36"/>
          <w:szCs w:val="36"/>
        </w:rPr>
      </w:pPr>
      <w:bookmarkStart w:id="175" w:name="_Toc25162091"/>
      <w:r>
        <w:rPr>
          <w:rFonts w:asciiTheme="minorHAnsi" w:hAnsiTheme="minorHAnsi" w:cs="Arial"/>
          <w:b/>
          <w:bCs/>
          <w:sz w:val="36"/>
          <w:szCs w:val="36"/>
        </w:rPr>
        <w:t>The Early Learning STEM Australia (ELSA)</w:t>
      </w:r>
      <w:bookmarkEnd w:id="175"/>
    </w:p>
    <w:tbl>
      <w:tblPr>
        <w:tblStyle w:val="PlainTable2"/>
        <w:tblW w:w="0" w:type="auto"/>
        <w:tblInd w:w="-95" w:type="dxa"/>
        <w:tblLook w:val="04A0" w:firstRow="1" w:lastRow="0" w:firstColumn="1" w:lastColumn="0" w:noHBand="0" w:noVBand="1"/>
      </w:tblPr>
      <w:tblGrid>
        <w:gridCol w:w="2805"/>
        <w:gridCol w:w="3054"/>
        <w:gridCol w:w="3287"/>
      </w:tblGrid>
      <w:tr w:rsidR="00762B5A" w14:paraId="3974CE16" w14:textId="77777777" w:rsidTr="007E2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9CAC47C" w14:textId="77777777" w:rsidR="00762B5A" w:rsidRDefault="00762B5A" w:rsidP="007E2D07">
            <w:pPr>
              <w:rPr>
                <w:b w:val="0"/>
                <w:bCs w:val="0"/>
                <w:szCs w:val="22"/>
              </w:rPr>
            </w:pPr>
            <w:r>
              <w:rPr>
                <w:szCs w:val="22"/>
              </w:rPr>
              <w:t xml:space="preserve">Provider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2E07EFF" w14:textId="77777777" w:rsidR="00762B5A" w:rsidRDefault="00762B5A" w:rsidP="007E2D07">
            <w:pPr>
              <w:cnfStyle w:val="100000000000" w:firstRow="1" w:lastRow="0" w:firstColumn="0" w:lastColumn="0" w:oddVBand="0" w:evenVBand="0" w:oddHBand="0" w:evenHBand="0" w:firstRowFirstColumn="0" w:firstRowLastColumn="0" w:lastRowFirstColumn="0" w:lastRowLastColumn="0"/>
              <w:rPr>
                <w:szCs w:val="22"/>
              </w:rPr>
            </w:pPr>
            <w:r>
              <w:rPr>
                <w:szCs w:val="22"/>
              </w:rPr>
              <w:t>University of Canberra (</w:t>
            </w:r>
            <w:proofErr w:type="spellStart"/>
            <w:r>
              <w:rPr>
                <w:szCs w:val="22"/>
              </w:rPr>
              <w:t>UoC</w:t>
            </w:r>
            <w:proofErr w:type="spellEnd"/>
            <w:r>
              <w:rPr>
                <w:szCs w:val="22"/>
              </w:rPr>
              <w:t>)</w:t>
            </w:r>
          </w:p>
        </w:tc>
      </w:tr>
      <w:tr w:rsidR="00762B5A" w14:paraId="5344EDAB"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112E67A" w14:textId="77777777" w:rsidR="00762B5A" w:rsidRDefault="00762B5A" w:rsidP="007E2D07">
            <w:pPr>
              <w:rPr>
                <w:szCs w:val="22"/>
              </w:rPr>
            </w:pPr>
            <w:r>
              <w:rPr>
                <w:szCs w:val="22"/>
              </w:rPr>
              <w:t xml:space="preserve">Initiative description and objectives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D20B0E8"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ELSA Pilot introduces STEM practices and concepts through a play-based digital learning environment using mobile applications (apps) on tablet devices. Additional materials support the STEM practices and concepts included in the apps. The University of Canberra was selected in late 2016 to develop the materials and to pilot them in 100 preschool services from the beginning of 2018 (this has since been extended for a second pilot year in 2019). Six ELSA apps have been developed, comprising four apps for children, one for educators and one for families. </w:t>
            </w:r>
          </w:p>
          <w:p w14:paraId="4A2FA546"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Objectives:</w:t>
            </w:r>
          </w:p>
          <w:p w14:paraId="20E444F9" w14:textId="77777777" w:rsidR="00762B5A" w:rsidRDefault="00762B5A" w:rsidP="00164DD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szCs w:val="22"/>
              </w:rPr>
              <w:t>E</w:t>
            </w:r>
            <w:r>
              <w:rPr>
                <w:rFonts w:eastAsia="Times New Roman"/>
                <w:szCs w:val="22"/>
              </w:rPr>
              <w:t>mbed the constructive use of technology in preschool programs through the presentation of STEM-focussed practices and learning experiences in a play-based digital environment</w:t>
            </w:r>
          </w:p>
          <w:p w14:paraId="7036D66D" w14:textId="77777777" w:rsidR="00762B5A" w:rsidRDefault="00762B5A" w:rsidP="00164DD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rFonts w:eastAsia="Times New Roman"/>
                <w:szCs w:val="22"/>
              </w:rPr>
              <w:t>Provide meaningful opportunities for preschool children to explore a play-based digital learning environment that is rich in STEM practices, concepts and learning experiences</w:t>
            </w:r>
          </w:p>
          <w:p w14:paraId="02CD08DD" w14:textId="77777777" w:rsidR="00762B5A" w:rsidRDefault="00762B5A" w:rsidP="00164DD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rFonts w:eastAsia="Times New Roman"/>
                <w:szCs w:val="22"/>
              </w:rPr>
              <w:t xml:space="preserve">Engage effectively with the early learning sector to raise awareness of the importance of STEM practices and learning in preschool programs; and </w:t>
            </w:r>
          </w:p>
          <w:p w14:paraId="0ED9C41B" w14:textId="77777777" w:rsidR="00762B5A" w:rsidRDefault="00762B5A" w:rsidP="00164DDE">
            <w:pPr>
              <w:pStyle w:val="ListParagraph"/>
              <w:numPr>
                <w:ilvl w:val="0"/>
                <w:numId w:val="120"/>
              </w:numPr>
              <w:cnfStyle w:val="000000100000" w:firstRow="0" w:lastRow="0" w:firstColumn="0" w:lastColumn="0" w:oddVBand="0" w:evenVBand="0" w:oddHBand="1" w:evenHBand="0" w:firstRowFirstColumn="0" w:firstRowLastColumn="0" w:lastRowFirstColumn="0" w:lastRowLastColumn="0"/>
              <w:rPr>
                <w:rFonts w:eastAsia="Times New Roman"/>
                <w:szCs w:val="22"/>
              </w:rPr>
            </w:pPr>
            <w:r>
              <w:rPr>
                <w:rFonts w:eastAsia="Times New Roman"/>
                <w:szCs w:val="22"/>
              </w:rPr>
              <w:t>Support early childhood educators to understand the multiple points of connection between STEM practices and concepts</w:t>
            </w:r>
          </w:p>
        </w:tc>
      </w:tr>
      <w:tr w:rsidR="00762B5A" w14:paraId="0CD78141" w14:textId="77777777" w:rsidTr="007E2D07">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65E89E6" w14:textId="77777777" w:rsidR="00762B5A" w:rsidRDefault="00762B5A" w:rsidP="007E2D07">
            <w:pPr>
              <w:rPr>
                <w:szCs w:val="22"/>
              </w:rPr>
            </w:pPr>
            <w:r>
              <w:rPr>
                <w:szCs w:val="22"/>
              </w:rPr>
              <w:t>Target audience</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3DCE8B0"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Early childhood educators; children; families </w:t>
            </w:r>
          </w:p>
        </w:tc>
      </w:tr>
      <w:tr w:rsidR="00762B5A" w14:paraId="27B50B12" w14:textId="77777777" w:rsidTr="007E2D07">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28661DF" w14:textId="77777777" w:rsidR="00762B5A" w:rsidRDefault="00762B5A" w:rsidP="007E2D07">
            <w:pPr>
              <w:rPr>
                <w:szCs w:val="22"/>
              </w:rPr>
            </w:pPr>
            <w:r>
              <w:rPr>
                <w:szCs w:val="22"/>
              </w:rPr>
              <w:t xml:space="preserve">Initiative funding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86577E3" w14:textId="77777777" w:rsidR="00762B5A" w:rsidRDefault="00762B5A" w:rsidP="007E2D07">
            <w:pPr>
              <w:pStyle w:val="CommentText"/>
              <w:cnfStyle w:val="000000100000" w:firstRow="0" w:lastRow="0" w:firstColumn="0" w:lastColumn="0" w:oddVBand="0" w:evenVBand="0" w:oddHBand="1" w:evenHBand="0" w:firstRowFirstColumn="0" w:firstRowLastColumn="0" w:lastRowFirstColumn="0" w:lastRowLastColumn="0"/>
              <w:rPr>
                <w:szCs w:val="22"/>
              </w:rPr>
            </w:pPr>
            <w:r>
              <w:rPr>
                <w:szCs w:val="22"/>
              </w:rPr>
              <w:t>NISA funding is $8,289,237 (excluding GST) for the period 2016-2020. This includes the extended 2019 ELSA pilot and evaluation.</w:t>
            </w:r>
          </w:p>
        </w:tc>
      </w:tr>
      <w:tr w:rsidR="00762B5A" w14:paraId="25314385" w14:textId="77777777" w:rsidTr="007E2D07">
        <w:tc>
          <w:tcPr>
            <w:cnfStyle w:val="001000000000" w:firstRow="0" w:lastRow="0" w:firstColumn="1" w:lastColumn="0" w:oddVBand="0" w:evenVBand="0" w:oddHBand="0" w:evenHBand="0" w:firstRowFirstColumn="0" w:firstRowLastColumn="0" w:lastRowFirstColumn="0" w:lastRowLastColumn="0"/>
            <w:tcW w:w="2805" w:type="dxa"/>
            <w:vMerge w:val="restart"/>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shd w:val="clear" w:color="auto" w:fill="auto"/>
            <w:hideMark/>
          </w:tcPr>
          <w:p w14:paraId="67766F94" w14:textId="77777777" w:rsidR="00762B5A" w:rsidRDefault="00762B5A" w:rsidP="007E2D07">
            <w:pPr>
              <w:rPr>
                <w:szCs w:val="22"/>
              </w:rPr>
            </w:pPr>
            <w:r>
              <w:rPr>
                <w:szCs w:val="22"/>
              </w:rPr>
              <w:t>Evaluation</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45A369E4" w14:textId="77777777" w:rsidR="00762B5A" w:rsidRDefault="00762B5A" w:rsidP="00164DDE">
            <w:pPr>
              <w:pStyle w:val="ListParagraph"/>
              <w:numPr>
                <w:ilvl w:val="0"/>
                <w:numId w:val="141"/>
              </w:num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Beyond </w:t>
            </w:r>
            <w:proofErr w:type="spellStart"/>
            <w:r>
              <w:rPr>
                <w:szCs w:val="22"/>
              </w:rPr>
              <w:t>dandolo’s</w:t>
            </w:r>
            <w:proofErr w:type="spellEnd"/>
            <w:r>
              <w:rPr>
                <w:szCs w:val="22"/>
              </w:rPr>
              <w:t xml:space="preserve"> evaluation, an internal evaluation is being conducted by the provider. The final 2018 report was released 5 June 2019</w:t>
            </w:r>
          </w:p>
          <w:p w14:paraId="2922239A" w14:textId="77777777" w:rsidR="00762B5A" w:rsidRDefault="00762B5A" w:rsidP="00164DDE">
            <w:pPr>
              <w:pStyle w:val="ListParagraph"/>
              <w:numPr>
                <w:ilvl w:val="0"/>
                <w:numId w:val="141"/>
              </w:numPr>
              <w:cnfStyle w:val="000000000000" w:firstRow="0" w:lastRow="0" w:firstColumn="0" w:lastColumn="0" w:oddVBand="0" w:evenVBand="0" w:oddHBand="0" w:evenHBand="0" w:firstRowFirstColumn="0" w:firstRowLastColumn="0" w:lastRowFirstColumn="0" w:lastRowLastColumn="0"/>
              <w:rPr>
                <w:szCs w:val="22"/>
              </w:rPr>
            </w:pPr>
            <w:r>
              <w:rPr>
                <w:szCs w:val="22"/>
              </w:rPr>
              <w:t>An external evaluation is beings conducted by Australian Council for Educational Research (ACER). The 2018 final report was provided to the Department on 31 May 2019</w:t>
            </w:r>
          </w:p>
          <w:p w14:paraId="1DBC8145" w14:textId="77777777" w:rsidR="00762B5A" w:rsidRDefault="00762B5A" w:rsidP="00164DDE">
            <w:pPr>
              <w:pStyle w:val="ListParagraph"/>
              <w:numPr>
                <w:ilvl w:val="0"/>
                <w:numId w:val="141"/>
              </w:numPr>
              <w:cnfStyle w:val="000000000000" w:firstRow="0" w:lastRow="0" w:firstColumn="0" w:lastColumn="0" w:oddVBand="0" w:evenVBand="0" w:oddHBand="0" w:evenHBand="0" w:firstRowFirstColumn="0" w:firstRowLastColumn="0" w:lastRowFirstColumn="0" w:lastRowLastColumn="0"/>
              <w:rPr>
                <w:szCs w:val="22"/>
              </w:rPr>
            </w:pPr>
            <w:r>
              <w:rPr>
                <w:szCs w:val="22"/>
              </w:rPr>
              <w:t>Both the ELSA Pilot and evaluation by ACER have been extended for a second year in 2019, and the evaluation activity and reporting for 2019 is still in progress.</w:t>
            </w:r>
          </w:p>
          <w:p w14:paraId="63B801FD"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We’ve described the approach for the internal and external evaluation below, but beyond this, </w:t>
            </w: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ELSA.</w:t>
            </w:r>
          </w:p>
        </w:tc>
      </w:tr>
      <w:tr w:rsidR="00762B5A" w14:paraId="3D268688"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shd w:val="clear" w:color="auto" w:fill="auto"/>
            <w:vAlign w:val="center"/>
            <w:hideMark/>
          </w:tcPr>
          <w:p w14:paraId="6DF7FB6A" w14:textId="77777777" w:rsidR="00762B5A" w:rsidRDefault="00762B5A" w:rsidP="007E2D07">
            <w:pPr>
              <w:spacing w:after="0" w:line="240" w:lineRule="auto"/>
              <w:rPr>
                <w:szCs w:val="22"/>
              </w:rPr>
            </w:pPr>
          </w:p>
        </w:tc>
        <w:tc>
          <w:tcPr>
            <w:tcW w:w="305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D74F0E4" w14:textId="77777777" w:rsidR="00762B5A" w:rsidRDefault="00762B5A" w:rsidP="007E2D07">
            <w:pPr>
              <w:ind w:left="357" w:hanging="357"/>
              <w:cnfStyle w:val="000000100000" w:firstRow="0" w:lastRow="0" w:firstColumn="0" w:lastColumn="0" w:oddVBand="0" w:evenVBand="0" w:oddHBand="1" w:evenHBand="0" w:firstRowFirstColumn="0" w:firstRowLastColumn="0" w:lastRowFirstColumn="0" w:lastRowLastColumn="0"/>
              <w:rPr>
                <w:szCs w:val="22"/>
              </w:rPr>
            </w:pPr>
            <w:r>
              <w:rPr>
                <w:szCs w:val="22"/>
              </w:rPr>
              <w:t xml:space="preserve">Internal evaluation </w:t>
            </w:r>
          </w:p>
        </w:tc>
        <w:tc>
          <w:tcPr>
            <w:tcW w:w="3287"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A4A3D82" w14:textId="77777777" w:rsidR="00762B5A" w:rsidRDefault="00762B5A" w:rsidP="007E2D07">
            <w:pPr>
              <w:ind w:left="357" w:hanging="357"/>
              <w:cnfStyle w:val="000000100000" w:firstRow="0" w:lastRow="0" w:firstColumn="0" w:lastColumn="0" w:oddVBand="0" w:evenVBand="0" w:oddHBand="1" w:evenHBand="0" w:firstRowFirstColumn="0" w:firstRowLastColumn="0" w:lastRowFirstColumn="0" w:lastRowLastColumn="0"/>
              <w:rPr>
                <w:szCs w:val="22"/>
              </w:rPr>
            </w:pPr>
            <w:r>
              <w:rPr>
                <w:szCs w:val="22"/>
              </w:rPr>
              <w:t>External evaluation</w:t>
            </w:r>
          </w:p>
        </w:tc>
      </w:tr>
      <w:tr w:rsidR="00762B5A" w14:paraId="49D96C81" w14:textId="77777777" w:rsidTr="007E2D07">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A03F53D" w14:textId="77777777" w:rsidR="00762B5A" w:rsidRDefault="00762B5A" w:rsidP="007E2D07">
            <w:pPr>
              <w:rPr>
                <w:szCs w:val="22"/>
              </w:rPr>
            </w:pPr>
            <w:r>
              <w:rPr>
                <w:szCs w:val="22"/>
              </w:rPr>
              <w:t xml:space="preserve">Evaluation purpose </w:t>
            </w:r>
          </w:p>
        </w:tc>
        <w:tc>
          <w:tcPr>
            <w:tcW w:w="305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54E3D2DE"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The report evaluated the design, development and delivery of the ELSA pilot in 2018 against the initiative’s four objectives.</w:t>
            </w:r>
          </w:p>
          <w:p w14:paraId="431D60D8"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p>
        </w:tc>
        <w:tc>
          <w:tcPr>
            <w:tcW w:w="3287"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192246" w14:textId="77777777" w:rsidR="00762B5A" w:rsidRDefault="00762B5A" w:rsidP="007E2D07">
            <w:pPr>
              <w:cnfStyle w:val="000000000000" w:firstRow="0" w:lastRow="0" w:firstColumn="0" w:lastColumn="0" w:oddVBand="0" w:evenVBand="0" w:oddHBand="0" w:evenHBand="0" w:firstRowFirstColumn="0" w:firstRowLastColumn="0" w:lastRowFirstColumn="0" w:lastRowLastColumn="0"/>
              <w:rPr>
                <w:szCs w:val="22"/>
              </w:rPr>
            </w:pPr>
            <w:r>
              <w:rPr>
                <w:szCs w:val="22"/>
              </w:rPr>
              <w:t>The purpose of ACER’s evaluation is to:</w:t>
            </w:r>
          </w:p>
          <w:p w14:paraId="3444AF2C" w14:textId="77777777" w:rsidR="00762B5A" w:rsidRDefault="00762B5A" w:rsidP="00164DDE">
            <w:pPr>
              <w:pStyle w:val="ListParagraph"/>
              <w:numPr>
                <w:ilvl w:val="0"/>
                <w:numId w:val="126"/>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Review literature related to STEM in the early years and the use of apps</w:t>
            </w:r>
          </w:p>
          <w:p w14:paraId="4A00F95C" w14:textId="77777777" w:rsidR="00762B5A" w:rsidRDefault="00762B5A" w:rsidP="00164DDE">
            <w:pPr>
              <w:pStyle w:val="ListParagraph"/>
              <w:numPr>
                <w:ilvl w:val="0"/>
                <w:numId w:val="126"/>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Review the design and delivery of the materials</w:t>
            </w:r>
          </w:p>
          <w:p w14:paraId="226B181D" w14:textId="77777777" w:rsidR="00762B5A" w:rsidRDefault="00762B5A" w:rsidP="00164DDE">
            <w:pPr>
              <w:pStyle w:val="ListParagraph"/>
              <w:numPr>
                <w:ilvl w:val="0"/>
                <w:numId w:val="126"/>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Analyse data on educators’ and families’ participation in the ELSA Pilot</w:t>
            </w:r>
          </w:p>
          <w:p w14:paraId="0188D446" w14:textId="77777777" w:rsidR="00762B5A" w:rsidRDefault="00762B5A" w:rsidP="00164DDE">
            <w:pPr>
              <w:pStyle w:val="ListParagraph"/>
              <w:numPr>
                <w:ilvl w:val="0"/>
                <w:numId w:val="126"/>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Analyse children’s engagement with and application of STEM practices</w:t>
            </w:r>
          </w:p>
          <w:p w14:paraId="79443CB2" w14:textId="77777777" w:rsidR="00762B5A" w:rsidRDefault="00762B5A" w:rsidP="00164DDE">
            <w:pPr>
              <w:pStyle w:val="ListParagraph"/>
              <w:numPr>
                <w:ilvl w:val="0"/>
                <w:numId w:val="126"/>
              </w:numPr>
              <w:cnfStyle w:val="000000000000" w:firstRow="0" w:lastRow="0" w:firstColumn="0" w:lastColumn="0" w:oddVBand="0" w:evenVBand="0" w:oddHBand="0" w:evenHBand="0" w:firstRowFirstColumn="0" w:firstRowLastColumn="0" w:lastRowFirstColumn="0" w:lastRowLastColumn="0"/>
              <w:rPr>
                <w:rFonts w:eastAsia="Times New Roman"/>
                <w:szCs w:val="22"/>
              </w:rPr>
            </w:pPr>
            <w:r>
              <w:rPr>
                <w:szCs w:val="22"/>
              </w:rPr>
              <w:t xml:space="preserve">Produce a cost effectiveness analysis, with a focus on program sustainability </w:t>
            </w:r>
          </w:p>
        </w:tc>
      </w:tr>
      <w:tr w:rsidR="00762B5A" w14:paraId="4DF0E8C6" w14:textId="77777777" w:rsidTr="007E2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5246F33" w14:textId="77777777" w:rsidR="00762B5A" w:rsidRDefault="00762B5A" w:rsidP="007E2D07">
            <w:pPr>
              <w:rPr>
                <w:szCs w:val="22"/>
              </w:rPr>
            </w:pPr>
            <w:r>
              <w:rPr>
                <w:szCs w:val="22"/>
              </w:rPr>
              <w:t>Evaluation framework / methodology</w:t>
            </w:r>
          </w:p>
        </w:tc>
        <w:tc>
          <w:tcPr>
            <w:tcW w:w="305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51CAC54D"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Framework</w:t>
            </w:r>
          </w:p>
          <w:p w14:paraId="6B0009A4"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structure of the evaluation follows the four objectives in the contract. </w:t>
            </w:r>
          </w:p>
          <w:p w14:paraId="7B7EBD47"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p>
          <w:p w14:paraId="483051CA"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Methodology</w:t>
            </w:r>
          </w:p>
          <w:p w14:paraId="00BE9C1C"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u w:val="single"/>
              </w:rPr>
            </w:pPr>
            <w:proofErr w:type="spellStart"/>
            <w:r>
              <w:rPr>
                <w:szCs w:val="22"/>
              </w:rPr>
              <w:t>UoC</w:t>
            </w:r>
            <w:proofErr w:type="spellEnd"/>
            <w:r>
              <w:rPr>
                <w:szCs w:val="22"/>
              </w:rPr>
              <w:t xml:space="preserve"> used a mixed-methods approach to evaluation, with data drawn from surveys, usage data of the apps, a literature review, and personal accounts from educators. This report includes both qualitative and quantitative analysis. </w:t>
            </w:r>
          </w:p>
          <w:p w14:paraId="2B779CF7" w14:textId="77777777" w:rsidR="00762B5A" w:rsidRDefault="00762B5A" w:rsidP="007E2D07">
            <w:pPr>
              <w:pStyle w:val="NormalWeb"/>
              <w:spacing w:before="0" w:beforeAutospacing="0" w:after="120" w:afterAutospacing="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3287"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6CD6B74" w14:textId="77777777" w:rsidR="00762B5A" w:rsidRDefault="00762B5A" w:rsidP="007E2D07">
            <w:pPr>
              <w:cnfStyle w:val="000000100000" w:firstRow="0" w:lastRow="0" w:firstColumn="0" w:lastColumn="0" w:oddVBand="0" w:evenVBand="0" w:oddHBand="1" w:evenHBand="0" w:firstRowFirstColumn="0" w:firstRowLastColumn="0" w:lastRowFirstColumn="0" w:lastRowLastColumn="0"/>
              <w:rPr>
                <w:szCs w:val="22"/>
                <w:u w:val="single"/>
              </w:rPr>
            </w:pPr>
            <w:r>
              <w:rPr>
                <w:szCs w:val="22"/>
                <w:u w:val="single"/>
              </w:rPr>
              <w:t>Framework and methodology</w:t>
            </w:r>
          </w:p>
          <w:p w14:paraId="319FF734"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A review of literature relating to STEM learning in the early years using tablet apps, and of apps developed to support STEM learning in the early years</w:t>
            </w:r>
          </w:p>
          <w:p w14:paraId="60DB4E9B"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Analysis of the design, development and delivery of the apps and related materials, as they relate to research reviewed in the literature review and compatibility with the EYLF and AC</w:t>
            </w:r>
          </w:p>
          <w:p w14:paraId="58638828"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Data collected on pilot participation and its effect on educators’ confidence and competence, and families’ perceptions of their children’s confidence, competence and interest in STEM; to be collected through surveys, observation, interviews, focus groups and case studies</w:t>
            </w:r>
          </w:p>
          <w:p w14:paraId="7D6B41A4"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Children’s engagement with STEM practices, to be collected through app data (to be supplied by </w:t>
            </w:r>
            <w:proofErr w:type="spellStart"/>
            <w:r>
              <w:rPr>
                <w:szCs w:val="22"/>
              </w:rPr>
              <w:t>UoC</w:t>
            </w:r>
            <w:proofErr w:type="spellEnd"/>
            <w:r>
              <w:rPr>
                <w:szCs w:val="22"/>
              </w:rPr>
              <w:t>) and observations during case study visits</w:t>
            </w:r>
          </w:p>
          <w:p w14:paraId="16C22BFD"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Post-pilot performance activities of a sample of participating children attending case study preschools</w:t>
            </w:r>
          </w:p>
          <w:p w14:paraId="321E42AE" w14:textId="77777777" w:rsidR="00762B5A" w:rsidRDefault="00762B5A" w:rsidP="00164DDE">
            <w:pPr>
              <w:pStyle w:val="ListParagraph"/>
              <w:numPr>
                <w:ilvl w:val="0"/>
                <w:numId w:val="190"/>
              </w:numPr>
              <w:cnfStyle w:val="000000100000" w:firstRow="0" w:lastRow="0" w:firstColumn="0" w:lastColumn="0" w:oddVBand="0" w:evenVBand="0" w:oddHBand="1" w:evenHBand="0" w:firstRowFirstColumn="0" w:firstRowLastColumn="0" w:lastRowFirstColumn="0" w:lastRowLastColumn="0"/>
              <w:rPr>
                <w:szCs w:val="22"/>
              </w:rPr>
            </w:pPr>
            <w:r>
              <w:rPr>
                <w:szCs w:val="22"/>
              </w:rPr>
              <w:t>A cost effectiveness analysis that focuses on how the program can be extended beyond the pilot period, with financial consideration of program sustainability and improvements</w:t>
            </w:r>
          </w:p>
        </w:tc>
      </w:tr>
      <w:tr w:rsidR="00762B5A" w14:paraId="09911CF8" w14:textId="77777777" w:rsidTr="007E2D07">
        <w:trPr>
          <w:trHeight w:val="1002"/>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E1ECC6C" w14:textId="77777777" w:rsidR="00762B5A" w:rsidRDefault="00762B5A" w:rsidP="007E2D07">
            <w:pPr>
              <w:rPr>
                <w:szCs w:val="22"/>
              </w:rPr>
            </w:pPr>
            <w:r>
              <w:rPr>
                <w:szCs w:val="22"/>
              </w:rPr>
              <w:t xml:space="preserve">Summary of evaluation conclusions </w:t>
            </w:r>
          </w:p>
        </w:tc>
        <w:tc>
          <w:tcPr>
            <w:tcW w:w="3054"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E951290"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rPr>
            </w:pPr>
            <w:r>
              <w:rPr>
                <w:szCs w:val="22"/>
              </w:rPr>
              <w:t>The analysis of 2018 ELSA data indicates the 2018 Pilot was a success, with high levels of engagement and enthusiasm shown by educators and children</w:t>
            </w:r>
          </w:p>
          <w:p w14:paraId="67F61B84"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lang w:val="en-US"/>
              </w:rPr>
            </w:pPr>
            <w:proofErr w:type="spellStart"/>
            <w:r>
              <w:rPr>
                <w:szCs w:val="22"/>
                <w:lang w:val="en-US"/>
              </w:rPr>
              <w:t>UoC</w:t>
            </w:r>
            <w:proofErr w:type="spellEnd"/>
            <w:r>
              <w:rPr>
                <w:szCs w:val="22"/>
                <w:lang w:val="en-US"/>
              </w:rPr>
              <w:t xml:space="preserve"> has achieved its four objectives</w:t>
            </w:r>
          </w:p>
          <w:p w14:paraId="678A84DF"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rPr>
            </w:pPr>
            <w:proofErr w:type="spellStart"/>
            <w:r>
              <w:rPr>
                <w:szCs w:val="22"/>
              </w:rPr>
              <w:t>UoC</w:t>
            </w:r>
            <w:proofErr w:type="spellEnd"/>
            <w:r>
              <w:rPr>
                <w:szCs w:val="22"/>
              </w:rPr>
              <w:t xml:space="preserve"> ensured that the Early Years Learning Framework (EYLF</w:t>
            </w:r>
            <w:r>
              <w:rPr>
                <w:b/>
                <w:bCs/>
                <w:szCs w:val="22"/>
              </w:rPr>
              <w:t xml:space="preserve">) </w:t>
            </w:r>
            <w:r>
              <w:rPr>
                <w:szCs w:val="22"/>
              </w:rPr>
              <w:t>was embedded in every aspect of the ELSA program with links to Australian Curriculum</w:t>
            </w:r>
          </w:p>
          <w:p w14:paraId="48184AC2"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rPr>
            </w:pPr>
            <w:r>
              <w:rPr>
                <w:szCs w:val="22"/>
              </w:rPr>
              <w:t>ELSA’s ‘practice’ stance on STEM enabled it to address a diverse range of learning opportunities within the curriculum</w:t>
            </w:r>
          </w:p>
          <w:p w14:paraId="66F8D5F5"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rPr>
            </w:pPr>
            <w:r>
              <w:rPr>
                <w:szCs w:val="22"/>
              </w:rPr>
              <w:t>The expertise of the pedagogical team behind the project included a range of academics contributing to its success</w:t>
            </w:r>
          </w:p>
          <w:p w14:paraId="7334FDE7" w14:textId="77777777" w:rsidR="00762B5A" w:rsidRDefault="00762B5A" w:rsidP="00164DDE">
            <w:pPr>
              <w:pStyle w:val="ListParagraph"/>
              <w:numPr>
                <w:ilvl w:val="0"/>
                <w:numId w:val="125"/>
              </w:numPr>
              <w:cnfStyle w:val="000000000000" w:firstRow="0" w:lastRow="0" w:firstColumn="0" w:lastColumn="0" w:oddVBand="0" w:evenVBand="0" w:oddHBand="0" w:evenHBand="0" w:firstRowFirstColumn="0" w:firstRowLastColumn="0" w:lastRowFirstColumn="0" w:lastRowLastColumn="0"/>
              <w:rPr>
                <w:szCs w:val="22"/>
              </w:rPr>
            </w:pPr>
            <w:r>
              <w:rPr>
                <w:szCs w:val="22"/>
              </w:rPr>
              <w:t>ELSA actively engaged females, Indigenous Australians and people with disabilities and adopted an inclusive pedagogy to reach students from diverse backgrounds</w:t>
            </w:r>
          </w:p>
        </w:tc>
        <w:tc>
          <w:tcPr>
            <w:tcW w:w="3287"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2FD8851"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ELSA apps fill a gap by taking an integrated approach to STEM, focusing on process rather than content</w:t>
            </w:r>
          </w:p>
          <w:p w14:paraId="63637FF0"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 xml:space="preserve">The apps are strongly linked to the Early Years Learning Framework (EYLF), although links to the Australian Curriculum and Foundation to Year 2 could be strengthened. All apps aligned to the EYLF STEM outcomes, with a gap in the Statistics and Probability strand of mathematics </w:t>
            </w:r>
          </w:p>
          <w:p w14:paraId="7B300555"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Educator confidence has increased as result of their participation in the pilot, although there was little growth in confidence of digital skills and using digital technology</w:t>
            </w:r>
          </w:p>
          <w:p w14:paraId="7C498456"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 xml:space="preserve">Some educators used the Community of Practice, but educators tended to use their own networks to communicate </w:t>
            </w:r>
          </w:p>
          <w:p w14:paraId="2B66DE31"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Families reported increased time on STEM and greater interest</w:t>
            </w:r>
          </w:p>
          <w:p w14:paraId="2466B686"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The initiative met its objectives</w:t>
            </w:r>
          </w:p>
          <w:p w14:paraId="1374F96A" w14:textId="77777777" w:rsidR="00762B5A" w:rsidRDefault="00762B5A" w:rsidP="00164DDE">
            <w:pPr>
              <w:pStyle w:val="ListParagraph"/>
              <w:numPr>
                <w:ilvl w:val="0"/>
                <w:numId w:val="122"/>
              </w:numPr>
              <w:cnfStyle w:val="000000000000" w:firstRow="0" w:lastRow="0" w:firstColumn="0" w:lastColumn="0" w:oddVBand="0" w:evenVBand="0" w:oddHBand="0" w:evenHBand="0" w:firstRowFirstColumn="0" w:firstRowLastColumn="0" w:lastRowFirstColumn="0" w:lastRowLastColumn="0"/>
              <w:rPr>
                <w:bCs/>
                <w:szCs w:val="22"/>
                <w:lang w:val="en-US"/>
              </w:rPr>
            </w:pPr>
            <w:r>
              <w:rPr>
                <w:bCs/>
                <w:szCs w:val="22"/>
                <w:lang w:val="en-US"/>
              </w:rPr>
              <w:t xml:space="preserve">The evaluation recommends a moderate increase in funding would be a good investment </w:t>
            </w:r>
          </w:p>
        </w:tc>
      </w:tr>
      <w:tr w:rsidR="00762B5A" w14:paraId="7F7392FD" w14:textId="77777777" w:rsidTr="007E2D07">
        <w:trPr>
          <w:cnfStyle w:val="000000100000" w:firstRow="0" w:lastRow="0" w:firstColumn="0" w:lastColumn="0" w:oddVBand="0" w:evenVBand="0" w:oddHBand="1" w:evenHBand="0" w:firstRowFirstColumn="0" w:firstRowLastColumn="0" w:lastRowFirstColumn="0" w:lastRowLastColumn="0"/>
          <w:trHeight w:val="2022"/>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F11182F" w14:textId="77777777" w:rsidR="00762B5A" w:rsidRDefault="00762B5A" w:rsidP="007E2D07">
            <w:pPr>
              <w:rPr>
                <w:bCs w:val="0"/>
                <w:szCs w:val="22"/>
              </w:rPr>
            </w:pPr>
            <w:r>
              <w:rPr>
                <w:szCs w:val="22"/>
              </w:rPr>
              <w:t xml:space="preserve">Additional </w:t>
            </w:r>
            <w:proofErr w:type="spellStart"/>
            <w:r>
              <w:rPr>
                <w:szCs w:val="22"/>
              </w:rPr>
              <w:t>dandolo</w:t>
            </w:r>
            <w:proofErr w:type="spellEnd"/>
            <w:r>
              <w:rPr>
                <w:szCs w:val="22"/>
              </w:rPr>
              <w:t xml:space="preserve"> comments</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DD97E7D" w14:textId="77777777" w:rsidR="00762B5A" w:rsidRDefault="00762B5A" w:rsidP="00164DDE">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Stakeholder comments regarding ELSA were divided. Some stakeholders thought ELSA was successful at promoting STEM thinking and STEM skills, and gave children an opportunity to creatively engage with a range of media. They also said ELSA is appropriately aligned with the EYLF. However, some stakeholders report that ELSA had not appropriately engaged with the early childhood sector, and the initiative was developed with limited experience in early childhood education, and pedagogical knowledge. Similarly, that the ELSA initiative does not use early childhood language. </w:t>
            </w:r>
          </w:p>
          <w:p w14:paraId="4BD68330" w14:textId="77777777" w:rsidR="00762B5A" w:rsidRDefault="00762B5A" w:rsidP="00164DDE">
            <w:pPr>
              <w:pStyle w:val="ListParagraph"/>
              <w:numPr>
                <w:ilvl w:val="0"/>
                <w:numId w:val="123"/>
              </w:numPr>
              <w:cnfStyle w:val="000000100000" w:firstRow="0" w:lastRow="0" w:firstColumn="0" w:lastColumn="0" w:oddVBand="0" w:evenVBand="0" w:oddHBand="1" w:evenHBand="0" w:firstRowFirstColumn="0" w:firstRowLastColumn="0" w:lastRowFirstColumn="0" w:lastRowLastColumn="0"/>
              <w:rPr>
                <w:szCs w:val="22"/>
              </w:rPr>
            </w:pPr>
            <w:r>
              <w:rPr>
                <w:szCs w:val="22"/>
              </w:rPr>
              <w:t>In terms of parent and family engagement, ELSA fills a gap in extending children’s learning into the home to support families to engage with STEM concepts.</w:t>
            </w:r>
          </w:p>
        </w:tc>
      </w:tr>
      <w:tr w:rsidR="00762B5A" w14:paraId="6D932068" w14:textId="77777777" w:rsidTr="007E2D07">
        <w:trPr>
          <w:trHeight w:val="2022"/>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FDAE9DA" w14:textId="77777777" w:rsidR="00762B5A" w:rsidRDefault="00762B5A" w:rsidP="007E2D07">
            <w:pPr>
              <w:rPr>
                <w:szCs w:val="22"/>
              </w:rPr>
            </w:pPr>
            <w:r>
              <w:rPr>
                <w:szCs w:val="22"/>
              </w:rPr>
              <w:t>Evaluation limitations (external evaluation)</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C4A0013" w14:textId="77777777" w:rsidR="00762B5A" w:rsidRDefault="00762B5A" w:rsidP="00164DDE">
            <w:pPr>
              <w:pStyle w:val="ListParagraph"/>
              <w:numPr>
                <w:ilvl w:val="0"/>
                <w:numId w:val="123"/>
              </w:numPr>
              <w:cnfStyle w:val="000000000000" w:firstRow="0" w:lastRow="0" w:firstColumn="0" w:lastColumn="0" w:oddVBand="0" w:evenVBand="0" w:oddHBand="0" w:evenHBand="0" w:firstRowFirstColumn="0" w:firstRowLastColumn="0" w:lastRowFirstColumn="0" w:lastRowLastColumn="0"/>
              <w:rPr>
                <w:rFonts w:cs="Arial"/>
                <w:szCs w:val="22"/>
              </w:rPr>
            </w:pPr>
            <w:r>
              <w:rPr>
                <w:szCs w:val="22"/>
              </w:rPr>
              <w:t>ELSA focuses on developing STEM skills, but no valid measure currently exists of STEM skills. As a result, it was difficult for the evaluator to measure these skills</w:t>
            </w:r>
          </w:p>
          <w:p w14:paraId="1DF1B55E" w14:textId="77777777" w:rsidR="00762B5A" w:rsidRDefault="00762B5A" w:rsidP="00164DDE">
            <w:pPr>
              <w:pStyle w:val="ListParagraph"/>
              <w:numPr>
                <w:ilvl w:val="0"/>
                <w:numId w:val="123"/>
              </w:numPr>
              <w:cnfStyle w:val="000000000000" w:firstRow="0" w:lastRow="0" w:firstColumn="0" w:lastColumn="0" w:oddVBand="0" w:evenVBand="0" w:oddHBand="0" w:evenHBand="0" w:firstRowFirstColumn="0" w:firstRowLastColumn="0" w:lastRowFirstColumn="0" w:lastRowLastColumn="0"/>
              <w:rPr>
                <w:szCs w:val="22"/>
              </w:rPr>
            </w:pPr>
            <w:r>
              <w:rPr>
                <w:szCs w:val="22"/>
              </w:rPr>
              <w:t>There was a low response rate from pre-schools participating</w:t>
            </w:r>
          </w:p>
          <w:p w14:paraId="5CC7902B" w14:textId="77777777" w:rsidR="00762B5A" w:rsidRDefault="00762B5A" w:rsidP="00164DDE">
            <w:pPr>
              <w:pStyle w:val="ListParagraph"/>
              <w:numPr>
                <w:ilvl w:val="0"/>
                <w:numId w:val="123"/>
              </w:numPr>
              <w:cnfStyle w:val="000000000000" w:firstRow="0" w:lastRow="0" w:firstColumn="0" w:lastColumn="0" w:oddVBand="0" w:evenVBand="0" w:oddHBand="0" w:evenHBand="0" w:firstRowFirstColumn="0" w:firstRowLastColumn="0" w:lastRowFirstColumn="0" w:lastRowLastColumn="0"/>
              <w:rPr>
                <w:szCs w:val="22"/>
              </w:rPr>
            </w:pPr>
            <w:r>
              <w:rPr>
                <w:szCs w:val="22"/>
              </w:rPr>
              <w:t>Both the evaluator and provider conducted evaluations leading to some overlap and data collection activities overwhelming centres</w:t>
            </w:r>
          </w:p>
          <w:p w14:paraId="6EF2A439" w14:textId="77777777" w:rsidR="00762B5A" w:rsidRDefault="00762B5A" w:rsidP="00164DDE">
            <w:pPr>
              <w:pStyle w:val="ListParagraph"/>
              <w:numPr>
                <w:ilvl w:val="0"/>
                <w:numId w:val="123"/>
              </w:numPr>
              <w:cnfStyle w:val="000000000000" w:firstRow="0" w:lastRow="0" w:firstColumn="0" w:lastColumn="0" w:oddVBand="0" w:evenVBand="0" w:oddHBand="0" w:evenHBand="0" w:firstRowFirstColumn="0" w:firstRowLastColumn="0" w:lastRowFirstColumn="0" w:lastRowLastColumn="0"/>
              <w:rPr>
                <w:szCs w:val="22"/>
              </w:rPr>
            </w:pPr>
            <w:r>
              <w:rPr>
                <w:szCs w:val="22"/>
              </w:rPr>
              <w:t>2019 evaluation is still in progress</w:t>
            </w:r>
          </w:p>
        </w:tc>
      </w:tr>
      <w:tr w:rsidR="00762B5A" w14:paraId="100185D5" w14:textId="77777777" w:rsidTr="007E2D07">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04F1FCE" w14:textId="77777777" w:rsidR="00762B5A" w:rsidRDefault="00762B5A" w:rsidP="007E2D07">
            <w:pPr>
              <w:rPr>
                <w:szCs w:val="22"/>
              </w:rPr>
            </w:pPr>
            <w:r>
              <w:rPr>
                <w:szCs w:val="22"/>
              </w:rPr>
              <w:t xml:space="preserve">Challenges faced by provider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683FC93" w14:textId="77777777" w:rsidR="00762B5A" w:rsidRDefault="00762B5A" w:rsidP="00164DDE">
            <w:pPr>
              <w:pStyle w:val="ListParagraph"/>
              <w:numPr>
                <w:ilvl w:val="0"/>
                <w:numId w:val="124"/>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Managing government compliance requirements around IT security  </w:t>
            </w:r>
          </w:p>
          <w:p w14:paraId="007D6BF9" w14:textId="77777777" w:rsidR="00762B5A" w:rsidRDefault="00762B5A" w:rsidP="00164DDE">
            <w:pPr>
              <w:pStyle w:val="ListParagraph"/>
              <w:numPr>
                <w:ilvl w:val="0"/>
                <w:numId w:val="124"/>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The provider expressed concerns about the expertise of the evaluator in early childhood </w:t>
            </w:r>
          </w:p>
          <w:p w14:paraId="66A3D764" w14:textId="77777777" w:rsidR="00762B5A" w:rsidRDefault="00762B5A" w:rsidP="00164DDE">
            <w:pPr>
              <w:pStyle w:val="ListParagraph"/>
              <w:numPr>
                <w:ilvl w:val="0"/>
                <w:numId w:val="124"/>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Lack of IT infrastructure, for example, there are a range of devices in preschools and cost of tablets; app won’t work on some older iPads; issue of constant upgrades; limited availability of devices </w:t>
            </w:r>
          </w:p>
          <w:p w14:paraId="368B106A" w14:textId="77777777" w:rsidR="00762B5A" w:rsidRDefault="00762B5A" w:rsidP="00164DDE">
            <w:pPr>
              <w:pStyle w:val="ListParagraph"/>
              <w:numPr>
                <w:ilvl w:val="0"/>
                <w:numId w:val="124"/>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Communicating with, and high turnover of, rural and remote educators </w:t>
            </w:r>
          </w:p>
        </w:tc>
      </w:tr>
      <w:tr w:rsidR="00762B5A" w14:paraId="20068142" w14:textId="77777777" w:rsidTr="007E2D07">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577EF42" w14:textId="77777777" w:rsidR="00762B5A" w:rsidRDefault="00762B5A" w:rsidP="007E2D07">
            <w:pPr>
              <w:rPr>
                <w:szCs w:val="22"/>
              </w:rPr>
            </w:pPr>
            <w:r>
              <w:rPr>
                <w:szCs w:val="22"/>
              </w:rPr>
              <w:t xml:space="preserve">Future plans and goals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5227745" w14:textId="77777777" w:rsidR="00762B5A" w:rsidRDefault="00762B5A" w:rsidP="00164DD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Cs w:val="22"/>
              </w:rPr>
            </w:pPr>
            <w:r>
              <w:rPr>
                <w:szCs w:val="22"/>
              </w:rPr>
              <w:t>Providers want to expand and upscale their initiative immediately. They believe they will not need to rely on Australian Government funding going forward because of interest in their initiative (from both national and international organisations/governments)</w:t>
            </w:r>
          </w:p>
          <w:p w14:paraId="16463FB3" w14:textId="77777777" w:rsidR="00762B5A" w:rsidRDefault="00762B5A" w:rsidP="00164DD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szCs w:val="22"/>
              </w:rPr>
            </w:pPr>
            <w:r>
              <w:rPr>
                <w:szCs w:val="22"/>
              </w:rPr>
              <w:t>A deed of variation to contract was signed for an extension of the pilot in 2019, which includes undertaking more data analytics and developing learning progressions</w:t>
            </w:r>
          </w:p>
        </w:tc>
      </w:tr>
      <w:tr w:rsidR="00762B5A" w14:paraId="090A4603" w14:textId="77777777" w:rsidTr="007E2D0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80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499828A" w14:textId="77777777" w:rsidR="00762B5A" w:rsidRDefault="00762B5A" w:rsidP="007E2D07">
            <w:pPr>
              <w:rPr>
                <w:szCs w:val="22"/>
              </w:rPr>
            </w:pPr>
            <w:r>
              <w:rPr>
                <w:szCs w:val="22"/>
              </w:rPr>
              <w:t xml:space="preserve">Sources </w:t>
            </w:r>
          </w:p>
        </w:tc>
        <w:tc>
          <w:tcPr>
            <w:tcW w:w="6341" w:type="dxa"/>
            <w:gridSpan w:val="2"/>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031BF81" w14:textId="77777777" w:rsidR="00762B5A" w:rsidRDefault="00762B5A" w:rsidP="00164DD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ACER. (22 August 2018). </w:t>
            </w:r>
            <w:r>
              <w:rPr>
                <w:i/>
                <w:iCs/>
                <w:szCs w:val="22"/>
              </w:rPr>
              <w:t>Evaluation of the Early Learning STEM Australia Pilot: 2018 Final Report</w:t>
            </w:r>
          </w:p>
          <w:p w14:paraId="0F8C6366" w14:textId="77777777" w:rsidR="00762B5A" w:rsidRDefault="00762B5A" w:rsidP="00164DD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University of Canberra. (4 June 2019). </w:t>
            </w:r>
            <w:r>
              <w:rPr>
                <w:i/>
                <w:iCs/>
                <w:szCs w:val="22"/>
              </w:rPr>
              <w:t>Early Learning STEM Australia Pilot Final Report 2018</w:t>
            </w:r>
          </w:p>
          <w:p w14:paraId="17CE07FD" w14:textId="77777777" w:rsidR="00762B5A" w:rsidRDefault="00762B5A" w:rsidP="00164DD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rPr>
                <w:szCs w:val="22"/>
              </w:rPr>
            </w:pPr>
            <w:r>
              <w:rPr>
                <w:szCs w:val="22"/>
              </w:rPr>
              <w:t>Interview with provider</w:t>
            </w:r>
          </w:p>
          <w:p w14:paraId="56154523" w14:textId="77777777" w:rsidR="00762B5A" w:rsidRDefault="00762B5A" w:rsidP="00164DDE">
            <w:pPr>
              <w:pStyle w:val="ListParagraph"/>
              <w:numPr>
                <w:ilvl w:val="0"/>
                <w:numId w:val="121"/>
              </w:numPr>
              <w:cnfStyle w:val="000000100000" w:firstRow="0" w:lastRow="0" w:firstColumn="0" w:lastColumn="0" w:oddVBand="0" w:evenVBand="0" w:oddHBand="1" w:evenHBand="0" w:firstRowFirstColumn="0" w:firstRowLastColumn="0" w:lastRowFirstColumn="0" w:lastRowLastColumn="0"/>
              <w:rPr>
                <w:szCs w:val="22"/>
              </w:rPr>
            </w:pPr>
            <w:r>
              <w:rPr>
                <w:szCs w:val="22"/>
              </w:rPr>
              <w:t xml:space="preserve">Interview with evaluator </w:t>
            </w:r>
          </w:p>
        </w:tc>
      </w:tr>
    </w:tbl>
    <w:p w14:paraId="6A2C952A" w14:textId="77777777" w:rsidR="00762B5A" w:rsidRDefault="00762B5A" w:rsidP="00762B5A">
      <w:pPr>
        <w:pStyle w:val="Heading1"/>
        <w:numPr>
          <w:ilvl w:val="0"/>
          <w:numId w:val="0"/>
        </w:numPr>
        <w:spacing w:before="0" w:after="120" w:line="360" w:lineRule="auto"/>
        <w:rPr>
          <w:rFonts w:asciiTheme="minorHAnsi" w:hAnsiTheme="minorHAnsi" w:cs="Arial"/>
          <w:b/>
          <w:bCs/>
          <w:sz w:val="36"/>
          <w:szCs w:val="36"/>
        </w:rPr>
      </w:pPr>
      <w:r>
        <w:rPr>
          <w:sz w:val="15"/>
          <w:szCs w:val="15"/>
        </w:rPr>
        <w:br w:type="page"/>
      </w:r>
      <w:r>
        <w:rPr>
          <w:rFonts w:asciiTheme="minorHAnsi" w:hAnsiTheme="minorHAnsi"/>
          <w:sz w:val="36"/>
          <w:szCs w:val="36"/>
        </w:rPr>
        <w:t xml:space="preserve"> </w:t>
      </w:r>
      <w:bookmarkStart w:id="176" w:name="_Toc25162092"/>
      <w:r>
        <w:rPr>
          <w:rFonts w:asciiTheme="minorHAnsi" w:hAnsiTheme="minorHAnsi" w:cs="Arial"/>
          <w:b/>
          <w:bCs/>
          <w:sz w:val="36"/>
          <w:szCs w:val="36"/>
        </w:rPr>
        <w:t>Let’s Count</w:t>
      </w:r>
      <w:bookmarkEnd w:id="176"/>
    </w:p>
    <w:tbl>
      <w:tblPr>
        <w:tblStyle w:val="BoxGrid-Coloured"/>
        <w:tblW w:w="0" w:type="auto"/>
        <w:tblInd w:w="-95" w:type="dxa"/>
        <w:tblLook w:val="04A0" w:firstRow="1" w:lastRow="0" w:firstColumn="1" w:lastColumn="0" w:noHBand="0" w:noVBand="1"/>
      </w:tblPr>
      <w:tblGrid>
        <w:gridCol w:w="2811"/>
        <w:gridCol w:w="6335"/>
      </w:tblGrid>
      <w:tr w:rsidR="00762B5A" w14:paraId="1702EC0F"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B634F50" w14:textId="77777777" w:rsidR="00762B5A" w:rsidRPr="00125FCF" w:rsidRDefault="00762B5A" w:rsidP="007E2D07">
            <w:pPr>
              <w:rPr>
                <w:b/>
                <w:bCs/>
                <w:szCs w:val="22"/>
              </w:rPr>
            </w:pPr>
            <w:r w:rsidRPr="00125FCF">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BE68ED9" w14:textId="77777777" w:rsidR="00762B5A" w:rsidRDefault="00762B5A" w:rsidP="007E2D07">
            <w:pPr>
              <w:rPr>
                <w:szCs w:val="22"/>
              </w:rPr>
            </w:pPr>
            <w:r>
              <w:rPr>
                <w:szCs w:val="22"/>
              </w:rPr>
              <w:t xml:space="preserve">The Smith Family  </w:t>
            </w:r>
          </w:p>
        </w:tc>
      </w:tr>
      <w:tr w:rsidR="00762B5A" w14:paraId="2B6E83C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626AB07" w14:textId="77777777" w:rsidR="00762B5A" w:rsidRPr="00125FCF" w:rsidRDefault="00762B5A" w:rsidP="007E2D07">
            <w:pPr>
              <w:rPr>
                <w:b/>
                <w:bCs/>
                <w:szCs w:val="22"/>
              </w:rPr>
            </w:pPr>
            <w:r w:rsidRPr="00125FCF">
              <w:rPr>
                <w:b/>
                <w:bCs/>
                <w:szCs w:val="22"/>
              </w:rPr>
              <w:t xml:space="preserve">Initiative description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47C127E" w14:textId="77777777" w:rsidR="00762B5A" w:rsidRDefault="00762B5A" w:rsidP="007E2D07">
            <w:pPr>
              <w:rPr>
                <w:szCs w:val="22"/>
              </w:rPr>
            </w:pPr>
            <w:r>
              <w:rPr>
                <w:bCs/>
                <w:iCs/>
                <w:szCs w:val="22"/>
              </w:rPr>
              <w:t>Let’s Count</w:t>
            </w:r>
            <w:r>
              <w:rPr>
                <w:bCs/>
                <w:szCs w:val="22"/>
              </w:rPr>
              <w:t xml:space="preserve"> is </w:t>
            </w:r>
            <w:r>
              <w:rPr>
                <w:szCs w:val="22"/>
              </w:rPr>
              <w:t>an early mathematics program for children aged three to five, which is aligned to the Early Years Learning Framework (EYLF). The program supports educators and parents to work collaboratively to develop the mathematics skills of the children in their care by noticing, exploring, and talking about mathematics using everyday activities. It works on the premise that if educators and parents have a positive opinion of mathematics then this will more likely result in children also having a favourable mathematical experience. In particular, the program aims to support children from disadvantaged backgrounds develop their mathematics knowledge and skills.</w:t>
            </w:r>
          </w:p>
          <w:p w14:paraId="56DE5BA4" w14:textId="77777777" w:rsidR="00762B5A" w:rsidRDefault="00762B5A" w:rsidP="007E2D07">
            <w:pPr>
              <w:rPr>
                <w:rFonts w:eastAsia="Times New Roman"/>
                <w:szCs w:val="22"/>
              </w:rPr>
            </w:pPr>
            <w:r>
              <w:rPr>
                <w:szCs w:val="22"/>
              </w:rPr>
              <w:t xml:space="preserve">The professional learning associated with </w:t>
            </w:r>
            <w:r>
              <w:rPr>
                <w:iCs/>
                <w:szCs w:val="22"/>
              </w:rPr>
              <w:t>Let’s Count</w:t>
            </w:r>
            <w:r>
              <w:rPr>
                <w:i/>
                <w:iCs/>
                <w:szCs w:val="22"/>
              </w:rPr>
              <w:t xml:space="preserve"> </w:t>
            </w:r>
            <w:r>
              <w:rPr>
                <w:szCs w:val="22"/>
              </w:rPr>
              <w:t xml:space="preserve">is offered for educators through face-to-face workshops. In 2018, The Smith Family developed and piloted Let’s Count Online as a complementary professional learning approach. </w:t>
            </w:r>
          </w:p>
        </w:tc>
      </w:tr>
      <w:tr w:rsidR="00762B5A" w14:paraId="53F0F58F"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9C199DE" w14:textId="77777777" w:rsidR="00762B5A" w:rsidRPr="00125FCF" w:rsidRDefault="00762B5A" w:rsidP="007E2D07">
            <w:pPr>
              <w:rPr>
                <w:b/>
                <w:bCs/>
                <w:szCs w:val="22"/>
              </w:rPr>
            </w:pPr>
            <w:r w:rsidRPr="00125FCF">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338C52C" w14:textId="77777777" w:rsidR="00762B5A" w:rsidRDefault="00762B5A" w:rsidP="007E2D07">
            <w:pPr>
              <w:rPr>
                <w:szCs w:val="22"/>
              </w:rPr>
            </w:pPr>
            <w:r>
              <w:rPr>
                <w:szCs w:val="22"/>
              </w:rPr>
              <w:t xml:space="preserve">Early childhood educators; parents; families </w:t>
            </w:r>
          </w:p>
        </w:tc>
      </w:tr>
      <w:tr w:rsidR="00762B5A" w14:paraId="343CADD5" w14:textId="77777777" w:rsidTr="007E2D07">
        <w:trPr>
          <w:trHeight w:val="23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E096137" w14:textId="77777777" w:rsidR="00762B5A" w:rsidRPr="00125FCF" w:rsidRDefault="00762B5A" w:rsidP="007E2D07">
            <w:pPr>
              <w:rPr>
                <w:b/>
                <w:bCs/>
                <w:szCs w:val="22"/>
              </w:rPr>
            </w:pPr>
            <w:r w:rsidRPr="00125FCF">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28E354E5" w14:textId="77777777" w:rsidR="00762B5A" w:rsidRDefault="00762B5A" w:rsidP="007E2D07">
            <w:pPr>
              <w:rPr>
                <w:szCs w:val="22"/>
              </w:rPr>
            </w:pPr>
            <w:r>
              <w:rPr>
                <w:szCs w:val="22"/>
              </w:rPr>
              <w:t xml:space="preserve">NISA funding is $4,000,000 (excluding GST) for the period of 2016-2020. </w:t>
            </w:r>
          </w:p>
        </w:tc>
      </w:tr>
      <w:tr w:rsidR="00762B5A" w14:paraId="6B3DF65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6E599A6" w14:textId="77777777" w:rsidR="00762B5A" w:rsidRPr="00125FCF" w:rsidRDefault="00762B5A" w:rsidP="007E2D07">
            <w:pPr>
              <w:rPr>
                <w:b/>
                <w:bCs/>
                <w:szCs w:val="22"/>
              </w:rPr>
            </w:pPr>
            <w:r w:rsidRPr="00125FCF">
              <w:rPr>
                <w:b/>
                <w:bCs/>
                <w:szCs w:val="22"/>
              </w:rPr>
              <w:t>Evaluation</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14443E9" w14:textId="77777777" w:rsidR="00762B5A" w:rsidRDefault="00762B5A" w:rsidP="00164DDE">
            <w:pPr>
              <w:pStyle w:val="ListParagraph"/>
              <w:numPr>
                <w:ilvl w:val="0"/>
                <w:numId w:val="142"/>
              </w:numPr>
              <w:ind w:left="360"/>
              <w:rPr>
                <w:szCs w:val="22"/>
              </w:rPr>
            </w:pPr>
            <w:r>
              <w:rPr>
                <w:szCs w:val="22"/>
              </w:rPr>
              <w:t xml:space="preserve">Beyond </w:t>
            </w:r>
            <w:proofErr w:type="spellStart"/>
            <w:r>
              <w:rPr>
                <w:szCs w:val="22"/>
              </w:rPr>
              <w:t>dandolo’s</w:t>
            </w:r>
            <w:proofErr w:type="spellEnd"/>
            <w:r>
              <w:rPr>
                <w:szCs w:val="22"/>
              </w:rPr>
              <w:t xml:space="preserve"> evaluation, an external evaluation of Let’s Count Online was conducted by the Smith Family by Monash University. The final report was published in June 2019. This evaluation relates to the period of NISA funding. </w:t>
            </w:r>
          </w:p>
          <w:p w14:paraId="32EDE383" w14:textId="77777777" w:rsidR="00762B5A" w:rsidRDefault="00762B5A" w:rsidP="00164DDE">
            <w:pPr>
              <w:pStyle w:val="ListParagraph"/>
              <w:numPr>
                <w:ilvl w:val="0"/>
                <w:numId w:val="142"/>
              </w:numPr>
              <w:ind w:left="360"/>
              <w:rPr>
                <w:szCs w:val="22"/>
              </w:rPr>
            </w:pPr>
            <w:r>
              <w:rPr>
                <w:szCs w:val="22"/>
              </w:rPr>
              <w:t>An external longitudinal evaluation of Let’s Count was conducted by Professor Bob Perry and Associate Professor Ann Gervasoni before the NISA funding period. The final report was published in 2015 by Charles Sturt University.</w:t>
            </w:r>
          </w:p>
        </w:tc>
      </w:tr>
      <w:tr w:rsidR="00762B5A" w14:paraId="172D2073"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31FBC69" w14:textId="77777777" w:rsidR="00762B5A" w:rsidRPr="00125FCF" w:rsidRDefault="00762B5A" w:rsidP="007E2D07">
            <w:pPr>
              <w:rPr>
                <w:b/>
                <w:bCs/>
                <w:szCs w:val="22"/>
              </w:rPr>
            </w:pPr>
            <w:r w:rsidRPr="00125FCF">
              <w:rPr>
                <w:b/>
                <w:bCs/>
                <w:szCs w:val="22"/>
              </w:rPr>
              <w:t xml:space="preserve">Evaluation purpose (external evaluation by Monash University)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38BD9BE" w14:textId="77777777" w:rsidR="00762B5A" w:rsidRDefault="00762B5A" w:rsidP="007E2D07">
            <w:pPr>
              <w:rPr>
                <w:szCs w:val="22"/>
              </w:rPr>
            </w:pPr>
            <w:r>
              <w:rPr>
                <w:szCs w:val="22"/>
              </w:rPr>
              <w:t xml:space="preserve">The purpose of the Let’s Count Online evaluation was to determine the effectiveness of the Let’s Count Online platform for professional learning. The evaluation also aimed to gain insights that could be used to improve the program. </w:t>
            </w:r>
          </w:p>
        </w:tc>
      </w:tr>
      <w:tr w:rsidR="00762B5A" w14:paraId="06337DE0"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94287C3" w14:textId="77777777" w:rsidR="00762B5A" w:rsidRPr="00125FCF" w:rsidRDefault="00762B5A" w:rsidP="007E2D07">
            <w:pPr>
              <w:rPr>
                <w:b/>
                <w:bCs/>
                <w:szCs w:val="22"/>
              </w:rPr>
            </w:pPr>
            <w:r w:rsidRPr="00125FCF">
              <w:rPr>
                <w:b/>
                <w:bCs/>
                <w:szCs w:val="22"/>
              </w:rPr>
              <w:t>Evaluation framework / methodology (external evaluation by Monash University)</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85F0F38" w14:textId="77777777" w:rsidR="00762B5A" w:rsidRDefault="00762B5A" w:rsidP="007E2D07">
            <w:pPr>
              <w:rPr>
                <w:szCs w:val="22"/>
                <w:u w:val="single"/>
                <w:lang w:eastAsia="en-GB"/>
              </w:rPr>
            </w:pPr>
            <w:r>
              <w:rPr>
                <w:szCs w:val="22"/>
                <w:u w:val="single"/>
                <w:lang w:eastAsia="en-GB"/>
              </w:rPr>
              <w:t>Framework</w:t>
            </w:r>
          </w:p>
          <w:p w14:paraId="01D7A6D9" w14:textId="77777777" w:rsidR="00762B5A" w:rsidRDefault="00762B5A" w:rsidP="007E2D07">
            <w:pPr>
              <w:rPr>
                <w:rFonts w:cs="Times New Roman"/>
                <w:szCs w:val="22"/>
                <w:lang w:eastAsia="en-GB"/>
              </w:rPr>
            </w:pPr>
            <w:r>
              <w:rPr>
                <w:szCs w:val="22"/>
                <w:lang w:eastAsia="en-GB"/>
              </w:rPr>
              <w:t xml:space="preserve">1. Do educators who complete the Let’s Count Online course have enhanced dispositions, skills and confidence towards: </w:t>
            </w:r>
          </w:p>
          <w:p w14:paraId="49287B98" w14:textId="77777777" w:rsidR="00762B5A" w:rsidRDefault="00762B5A" w:rsidP="00164DDE">
            <w:pPr>
              <w:pStyle w:val="ListParagraph"/>
              <w:numPr>
                <w:ilvl w:val="0"/>
                <w:numId w:val="127"/>
              </w:numPr>
              <w:rPr>
                <w:rFonts w:cs="Times New Roman"/>
                <w:szCs w:val="22"/>
                <w:lang w:eastAsia="en-GB"/>
              </w:rPr>
            </w:pPr>
            <w:r>
              <w:rPr>
                <w:szCs w:val="22"/>
                <w:lang w:eastAsia="en-GB"/>
              </w:rPr>
              <w:t xml:space="preserve">Engaging and supporting families with mathematical learning and the concepts and principles of the Let’s Count program? </w:t>
            </w:r>
          </w:p>
          <w:p w14:paraId="311A48DE" w14:textId="77777777" w:rsidR="00762B5A" w:rsidRDefault="00762B5A" w:rsidP="00164DDE">
            <w:pPr>
              <w:pStyle w:val="ListParagraph"/>
              <w:numPr>
                <w:ilvl w:val="0"/>
                <w:numId w:val="127"/>
              </w:numPr>
              <w:rPr>
                <w:rFonts w:cs="Times New Roman"/>
                <w:szCs w:val="22"/>
                <w:lang w:eastAsia="en-GB"/>
              </w:rPr>
            </w:pPr>
            <w:r>
              <w:rPr>
                <w:szCs w:val="22"/>
                <w:lang w:eastAsia="en-GB"/>
              </w:rPr>
              <w:t xml:space="preserve">Developing a continuity of mathematical learning between the early childhood setting and homes? </w:t>
            </w:r>
          </w:p>
          <w:p w14:paraId="586A448A" w14:textId="77777777" w:rsidR="00762B5A" w:rsidRDefault="00762B5A" w:rsidP="00164DDE">
            <w:pPr>
              <w:pStyle w:val="ListParagraph"/>
              <w:numPr>
                <w:ilvl w:val="0"/>
                <w:numId w:val="127"/>
              </w:numPr>
              <w:rPr>
                <w:rFonts w:cs="Times New Roman"/>
                <w:szCs w:val="22"/>
                <w:lang w:eastAsia="en-GB"/>
              </w:rPr>
            </w:pPr>
            <w:r>
              <w:rPr>
                <w:szCs w:val="22"/>
                <w:lang w:eastAsia="en-GB"/>
              </w:rPr>
              <w:t xml:space="preserve">Engaging children with mathematical learning and mathematical concepts? </w:t>
            </w:r>
          </w:p>
          <w:p w14:paraId="7FD43E71" w14:textId="77777777" w:rsidR="00762B5A" w:rsidRDefault="00762B5A" w:rsidP="00164DDE">
            <w:pPr>
              <w:pStyle w:val="ListParagraph"/>
              <w:numPr>
                <w:ilvl w:val="0"/>
                <w:numId w:val="127"/>
              </w:numPr>
              <w:rPr>
                <w:rFonts w:cs="Times New Roman"/>
                <w:szCs w:val="22"/>
                <w:lang w:eastAsia="en-GB"/>
              </w:rPr>
            </w:pPr>
            <w:r>
              <w:rPr>
                <w:szCs w:val="22"/>
                <w:lang w:eastAsia="en-GB"/>
              </w:rPr>
              <w:t xml:space="preserve">Confidently and professionally approaching mathematical pedagogical practice? </w:t>
            </w:r>
          </w:p>
          <w:p w14:paraId="0C6C6CDD" w14:textId="77777777" w:rsidR="00762B5A" w:rsidRDefault="00762B5A" w:rsidP="00164DDE">
            <w:pPr>
              <w:pStyle w:val="ListParagraph"/>
              <w:numPr>
                <w:ilvl w:val="0"/>
                <w:numId w:val="127"/>
              </w:numPr>
              <w:rPr>
                <w:rFonts w:cs="Times New Roman"/>
                <w:szCs w:val="22"/>
                <w:lang w:eastAsia="en-GB"/>
              </w:rPr>
            </w:pPr>
            <w:r>
              <w:rPr>
                <w:szCs w:val="22"/>
                <w:lang w:eastAsia="en-GB"/>
              </w:rPr>
              <w:t xml:space="preserve">Recognising the importance of mathematical language? </w:t>
            </w:r>
          </w:p>
          <w:p w14:paraId="36991ED8" w14:textId="77777777" w:rsidR="00762B5A" w:rsidRDefault="00762B5A" w:rsidP="007E2D07">
            <w:pPr>
              <w:rPr>
                <w:szCs w:val="22"/>
                <w:lang w:eastAsia="en-GB"/>
              </w:rPr>
            </w:pPr>
            <w:r>
              <w:rPr>
                <w:lang w:eastAsia="en-GB"/>
              </w:rPr>
              <w:t>2.</w:t>
            </w:r>
            <w:r>
              <w:rPr>
                <w:szCs w:val="22"/>
                <w:lang w:eastAsia="en-GB"/>
              </w:rPr>
              <w:t xml:space="preserve"> Do the educators who participate in Let’s Count Online develop similar dispositions, skills, and levels of confidence from those who participated in the face to face model, as evidenced by the Let’s Count Longitudinal Evaluation. </w:t>
            </w:r>
          </w:p>
          <w:p w14:paraId="2B412607" w14:textId="77777777" w:rsidR="00762B5A" w:rsidRDefault="00762B5A" w:rsidP="007E2D07">
            <w:pPr>
              <w:rPr>
                <w:szCs w:val="22"/>
                <w:lang w:eastAsia="en-GB"/>
              </w:rPr>
            </w:pPr>
            <w:r>
              <w:rPr>
                <w:szCs w:val="22"/>
                <w:lang w:eastAsia="en-GB"/>
              </w:rPr>
              <w:t>3. How can Let’s Count Online be improved to more effectively deliver the Let’s Count professional learning program using an e-learning platform?</w:t>
            </w:r>
          </w:p>
          <w:p w14:paraId="7D5CA10C" w14:textId="77777777" w:rsidR="00762B5A" w:rsidRDefault="00762B5A" w:rsidP="007E2D07">
            <w:pPr>
              <w:rPr>
                <w:szCs w:val="22"/>
                <w:u w:val="single"/>
              </w:rPr>
            </w:pPr>
            <w:r>
              <w:rPr>
                <w:szCs w:val="22"/>
                <w:u w:val="single"/>
              </w:rPr>
              <w:t>Methodology</w:t>
            </w:r>
          </w:p>
          <w:p w14:paraId="659B46A3" w14:textId="77777777" w:rsidR="00762B5A" w:rsidRDefault="00762B5A" w:rsidP="007E2D07">
            <w:pPr>
              <w:rPr>
                <w:szCs w:val="22"/>
              </w:rPr>
            </w:pPr>
            <w:r>
              <w:rPr>
                <w:szCs w:val="22"/>
              </w:rPr>
              <w:t xml:space="preserve">The evaluation adopted a mixed-methods approach using qualitative and quantitative methods. Data was collected in the following ways: </w:t>
            </w:r>
          </w:p>
          <w:p w14:paraId="10F1D008" w14:textId="77777777" w:rsidR="00762B5A" w:rsidRDefault="00762B5A" w:rsidP="00164DDE">
            <w:pPr>
              <w:pStyle w:val="ListParagraph"/>
              <w:numPr>
                <w:ilvl w:val="0"/>
                <w:numId w:val="49"/>
              </w:numPr>
              <w:rPr>
                <w:szCs w:val="22"/>
              </w:rPr>
            </w:pPr>
            <w:r>
              <w:rPr>
                <w:szCs w:val="22"/>
              </w:rPr>
              <w:t>Online surveys – one prior to commencing the program and one two weeks after completion</w:t>
            </w:r>
          </w:p>
          <w:p w14:paraId="27C67D34" w14:textId="77777777" w:rsidR="00762B5A" w:rsidRDefault="00762B5A" w:rsidP="00164DDE">
            <w:pPr>
              <w:pStyle w:val="ListParagraph"/>
              <w:numPr>
                <w:ilvl w:val="0"/>
                <w:numId w:val="49"/>
              </w:numPr>
              <w:rPr>
                <w:szCs w:val="22"/>
              </w:rPr>
            </w:pPr>
            <w:r>
              <w:rPr>
                <w:szCs w:val="22"/>
              </w:rPr>
              <w:t>Phone interviews - twice with seven case study participants</w:t>
            </w:r>
          </w:p>
          <w:p w14:paraId="04BDF382" w14:textId="77777777" w:rsidR="00762B5A" w:rsidRDefault="00762B5A" w:rsidP="007E2D07">
            <w:pPr>
              <w:rPr>
                <w:szCs w:val="22"/>
              </w:rPr>
            </w:pPr>
            <w:proofErr w:type="spellStart"/>
            <w:r>
              <w:t>dandolo</w:t>
            </w:r>
            <w:proofErr w:type="spellEnd"/>
            <w:r>
              <w:t xml:space="preserve"> also completed</w:t>
            </w:r>
            <w:r>
              <w:rPr>
                <w:szCs w:val="22"/>
              </w:rPr>
              <w:t xml:space="preserve"> interviews and a series of online focus groups with stakeholders, including STEM organisations and representatives from state and territory departments of education. Stakeholders were asked to provide feedback on individual NISA initiatives, including Let’s Count.</w:t>
            </w:r>
          </w:p>
        </w:tc>
      </w:tr>
      <w:tr w:rsidR="00762B5A" w14:paraId="5A3EC8A8" w14:textId="77777777" w:rsidTr="007E2D07">
        <w:trPr>
          <w:trHeight w:val="241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0709DF8" w14:textId="77777777" w:rsidR="00762B5A" w:rsidRPr="00125FCF" w:rsidRDefault="00762B5A" w:rsidP="007E2D07">
            <w:pPr>
              <w:rPr>
                <w:b/>
                <w:bCs/>
                <w:szCs w:val="22"/>
              </w:rPr>
            </w:pPr>
            <w:r w:rsidRPr="00125FCF">
              <w:rPr>
                <w:b/>
                <w:bCs/>
                <w:szCs w:val="22"/>
              </w:rPr>
              <w:t xml:space="preserve">Summary of evaluation conclusions (external evaluation by Monash University and </w:t>
            </w:r>
            <w:proofErr w:type="spellStart"/>
            <w:r w:rsidRPr="00125FCF">
              <w:rPr>
                <w:b/>
                <w:bCs/>
                <w:szCs w:val="22"/>
              </w:rPr>
              <w:t>dandolo</w:t>
            </w:r>
            <w:proofErr w:type="spellEnd"/>
            <w:r w:rsidRPr="00125FCF">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B68F148" w14:textId="77777777" w:rsidR="00762B5A" w:rsidRDefault="00762B5A" w:rsidP="00164DDE">
            <w:pPr>
              <w:pStyle w:val="ListParagraph"/>
              <w:numPr>
                <w:ilvl w:val="0"/>
                <w:numId w:val="145"/>
              </w:numPr>
              <w:rPr>
                <w:szCs w:val="22"/>
              </w:rPr>
            </w:pPr>
            <w:r>
              <w:rPr>
                <w:szCs w:val="22"/>
              </w:rPr>
              <w:t xml:space="preserve">Stakeholders spoke highly of Let’s Count, particularly early childhood stakeholders. They were impressed with the initiative’s research-based approach, evidence-base and alignment with the EYLF.  </w:t>
            </w:r>
          </w:p>
          <w:p w14:paraId="03FD4E39" w14:textId="77777777" w:rsidR="00762B5A" w:rsidRDefault="00762B5A" w:rsidP="00164DDE">
            <w:pPr>
              <w:pStyle w:val="ListParagraph"/>
              <w:numPr>
                <w:ilvl w:val="0"/>
                <w:numId w:val="145"/>
              </w:numPr>
              <w:rPr>
                <w:szCs w:val="22"/>
              </w:rPr>
            </w:pPr>
            <w:r>
              <w:rPr>
                <w:szCs w:val="22"/>
              </w:rPr>
              <w:t xml:space="preserve">Stakeholders also commented on the transparency of the Let’s Count advisory board, which has resulted in greater sector engagement and anecdotally, greater impact. </w:t>
            </w:r>
          </w:p>
          <w:p w14:paraId="27AE917D" w14:textId="77777777" w:rsidR="00762B5A" w:rsidRDefault="00762B5A" w:rsidP="00164DDE">
            <w:pPr>
              <w:pStyle w:val="ListParagraph"/>
              <w:numPr>
                <w:ilvl w:val="0"/>
                <w:numId w:val="145"/>
              </w:numPr>
              <w:rPr>
                <w:szCs w:val="22"/>
              </w:rPr>
            </w:pPr>
            <w:r>
              <w:rPr>
                <w:lang w:val="en-US"/>
              </w:rPr>
              <w:t>Let’s Count also aims to fill a gap in supporting parents to develop the mathematics skills of the children in their care by noticing, exploring, and talking about mathematics using everyday activities.</w:t>
            </w:r>
          </w:p>
          <w:p w14:paraId="6F102566" w14:textId="77777777" w:rsidR="00762B5A" w:rsidRDefault="00762B5A" w:rsidP="00164DDE">
            <w:pPr>
              <w:pStyle w:val="ListParagraph"/>
              <w:numPr>
                <w:ilvl w:val="0"/>
                <w:numId w:val="145"/>
              </w:numPr>
              <w:rPr>
                <w:szCs w:val="22"/>
              </w:rPr>
            </w:pPr>
            <w:r>
              <w:rPr>
                <w:szCs w:val="22"/>
              </w:rPr>
              <w:t>Findings based on the Let’s Count Online evaluation suggest that the e-learning platform was successful for delivering professional learning for educators associated with the Let’s Count program</w:t>
            </w:r>
          </w:p>
          <w:p w14:paraId="5977B4B6" w14:textId="77777777" w:rsidR="00762B5A" w:rsidRDefault="00762B5A" w:rsidP="00164DDE">
            <w:pPr>
              <w:pStyle w:val="ListParagraph"/>
              <w:numPr>
                <w:ilvl w:val="0"/>
                <w:numId w:val="145"/>
              </w:numPr>
              <w:rPr>
                <w:szCs w:val="22"/>
              </w:rPr>
            </w:pPr>
            <w:r>
              <w:rPr>
                <w:szCs w:val="22"/>
              </w:rPr>
              <w:t>The participants in the evaluation were very positive about Let’s Count Online, and many appreciated the chance to access the professional learning when opportunities for the face-to-face workshops were not available in their region</w:t>
            </w:r>
          </w:p>
          <w:p w14:paraId="605C914B" w14:textId="77777777" w:rsidR="00762B5A" w:rsidRDefault="00762B5A" w:rsidP="00164DDE">
            <w:pPr>
              <w:pStyle w:val="ListParagraph"/>
              <w:numPr>
                <w:ilvl w:val="0"/>
                <w:numId w:val="145"/>
              </w:numPr>
              <w:rPr>
                <w:bCs/>
                <w:szCs w:val="22"/>
                <w:lang w:val="en-US"/>
              </w:rPr>
            </w:pPr>
            <w:r>
              <w:rPr>
                <w:szCs w:val="22"/>
              </w:rPr>
              <w:t>There were some important differences noted when comparing the Let’s Count Online evaluation findings with those of the Let’s Count Longitudinal Evaluation which explored the impact of the Let’s Count face-to-face course.</w:t>
            </w:r>
          </w:p>
        </w:tc>
      </w:tr>
      <w:tr w:rsidR="00762B5A" w14:paraId="408A902B" w14:textId="77777777" w:rsidTr="007E2D07">
        <w:trPr>
          <w:trHeight w:val="123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5A4A9C7" w14:textId="77777777" w:rsidR="00762B5A" w:rsidRPr="00125FCF" w:rsidRDefault="00762B5A" w:rsidP="007E2D07">
            <w:pPr>
              <w:rPr>
                <w:b/>
                <w:bCs/>
                <w:szCs w:val="22"/>
              </w:rPr>
            </w:pPr>
            <w:r w:rsidRPr="00125FCF">
              <w:rPr>
                <w:b/>
                <w:bCs/>
                <w:szCs w:val="22"/>
              </w:rPr>
              <w:t>Evaluation limitations (external evaluation by Monash University)</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911FB7B" w14:textId="77777777" w:rsidR="00762B5A" w:rsidRDefault="00762B5A" w:rsidP="00164DDE">
            <w:pPr>
              <w:pStyle w:val="ListParagraph"/>
              <w:numPr>
                <w:ilvl w:val="0"/>
                <w:numId w:val="50"/>
              </w:numPr>
              <w:rPr>
                <w:szCs w:val="22"/>
              </w:rPr>
            </w:pPr>
            <w:r>
              <w:rPr>
                <w:szCs w:val="22"/>
              </w:rPr>
              <w:t>The most recent external evaluation that covers the period of the NISA funding evaluates the online component of the Let’s Count program only</w:t>
            </w:r>
          </w:p>
          <w:p w14:paraId="11E95C67" w14:textId="77777777" w:rsidR="00762B5A" w:rsidRDefault="00762B5A" w:rsidP="00164DDE">
            <w:pPr>
              <w:pStyle w:val="ListParagraph"/>
              <w:numPr>
                <w:ilvl w:val="0"/>
                <w:numId w:val="50"/>
              </w:numPr>
              <w:rPr>
                <w:szCs w:val="22"/>
              </w:rPr>
            </w:pPr>
            <w:r>
              <w:rPr>
                <w:szCs w:val="22"/>
              </w:rPr>
              <w:t>The evaluation does not include direct measures of child engagement and achievement</w:t>
            </w:r>
          </w:p>
        </w:tc>
      </w:tr>
      <w:tr w:rsidR="00762B5A" w14:paraId="13554186" w14:textId="77777777" w:rsidTr="007E2D07">
        <w:trPr>
          <w:trHeight w:val="806"/>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EC996AB" w14:textId="77777777" w:rsidR="00762B5A" w:rsidRPr="00125FCF" w:rsidRDefault="00762B5A" w:rsidP="007E2D07">
            <w:pPr>
              <w:rPr>
                <w:b/>
                <w:bCs/>
                <w:szCs w:val="22"/>
              </w:rPr>
            </w:pPr>
            <w:r w:rsidRPr="00125FCF">
              <w:rPr>
                <w:b/>
                <w:bCs/>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6A5D7D1" w14:textId="77777777" w:rsidR="00762B5A" w:rsidRDefault="00762B5A" w:rsidP="007E2D07">
            <w:r>
              <w:rPr>
                <w:szCs w:val="22"/>
              </w:rPr>
              <w:t>Finding a balance between expanding the initiative to reach more people and ensuring that the initiative serves participants from disadvantaged backgrounds.</w:t>
            </w:r>
          </w:p>
        </w:tc>
      </w:tr>
      <w:tr w:rsidR="00762B5A" w14:paraId="72CECF3B"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8BF67ED" w14:textId="77777777" w:rsidR="00762B5A" w:rsidRPr="00125FCF" w:rsidRDefault="00762B5A" w:rsidP="007E2D07">
            <w:pPr>
              <w:rPr>
                <w:b/>
                <w:bCs/>
                <w:szCs w:val="22"/>
              </w:rPr>
            </w:pPr>
            <w:r w:rsidRPr="00125FCF">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202DC6A" w14:textId="77777777" w:rsidR="00762B5A" w:rsidRDefault="00762B5A" w:rsidP="007E2D07">
            <w:pPr>
              <w:rPr>
                <w:szCs w:val="22"/>
              </w:rPr>
            </w:pPr>
            <w:r>
              <w:rPr>
                <w:szCs w:val="22"/>
              </w:rPr>
              <w:t xml:space="preserve">The provider would like to make the program more broadly available in disadvantaged communities and is exploring fundraising to make this possible. They are considering funding from state governments in South Australia and Victoria to embed the program in childcare centres. </w:t>
            </w:r>
          </w:p>
        </w:tc>
      </w:tr>
      <w:tr w:rsidR="00762B5A" w14:paraId="755B503D" w14:textId="77777777" w:rsidTr="007E2D07">
        <w:trPr>
          <w:trHeight w:val="37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2F10D0A" w14:textId="77777777" w:rsidR="00762B5A" w:rsidRPr="00125FCF" w:rsidRDefault="00762B5A" w:rsidP="007E2D07">
            <w:pPr>
              <w:rPr>
                <w:b/>
                <w:bCs/>
                <w:szCs w:val="22"/>
              </w:rPr>
            </w:pPr>
            <w:r w:rsidRPr="00125FCF">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48DDCD2" w14:textId="77777777" w:rsidR="00762B5A" w:rsidRDefault="00762B5A" w:rsidP="00164DDE">
            <w:pPr>
              <w:pStyle w:val="ListParagraph"/>
              <w:numPr>
                <w:ilvl w:val="0"/>
                <w:numId w:val="128"/>
              </w:numPr>
              <w:rPr>
                <w:szCs w:val="22"/>
              </w:rPr>
            </w:pPr>
            <w:r>
              <w:rPr>
                <w:szCs w:val="22"/>
              </w:rPr>
              <w:t xml:space="preserve">Gervasoni, G., MacDonald, A., Perry, B., Roch, A. (23 May 2019). </w:t>
            </w:r>
            <w:r>
              <w:rPr>
                <w:i/>
                <w:iCs/>
                <w:szCs w:val="22"/>
              </w:rPr>
              <w:t>The Smith Family Let’s Count Online Evaluation: Final repor</w:t>
            </w:r>
            <w:r>
              <w:rPr>
                <w:szCs w:val="22"/>
              </w:rPr>
              <w:t>t</w:t>
            </w:r>
          </w:p>
          <w:p w14:paraId="015D5A3C" w14:textId="77777777" w:rsidR="00762B5A" w:rsidRDefault="00762B5A" w:rsidP="00164DDE">
            <w:pPr>
              <w:pStyle w:val="ListParagraph"/>
              <w:numPr>
                <w:ilvl w:val="0"/>
                <w:numId w:val="128"/>
              </w:numPr>
              <w:rPr>
                <w:szCs w:val="22"/>
              </w:rPr>
            </w:pPr>
            <w:r>
              <w:rPr>
                <w:szCs w:val="22"/>
              </w:rPr>
              <w:t>Interview with provider</w:t>
            </w:r>
          </w:p>
        </w:tc>
      </w:tr>
    </w:tbl>
    <w:p w14:paraId="4B2226F3" w14:textId="77777777" w:rsidR="00762B5A" w:rsidRDefault="00762B5A" w:rsidP="00762B5A"/>
    <w:p w14:paraId="783D2824" w14:textId="77777777" w:rsidR="00762B5A" w:rsidRDefault="00762B5A" w:rsidP="00762B5A">
      <w:pPr>
        <w:spacing w:after="240" w:line="240" w:lineRule="auto"/>
        <w:rPr>
          <w:rFonts w:cs="Century Gothic"/>
          <w:b/>
          <w:color w:val="931B2F" w:themeColor="background2"/>
          <w:sz w:val="36"/>
          <w:szCs w:val="11"/>
        </w:rPr>
      </w:pPr>
      <w:r>
        <w:rPr>
          <w:b/>
          <w:sz w:val="36"/>
          <w:szCs w:val="11"/>
        </w:rPr>
        <w:br w:type="page"/>
      </w:r>
    </w:p>
    <w:p w14:paraId="5D39F48C" w14:textId="77777777" w:rsidR="00762B5A" w:rsidRDefault="00762B5A" w:rsidP="00762B5A">
      <w:pPr>
        <w:pStyle w:val="Heading1"/>
        <w:numPr>
          <w:ilvl w:val="0"/>
          <w:numId w:val="0"/>
        </w:numPr>
        <w:spacing w:before="0" w:after="120" w:line="360" w:lineRule="auto"/>
        <w:rPr>
          <w:rFonts w:asciiTheme="minorHAnsi" w:hAnsiTheme="minorHAnsi"/>
          <w:b/>
          <w:sz w:val="18"/>
          <w:szCs w:val="18"/>
        </w:rPr>
      </w:pPr>
      <w:bookmarkStart w:id="177" w:name="_Toc25162093"/>
      <w:r>
        <w:rPr>
          <w:rFonts w:asciiTheme="minorHAnsi" w:hAnsiTheme="minorHAnsi"/>
          <w:b/>
          <w:sz w:val="36"/>
          <w:szCs w:val="11"/>
        </w:rPr>
        <w:t>Little Scientists</w:t>
      </w:r>
      <w:bookmarkEnd w:id="177"/>
      <w:r>
        <w:rPr>
          <w:rFonts w:asciiTheme="minorHAnsi" w:hAnsiTheme="minorHAnsi"/>
          <w:b/>
          <w:sz w:val="36"/>
          <w:szCs w:val="11"/>
        </w:rPr>
        <w:t xml:space="preserve"> </w:t>
      </w:r>
    </w:p>
    <w:tbl>
      <w:tblPr>
        <w:tblStyle w:val="BoxGrid-Coloured"/>
        <w:tblW w:w="0" w:type="auto"/>
        <w:tblInd w:w="-95" w:type="dxa"/>
        <w:tblLook w:val="04A0" w:firstRow="1" w:lastRow="0" w:firstColumn="1" w:lastColumn="0" w:noHBand="0" w:noVBand="1"/>
      </w:tblPr>
      <w:tblGrid>
        <w:gridCol w:w="2811"/>
        <w:gridCol w:w="6335"/>
      </w:tblGrid>
      <w:tr w:rsidR="00762B5A" w14:paraId="1BF181AD"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3678849" w14:textId="77777777" w:rsidR="00762B5A" w:rsidRPr="00125FCF" w:rsidRDefault="00762B5A" w:rsidP="007E2D07">
            <w:pPr>
              <w:rPr>
                <w:b/>
                <w:bCs/>
                <w:szCs w:val="22"/>
              </w:rPr>
            </w:pPr>
            <w:r w:rsidRPr="00125FCF">
              <w:rPr>
                <w:b/>
                <w:bCs/>
                <w:szCs w:val="22"/>
              </w:rPr>
              <w:t xml:space="preserve">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5E421CE" w14:textId="77777777" w:rsidR="00762B5A" w:rsidRDefault="00762B5A" w:rsidP="007E2D07">
            <w:pPr>
              <w:rPr>
                <w:rFonts w:eastAsia="Times New Roman"/>
                <w:szCs w:val="22"/>
              </w:rPr>
            </w:pPr>
            <w:r>
              <w:rPr>
                <w:szCs w:val="22"/>
              </w:rPr>
              <w:t xml:space="preserve">FROEBEL Australia Limited </w:t>
            </w:r>
          </w:p>
        </w:tc>
      </w:tr>
      <w:tr w:rsidR="00762B5A" w14:paraId="340C0C0D" w14:textId="77777777" w:rsidTr="007E2D07">
        <w:trPr>
          <w:trHeight w:val="151"/>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B089946" w14:textId="77777777" w:rsidR="00762B5A" w:rsidRPr="00125FCF" w:rsidRDefault="00762B5A" w:rsidP="007E2D07">
            <w:pPr>
              <w:rPr>
                <w:b/>
                <w:bCs/>
                <w:szCs w:val="22"/>
              </w:rPr>
            </w:pPr>
            <w:r w:rsidRPr="00125FCF">
              <w:rPr>
                <w:b/>
                <w:bCs/>
                <w:szCs w:val="22"/>
              </w:rPr>
              <w:t xml:space="preserve">Initiative description and objectives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3ECDA96" w14:textId="77777777" w:rsidR="00762B5A" w:rsidRDefault="00762B5A" w:rsidP="007E2D07">
            <w:pPr>
              <w:rPr>
                <w:szCs w:val="22"/>
              </w:rPr>
            </w:pPr>
            <w:r>
              <w:rPr>
                <w:szCs w:val="22"/>
              </w:rPr>
              <w:t xml:space="preserve">The Little Scientists program is designed to facilitate children’s natural curiosity for science, technology, engineering and mathematics (STEM) in the early years through child-appropriate, fun and playful experiments and inquiry-based learning. The initiative uses a train-the-trainer approach to deliver professional development to early childhood educators. Local network partners (for example, education departments, independent catholic schools, universities, outreach programs) in each state and territory appoint a trainer from their community or organisation to carry out the Little Scientist workshops to early childhood educators. NISA funding was used to expand the program in Australia, to a national audience. This included adapting eight of their German modules to use in Australia. </w:t>
            </w:r>
          </w:p>
          <w:p w14:paraId="208A8343" w14:textId="77777777" w:rsidR="00762B5A" w:rsidRDefault="00762B5A" w:rsidP="007E2D07">
            <w:pPr>
              <w:rPr>
                <w:szCs w:val="22"/>
                <w:u w:val="single"/>
              </w:rPr>
            </w:pPr>
            <w:r>
              <w:rPr>
                <w:szCs w:val="22"/>
                <w:u w:val="single"/>
              </w:rPr>
              <w:t>Objectives (children)</w:t>
            </w:r>
          </w:p>
          <w:p w14:paraId="7CDA61DA" w14:textId="77777777" w:rsidR="00762B5A" w:rsidRDefault="00762B5A" w:rsidP="00164DDE">
            <w:pPr>
              <w:pStyle w:val="ListParagraph"/>
              <w:numPr>
                <w:ilvl w:val="0"/>
                <w:numId w:val="129"/>
              </w:numPr>
              <w:rPr>
                <w:szCs w:val="22"/>
              </w:rPr>
            </w:pPr>
            <w:r>
              <w:rPr>
                <w:szCs w:val="22"/>
              </w:rPr>
              <w:t>Develop enthusiasm, curiosity and interest in research</w:t>
            </w:r>
          </w:p>
          <w:p w14:paraId="60E8D118" w14:textId="77777777" w:rsidR="00762B5A" w:rsidRDefault="00762B5A" w:rsidP="00164DDE">
            <w:pPr>
              <w:pStyle w:val="ListParagraph"/>
              <w:numPr>
                <w:ilvl w:val="0"/>
                <w:numId w:val="129"/>
              </w:numPr>
              <w:rPr>
                <w:szCs w:val="22"/>
              </w:rPr>
            </w:pPr>
            <w:r>
              <w:rPr>
                <w:szCs w:val="22"/>
              </w:rPr>
              <w:t>Practice research-based approach and expand problem-solving competencies;</w:t>
            </w:r>
          </w:p>
          <w:p w14:paraId="5EAA6AF2" w14:textId="77777777" w:rsidR="00762B5A" w:rsidRDefault="00762B5A" w:rsidP="00164DDE">
            <w:pPr>
              <w:pStyle w:val="ListParagraph"/>
              <w:numPr>
                <w:ilvl w:val="0"/>
                <w:numId w:val="129"/>
              </w:numPr>
              <w:rPr>
                <w:szCs w:val="22"/>
              </w:rPr>
            </w:pPr>
            <w:r>
              <w:rPr>
                <w:szCs w:val="22"/>
              </w:rPr>
              <w:t>Comprehend basic scientific, mathematical and technical concepts</w:t>
            </w:r>
          </w:p>
          <w:p w14:paraId="4AD5AEF7" w14:textId="77777777" w:rsidR="00762B5A" w:rsidRDefault="00762B5A" w:rsidP="00164DDE">
            <w:pPr>
              <w:pStyle w:val="ListParagraph"/>
              <w:numPr>
                <w:ilvl w:val="0"/>
                <w:numId w:val="129"/>
              </w:numPr>
              <w:rPr>
                <w:szCs w:val="22"/>
              </w:rPr>
            </w:pPr>
            <w:r>
              <w:rPr>
                <w:szCs w:val="22"/>
              </w:rPr>
              <w:t>Experience self-efficacy and personal competence</w:t>
            </w:r>
          </w:p>
          <w:p w14:paraId="02A60689" w14:textId="77777777" w:rsidR="00762B5A" w:rsidRDefault="00762B5A" w:rsidP="00164DDE">
            <w:pPr>
              <w:pStyle w:val="ListParagraph"/>
              <w:numPr>
                <w:ilvl w:val="0"/>
                <w:numId w:val="129"/>
              </w:numPr>
              <w:rPr>
                <w:szCs w:val="22"/>
              </w:rPr>
            </w:pPr>
            <w:r>
              <w:rPr>
                <w:szCs w:val="22"/>
              </w:rPr>
              <w:t>Learning and learning methodologies</w:t>
            </w:r>
          </w:p>
          <w:p w14:paraId="36557037" w14:textId="77777777" w:rsidR="00762B5A" w:rsidRDefault="00762B5A" w:rsidP="00164DDE">
            <w:pPr>
              <w:pStyle w:val="ListParagraph"/>
              <w:numPr>
                <w:ilvl w:val="0"/>
                <w:numId w:val="129"/>
              </w:numPr>
              <w:rPr>
                <w:szCs w:val="22"/>
              </w:rPr>
            </w:pPr>
            <w:r>
              <w:rPr>
                <w:szCs w:val="22"/>
              </w:rPr>
              <w:t>Social competency</w:t>
            </w:r>
          </w:p>
          <w:p w14:paraId="06BEBB8A" w14:textId="77777777" w:rsidR="00762B5A" w:rsidRDefault="00762B5A" w:rsidP="00164DDE">
            <w:pPr>
              <w:pStyle w:val="ListParagraph"/>
              <w:numPr>
                <w:ilvl w:val="0"/>
                <w:numId w:val="129"/>
              </w:numPr>
              <w:rPr>
                <w:szCs w:val="22"/>
              </w:rPr>
            </w:pPr>
            <w:r>
              <w:rPr>
                <w:szCs w:val="22"/>
              </w:rPr>
              <w:t>Language competence</w:t>
            </w:r>
          </w:p>
          <w:p w14:paraId="5E2D412C" w14:textId="77777777" w:rsidR="00762B5A" w:rsidRDefault="00762B5A" w:rsidP="00164DDE">
            <w:pPr>
              <w:pStyle w:val="ListParagraph"/>
              <w:numPr>
                <w:ilvl w:val="0"/>
                <w:numId w:val="129"/>
              </w:numPr>
              <w:rPr>
                <w:szCs w:val="22"/>
              </w:rPr>
            </w:pPr>
            <w:r>
              <w:rPr>
                <w:szCs w:val="22"/>
              </w:rPr>
              <w:t>Gender equality</w:t>
            </w:r>
          </w:p>
          <w:p w14:paraId="092A1CFD" w14:textId="77777777" w:rsidR="00762B5A" w:rsidRDefault="00762B5A" w:rsidP="007E2D07">
            <w:pPr>
              <w:rPr>
                <w:szCs w:val="22"/>
                <w:u w:val="single"/>
              </w:rPr>
            </w:pPr>
            <w:r>
              <w:rPr>
                <w:szCs w:val="22"/>
                <w:u w:val="single"/>
              </w:rPr>
              <w:t>Objectives (educators)</w:t>
            </w:r>
          </w:p>
          <w:p w14:paraId="2FA6CDE2" w14:textId="77777777" w:rsidR="00762B5A" w:rsidRDefault="00762B5A" w:rsidP="00164DDE">
            <w:pPr>
              <w:pStyle w:val="ListParagraph"/>
              <w:numPr>
                <w:ilvl w:val="0"/>
                <w:numId w:val="130"/>
              </w:numPr>
              <w:rPr>
                <w:szCs w:val="22"/>
              </w:rPr>
            </w:pPr>
            <w:r>
              <w:rPr>
                <w:szCs w:val="22"/>
              </w:rPr>
              <w:t>Develop enthusiasm about researching together</w:t>
            </w:r>
          </w:p>
          <w:p w14:paraId="2D3524E1" w14:textId="77777777" w:rsidR="00762B5A" w:rsidRDefault="00762B5A" w:rsidP="00164DDE">
            <w:pPr>
              <w:pStyle w:val="ListParagraph"/>
              <w:numPr>
                <w:ilvl w:val="0"/>
                <w:numId w:val="130"/>
              </w:numPr>
              <w:rPr>
                <w:szCs w:val="22"/>
              </w:rPr>
            </w:pPr>
            <w:r>
              <w:rPr>
                <w:szCs w:val="22"/>
              </w:rPr>
              <w:t>Apply a research approach and critical analysis</w:t>
            </w:r>
          </w:p>
          <w:p w14:paraId="6AD4940B" w14:textId="77777777" w:rsidR="00762B5A" w:rsidRDefault="00762B5A" w:rsidP="00164DDE">
            <w:pPr>
              <w:pStyle w:val="ListParagraph"/>
              <w:numPr>
                <w:ilvl w:val="0"/>
                <w:numId w:val="130"/>
              </w:numPr>
              <w:rPr>
                <w:szCs w:val="22"/>
              </w:rPr>
            </w:pPr>
            <w:r>
              <w:rPr>
                <w:szCs w:val="22"/>
              </w:rPr>
              <w:t>Deepen knowledge about scientific, mathematical and technical relationships</w:t>
            </w:r>
          </w:p>
          <w:p w14:paraId="78404EB2" w14:textId="77777777" w:rsidR="00762B5A" w:rsidRDefault="00762B5A" w:rsidP="00164DDE">
            <w:pPr>
              <w:pStyle w:val="ListParagraph"/>
              <w:numPr>
                <w:ilvl w:val="0"/>
                <w:numId w:val="130"/>
              </w:numPr>
              <w:rPr>
                <w:szCs w:val="22"/>
              </w:rPr>
            </w:pPr>
            <w:r>
              <w:rPr>
                <w:szCs w:val="22"/>
              </w:rPr>
              <w:t>Expand range of educational classroom strategies</w:t>
            </w:r>
          </w:p>
          <w:p w14:paraId="561807A9" w14:textId="77777777" w:rsidR="00762B5A" w:rsidRDefault="00762B5A" w:rsidP="00164DDE">
            <w:pPr>
              <w:pStyle w:val="ListParagraph"/>
              <w:numPr>
                <w:ilvl w:val="0"/>
                <w:numId w:val="130"/>
              </w:numPr>
              <w:rPr>
                <w:szCs w:val="22"/>
              </w:rPr>
            </w:pPr>
            <w:r>
              <w:rPr>
                <w:szCs w:val="22"/>
              </w:rPr>
              <w:t xml:space="preserve">Self-confidence as a learning coach </w:t>
            </w:r>
          </w:p>
          <w:p w14:paraId="72EAC81E" w14:textId="77777777" w:rsidR="00762B5A" w:rsidRDefault="00762B5A" w:rsidP="00164DDE">
            <w:pPr>
              <w:pStyle w:val="ListParagraph"/>
              <w:numPr>
                <w:ilvl w:val="0"/>
                <w:numId w:val="130"/>
              </w:numPr>
              <w:rPr>
                <w:szCs w:val="22"/>
              </w:rPr>
            </w:pPr>
            <w:r>
              <w:rPr>
                <w:szCs w:val="22"/>
              </w:rPr>
              <w:t xml:space="preserve">Enhance appreciation of one’s professional role and self-perception </w:t>
            </w:r>
          </w:p>
        </w:tc>
      </w:tr>
      <w:tr w:rsidR="00762B5A" w14:paraId="015409B2"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D3730F4" w14:textId="77777777" w:rsidR="00762B5A" w:rsidRPr="00125FCF" w:rsidRDefault="00762B5A" w:rsidP="007E2D07">
            <w:pPr>
              <w:rPr>
                <w:b/>
                <w:bCs/>
                <w:szCs w:val="22"/>
              </w:rPr>
            </w:pPr>
            <w:r w:rsidRPr="00125FCF">
              <w:rPr>
                <w:b/>
                <w:bCs/>
                <w:szCs w:val="22"/>
              </w:rPr>
              <w:t>Target audience</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95DDF80" w14:textId="77777777" w:rsidR="00762B5A" w:rsidRDefault="00762B5A" w:rsidP="007E2D07">
            <w:pPr>
              <w:rPr>
                <w:szCs w:val="22"/>
              </w:rPr>
            </w:pPr>
            <w:r>
              <w:rPr>
                <w:szCs w:val="22"/>
              </w:rPr>
              <w:t>Early childhood educators</w:t>
            </w:r>
          </w:p>
        </w:tc>
      </w:tr>
      <w:tr w:rsidR="00762B5A" w14:paraId="29D39357" w14:textId="77777777" w:rsidTr="007E2D07">
        <w:trPr>
          <w:trHeight w:val="429"/>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0049D20" w14:textId="77777777" w:rsidR="00762B5A" w:rsidRPr="00125FCF" w:rsidRDefault="00762B5A" w:rsidP="007E2D07">
            <w:pPr>
              <w:rPr>
                <w:b/>
                <w:bCs/>
                <w:szCs w:val="22"/>
              </w:rPr>
            </w:pPr>
            <w:r w:rsidRPr="00125FCF">
              <w:rPr>
                <w:b/>
                <w:bCs/>
                <w:szCs w:val="22"/>
              </w:rPr>
              <w:t xml:space="preserve">Initiative funding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C0C9597" w14:textId="77777777" w:rsidR="00762B5A" w:rsidRDefault="00762B5A" w:rsidP="007E2D07">
            <w:pPr>
              <w:ind w:left="357" w:hanging="357"/>
              <w:rPr>
                <w:szCs w:val="22"/>
              </w:rPr>
            </w:pPr>
            <w:r>
              <w:rPr>
                <w:szCs w:val="22"/>
              </w:rPr>
              <w:t xml:space="preserve">NISA funding is $4,000,000 (excluding GST) for the period of 2016-2019. </w:t>
            </w:r>
          </w:p>
        </w:tc>
      </w:tr>
      <w:tr w:rsidR="00762B5A" w14:paraId="74EB6777"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4C84BC2" w14:textId="77777777" w:rsidR="00762B5A" w:rsidRPr="00125FCF" w:rsidRDefault="00762B5A" w:rsidP="007E2D07">
            <w:pPr>
              <w:rPr>
                <w:b/>
                <w:bCs/>
                <w:szCs w:val="22"/>
              </w:rPr>
            </w:pPr>
            <w:r w:rsidRPr="00125FCF">
              <w:rPr>
                <w:b/>
                <w:bCs/>
                <w:szCs w:val="22"/>
              </w:rPr>
              <w:t xml:space="preserve">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30F16D4" w14:textId="77777777" w:rsidR="00762B5A" w:rsidRDefault="00762B5A" w:rsidP="007E2D07">
            <w:pPr>
              <w:rPr>
                <w:szCs w:val="22"/>
              </w:rPr>
            </w:pPr>
            <w:r>
              <w:rPr>
                <w:szCs w:val="22"/>
              </w:rPr>
              <w:t xml:space="preserve">Beyond </w:t>
            </w:r>
            <w:proofErr w:type="spellStart"/>
            <w:r>
              <w:rPr>
                <w:szCs w:val="22"/>
              </w:rPr>
              <w:t>dandolo’s</w:t>
            </w:r>
            <w:proofErr w:type="spellEnd"/>
            <w:r>
              <w:rPr>
                <w:szCs w:val="22"/>
              </w:rPr>
              <w:t xml:space="preserve"> evaluation, an external evaluation was undertaken by Charles Sturt University. The evaluation research team comprised of early childhood and primary teacher educators and researchers, Dr Amy MacDonald, Associate Professor Lena Danaia, Dr Shukla Sikder, and Dr Carmen Huser. The evaluators completed their final report in March 2019.  </w:t>
            </w:r>
          </w:p>
        </w:tc>
      </w:tr>
      <w:tr w:rsidR="00762B5A" w14:paraId="3D46794C"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5ED3B62" w14:textId="77777777" w:rsidR="00762B5A" w:rsidRPr="00125FCF" w:rsidRDefault="00762B5A" w:rsidP="007E2D07">
            <w:pPr>
              <w:rPr>
                <w:b/>
                <w:bCs/>
                <w:szCs w:val="22"/>
              </w:rPr>
            </w:pPr>
            <w:r w:rsidRPr="00125FCF">
              <w:rPr>
                <w:b/>
                <w:bCs/>
                <w:szCs w:val="22"/>
              </w:rPr>
              <w:t xml:space="preserve">Evaluation purpose (external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90BC3D6" w14:textId="77777777" w:rsidR="00762B5A" w:rsidRDefault="00762B5A" w:rsidP="007E2D07">
            <w:pPr>
              <w:rPr>
                <w:szCs w:val="22"/>
              </w:rPr>
            </w:pPr>
            <w:r>
              <w:rPr>
                <w:szCs w:val="22"/>
              </w:rPr>
              <w:t xml:space="preserve">The purpose of the evaluation is to ascertain the efficacy of the Little Scientists program. The program was examined in relation to its impact upon: </w:t>
            </w:r>
          </w:p>
          <w:p w14:paraId="5364F382" w14:textId="77777777" w:rsidR="00762B5A" w:rsidRDefault="00762B5A" w:rsidP="00164DDE">
            <w:pPr>
              <w:pStyle w:val="ListParagraph"/>
              <w:numPr>
                <w:ilvl w:val="0"/>
                <w:numId w:val="191"/>
              </w:numPr>
              <w:rPr>
                <w:szCs w:val="22"/>
              </w:rPr>
            </w:pPr>
            <w:r>
              <w:rPr>
                <w:szCs w:val="22"/>
              </w:rPr>
              <w:t>The educators</w:t>
            </w:r>
          </w:p>
          <w:p w14:paraId="62DEAB59" w14:textId="77777777" w:rsidR="00762B5A" w:rsidRDefault="00762B5A" w:rsidP="00164DDE">
            <w:pPr>
              <w:pStyle w:val="ListParagraph"/>
              <w:numPr>
                <w:ilvl w:val="0"/>
                <w:numId w:val="191"/>
              </w:numPr>
              <w:rPr>
                <w:szCs w:val="22"/>
              </w:rPr>
            </w:pPr>
            <w:r>
              <w:rPr>
                <w:szCs w:val="22"/>
              </w:rPr>
              <w:t xml:space="preserve">The context of the early childhood setting, including its culture </w:t>
            </w:r>
          </w:p>
          <w:p w14:paraId="13606F78" w14:textId="77777777" w:rsidR="00762B5A" w:rsidRDefault="00762B5A" w:rsidP="00164DDE">
            <w:pPr>
              <w:pStyle w:val="ListParagraph"/>
              <w:numPr>
                <w:ilvl w:val="0"/>
                <w:numId w:val="191"/>
              </w:numPr>
              <w:rPr>
                <w:szCs w:val="22"/>
              </w:rPr>
            </w:pPr>
            <w:r>
              <w:rPr>
                <w:szCs w:val="22"/>
              </w:rPr>
              <w:t>The children within the setting</w:t>
            </w:r>
          </w:p>
          <w:p w14:paraId="75A104EA" w14:textId="77777777" w:rsidR="00762B5A" w:rsidRDefault="00762B5A" w:rsidP="007E2D07">
            <w:pPr>
              <w:autoSpaceDE w:val="0"/>
              <w:autoSpaceDN w:val="0"/>
              <w:adjustRightInd w:val="0"/>
              <w:ind w:right="104"/>
              <w:rPr>
                <w:rFonts w:cs="Arial"/>
                <w:szCs w:val="22"/>
              </w:rPr>
            </w:pPr>
            <w:r>
              <w:rPr>
                <w:szCs w:val="22"/>
              </w:rPr>
              <w:t>The evaluation was approached as a developmental evaluation which involved providing ongoing feedback to the Little Scientist team for them to reflect on and improve their program based on the evaluators’ findings. This feedback was provided via two interim reports and a final report</w:t>
            </w:r>
            <w:r>
              <w:rPr>
                <w:rFonts w:cs="Arial"/>
                <w:szCs w:val="22"/>
              </w:rPr>
              <w:t xml:space="preserve">. </w:t>
            </w:r>
          </w:p>
        </w:tc>
      </w:tr>
      <w:tr w:rsidR="00762B5A" w14:paraId="4D4F674E"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tcPr>
          <w:p w14:paraId="53A82EDA" w14:textId="77777777" w:rsidR="00762B5A" w:rsidRPr="00125FCF" w:rsidRDefault="00762B5A" w:rsidP="007E2D07">
            <w:pPr>
              <w:rPr>
                <w:b/>
                <w:bCs/>
                <w:szCs w:val="22"/>
              </w:rPr>
            </w:pPr>
            <w:r w:rsidRPr="00125FCF">
              <w:rPr>
                <w:b/>
                <w:bCs/>
                <w:szCs w:val="22"/>
              </w:rPr>
              <w:t>Evaluation framework / methodology (external evaluation)</w:t>
            </w:r>
          </w:p>
          <w:p w14:paraId="761A3DA7" w14:textId="77777777" w:rsidR="00762B5A" w:rsidRPr="00125FCF" w:rsidRDefault="00762B5A" w:rsidP="007E2D07">
            <w:pPr>
              <w:rPr>
                <w:b/>
                <w:bCs/>
                <w:szCs w:val="22"/>
              </w:rPr>
            </w:pP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7BC356A" w14:textId="77777777" w:rsidR="00762B5A" w:rsidRDefault="00762B5A" w:rsidP="007E2D07">
            <w:pPr>
              <w:rPr>
                <w:szCs w:val="22"/>
                <w:u w:val="single"/>
              </w:rPr>
            </w:pPr>
            <w:r>
              <w:rPr>
                <w:szCs w:val="22"/>
                <w:u w:val="single"/>
              </w:rPr>
              <w:t>Framework</w:t>
            </w:r>
          </w:p>
          <w:p w14:paraId="3A5A0630" w14:textId="77777777" w:rsidR="00762B5A" w:rsidRDefault="00762B5A" w:rsidP="007E2D07">
            <w:pPr>
              <w:rPr>
                <w:rFonts w:eastAsia="Times New Roman"/>
                <w:szCs w:val="22"/>
              </w:rPr>
            </w:pPr>
            <w:r>
              <w:rPr>
                <w:szCs w:val="22"/>
              </w:rPr>
              <w:t xml:space="preserve">Impact on early childhood educators:  </w:t>
            </w:r>
          </w:p>
          <w:p w14:paraId="2AAC41BF" w14:textId="77777777" w:rsidR="00762B5A" w:rsidRDefault="00762B5A" w:rsidP="00164DDE">
            <w:pPr>
              <w:pStyle w:val="ListParagraph"/>
              <w:numPr>
                <w:ilvl w:val="0"/>
                <w:numId w:val="135"/>
              </w:numPr>
              <w:rPr>
                <w:szCs w:val="22"/>
              </w:rPr>
            </w:pPr>
            <w:r>
              <w:rPr>
                <w:szCs w:val="22"/>
              </w:rPr>
              <w:t>Exploration of educators’ perceptions of him/herself as a STEM educator</w:t>
            </w:r>
          </w:p>
          <w:p w14:paraId="2D62FBDA" w14:textId="77777777" w:rsidR="00762B5A" w:rsidRDefault="00762B5A" w:rsidP="00164DDE">
            <w:pPr>
              <w:pStyle w:val="ListParagraph"/>
              <w:numPr>
                <w:ilvl w:val="0"/>
                <w:numId w:val="135"/>
              </w:numPr>
              <w:rPr>
                <w:szCs w:val="22"/>
              </w:rPr>
            </w:pPr>
            <w:r>
              <w:rPr>
                <w:szCs w:val="22"/>
              </w:rPr>
              <w:t>Assessment of educator confidence in leading STEM activities</w:t>
            </w:r>
          </w:p>
          <w:p w14:paraId="4964AE44" w14:textId="77777777" w:rsidR="00762B5A" w:rsidRDefault="00762B5A" w:rsidP="00164DDE">
            <w:pPr>
              <w:pStyle w:val="ListParagraph"/>
              <w:numPr>
                <w:ilvl w:val="0"/>
                <w:numId w:val="135"/>
              </w:numPr>
              <w:rPr>
                <w:szCs w:val="22"/>
              </w:rPr>
            </w:pPr>
            <w:r>
              <w:rPr>
                <w:szCs w:val="22"/>
              </w:rPr>
              <w:t>Evidence of educator understanding of underlying concepts in STEM education</w:t>
            </w:r>
          </w:p>
          <w:p w14:paraId="367E38E6" w14:textId="77777777" w:rsidR="00762B5A" w:rsidRDefault="00762B5A" w:rsidP="007E2D07">
            <w:pPr>
              <w:rPr>
                <w:szCs w:val="22"/>
              </w:rPr>
            </w:pPr>
            <w:r>
              <w:rPr>
                <w:szCs w:val="22"/>
              </w:rPr>
              <w:t xml:space="preserve">Exploring cultural change in early childhood settings: </w:t>
            </w:r>
          </w:p>
          <w:p w14:paraId="2359B35C" w14:textId="77777777" w:rsidR="00762B5A" w:rsidRDefault="00762B5A" w:rsidP="00164DDE">
            <w:pPr>
              <w:pStyle w:val="ListParagraph"/>
              <w:numPr>
                <w:ilvl w:val="0"/>
                <w:numId w:val="134"/>
              </w:numPr>
              <w:rPr>
                <w:szCs w:val="22"/>
              </w:rPr>
            </w:pPr>
            <w:r>
              <w:rPr>
                <w:szCs w:val="22"/>
              </w:rPr>
              <w:t>Review of example lessons and program change</w:t>
            </w:r>
          </w:p>
          <w:p w14:paraId="4342A82A" w14:textId="77777777" w:rsidR="00762B5A" w:rsidRDefault="00762B5A" w:rsidP="00164DDE">
            <w:pPr>
              <w:pStyle w:val="ListParagraph"/>
              <w:numPr>
                <w:ilvl w:val="0"/>
                <w:numId w:val="134"/>
              </w:numPr>
              <w:rPr>
                <w:szCs w:val="22"/>
              </w:rPr>
            </w:pPr>
            <w:r>
              <w:rPr>
                <w:szCs w:val="22"/>
              </w:rPr>
              <w:t xml:space="preserve">Analysis of documentation of learning in STEM education </w:t>
            </w:r>
          </w:p>
          <w:p w14:paraId="6F3A21A1" w14:textId="77777777" w:rsidR="00762B5A" w:rsidRDefault="00762B5A" w:rsidP="00164DDE">
            <w:pPr>
              <w:pStyle w:val="ListParagraph"/>
              <w:numPr>
                <w:ilvl w:val="0"/>
                <w:numId w:val="134"/>
              </w:numPr>
              <w:rPr>
                <w:szCs w:val="22"/>
              </w:rPr>
            </w:pPr>
            <w:r>
              <w:rPr>
                <w:szCs w:val="22"/>
              </w:rPr>
              <w:t>Exploration of educator reflections on changes in staff perceptions of STEM and practices in relation to STEM</w:t>
            </w:r>
          </w:p>
          <w:p w14:paraId="24291D8B" w14:textId="77777777" w:rsidR="00762B5A" w:rsidRDefault="00762B5A" w:rsidP="007E2D07">
            <w:pPr>
              <w:rPr>
                <w:szCs w:val="22"/>
              </w:rPr>
            </w:pPr>
            <w:r>
              <w:rPr>
                <w:szCs w:val="22"/>
              </w:rPr>
              <w:t xml:space="preserve">Children’s engagement in STEM learning:  </w:t>
            </w:r>
          </w:p>
          <w:p w14:paraId="585F214E" w14:textId="77777777" w:rsidR="00762B5A" w:rsidRDefault="00762B5A" w:rsidP="00164DDE">
            <w:pPr>
              <w:pStyle w:val="ListParagraph"/>
              <w:numPr>
                <w:ilvl w:val="0"/>
                <w:numId w:val="133"/>
              </w:numPr>
              <w:rPr>
                <w:szCs w:val="22"/>
              </w:rPr>
            </w:pPr>
            <w:r>
              <w:rPr>
                <w:szCs w:val="22"/>
              </w:rPr>
              <w:t>Competency, including language development, vocabulary, and social skills in STEM contexts</w:t>
            </w:r>
          </w:p>
          <w:p w14:paraId="548D95EF" w14:textId="77777777" w:rsidR="00762B5A" w:rsidRDefault="00762B5A" w:rsidP="00164DDE">
            <w:pPr>
              <w:pStyle w:val="ListParagraph"/>
              <w:numPr>
                <w:ilvl w:val="0"/>
                <w:numId w:val="133"/>
              </w:numPr>
              <w:rPr>
                <w:szCs w:val="22"/>
              </w:rPr>
            </w:pPr>
            <w:r>
              <w:rPr>
                <w:szCs w:val="22"/>
              </w:rPr>
              <w:t>Confidence in exploring STEM related topics in their everyday world</w:t>
            </w:r>
          </w:p>
          <w:p w14:paraId="56BDE18B" w14:textId="77777777" w:rsidR="00762B5A" w:rsidRDefault="00762B5A" w:rsidP="00164DDE">
            <w:pPr>
              <w:pStyle w:val="ListParagraph"/>
              <w:numPr>
                <w:ilvl w:val="0"/>
                <w:numId w:val="133"/>
              </w:numPr>
              <w:rPr>
                <w:szCs w:val="22"/>
              </w:rPr>
            </w:pPr>
            <w:r>
              <w:rPr>
                <w:szCs w:val="22"/>
              </w:rPr>
              <w:t>Curiosity and desire to explore, investigate and research in STEM</w:t>
            </w:r>
          </w:p>
          <w:p w14:paraId="4D8264AA" w14:textId="77777777" w:rsidR="00762B5A" w:rsidRDefault="00762B5A" w:rsidP="00164DDE">
            <w:pPr>
              <w:pStyle w:val="ListParagraph"/>
              <w:numPr>
                <w:ilvl w:val="0"/>
                <w:numId w:val="133"/>
              </w:numPr>
              <w:rPr>
                <w:szCs w:val="22"/>
              </w:rPr>
            </w:pPr>
            <w:r>
              <w:rPr>
                <w:szCs w:val="22"/>
              </w:rPr>
              <w:t>Perceptions of the Little Scientists</w:t>
            </w:r>
            <w:r>
              <w:rPr>
                <w:i/>
                <w:iCs/>
                <w:szCs w:val="22"/>
              </w:rPr>
              <w:t xml:space="preserve"> </w:t>
            </w:r>
            <w:r>
              <w:rPr>
                <w:szCs w:val="22"/>
              </w:rPr>
              <w:t>program and their STEM learning</w:t>
            </w:r>
          </w:p>
          <w:p w14:paraId="1E5CBF6D" w14:textId="77777777" w:rsidR="00762B5A" w:rsidRDefault="00762B5A" w:rsidP="007E2D07">
            <w:pPr>
              <w:rPr>
                <w:szCs w:val="22"/>
                <w:u w:val="single"/>
              </w:rPr>
            </w:pPr>
            <w:r>
              <w:rPr>
                <w:szCs w:val="22"/>
                <w:u w:val="single"/>
              </w:rPr>
              <w:t>Methodology</w:t>
            </w:r>
          </w:p>
          <w:p w14:paraId="67288120" w14:textId="77777777" w:rsidR="00762B5A" w:rsidRDefault="00762B5A" w:rsidP="00164DDE">
            <w:pPr>
              <w:pStyle w:val="ListParagraph"/>
              <w:numPr>
                <w:ilvl w:val="0"/>
                <w:numId w:val="132"/>
              </w:numPr>
              <w:rPr>
                <w:rFonts w:eastAsia="Times New Roman"/>
                <w:szCs w:val="22"/>
              </w:rPr>
            </w:pPr>
            <w:r>
              <w:rPr>
                <w:szCs w:val="22"/>
              </w:rPr>
              <w:t>Phase 1: Content analysis involves conceptual mapping of the program against the Early Years Learning Framework (EYLF), the National Quality Standard (NQS), the Australian Professional Standards for Teachers (APST), and the Australian Curriculum</w:t>
            </w:r>
          </w:p>
          <w:p w14:paraId="17EEA23D" w14:textId="77777777" w:rsidR="00762B5A" w:rsidRDefault="00762B5A" w:rsidP="00164DDE">
            <w:pPr>
              <w:pStyle w:val="ListParagraph"/>
              <w:numPr>
                <w:ilvl w:val="0"/>
                <w:numId w:val="131"/>
              </w:numPr>
              <w:rPr>
                <w:szCs w:val="22"/>
              </w:rPr>
            </w:pPr>
            <w:r>
              <w:rPr>
                <w:szCs w:val="22"/>
              </w:rPr>
              <w:t xml:space="preserve">Phase 2: Online surveys of educators (pre and post survey on teacher confidence and beliefs), partner organisations and trainers </w:t>
            </w:r>
          </w:p>
          <w:p w14:paraId="38D2AA12" w14:textId="77777777" w:rsidR="00762B5A" w:rsidRDefault="00762B5A" w:rsidP="00164DDE">
            <w:pPr>
              <w:pStyle w:val="ListParagraph"/>
              <w:numPr>
                <w:ilvl w:val="0"/>
                <w:numId w:val="131"/>
              </w:numPr>
              <w:rPr>
                <w:szCs w:val="22"/>
              </w:rPr>
            </w:pPr>
            <w:r>
              <w:rPr>
                <w:szCs w:val="22"/>
              </w:rPr>
              <w:t xml:space="preserve">Phase 3: Professional Learning Networks (PLNs), which involved face-to-face meetings and online discussions where participants shared their evidence of changes to practice and children </w:t>
            </w:r>
          </w:p>
          <w:p w14:paraId="04D338F4" w14:textId="77777777" w:rsidR="00762B5A" w:rsidRDefault="00762B5A" w:rsidP="00164DDE">
            <w:pPr>
              <w:pStyle w:val="ListParagraph"/>
              <w:numPr>
                <w:ilvl w:val="0"/>
                <w:numId w:val="131"/>
              </w:numPr>
              <w:rPr>
                <w:szCs w:val="22"/>
              </w:rPr>
            </w:pPr>
            <w:r>
              <w:rPr>
                <w:szCs w:val="22"/>
              </w:rPr>
              <w:t xml:space="preserve">Phase 4: Context analysis of reach of the program </w:t>
            </w:r>
          </w:p>
          <w:p w14:paraId="363C95E6" w14:textId="654E2FC7" w:rsidR="00762B5A" w:rsidRDefault="00762B5A" w:rsidP="007E2D07">
            <w:pPr>
              <w:rPr>
                <w:szCs w:val="22"/>
              </w:rPr>
            </w:pPr>
            <w:proofErr w:type="spellStart"/>
            <w:r>
              <w:t>dandolo</w:t>
            </w:r>
            <w:proofErr w:type="spellEnd"/>
            <w:r>
              <w:t xml:space="preserve"> also completed</w:t>
            </w:r>
            <w:r>
              <w:rPr>
                <w:szCs w:val="22"/>
              </w:rPr>
              <w:t xml:space="preserve"> interviews with stakeholders and a series of online focus groups, including STEM organisations and representatives from state and territory departments of education.</w:t>
            </w:r>
            <w:r w:rsidR="00DC7C4F">
              <w:rPr>
                <w:szCs w:val="22"/>
              </w:rPr>
              <w:t xml:space="preserve"> </w:t>
            </w:r>
            <w:r>
              <w:rPr>
                <w:szCs w:val="22"/>
              </w:rPr>
              <w:t>Stakeholders were asked to provide feedback on individual NISA initiatives, including Little Scientists.</w:t>
            </w:r>
          </w:p>
        </w:tc>
      </w:tr>
      <w:tr w:rsidR="00762B5A" w14:paraId="485556C5" w14:textId="77777777" w:rsidTr="007E2D07">
        <w:trPr>
          <w:trHeight w:val="1057"/>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7A3AF180" w14:textId="77777777" w:rsidR="00762B5A" w:rsidRPr="00125FCF" w:rsidRDefault="00762B5A" w:rsidP="007E2D07">
            <w:pPr>
              <w:rPr>
                <w:b/>
                <w:bCs/>
                <w:szCs w:val="22"/>
              </w:rPr>
            </w:pPr>
            <w:r w:rsidRPr="00125FCF">
              <w:rPr>
                <w:b/>
                <w:bCs/>
                <w:szCs w:val="22"/>
              </w:rPr>
              <w:t xml:space="preserve">Summary of evaluation conclusions (external evaluation and </w:t>
            </w:r>
            <w:proofErr w:type="spellStart"/>
            <w:r w:rsidRPr="00125FCF">
              <w:rPr>
                <w:b/>
                <w:bCs/>
                <w:szCs w:val="22"/>
              </w:rPr>
              <w:t>dandolo</w:t>
            </w:r>
            <w:proofErr w:type="spellEnd"/>
            <w:r w:rsidRPr="00125FCF">
              <w:rPr>
                <w:b/>
                <w:bCs/>
                <w:szCs w:val="22"/>
              </w:rPr>
              <w:t xml:space="preserve"> comments)</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24FB75B" w14:textId="77777777" w:rsidR="00762B5A" w:rsidRDefault="00762B5A" w:rsidP="00164DDE">
            <w:pPr>
              <w:pStyle w:val="ListParagraph"/>
              <w:numPr>
                <w:ilvl w:val="0"/>
                <w:numId w:val="192"/>
              </w:numPr>
              <w:rPr>
                <w:szCs w:val="22"/>
              </w:rPr>
            </w:pPr>
            <w:r>
              <w:rPr>
                <w:szCs w:val="22"/>
              </w:rPr>
              <w:t xml:space="preserve">Stakeholders spoke highly of Little Scientists, and it was regularly characterised as a ‘stand out’ NISA-funded initiative. </w:t>
            </w:r>
          </w:p>
          <w:p w14:paraId="073A01A4" w14:textId="77777777" w:rsidR="00762B5A" w:rsidRDefault="00762B5A" w:rsidP="00164DDE">
            <w:pPr>
              <w:pStyle w:val="ListParagraph"/>
              <w:numPr>
                <w:ilvl w:val="0"/>
                <w:numId w:val="192"/>
              </w:numPr>
              <w:rPr>
                <w:szCs w:val="22"/>
              </w:rPr>
            </w:pPr>
            <w:r>
              <w:rPr>
                <w:szCs w:val="22"/>
              </w:rPr>
              <w:t xml:space="preserve">Stakeholders were impressed with the initiative’s research-based approach, evidence-base and alignment with the EYLF. </w:t>
            </w:r>
          </w:p>
          <w:p w14:paraId="575DB36A" w14:textId="77777777" w:rsidR="00762B5A" w:rsidRDefault="00762B5A" w:rsidP="00164DDE">
            <w:pPr>
              <w:pStyle w:val="ListParagraph"/>
              <w:numPr>
                <w:ilvl w:val="0"/>
                <w:numId w:val="192"/>
              </w:numPr>
              <w:rPr>
                <w:szCs w:val="22"/>
              </w:rPr>
            </w:pPr>
            <w:r>
              <w:rPr>
                <w:szCs w:val="22"/>
              </w:rPr>
              <w:t xml:space="preserve">Stakeholders regarded the professional development as engaging and valuable, including being relevant for those attending from remote or regional communities. Professional development is practical and hands-on.  </w:t>
            </w:r>
          </w:p>
          <w:p w14:paraId="40B8C43F" w14:textId="77777777" w:rsidR="00762B5A" w:rsidRDefault="00762B5A" w:rsidP="00164DDE">
            <w:pPr>
              <w:pStyle w:val="ListParagraph"/>
              <w:numPr>
                <w:ilvl w:val="0"/>
                <w:numId w:val="192"/>
              </w:numPr>
              <w:rPr>
                <w:szCs w:val="22"/>
              </w:rPr>
            </w:pPr>
            <w:r>
              <w:rPr>
                <w:szCs w:val="22"/>
              </w:rPr>
              <w:t xml:space="preserve">Stakeholders also commented on the transparency of the Little Scientists’ advisory board, which has resulted in greater sector engagement and anecdotally, greater impact. </w:t>
            </w:r>
          </w:p>
          <w:p w14:paraId="0B4D7D75" w14:textId="77777777" w:rsidR="00762B5A" w:rsidRDefault="00762B5A" w:rsidP="00164DDE">
            <w:pPr>
              <w:pStyle w:val="ListParagraph"/>
              <w:numPr>
                <w:ilvl w:val="0"/>
                <w:numId w:val="192"/>
              </w:numPr>
              <w:rPr>
                <w:szCs w:val="22"/>
              </w:rPr>
            </w:pPr>
            <w:r>
              <w:rPr>
                <w:szCs w:val="22"/>
              </w:rPr>
              <w:t xml:space="preserve">An external evaluation aligns with these stakeholder perceptions. Data collected over two years of the program indicates that the Little Scientists program is favourably received by the participants. Strengths include the focus on the everyday nature of STEM, and the ability to integrate the Little Scientists activities into a range of early childhood education and care settings. Participation in the Little Scientists workshops appears to have a positive impact upon educators’ confidence and practices, and in turn impacts positively upon children’s STEM learning opportunities.  </w:t>
            </w:r>
          </w:p>
          <w:p w14:paraId="36D29971" w14:textId="77777777" w:rsidR="00762B5A" w:rsidRDefault="00762B5A" w:rsidP="00164DDE">
            <w:pPr>
              <w:pStyle w:val="ListParagraph"/>
              <w:numPr>
                <w:ilvl w:val="0"/>
                <w:numId w:val="192"/>
              </w:numPr>
              <w:rPr>
                <w:szCs w:val="22"/>
              </w:rPr>
            </w:pPr>
            <w:r>
              <w:rPr>
                <w:szCs w:val="22"/>
              </w:rPr>
              <w:t>Evaluators examined whether Little Scientists appealed to pre-service teacher. They recommend that if Little Scientists is looking to impact pre-service teachers, they will need a different communication and engagement strategy that looks at making the initiative more obviously relevant, reducing cost and the time commitment for pre-service teachers.</w:t>
            </w:r>
          </w:p>
        </w:tc>
      </w:tr>
      <w:tr w:rsidR="00762B5A" w14:paraId="4ACC6DCA" w14:textId="77777777" w:rsidTr="007E2D07">
        <w:trPr>
          <w:trHeight w:val="664"/>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0CEEB1CA" w14:textId="77777777" w:rsidR="00762B5A" w:rsidRPr="00125FCF" w:rsidRDefault="00762B5A" w:rsidP="007E2D07">
            <w:pPr>
              <w:rPr>
                <w:b/>
                <w:bCs/>
                <w:szCs w:val="22"/>
              </w:rPr>
            </w:pPr>
            <w:r w:rsidRPr="00125FCF">
              <w:rPr>
                <w:b/>
                <w:bCs/>
                <w:szCs w:val="22"/>
              </w:rPr>
              <w:t xml:space="preserve">Limitations of evaluation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C274D47" w14:textId="77777777" w:rsidR="00762B5A" w:rsidRDefault="00762B5A" w:rsidP="007E2D07">
            <w:pPr>
              <w:rPr>
                <w:szCs w:val="22"/>
              </w:rPr>
            </w:pPr>
            <w:r>
              <w:rPr>
                <w:szCs w:val="22"/>
              </w:rPr>
              <w:t xml:space="preserve">The evaluation does not include direct measures of child engagement and achievement. </w:t>
            </w:r>
            <w:r>
              <w:rPr>
                <w:iCs/>
                <w:szCs w:val="22"/>
              </w:rPr>
              <w:t xml:space="preserve">The evaluators chose to rely on educators who could provide examples about how kids are engaging with the program instead </w:t>
            </w:r>
          </w:p>
        </w:tc>
      </w:tr>
      <w:tr w:rsidR="00762B5A" w14:paraId="18C7ABD8" w14:textId="77777777" w:rsidTr="007E2D07">
        <w:trPr>
          <w:trHeight w:val="1148"/>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F9CC5C9" w14:textId="77777777" w:rsidR="00762B5A" w:rsidRPr="00D52533" w:rsidRDefault="00762B5A" w:rsidP="007E2D07">
            <w:pPr>
              <w:rPr>
                <w:b/>
                <w:bCs/>
                <w:szCs w:val="22"/>
              </w:rPr>
            </w:pPr>
            <w:r w:rsidRPr="00D52533">
              <w:rPr>
                <w:b/>
                <w:bCs/>
                <w:szCs w:val="22"/>
              </w:rPr>
              <w:t xml:space="preserve">Challenges faced by provider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5C5C7CF8" w14:textId="77777777" w:rsidR="00762B5A" w:rsidRDefault="00762B5A" w:rsidP="00164DDE">
            <w:pPr>
              <w:pStyle w:val="ListParagraph"/>
              <w:numPr>
                <w:ilvl w:val="0"/>
                <w:numId w:val="137"/>
              </w:numPr>
              <w:rPr>
                <w:szCs w:val="22"/>
                <w:lang w:val="en-US"/>
              </w:rPr>
            </w:pPr>
            <w:r>
              <w:rPr>
                <w:szCs w:val="22"/>
                <w:lang w:val="en-US"/>
              </w:rPr>
              <w:t>Costs and finding casual replacement educators are barriers for participants who want to attend the professional learning</w:t>
            </w:r>
          </w:p>
          <w:p w14:paraId="633324D6" w14:textId="77777777" w:rsidR="00762B5A" w:rsidRDefault="00762B5A" w:rsidP="00164DDE">
            <w:pPr>
              <w:pStyle w:val="ListParagraph"/>
              <w:numPr>
                <w:ilvl w:val="0"/>
                <w:numId w:val="137"/>
              </w:numPr>
              <w:rPr>
                <w:bCs/>
                <w:szCs w:val="22"/>
                <w:u w:val="single"/>
                <w:lang w:val="en-US"/>
              </w:rPr>
            </w:pPr>
            <w:r>
              <w:rPr>
                <w:szCs w:val="22"/>
                <w:lang w:val="en-US"/>
              </w:rPr>
              <w:t>Finding trainers who have knowledge and skills in both early childhood and STEM</w:t>
            </w:r>
          </w:p>
          <w:p w14:paraId="3C19116A" w14:textId="77777777" w:rsidR="00762B5A" w:rsidRDefault="00762B5A" w:rsidP="00164DDE">
            <w:pPr>
              <w:pStyle w:val="ListParagraph"/>
              <w:numPr>
                <w:ilvl w:val="0"/>
                <w:numId w:val="137"/>
              </w:numPr>
              <w:rPr>
                <w:bCs/>
                <w:szCs w:val="22"/>
                <w:u w:val="single"/>
                <w:lang w:val="en-US"/>
              </w:rPr>
            </w:pPr>
            <w:r>
              <w:rPr>
                <w:szCs w:val="22"/>
                <w:lang w:val="en-US"/>
              </w:rPr>
              <w:t>Australian Government requirements around IT security impacted the initiative. It was time-consuming and challenging for the provider to develop their own online booking system. In addition, t</w:t>
            </w:r>
            <w:r>
              <w:rPr>
                <w:bCs/>
                <w:szCs w:val="22"/>
                <w:lang w:val="en-US"/>
              </w:rPr>
              <w:t xml:space="preserve">he evaluators were required to use a government provided platform (instead of Facebook) to collect data for the evaluation. As a result, participants were more hesitant and less engaged, which hindered the evaluation activities </w:t>
            </w:r>
          </w:p>
          <w:p w14:paraId="28BDEA06" w14:textId="77777777" w:rsidR="00762B5A" w:rsidRDefault="00762B5A" w:rsidP="00164DDE">
            <w:pPr>
              <w:pStyle w:val="ListParagraph"/>
              <w:numPr>
                <w:ilvl w:val="0"/>
                <w:numId w:val="137"/>
              </w:numPr>
              <w:rPr>
                <w:bCs/>
                <w:szCs w:val="22"/>
                <w:u w:val="single"/>
                <w:lang w:val="en-US"/>
              </w:rPr>
            </w:pPr>
            <w:r>
              <w:rPr>
                <w:szCs w:val="22"/>
                <w:lang w:val="en-US"/>
              </w:rPr>
              <w:t>Managing the diversity in skills and experience in some educators who participated in the professional learning. Some had little interest in teaching STEM while other educators had a lot of experience</w:t>
            </w:r>
          </w:p>
        </w:tc>
      </w:tr>
      <w:tr w:rsidR="00762B5A" w14:paraId="378A31AE" w14:textId="77777777" w:rsidTr="007E2D07">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3F1831C5" w14:textId="77777777" w:rsidR="00762B5A" w:rsidRPr="00D52533" w:rsidRDefault="00762B5A" w:rsidP="007E2D07">
            <w:pPr>
              <w:rPr>
                <w:b/>
                <w:bCs/>
                <w:szCs w:val="22"/>
              </w:rPr>
            </w:pPr>
            <w:r w:rsidRPr="00D52533">
              <w:rPr>
                <w:b/>
                <w:bCs/>
                <w:szCs w:val="22"/>
              </w:rPr>
              <w:t xml:space="preserve">Future plans and goals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1E3A242A" w14:textId="77777777" w:rsidR="00762B5A" w:rsidRDefault="00762B5A" w:rsidP="007E2D07">
            <w:pPr>
              <w:rPr>
                <w:szCs w:val="22"/>
              </w:rPr>
            </w:pPr>
            <w:r>
              <w:rPr>
                <w:szCs w:val="22"/>
              </w:rPr>
              <w:t xml:space="preserve">The provider has submitted a proposal to the Department of Education for on-going funding. </w:t>
            </w:r>
          </w:p>
        </w:tc>
      </w:tr>
      <w:tr w:rsidR="00762B5A" w14:paraId="72B62D48" w14:textId="77777777" w:rsidTr="007E2D07">
        <w:trPr>
          <w:trHeight w:val="273"/>
        </w:trPr>
        <w:tc>
          <w:tcPr>
            <w:tcW w:w="2825"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4BA0B28F" w14:textId="77777777" w:rsidR="00762B5A" w:rsidRPr="00D52533" w:rsidRDefault="00762B5A" w:rsidP="007E2D07">
            <w:pPr>
              <w:rPr>
                <w:b/>
                <w:bCs/>
                <w:szCs w:val="22"/>
              </w:rPr>
            </w:pPr>
            <w:r w:rsidRPr="00D52533">
              <w:rPr>
                <w:b/>
                <w:bCs/>
                <w:szCs w:val="22"/>
              </w:rPr>
              <w:t xml:space="preserve">Sources </w:t>
            </w:r>
          </w:p>
        </w:tc>
        <w:tc>
          <w:tcPr>
            <w:tcW w:w="6379" w:type="dxa"/>
            <w:tcBorders>
              <w:top w:val="single" w:sz="8" w:space="0" w:color="931B2F" w:themeColor="background2"/>
              <w:left w:val="single" w:sz="8" w:space="0" w:color="931B2F" w:themeColor="background2"/>
              <w:bottom w:val="single" w:sz="8" w:space="0" w:color="931B2F" w:themeColor="background2"/>
              <w:right w:val="single" w:sz="8" w:space="0" w:color="931B2F" w:themeColor="background2"/>
            </w:tcBorders>
            <w:hideMark/>
          </w:tcPr>
          <w:p w14:paraId="6EEEE353" w14:textId="77777777" w:rsidR="00762B5A" w:rsidRDefault="00762B5A" w:rsidP="00164DDE">
            <w:pPr>
              <w:pStyle w:val="ListParagraph"/>
              <w:numPr>
                <w:ilvl w:val="0"/>
                <w:numId w:val="136"/>
              </w:numPr>
              <w:rPr>
                <w:szCs w:val="22"/>
              </w:rPr>
            </w:pPr>
            <w:r>
              <w:rPr>
                <w:iCs/>
                <w:szCs w:val="22"/>
                <w:lang w:val="en-US"/>
              </w:rPr>
              <w:t>Charles Sturt University. (March 2019).</w:t>
            </w:r>
            <w:r>
              <w:rPr>
                <w:szCs w:val="22"/>
                <w:lang w:val="en-US"/>
              </w:rPr>
              <w:t xml:space="preserve"> </w:t>
            </w:r>
            <w:r>
              <w:rPr>
                <w:i/>
                <w:iCs/>
                <w:szCs w:val="22"/>
                <w:lang w:val="en-US"/>
              </w:rPr>
              <w:t xml:space="preserve">Little Scientists Evaluation - </w:t>
            </w:r>
            <w:r>
              <w:rPr>
                <w:i/>
                <w:iCs/>
                <w:szCs w:val="22"/>
              </w:rPr>
              <w:t>Final Report</w:t>
            </w:r>
          </w:p>
          <w:p w14:paraId="5D93DD03" w14:textId="77777777" w:rsidR="00762B5A" w:rsidRDefault="00762B5A" w:rsidP="00164DDE">
            <w:pPr>
              <w:pStyle w:val="ListParagraph"/>
              <w:numPr>
                <w:ilvl w:val="0"/>
                <w:numId w:val="136"/>
              </w:numPr>
              <w:rPr>
                <w:szCs w:val="22"/>
              </w:rPr>
            </w:pPr>
            <w:r>
              <w:rPr>
                <w:szCs w:val="22"/>
              </w:rPr>
              <w:t xml:space="preserve">Interview with provider </w:t>
            </w:r>
          </w:p>
          <w:p w14:paraId="0C92B1A8" w14:textId="77777777" w:rsidR="00762B5A" w:rsidRDefault="00762B5A" w:rsidP="00164DDE">
            <w:pPr>
              <w:pStyle w:val="ListParagraph"/>
              <w:numPr>
                <w:ilvl w:val="0"/>
                <w:numId w:val="136"/>
              </w:numPr>
            </w:pPr>
            <w:r>
              <w:rPr>
                <w:szCs w:val="22"/>
              </w:rPr>
              <w:t xml:space="preserve">Interview with evaluator </w:t>
            </w:r>
          </w:p>
        </w:tc>
      </w:tr>
    </w:tbl>
    <w:p w14:paraId="51F40649" w14:textId="77777777" w:rsidR="00762B5A" w:rsidRDefault="00762B5A" w:rsidP="00762B5A">
      <w:pPr>
        <w:rPr>
          <w:szCs w:val="22"/>
        </w:rPr>
      </w:pPr>
    </w:p>
    <w:p w14:paraId="19A2045A" w14:textId="77777777" w:rsidR="00762B5A" w:rsidRDefault="00762B5A" w:rsidP="00762B5A">
      <w:pPr>
        <w:rPr>
          <w:szCs w:val="22"/>
        </w:rPr>
      </w:pPr>
    </w:p>
    <w:p w14:paraId="778D9E66" w14:textId="77777777" w:rsidR="00762B5A" w:rsidRDefault="00762B5A" w:rsidP="00762B5A"/>
    <w:p w14:paraId="0F02A79E" w14:textId="77777777" w:rsidR="00762B5A" w:rsidRDefault="00762B5A" w:rsidP="00762B5A"/>
    <w:p w14:paraId="73E515E9" w14:textId="77777777" w:rsidR="00762B5A" w:rsidRDefault="00762B5A" w:rsidP="00762B5A"/>
    <w:p w14:paraId="368690B8" w14:textId="77777777" w:rsidR="00762B5A" w:rsidRPr="003F6AC8" w:rsidRDefault="00762B5A" w:rsidP="00762B5A"/>
    <w:bookmarkEnd w:id="160"/>
    <w:bookmarkEnd w:id="161"/>
    <w:bookmarkEnd w:id="162"/>
    <w:p w14:paraId="636AAD19" w14:textId="77777777" w:rsidR="00762B5A" w:rsidRPr="00292D9C" w:rsidRDefault="00762B5A" w:rsidP="00762B5A"/>
    <w:p w14:paraId="0E7F7226" w14:textId="77777777" w:rsidR="00762B5A" w:rsidRPr="00292D9C" w:rsidRDefault="00762B5A" w:rsidP="00762B5A">
      <w:pPr>
        <w:sectPr w:rsidR="00762B5A" w:rsidRPr="00292D9C" w:rsidSect="00A272C5">
          <w:pgSz w:w="11906" w:h="16838" w:code="9"/>
          <w:pgMar w:top="720" w:right="1701" w:bottom="720" w:left="1134" w:header="567" w:footer="567" w:gutter="0"/>
          <w:cols w:space="708"/>
          <w:docGrid w:linePitch="360"/>
        </w:sectPr>
      </w:pPr>
    </w:p>
    <w:p w14:paraId="6F0F69A9" w14:textId="12C5B3CC" w:rsidR="00927E1E" w:rsidRPr="00292D9C" w:rsidRDefault="00927E1E" w:rsidP="00A616D5">
      <w:pPr>
        <w:pStyle w:val="Heading1"/>
        <w:numPr>
          <w:ilvl w:val="0"/>
          <w:numId w:val="0"/>
        </w:numPr>
        <w:spacing w:before="0" w:after="120" w:line="360" w:lineRule="auto"/>
        <w:rPr>
          <w:rFonts w:asciiTheme="minorHAnsi" w:hAnsiTheme="minorHAnsi"/>
        </w:rPr>
      </w:pPr>
      <w:bookmarkStart w:id="178" w:name="_Toc25162094"/>
      <w:r w:rsidRPr="00292D9C">
        <w:rPr>
          <w:rFonts w:asciiTheme="minorHAnsi" w:hAnsiTheme="minorHAnsi"/>
        </w:rPr>
        <w:t xml:space="preserve">Appendix </w:t>
      </w:r>
      <w:r w:rsidR="00BE6BEF">
        <w:rPr>
          <w:rFonts w:asciiTheme="minorHAnsi" w:hAnsiTheme="minorHAnsi"/>
        </w:rPr>
        <w:t>3</w:t>
      </w:r>
      <w:r w:rsidRPr="00292D9C">
        <w:rPr>
          <w:rFonts w:asciiTheme="minorHAnsi" w:hAnsiTheme="minorHAnsi"/>
        </w:rPr>
        <w:t>: State and territory</w:t>
      </w:r>
      <w:r w:rsidR="00585F36" w:rsidRPr="00292D9C">
        <w:rPr>
          <w:rFonts w:asciiTheme="minorHAnsi" w:hAnsiTheme="minorHAnsi"/>
        </w:rPr>
        <w:t xml:space="preserve"> STEM</w:t>
      </w:r>
      <w:r w:rsidRPr="00292D9C">
        <w:rPr>
          <w:rFonts w:asciiTheme="minorHAnsi" w:hAnsiTheme="minorHAnsi"/>
        </w:rPr>
        <w:t xml:space="preserve"> strategies</w:t>
      </w:r>
      <w:bookmarkEnd w:id="178"/>
      <w:r w:rsidRPr="00292D9C">
        <w:rPr>
          <w:rFonts w:asciiTheme="minorHAnsi" w:hAnsiTheme="minorHAnsi"/>
        </w:rPr>
        <w:t xml:space="preserve"> </w:t>
      </w:r>
    </w:p>
    <w:p w14:paraId="3D557CCB"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iCs/>
          <w:szCs w:val="21"/>
        </w:rPr>
        <w:t>New South Wales</w:t>
      </w:r>
      <w:r w:rsidRPr="00292D9C">
        <w:rPr>
          <w:rFonts w:cstheme="minorHAnsi"/>
          <w:szCs w:val="21"/>
        </w:rPr>
        <w:t xml:space="preserve"> — </w:t>
      </w:r>
      <w:hyperlink r:id="rId36" w:history="1">
        <w:r w:rsidRPr="00292D9C">
          <w:rPr>
            <w:rStyle w:val="Hyperlink"/>
            <w:rFonts w:cstheme="minorHAnsi"/>
            <w:i/>
            <w:iCs/>
            <w:szCs w:val="21"/>
          </w:rPr>
          <w:t xml:space="preserve">Future of Learning </w:t>
        </w:r>
        <w:r w:rsidRPr="00292D9C">
          <w:rPr>
            <w:rStyle w:val="Hyperlink"/>
            <w:rFonts w:cstheme="minorHAnsi"/>
            <w:szCs w:val="21"/>
          </w:rPr>
          <w:t>initiative</w:t>
        </w:r>
      </w:hyperlink>
      <w:r w:rsidRPr="00292D9C">
        <w:rPr>
          <w:rFonts w:cstheme="minorHAnsi"/>
          <w:szCs w:val="21"/>
        </w:rPr>
        <w:t xml:space="preserve"> includes research projects and STEM resources</w:t>
      </w:r>
    </w:p>
    <w:p w14:paraId="13A15017"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szCs w:val="21"/>
        </w:rPr>
        <w:t xml:space="preserve">Victoria — </w:t>
      </w:r>
      <w:hyperlink r:id="rId37" w:history="1">
        <w:r w:rsidRPr="00292D9C">
          <w:rPr>
            <w:rStyle w:val="Hyperlink"/>
            <w:rFonts w:cstheme="minorHAnsi"/>
            <w:i/>
            <w:iCs/>
            <w:szCs w:val="21"/>
          </w:rPr>
          <w:t>STEM in the Education State</w:t>
        </w:r>
      </w:hyperlink>
      <w:r w:rsidRPr="00292D9C">
        <w:rPr>
          <w:rFonts w:cstheme="minorHAnsi"/>
          <w:i/>
          <w:iCs/>
          <w:szCs w:val="21"/>
        </w:rPr>
        <w:t xml:space="preserve"> </w:t>
      </w:r>
      <w:r w:rsidRPr="00292D9C">
        <w:rPr>
          <w:rFonts w:cstheme="minorHAnsi"/>
          <w:szCs w:val="21"/>
        </w:rPr>
        <w:t>(released 2016, with updated initiatives in 2018)</w:t>
      </w:r>
    </w:p>
    <w:p w14:paraId="2E8A3BC0"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szCs w:val="21"/>
        </w:rPr>
        <w:t xml:space="preserve">Queensland — </w:t>
      </w:r>
      <w:hyperlink r:id="rId38" w:history="1">
        <w:r w:rsidRPr="00292D9C">
          <w:rPr>
            <w:rStyle w:val="Hyperlink"/>
            <w:rFonts w:cstheme="minorHAnsi"/>
            <w:i/>
            <w:iCs/>
            <w:szCs w:val="21"/>
          </w:rPr>
          <w:t>A Strategy for STEM in Queensland State Schools</w:t>
        </w:r>
      </w:hyperlink>
    </w:p>
    <w:p w14:paraId="082313D6"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szCs w:val="21"/>
        </w:rPr>
        <w:t xml:space="preserve">Western Australia — </w:t>
      </w:r>
      <w:hyperlink r:id="rId39" w:history="1">
        <w:r w:rsidRPr="00292D9C">
          <w:rPr>
            <w:rStyle w:val="Hyperlink"/>
            <w:rFonts w:cstheme="minorHAnsi"/>
            <w:i/>
            <w:iCs/>
            <w:szCs w:val="21"/>
            <w:lang w:val="en"/>
          </w:rPr>
          <w:t>Future jobs, future skills – Driving STEM skills in Western Australia</w:t>
        </w:r>
      </w:hyperlink>
    </w:p>
    <w:p w14:paraId="44BCBF79"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iCs/>
          <w:szCs w:val="21"/>
        </w:rPr>
        <w:t>South</w:t>
      </w:r>
      <w:r w:rsidRPr="00292D9C">
        <w:rPr>
          <w:rFonts w:cstheme="minorHAnsi"/>
          <w:szCs w:val="21"/>
        </w:rPr>
        <w:t xml:space="preserve"> Australia — </w:t>
      </w:r>
      <w:hyperlink r:id="rId40" w:history="1">
        <w:r w:rsidRPr="00292D9C">
          <w:rPr>
            <w:rStyle w:val="Hyperlink"/>
            <w:rFonts w:cstheme="minorHAnsi"/>
            <w:i/>
            <w:iCs/>
            <w:szCs w:val="21"/>
          </w:rPr>
          <w:t>STEM learning strategy 2017 to 2020</w:t>
        </w:r>
      </w:hyperlink>
    </w:p>
    <w:p w14:paraId="180A70C8"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iCs/>
          <w:szCs w:val="21"/>
        </w:rPr>
        <w:t>Tasmania</w:t>
      </w:r>
      <w:r w:rsidRPr="00292D9C">
        <w:rPr>
          <w:rFonts w:cstheme="minorHAnsi"/>
          <w:szCs w:val="21"/>
        </w:rPr>
        <w:t xml:space="preserve"> — </w:t>
      </w:r>
      <w:hyperlink r:id="rId41" w:history="1">
        <w:r w:rsidRPr="00292D9C">
          <w:rPr>
            <w:rStyle w:val="Hyperlink"/>
            <w:rFonts w:cstheme="minorHAnsi"/>
            <w:szCs w:val="21"/>
            <w:lang w:val="en-US"/>
          </w:rPr>
          <w:t>STEM Framework</w:t>
        </w:r>
      </w:hyperlink>
      <w:r w:rsidRPr="00292D9C">
        <w:rPr>
          <w:rFonts w:cstheme="minorHAnsi"/>
          <w:szCs w:val="21"/>
          <w:lang w:val="en-US"/>
        </w:rPr>
        <w:t xml:space="preserve"> within Department of Education </w:t>
      </w:r>
    </w:p>
    <w:p w14:paraId="63956ABE" w14:textId="77777777" w:rsidR="00927E1E" w:rsidRPr="00292D9C" w:rsidRDefault="00927E1E" w:rsidP="00A616D5">
      <w:pPr>
        <w:pStyle w:val="ListParagraph"/>
        <w:numPr>
          <w:ilvl w:val="0"/>
          <w:numId w:val="16"/>
        </w:numPr>
        <w:ind w:left="714" w:hanging="357"/>
        <w:rPr>
          <w:rFonts w:cstheme="minorHAnsi"/>
          <w:szCs w:val="21"/>
        </w:rPr>
      </w:pPr>
      <w:r w:rsidRPr="00292D9C">
        <w:rPr>
          <w:rFonts w:cstheme="minorHAnsi"/>
          <w:iCs/>
          <w:szCs w:val="21"/>
        </w:rPr>
        <w:t xml:space="preserve">Australian Capital Territory </w:t>
      </w:r>
      <w:r w:rsidRPr="00292D9C">
        <w:rPr>
          <w:rFonts w:cstheme="minorHAnsi"/>
          <w:szCs w:val="21"/>
        </w:rPr>
        <w:t>— has adopted the National STEM School Education Strategy</w:t>
      </w:r>
    </w:p>
    <w:p w14:paraId="762CDCCD" w14:textId="77777777" w:rsidR="00251B6D" w:rsidRPr="00292D9C" w:rsidRDefault="00927E1E" w:rsidP="00A616D5">
      <w:pPr>
        <w:pStyle w:val="ListParagraph"/>
        <w:numPr>
          <w:ilvl w:val="0"/>
          <w:numId w:val="16"/>
        </w:numPr>
        <w:ind w:left="714" w:hanging="357"/>
        <w:rPr>
          <w:rFonts w:cstheme="minorHAnsi"/>
          <w:szCs w:val="21"/>
        </w:rPr>
      </w:pPr>
      <w:r w:rsidRPr="00292D9C">
        <w:rPr>
          <w:rFonts w:cstheme="minorHAnsi"/>
          <w:iCs/>
          <w:szCs w:val="21"/>
        </w:rPr>
        <w:t>Northern Territory</w:t>
      </w:r>
      <w:r w:rsidRPr="00292D9C">
        <w:rPr>
          <w:rFonts w:cstheme="minorHAnsi"/>
          <w:szCs w:val="21"/>
        </w:rPr>
        <w:t xml:space="preserve"> — </w:t>
      </w:r>
      <w:hyperlink r:id="rId42" w:history="1">
        <w:r w:rsidRPr="00292D9C">
          <w:rPr>
            <w:rStyle w:val="Hyperlink"/>
            <w:rFonts w:cstheme="minorHAnsi"/>
            <w:i/>
            <w:iCs/>
            <w:szCs w:val="21"/>
          </w:rPr>
          <w:t>STEM in the Territory Strategy 2018-2022</w:t>
        </w:r>
      </w:hyperlink>
    </w:p>
    <w:p w14:paraId="321FA640" w14:textId="77777777" w:rsidR="00766985" w:rsidRPr="00292D9C" w:rsidRDefault="00766985" w:rsidP="00A616D5">
      <w:pPr>
        <w:pStyle w:val="Heading1"/>
        <w:numPr>
          <w:ilvl w:val="0"/>
          <w:numId w:val="0"/>
        </w:numPr>
        <w:spacing w:before="0" w:after="120" w:line="360" w:lineRule="auto"/>
        <w:rPr>
          <w:rFonts w:asciiTheme="minorHAnsi" w:hAnsiTheme="minorHAnsi"/>
        </w:rPr>
      </w:pPr>
    </w:p>
    <w:p w14:paraId="0339AFCF" w14:textId="77777777" w:rsidR="00766985" w:rsidRPr="00292D9C" w:rsidRDefault="00766985" w:rsidP="00A616D5"/>
    <w:p w14:paraId="571A4169" w14:textId="77777777" w:rsidR="00766985" w:rsidRPr="00292D9C" w:rsidRDefault="00766985" w:rsidP="00A616D5"/>
    <w:p w14:paraId="254C2F3E" w14:textId="77777777" w:rsidR="00766985" w:rsidRPr="00292D9C" w:rsidRDefault="00766985" w:rsidP="00A616D5"/>
    <w:p w14:paraId="76BD1CAF" w14:textId="77777777" w:rsidR="00766985" w:rsidRPr="00292D9C" w:rsidRDefault="00766985" w:rsidP="00A616D5"/>
    <w:p w14:paraId="50026A7F" w14:textId="77777777" w:rsidR="00766985" w:rsidRPr="00292D9C" w:rsidRDefault="00766985" w:rsidP="00A616D5"/>
    <w:p w14:paraId="07BC6CF9" w14:textId="77777777" w:rsidR="00766985" w:rsidRPr="00292D9C" w:rsidRDefault="00766985" w:rsidP="00A616D5"/>
    <w:p w14:paraId="62AD2FF9" w14:textId="77777777" w:rsidR="00766985" w:rsidRPr="00292D9C" w:rsidRDefault="00766985" w:rsidP="00A616D5"/>
    <w:p w14:paraId="46D957E5" w14:textId="77777777" w:rsidR="00DB734A" w:rsidRPr="00292D9C" w:rsidRDefault="00DB734A" w:rsidP="002512D9"/>
    <w:sectPr w:rsidR="00DB734A" w:rsidRPr="00292D9C" w:rsidSect="00A272C5">
      <w:pgSz w:w="11906" w:h="16838" w:code="9"/>
      <w:pgMar w:top="720" w:right="1701" w:bottom="72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F15EE" w14:textId="77777777" w:rsidR="007E2D07" w:rsidRDefault="007E2D07" w:rsidP="00A13F5D">
      <w:r>
        <w:separator/>
      </w:r>
    </w:p>
    <w:p w14:paraId="0AD93650" w14:textId="77777777" w:rsidR="007E2D07" w:rsidRDefault="007E2D07"/>
    <w:p w14:paraId="4A054F70" w14:textId="77777777" w:rsidR="007E2D07" w:rsidRDefault="007E2D07"/>
    <w:p w14:paraId="48C55441" w14:textId="77777777" w:rsidR="007E2D07" w:rsidRDefault="007E2D07"/>
  </w:endnote>
  <w:endnote w:type="continuationSeparator" w:id="0">
    <w:p w14:paraId="48F556BA" w14:textId="77777777" w:rsidR="007E2D07" w:rsidRDefault="007E2D07" w:rsidP="00A13F5D">
      <w:r>
        <w:continuationSeparator/>
      </w:r>
    </w:p>
    <w:p w14:paraId="070D0BCB" w14:textId="77777777" w:rsidR="007E2D07" w:rsidRDefault="007E2D07"/>
    <w:p w14:paraId="1A8A25A4" w14:textId="77777777" w:rsidR="007E2D07" w:rsidRDefault="007E2D07"/>
    <w:p w14:paraId="40D2D593" w14:textId="77777777" w:rsidR="007E2D07" w:rsidRDefault="007E2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734"/>
      <w:gridCol w:w="7337"/>
    </w:tblGrid>
    <w:tr w:rsidR="007E2D07" w:rsidRPr="00776420" w14:paraId="4BE716C1" w14:textId="77777777" w:rsidTr="005E30A8">
      <w:trPr>
        <w:trHeight w:val="340"/>
      </w:trPr>
      <w:tc>
        <w:tcPr>
          <w:tcW w:w="956" w:type="pct"/>
          <w:vAlign w:val="bottom"/>
        </w:tcPr>
        <w:p w14:paraId="38FE5544" w14:textId="77777777" w:rsidR="007E2D07" w:rsidRPr="002C5F08" w:rsidRDefault="007E2D07" w:rsidP="00B20B55">
          <w:pPr>
            <w:pStyle w:val="FooterHeading"/>
          </w:pPr>
          <w:r>
            <w:rPr>
              <w:noProof/>
              <w:lang w:eastAsia="en-AU"/>
            </w:rPr>
            <w:drawing>
              <wp:inline distT="0" distB="0" distL="0" distR="0" wp14:anchorId="74A3F360" wp14:editId="649048B6">
                <wp:extent cx="553846" cy="90000"/>
                <wp:effectExtent l="0" t="0" r="0" b="5715"/>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53846" cy="90000"/>
                        </a:xfrm>
                        <a:prstGeom prst="rect">
                          <a:avLst/>
                        </a:prstGeom>
                        <a:noFill/>
                        <a:ln w="9525">
                          <a:noFill/>
                          <a:miter lim="800000"/>
                          <a:headEnd/>
                          <a:tailEnd/>
                        </a:ln>
                      </pic:spPr>
                    </pic:pic>
                  </a:graphicData>
                </a:graphic>
              </wp:inline>
            </w:drawing>
          </w:r>
        </w:p>
      </w:tc>
      <w:tc>
        <w:tcPr>
          <w:tcW w:w="4044" w:type="pct"/>
          <w:vAlign w:val="bottom"/>
        </w:tcPr>
        <w:p w14:paraId="1019E15B" w14:textId="21209405" w:rsidR="007E2D07" w:rsidRPr="00C705EE" w:rsidRDefault="00887DB6" w:rsidP="00B20B55">
          <w:pPr>
            <w:pStyle w:val="FooterHeading"/>
            <w:jc w:val="right"/>
            <w:rPr>
              <w:b/>
              <w:sz w:val="16"/>
              <w:szCs w:val="18"/>
            </w:rPr>
          </w:pPr>
          <w:sdt>
            <w:sdtPr>
              <w:rPr>
                <w:caps/>
                <w:sz w:val="16"/>
                <w:szCs w:val="18"/>
              </w:rPr>
              <w:alias w:val="Title"/>
              <w:tag w:val=""/>
              <w:id w:val="1402876845"/>
              <w:dataBinding w:prefixMappings="xmlns:ns0='http://purl.org/dc/elements/1.1/' xmlns:ns1='http://schemas.openxmlformats.org/package/2006/metadata/core-properties' " w:xpath="/ns1:coreProperties[1]/ns0:title[1]" w:storeItemID="{6C3C8BC8-F283-45AE-878A-BAB7291924A1}"/>
              <w:text/>
            </w:sdtPr>
            <w:sdtEndPr/>
            <w:sdtContent>
              <w:r w:rsidR="007E2D07" w:rsidRPr="00C705EE">
                <w:rPr>
                  <w:caps/>
                  <w:sz w:val="16"/>
                  <w:szCs w:val="18"/>
                </w:rPr>
                <w:t>EVALUATION OF EARLY LEARNING AND SCHOOLS INITIATIVES IN THE NATIONAL INNOVATION AND SCIENCE AGENDA</w:t>
              </w:r>
            </w:sdtContent>
          </w:sdt>
          <w:r w:rsidR="007E2D07" w:rsidRPr="00C705EE">
            <w:rPr>
              <w:b/>
              <w:sz w:val="16"/>
              <w:szCs w:val="18"/>
            </w:rPr>
            <w:t xml:space="preserve">  </w:t>
          </w:r>
          <w:r w:rsidR="007E2D07" w:rsidRPr="00C705EE">
            <w:rPr>
              <w:sz w:val="16"/>
              <w:szCs w:val="18"/>
            </w:rPr>
            <w:t xml:space="preserve">|  </w:t>
          </w:r>
          <w:r w:rsidR="007E2D07" w:rsidRPr="00C705EE">
            <w:rPr>
              <w:sz w:val="16"/>
              <w:szCs w:val="18"/>
            </w:rPr>
            <w:fldChar w:fldCharType="begin"/>
          </w:r>
          <w:r w:rsidR="007E2D07" w:rsidRPr="00C705EE">
            <w:rPr>
              <w:sz w:val="16"/>
              <w:szCs w:val="18"/>
            </w:rPr>
            <w:instrText xml:space="preserve"> PAGE  \* Arabic </w:instrText>
          </w:r>
          <w:r w:rsidR="007E2D07" w:rsidRPr="00C705EE">
            <w:rPr>
              <w:sz w:val="16"/>
              <w:szCs w:val="18"/>
            </w:rPr>
            <w:fldChar w:fldCharType="separate"/>
          </w:r>
          <w:r w:rsidR="00590A37">
            <w:rPr>
              <w:noProof/>
              <w:sz w:val="16"/>
              <w:szCs w:val="18"/>
            </w:rPr>
            <w:t>1</w:t>
          </w:r>
          <w:r w:rsidR="007E2D07" w:rsidRPr="00C705EE">
            <w:rPr>
              <w:sz w:val="16"/>
              <w:szCs w:val="18"/>
            </w:rPr>
            <w:fldChar w:fldCharType="end"/>
          </w:r>
        </w:p>
      </w:tc>
    </w:tr>
  </w:tbl>
  <w:p w14:paraId="7B60DAE1" w14:textId="77777777" w:rsidR="007E2D07" w:rsidRPr="001A73D7" w:rsidRDefault="007E2D07" w:rsidP="001A73D7">
    <w:pPr>
      <w:pStyle w:val="NormalSingleSpacing"/>
    </w:pPr>
  </w:p>
  <w:p w14:paraId="4DB9D1BD" w14:textId="77777777" w:rsidR="007E2D07" w:rsidRDefault="007E2D07"/>
  <w:p w14:paraId="6CB01DFE" w14:textId="77777777" w:rsidR="007E2D07" w:rsidRDefault="007E2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9071"/>
    </w:tblGrid>
    <w:tr w:rsidR="007E2D07" w14:paraId="035C3DC1" w14:textId="77777777" w:rsidTr="00111A33">
      <w:trPr>
        <w:trHeight w:val="567"/>
      </w:trPr>
      <w:tc>
        <w:tcPr>
          <w:tcW w:w="5000" w:type="pct"/>
        </w:tcPr>
        <w:p w14:paraId="109AEE1F" w14:textId="77777777" w:rsidR="007E2D07" w:rsidRDefault="007E2D07" w:rsidP="00111A33">
          <w:pPr>
            <w:pStyle w:val="FooterHeading"/>
            <w:jc w:val="center"/>
          </w:pPr>
          <w:r w:rsidRPr="00E501B2">
            <w:rPr>
              <w:rFonts w:ascii="Arial Narrow" w:eastAsia="Cambria" w:hAnsi="Arial Narrow" w:cs="Times New Roman"/>
              <w:noProof/>
              <w:color w:val="auto"/>
              <w:sz w:val="24"/>
              <w:szCs w:val="24"/>
              <w:lang w:eastAsia="en-AU"/>
            </w:rPr>
            <w:drawing>
              <wp:inline distT="0" distB="0" distL="0" distR="0" wp14:anchorId="3C1A5726" wp14:editId="2C5C11F3">
                <wp:extent cx="1524000" cy="247650"/>
                <wp:effectExtent l="0" t="0" r="0" b="0"/>
                <wp:docPr id="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1524000" cy="247650"/>
                        </a:xfrm>
                        <a:prstGeom prst="rect">
                          <a:avLst/>
                        </a:prstGeom>
                        <a:noFill/>
                        <a:ln w="9525">
                          <a:noFill/>
                          <a:miter lim="800000"/>
                          <a:headEnd/>
                          <a:tailEnd/>
                        </a:ln>
                      </pic:spPr>
                    </pic:pic>
                  </a:graphicData>
                </a:graphic>
              </wp:inline>
            </w:drawing>
          </w:r>
        </w:p>
        <w:p w14:paraId="22ADDF4C" w14:textId="77777777" w:rsidR="007E2D07" w:rsidRDefault="007E2D07" w:rsidP="00111A33">
          <w:pPr>
            <w:pStyle w:val="FooterHeading"/>
            <w:jc w:val="center"/>
          </w:pPr>
          <w:r>
            <w:rPr>
              <w:noProof/>
              <w:lang w:eastAsia="en-AU"/>
            </w:rPr>
            <mc:AlternateContent>
              <mc:Choice Requires="wps">
                <w:drawing>
                  <wp:inline distT="0" distB="0" distL="0" distR="0" wp14:anchorId="39E1027B" wp14:editId="46197243">
                    <wp:extent cx="360045" cy="0"/>
                    <wp:effectExtent l="0" t="0" r="0" b="0"/>
                    <wp:docPr id="7" name="AutoShape 6" descr="Figur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3C3C3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inline>
                </w:drawing>
              </mc:Choice>
              <mc:Fallback>
                <w:pict>
                  <v:shapetype w14:anchorId="2F4EE61B" id="_x0000_t32" coordsize="21600,21600" o:spt="32" o:oned="t" path="m,l21600,21600e" filled="f">
                    <v:path arrowok="t" fillok="f" o:connecttype="none"/>
                    <o:lock v:ext="edit" shapetype="t"/>
                  </v:shapetype>
                  <v:shape id="AutoShape 6" o:spid="_x0000_s1026" type="#_x0000_t32" alt="Figure 6" style="width:28.3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" strokecolor="#3c3c3b">
                    <w10:anchorlock/>
                  </v:shape>
                </w:pict>
              </mc:Fallback>
            </mc:AlternateContent>
          </w:r>
        </w:p>
      </w:tc>
    </w:tr>
    <w:tr w:rsidR="007E2D07" w14:paraId="44B65EC9" w14:textId="77777777" w:rsidTr="00111A33">
      <w:tc>
        <w:tcPr>
          <w:tcW w:w="5000" w:type="pct"/>
        </w:tcPr>
        <w:p w14:paraId="04B9D21C" w14:textId="77777777" w:rsidR="007E2D07" w:rsidRDefault="007E2D07" w:rsidP="00111A33">
          <w:pPr>
            <w:pStyle w:val="CoverAddress"/>
          </w:pPr>
          <w:bookmarkStart w:id="112" w:name="_Hlk514803165"/>
        </w:p>
        <w:p w14:paraId="67BE2A1A" w14:textId="77777777" w:rsidR="007E2D07" w:rsidRDefault="007E2D07" w:rsidP="00111A33">
          <w:pPr>
            <w:pStyle w:val="CoverAddress"/>
          </w:pPr>
        </w:p>
        <w:p w14:paraId="05620E8D" w14:textId="77777777" w:rsidR="007E2D07" w:rsidRDefault="007E2D07" w:rsidP="00111A33">
          <w:pPr>
            <w:pStyle w:val="CoverAddress"/>
          </w:pPr>
          <w:r w:rsidRPr="00E501B2">
            <w:t>Level 1, 155 Queen Street, Melbourne 3000 Victoria</w:t>
          </w:r>
        </w:p>
        <w:p w14:paraId="1DD4E84E" w14:textId="77777777" w:rsidR="007E2D07" w:rsidRPr="00E501B2" w:rsidRDefault="007E2D07" w:rsidP="00111A33">
          <w:pPr>
            <w:pStyle w:val="CoverAddress"/>
          </w:pPr>
        </w:p>
        <w:p w14:paraId="0BE0AAD7" w14:textId="77777777" w:rsidR="007E2D07" w:rsidRDefault="007E2D07" w:rsidP="00111A33">
          <w:pPr>
            <w:pStyle w:val="CoverAddress"/>
          </w:pPr>
          <w:r w:rsidRPr="00E501B2">
            <w:t xml:space="preserve">T: +61 3 9211 0015  F: +61 3 9949 9768  E: </w:t>
          </w:r>
          <w:hyperlink r:id="rId2" w:history="1">
            <w:r w:rsidRPr="00E501B2">
              <w:rPr>
                <w:rStyle w:val="Hyperlink"/>
              </w:rPr>
              <w:t>enquiries@dandolo.com.au</w:t>
            </w:r>
          </w:hyperlink>
        </w:p>
        <w:p w14:paraId="4506BDEA" w14:textId="77777777" w:rsidR="007E2D07" w:rsidRDefault="007E2D07" w:rsidP="00111A33">
          <w:pPr>
            <w:pStyle w:val="CoverAddress"/>
          </w:pPr>
        </w:p>
        <w:p w14:paraId="2EB0A29C" w14:textId="77777777" w:rsidR="007E2D07" w:rsidRPr="00E501B2" w:rsidRDefault="00887DB6" w:rsidP="00111A33">
          <w:pPr>
            <w:pStyle w:val="CoverAddress"/>
          </w:pPr>
          <w:hyperlink r:id="rId3" w:history="1">
            <w:r w:rsidR="007E2D07" w:rsidRPr="00E501B2">
              <w:rPr>
                <w:rStyle w:val="Hyperlink"/>
              </w:rPr>
              <w:t>www.dandolo.com.au</w:t>
            </w:r>
          </w:hyperlink>
        </w:p>
        <w:p w14:paraId="495B0407" w14:textId="77777777" w:rsidR="007E2D07" w:rsidRPr="00E501B2" w:rsidRDefault="007E2D07" w:rsidP="00111A33">
          <w:pPr>
            <w:pStyle w:val="CoverAddress"/>
          </w:pPr>
        </w:p>
        <w:p w14:paraId="43B653B7" w14:textId="77777777" w:rsidR="007E2D07" w:rsidRPr="00E501B2" w:rsidRDefault="007E2D07" w:rsidP="00111A33">
          <w:pPr>
            <w:pStyle w:val="CoverAddress"/>
          </w:pPr>
          <w:r w:rsidRPr="00E501B2">
            <w:t>ABN 48 757 017 061</w:t>
          </w:r>
        </w:p>
      </w:tc>
    </w:tr>
    <w:bookmarkEnd w:id="112"/>
  </w:tbl>
  <w:p w14:paraId="235F0D8D" w14:textId="77777777" w:rsidR="007E2D07" w:rsidRPr="00F94A96" w:rsidRDefault="007E2D07" w:rsidP="00E5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88BC" w14:textId="77777777" w:rsidR="007E2D07" w:rsidRDefault="007E2D07" w:rsidP="00261151">
      <w:pPr>
        <w:pStyle w:val="FootnoteText"/>
      </w:pPr>
      <w:r w:rsidRPr="00491B5D">
        <w:rPr>
          <w:color w:val="931B2F" w:themeColor="background2"/>
        </w:rPr>
        <w:separator/>
      </w:r>
    </w:p>
  </w:footnote>
  <w:footnote w:type="continuationSeparator" w:id="0">
    <w:p w14:paraId="6A9B78A0" w14:textId="77777777" w:rsidR="007E2D07" w:rsidRDefault="007E2D07" w:rsidP="00261151">
      <w:pPr>
        <w:pStyle w:val="FootnoteText"/>
      </w:pPr>
      <w:r>
        <w:continuationSeparator/>
      </w:r>
    </w:p>
  </w:footnote>
  <w:footnote w:type="continuationNotice" w:id="1">
    <w:p w14:paraId="73CCC60B" w14:textId="77777777" w:rsidR="007E2D07" w:rsidRDefault="007E2D07" w:rsidP="00192391">
      <w:pPr>
        <w:pStyle w:val="FootnoteText"/>
      </w:pPr>
    </w:p>
  </w:footnote>
  <w:footnote w:id="2">
    <w:p w14:paraId="17E26B99" w14:textId="77777777" w:rsidR="007E2D07" w:rsidRPr="006541D4" w:rsidRDefault="007E2D07">
      <w:pPr>
        <w:pStyle w:val="FootnoteText"/>
        <w:rPr>
          <w:lang w:val="en-AU"/>
        </w:rPr>
      </w:pPr>
      <w:r>
        <w:rPr>
          <w:rStyle w:val="FootnoteReference"/>
        </w:rPr>
        <w:footnoteRef/>
      </w:r>
      <w:r>
        <w:t xml:space="preserve"> </w:t>
      </w:r>
      <w:r>
        <w:rPr>
          <w:szCs w:val="22"/>
        </w:rPr>
        <w:t xml:space="preserve">In order to evaluate NISA initiatives as a package, </w:t>
      </w:r>
      <w:proofErr w:type="spellStart"/>
      <w:r>
        <w:rPr>
          <w:szCs w:val="22"/>
        </w:rPr>
        <w:t>dandolo</w:t>
      </w:r>
      <w:proofErr w:type="spellEnd"/>
      <w:r>
        <w:rPr>
          <w:szCs w:val="22"/>
        </w:rPr>
        <w:t xml:space="preserve"> developed a framework using four analytical lenses (why, who, what and how). See Section 1 for more information.</w:t>
      </w:r>
    </w:p>
  </w:footnote>
  <w:footnote w:id="3">
    <w:p w14:paraId="64469B8E" w14:textId="77777777" w:rsidR="007E2D07" w:rsidRPr="006959E1" w:rsidRDefault="007E2D07">
      <w:pPr>
        <w:pStyle w:val="FootnoteText"/>
        <w:rPr>
          <w:lang w:val="en-AU"/>
        </w:rPr>
      </w:pPr>
      <w:r>
        <w:rPr>
          <w:rStyle w:val="FootnoteReference"/>
        </w:rPr>
        <w:footnoteRef/>
      </w:r>
      <w:r>
        <w:t xml:space="preserve"> </w:t>
      </w:r>
      <w:r>
        <w:rPr>
          <w:lang w:val="en-AU"/>
        </w:rPr>
        <w:t xml:space="preserve">See Section 5 for more detail. </w:t>
      </w:r>
    </w:p>
  </w:footnote>
  <w:footnote w:id="4">
    <w:p w14:paraId="03CA81AA" w14:textId="77777777" w:rsidR="007E2D07" w:rsidRPr="00EE71A9" w:rsidRDefault="007E2D07" w:rsidP="008260AE">
      <w:pPr>
        <w:rPr>
          <w:sz w:val="16"/>
          <w:szCs w:val="16"/>
        </w:rPr>
      </w:pPr>
      <w:r w:rsidRPr="00EE71A9">
        <w:rPr>
          <w:rStyle w:val="FootnoteReference"/>
          <w:sz w:val="16"/>
          <w:szCs w:val="16"/>
        </w:rPr>
        <w:footnoteRef/>
      </w:r>
      <w:r w:rsidRPr="00EE71A9">
        <w:rPr>
          <w:sz w:val="16"/>
          <w:szCs w:val="16"/>
        </w:rPr>
        <w:t xml:space="preserve"> A more detailed explanation on each is provided in Section 3.  </w:t>
      </w:r>
    </w:p>
    <w:p w14:paraId="0ADCF987" w14:textId="77777777" w:rsidR="007E2D07" w:rsidRPr="00EE71A9" w:rsidRDefault="007E2D07">
      <w:pPr>
        <w:pStyle w:val="FootnoteText"/>
        <w:rPr>
          <w:lang w:val="en-AU"/>
        </w:rPr>
      </w:pPr>
    </w:p>
  </w:footnote>
  <w:footnote w:id="5">
    <w:p w14:paraId="5A5D6E4F" w14:textId="77777777" w:rsidR="007E2D07" w:rsidRPr="00CD2F48" w:rsidRDefault="007E2D07">
      <w:pPr>
        <w:pStyle w:val="FootnoteText"/>
        <w:rPr>
          <w:szCs w:val="16"/>
          <w:lang w:val="en-AU"/>
        </w:rPr>
      </w:pPr>
      <w:r w:rsidRPr="00CD2F48">
        <w:rPr>
          <w:rStyle w:val="FootnoteReference"/>
          <w:szCs w:val="16"/>
        </w:rPr>
        <w:footnoteRef/>
      </w:r>
      <w:r w:rsidRPr="00CD2F48">
        <w:rPr>
          <w:szCs w:val="16"/>
        </w:rPr>
        <w:t xml:space="preserve"> Our analysis focuses on NISA funded initiatives and </w:t>
      </w:r>
      <w:r>
        <w:rPr>
          <w:szCs w:val="16"/>
        </w:rPr>
        <w:t xml:space="preserve">we also looked </w:t>
      </w:r>
      <w:proofErr w:type="gramStart"/>
      <w:r>
        <w:rPr>
          <w:szCs w:val="16"/>
        </w:rPr>
        <w:t xml:space="preserve">at </w:t>
      </w:r>
      <w:r w:rsidRPr="00CD2F48">
        <w:rPr>
          <w:szCs w:val="16"/>
        </w:rPr>
        <w:t xml:space="preserve"> STEM</w:t>
      </w:r>
      <w:proofErr w:type="gramEnd"/>
      <w:r w:rsidRPr="00CD2F48">
        <w:rPr>
          <w:szCs w:val="16"/>
        </w:rPr>
        <w:t xml:space="preserve"> education initiatives funded by state and territory governments. There is significant government and community activity in STEM, including initiatives funded and delivered by universities, industry or other providers, and by other Australian Government departments. While we acknowledge this, the focus of our analysis has been the NISA initiatives in the education portfolio. Detailed analysis of these other initiatives was outside the scope of our work.</w:t>
      </w:r>
    </w:p>
  </w:footnote>
  <w:footnote w:id="6">
    <w:p w14:paraId="4D5DA45D" w14:textId="77777777" w:rsidR="007E2D07" w:rsidRPr="00720FFC" w:rsidRDefault="007E2D07">
      <w:pPr>
        <w:pStyle w:val="FootnoteText"/>
        <w:rPr>
          <w:lang w:val="en-AU"/>
        </w:rPr>
      </w:pPr>
      <w:r>
        <w:rPr>
          <w:rStyle w:val="FootnoteReference"/>
        </w:rPr>
        <w:footnoteRef/>
      </w:r>
      <w:r>
        <w:t xml:space="preserve"> </w:t>
      </w:r>
      <w:r>
        <w:rPr>
          <w:lang w:val="en-AU"/>
        </w:rPr>
        <w:t>Our consultation processes are based on qualitative fieldwork. This involves asking broad, open-ended questions, and interview structure / questions vary on a case-by-case basis. We aggregate stakeholder feedback into themes. We apply critical judgement to qualitative fieldwork based on features like alignment with research, consistency, biases, frequency and relevance of stakeholder feedback.</w:t>
      </w:r>
    </w:p>
  </w:footnote>
  <w:footnote w:id="7">
    <w:p w14:paraId="1C77718F" w14:textId="77777777" w:rsidR="007E2D07" w:rsidRPr="005F4F3C" w:rsidRDefault="007E2D07">
      <w:pPr>
        <w:pStyle w:val="FootnoteText"/>
        <w:rPr>
          <w:lang w:val="en-AU"/>
        </w:rPr>
      </w:pPr>
      <w:r>
        <w:rPr>
          <w:rStyle w:val="FootnoteReference"/>
        </w:rPr>
        <w:footnoteRef/>
      </w:r>
      <w:r>
        <w:t xml:space="preserve"> </w:t>
      </w:r>
      <w:r>
        <w:rPr>
          <w:lang w:val="en-AU"/>
        </w:rPr>
        <w:t xml:space="preserve">A detailed breakdown is available in the Appendix. </w:t>
      </w:r>
    </w:p>
  </w:footnote>
  <w:footnote w:id="8">
    <w:p w14:paraId="2D4C3266" w14:textId="77777777" w:rsidR="007E2D07" w:rsidRPr="000B1573" w:rsidRDefault="007E2D07">
      <w:pPr>
        <w:pStyle w:val="FootnoteText"/>
        <w:rPr>
          <w:lang w:val="en-AU"/>
        </w:rPr>
      </w:pPr>
      <w:r>
        <w:rPr>
          <w:rStyle w:val="FootnoteReference"/>
        </w:rPr>
        <w:footnoteRef/>
      </w:r>
      <w:r>
        <w:t xml:space="preserve"> </w:t>
      </w:r>
      <w:r>
        <w:rPr>
          <w:lang w:val="en-AU"/>
        </w:rPr>
        <w:t xml:space="preserve">The STEM Education Resources Toolkit refers to a document, commissioned by the Department and developed by </w:t>
      </w:r>
      <w:proofErr w:type="spellStart"/>
      <w:r>
        <w:rPr>
          <w:lang w:val="en-AU"/>
        </w:rPr>
        <w:t>dandolopartners</w:t>
      </w:r>
      <w:proofErr w:type="spellEnd"/>
      <w:r>
        <w:rPr>
          <w:lang w:val="en-AU"/>
        </w:rPr>
        <w:t xml:space="preserve">, that provides guidance on how to evaluate STEM initiatives. It includes a standardised framework for all STEM initiatives, with some flexibility for tailoring objectives and outcomes. </w:t>
      </w:r>
    </w:p>
  </w:footnote>
  <w:footnote w:id="9">
    <w:p w14:paraId="5F36366A" w14:textId="77777777" w:rsidR="007E2D07" w:rsidRPr="004C3A35" w:rsidRDefault="007E2D07" w:rsidP="00C705EE">
      <w:pPr>
        <w:pStyle w:val="FootnoteText"/>
        <w:rPr>
          <w:szCs w:val="16"/>
        </w:rPr>
      </w:pPr>
      <w:r w:rsidRPr="004C3A35">
        <w:rPr>
          <w:rStyle w:val="FootnoteReference"/>
          <w:szCs w:val="16"/>
        </w:rPr>
        <w:footnoteRef/>
      </w:r>
      <w:r w:rsidRPr="004C3A35">
        <w:rPr>
          <w:szCs w:val="16"/>
        </w:rPr>
        <w:t xml:space="preserve"> </w:t>
      </w:r>
      <w:r w:rsidRPr="004C3A35">
        <w:rPr>
          <w:i/>
          <w:szCs w:val="16"/>
          <w:lang w:val="en"/>
        </w:rPr>
        <w:t xml:space="preserve">Australia's </w:t>
      </w:r>
      <w:r w:rsidRPr="004C3A35">
        <w:rPr>
          <w:bCs/>
          <w:i/>
          <w:szCs w:val="16"/>
          <w:lang w:val="en"/>
        </w:rPr>
        <w:t>National Science</w:t>
      </w:r>
      <w:r w:rsidRPr="004C3A35">
        <w:rPr>
          <w:i/>
          <w:szCs w:val="16"/>
          <w:lang w:val="en"/>
        </w:rPr>
        <w:t xml:space="preserve"> Statement </w:t>
      </w:r>
      <w:r w:rsidRPr="004C3A35">
        <w:rPr>
          <w:bCs/>
          <w:i/>
          <w:szCs w:val="16"/>
          <w:lang w:val="en"/>
        </w:rPr>
        <w:t>2017</w:t>
      </w:r>
      <w:r w:rsidRPr="004C3A35">
        <w:rPr>
          <w:szCs w:val="16"/>
        </w:rPr>
        <w:t xml:space="preserve">, </w:t>
      </w:r>
      <w:hyperlink r:id="rId1" w:history="1">
        <w:r w:rsidRPr="004C3A35">
          <w:rPr>
            <w:rStyle w:val="Hyperlink"/>
            <w:szCs w:val="16"/>
          </w:rPr>
          <w:t>www.industry.gov.au/data-and-publications/australias-national-science-statement</w:t>
        </w:r>
      </w:hyperlink>
    </w:p>
  </w:footnote>
  <w:footnote w:id="10">
    <w:p w14:paraId="3DD265A9" w14:textId="77777777" w:rsidR="007E2D07" w:rsidRPr="007F74EB" w:rsidRDefault="007E2D07">
      <w:pPr>
        <w:pStyle w:val="FootnoteText"/>
        <w:rPr>
          <w:lang w:val="en-AU"/>
        </w:rPr>
      </w:pPr>
      <w:r>
        <w:rPr>
          <w:rStyle w:val="FootnoteReference"/>
        </w:rPr>
        <w:footnoteRef/>
      </w:r>
      <w:r>
        <w:t xml:space="preserve"> </w:t>
      </w:r>
      <w:r w:rsidRPr="007D5163">
        <w:t xml:space="preserve">National STEM School Education Strategy 2016-2026, See also the discussion of the term STEM and related terms in the STEM Partnerships Forum </w:t>
      </w:r>
      <w:r w:rsidRPr="008260AE">
        <w:rPr>
          <w:rFonts w:ascii="Arial Narrow" w:hAnsi="Arial Narrow"/>
        </w:rPr>
        <w:t xml:space="preserve">Report, </w:t>
      </w:r>
      <w:proofErr w:type="spellStart"/>
      <w:r w:rsidRPr="008260AE">
        <w:rPr>
          <w:rFonts w:ascii="Arial Narrow" w:hAnsi="Arial Narrow"/>
        </w:rPr>
        <w:t>Optimising</w:t>
      </w:r>
      <w:proofErr w:type="spellEnd"/>
      <w:r w:rsidRPr="008260AE">
        <w:rPr>
          <w:rFonts w:ascii="Arial Narrow" w:hAnsi="Arial Narrow"/>
        </w:rPr>
        <w:t xml:space="preserve"> School-Industry Partnerships, http://www.educationcouncil.edu.au/site/DefaultSite/filesystem/documents/Reports%20and%20publications/Publications/ Optimising%20STEM%20Industry-School%20Partnerships</w:t>
      </w:r>
      <w:r w:rsidRPr="008260AE">
        <w:rPr>
          <w:rFonts w:ascii="Arial Narrow" w:eastAsia="Times New Roman" w:hAnsi="Arial Narrow"/>
          <w:color w:val="auto"/>
          <w:sz w:val="14"/>
        </w:rPr>
        <w:t>%20-%20Final%20Report.pdf</w:t>
      </w:r>
      <w:r>
        <w:rPr>
          <w:rFonts w:ascii="Times" w:eastAsia="Times New Roman" w:hAnsi="Times"/>
          <w:color w:val="auto"/>
          <w:sz w:val="14"/>
        </w:rPr>
        <w:t xml:space="preserve"> </w:t>
      </w:r>
    </w:p>
  </w:footnote>
  <w:footnote w:id="11">
    <w:p w14:paraId="4B92E67A" w14:textId="77777777" w:rsidR="007E2D07" w:rsidRPr="000B25D6" w:rsidRDefault="007E2D07" w:rsidP="006F7068">
      <w:pPr>
        <w:pStyle w:val="FootnoteText"/>
        <w:rPr>
          <w:lang w:val="en-AU"/>
        </w:rPr>
      </w:pPr>
      <w:r>
        <w:rPr>
          <w:rStyle w:val="FootnoteReference"/>
        </w:rPr>
        <w:footnoteRef/>
      </w:r>
      <w:r>
        <w:t xml:space="preserve">  Timms, M, Moyle, K, Weldon, P &amp; Mitchell, P, 2018, </w:t>
      </w:r>
      <w:r w:rsidRPr="000958F8">
        <w:rPr>
          <w:i/>
          <w:iCs/>
        </w:rPr>
        <w:t>Challenges in STEM learning in Australian schools: Literature and policy review</w:t>
      </w:r>
      <w:r>
        <w:t>, ACER, p.10</w:t>
      </w:r>
    </w:p>
  </w:footnote>
  <w:footnote w:id="12">
    <w:p w14:paraId="5DA0A73E" w14:textId="77777777" w:rsidR="007E2D07" w:rsidRPr="00363172" w:rsidRDefault="007E2D07" w:rsidP="00C705EE">
      <w:pPr>
        <w:pStyle w:val="FootnoteText"/>
        <w:rPr>
          <w:szCs w:val="16"/>
        </w:rPr>
      </w:pPr>
      <w:r w:rsidRPr="00363172">
        <w:rPr>
          <w:rStyle w:val="FootnoteReference"/>
          <w:szCs w:val="16"/>
        </w:rPr>
        <w:footnoteRef/>
      </w:r>
      <w:r w:rsidRPr="00363172">
        <w:rPr>
          <w:szCs w:val="16"/>
        </w:rPr>
        <w:t xml:space="preserve"> Thomson, S, De Bortoli, L &amp; Underwood C, 2017, </w:t>
      </w:r>
      <w:r w:rsidRPr="00363172">
        <w:rPr>
          <w:i/>
          <w:szCs w:val="16"/>
        </w:rPr>
        <w:t>PISA 2015: Reporting Australia’s Results,</w:t>
      </w:r>
      <w:r w:rsidRPr="00363172">
        <w:rPr>
          <w:szCs w:val="16"/>
        </w:rPr>
        <w:t xml:space="preserve"> ACER; Thomson, S, Wernert, N, O’Grady, E &amp; Rodrigues, S, 2017, </w:t>
      </w:r>
      <w:r w:rsidRPr="00363172">
        <w:rPr>
          <w:i/>
          <w:szCs w:val="16"/>
        </w:rPr>
        <w:t>TIMSS 2015: Reporting Australia’s Results,</w:t>
      </w:r>
      <w:r w:rsidRPr="00363172">
        <w:rPr>
          <w:szCs w:val="16"/>
        </w:rPr>
        <w:t xml:space="preserve"> ACER.</w:t>
      </w:r>
    </w:p>
  </w:footnote>
  <w:footnote w:id="13">
    <w:p w14:paraId="773CD5F4" w14:textId="77777777" w:rsidR="007E2D07" w:rsidRPr="00363172" w:rsidRDefault="007E2D07" w:rsidP="00C705EE">
      <w:pPr>
        <w:pStyle w:val="FootnoteText"/>
        <w:rPr>
          <w:szCs w:val="16"/>
        </w:rPr>
      </w:pPr>
      <w:r w:rsidRPr="00394928">
        <w:rPr>
          <w:rStyle w:val="FootnoteReference"/>
          <w:szCs w:val="16"/>
        </w:rPr>
        <w:footnoteRef/>
      </w:r>
      <w:r w:rsidRPr="00394928">
        <w:rPr>
          <w:szCs w:val="16"/>
        </w:rPr>
        <w:t xml:space="preserve"> </w:t>
      </w:r>
      <w:r>
        <w:rPr>
          <w:bCs/>
          <w:iCs/>
          <w:szCs w:val="16"/>
        </w:rPr>
        <w:t xml:space="preserve">Education Services Australia, 2018, </w:t>
      </w:r>
      <w:proofErr w:type="spellStart"/>
      <w:r>
        <w:rPr>
          <w:bCs/>
          <w:i/>
          <w:szCs w:val="16"/>
        </w:rPr>
        <w:t>Optimising</w:t>
      </w:r>
      <w:proofErr w:type="spellEnd"/>
      <w:r>
        <w:rPr>
          <w:bCs/>
          <w:i/>
          <w:szCs w:val="16"/>
        </w:rPr>
        <w:t xml:space="preserve"> STEM Industry-School Partnerships: Inspiring Australia’s Next Generation Final Report, </w:t>
      </w:r>
      <w:r>
        <w:rPr>
          <w:bCs/>
          <w:iCs/>
          <w:szCs w:val="16"/>
        </w:rPr>
        <w:t>Carlton.</w:t>
      </w:r>
    </w:p>
  </w:footnote>
  <w:footnote w:id="14">
    <w:p w14:paraId="73E8E913" w14:textId="77777777" w:rsidR="007E2D07" w:rsidRPr="00B52896" w:rsidRDefault="007E2D07" w:rsidP="007F7818">
      <w:pPr>
        <w:pStyle w:val="FootnoteText"/>
        <w:spacing w:after="0"/>
        <w:rPr>
          <w:lang w:val="en-AU"/>
        </w:rPr>
      </w:pPr>
      <w:r w:rsidRPr="003A68E7">
        <w:rPr>
          <w:rStyle w:val="FootnoteReference"/>
        </w:rPr>
        <w:footnoteRef/>
      </w:r>
      <w:r w:rsidRPr="003A68E7">
        <w:t xml:space="preserve"> </w:t>
      </w:r>
      <w:r>
        <w:rPr>
          <w:lang w:eastAsia="en-GB"/>
        </w:rPr>
        <w:t>O</w:t>
      </w:r>
      <w:r w:rsidRPr="003A68E7">
        <w:rPr>
          <w:lang w:eastAsia="en-GB"/>
        </w:rPr>
        <w:t xml:space="preserve">ne of the program evaluations explained the difficulties associated with gaining consent to run focus groups with students in remote communities. The evaluation team for this project </w:t>
      </w:r>
      <w:proofErr w:type="gramStart"/>
      <w:r w:rsidRPr="003A68E7">
        <w:rPr>
          <w:lang w:eastAsia="en-GB"/>
        </w:rPr>
        <w:t>came to the conclusion</w:t>
      </w:r>
      <w:proofErr w:type="gramEnd"/>
      <w:r w:rsidRPr="003A68E7">
        <w:rPr>
          <w:lang w:eastAsia="en-GB"/>
        </w:rPr>
        <w:t xml:space="preserve"> </w:t>
      </w:r>
      <w:r w:rsidRPr="00A272C5">
        <w:t>that ‘parental informed consent for student focus groups is not feasible due to English language barriers and, in some cases, difficulties in locating parents/guardians.</w:t>
      </w:r>
      <w:r>
        <w:t>’</w:t>
      </w:r>
    </w:p>
  </w:footnote>
  <w:footnote w:id="15">
    <w:p w14:paraId="49426C6C" w14:textId="77777777" w:rsidR="007E2D07" w:rsidRPr="00856D0A" w:rsidRDefault="007E2D07" w:rsidP="007F7818">
      <w:pPr>
        <w:pStyle w:val="FootnoteText"/>
        <w:spacing w:after="0"/>
        <w:rPr>
          <w:lang w:val="en-AU"/>
        </w:rPr>
      </w:pPr>
      <w:r>
        <w:rPr>
          <w:rStyle w:val="FootnoteReference"/>
        </w:rPr>
        <w:footnoteRef/>
      </w:r>
      <w:r>
        <w:t xml:space="preserve"> </w:t>
      </w:r>
      <w:hyperlink r:id="rId2" w:history="1">
        <w:r w:rsidRPr="006678C1">
          <w:rPr>
            <w:rStyle w:val="Hyperlink"/>
          </w:rPr>
          <w:t>https://www.parliament.vic.gov.au/archive/etc/Submissions/prof_learn/australiancouncilforeducationalresearch280607.pdf</w:t>
        </w:r>
      </w:hyperlink>
      <w:r>
        <w:t xml:space="preserve"> </w:t>
      </w:r>
    </w:p>
  </w:footnote>
  <w:footnote w:id="16">
    <w:p w14:paraId="36272470" w14:textId="50C3E164" w:rsidR="007E2D07" w:rsidRPr="003E1E9C" w:rsidRDefault="007E2D07">
      <w:pPr>
        <w:pStyle w:val="FootnoteText"/>
        <w:rPr>
          <w:lang w:val="en-AU"/>
        </w:rPr>
      </w:pPr>
      <w:r>
        <w:rPr>
          <w:rStyle w:val="FootnoteReference"/>
        </w:rPr>
        <w:footnoteRef/>
      </w:r>
      <w:r>
        <w:t xml:space="preserve"> </w:t>
      </w:r>
      <w:r>
        <w:rPr>
          <w:lang w:val="en-AU"/>
        </w:rPr>
        <w:t>For example, the initiative objectives specifically state increasing skill levels, and increasing uptake in STEM classes – which we have framed as ‘achievement’ . Whereas other initiatives tend to emphasise building enthusiasm and interest in STEM, which we have framed as focusing on engagement.</w:t>
      </w:r>
    </w:p>
  </w:footnote>
  <w:footnote w:id="17">
    <w:p w14:paraId="14464214" w14:textId="77777777" w:rsidR="007E2D07" w:rsidRPr="00E323D0" w:rsidRDefault="007E2D07" w:rsidP="00A272C5">
      <w:pPr>
        <w:pStyle w:val="FootnoteText"/>
        <w:rPr>
          <w:lang w:val="en-AU"/>
        </w:rPr>
      </w:pPr>
      <w:r w:rsidRPr="00E323D0">
        <w:rPr>
          <w:rStyle w:val="FootnoteReference"/>
        </w:rPr>
        <w:footnoteRef/>
      </w:r>
      <w:r w:rsidRPr="00E323D0">
        <w:t xml:space="preserve"> While 2</w:t>
      </w:r>
      <w:r>
        <w:t>2</w:t>
      </w:r>
      <w:r w:rsidRPr="00E323D0">
        <w:t xml:space="preserve"> per cent of funding goes to targeting </w:t>
      </w:r>
      <w:r>
        <w:t>I</w:t>
      </w:r>
      <w:r w:rsidRPr="00E323D0">
        <w:t>ndigenous students, stakeholders from two states/territories with a high number of indigenous students noticed that there was a gap in programs that incorporate indigenous knowledge and perspectives into their approach to STEM education. Examples of these types of programs that are not funded by NISA include the Stronger Smarter Institute Indigenous Knowledges in Science, Technology, Engineering and Mathematics (</w:t>
      </w:r>
      <w:proofErr w:type="spellStart"/>
      <w:r w:rsidRPr="00E323D0">
        <w:t>SSiSTEMIK</w:t>
      </w:r>
      <w:proofErr w:type="spellEnd"/>
      <w:r w:rsidRPr="00E323D0">
        <w:t>) and CSIRO’s Indigenous STEM Education Project.</w:t>
      </w:r>
      <w:r>
        <w:t xml:space="preserve"> In 2018 the Department of Prime Minister and Cabinet also invested $20 million for the Indigenous Girls’ STEM Academy, delivered by CSIRO in partnership with </w:t>
      </w:r>
      <w:proofErr w:type="spellStart"/>
      <w:r>
        <w:t>CareerTrackers</w:t>
      </w:r>
      <w:proofErr w:type="spellEnd"/>
      <w:r>
        <w:t>.</w:t>
      </w:r>
    </w:p>
  </w:footnote>
  <w:footnote w:id="18">
    <w:p w14:paraId="6661C0BF" w14:textId="77777777" w:rsidR="007E2D07" w:rsidRPr="006138C4" w:rsidRDefault="007E2D07">
      <w:pPr>
        <w:pStyle w:val="FootnoteText"/>
        <w:rPr>
          <w:lang w:val="en-AU"/>
        </w:rPr>
      </w:pPr>
      <w:r>
        <w:rPr>
          <w:rStyle w:val="FootnoteReference"/>
        </w:rPr>
        <w:footnoteRef/>
      </w:r>
      <w:r>
        <w:t xml:space="preserve"> </w:t>
      </w:r>
      <w:proofErr w:type="spellStart"/>
      <w:r>
        <w:t>Stronge</w:t>
      </w:r>
      <w:proofErr w:type="spellEnd"/>
      <w:r>
        <w:t xml:space="preserve">, JH &amp; Hindman, JL 2003, ‘Hiring the best teachers’, </w:t>
      </w:r>
      <w:r>
        <w:rPr>
          <w:i/>
          <w:iCs/>
        </w:rPr>
        <w:t xml:space="preserve">Educational Leadership, </w:t>
      </w:r>
      <w:r>
        <w:t>vol. 60, no. 8, pp. 48-52.</w:t>
      </w:r>
    </w:p>
  </w:footnote>
  <w:footnote w:id="19">
    <w:p w14:paraId="4F2C442A" w14:textId="77777777" w:rsidR="007E2D07" w:rsidRPr="00A568D7" w:rsidRDefault="007E2D07" w:rsidP="00A568D7">
      <w:pPr>
        <w:pStyle w:val="FootnoteText"/>
      </w:pPr>
      <w:r>
        <w:rPr>
          <w:rStyle w:val="FootnoteReference"/>
        </w:rPr>
        <w:footnoteRef/>
      </w:r>
      <w:r>
        <w:t xml:space="preserve"> Learning Potential is a freely available national platform that is targeted at parents and families, containing resources to help parents support their child’s interest in STEM from the early years through to the end of high school. The Digital Technologies Hub is another resource that, in addition to resources for teachers and students, includes a range of materials for parents and families. All NISA projects are required to publish their resources on the Hub, and some make quite extensive use of it, such as MOOCs.</w:t>
      </w:r>
    </w:p>
  </w:footnote>
  <w:footnote w:id="20">
    <w:p w14:paraId="703FE4DC" w14:textId="77777777" w:rsidR="007E2D07" w:rsidRPr="006138C4" w:rsidRDefault="007E2D07">
      <w:pPr>
        <w:pStyle w:val="FootnoteText"/>
        <w:rPr>
          <w:lang w:val="en-AU"/>
        </w:rPr>
      </w:pPr>
      <w:r>
        <w:rPr>
          <w:rStyle w:val="FootnoteReference"/>
        </w:rPr>
        <w:footnoteRef/>
      </w:r>
      <w:r>
        <w:t xml:space="preserve"> Evaluation of National Innovation and Science Agenda (NISA) early learning and </w:t>
      </w:r>
      <w:proofErr w:type="gramStart"/>
      <w:r>
        <w:t>schools</w:t>
      </w:r>
      <w:proofErr w:type="gramEnd"/>
      <w:r>
        <w:t xml:space="preserve"> initiatives (Discussion paper for stakeholder interviews and focus groups)</w:t>
      </w:r>
    </w:p>
  </w:footnote>
  <w:footnote w:id="21">
    <w:p w14:paraId="5E3BB173" w14:textId="3D3DD3CA" w:rsidR="007E2D07" w:rsidRPr="00E34BB9" w:rsidRDefault="007E2D07">
      <w:pPr>
        <w:pStyle w:val="FootnoteText"/>
      </w:pPr>
      <w:r w:rsidRPr="00E34BB9">
        <w:rPr>
          <w:rStyle w:val="FootnoteReference"/>
        </w:rPr>
        <w:footnoteRef/>
      </w:r>
      <w:r>
        <w:t xml:space="preserve"> In response to</w:t>
      </w:r>
      <w:r w:rsidRPr="00E34BB9">
        <w:t xml:space="preserve"> </w:t>
      </w:r>
      <w:r>
        <w:t>the</w:t>
      </w:r>
      <w:r w:rsidR="006D5309">
        <w:t xml:space="preserve"> </w:t>
      </w:r>
      <w:hyperlink r:id="rId3" w:history="1">
        <w:r w:rsidR="006D5309" w:rsidRPr="00E328DA">
          <w:rPr>
            <w:rStyle w:val="Hyperlink"/>
          </w:rPr>
          <w:t>TEMAG Report</w:t>
        </w:r>
      </w:hyperlink>
      <w:r w:rsidR="006D5309">
        <w:t>,</w:t>
      </w:r>
      <w:r w:rsidRPr="00124D25">
        <w:rPr>
          <w:color w:val="auto"/>
        </w:rPr>
        <w:t xml:space="preserve"> </w:t>
      </w:r>
      <w:r>
        <w:t xml:space="preserve">the Australian Government committed $16.9 million over four years to reform teacher education courses to ensure new teachers are adequately skilled. The bulk of reforms have been implemented through the revised Accreditation of Initial Teacher Education Programs in Australia: Standards and Procedures. Changes include more rigorous selection processes, introduction of the </w:t>
      </w:r>
      <w:proofErr w:type="spellStart"/>
      <w:r>
        <w:t>Lantite</w:t>
      </w:r>
      <w:proofErr w:type="spellEnd"/>
      <w:r>
        <w:t xml:space="preserve"> test and compulsory teacher performance assessments.</w:t>
      </w:r>
    </w:p>
  </w:footnote>
  <w:footnote w:id="22">
    <w:p w14:paraId="3313676A" w14:textId="77777777" w:rsidR="007E2D07" w:rsidRPr="008260AE" w:rsidRDefault="007E2D07" w:rsidP="008260AE">
      <w:pPr>
        <w:spacing w:after="0" w:line="240" w:lineRule="auto"/>
        <w:rPr>
          <w:color w:val="auto"/>
          <w:szCs w:val="16"/>
        </w:rPr>
      </w:pPr>
      <w:r w:rsidRPr="008260AE">
        <w:rPr>
          <w:rStyle w:val="FootnoteReference"/>
          <w:sz w:val="16"/>
          <w:szCs w:val="16"/>
        </w:rPr>
        <w:footnoteRef/>
      </w:r>
      <w:r>
        <w:rPr>
          <w:sz w:val="16"/>
          <w:szCs w:val="16"/>
        </w:rPr>
        <w:t xml:space="preserve"> Commonwealth of Australia, Department of the Prime Minister and Cabinet, </w:t>
      </w:r>
      <w:r>
        <w:rPr>
          <w:i/>
          <w:iCs/>
          <w:sz w:val="16"/>
          <w:szCs w:val="16"/>
        </w:rPr>
        <w:t>National Innovation and Science Agenda.</w:t>
      </w:r>
      <w:r w:rsidRPr="008260AE">
        <w:rPr>
          <w:sz w:val="16"/>
          <w:szCs w:val="16"/>
        </w:rPr>
        <w:t xml:space="preserve"> </w:t>
      </w:r>
    </w:p>
  </w:footnote>
  <w:footnote w:id="23">
    <w:p w14:paraId="0A7310CC" w14:textId="77777777" w:rsidR="007E2D07" w:rsidRPr="008260AE" w:rsidRDefault="007E2D07">
      <w:pPr>
        <w:pStyle w:val="FootnoteText"/>
        <w:rPr>
          <w:lang w:val="en-AU"/>
        </w:rPr>
      </w:pPr>
      <w:r w:rsidRPr="008260AE">
        <w:rPr>
          <w:rStyle w:val="FootnoteReference"/>
          <w:szCs w:val="16"/>
        </w:rPr>
        <w:footnoteRef/>
      </w:r>
      <w:r w:rsidRPr="008260AE">
        <w:rPr>
          <w:szCs w:val="16"/>
        </w:rPr>
        <w:t xml:space="preserve"> </w:t>
      </w:r>
      <w:r>
        <w:rPr>
          <w:szCs w:val="16"/>
        </w:rPr>
        <w:t xml:space="preserve">We note that </w:t>
      </w:r>
      <w:r>
        <w:rPr>
          <w:szCs w:val="16"/>
          <w:lang w:val="en-AU"/>
        </w:rPr>
        <w:t>s</w:t>
      </w:r>
      <w:r w:rsidRPr="008260AE">
        <w:rPr>
          <w:szCs w:val="16"/>
          <w:lang w:val="en-AU"/>
        </w:rPr>
        <w:t>chool infrastructure is a matter for state and territory government and non-government education authorities and individual schools, not the Australian Government.</w:t>
      </w:r>
    </w:p>
  </w:footnote>
  <w:footnote w:id="24">
    <w:p w14:paraId="7B5819ED" w14:textId="77777777" w:rsidR="007E2D07" w:rsidRPr="001617AA" w:rsidRDefault="007E2D07" w:rsidP="001617AA">
      <w:pPr>
        <w:pStyle w:val="FootnoteText"/>
      </w:pPr>
      <w:r>
        <w:rPr>
          <w:rStyle w:val="FootnoteReference"/>
        </w:rPr>
        <w:footnoteRef/>
      </w:r>
      <w:r>
        <w:t xml:space="preserve"> Jackson, CD &amp; Leffingwell, RJ 1999, ‘The role of instructors in creating math anxiety in students from kindergarten through college’, </w:t>
      </w:r>
      <w:r>
        <w:rPr>
          <w:i/>
          <w:iCs/>
        </w:rPr>
        <w:t xml:space="preserve">The Mathematics Teachers, </w:t>
      </w:r>
      <w:r>
        <w:t>vol. 92, no. 7, pp. 583-586.</w:t>
      </w:r>
    </w:p>
  </w:footnote>
  <w:footnote w:id="25">
    <w:p w14:paraId="7DE7A5A9" w14:textId="77777777" w:rsidR="007E2D07" w:rsidRPr="00500004" w:rsidRDefault="007E2D07" w:rsidP="00B34E9D">
      <w:pPr>
        <w:pStyle w:val="FootnoteText"/>
        <w:rPr>
          <w:lang w:val="en-AU"/>
        </w:rPr>
      </w:pPr>
      <w:r>
        <w:rPr>
          <w:rStyle w:val="FootnoteReference"/>
        </w:rPr>
        <w:footnoteRef/>
      </w:r>
      <w:r>
        <w:t xml:space="preserve"> </w:t>
      </w:r>
      <w:r w:rsidRPr="000711D4">
        <w:rPr>
          <w:rFonts w:ascii="Arial Narrow" w:hAnsi="Arial Narrow"/>
          <w:szCs w:val="16"/>
        </w:rPr>
        <w:t xml:space="preserve">Prince, G &amp; O’Connor, M 2018, </w:t>
      </w:r>
      <w:r w:rsidRPr="000711D4">
        <w:rPr>
          <w:rFonts w:ascii="Arial Narrow" w:hAnsi="Arial Narrow"/>
          <w:i/>
          <w:iCs/>
          <w:szCs w:val="16"/>
        </w:rPr>
        <w:t xml:space="preserve">AMSi </w:t>
      </w:r>
      <w:proofErr w:type="spellStart"/>
      <w:r w:rsidRPr="000711D4">
        <w:rPr>
          <w:rFonts w:ascii="Arial Narrow" w:hAnsi="Arial Narrow"/>
          <w:i/>
          <w:iCs/>
          <w:szCs w:val="16"/>
        </w:rPr>
        <w:t>Occassional</w:t>
      </w:r>
      <w:proofErr w:type="spellEnd"/>
      <w:r w:rsidRPr="000711D4">
        <w:rPr>
          <w:rFonts w:ascii="Arial Narrow" w:hAnsi="Arial Narrow"/>
          <w:i/>
          <w:iCs/>
          <w:szCs w:val="16"/>
        </w:rPr>
        <w:t xml:space="preserve"> Paper 1: Crunching the number on out-</w:t>
      </w:r>
      <w:r>
        <w:rPr>
          <w:rFonts w:ascii="Arial Narrow" w:hAnsi="Arial Narrow"/>
          <w:i/>
          <w:iCs/>
          <w:szCs w:val="16"/>
        </w:rPr>
        <w:t>o</w:t>
      </w:r>
      <w:r w:rsidRPr="000711D4">
        <w:rPr>
          <w:rFonts w:ascii="Arial Narrow" w:hAnsi="Arial Narrow"/>
          <w:i/>
          <w:iCs/>
          <w:szCs w:val="16"/>
        </w:rPr>
        <w:t xml:space="preserve">f-field teaching, </w:t>
      </w:r>
      <w:r w:rsidRPr="000711D4">
        <w:rPr>
          <w:rFonts w:ascii="Arial Narrow" w:hAnsi="Arial Narrow"/>
          <w:szCs w:val="16"/>
        </w:rPr>
        <w:t>Australian Mathematical Sciences Institute.</w:t>
      </w:r>
    </w:p>
  </w:footnote>
  <w:footnote w:id="26">
    <w:p w14:paraId="3ACB3B4E" w14:textId="77777777" w:rsidR="007E2D07" w:rsidRPr="00C57D7B" w:rsidRDefault="007E2D07">
      <w:pPr>
        <w:pStyle w:val="FootnoteText"/>
        <w:rPr>
          <w:lang w:val="en-AU"/>
        </w:rPr>
      </w:pPr>
      <w:r>
        <w:rPr>
          <w:rStyle w:val="FootnoteReference"/>
        </w:rPr>
        <w:footnoteRef/>
      </w:r>
      <w:r>
        <w:t xml:space="preserve"> Positive </w:t>
      </w:r>
      <w:r>
        <w:rPr>
          <w:lang w:val="en-AU"/>
        </w:rPr>
        <w:t xml:space="preserve">stakeholder perceptions about </w:t>
      </w:r>
      <w:proofErr w:type="spellStart"/>
      <w:r>
        <w:rPr>
          <w:lang w:val="en-AU"/>
        </w:rPr>
        <w:t>reSolve</w:t>
      </w:r>
      <w:proofErr w:type="spellEnd"/>
      <w:r>
        <w:rPr>
          <w:lang w:val="en-AU"/>
        </w:rPr>
        <w:t xml:space="preserve"> in this evaluation are consistent with stakeholder consultations through </w:t>
      </w:r>
      <w:proofErr w:type="spellStart"/>
      <w:r>
        <w:rPr>
          <w:lang w:val="en-AU"/>
        </w:rPr>
        <w:t>dandolo’s</w:t>
      </w:r>
      <w:proofErr w:type="spellEnd"/>
      <w:r>
        <w:rPr>
          <w:lang w:val="en-AU"/>
        </w:rPr>
        <w:t xml:space="preserve"> separate, independent evaluation of </w:t>
      </w:r>
      <w:proofErr w:type="spellStart"/>
      <w:r>
        <w:rPr>
          <w:lang w:val="en-AU"/>
        </w:rPr>
        <w:t>reSolve</w:t>
      </w:r>
      <w:proofErr w:type="spellEnd"/>
      <w:r>
        <w:rPr>
          <w:lang w:val="en-AU"/>
        </w:rPr>
        <w:t>.</w:t>
      </w:r>
    </w:p>
  </w:footnote>
  <w:footnote w:id="27">
    <w:p w14:paraId="21AF035E" w14:textId="77777777" w:rsidR="007E2D07" w:rsidRPr="008260AE" w:rsidRDefault="007E2D07">
      <w:pPr>
        <w:pStyle w:val="FootnoteText"/>
        <w:rPr>
          <w:lang w:val="en-AU"/>
        </w:rPr>
      </w:pPr>
      <w:r>
        <w:rPr>
          <w:rStyle w:val="FootnoteReference"/>
        </w:rPr>
        <w:footnoteRef/>
      </w:r>
      <w:r>
        <w:t xml:space="preserve"> The Australian Government is aware of the need for a greater focus on mathematics, directing $9.5million from the 2019-20 budget towards a new ‘online teaching and learning courses’ initiative that will create Massive Open Online Courses (MOOCs) and an online resources Hub for mathematics, following the success of the Digital Technologies MOOCs and Hub model. </w:t>
      </w:r>
    </w:p>
  </w:footnote>
  <w:footnote w:id="28">
    <w:p w14:paraId="5220F36E" w14:textId="77777777" w:rsidR="007E2D07" w:rsidRPr="008260AE" w:rsidRDefault="007E2D07" w:rsidP="00365E41">
      <w:pPr>
        <w:pStyle w:val="FootnoteText"/>
        <w:rPr>
          <w:lang w:val="en-AU"/>
        </w:rPr>
      </w:pPr>
      <w:r>
        <w:rPr>
          <w:rStyle w:val="FootnoteReference"/>
        </w:rPr>
        <w:footnoteRef/>
      </w:r>
      <w:r>
        <w:t xml:space="preserve"> Note: </w:t>
      </w:r>
      <w:r w:rsidRPr="00365E41">
        <w:rPr>
          <w:b/>
          <w:bCs/>
        </w:rPr>
        <w:t>‘</w:t>
      </w:r>
      <w:r w:rsidRPr="00365E41">
        <w:t>General STEM’</w:t>
      </w:r>
      <w:r>
        <w:rPr>
          <w:b/>
          <w:bCs/>
        </w:rPr>
        <w:t xml:space="preserve"> </w:t>
      </w:r>
      <w:r w:rsidRPr="00365E41">
        <w:t xml:space="preserve">refers to where no specific subject-focus stated. Could include more than one subject or an interdisciplinary focus. </w:t>
      </w:r>
      <w:r>
        <w:rPr>
          <w:lang w:val="en-AU"/>
        </w:rPr>
        <w:t xml:space="preserve">Engineering is a part of STEM, although no NISA initiatives specifically focus on this subject area. Beyond NISA, Questacon have recently secured funding for a national roll-out of </w:t>
      </w:r>
      <w:r w:rsidRPr="008260AE">
        <w:rPr>
          <w:i/>
          <w:iCs/>
          <w:lang w:val="en-AU"/>
        </w:rPr>
        <w:t>Engineering is Elementary</w:t>
      </w:r>
      <w:r>
        <w:rPr>
          <w:lang w:val="en-AU"/>
        </w:rPr>
        <w:t xml:space="preserve">, a program they have been piloting which supports primary schools. </w:t>
      </w:r>
    </w:p>
  </w:footnote>
  <w:footnote w:id="29">
    <w:p w14:paraId="5527AB56" w14:textId="77777777" w:rsidR="007E2D07" w:rsidRPr="00E820AA" w:rsidRDefault="007E2D07" w:rsidP="00E945F0">
      <w:pPr>
        <w:pStyle w:val="FootnoteText"/>
        <w:rPr>
          <w:lang w:val="en-AU"/>
        </w:rPr>
      </w:pPr>
      <w:r>
        <w:rPr>
          <w:rStyle w:val="FootnoteReference"/>
        </w:rPr>
        <w:footnoteRef/>
      </w:r>
      <w:r>
        <w:t xml:space="preserve"> In our analysis, resources and professional learning were </w:t>
      </w:r>
      <w:proofErr w:type="spellStart"/>
      <w:r>
        <w:t>characterised</w:t>
      </w:r>
      <w:proofErr w:type="spellEnd"/>
      <w:r>
        <w:t xml:space="preserve"> separately. ‘Resources’ was taken to mean those initiatives that produced materials such as lesson plans or contributed information to online portals. ‘Professional learning’, although linked to resource-use, was interpreted as those initiatives which involved workshops or conferences to train and coach educators on delivering STEM curriculum or </w:t>
      </w:r>
      <w:proofErr w:type="spellStart"/>
      <w:r>
        <w:t>utilising</w:t>
      </w:r>
      <w:proofErr w:type="spellEnd"/>
      <w:r>
        <w:t xml:space="preserve"> digital technologies. Professional learning includes all modes (mixed-mode, online and face-to-face). Student mentoring refers to programs which directly engage students such as coding camps.</w:t>
      </w:r>
    </w:p>
  </w:footnote>
  <w:footnote w:id="30">
    <w:p w14:paraId="6DE4DD0E" w14:textId="77777777" w:rsidR="007E2D07" w:rsidRPr="00B80F91" w:rsidRDefault="007E2D07" w:rsidP="00D440F9">
      <w:pPr>
        <w:spacing w:after="0" w:line="240" w:lineRule="auto"/>
        <w:rPr>
          <w:color w:val="auto"/>
          <w:sz w:val="24"/>
        </w:rPr>
      </w:pPr>
      <w:r w:rsidRPr="008260AE">
        <w:rPr>
          <w:rStyle w:val="FootnoteReference"/>
          <w:sz w:val="16"/>
          <w:szCs w:val="16"/>
        </w:rPr>
        <w:footnoteRef/>
      </w:r>
      <w:r w:rsidRPr="008260AE">
        <w:rPr>
          <w:sz w:val="16"/>
          <w:szCs w:val="16"/>
        </w:rPr>
        <w:t xml:space="preserve"> </w:t>
      </w:r>
      <w:r w:rsidRPr="00D440F9">
        <w:rPr>
          <w:sz w:val="16"/>
          <w:szCs w:val="16"/>
        </w:rPr>
        <w:t>Greenwald</w:t>
      </w:r>
      <w:r w:rsidRPr="00B80F91">
        <w:rPr>
          <w:sz w:val="16"/>
          <w:szCs w:val="16"/>
        </w:rPr>
        <w:t xml:space="preserve">, Hedges &amp; Laine 1995; </w:t>
      </w:r>
      <w:proofErr w:type="spellStart"/>
      <w:r w:rsidRPr="00B80F91">
        <w:rPr>
          <w:sz w:val="16"/>
          <w:szCs w:val="16"/>
        </w:rPr>
        <w:t>Guskey</w:t>
      </w:r>
      <w:proofErr w:type="spellEnd"/>
      <w:r w:rsidRPr="00B80F91">
        <w:rPr>
          <w:sz w:val="16"/>
          <w:szCs w:val="16"/>
        </w:rPr>
        <w:t xml:space="preserve"> &amp; Huberman 1995; Elmore &amp; Burney 1997; Hawley &amp; Valli 1999; Elmore 2002</w:t>
      </w:r>
    </w:p>
  </w:footnote>
  <w:footnote w:id="31">
    <w:p w14:paraId="000141A0" w14:textId="77777777" w:rsidR="007E2D07" w:rsidRPr="00D26657" w:rsidRDefault="007E2D07">
      <w:pPr>
        <w:pStyle w:val="FootnoteText"/>
        <w:rPr>
          <w:lang w:val="en-AU"/>
        </w:rPr>
      </w:pPr>
      <w:r w:rsidRPr="00B34E9D">
        <w:rPr>
          <w:rStyle w:val="FootnoteReference"/>
        </w:rPr>
        <w:footnoteRef/>
      </w:r>
      <w:r w:rsidRPr="00B34E9D">
        <w:t xml:space="preserve"> </w:t>
      </w:r>
      <w:r>
        <w:t xml:space="preserve">Services need to comply with official information/data security frameworks </w:t>
      </w:r>
      <w:proofErr w:type="gramStart"/>
      <w:r>
        <w:t>including:</w:t>
      </w:r>
      <w:proofErr w:type="gramEnd"/>
      <w:r>
        <w:t xml:space="preserve"> Commonwealth’s Protective Security Policy Framework, Commonwealth’s Information Security Manual in relation to ICT systems and Commonwealth’s strategies to mitigate security incidents.</w:t>
      </w:r>
    </w:p>
  </w:footnote>
  <w:footnote w:id="32">
    <w:p w14:paraId="4B3F3B04" w14:textId="77777777" w:rsidR="007E2D07" w:rsidRPr="008260AE" w:rsidRDefault="007E2D07" w:rsidP="006F5339">
      <w:pPr>
        <w:pStyle w:val="FootnoteText"/>
        <w:rPr>
          <w:lang w:val="en-AU"/>
        </w:rPr>
      </w:pPr>
      <w:r w:rsidRPr="006F5339">
        <w:rPr>
          <w:rStyle w:val="FootnoteReference"/>
        </w:rPr>
        <w:footnoteRef/>
      </w:r>
      <w:r w:rsidRPr="006F5339">
        <w:t xml:space="preserve"> </w:t>
      </w:r>
      <w:r w:rsidRPr="006F5339">
        <w:rPr>
          <w:lang w:val="en-AU"/>
        </w:rPr>
        <w:t xml:space="preserve">Department of Industry, Innovation and Science, 2019, </w:t>
      </w:r>
      <w:r w:rsidRPr="006F5339">
        <w:rPr>
          <w:i/>
          <w:iCs/>
          <w:lang w:val="en-AU"/>
        </w:rPr>
        <w:t xml:space="preserve">Advancing Women in STEM, </w:t>
      </w:r>
      <w:r w:rsidRPr="006F5339">
        <w:rPr>
          <w:lang w:val="en-AU"/>
        </w:rPr>
        <w:t>Commonwealth of Australia, Canberra.</w:t>
      </w:r>
      <w:r>
        <w:rPr>
          <w:lang w:val="en-AU"/>
        </w:rPr>
        <w:t xml:space="preserve"> </w:t>
      </w:r>
    </w:p>
  </w:footnote>
  <w:footnote w:id="33">
    <w:p w14:paraId="53C7E284" w14:textId="77777777" w:rsidR="007E2D07" w:rsidRPr="00E945F0" w:rsidRDefault="007E2D07">
      <w:pPr>
        <w:pStyle w:val="FootnoteText"/>
      </w:pPr>
      <w:r w:rsidRPr="00EA39BC">
        <w:rPr>
          <w:rStyle w:val="FootnoteReference"/>
        </w:rPr>
        <w:footnoteRef/>
      </w:r>
      <w:r w:rsidRPr="00EA39BC">
        <w:t xml:space="preserve"> </w:t>
      </w:r>
      <w:r>
        <w:rPr>
          <w:bCs/>
          <w:iCs/>
          <w:szCs w:val="16"/>
        </w:rPr>
        <w:t xml:space="preserve">Education Services Australia, 2018, </w:t>
      </w:r>
      <w:proofErr w:type="spellStart"/>
      <w:r>
        <w:rPr>
          <w:bCs/>
          <w:i/>
          <w:szCs w:val="16"/>
        </w:rPr>
        <w:t>Optimising</w:t>
      </w:r>
      <w:proofErr w:type="spellEnd"/>
      <w:r>
        <w:rPr>
          <w:bCs/>
          <w:i/>
          <w:szCs w:val="16"/>
        </w:rPr>
        <w:t xml:space="preserve"> STEM Industry-School Partnerships: Inspiring Australia’s Next Generation Final Report, </w:t>
      </w:r>
      <w:r>
        <w:rPr>
          <w:bCs/>
          <w:iCs/>
          <w:szCs w:val="16"/>
        </w:rPr>
        <w:t>Carlton.</w:t>
      </w:r>
    </w:p>
  </w:footnote>
  <w:footnote w:id="34">
    <w:p w14:paraId="3649D665" w14:textId="77777777" w:rsidR="007E2D07" w:rsidRPr="00E945F0" w:rsidRDefault="007E2D07">
      <w:pPr>
        <w:pStyle w:val="FootnoteText"/>
      </w:pPr>
      <w:r w:rsidRPr="006F5339">
        <w:rPr>
          <w:rStyle w:val="FootnoteReference"/>
        </w:rPr>
        <w:footnoteRef/>
      </w:r>
      <w:r w:rsidRPr="006F5339">
        <w:t xml:space="preserve"> </w:t>
      </w:r>
      <w:r>
        <w:t xml:space="preserve">Australian National Audit Office, 2017, </w:t>
      </w:r>
      <w:r>
        <w:rPr>
          <w:i/>
          <w:iCs/>
        </w:rPr>
        <w:t xml:space="preserve">Design and Monitoring of the National Innovation and Science Agenda, </w:t>
      </w:r>
      <w:r>
        <w:t>Commonwealth of Australia</w:t>
      </w:r>
      <w:r>
        <w:rPr>
          <w:i/>
          <w:iCs/>
        </w:rPr>
        <w:t xml:space="preserve">, </w:t>
      </w:r>
      <w:r>
        <w:t>p. 50</w:t>
      </w:r>
    </w:p>
  </w:footnote>
  <w:footnote w:id="35">
    <w:p w14:paraId="49B29E82" w14:textId="77777777" w:rsidR="007E2D07" w:rsidRPr="008260AE" w:rsidRDefault="007E2D07">
      <w:pPr>
        <w:pStyle w:val="FootnoteText"/>
        <w:rPr>
          <w:lang w:val="en-AU"/>
        </w:rPr>
      </w:pPr>
      <w:r>
        <w:rPr>
          <w:rStyle w:val="FootnoteReference"/>
        </w:rPr>
        <w:footnoteRef/>
      </w:r>
      <w:r>
        <w:t xml:space="preserve"> </w:t>
      </w:r>
      <w:r>
        <w:rPr>
          <w:lang w:val="en-AU"/>
        </w:rPr>
        <w:t xml:space="preserve">Department of Industry, Innovation and Science, 2019, </w:t>
      </w:r>
      <w:r>
        <w:rPr>
          <w:i/>
          <w:iCs/>
          <w:lang w:val="en-AU"/>
        </w:rPr>
        <w:t xml:space="preserve">Advancing Women in STEM, </w:t>
      </w:r>
      <w:r>
        <w:rPr>
          <w:lang w:val="en-AU"/>
        </w:rPr>
        <w:t xml:space="preserve">Commonwealth of Australia, Canberra. </w:t>
      </w:r>
    </w:p>
  </w:footnote>
  <w:footnote w:id="36">
    <w:p w14:paraId="6477B572" w14:textId="77777777" w:rsidR="007E2D07" w:rsidRPr="008260AE" w:rsidRDefault="007E2D07">
      <w:pPr>
        <w:pStyle w:val="FootnoteText"/>
        <w:rPr>
          <w:lang w:val="en-AU"/>
        </w:rPr>
      </w:pPr>
      <w:r>
        <w:rPr>
          <w:rStyle w:val="FootnoteReference"/>
        </w:rPr>
        <w:footnoteRef/>
      </w:r>
      <w:r>
        <w:t xml:space="preserve"> </w:t>
      </w:r>
      <w:r w:rsidRPr="0094781F">
        <w:rPr>
          <w:lang w:val="en-AU"/>
        </w:rPr>
        <w:t>Murphy</w:t>
      </w:r>
      <w:r>
        <w:rPr>
          <w:lang w:val="en-AU"/>
        </w:rPr>
        <w:t>, S, MacDonald, A, Danaia, L &amp; Wang, C</w:t>
      </w:r>
      <w:r w:rsidRPr="0094781F">
        <w:rPr>
          <w:lang w:val="en-AU"/>
        </w:rPr>
        <w:t xml:space="preserve"> </w:t>
      </w:r>
      <w:r>
        <w:rPr>
          <w:lang w:val="en-AU"/>
        </w:rPr>
        <w:t xml:space="preserve">2018, ‘An analysis of Australian STEM education strategies’, </w:t>
      </w:r>
      <w:r>
        <w:rPr>
          <w:i/>
          <w:iCs/>
          <w:lang w:val="en-AU"/>
        </w:rPr>
        <w:t xml:space="preserve">Policy Futures in Education, </w:t>
      </w:r>
      <w:r>
        <w:rPr>
          <w:lang w:val="en-AU"/>
        </w:rPr>
        <w:t>vol. 17, no. 2, pp. 122-139.</w:t>
      </w:r>
    </w:p>
  </w:footnote>
  <w:footnote w:id="37">
    <w:p w14:paraId="5F78B68C" w14:textId="77777777" w:rsidR="007E2D07" w:rsidRPr="005A0349" w:rsidRDefault="007E2D07" w:rsidP="007E4E83">
      <w:pPr>
        <w:pStyle w:val="FootnoteText"/>
        <w:rPr>
          <w:lang w:val="en-AU"/>
        </w:rPr>
      </w:pPr>
      <w:r>
        <w:rPr>
          <w:rStyle w:val="FootnoteReference"/>
        </w:rPr>
        <w:footnoteRef/>
      </w:r>
      <w:r>
        <w:t xml:space="preserve"> </w:t>
      </w:r>
      <w:hyperlink r:id="rId4" w:history="1">
        <w:r>
          <w:rPr>
            <w:rStyle w:val="Hyperlink"/>
          </w:rPr>
          <w:t>http://www.educationcouncil.edu.au/EC-Reports-and-Publications.aspx</w:t>
        </w:r>
      </w:hyperlink>
      <w:r>
        <w:t>. The Department identified the s</w:t>
      </w:r>
      <w:proofErr w:type="spellStart"/>
      <w:r>
        <w:rPr>
          <w:lang w:val="en-AU"/>
        </w:rPr>
        <w:t>tate</w:t>
      </w:r>
      <w:proofErr w:type="spellEnd"/>
      <w:r>
        <w:rPr>
          <w:lang w:val="en-AU"/>
        </w:rPr>
        <w:t xml:space="preserve"> and territory </w:t>
      </w:r>
      <w:r w:rsidRPr="006C2176">
        <w:rPr>
          <w:lang w:val="en-AU"/>
        </w:rPr>
        <w:t xml:space="preserve">initiatives </w:t>
      </w:r>
      <w:r>
        <w:rPr>
          <w:lang w:val="en-AU"/>
        </w:rPr>
        <w:t xml:space="preserve">we have analysed and provided the data on </w:t>
      </w:r>
      <w:r w:rsidRPr="006C2176">
        <w:rPr>
          <w:lang w:val="en-AU"/>
        </w:rPr>
        <w:t>program descriptions, objectives and funding (where available)</w:t>
      </w:r>
      <w:r>
        <w:rPr>
          <w:lang w:val="en-AU"/>
        </w:rPr>
        <w:t>. Information on effectiveness of these initiatives was incomplete and was outside of our scope to verify so, as a result, we do not make any assessment on the effectiveness or impact of the non-NISA initiatives</w:t>
      </w:r>
    </w:p>
  </w:footnote>
  <w:footnote w:id="38">
    <w:p w14:paraId="34FFF46C" w14:textId="77777777" w:rsidR="007E2D07" w:rsidRPr="001A1D68" w:rsidRDefault="007E2D07" w:rsidP="007E4E83">
      <w:pPr>
        <w:pStyle w:val="FootnoteText"/>
        <w:rPr>
          <w:lang w:val="en-AU"/>
        </w:rPr>
      </w:pPr>
      <w:r w:rsidRPr="00D80A95">
        <w:rPr>
          <w:rStyle w:val="FootnoteReference"/>
        </w:rPr>
        <w:footnoteRef/>
      </w:r>
      <w:r w:rsidRPr="00D80A95">
        <w:t xml:space="preserve"> </w:t>
      </w:r>
      <w:r w:rsidRPr="00D80A95">
        <w:rPr>
          <w:lang w:val="en-AU"/>
        </w:rPr>
        <w:t>The group of initiatives examined is not intended to be an exhaustive list of all STEM education initiatives in Australia, but instead to provide a sense of what the key areas of focus are in major initiatives.</w:t>
      </w:r>
      <w:r>
        <w:rPr>
          <w:lang w:val="en-AU"/>
        </w:rPr>
        <w:t xml:space="preserve"> </w:t>
      </w:r>
    </w:p>
  </w:footnote>
  <w:footnote w:id="39">
    <w:p w14:paraId="5A50ABB9" w14:textId="77777777" w:rsidR="007E2D07" w:rsidRPr="0050213C" w:rsidRDefault="007E2D07" w:rsidP="002D3A22">
      <w:pPr>
        <w:pStyle w:val="FootnoteText"/>
        <w:rPr>
          <w:lang w:val="en-AU"/>
        </w:rPr>
      </w:pPr>
      <w:r>
        <w:rPr>
          <w:rStyle w:val="FootnoteReference"/>
        </w:rPr>
        <w:footnoteRef/>
      </w:r>
      <w:r>
        <w:t xml:space="preserve"> </w:t>
      </w:r>
      <w:r>
        <w:rPr>
          <w:lang w:val="en-AU"/>
        </w:rPr>
        <w:t>ACT has adopted the National STEM School Education Strategy. All other states and territories have developed their own.</w:t>
      </w:r>
    </w:p>
  </w:footnote>
  <w:footnote w:id="40">
    <w:p w14:paraId="63D8C5E6" w14:textId="77777777" w:rsidR="007E2D07" w:rsidRPr="001A1D68" w:rsidRDefault="007E2D07" w:rsidP="002D3A22">
      <w:pPr>
        <w:pStyle w:val="FootnoteText"/>
        <w:rPr>
          <w:lang w:val="en-AU"/>
        </w:rPr>
      </w:pPr>
      <w:r>
        <w:rPr>
          <w:rStyle w:val="FootnoteReference"/>
        </w:rPr>
        <w:footnoteRef/>
      </w:r>
      <w:r>
        <w:t xml:space="preserve"> </w:t>
      </w:r>
      <w:r>
        <w:rPr>
          <w:lang w:val="en-AU"/>
        </w:rPr>
        <w:t xml:space="preserve">See </w:t>
      </w:r>
      <w:r w:rsidRPr="00FE1B52">
        <w:rPr>
          <w:lang w:val="en-AU"/>
        </w:rPr>
        <w:t>Appendix for links to individual strategies.</w:t>
      </w:r>
      <w:r>
        <w:rPr>
          <w:lang w:val="en-AU"/>
        </w:rPr>
        <w:t xml:space="preserve"> </w:t>
      </w:r>
    </w:p>
  </w:footnote>
  <w:footnote w:id="41">
    <w:p w14:paraId="0E2D05C3" w14:textId="77777777" w:rsidR="007E2D07" w:rsidRPr="008260AE" w:rsidRDefault="007E2D07">
      <w:pPr>
        <w:pStyle w:val="FootnoteText"/>
        <w:rPr>
          <w:lang w:val="en-AU"/>
        </w:rPr>
      </w:pPr>
      <w:r>
        <w:rPr>
          <w:rStyle w:val="FootnoteReference"/>
        </w:rPr>
        <w:footnoteRef/>
      </w:r>
      <w:r>
        <w:t xml:space="preserve"> </w:t>
      </w:r>
      <w:r>
        <w:rPr>
          <w:lang w:val="en-AU"/>
        </w:rPr>
        <w:t xml:space="preserve">See Section 1 of this report for the conceptual framework underpinning the achievement vs. engagement distinction. Primary Connections and MOOCs identified based on program objectives. </w:t>
      </w:r>
    </w:p>
  </w:footnote>
  <w:footnote w:id="42">
    <w:p w14:paraId="7042D152" w14:textId="77777777" w:rsidR="007E2D07" w:rsidRPr="00932C62" w:rsidRDefault="007E2D07">
      <w:pPr>
        <w:pStyle w:val="FootnoteText"/>
      </w:pPr>
      <w:r>
        <w:rPr>
          <w:rStyle w:val="FootnoteReference"/>
        </w:rPr>
        <w:footnoteRef/>
      </w:r>
      <w:r>
        <w:t xml:space="preserve"> </w:t>
      </w:r>
      <w:r>
        <w:rPr>
          <w:lang w:val="en-AU"/>
        </w:rPr>
        <w:t xml:space="preserve">Beyond NISA, Questacon recently secured funding for a national roll-out of </w:t>
      </w:r>
      <w:r w:rsidRPr="000711D4">
        <w:rPr>
          <w:i/>
          <w:iCs/>
          <w:lang w:val="en-AU"/>
        </w:rPr>
        <w:t>Engineering is Elementary</w:t>
      </w:r>
      <w:r>
        <w:rPr>
          <w:lang w:val="en-AU"/>
        </w:rPr>
        <w:t>, a program they have been piloting which supports primary schools.</w:t>
      </w:r>
    </w:p>
  </w:footnote>
  <w:footnote w:id="43">
    <w:p w14:paraId="4E651B91" w14:textId="77777777" w:rsidR="007E2D07" w:rsidRPr="00EE684B" w:rsidRDefault="007E2D07">
      <w:pPr>
        <w:pStyle w:val="FootnoteText"/>
        <w:rPr>
          <w:lang w:val="en-AU"/>
        </w:rPr>
      </w:pPr>
      <w:r>
        <w:rPr>
          <w:rStyle w:val="FootnoteReference"/>
        </w:rPr>
        <w:footnoteRef/>
      </w:r>
      <w:r>
        <w:t xml:space="preserve"> </w:t>
      </w:r>
      <w:r w:rsidRPr="00EE684B">
        <w:rPr>
          <w:bCs/>
          <w:szCs w:val="16"/>
        </w:rPr>
        <w:t xml:space="preserve">Note: ‘General STEM’ may refer to STEM practices/ways of thinking or initiatives which focus on multiple subject areas (e.g. </w:t>
      </w:r>
      <w:proofErr w:type="spellStart"/>
      <w:r w:rsidRPr="00EE684B">
        <w:rPr>
          <w:bCs/>
          <w:szCs w:val="16"/>
        </w:rPr>
        <w:t>maths</w:t>
      </w:r>
      <w:proofErr w:type="spellEnd"/>
      <w:r w:rsidRPr="00EE684B">
        <w:rPr>
          <w:bCs/>
          <w:szCs w:val="16"/>
        </w:rPr>
        <w:t xml:space="preserve"> </w:t>
      </w:r>
      <w:r w:rsidRPr="00EE684B">
        <w:rPr>
          <w:bCs/>
          <w:i/>
          <w:iCs/>
          <w:szCs w:val="16"/>
        </w:rPr>
        <w:t>and</w:t>
      </w:r>
      <w:r w:rsidRPr="00EE684B">
        <w:rPr>
          <w:bCs/>
          <w:szCs w:val="16"/>
        </w:rPr>
        <w:t xml:space="preserve"> science)</w:t>
      </w:r>
    </w:p>
  </w:footnote>
  <w:footnote w:id="44">
    <w:p w14:paraId="17DF6F5B" w14:textId="77777777" w:rsidR="007E2D07" w:rsidRPr="00B76E17" w:rsidRDefault="007E2D07">
      <w:pPr>
        <w:pStyle w:val="FootnoteText"/>
        <w:rPr>
          <w:lang w:val="en-AU"/>
        </w:rPr>
      </w:pPr>
      <w:r>
        <w:rPr>
          <w:rStyle w:val="FootnoteReference"/>
        </w:rPr>
        <w:footnoteRef/>
      </w:r>
      <w:r>
        <w:t xml:space="preserve"> This analysis is not intended to be completely definitive and binary.  </w:t>
      </w:r>
    </w:p>
  </w:footnote>
  <w:footnote w:id="45">
    <w:p w14:paraId="71BFBC30" w14:textId="77777777" w:rsidR="007E2D07" w:rsidRPr="005C1080" w:rsidRDefault="007E2D07" w:rsidP="00B32688">
      <w:pPr>
        <w:pStyle w:val="FootnoteText"/>
        <w:rPr>
          <w:lang w:val="en-AU"/>
        </w:rPr>
      </w:pPr>
      <w:r>
        <w:rPr>
          <w:rStyle w:val="FootnoteReference"/>
        </w:rPr>
        <w:footnoteRef/>
      </w:r>
      <w:r>
        <w:t xml:space="preserve"> </w:t>
      </w:r>
      <w:r>
        <w:rPr>
          <w:lang w:val="en-AU"/>
        </w:rPr>
        <w:t>Australian Industry Group, 2017, Strengthening School- Industry STEM Skills Partnerships</w:t>
      </w:r>
    </w:p>
  </w:footnote>
  <w:footnote w:id="46">
    <w:p w14:paraId="63A37E3D" w14:textId="77777777" w:rsidR="007E2D07" w:rsidRPr="008260AE" w:rsidRDefault="007E2D07">
      <w:pPr>
        <w:pStyle w:val="FootnoteText"/>
        <w:rPr>
          <w:lang w:val="en-AU"/>
        </w:rPr>
      </w:pPr>
      <w:r>
        <w:rPr>
          <w:rStyle w:val="FootnoteReference"/>
        </w:rPr>
        <w:footnoteRef/>
      </w:r>
      <w:r>
        <w:t xml:space="preserve"> </w:t>
      </w:r>
      <w:proofErr w:type="spellStart"/>
      <w:r>
        <w:t>Stronge</w:t>
      </w:r>
      <w:proofErr w:type="spellEnd"/>
      <w:r>
        <w:t xml:space="preserve">, JH &amp; Hindman, JL 2003, ‘Hiring the best teachers’, </w:t>
      </w:r>
      <w:r>
        <w:rPr>
          <w:i/>
          <w:iCs/>
        </w:rPr>
        <w:t xml:space="preserve">Educational Leadership, </w:t>
      </w:r>
      <w:r>
        <w:t>vol. 60, no. 8, pp. 48-52.</w:t>
      </w:r>
    </w:p>
  </w:footnote>
  <w:footnote w:id="47">
    <w:p w14:paraId="122ECD4B" w14:textId="77777777" w:rsidR="007E2D07" w:rsidRPr="00F5771B" w:rsidRDefault="007E2D07">
      <w:pPr>
        <w:pStyle w:val="FootnoteText"/>
        <w:rPr>
          <w:lang w:val="en-AU"/>
        </w:rPr>
      </w:pPr>
      <w:r>
        <w:rPr>
          <w:rStyle w:val="FootnoteReference"/>
        </w:rPr>
        <w:footnoteRef/>
      </w:r>
      <w:r>
        <w:t xml:space="preserve"> </w:t>
      </w:r>
      <w:r>
        <w:rPr>
          <w:lang w:eastAsia="en-GB"/>
        </w:rPr>
        <w:t xml:space="preserve">For example, one of goals of the </w:t>
      </w:r>
      <w:hyperlink r:id="rId5" w:history="1">
        <w:r w:rsidRPr="00482444">
          <w:rPr>
            <w:rStyle w:val="Hyperlink"/>
            <w:lang w:eastAsia="en-GB"/>
          </w:rPr>
          <w:t xml:space="preserve">National STEM </w:t>
        </w:r>
        <w:r w:rsidRPr="008260AE">
          <w:rPr>
            <w:rStyle w:val="Hyperlink"/>
          </w:rPr>
          <w:t xml:space="preserve">School </w:t>
        </w:r>
        <w:r w:rsidRPr="00482444">
          <w:rPr>
            <w:rStyle w:val="Hyperlink"/>
            <w:lang w:eastAsia="en-GB"/>
          </w:rPr>
          <w:t>Education Strategy</w:t>
        </w:r>
      </w:hyperlink>
      <w:r>
        <w:rPr>
          <w:lang w:eastAsia="en-GB"/>
        </w:rPr>
        <w:t xml:space="preserve"> is ‘</w:t>
      </w:r>
      <w:r w:rsidRPr="00C2053E">
        <w:t>Increasing teacher capacity and STEM teaching quality</w:t>
      </w:r>
      <w:r>
        <w:t>’</w:t>
      </w:r>
    </w:p>
  </w:footnote>
  <w:footnote w:id="48">
    <w:p w14:paraId="288675A3" w14:textId="77777777" w:rsidR="007E2D07" w:rsidRPr="008260AE" w:rsidRDefault="007E2D07" w:rsidP="009A13FA">
      <w:pPr>
        <w:pStyle w:val="FootnoteText"/>
        <w:rPr>
          <w:lang w:val="en-AU"/>
        </w:rPr>
      </w:pPr>
      <w:r>
        <w:rPr>
          <w:rStyle w:val="FootnoteReference"/>
        </w:rPr>
        <w:footnoteRef/>
      </w:r>
      <w:r>
        <w:t xml:space="preserve"> </w:t>
      </w:r>
      <w:r w:rsidRPr="00FE1B52">
        <w:rPr>
          <w:lang w:val="en-AU"/>
        </w:rPr>
        <w:t xml:space="preserve">See evaluation </w:t>
      </w:r>
      <w:r w:rsidRPr="008260AE">
        <w:rPr>
          <w:lang w:val="en-AU"/>
        </w:rPr>
        <w:t>summaries</w:t>
      </w:r>
      <w:r w:rsidRPr="00FE1B52">
        <w:rPr>
          <w:lang w:val="en-AU"/>
        </w:rPr>
        <w:t xml:space="preserve"> for </w:t>
      </w:r>
      <w:r w:rsidRPr="008260AE">
        <w:rPr>
          <w:lang w:val="en-AU"/>
        </w:rPr>
        <w:t xml:space="preserve">Curious Minds </w:t>
      </w:r>
      <w:r>
        <w:rPr>
          <w:lang w:val="en-AU"/>
        </w:rPr>
        <w:t>and</w:t>
      </w:r>
      <w:r w:rsidRPr="008260AE">
        <w:rPr>
          <w:lang w:val="en-AU"/>
        </w:rPr>
        <w:t xml:space="preserve"> </w:t>
      </w:r>
      <w:proofErr w:type="spellStart"/>
      <w:r w:rsidRPr="008260AE">
        <w:rPr>
          <w:lang w:val="en-AU"/>
        </w:rPr>
        <w:t>DigIT</w:t>
      </w:r>
      <w:proofErr w:type="spellEnd"/>
      <w:r w:rsidRPr="008260AE">
        <w:rPr>
          <w:lang w:val="en-AU"/>
        </w:rPr>
        <w:t xml:space="preserve"> </w:t>
      </w:r>
      <w:r>
        <w:rPr>
          <w:lang w:val="en-AU"/>
        </w:rPr>
        <w:t>in Appendix 2 for</w:t>
      </w:r>
      <w:r w:rsidRPr="00FE1B52">
        <w:rPr>
          <w:lang w:val="en-AU"/>
        </w:rPr>
        <w:t xml:space="preserve"> further details</w:t>
      </w:r>
    </w:p>
  </w:footnote>
  <w:footnote w:id="49">
    <w:p w14:paraId="495BBB51" w14:textId="77777777" w:rsidR="007E2D07" w:rsidRPr="009F1625" w:rsidRDefault="007E2D07">
      <w:pPr>
        <w:pStyle w:val="FootnoteText"/>
        <w:rPr>
          <w:lang w:val="en-AU"/>
        </w:rPr>
      </w:pPr>
      <w:r>
        <w:rPr>
          <w:rStyle w:val="FootnoteReference"/>
        </w:rPr>
        <w:footnoteRef/>
      </w:r>
      <w:r>
        <w:t xml:space="preserve"> </w:t>
      </w:r>
      <w:r w:rsidRPr="009F1625">
        <w:rPr>
          <w:i/>
          <w:lang w:val="en"/>
        </w:rPr>
        <w:t>Quality Schools, Quality Outcomes</w:t>
      </w:r>
      <w:r>
        <w:rPr>
          <w:lang w:val="en"/>
        </w:rPr>
        <w:t xml:space="preserve">, Australian Government Department of Education, 2016, </w:t>
      </w:r>
      <w:hyperlink r:id="rId6" w:history="1">
        <w:r w:rsidRPr="00834C72">
          <w:rPr>
            <w:rStyle w:val="Hyperlink"/>
            <w:lang w:val="en"/>
          </w:rPr>
          <w:t>https://docs.education.gov.au/documents/quality-schools-quality-outcomes</w:t>
        </w:r>
      </w:hyperlink>
    </w:p>
  </w:footnote>
  <w:footnote w:id="50">
    <w:p w14:paraId="5F2DE8BE" w14:textId="77777777" w:rsidR="007E2D07" w:rsidRPr="008260AE" w:rsidRDefault="007E2D07" w:rsidP="007F39D0">
      <w:pPr>
        <w:pStyle w:val="FootnoteText"/>
        <w:rPr>
          <w:i/>
          <w:iCs/>
          <w:lang w:val="en-AU"/>
        </w:rPr>
      </w:pPr>
      <w:r>
        <w:rPr>
          <w:rStyle w:val="FootnoteReference"/>
        </w:rPr>
        <w:footnoteRef/>
      </w:r>
      <w:r>
        <w:t xml:space="preserve"> Emerson, Fear, Fox &amp; Sanders, 2012, </w:t>
      </w:r>
      <w:r>
        <w:rPr>
          <w:i/>
          <w:iCs/>
        </w:rPr>
        <w:t>Parental engagement in learning and schooling: Lessons from research</w:t>
      </w:r>
    </w:p>
  </w:footnote>
  <w:footnote w:id="51">
    <w:p w14:paraId="7F46A473" w14:textId="77777777" w:rsidR="007E2D07" w:rsidRPr="008260AE" w:rsidRDefault="007E2D07">
      <w:pPr>
        <w:pStyle w:val="FootnoteText"/>
        <w:rPr>
          <w:lang w:val="en-AU"/>
        </w:rPr>
      </w:pPr>
      <w:r>
        <w:rPr>
          <w:rStyle w:val="FootnoteReference"/>
        </w:rPr>
        <w:footnoteRef/>
      </w:r>
      <w:r>
        <w:t xml:space="preserve"> </w:t>
      </w:r>
      <w:r>
        <w:rPr>
          <w:lang w:val="en-AU"/>
        </w:rPr>
        <w:t xml:space="preserve">Learning First, 2019, </w:t>
      </w:r>
      <w:r>
        <w:rPr>
          <w:i/>
          <w:iCs/>
          <w:lang w:val="en-AU"/>
        </w:rPr>
        <w:t xml:space="preserve">High-quality curriculum and system improvement, </w:t>
      </w:r>
      <w:r>
        <w:rPr>
          <w:lang w:val="en-AU"/>
        </w:rPr>
        <w:t xml:space="preserve">John Hopkins Institute for Education Policy. </w:t>
      </w:r>
    </w:p>
  </w:footnote>
  <w:footnote w:id="52">
    <w:p w14:paraId="541FD167" w14:textId="77777777" w:rsidR="007E2D07" w:rsidRPr="00294879" w:rsidRDefault="007E2D07" w:rsidP="00D41D8D">
      <w:pPr>
        <w:pStyle w:val="FootnoteText"/>
        <w:rPr>
          <w:lang w:val="en-AU"/>
        </w:rPr>
      </w:pPr>
      <w:r>
        <w:rPr>
          <w:rStyle w:val="FootnoteReference"/>
        </w:rPr>
        <w:footnoteRef/>
      </w:r>
      <w:r>
        <w:t xml:space="preserve"> </w:t>
      </w:r>
      <w:r>
        <w:rPr>
          <w:lang w:val="en-AU"/>
        </w:rPr>
        <w:t>Steiner method of teaching</w:t>
      </w:r>
    </w:p>
  </w:footnote>
  <w:footnote w:id="53">
    <w:p w14:paraId="63B13F8C" w14:textId="77777777" w:rsidR="007E2D07" w:rsidRPr="00EC7C88" w:rsidRDefault="007E2D07" w:rsidP="00853143">
      <w:pPr>
        <w:pStyle w:val="FootnoteText"/>
      </w:pPr>
      <w:r>
        <w:rPr>
          <w:rStyle w:val="FootnoteReference"/>
        </w:rPr>
        <w:footnoteRef/>
      </w:r>
      <w:r>
        <w:t xml:space="preserve"> </w:t>
      </w:r>
      <w:proofErr w:type="spellStart"/>
      <w:r>
        <w:t>dandolopartners</w:t>
      </w:r>
      <w:proofErr w:type="spellEnd"/>
      <w:r>
        <w:t xml:space="preserve">, 2019, </w:t>
      </w:r>
      <w:r>
        <w:rPr>
          <w:i/>
          <w:iCs/>
        </w:rPr>
        <w:t xml:space="preserve">Evaluation of the </w:t>
      </w:r>
      <w:proofErr w:type="spellStart"/>
      <w:r>
        <w:rPr>
          <w:i/>
          <w:iCs/>
        </w:rPr>
        <w:t>Maths</w:t>
      </w:r>
      <w:proofErr w:type="spellEnd"/>
      <w:r>
        <w:rPr>
          <w:i/>
          <w:iCs/>
        </w:rPr>
        <w:t xml:space="preserve"> by Inquiry Program </w:t>
      </w:r>
      <w:r>
        <w:t>(Second Progress Report)</w:t>
      </w:r>
    </w:p>
  </w:footnote>
  <w:footnote w:id="54">
    <w:p w14:paraId="21DFC39D" w14:textId="77777777" w:rsidR="007E2D07" w:rsidRPr="00C2053E" w:rsidRDefault="007E2D07" w:rsidP="00C2053E">
      <w:pPr>
        <w:spacing w:line="240" w:lineRule="auto"/>
        <w:rPr>
          <w:sz w:val="18"/>
          <w:szCs w:val="18"/>
        </w:rPr>
      </w:pPr>
      <w:r w:rsidRPr="003746D8">
        <w:rPr>
          <w:rStyle w:val="FootnoteReference"/>
          <w:sz w:val="18"/>
          <w:szCs w:val="18"/>
        </w:rPr>
        <w:footnoteRef/>
      </w:r>
      <w:r w:rsidRPr="003746D8">
        <w:rPr>
          <w:sz w:val="18"/>
          <w:szCs w:val="18"/>
        </w:rPr>
        <w:t xml:space="preserve"> </w:t>
      </w:r>
      <w:r w:rsidRPr="00C2053E">
        <w:rPr>
          <w:sz w:val="18"/>
          <w:szCs w:val="18"/>
          <w:shd w:val="clear" w:color="auto" w:fill="FFFFFF"/>
          <w:lang w:eastAsia="en-GB"/>
        </w:rPr>
        <w:t> </w:t>
      </w:r>
      <w:r w:rsidRPr="00EA166F">
        <w:rPr>
          <w:sz w:val="16"/>
          <w:szCs w:val="16"/>
          <w:shd w:val="clear" w:color="auto" w:fill="FFFFFF"/>
          <w:lang w:eastAsia="en-GB"/>
        </w:rPr>
        <w:t>2019-20 Budget to extend the National Partnership on Universal Access to Early Childhood Education until the end of 2020</w:t>
      </w:r>
    </w:p>
  </w:footnote>
  <w:footnote w:id="55">
    <w:p w14:paraId="20602B23" w14:textId="77777777" w:rsidR="007E2D07" w:rsidRPr="008F1BCE" w:rsidRDefault="007E2D07" w:rsidP="00E95712">
      <w:pPr>
        <w:pStyle w:val="FootnoteText"/>
        <w:rPr>
          <w:lang w:val="en-AU"/>
        </w:rPr>
      </w:pPr>
      <w:r>
        <w:rPr>
          <w:rStyle w:val="FootnoteReference"/>
        </w:rPr>
        <w:footnoteRef/>
      </w:r>
      <w:r>
        <w:t xml:space="preserve"> </w:t>
      </w:r>
      <w:r>
        <w:rPr>
          <w:lang w:val="en-AU"/>
        </w:rPr>
        <w:t>South Australia completed a review into Senior Secondary in 2018, Tasmania’s took place in 2016 and Queensland completed theirs in 2014. Victoria recently reviewed setting minimum literacy and numeracy standards.</w:t>
      </w:r>
    </w:p>
  </w:footnote>
  <w:footnote w:id="56">
    <w:p w14:paraId="2463B409" w14:textId="77777777" w:rsidR="007E2D07" w:rsidRPr="008260AE" w:rsidRDefault="007E2D07" w:rsidP="00E95712">
      <w:pPr>
        <w:pStyle w:val="FootnoteText"/>
        <w:rPr>
          <w:i/>
          <w:iCs/>
          <w:lang w:val="en-AU"/>
        </w:rPr>
      </w:pPr>
      <w:r>
        <w:rPr>
          <w:rStyle w:val="FootnoteReference"/>
        </w:rPr>
        <w:footnoteRef/>
      </w:r>
      <w:r>
        <w:t xml:space="preserve"> External to NISA, the Australian Government is investing $5.1 million to pilot the Pathways in Technology (P-TECH) model in Australia. P-TECH offers secondary students an industry-supported education pathway to a science, technology, engineering and mathematics related diploma, advanced diploma or associate degree. Beyond STEM, the Australian Government aims to support students transition from school to further education, training or work through its </w:t>
      </w:r>
      <w:r w:rsidRPr="008260AE">
        <w:t>National Career Education Strateg</w:t>
      </w:r>
      <w:r>
        <w:t>y and Preparing Secondary Students for Work framework.</w:t>
      </w:r>
    </w:p>
  </w:footnote>
  <w:footnote w:id="57">
    <w:p w14:paraId="1FFE7A57" w14:textId="77777777" w:rsidR="007E2D07" w:rsidRPr="009F2CBF" w:rsidRDefault="007E2D07" w:rsidP="007F7818">
      <w:pPr>
        <w:spacing w:after="0" w:line="240" w:lineRule="auto"/>
      </w:pPr>
      <w:r w:rsidRPr="008260AE">
        <w:rPr>
          <w:rStyle w:val="FootnoteReference"/>
          <w:rFonts w:ascii="Arial Narrow" w:hAnsi="Arial Narrow"/>
          <w:sz w:val="16"/>
          <w:szCs w:val="16"/>
        </w:rPr>
        <w:footnoteRef/>
      </w:r>
      <w:r w:rsidRPr="008260AE">
        <w:rPr>
          <w:rFonts w:ascii="Arial Narrow" w:hAnsi="Arial Narrow"/>
          <w:sz w:val="16"/>
          <w:szCs w:val="16"/>
        </w:rPr>
        <w:t xml:space="preserve"> Kelley, T. and Knowles J., 2016, ‘A Conceptual Framework for Integrated STEM Education’, International Journal of STEM Education.</w:t>
      </w:r>
    </w:p>
  </w:footnote>
  <w:footnote w:id="58">
    <w:p w14:paraId="00A81082" w14:textId="77777777" w:rsidR="007E2D07" w:rsidRPr="00562FDC" w:rsidRDefault="007E2D07" w:rsidP="001A3972">
      <w:pPr>
        <w:pStyle w:val="FootnoteText"/>
        <w:rPr>
          <w:lang w:val="en-AU"/>
        </w:rPr>
      </w:pPr>
      <w:r>
        <w:rPr>
          <w:rStyle w:val="FootnoteReference"/>
        </w:rPr>
        <w:footnoteRef/>
      </w:r>
      <w:r>
        <w:t xml:space="preserve"> </w:t>
      </w:r>
      <w:proofErr w:type="spellStart"/>
      <w:r>
        <w:t>Amagir</w:t>
      </w:r>
      <w:proofErr w:type="spellEnd"/>
      <w:r>
        <w:t xml:space="preserve">, A Groot, W Massen van den Brink, H &amp; </w:t>
      </w:r>
      <w:proofErr w:type="spellStart"/>
      <w:r>
        <w:t>Wilschut</w:t>
      </w:r>
      <w:proofErr w:type="spellEnd"/>
      <w:r>
        <w:t>, A 2018.</w:t>
      </w:r>
    </w:p>
  </w:footnote>
  <w:footnote w:id="59">
    <w:p w14:paraId="4A8E07D8" w14:textId="77777777" w:rsidR="007E2D07" w:rsidRPr="008260AE" w:rsidRDefault="007E2D07">
      <w:pPr>
        <w:pStyle w:val="FootnoteText"/>
        <w:rPr>
          <w:lang w:val="en-AU"/>
        </w:rPr>
      </w:pPr>
      <w:r>
        <w:rPr>
          <w:rStyle w:val="FootnoteReference"/>
        </w:rPr>
        <w:footnoteRef/>
      </w:r>
      <w:r>
        <w:t xml:space="preserve"> According to the Australian Mathematical Sciences Institute (2018), one in three secondary mathematics classes are taught by out-of-field teachers.</w:t>
      </w:r>
    </w:p>
  </w:footnote>
  <w:footnote w:id="60">
    <w:p w14:paraId="45CFC149" w14:textId="77777777" w:rsidR="007E2D07" w:rsidRPr="00E35608" w:rsidRDefault="007E2D07">
      <w:pPr>
        <w:pStyle w:val="FootnoteText"/>
        <w:rPr>
          <w:lang w:val="en-AU"/>
        </w:rPr>
      </w:pPr>
      <w:r>
        <w:rPr>
          <w:rStyle w:val="FootnoteReference"/>
        </w:rPr>
        <w:footnoteRef/>
      </w:r>
      <w:r>
        <w:t xml:space="preserve"> </w:t>
      </w:r>
      <w:r w:rsidRPr="00292D9C">
        <w:rPr>
          <w:lang w:eastAsia="en-GB"/>
        </w:rPr>
        <w:t xml:space="preserve">Action Item L from the 2015 </w:t>
      </w:r>
      <w:r w:rsidRPr="00292D9C">
        <w:rPr>
          <w:i/>
          <w:iCs/>
          <w:lang w:eastAsia="en-GB"/>
        </w:rPr>
        <w:t>National STEM School Education Strategy</w:t>
      </w:r>
    </w:p>
  </w:footnote>
  <w:footnote w:id="61">
    <w:p w14:paraId="4E36EE54" w14:textId="77777777" w:rsidR="007E2D07" w:rsidRPr="00FF6DDF" w:rsidRDefault="007E2D07">
      <w:pPr>
        <w:pStyle w:val="FootnoteText"/>
        <w:rPr>
          <w:lang w:val="en-AU"/>
        </w:rPr>
      </w:pPr>
      <w:r>
        <w:rPr>
          <w:rStyle w:val="FootnoteReference"/>
        </w:rPr>
        <w:footnoteRef/>
      </w:r>
      <w:r>
        <w:t xml:space="preserve"> </w:t>
      </w:r>
      <w:r>
        <w:rPr>
          <w:lang w:val="en-AU"/>
        </w:rPr>
        <w:t>Numbers are based on self-identification in focus groups, and not all participants chose to identify or disclose their identity.</w:t>
      </w:r>
    </w:p>
  </w:footnote>
  <w:footnote w:id="62">
    <w:p w14:paraId="01BB608A" w14:textId="77777777" w:rsidR="007E2D07" w:rsidRDefault="007E2D07" w:rsidP="00762B5A">
      <w:pPr>
        <w:pStyle w:val="FootnoteText"/>
        <w:rPr>
          <w:lang w:val="en-AU"/>
        </w:rPr>
      </w:pPr>
      <w:r>
        <w:rPr>
          <w:rStyle w:val="FootnoteReference"/>
        </w:rPr>
        <w:footnoteRef/>
      </w:r>
      <w:r>
        <w:t xml:space="preserve"> </w:t>
      </w:r>
      <w:r>
        <w:rPr>
          <w:szCs w:val="22"/>
          <w:shd w:val="clear" w:color="auto" w:fill="FFFFFF"/>
        </w:rPr>
        <w:t xml:space="preserve">Assessment criteria </w:t>
      </w:r>
      <w:proofErr w:type="spellStart"/>
      <w:r>
        <w:rPr>
          <w:szCs w:val="22"/>
          <w:shd w:val="clear" w:color="auto" w:fill="FFFFFF"/>
        </w:rPr>
        <w:t>prioritised</w:t>
      </w:r>
      <w:proofErr w:type="spellEnd"/>
      <w:r>
        <w:rPr>
          <w:szCs w:val="22"/>
          <w:shd w:val="clear" w:color="auto" w:fill="FFFFFF"/>
        </w:rPr>
        <w:t xml:space="preserve"> low ICSEA and disadvantaged schools to mitigate risk of inequity</w:t>
      </w:r>
    </w:p>
  </w:footnote>
  <w:footnote w:id="63">
    <w:p w14:paraId="0C733B3E" w14:textId="77777777" w:rsidR="007E2D07" w:rsidRDefault="007E2D07" w:rsidP="00762B5A">
      <w:pPr>
        <w:pStyle w:val="FootnoteText"/>
        <w:rPr>
          <w:lang w:val="en-AU"/>
        </w:rPr>
      </w:pPr>
      <w:r>
        <w:rPr>
          <w:rStyle w:val="FootnoteReference"/>
        </w:rPr>
        <w:footnoteRef/>
      </w:r>
      <w:r>
        <w:t xml:space="preserve"> </w:t>
      </w:r>
      <w:r>
        <w:rPr>
          <w:lang w:val="en-AU"/>
        </w:rPr>
        <w:t>Please note, the analysis does not include schools for which ICSEA is not available, these could reasonably be understood to be low ICSEA schools.</w:t>
      </w:r>
    </w:p>
  </w:footnote>
  <w:footnote w:id="64">
    <w:p w14:paraId="3BB47A57" w14:textId="77777777" w:rsidR="007E2D07" w:rsidRDefault="007E2D07" w:rsidP="00762B5A">
      <w:pPr>
        <w:pStyle w:val="FootnoteText"/>
        <w:rPr>
          <w:lang w:val="en-AU"/>
        </w:rPr>
      </w:pPr>
      <w:r>
        <w:rPr>
          <w:rStyle w:val="FootnoteReference"/>
        </w:rPr>
        <w:footnoteRef/>
      </w:r>
      <w:r>
        <w:t xml:space="preserve"> </w:t>
      </w:r>
      <w:r>
        <w:rPr>
          <w:lang w:val="en-AU"/>
        </w:rPr>
        <w:t xml:space="preserve">Cited in </w:t>
      </w:r>
      <w:proofErr w:type="spellStart"/>
      <w:r>
        <w:rPr>
          <w:lang w:val="en-AU"/>
        </w:rPr>
        <w:t>digIT</w:t>
      </w:r>
      <w:proofErr w:type="spellEnd"/>
      <w:r>
        <w:rPr>
          <w:lang w:val="en-AU"/>
        </w:rPr>
        <w:t xml:space="preserve"> 2018 Evaluation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9978"/>
    </w:tblGrid>
    <w:tr w:rsidR="007E2D07" w14:paraId="29F6F038" w14:textId="77777777" w:rsidTr="0016178E">
      <w:tc>
        <w:tcPr>
          <w:tcW w:w="9978" w:type="dxa"/>
        </w:tcPr>
        <w:p w14:paraId="3078EBB3" w14:textId="77777777" w:rsidR="007E2D07" w:rsidRDefault="007E2D07">
          <w:pPr>
            <w:pStyle w:val="Header"/>
          </w:pPr>
        </w:p>
      </w:tc>
    </w:tr>
  </w:tbl>
  <w:p w14:paraId="016A650C" w14:textId="77777777" w:rsidR="007E2D07" w:rsidRDefault="007E2D07" w:rsidP="001A73D7">
    <w:pPr>
      <w:pStyle w:val="NormalSingleSpacing"/>
    </w:pPr>
  </w:p>
  <w:p w14:paraId="69B32286" w14:textId="77777777" w:rsidR="007E2D07" w:rsidRDefault="007E2D07"/>
  <w:p w14:paraId="18404C1F" w14:textId="77777777" w:rsidR="007E2D07" w:rsidRDefault="007E2D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CE3F8" w14:textId="77777777" w:rsidR="007E2D07" w:rsidRDefault="007E2D07" w:rsidP="00FC4A9C">
    <w:pPr>
      <w:pStyle w:val="TableText"/>
    </w:pPr>
    <w:r w:rsidRPr="00111A33">
      <w:rPr>
        <w:noProof/>
        <w:lang w:eastAsia="en-AU"/>
      </w:rPr>
      <mc:AlternateContent>
        <mc:Choice Requires="wpg">
          <w:drawing>
            <wp:anchor distT="0" distB="0" distL="114300" distR="114300" simplePos="0" relativeHeight="251692032" behindDoc="1" locked="1" layoutInCell="1" allowOverlap="1" wp14:anchorId="6D3DBC65" wp14:editId="5781DF30">
              <wp:simplePos x="0" y="0"/>
              <wp:positionH relativeFrom="margin">
                <wp:posOffset>-720090</wp:posOffset>
              </wp:positionH>
              <wp:positionV relativeFrom="page">
                <wp:posOffset>9525</wp:posOffset>
              </wp:positionV>
              <wp:extent cx="7666990" cy="8201025"/>
              <wp:effectExtent l="0" t="0" r="0" b="9525"/>
              <wp:wrapNone/>
              <wp:docPr id="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6990" cy="8201025"/>
                        <a:chOff x="-168" y="0"/>
                        <a:chExt cx="12074" cy="12915"/>
                      </a:xfrm>
                    </wpg:grpSpPr>
                    <wps:wsp>
                      <wps:cNvPr id="9" name="AutoShape 29"/>
                      <wps:cNvSpPr>
                        <a:spLocks noChangeArrowheads="1" noTextEdit="1"/>
                      </wps:cNvSpPr>
                      <wps:spPr bwMode="auto">
                        <a:xfrm>
                          <a:off x="0" y="0"/>
                          <a:ext cx="11906" cy="1291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wps:spPr>
                      <wps:bodyPr rot="0" vert="horz" wrap="square" lIns="91440" tIns="45720" rIns="91440" bIns="45720" anchor="t" anchorCtr="0" upright="1">
                        <a:noAutofit/>
                      </wps:bodyPr>
                    </wps:wsp>
                    <wps:wsp>
                      <wps:cNvPr id="10" name="Rectangle 30"/>
                      <wps:cNvSpPr>
                        <a:spLocks noChangeArrowheads="1"/>
                      </wps:cNvSpPr>
                      <wps:spPr bwMode="auto">
                        <a:xfrm>
                          <a:off x="-168" y="0"/>
                          <a:ext cx="11906" cy="12915"/>
                        </a:xfrm>
                        <a:prstGeom prst="rect">
                          <a:avLst/>
                        </a:prstGeom>
                        <a:solidFill>
                          <a:srgbClr val="E4E5E3"/>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E7D2C" id="Group 28" o:spid="_x0000_s1026" alt="&quot;&quot;" style="position:absolute;margin-left:-56.7pt;margin-top:.75pt;width:603.7pt;height:645.75pt;z-index:-251624448;mso-position-horizontal-relative:margin;mso-position-vertical-relative:page" coordorigin="-168" coordsize="12074,1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">
              <v:rect id="AutoShape 29" o:spid="_x0000_s1027" style="position:absolute;width:11906;height:1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o:lock v:ext="edit" text="t"/>
              </v:rect>
              <v:rect id="Rectangle 30" o:spid="_x0000_s1028" style="position:absolute;left:-168;width:11906;height:1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" fillcolor="#e4e5e3" stroked="f">
                <v:textbox inset=",7.2pt,,7.2pt"/>
              </v:rect>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D41"/>
    <w:multiLevelType w:val="hybridMultilevel"/>
    <w:tmpl w:val="3D9AA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112AA"/>
    <w:multiLevelType w:val="hybridMultilevel"/>
    <w:tmpl w:val="84CE7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4550CB"/>
    <w:multiLevelType w:val="hybridMultilevel"/>
    <w:tmpl w:val="A844E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B1285"/>
    <w:multiLevelType w:val="hybridMultilevel"/>
    <w:tmpl w:val="7A2EB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24720"/>
    <w:multiLevelType w:val="hybridMultilevel"/>
    <w:tmpl w:val="9BD0E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3114EE2"/>
    <w:multiLevelType w:val="hybridMultilevel"/>
    <w:tmpl w:val="F47A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7C4407"/>
    <w:multiLevelType w:val="hybridMultilevel"/>
    <w:tmpl w:val="ED72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6564BDD"/>
    <w:multiLevelType w:val="hybridMultilevel"/>
    <w:tmpl w:val="50AA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C01579"/>
    <w:multiLevelType w:val="hybridMultilevel"/>
    <w:tmpl w:val="B6D0DD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08432554"/>
    <w:multiLevelType w:val="hybridMultilevel"/>
    <w:tmpl w:val="95C8BB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85C6F01"/>
    <w:multiLevelType w:val="hybridMultilevel"/>
    <w:tmpl w:val="7F40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F0042A"/>
    <w:multiLevelType w:val="multilevel"/>
    <w:tmpl w:val="DC985FD2"/>
    <w:styleLink w:val="HeadingsNumbered"/>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b w:val="0"/>
        <w:i w:val="0"/>
      </w:rPr>
    </w:lvl>
    <w:lvl w:ilvl="3">
      <w:start w:val="1"/>
      <w:numFmt w:val="none"/>
      <w:suff w:val="nothing"/>
      <w:lvlText w:val=""/>
      <w:lvlJc w:val="left"/>
      <w:pPr>
        <w:ind w:left="680" w:firstLine="0"/>
      </w:pPr>
      <w:rPr>
        <w:rFonts w:hint="default"/>
      </w:rPr>
    </w:lvl>
    <w:lvl w:ilvl="4">
      <w:start w:val="1"/>
      <w:numFmt w:val="lowerLetter"/>
      <w:lvlText w:val="(%5)"/>
      <w:lvlJc w:val="left"/>
      <w:pPr>
        <w:tabs>
          <w:tab w:val="num" w:pos="1247"/>
        </w:tabs>
        <w:ind w:left="1247" w:hanging="567"/>
      </w:pPr>
      <w:rPr>
        <w:rFonts w:hint="default"/>
      </w:rPr>
    </w:lvl>
    <w:lvl w:ilvl="5">
      <w:start w:val="1"/>
      <w:numFmt w:val="lowerRoman"/>
      <w:lvlText w:val="(%6)"/>
      <w:lvlJc w:val="left"/>
      <w:pPr>
        <w:tabs>
          <w:tab w:val="num" w:pos="1644"/>
        </w:tabs>
        <w:ind w:left="1644" w:hanging="397"/>
      </w:pPr>
      <w:rPr>
        <w:rFonts w:hint="default"/>
      </w:rPr>
    </w:lvl>
    <w:lvl w:ilvl="6">
      <w:start w:val="1"/>
      <w:numFmt w:val="upperLetter"/>
      <w:lvlText w:val="%7."/>
      <w:lvlJc w:val="left"/>
      <w:pPr>
        <w:tabs>
          <w:tab w:val="num" w:pos="2041"/>
        </w:tabs>
        <w:ind w:left="2041" w:hanging="397"/>
      </w:pPr>
      <w:rPr>
        <w:rFonts w:hint="default"/>
      </w:rPr>
    </w:lvl>
    <w:lvl w:ilvl="7">
      <w:start w:val="1"/>
      <w:numFmt w:val="decimal"/>
      <w:lvlText w:val="(%8)"/>
      <w:lvlJc w:val="left"/>
      <w:pPr>
        <w:tabs>
          <w:tab w:val="num" w:pos="2211"/>
        </w:tabs>
        <w:ind w:left="2211" w:hanging="397"/>
      </w:pPr>
      <w:rPr>
        <w:rFonts w:hint="default"/>
      </w:rPr>
    </w:lvl>
    <w:lvl w:ilvl="8">
      <w:start w:val="1"/>
      <w:numFmt w:val="none"/>
      <w:lvlText w:val=""/>
      <w:lvlJc w:val="left"/>
      <w:pPr>
        <w:tabs>
          <w:tab w:val="num" w:pos="2608"/>
        </w:tabs>
        <w:ind w:left="2608" w:hanging="397"/>
      </w:pPr>
      <w:rPr>
        <w:rFonts w:hint="default"/>
      </w:rPr>
    </w:lvl>
  </w:abstractNum>
  <w:abstractNum w:abstractNumId="12" w15:restartNumberingAfterBreak="0">
    <w:nsid w:val="095063F0"/>
    <w:multiLevelType w:val="hybridMultilevel"/>
    <w:tmpl w:val="F000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64970"/>
    <w:multiLevelType w:val="hybridMultilevel"/>
    <w:tmpl w:val="2FCAA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3E1A21"/>
    <w:multiLevelType w:val="hybridMultilevel"/>
    <w:tmpl w:val="139C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1F6410"/>
    <w:multiLevelType w:val="hybridMultilevel"/>
    <w:tmpl w:val="1C96EA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394A62"/>
    <w:multiLevelType w:val="hybridMultilevel"/>
    <w:tmpl w:val="AB16F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065A1D"/>
    <w:multiLevelType w:val="hybridMultilevel"/>
    <w:tmpl w:val="9064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ED623A"/>
    <w:multiLevelType w:val="hybridMultilevel"/>
    <w:tmpl w:val="3BC0B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F85271A"/>
    <w:multiLevelType w:val="hybridMultilevel"/>
    <w:tmpl w:val="8FEE38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C405AA"/>
    <w:multiLevelType w:val="hybridMultilevel"/>
    <w:tmpl w:val="D5D4B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01B14AB"/>
    <w:multiLevelType w:val="hybridMultilevel"/>
    <w:tmpl w:val="8FEE212C"/>
    <w:lvl w:ilvl="0" w:tplc="F1723EDA">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0814B59"/>
    <w:multiLevelType w:val="hybridMultilevel"/>
    <w:tmpl w:val="94482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0A00306"/>
    <w:multiLevelType w:val="hybridMultilevel"/>
    <w:tmpl w:val="BBE83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1C02D2E"/>
    <w:multiLevelType w:val="hybridMultilevel"/>
    <w:tmpl w:val="E5300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AE26F9"/>
    <w:multiLevelType w:val="hybridMultilevel"/>
    <w:tmpl w:val="D4429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04FE1"/>
    <w:multiLevelType w:val="hybridMultilevel"/>
    <w:tmpl w:val="4956E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3D45C60"/>
    <w:multiLevelType w:val="hybridMultilevel"/>
    <w:tmpl w:val="30D0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40D626B"/>
    <w:multiLevelType w:val="hybridMultilevel"/>
    <w:tmpl w:val="F2820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41A5B4D"/>
    <w:multiLevelType w:val="hybridMultilevel"/>
    <w:tmpl w:val="EA0A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673E74"/>
    <w:multiLevelType w:val="hybridMultilevel"/>
    <w:tmpl w:val="2EDE5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61F532F"/>
    <w:multiLevelType w:val="hybridMultilevel"/>
    <w:tmpl w:val="DA604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AD1D87"/>
    <w:multiLevelType w:val="hybridMultilevel"/>
    <w:tmpl w:val="27A077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0B2922"/>
    <w:multiLevelType w:val="hybridMultilevel"/>
    <w:tmpl w:val="5EA44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75D7F29"/>
    <w:multiLevelType w:val="hybridMultilevel"/>
    <w:tmpl w:val="214CDDF8"/>
    <w:lvl w:ilvl="0" w:tplc="04090001">
      <w:start w:val="1"/>
      <w:numFmt w:val="bullet"/>
      <w:lvlText w:val=""/>
      <w:lvlJc w:val="left"/>
      <w:pPr>
        <w:ind w:left="720" w:hanging="360"/>
      </w:pPr>
      <w:rPr>
        <w:rFonts w:ascii="Symbol" w:hAnsi="Symbol" w:hint="default"/>
      </w:rPr>
    </w:lvl>
    <w:lvl w:ilvl="1" w:tplc="24BEDC88">
      <w:start w:val="1"/>
      <w:numFmt w:val="bullet"/>
      <w:lvlText w:val="o"/>
      <w:lvlJc w:val="left"/>
      <w:pPr>
        <w:ind w:left="1080" w:hanging="360"/>
      </w:pPr>
      <w:rPr>
        <w:rFonts w:ascii="Courier New" w:hAnsi="Courier New" w:cs="Courier New" w:hint="default"/>
      </w:rPr>
    </w:lvl>
    <w:lvl w:ilvl="2" w:tplc="CEDAF8F8" w:tentative="1">
      <w:start w:val="1"/>
      <w:numFmt w:val="bullet"/>
      <w:lvlText w:val=""/>
      <w:lvlJc w:val="left"/>
      <w:pPr>
        <w:ind w:left="1800" w:hanging="360"/>
      </w:pPr>
      <w:rPr>
        <w:rFonts w:ascii="Wingdings" w:hAnsi="Wingdings" w:hint="default"/>
      </w:rPr>
    </w:lvl>
    <w:lvl w:ilvl="3" w:tplc="F5C40EDC" w:tentative="1">
      <w:start w:val="1"/>
      <w:numFmt w:val="bullet"/>
      <w:lvlText w:val=""/>
      <w:lvlJc w:val="left"/>
      <w:pPr>
        <w:ind w:left="2520" w:hanging="360"/>
      </w:pPr>
      <w:rPr>
        <w:rFonts w:ascii="Symbol" w:hAnsi="Symbol" w:hint="default"/>
      </w:rPr>
    </w:lvl>
    <w:lvl w:ilvl="4" w:tplc="4BFC66B2" w:tentative="1">
      <w:start w:val="1"/>
      <w:numFmt w:val="bullet"/>
      <w:lvlText w:val="o"/>
      <w:lvlJc w:val="left"/>
      <w:pPr>
        <w:ind w:left="3240" w:hanging="360"/>
      </w:pPr>
      <w:rPr>
        <w:rFonts w:ascii="Courier New" w:hAnsi="Courier New" w:cs="Courier New" w:hint="default"/>
      </w:rPr>
    </w:lvl>
    <w:lvl w:ilvl="5" w:tplc="538ECAF8" w:tentative="1">
      <w:start w:val="1"/>
      <w:numFmt w:val="bullet"/>
      <w:lvlText w:val=""/>
      <w:lvlJc w:val="left"/>
      <w:pPr>
        <w:ind w:left="3960" w:hanging="360"/>
      </w:pPr>
      <w:rPr>
        <w:rFonts w:ascii="Wingdings" w:hAnsi="Wingdings" w:hint="default"/>
      </w:rPr>
    </w:lvl>
    <w:lvl w:ilvl="6" w:tplc="4B94F122" w:tentative="1">
      <w:start w:val="1"/>
      <w:numFmt w:val="bullet"/>
      <w:lvlText w:val=""/>
      <w:lvlJc w:val="left"/>
      <w:pPr>
        <w:ind w:left="4680" w:hanging="360"/>
      </w:pPr>
      <w:rPr>
        <w:rFonts w:ascii="Symbol" w:hAnsi="Symbol" w:hint="default"/>
      </w:rPr>
    </w:lvl>
    <w:lvl w:ilvl="7" w:tplc="39643C16" w:tentative="1">
      <w:start w:val="1"/>
      <w:numFmt w:val="bullet"/>
      <w:lvlText w:val="o"/>
      <w:lvlJc w:val="left"/>
      <w:pPr>
        <w:ind w:left="5400" w:hanging="360"/>
      </w:pPr>
      <w:rPr>
        <w:rFonts w:ascii="Courier New" w:hAnsi="Courier New" w:cs="Courier New" w:hint="default"/>
      </w:rPr>
    </w:lvl>
    <w:lvl w:ilvl="8" w:tplc="A1CA4C78" w:tentative="1">
      <w:start w:val="1"/>
      <w:numFmt w:val="bullet"/>
      <w:lvlText w:val=""/>
      <w:lvlJc w:val="left"/>
      <w:pPr>
        <w:ind w:left="6120" w:hanging="360"/>
      </w:pPr>
      <w:rPr>
        <w:rFonts w:ascii="Wingdings" w:hAnsi="Wingdings" w:hint="default"/>
      </w:rPr>
    </w:lvl>
  </w:abstractNum>
  <w:abstractNum w:abstractNumId="35" w15:restartNumberingAfterBreak="0">
    <w:nsid w:val="1784542C"/>
    <w:multiLevelType w:val="hybridMultilevel"/>
    <w:tmpl w:val="CE4E1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215D30"/>
    <w:multiLevelType w:val="hybridMultilevel"/>
    <w:tmpl w:val="84DEE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8257C60"/>
    <w:multiLevelType w:val="hybridMultilevel"/>
    <w:tmpl w:val="73FCF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19086E1B"/>
    <w:multiLevelType w:val="hybridMultilevel"/>
    <w:tmpl w:val="75F00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9B84F6B"/>
    <w:multiLevelType w:val="hybridMultilevel"/>
    <w:tmpl w:val="3F7013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E74A04"/>
    <w:multiLevelType w:val="hybridMultilevel"/>
    <w:tmpl w:val="6C94E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C04746D"/>
    <w:multiLevelType w:val="hybridMultilevel"/>
    <w:tmpl w:val="9BB4D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D144FBF"/>
    <w:multiLevelType w:val="hybridMultilevel"/>
    <w:tmpl w:val="A6523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F621E62">
      <w:start w:val="6"/>
      <w:numFmt w:val="bullet"/>
      <w:lvlText w:val="-"/>
      <w:lvlJc w:val="left"/>
      <w:pPr>
        <w:ind w:left="2160" w:hanging="360"/>
      </w:pPr>
      <w:rPr>
        <w:rFonts w:ascii="Arial Narrow" w:eastAsia="Century Gothic" w:hAnsi="Arial Narrow"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D69005B"/>
    <w:multiLevelType w:val="hybridMultilevel"/>
    <w:tmpl w:val="A992E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DA27BDD"/>
    <w:multiLevelType w:val="hybridMultilevel"/>
    <w:tmpl w:val="5B1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E487301"/>
    <w:multiLevelType w:val="hybridMultilevel"/>
    <w:tmpl w:val="BF326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F303406"/>
    <w:multiLevelType w:val="hybridMultilevel"/>
    <w:tmpl w:val="CA8A8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14E5546"/>
    <w:multiLevelType w:val="hybridMultilevel"/>
    <w:tmpl w:val="6DC0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1D943F3"/>
    <w:multiLevelType w:val="hybridMultilevel"/>
    <w:tmpl w:val="16E0D3F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9" w15:restartNumberingAfterBreak="0">
    <w:nsid w:val="250141CA"/>
    <w:multiLevelType w:val="hybridMultilevel"/>
    <w:tmpl w:val="4ED24432"/>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36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5A9069B"/>
    <w:multiLevelType w:val="multilevel"/>
    <w:tmpl w:val="D41CE710"/>
    <w:styleLink w:val="HeadingsNumbered0"/>
    <w:lvl w:ilvl="0">
      <w:start w:val="1"/>
      <w:numFmt w:val="decimal"/>
      <w:pStyle w:val="Heading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lowerLetter"/>
      <w:lvlText w:val="%4."/>
      <w:lvlJc w:val="left"/>
      <w:pPr>
        <w:tabs>
          <w:tab w:val="num" w:pos="284"/>
        </w:tabs>
        <w:ind w:left="284" w:hanging="284"/>
      </w:pPr>
      <w:rPr>
        <w:rFonts w:hint="default"/>
        <w:color w:val="000000" w:themeColor="text1"/>
      </w:rPr>
    </w:lvl>
    <w:lvl w:ilvl="4">
      <w:start w:val="1"/>
      <w:numFmt w:val="decimal"/>
      <w:lvlRestart w:val="3"/>
      <w:lvlText w:val="%5."/>
      <w:lvlJc w:val="left"/>
      <w:pPr>
        <w:tabs>
          <w:tab w:val="num" w:pos="284"/>
        </w:tabs>
        <w:ind w:left="284" w:hanging="284"/>
      </w:pPr>
      <w:rPr>
        <w:rFonts w:hint="default"/>
        <w:color w:val="000000" w:themeColor="text1"/>
      </w:rPr>
    </w:lvl>
    <w:lvl w:ilvl="5">
      <w:start w:val="1"/>
      <w:numFmt w:val="bullet"/>
      <w:lvlRestart w:val="3"/>
      <w:lvlText w:val=""/>
      <w:lvlJc w:val="left"/>
      <w:pPr>
        <w:tabs>
          <w:tab w:val="num" w:pos="284"/>
        </w:tabs>
        <w:ind w:left="284" w:hanging="284"/>
      </w:pPr>
      <w:rPr>
        <w:rFonts w:ascii="Wingdings" w:hAnsi="Wingdings" w:hint="default"/>
        <w:color w:val="000000" w:themeColor="text1"/>
      </w:rPr>
    </w:lvl>
    <w:lvl w:ilvl="6">
      <w:start w:val="1"/>
      <w:numFmt w:val="bullet"/>
      <w:lvlText w:val="○"/>
      <w:lvlJc w:val="left"/>
      <w:pPr>
        <w:ind w:left="567" w:hanging="283"/>
      </w:pPr>
      <w:rPr>
        <w:rFonts w:ascii="Abadi" w:hAnsi="Abadi" w:hint="default"/>
        <w:color w:val="000000" w:themeColor="text1"/>
      </w:rPr>
    </w:lvl>
    <w:lvl w:ilvl="7">
      <w:start w:val="1"/>
      <w:numFmt w:val="bullet"/>
      <w:lvlText w:val="−"/>
      <w:lvlJc w:val="left"/>
      <w:pPr>
        <w:tabs>
          <w:tab w:val="num" w:pos="851"/>
        </w:tabs>
        <w:ind w:left="851" w:hanging="284"/>
      </w:pPr>
      <w:rPr>
        <w:rFonts w:ascii="Times New Roman" w:hAnsi="Times New Roman" w:cs="Times New Roman" w:hint="default"/>
        <w:color w:val="4D4D4D" w:themeColor="text2"/>
      </w:rPr>
    </w:lvl>
    <w:lvl w:ilvl="8">
      <w:start w:val="1"/>
      <w:numFmt w:val="bullet"/>
      <w:lvlText w:val=""/>
      <w:lvlJc w:val="left"/>
      <w:pPr>
        <w:tabs>
          <w:tab w:val="num" w:pos="1134"/>
        </w:tabs>
        <w:ind w:left="1134" w:hanging="283"/>
      </w:pPr>
      <w:rPr>
        <w:rFonts w:ascii="Wingdings" w:hAnsi="Wingdings" w:hint="default"/>
        <w:color w:val="000000" w:themeColor="text1"/>
      </w:rPr>
    </w:lvl>
  </w:abstractNum>
  <w:abstractNum w:abstractNumId="51"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52" w15:restartNumberingAfterBreak="0">
    <w:nsid w:val="277912BA"/>
    <w:multiLevelType w:val="hybridMultilevel"/>
    <w:tmpl w:val="3296102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7E71176"/>
    <w:multiLevelType w:val="hybridMultilevel"/>
    <w:tmpl w:val="413C1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868516B"/>
    <w:multiLevelType w:val="hybridMultilevel"/>
    <w:tmpl w:val="94A4B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9210986"/>
    <w:multiLevelType w:val="hybridMultilevel"/>
    <w:tmpl w:val="F8264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2A1D6517"/>
    <w:multiLevelType w:val="multilevel"/>
    <w:tmpl w:val="3770469C"/>
    <w:numStyleLink w:val="NumberedList"/>
  </w:abstractNum>
  <w:abstractNum w:abstractNumId="57" w15:restartNumberingAfterBreak="0">
    <w:nsid w:val="2AD85CA0"/>
    <w:multiLevelType w:val="hybridMultilevel"/>
    <w:tmpl w:val="494E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AED7504"/>
    <w:multiLevelType w:val="hybridMultilevel"/>
    <w:tmpl w:val="F140D1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B3D7816"/>
    <w:multiLevelType w:val="hybridMultilevel"/>
    <w:tmpl w:val="F4E48B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C557B19"/>
    <w:multiLevelType w:val="hybridMultilevel"/>
    <w:tmpl w:val="6CDA4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2D9034A1"/>
    <w:multiLevelType w:val="hybridMultilevel"/>
    <w:tmpl w:val="1BF86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2E1B78C7"/>
    <w:multiLevelType w:val="hybridMultilevel"/>
    <w:tmpl w:val="9CC268AC"/>
    <w:lvl w:ilvl="0" w:tplc="08090001">
      <w:start w:val="1"/>
      <w:numFmt w:val="bullet"/>
      <w:lvlText w:val=""/>
      <w:lvlJc w:val="left"/>
      <w:pPr>
        <w:ind w:left="360" w:hanging="360"/>
      </w:pPr>
      <w:rPr>
        <w:rFonts w:ascii="Symbol" w:hAnsi="Symbol" w:hint="default"/>
      </w:rPr>
    </w:lvl>
    <w:lvl w:ilvl="1" w:tplc="2F006AAE" w:tentative="1">
      <w:start w:val="1"/>
      <w:numFmt w:val="bullet"/>
      <w:lvlText w:val="•"/>
      <w:lvlJc w:val="left"/>
      <w:pPr>
        <w:tabs>
          <w:tab w:val="num" w:pos="1440"/>
        </w:tabs>
        <w:ind w:left="1440" w:hanging="360"/>
      </w:pPr>
      <w:rPr>
        <w:rFonts w:ascii="Arial" w:hAnsi="Arial" w:hint="default"/>
      </w:rPr>
    </w:lvl>
    <w:lvl w:ilvl="2" w:tplc="10EEFAE2" w:tentative="1">
      <w:start w:val="1"/>
      <w:numFmt w:val="bullet"/>
      <w:lvlText w:val="•"/>
      <w:lvlJc w:val="left"/>
      <w:pPr>
        <w:tabs>
          <w:tab w:val="num" w:pos="2160"/>
        </w:tabs>
        <w:ind w:left="2160" w:hanging="360"/>
      </w:pPr>
      <w:rPr>
        <w:rFonts w:ascii="Arial" w:hAnsi="Arial" w:hint="default"/>
      </w:rPr>
    </w:lvl>
    <w:lvl w:ilvl="3" w:tplc="571AEAAE" w:tentative="1">
      <w:start w:val="1"/>
      <w:numFmt w:val="bullet"/>
      <w:lvlText w:val="•"/>
      <w:lvlJc w:val="left"/>
      <w:pPr>
        <w:tabs>
          <w:tab w:val="num" w:pos="2880"/>
        </w:tabs>
        <w:ind w:left="2880" w:hanging="360"/>
      </w:pPr>
      <w:rPr>
        <w:rFonts w:ascii="Arial" w:hAnsi="Arial" w:hint="default"/>
      </w:rPr>
    </w:lvl>
    <w:lvl w:ilvl="4" w:tplc="CE4850FE" w:tentative="1">
      <w:start w:val="1"/>
      <w:numFmt w:val="bullet"/>
      <w:lvlText w:val="•"/>
      <w:lvlJc w:val="left"/>
      <w:pPr>
        <w:tabs>
          <w:tab w:val="num" w:pos="3600"/>
        </w:tabs>
        <w:ind w:left="3600" w:hanging="360"/>
      </w:pPr>
      <w:rPr>
        <w:rFonts w:ascii="Arial" w:hAnsi="Arial" w:hint="default"/>
      </w:rPr>
    </w:lvl>
    <w:lvl w:ilvl="5" w:tplc="747299B4" w:tentative="1">
      <w:start w:val="1"/>
      <w:numFmt w:val="bullet"/>
      <w:lvlText w:val="•"/>
      <w:lvlJc w:val="left"/>
      <w:pPr>
        <w:tabs>
          <w:tab w:val="num" w:pos="4320"/>
        </w:tabs>
        <w:ind w:left="4320" w:hanging="360"/>
      </w:pPr>
      <w:rPr>
        <w:rFonts w:ascii="Arial" w:hAnsi="Arial" w:hint="default"/>
      </w:rPr>
    </w:lvl>
    <w:lvl w:ilvl="6" w:tplc="0C0EC834" w:tentative="1">
      <w:start w:val="1"/>
      <w:numFmt w:val="bullet"/>
      <w:lvlText w:val="•"/>
      <w:lvlJc w:val="left"/>
      <w:pPr>
        <w:tabs>
          <w:tab w:val="num" w:pos="5040"/>
        </w:tabs>
        <w:ind w:left="5040" w:hanging="360"/>
      </w:pPr>
      <w:rPr>
        <w:rFonts w:ascii="Arial" w:hAnsi="Arial" w:hint="default"/>
      </w:rPr>
    </w:lvl>
    <w:lvl w:ilvl="7" w:tplc="066E1306" w:tentative="1">
      <w:start w:val="1"/>
      <w:numFmt w:val="bullet"/>
      <w:lvlText w:val="•"/>
      <w:lvlJc w:val="left"/>
      <w:pPr>
        <w:tabs>
          <w:tab w:val="num" w:pos="5760"/>
        </w:tabs>
        <w:ind w:left="5760" w:hanging="360"/>
      </w:pPr>
      <w:rPr>
        <w:rFonts w:ascii="Arial" w:hAnsi="Arial" w:hint="default"/>
      </w:rPr>
    </w:lvl>
    <w:lvl w:ilvl="8" w:tplc="380474F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EB507C7"/>
    <w:multiLevelType w:val="hybridMultilevel"/>
    <w:tmpl w:val="B71C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EF07815"/>
    <w:multiLevelType w:val="hybridMultilevel"/>
    <w:tmpl w:val="7FE8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2F3079E5"/>
    <w:multiLevelType w:val="hybridMultilevel"/>
    <w:tmpl w:val="3754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040561F"/>
    <w:multiLevelType w:val="hybridMultilevel"/>
    <w:tmpl w:val="557E2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12C28FF"/>
    <w:multiLevelType w:val="hybridMultilevel"/>
    <w:tmpl w:val="FCF25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313D2F96"/>
    <w:multiLevelType w:val="hybridMultilevel"/>
    <w:tmpl w:val="9B58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31AC5B25"/>
    <w:multiLevelType w:val="hybridMultilevel"/>
    <w:tmpl w:val="178A5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33A6AF6"/>
    <w:multiLevelType w:val="multilevel"/>
    <w:tmpl w:val="2C1CBBBA"/>
    <w:numStyleLink w:val="AlphaList"/>
  </w:abstractNum>
  <w:abstractNum w:abstractNumId="71" w15:restartNumberingAfterBreak="0">
    <w:nsid w:val="343D3D01"/>
    <w:multiLevelType w:val="hybridMultilevel"/>
    <w:tmpl w:val="E1B0D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47C2C77"/>
    <w:multiLevelType w:val="hybridMultilevel"/>
    <w:tmpl w:val="09D22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48E7087"/>
    <w:multiLevelType w:val="hybridMultilevel"/>
    <w:tmpl w:val="E3B41A26"/>
    <w:lvl w:ilvl="0" w:tplc="4F46C6AA">
      <w:start w:val="432"/>
      <w:numFmt w:val="bullet"/>
      <w:pStyle w:val="ListParagraph"/>
      <w:lvlText w:val="-"/>
      <w:lvlJc w:val="left"/>
      <w:pPr>
        <w:ind w:left="360" w:hanging="360"/>
      </w:pPr>
      <w:rPr>
        <w:rFonts w:ascii="Century Gothic" w:eastAsia="Century Gothic" w:hAnsi="Century Gothic" w:cs="Century Gothic" w:hint="default"/>
      </w:rPr>
    </w:lvl>
    <w:lvl w:ilvl="1" w:tplc="24BEDC88">
      <w:start w:val="1"/>
      <w:numFmt w:val="bullet"/>
      <w:lvlText w:val="o"/>
      <w:lvlJc w:val="left"/>
      <w:pPr>
        <w:ind w:left="1080" w:hanging="360"/>
      </w:pPr>
      <w:rPr>
        <w:rFonts w:ascii="Courier New" w:hAnsi="Courier New" w:cs="Courier New" w:hint="default"/>
      </w:rPr>
    </w:lvl>
    <w:lvl w:ilvl="2" w:tplc="CEDAF8F8" w:tentative="1">
      <w:start w:val="1"/>
      <w:numFmt w:val="bullet"/>
      <w:lvlText w:val=""/>
      <w:lvlJc w:val="left"/>
      <w:pPr>
        <w:ind w:left="1800" w:hanging="360"/>
      </w:pPr>
      <w:rPr>
        <w:rFonts w:ascii="Wingdings" w:hAnsi="Wingdings" w:hint="default"/>
      </w:rPr>
    </w:lvl>
    <w:lvl w:ilvl="3" w:tplc="F5C40EDC" w:tentative="1">
      <w:start w:val="1"/>
      <w:numFmt w:val="bullet"/>
      <w:lvlText w:val=""/>
      <w:lvlJc w:val="left"/>
      <w:pPr>
        <w:ind w:left="2520" w:hanging="360"/>
      </w:pPr>
      <w:rPr>
        <w:rFonts w:ascii="Symbol" w:hAnsi="Symbol" w:hint="default"/>
      </w:rPr>
    </w:lvl>
    <w:lvl w:ilvl="4" w:tplc="4BFC66B2" w:tentative="1">
      <w:start w:val="1"/>
      <w:numFmt w:val="bullet"/>
      <w:lvlText w:val="o"/>
      <w:lvlJc w:val="left"/>
      <w:pPr>
        <w:ind w:left="3240" w:hanging="360"/>
      </w:pPr>
      <w:rPr>
        <w:rFonts w:ascii="Courier New" w:hAnsi="Courier New" w:cs="Courier New" w:hint="default"/>
      </w:rPr>
    </w:lvl>
    <w:lvl w:ilvl="5" w:tplc="538ECAF8" w:tentative="1">
      <w:start w:val="1"/>
      <w:numFmt w:val="bullet"/>
      <w:lvlText w:val=""/>
      <w:lvlJc w:val="left"/>
      <w:pPr>
        <w:ind w:left="3960" w:hanging="360"/>
      </w:pPr>
      <w:rPr>
        <w:rFonts w:ascii="Wingdings" w:hAnsi="Wingdings" w:hint="default"/>
      </w:rPr>
    </w:lvl>
    <w:lvl w:ilvl="6" w:tplc="4B94F122" w:tentative="1">
      <w:start w:val="1"/>
      <w:numFmt w:val="bullet"/>
      <w:lvlText w:val=""/>
      <w:lvlJc w:val="left"/>
      <w:pPr>
        <w:ind w:left="4680" w:hanging="360"/>
      </w:pPr>
      <w:rPr>
        <w:rFonts w:ascii="Symbol" w:hAnsi="Symbol" w:hint="default"/>
      </w:rPr>
    </w:lvl>
    <w:lvl w:ilvl="7" w:tplc="39643C16" w:tentative="1">
      <w:start w:val="1"/>
      <w:numFmt w:val="bullet"/>
      <w:lvlText w:val="o"/>
      <w:lvlJc w:val="left"/>
      <w:pPr>
        <w:ind w:left="5400" w:hanging="360"/>
      </w:pPr>
      <w:rPr>
        <w:rFonts w:ascii="Courier New" w:hAnsi="Courier New" w:cs="Courier New" w:hint="default"/>
      </w:rPr>
    </w:lvl>
    <w:lvl w:ilvl="8" w:tplc="A1CA4C78" w:tentative="1">
      <w:start w:val="1"/>
      <w:numFmt w:val="bullet"/>
      <w:lvlText w:val=""/>
      <w:lvlJc w:val="left"/>
      <w:pPr>
        <w:ind w:left="6120" w:hanging="360"/>
      </w:pPr>
      <w:rPr>
        <w:rFonts w:ascii="Wingdings" w:hAnsi="Wingdings" w:hint="default"/>
      </w:rPr>
    </w:lvl>
  </w:abstractNum>
  <w:abstractNum w:abstractNumId="74" w15:restartNumberingAfterBreak="0">
    <w:nsid w:val="361A3763"/>
    <w:multiLevelType w:val="hybridMultilevel"/>
    <w:tmpl w:val="2C2E3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7753FDB"/>
    <w:multiLevelType w:val="hybridMultilevel"/>
    <w:tmpl w:val="A0382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37D05FE1"/>
    <w:multiLevelType w:val="hybridMultilevel"/>
    <w:tmpl w:val="26645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82E759C"/>
    <w:multiLevelType w:val="hybridMultilevel"/>
    <w:tmpl w:val="7ED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8D57986"/>
    <w:multiLevelType w:val="hybridMultilevel"/>
    <w:tmpl w:val="D4B847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8EB47C5"/>
    <w:multiLevelType w:val="hybridMultilevel"/>
    <w:tmpl w:val="6F209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39681078"/>
    <w:multiLevelType w:val="hybridMultilevel"/>
    <w:tmpl w:val="FF2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9FE0C95"/>
    <w:multiLevelType w:val="hybridMultilevel"/>
    <w:tmpl w:val="C980C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A190DB1"/>
    <w:multiLevelType w:val="hybridMultilevel"/>
    <w:tmpl w:val="FB5E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AED449E"/>
    <w:multiLevelType w:val="hybridMultilevel"/>
    <w:tmpl w:val="5AC0E1B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AF45C4F"/>
    <w:multiLevelType w:val="multilevel"/>
    <w:tmpl w:val="F95E14A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none"/>
      <w:suff w:val="nothing"/>
      <w:lvlText w:val=""/>
      <w:lvlJc w:val="left"/>
      <w:pPr>
        <w:ind w:left="794" w:firstLine="0"/>
      </w:pPr>
      <w:rPr>
        <w:rFonts w:hint="default"/>
      </w:rPr>
    </w:lvl>
    <w:lvl w:ilvl="4">
      <w:start w:val="1"/>
      <w:numFmt w:val="lowerLetter"/>
      <w:lvlText w:val="(%5)"/>
      <w:lvlJc w:val="left"/>
      <w:pPr>
        <w:tabs>
          <w:tab w:val="num" w:pos="1191"/>
        </w:tabs>
        <w:ind w:left="1191" w:hanging="397"/>
      </w:pPr>
      <w:rPr>
        <w:rFonts w:hint="default"/>
      </w:rPr>
    </w:lvl>
    <w:lvl w:ilvl="5">
      <w:start w:val="1"/>
      <w:numFmt w:val="lowerRoman"/>
      <w:lvlText w:val="(%6)"/>
      <w:lvlJc w:val="left"/>
      <w:pPr>
        <w:tabs>
          <w:tab w:val="num" w:pos="1588"/>
        </w:tabs>
        <w:ind w:left="1588" w:hanging="397"/>
      </w:pPr>
      <w:rPr>
        <w:rFonts w:hint="default"/>
      </w:rPr>
    </w:lvl>
    <w:lvl w:ilvl="6">
      <w:start w:val="1"/>
      <w:numFmt w:val="upperLetter"/>
      <w:lvlText w:val="%7."/>
      <w:lvlJc w:val="left"/>
      <w:pPr>
        <w:tabs>
          <w:tab w:val="num" w:pos="1985"/>
        </w:tabs>
        <w:ind w:left="1985" w:hanging="397"/>
      </w:pPr>
      <w:rPr>
        <w:rFonts w:hint="default"/>
      </w:rPr>
    </w:lvl>
    <w:lvl w:ilvl="7">
      <w:start w:val="1"/>
      <w:numFmt w:val="decimal"/>
      <w:pStyle w:val="List4"/>
      <w:lvlText w:val="(%8)"/>
      <w:lvlJc w:val="left"/>
      <w:pPr>
        <w:tabs>
          <w:tab w:val="num" w:pos="2381"/>
        </w:tabs>
        <w:ind w:left="2381" w:hanging="396"/>
      </w:pPr>
      <w:rPr>
        <w:rFonts w:hint="default"/>
      </w:rPr>
    </w:lvl>
    <w:lvl w:ilvl="8">
      <w:start w:val="1"/>
      <w:numFmt w:val="none"/>
      <w:suff w:val="nothing"/>
      <w:lvlText w:val=""/>
      <w:lvlJc w:val="left"/>
      <w:pPr>
        <w:ind w:left="2381" w:firstLine="0"/>
      </w:pPr>
      <w:rPr>
        <w:rFonts w:hint="default"/>
      </w:rPr>
    </w:lvl>
  </w:abstractNum>
  <w:abstractNum w:abstractNumId="85" w15:restartNumberingAfterBreak="0">
    <w:nsid w:val="3B880806"/>
    <w:multiLevelType w:val="hybridMultilevel"/>
    <w:tmpl w:val="19AC5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CFD701B"/>
    <w:multiLevelType w:val="hybridMultilevel"/>
    <w:tmpl w:val="F8D6D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D8B3764"/>
    <w:multiLevelType w:val="hybridMultilevel"/>
    <w:tmpl w:val="849A9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3DB04371"/>
    <w:multiLevelType w:val="hybridMultilevel"/>
    <w:tmpl w:val="FF726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FB015A9"/>
    <w:multiLevelType w:val="hybridMultilevel"/>
    <w:tmpl w:val="E06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0983C2B"/>
    <w:multiLevelType w:val="hybridMultilevel"/>
    <w:tmpl w:val="201A0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0A073C4"/>
    <w:multiLevelType w:val="hybridMultilevel"/>
    <w:tmpl w:val="D046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1220432"/>
    <w:multiLevelType w:val="hybridMultilevel"/>
    <w:tmpl w:val="5D12D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412C0007"/>
    <w:multiLevelType w:val="hybridMultilevel"/>
    <w:tmpl w:val="548C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593C9D"/>
    <w:multiLevelType w:val="hybridMultilevel"/>
    <w:tmpl w:val="0B28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15E0125"/>
    <w:multiLevelType w:val="multilevel"/>
    <w:tmpl w:val="36A6E752"/>
    <w:styleLink w:val="Bullets"/>
    <w:lvl w:ilvl="0">
      <w:start w:val="1"/>
      <w:numFmt w:val="bullet"/>
      <w:pStyle w:val="ListBullet"/>
      <w:lvlText w:val=""/>
      <w:lvlJc w:val="left"/>
      <w:pPr>
        <w:ind w:left="357" w:hanging="357"/>
      </w:pPr>
      <w:rPr>
        <w:rFonts w:ascii="Wingdings" w:hAnsi="Wingdings" w:hint="default"/>
        <w:color w:val="000000" w:themeColor="text1"/>
      </w:rPr>
    </w:lvl>
    <w:lvl w:ilvl="1">
      <w:start w:val="1"/>
      <w:numFmt w:val="bullet"/>
      <w:pStyle w:val="ListBullet2"/>
      <w:lvlText w:val="○"/>
      <w:lvlJc w:val="left"/>
      <w:pPr>
        <w:tabs>
          <w:tab w:val="num" w:pos="714"/>
        </w:tabs>
        <w:ind w:left="714" w:hanging="357"/>
      </w:pPr>
      <w:rPr>
        <w:rFonts w:ascii="Abadi" w:hAnsi="Abadi" w:hint="default"/>
        <w:color w:val="000000" w:themeColor="text1"/>
      </w:rPr>
    </w:lvl>
    <w:lvl w:ilvl="2">
      <w:start w:val="1"/>
      <w:numFmt w:val="bullet"/>
      <w:pStyle w:val="ListBullet3"/>
      <w:lvlText w:val="−"/>
      <w:lvlJc w:val="left"/>
      <w:pPr>
        <w:tabs>
          <w:tab w:val="num" w:pos="1072"/>
        </w:tabs>
        <w:ind w:left="1071" w:hanging="357"/>
      </w:pPr>
      <w:rPr>
        <w:rFonts w:hint="default"/>
        <w:color w:val="4D4D4D" w:themeColor="text2"/>
      </w:rPr>
    </w:lvl>
    <w:lvl w:ilvl="3">
      <w:start w:val="1"/>
      <w:numFmt w:val="bullet"/>
      <w:lvlText w:val="−"/>
      <w:lvlJc w:val="left"/>
      <w:pPr>
        <w:tabs>
          <w:tab w:val="num" w:pos="1429"/>
        </w:tabs>
        <w:ind w:left="1428" w:hanging="357"/>
      </w:pPr>
      <w:rPr>
        <w:rFonts w:ascii="Calibri" w:hAnsi="Calibri" w:hint="default"/>
        <w:color w:val="4D4D4D" w:themeColor="text2"/>
      </w:rPr>
    </w:lvl>
    <w:lvl w:ilvl="4">
      <w:start w:val="1"/>
      <w:numFmt w:val="bullet"/>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96" w15:restartNumberingAfterBreak="0">
    <w:nsid w:val="419363C9"/>
    <w:multiLevelType w:val="hybridMultilevel"/>
    <w:tmpl w:val="72827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2C71281"/>
    <w:multiLevelType w:val="hybridMultilevel"/>
    <w:tmpl w:val="13A28A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3320D4D"/>
    <w:multiLevelType w:val="hybridMultilevel"/>
    <w:tmpl w:val="0D141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4593DB9"/>
    <w:multiLevelType w:val="hybridMultilevel"/>
    <w:tmpl w:val="5A609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5D544AF"/>
    <w:multiLevelType w:val="hybridMultilevel"/>
    <w:tmpl w:val="78B89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5EB7BEF"/>
    <w:multiLevelType w:val="hybridMultilevel"/>
    <w:tmpl w:val="A7920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6282B18"/>
    <w:multiLevelType w:val="hybridMultilevel"/>
    <w:tmpl w:val="0DB64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3" w15:restartNumberingAfterBreak="0">
    <w:nsid w:val="46405AAD"/>
    <w:multiLevelType w:val="hybridMultilevel"/>
    <w:tmpl w:val="E18EC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4" w15:restartNumberingAfterBreak="0">
    <w:nsid w:val="468C3EF8"/>
    <w:multiLevelType w:val="hybridMultilevel"/>
    <w:tmpl w:val="F0C2E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6D80207"/>
    <w:multiLevelType w:val="hybridMultilevel"/>
    <w:tmpl w:val="DFBC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885673A"/>
    <w:multiLevelType w:val="hybridMultilevel"/>
    <w:tmpl w:val="DE2E3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48A52E75"/>
    <w:multiLevelType w:val="multilevel"/>
    <w:tmpl w:val="3770469C"/>
    <w:styleLink w:val="NumberedList"/>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1" w:hanging="357"/>
      </w:pPr>
      <w:rPr>
        <w:rFonts w:hint="default"/>
      </w:rPr>
    </w:lvl>
    <w:lvl w:ilvl="3">
      <w:start w:val="1"/>
      <w:numFmt w:val="none"/>
      <w:pStyle w:val="ListNumber4"/>
      <w:lvlText w:val=""/>
      <w:lvlJc w:val="left"/>
      <w:pPr>
        <w:tabs>
          <w:tab w:val="num" w:pos="1429"/>
        </w:tabs>
        <w:ind w:left="1428" w:hanging="357"/>
      </w:pPr>
      <w:rPr>
        <w:rFonts w:hint="default"/>
      </w:rPr>
    </w:lvl>
    <w:lvl w:ilvl="4">
      <w:start w:val="1"/>
      <w:numFmt w:val="none"/>
      <w:pStyle w:val="ListNumber5"/>
      <w:lvlText w:val=""/>
      <w:lvlJc w:val="left"/>
      <w:pPr>
        <w:tabs>
          <w:tab w:val="num" w:pos="1786"/>
        </w:tabs>
        <w:ind w:left="1785" w:hanging="357"/>
      </w:pPr>
      <w:rPr>
        <w:rFonts w:hint="default"/>
      </w:rPr>
    </w:lvl>
    <w:lvl w:ilvl="5">
      <w:start w:val="1"/>
      <w:numFmt w:val="none"/>
      <w:lvlText w:val=""/>
      <w:lvlJc w:val="left"/>
      <w:pPr>
        <w:tabs>
          <w:tab w:val="num" w:pos="2143"/>
        </w:tabs>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8" w15:restartNumberingAfterBreak="0">
    <w:nsid w:val="48B633DF"/>
    <w:multiLevelType w:val="hybridMultilevel"/>
    <w:tmpl w:val="34BC97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4A2F4029"/>
    <w:multiLevelType w:val="hybridMultilevel"/>
    <w:tmpl w:val="30685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B8623FA"/>
    <w:multiLevelType w:val="hybridMultilevel"/>
    <w:tmpl w:val="ED240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4BC91082"/>
    <w:multiLevelType w:val="hybridMultilevel"/>
    <w:tmpl w:val="E0DCE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4C854CB7"/>
    <w:multiLevelType w:val="hybridMultilevel"/>
    <w:tmpl w:val="9908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032831"/>
    <w:multiLevelType w:val="hybridMultilevel"/>
    <w:tmpl w:val="4B742C68"/>
    <w:lvl w:ilvl="0" w:tplc="002A9636">
      <w:start w:val="1"/>
      <w:numFmt w:val="decimal"/>
      <w:lvlText w:val="%1."/>
      <w:lvlJc w:val="left"/>
      <w:pPr>
        <w:ind w:left="720" w:hanging="360"/>
      </w:pPr>
      <w:rPr>
        <w:rFonts w:hint="default"/>
        <w:b w:val="0"/>
        <w:bCs/>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D404D58"/>
    <w:multiLevelType w:val="hybridMultilevel"/>
    <w:tmpl w:val="EA0C598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E461FB7"/>
    <w:multiLevelType w:val="hybridMultilevel"/>
    <w:tmpl w:val="CC00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204247"/>
    <w:multiLevelType w:val="multilevel"/>
    <w:tmpl w:val="3F90F1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4F397F13"/>
    <w:multiLevelType w:val="hybridMultilevel"/>
    <w:tmpl w:val="EB9C5B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F4250F0"/>
    <w:multiLevelType w:val="hybridMultilevel"/>
    <w:tmpl w:val="B1966F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9" w15:restartNumberingAfterBreak="0">
    <w:nsid w:val="51F4493B"/>
    <w:multiLevelType w:val="hybridMultilevel"/>
    <w:tmpl w:val="25B0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20E251C"/>
    <w:multiLevelType w:val="hybridMultilevel"/>
    <w:tmpl w:val="B768B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1" w15:restartNumberingAfterBreak="0">
    <w:nsid w:val="52C80AD1"/>
    <w:multiLevelType w:val="multilevel"/>
    <w:tmpl w:val="AE6E41B2"/>
    <w:styleLink w:val="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4E34332"/>
    <w:multiLevelType w:val="hybridMultilevel"/>
    <w:tmpl w:val="F8601F0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4E766B4"/>
    <w:multiLevelType w:val="hybridMultilevel"/>
    <w:tmpl w:val="B05E8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51F4650"/>
    <w:multiLevelType w:val="hybridMultilevel"/>
    <w:tmpl w:val="B63EF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55247FE8"/>
    <w:multiLevelType w:val="hybridMultilevel"/>
    <w:tmpl w:val="8E04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6FB1EC0"/>
    <w:multiLevelType w:val="hybridMultilevel"/>
    <w:tmpl w:val="E78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8284392"/>
    <w:multiLevelType w:val="hybridMultilevel"/>
    <w:tmpl w:val="FE8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82E12AA"/>
    <w:multiLevelType w:val="hybridMultilevel"/>
    <w:tmpl w:val="4BA68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8504BD7"/>
    <w:multiLevelType w:val="hybridMultilevel"/>
    <w:tmpl w:val="E2FA4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0" w15:restartNumberingAfterBreak="0">
    <w:nsid w:val="5A577821"/>
    <w:multiLevelType w:val="hybridMultilevel"/>
    <w:tmpl w:val="DB92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5A6655F5"/>
    <w:multiLevelType w:val="hybridMultilevel"/>
    <w:tmpl w:val="CF34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5A746DC8"/>
    <w:multiLevelType w:val="hybridMultilevel"/>
    <w:tmpl w:val="E5F2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5AC759E7"/>
    <w:multiLevelType w:val="hybridMultilevel"/>
    <w:tmpl w:val="696E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C1F63BB"/>
    <w:multiLevelType w:val="hybridMultilevel"/>
    <w:tmpl w:val="AEE06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5D8D25A1"/>
    <w:multiLevelType w:val="hybridMultilevel"/>
    <w:tmpl w:val="4EF46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5EBD522A"/>
    <w:multiLevelType w:val="hybridMultilevel"/>
    <w:tmpl w:val="A60224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5F534CCF"/>
    <w:multiLevelType w:val="hybridMultilevel"/>
    <w:tmpl w:val="C060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FF622D2"/>
    <w:multiLevelType w:val="hybridMultilevel"/>
    <w:tmpl w:val="3602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0561205"/>
    <w:multiLevelType w:val="hybridMultilevel"/>
    <w:tmpl w:val="061A92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15670CE"/>
    <w:multiLevelType w:val="hybridMultilevel"/>
    <w:tmpl w:val="C74C2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2040156"/>
    <w:multiLevelType w:val="hybridMultilevel"/>
    <w:tmpl w:val="56AC8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27D1F93"/>
    <w:multiLevelType w:val="multilevel"/>
    <w:tmpl w:val="2C1CBBBA"/>
    <w:styleLink w:val="AlphaList"/>
    <w:lvl w:ilvl="0">
      <w:start w:val="1"/>
      <w:numFmt w:val="lowerLetter"/>
      <w:pStyle w:val="List"/>
      <w:lvlText w:val="%1."/>
      <w:lvlJc w:val="left"/>
      <w:pPr>
        <w:ind w:left="357" w:hanging="357"/>
      </w:pPr>
      <w:rPr>
        <w:rFonts w:hint="default"/>
      </w:rPr>
    </w:lvl>
    <w:lvl w:ilvl="1">
      <w:start w:val="1"/>
      <w:numFmt w:val="lowerRoman"/>
      <w:pStyle w:val="List2"/>
      <w:lvlText w:val="%2."/>
      <w:lvlJc w:val="left"/>
      <w:pPr>
        <w:ind w:left="714" w:hanging="357"/>
      </w:pPr>
      <w:rPr>
        <w:rFonts w:hint="default"/>
      </w:rPr>
    </w:lvl>
    <w:lvl w:ilvl="2">
      <w:start w:val="1"/>
      <w:numFmt w:val="decimal"/>
      <w:pStyle w:val="List3"/>
      <w:lvlText w:val="%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3" w15:restartNumberingAfterBreak="0">
    <w:nsid w:val="62C615A0"/>
    <w:multiLevelType w:val="hybridMultilevel"/>
    <w:tmpl w:val="8D8E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2CE4DD4"/>
    <w:multiLevelType w:val="multilevel"/>
    <w:tmpl w:val="36A6E752"/>
    <w:numStyleLink w:val="Bullets"/>
  </w:abstractNum>
  <w:abstractNum w:abstractNumId="145" w15:restartNumberingAfterBreak="0">
    <w:nsid w:val="634060D1"/>
    <w:multiLevelType w:val="hybridMultilevel"/>
    <w:tmpl w:val="0FC0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636E4655"/>
    <w:multiLevelType w:val="hybridMultilevel"/>
    <w:tmpl w:val="CCBA858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637C4CDB"/>
    <w:multiLevelType w:val="hybridMultilevel"/>
    <w:tmpl w:val="4AA64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63E87986"/>
    <w:multiLevelType w:val="hybridMultilevel"/>
    <w:tmpl w:val="826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45974A4"/>
    <w:multiLevelType w:val="hybridMultilevel"/>
    <w:tmpl w:val="13E48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65B7632F"/>
    <w:multiLevelType w:val="hybridMultilevel"/>
    <w:tmpl w:val="281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6116D95"/>
    <w:multiLevelType w:val="hybridMultilevel"/>
    <w:tmpl w:val="9B08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65F045F"/>
    <w:multiLevelType w:val="hybridMultilevel"/>
    <w:tmpl w:val="CA9A1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66C3113A"/>
    <w:multiLevelType w:val="hybridMultilevel"/>
    <w:tmpl w:val="1F6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7416F82"/>
    <w:multiLevelType w:val="hybridMultilevel"/>
    <w:tmpl w:val="43BE2C1C"/>
    <w:lvl w:ilvl="0" w:tplc="0C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5" w15:restartNumberingAfterBreak="0">
    <w:nsid w:val="675C062D"/>
    <w:multiLevelType w:val="hybridMultilevel"/>
    <w:tmpl w:val="73CE0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78C3C5C"/>
    <w:multiLevelType w:val="hybridMultilevel"/>
    <w:tmpl w:val="A5CAC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678D5A7A"/>
    <w:multiLevelType w:val="hybridMultilevel"/>
    <w:tmpl w:val="6BD2E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6838750F"/>
    <w:multiLevelType w:val="hybridMultilevel"/>
    <w:tmpl w:val="403EF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68F37272"/>
    <w:multiLevelType w:val="hybridMultilevel"/>
    <w:tmpl w:val="8DFE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692C0860"/>
    <w:multiLevelType w:val="hybridMultilevel"/>
    <w:tmpl w:val="FAAC3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697C055D"/>
    <w:multiLevelType w:val="hybridMultilevel"/>
    <w:tmpl w:val="C818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6B683D1D"/>
    <w:multiLevelType w:val="hybridMultilevel"/>
    <w:tmpl w:val="6AE0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C774D34"/>
    <w:multiLevelType w:val="hybridMultilevel"/>
    <w:tmpl w:val="363A95D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6E47704F"/>
    <w:multiLevelType w:val="hybridMultilevel"/>
    <w:tmpl w:val="85BA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6EBC740E"/>
    <w:multiLevelType w:val="hybridMultilevel"/>
    <w:tmpl w:val="28D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72387C"/>
    <w:multiLevelType w:val="hybridMultilevel"/>
    <w:tmpl w:val="6E2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F903487"/>
    <w:multiLevelType w:val="hybridMultilevel"/>
    <w:tmpl w:val="A5789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0426DBC"/>
    <w:multiLevelType w:val="hybridMultilevel"/>
    <w:tmpl w:val="4DD69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710F25F5"/>
    <w:multiLevelType w:val="hybridMultilevel"/>
    <w:tmpl w:val="DDE66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715D5F12"/>
    <w:multiLevelType w:val="multilevel"/>
    <w:tmpl w:val="E16A2F2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2B277A9"/>
    <w:multiLevelType w:val="hybridMultilevel"/>
    <w:tmpl w:val="C6EA8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73677FEB"/>
    <w:multiLevelType w:val="hybridMultilevel"/>
    <w:tmpl w:val="6BDAFB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4886635"/>
    <w:multiLevelType w:val="hybridMultilevel"/>
    <w:tmpl w:val="9E6AD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4A11126"/>
    <w:multiLevelType w:val="hybridMultilevel"/>
    <w:tmpl w:val="131C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6403DF0"/>
    <w:multiLevelType w:val="hybridMultilevel"/>
    <w:tmpl w:val="B59A6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764808DF"/>
    <w:multiLevelType w:val="hybridMultilevel"/>
    <w:tmpl w:val="71960194"/>
    <w:lvl w:ilvl="0" w:tplc="08090001">
      <w:start w:val="1"/>
      <w:numFmt w:val="bullet"/>
      <w:lvlText w:val=""/>
      <w:lvlJc w:val="left"/>
      <w:pPr>
        <w:ind w:left="360" w:hanging="360"/>
      </w:pPr>
      <w:rPr>
        <w:rFonts w:ascii="Symbol" w:hAnsi="Symbol" w:hint="default"/>
      </w:rPr>
    </w:lvl>
    <w:lvl w:ilvl="1" w:tplc="E0862348">
      <w:start w:val="2018"/>
      <w:numFmt w:val="bullet"/>
      <w:lvlText w:val="–"/>
      <w:lvlJc w:val="left"/>
      <w:pPr>
        <w:ind w:left="1080" w:hanging="360"/>
      </w:pPr>
      <w:rPr>
        <w:rFonts w:ascii="Arial Narrow" w:eastAsiaTheme="minorHAnsi" w:hAnsi="Arial Narrow" w:cstheme="minorBidi"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66E38F1"/>
    <w:multiLevelType w:val="hybridMultilevel"/>
    <w:tmpl w:val="22F6A3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7692209B"/>
    <w:multiLevelType w:val="hybridMultilevel"/>
    <w:tmpl w:val="111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724732A"/>
    <w:multiLevelType w:val="hybridMultilevel"/>
    <w:tmpl w:val="57C82D2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0" w15:restartNumberingAfterBreak="0">
    <w:nsid w:val="77927D97"/>
    <w:multiLevelType w:val="hybridMultilevel"/>
    <w:tmpl w:val="C332F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78E671DE"/>
    <w:multiLevelType w:val="hybridMultilevel"/>
    <w:tmpl w:val="C994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98379DA"/>
    <w:multiLevelType w:val="hybridMultilevel"/>
    <w:tmpl w:val="F85EB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79B56744"/>
    <w:multiLevelType w:val="hybridMultilevel"/>
    <w:tmpl w:val="E132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A0E3880"/>
    <w:multiLevelType w:val="hybridMultilevel"/>
    <w:tmpl w:val="773A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A2F3D29"/>
    <w:multiLevelType w:val="hybridMultilevel"/>
    <w:tmpl w:val="C9BA5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7A875542"/>
    <w:multiLevelType w:val="hybridMultilevel"/>
    <w:tmpl w:val="21E81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7AE61491"/>
    <w:multiLevelType w:val="hybridMultilevel"/>
    <w:tmpl w:val="64E8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C70279B"/>
    <w:multiLevelType w:val="hybridMultilevel"/>
    <w:tmpl w:val="3F94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CB04D54"/>
    <w:multiLevelType w:val="hybridMultilevel"/>
    <w:tmpl w:val="9156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2D6964"/>
    <w:multiLevelType w:val="hybridMultilevel"/>
    <w:tmpl w:val="142C1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7EBB287E"/>
    <w:multiLevelType w:val="hybridMultilevel"/>
    <w:tmpl w:val="45C2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4798521">
    <w:abstractNumId w:val="73"/>
  </w:num>
  <w:num w:numId="2" w16cid:durableId="214663124">
    <w:abstractNumId w:val="95"/>
  </w:num>
  <w:num w:numId="3" w16cid:durableId="540678516">
    <w:abstractNumId w:val="51"/>
  </w:num>
  <w:num w:numId="4" w16cid:durableId="1377461052">
    <w:abstractNumId w:val="107"/>
  </w:num>
  <w:num w:numId="5" w16cid:durableId="45447339">
    <w:abstractNumId w:val="116"/>
  </w:num>
  <w:num w:numId="6" w16cid:durableId="1974486283">
    <w:abstractNumId w:val="142"/>
  </w:num>
  <w:num w:numId="7" w16cid:durableId="287902145">
    <w:abstractNumId w:val="11"/>
  </w:num>
  <w:num w:numId="8" w16cid:durableId="2146654437">
    <w:abstractNumId w:val="84"/>
    <w:lvlOverride w:ilvl="1">
      <w:lvl w:ilvl="1">
        <w:start w:val="1"/>
        <w:numFmt w:val="decimal"/>
        <w:lvlText w:val="%1.%2"/>
        <w:lvlJc w:val="left"/>
        <w:pPr>
          <w:tabs>
            <w:tab w:val="num" w:pos="794"/>
          </w:tabs>
          <w:ind w:left="794" w:hanging="79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16cid:durableId="1464619469">
    <w:abstractNumId w:val="50"/>
    <w:lvlOverride w:ilvl="0">
      <w:lvl w:ilvl="0">
        <w:start w:val="1"/>
        <w:numFmt w:val="decimal"/>
        <w:pStyle w:val="Heading1"/>
        <w:lvlText w:val="%1"/>
        <w:lvlJc w:val="left"/>
        <w:pPr>
          <w:ind w:left="567" w:hanging="567"/>
        </w:pPr>
        <w:rPr>
          <w:rFonts w:hint="default"/>
          <w:sz w:val="80"/>
          <w:szCs w:val="80"/>
        </w:rPr>
      </w:lvl>
    </w:lvlOverride>
    <w:lvlOverride w:ilvl="1">
      <w:lvl w:ilvl="1">
        <w:start w:val="1"/>
        <w:numFmt w:val="decimal"/>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Restart w:val="3"/>
        <w:lvlText w:val="%5."/>
        <w:lvlJc w:val="left"/>
        <w:pPr>
          <w:tabs>
            <w:tab w:val="num" w:pos="284"/>
          </w:tabs>
          <w:ind w:left="284" w:hanging="284"/>
        </w:pPr>
        <w:rPr>
          <w:rFonts w:asciiTheme="minorHAnsi" w:eastAsia="Century Gothic" w:hAnsiTheme="minorHAnsi" w:cstheme="minorBidi"/>
          <w:b w:val="0"/>
          <w:bCs w:val="0"/>
          <w:color w:val="000000" w:themeColor="text1"/>
          <w:sz w:val="22"/>
          <w:szCs w:val="22"/>
        </w:rPr>
      </w:lvl>
    </w:lvlOverride>
  </w:num>
  <w:num w:numId="10" w16cid:durableId="2126272733">
    <w:abstractNumId w:val="144"/>
  </w:num>
  <w:num w:numId="11" w16cid:durableId="1595357166">
    <w:abstractNumId w:val="56"/>
  </w:num>
  <w:num w:numId="12" w16cid:durableId="294145810">
    <w:abstractNumId w:val="70"/>
  </w:num>
  <w:num w:numId="13" w16cid:durableId="1892645432">
    <w:abstractNumId w:val="50"/>
  </w:num>
  <w:num w:numId="14" w16cid:durableId="310407489">
    <w:abstractNumId w:val="165"/>
  </w:num>
  <w:num w:numId="15" w16cid:durableId="684675809">
    <w:abstractNumId w:val="179"/>
  </w:num>
  <w:num w:numId="16" w16cid:durableId="869686573">
    <w:abstractNumId w:val="162"/>
  </w:num>
  <w:num w:numId="17" w16cid:durableId="1044402589">
    <w:abstractNumId w:val="94"/>
  </w:num>
  <w:num w:numId="18" w16cid:durableId="173888597">
    <w:abstractNumId w:val="113"/>
  </w:num>
  <w:num w:numId="19" w16cid:durableId="166333400">
    <w:abstractNumId w:val="39"/>
  </w:num>
  <w:num w:numId="20" w16cid:durableId="966929930">
    <w:abstractNumId w:val="26"/>
  </w:num>
  <w:num w:numId="21" w16cid:durableId="868106649">
    <w:abstractNumId w:val="184"/>
  </w:num>
  <w:num w:numId="22" w16cid:durableId="906455975">
    <w:abstractNumId w:val="133"/>
  </w:num>
  <w:num w:numId="23" w16cid:durableId="1634869764">
    <w:abstractNumId w:val="42"/>
  </w:num>
  <w:num w:numId="24" w16cid:durableId="327631954">
    <w:abstractNumId w:val="126"/>
  </w:num>
  <w:num w:numId="25" w16cid:durableId="1615407378">
    <w:abstractNumId w:val="166"/>
  </w:num>
  <w:num w:numId="26" w16cid:durableId="1366712226">
    <w:abstractNumId w:val="137"/>
  </w:num>
  <w:num w:numId="27" w16cid:durableId="902065957">
    <w:abstractNumId w:val="29"/>
  </w:num>
  <w:num w:numId="28" w16cid:durableId="1863931143">
    <w:abstractNumId w:val="85"/>
  </w:num>
  <w:num w:numId="29" w16cid:durableId="1664970312">
    <w:abstractNumId w:val="189"/>
  </w:num>
  <w:num w:numId="30" w16cid:durableId="1533415577">
    <w:abstractNumId w:val="105"/>
  </w:num>
  <w:num w:numId="31" w16cid:durableId="1887793728">
    <w:abstractNumId w:val="48"/>
  </w:num>
  <w:num w:numId="32" w16cid:durableId="559558975">
    <w:abstractNumId w:val="170"/>
  </w:num>
  <w:num w:numId="33" w16cid:durableId="1088186127">
    <w:abstractNumId w:val="181"/>
  </w:num>
  <w:num w:numId="34" w16cid:durableId="1392730616">
    <w:abstractNumId w:val="121"/>
  </w:num>
  <w:num w:numId="35" w16cid:durableId="651981069">
    <w:abstractNumId w:val="46"/>
  </w:num>
  <w:num w:numId="36" w16cid:durableId="1775130608">
    <w:abstractNumId w:val="96"/>
  </w:num>
  <w:num w:numId="37" w16cid:durableId="1585723292">
    <w:abstractNumId w:val="72"/>
  </w:num>
  <w:num w:numId="38" w16cid:durableId="1713385577">
    <w:abstractNumId w:val="157"/>
  </w:num>
  <w:num w:numId="39" w16cid:durableId="2033455208">
    <w:abstractNumId w:val="156"/>
  </w:num>
  <w:num w:numId="40" w16cid:durableId="420106528">
    <w:abstractNumId w:val="71"/>
  </w:num>
  <w:num w:numId="41" w16cid:durableId="511917054">
    <w:abstractNumId w:val="114"/>
  </w:num>
  <w:num w:numId="42" w16cid:durableId="696780727">
    <w:abstractNumId w:val="119"/>
  </w:num>
  <w:num w:numId="43" w16cid:durableId="428475719">
    <w:abstractNumId w:val="176"/>
  </w:num>
  <w:num w:numId="44" w16cid:durableId="406148239">
    <w:abstractNumId w:val="63"/>
  </w:num>
  <w:num w:numId="45" w16cid:durableId="181211622">
    <w:abstractNumId w:val="159"/>
  </w:num>
  <w:num w:numId="46" w16cid:durableId="1203446762">
    <w:abstractNumId w:val="146"/>
  </w:num>
  <w:num w:numId="47" w16cid:durableId="942611582">
    <w:abstractNumId w:val="15"/>
  </w:num>
  <w:num w:numId="48" w16cid:durableId="168378079">
    <w:abstractNumId w:val="61"/>
  </w:num>
  <w:num w:numId="49" w16cid:durableId="485320025">
    <w:abstractNumId w:val="124"/>
  </w:num>
  <w:num w:numId="50" w16cid:durableId="500703958">
    <w:abstractNumId w:val="45"/>
  </w:num>
  <w:num w:numId="51" w16cid:durableId="1868642541">
    <w:abstractNumId w:val="10"/>
  </w:num>
  <w:num w:numId="52" w16cid:durableId="395474012">
    <w:abstractNumId w:val="141"/>
  </w:num>
  <w:num w:numId="53" w16cid:durableId="1137602813">
    <w:abstractNumId w:val="87"/>
  </w:num>
  <w:num w:numId="54" w16cid:durableId="824861626">
    <w:abstractNumId w:val="35"/>
  </w:num>
  <w:num w:numId="55" w16cid:durableId="1391464388">
    <w:abstractNumId w:val="83"/>
  </w:num>
  <w:num w:numId="56" w16cid:durableId="121970819">
    <w:abstractNumId w:val="59"/>
  </w:num>
  <w:num w:numId="57" w16cid:durableId="1081221877">
    <w:abstractNumId w:val="136"/>
  </w:num>
  <w:num w:numId="58" w16cid:durableId="1285381628">
    <w:abstractNumId w:val="38"/>
  </w:num>
  <w:num w:numId="59" w16cid:durableId="1658411772">
    <w:abstractNumId w:val="128"/>
  </w:num>
  <w:num w:numId="60" w16cid:durableId="1977179024">
    <w:abstractNumId w:val="168"/>
  </w:num>
  <w:num w:numId="61" w16cid:durableId="415909210">
    <w:abstractNumId w:val="143"/>
  </w:num>
  <w:num w:numId="62" w16cid:durableId="1215047979">
    <w:abstractNumId w:val="69"/>
  </w:num>
  <w:num w:numId="63" w16cid:durableId="208536132">
    <w:abstractNumId w:val="106"/>
  </w:num>
  <w:num w:numId="64" w16cid:durableId="1896697564">
    <w:abstractNumId w:val="187"/>
  </w:num>
  <w:num w:numId="65" w16cid:durableId="2095392413">
    <w:abstractNumId w:val="109"/>
  </w:num>
  <w:num w:numId="66" w16cid:durableId="157620043">
    <w:abstractNumId w:val="54"/>
  </w:num>
  <w:num w:numId="67" w16cid:durableId="23286371">
    <w:abstractNumId w:val="177"/>
  </w:num>
  <w:num w:numId="68" w16cid:durableId="729035383">
    <w:abstractNumId w:val="8"/>
  </w:num>
  <w:num w:numId="69" w16cid:durableId="1025209276">
    <w:abstractNumId w:val="135"/>
  </w:num>
  <w:num w:numId="70" w16cid:durableId="90319915">
    <w:abstractNumId w:val="153"/>
  </w:num>
  <w:num w:numId="71" w16cid:durableId="1337800943">
    <w:abstractNumId w:val="3"/>
  </w:num>
  <w:num w:numId="72" w16cid:durableId="1277172869">
    <w:abstractNumId w:val="110"/>
  </w:num>
  <w:num w:numId="73" w16cid:durableId="2132240447">
    <w:abstractNumId w:val="152"/>
  </w:num>
  <w:num w:numId="74" w16cid:durableId="632752954">
    <w:abstractNumId w:val="58"/>
  </w:num>
  <w:num w:numId="75" w16cid:durableId="2067952020">
    <w:abstractNumId w:val="52"/>
  </w:num>
  <w:num w:numId="76" w16cid:durableId="1642156330">
    <w:abstractNumId w:val="98"/>
  </w:num>
  <w:num w:numId="77" w16cid:durableId="1732460356">
    <w:abstractNumId w:val="22"/>
  </w:num>
  <w:num w:numId="78" w16cid:durableId="204760273">
    <w:abstractNumId w:val="76"/>
  </w:num>
  <w:num w:numId="79" w16cid:durableId="1767337203">
    <w:abstractNumId w:val="0"/>
  </w:num>
  <w:num w:numId="80" w16cid:durableId="563569858">
    <w:abstractNumId w:val="25"/>
  </w:num>
  <w:num w:numId="81" w16cid:durableId="1656178683">
    <w:abstractNumId w:val="173"/>
  </w:num>
  <w:num w:numId="82" w16cid:durableId="711226596">
    <w:abstractNumId w:val="30"/>
  </w:num>
  <w:num w:numId="83" w16cid:durableId="1086460784">
    <w:abstractNumId w:val="130"/>
  </w:num>
  <w:num w:numId="84" w16cid:durableId="1771928137">
    <w:abstractNumId w:val="43"/>
  </w:num>
  <w:num w:numId="85" w16cid:durableId="641078677">
    <w:abstractNumId w:val="131"/>
  </w:num>
  <w:num w:numId="86" w16cid:durableId="1953046070">
    <w:abstractNumId w:val="174"/>
  </w:num>
  <w:num w:numId="87" w16cid:durableId="2139181363">
    <w:abstractNumId w:val="132"/>
  </w:num>
  <w:num w:numId="88" w16cid:durableId="936861590">
    <w:abstractNumId w:val="125"/>
  </w:num>
  <w:num w:numId="89" w16cid:durableId="664478610">
    <w:abstractNumId w:val="149"/>
  </w:num>
  <w:num w:numId="90" w16cid:durableId="425659077">
    <w:abstractNumId w:val="60"/>
  </w:num>
  <w:num w:numId="91" w16cid:durableId="453910480">
    <w:abstractNumId w:val="161"/>
  </w:num>
  <w:num w:numId="92" w16cid:durableId="1372728830">
    <w:abstractNumId w:val="90"/>
  </w:num>
  <w:num w:numId="93" w16cid:durableId="1273515630">
    <w:abstractNumId w:val="138"/>
  </w:num>
  <w:num w:numId="94" w16cid:durableId="2050717287">
    <w:abstractNumId w:val="77"/>
  </w:num>
  <w:num w:numId="95" w16cid:durableId="1500123169">
    <w:abstractNumId w:val="81"/>
  </w:num>
  <w:num w:numId="96" w16cid:durableId="316421673">
    <w:abstractNumId w:val="111"/>
  </w:num>
  <w:num w:numId="97" w16cid:durableId="1228954326">
    <w:abstractNumId w:val="164"/>
  </w:num>
  <w:num w:numId="98" w16cid:durableId="40135824">
    <w:abstractNumId w:val="186"/>
  </w:num>
  <w:num w:numId="99" w16cid:durableId="225604241">
    <w:abstractNumId w:val="65"/>
  </w:num>
  <w:num w:numId="100" w16cid:durableId="598950251">
    <w:abstractNumId w:val="99"/>
  </w:num>
  <w:num w:numId="101" w16cid:durableId="1102146617">
    <w:abstractNumId w:val="182"/>
  </w:num>
  <w:num w:numId="102" w16cid:durableId="328992737">
    <w:abstractNumId w:val="40"/>
  </w:num>
  <w:num w:numId="103" w16cid:durableId="291792701">
    <w:abstractNumId w:val="145"/>
  </w:num>
  <w:num w:numId="104" w16cid:durableId="952781937">
    <w:abstractNumId w:val="101"/>
  </w:num>
  <w:num w:numId="105" w16cid:durableId="883297889">
    <w:abstractNumId w:val="13"/>
  </w:num>
  <w:num w:numId="106" w16cid:durableId="1144811687">
    <w:abstractNumId w:val="41"/>
  </w:num>
  <w:num w:numId="107" w16cid:durableId="1837958131">
    <w:abstractNumId w:val="23"/>
  </w:num>
  <w:num w:numId="108" w16cid:durableId="1041977180">
    <w:abstractNumId w:val="92"/>
  </w:num>
  <w:num w:numId="109" w16cid:durableId="1927495389">
    <w:abstractNumId w:val="190"/>
  </w:num>
  <w:num w:numId="110" w16cid:durableId="388647861">
    <w:abstractNumId w:val="28"/>
  </w:num>
  <w:num w:numId="111" w16cid:durableId="988825769">
    <w:abstractNumId w:val="49"/>
  </w:num>
  <w:num w:numId="112" w16cid:durableId="1096364727">
    <w:abstractNumId w:val="97"/>
  </w:num>
  <w:num w:numId="113" w16cid:durableId="180050822">
    <w:abstractNumId w:val="86"/>
  </w:num>
  <w:num w:numId="114" w16cid:durableId="1906984063">
    <w:abstractNumId w:val="78"/>
  </w:num>
  <w:num w:numId="115" w16cid:durableId="531764856">
    <w:abstractNumId w:val="134"/>
  </w:num>
  <w:num w:numId="116" w16cid:durableId="1662155741">
    <w:abstractNumId w:val="62"/>
  </w:num>
  <w:num w:numId="117" w16cid:durableId="1832453390">
    <w:abstractNumId w:val="16"/>
  </w:num>
  <w:num w:numId="118" w16cid:durableId="1246190483">
    <w:abstractNumId w:val="68"/>
  </w:num>
  <w:num w:numId="119" w16cid:durableId="1400981902">
    <w:abstractNumId w:val="33"/>
  </w:num>
  <w:num w:numId="120" w16cid:durableId="1550803216">
    <w:abstractNumId w:val="167"/>
  </w:num>
  <w:num w:numId="121" w16cid:durableId="2052146590">
    <w:abstractNumId w:val="2"/>
  </w:num>
  <w:num w:numId="122" w16cid:durableId="2048944862">
    <w:abstractNumId w:val="19"/>
  </w:num>
  <w:num w:numId="123" w16cid:durableId="493179321">
    <w:abstractNumId w:val="64"/>
  </w:num>
  <w:num w:numId="124" w16cid:durableId="1952123584">
    <w:abstractNumId w:val="172"/>
  </w:num>
  <w:num w:numId="125" w16cid:durableId="952712049">
    <w:abstractNumId w:val="139"/>
  </w:num>
  <w:num w:numId="126" w16cid:durableId="1864394538">
    <w:abstractNumId w:val="104"/>
  </w:num>
  <w:num w:numId="127" w16cid:durableId="1967811475">
    <w:abstractNumId w:val="100"/>
  </w:num>
  <w:num w:numId="128" w16cid:durableId="2031640049">
    <w:abstractNumId w:val="88"/>
  </w:num>
  <w:num w:numId="129" w16cid:durableId="2064057153">
    <w:abstractNumId w:val="67"/>
  </w:num>
  <w:num w:numId="130" w16cid:durableId="1958489210">
    <w:abstractNumId w:val="66"/>
  </w:num>
  <w:num w:numId="131" w16cid:durableId="377633945">
    <w:abstractNumId w:val="18"/>
  </w:num>
  <w:num w:numId="132" w16cid:durableId="795296323">
    <w:abstractNumId w:val="57"/>
  </w:num>
  <w:num w:numId="133" w16cid:durableId="2141220116">
    <w:abstractNumId w:val="24"/>
  </w:num>
  <w:num w:numId="134" w16cid:durableId="1006442911">
    <w:abstractNumId w:val="6"/>
  </w:num>
  <w:num w:numId="135" w16cid:durableId="751005795">
    <w:abstractNumId w:val="27"/>
  </w:num>
  <w:num w:numId="136" w16cid:durableId="494079582">
    <w:abstractNumId w:val="31"/>
  </w:num>
  <w:num w:numId="137" w16cid:durableId="2115007546">
    <w:abstractNumId w:val="117"/>
  </w:num>
  <w:num w:numId="138" w16cid:durableId="1800147206">
    <w:abstractNumId w:val="140"/>
  </w:num>
  <w:num w:numId="139" w16cid:durableId="1844707464">
    <w:abstractNumId w:val="1"/>
  </w:num>
  <w:num w:numId="140" w16cid:durableId="1687561351">
    <w:abstractNumId w:val="47"/>
  </w:num>
  <w:num w:numId="141" w16cid:durableId="657803923">
    <w:abstractNumId w:val="36"/>
  </w:num>
  <w:num w:numId="142" w16cid:durableId="44256615">
    <w:abstractNumId w:val="82"/>
  </w:num>
  <w:num w:numId="143" w16cid:durableId="129829725">
    <w:abstractNumId w:val="74"/>
  </w:num>
  <w:num w:numId="144" w16cid:durableId="945624493">
    <w:abstractNumId w:val="5"/>
  </w:num>
  <w:num w:numId="145" w16cid:durableId="1262297009">
    <w:abstractNumId w:val="180"/>
  </w:num>
  <w:num w:numId="146" w16cid:durableId="603196150">
    <w:abstractNumId w:val="147"/>
  </w:num>
  <w:num w:numId="147" w16cid:durableId="2118984780">
    <w:abstractNumId w:val="171"/>
  </w:num>
  <w:num w:numId="148" w16cid:durableId="1004208535">
    <w:abstractNumId w:val="191"/>
  </w:num>
  <w:num w:numId="149" w16cid:durableId="2636229">
    <w:abstractNumId w:val="122"/>
  </w:num>
  <w:num w:numId="150" w16cid:durableId="2000846713">
    <w:abstractNumId w:val="34"/>
  </w:num>
  <w:num w:numId="151" w16cid:durableId="699822895">
    <w:abstractNumId w:val="80"/>
  </w:num>
  <w:num w:numId="152" w16cid:durableId="1393507067">
    <w:abstractNumId w:val="123"/>
  </w:num>
  <w:num w:numId="153" w16cid:durableId="1602107758">
    <w:abstractNumId w:val="127"/>
  </w:num>
  <w:num w:numId="154" w16cid:durableId="1940872092">
    <w:abstractNumId w:val="151"/>
  </w:num>
  <w:num w:numId="155" w16cid:durableId="1149325404">
    <w:abstractNumId w:val="148"/>
  </w:num>
  <w:num w:numId="156" w16cid:durableId="558174798">
    <w:abstractNumId w:val="12"/>
  </w:num>
  <w:num w:numId="157" w16cid:durableId="840780954">
    <w:abstractNumId w:val="150"/>
  </w:num>
  <w:num w:numId="158" w16cid:durableId="690106041">
    <w:abstractNumId w:val="17"/>
  </w:num>
  <w:num w:numId="159" w16cid:durableId="1372147700">
    <w:abstractNumId w:val="188"/>
  </w:num>
  <w:num w:numId="160" w16cid:durableId="2117479887">
    <w:abstractNumId w:val="115"/>
  </w:num>
  <w:num w:numId="161" w16cid:durableId="608510573">
    <w:abstractNumId w:val="178"/>
  </w:num>
  <w:num w:numId="162" w16cid:durableId="795871033">
    <w:abstractNumId w:val="93"/>
  </w:num>
  <w:num w:numId="163" w16cid:durableId="194392830">
    <w:abstractNumId w:val="7"/>
  </w:num>
  <w:num w:numId="164" w16cid:durableId="739593235">
    <w:abstractNumId w:val="112"/>
  </w:num>
  <w:num w:numId="165" w16cid:durableId="1798914539">
    <w:abstractNumId w:val="44"/>
  </w:num>
  <w:num w:numId="166" w16cid:durableId="1303387146">
    <w:abstractNumId w:val="53"/>
  </w:num>
  <w:num w:numId="167" w16cid:durableId="493449518">
    <w:abstractNumId w:val="183"/>
  </w:num>
  <w:num w:numId="168" w16cid:durableId="775754152">
    <w:abstractNumId w:val="118"/>
  </w:num>
  <w:num w:numId="169" w16cid:durableId="1058013717">
    <w:abstractNumId w:val="4"/>
  </w:num>
  <w:num w:numId="170" w16cid:durableId="2050101731">
    <w:abstractNumId w:val="160"/>
  </w:num>
  <w:num w:numId="171" w16cid:durableId="281767765">
    <w:abstractNumId w:val="91"/>
  </w:num>
  <w:num w:numId="172" w16cid:durableId="559832161">
    <w:abstractNumId w:val="169"/>
  </w:num>
  <w:num w:numId="173" w16cid:durableId="20790941">
    <w:abstractNumId w:val="79"/>
  </w:num>
  <w:num w:numId="174" w16cid:durableId="1664775793">
    <w:abstractNumId w:val="21"/>
  </w:num>
  <w:num w:numId="175" w16cid:durableId="487475745">
    <w:abstractNumId w:val="175"/>
  </w:num>
  <w:num w:numId="176" w16cid:durableId="603803072">
    <w:abstractNumId w:val="155"/>
  </w:num>
  <w:num w:numId="177" w16cid:durableId="2080053516">
    <w:abstractNumId w:val="158"/>
  </w:num>
  <w:num w:numId="178" w16cid:durableId="1367560618">
    <w:abstractNumId w:val="185"/>
  </w:num>
  <w:num w:numId="179" w16cid:durableId="1795754828">
    <w:abstractNumId w:val="89"/>
  </w:num>
  <w:num w:numId="180" w16cid:durableId="698966665">
    <w:abstractNumId w:val="20"/>
  </w:num>
  <w:num w:numId="181" w16cid:durableId="1174875028">
    <w:abstractNumId w:val="14"/>
  </w:num>
  <w:num w:numId="182" w16cid:durableId="1432510749">
    <w:abstractNumId w:val="103"/>
  </w:num>
  <w:num w:numId="183" w16cid:durableId="29769590">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41102956">
    <w:abstractNumId w:val="129"/>
  </w:num>
  <w:num w:numId="185" w16cid:durableId="709572173">
    <w:abstractNumId w:val="37"/>
  </w:num>
  <w:num w:numId="186" w16cid:durableId="898327436">
    <w:abstractNumId w:val="120"/>
  </w:num>
  <w:num w:numId="187" w16cid:durableId="1791582888">
    <w:abstractNumId w:val="75"/>
  </w:num>
  <w:num w:numId="188" w16cid:durableId="1024332681">
    <w:abstractNumId w:val="9"/>
  </w:num>
  <w:num w:numId="189" w16cid:durableId="209998954">
    <w:abstractNumId w:val="102"/>
  </w:num>
  <w:num w:numId="190" w16cid:durableId="1704162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64817420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853449031">
    <w:abstractNumId w:val="55"/>
  </w:num>
  <w:num w:numId="193" w16cid:durableId="435295282">
    <w:abstractNumId w:val="154"/>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65"/>
    <w:rsid w:val="0000013F"/>
    <w:rsid w:val="00000B0E"/>
    <w:rsid w:val="000012B6"/>
    <w:rsid w:val="000016A6"/>
    <w:rsid w:val="00002644"/>
    <w:rsid w:val="00003DCE"/>
    <w:rsid w:val="0000554B"/>
    <w:rsid w:val="00007BDA"/>
    <w:rsid w:val="00012F00"/>
    <w:rsid w:val="00013137"/>
    <w:rsid w:val="00013DF3"/>
    <w:rsid w:val="00014902"/>
    <w:rsid w:val="00014E77"/>
    <w:rsid w:val="00016381"/>
    <w:rsid w:val="0001695A"/>
    <w:rsid w:val="00016E4D"/>
    <w:rsid w:val="00017A74"/>
    <w:rsid w:val="00017CDA"/>
    <w:rsid w:val="00021518"/>
    <w:rsid w:val="000226DB"/>
    <w:rsid w:val="00022889"/>
    <w:rsid w:val="00022B59"/>
    <w:rsid w:val="0002400E"/>
    <w:rsid w:val="0002408D"/>
    <w:rsid w:val="0002461C"/>
    <w:rsid w:val="0002531B"/>
    <w:rsid w:val="000267CD"/>
    <w:rsid w:val="00026A1B"/>
    <w:rsid w:val="00030B5F"/>
    <w:rsid w:val="00031C8C"/>
    <w:rsid w:val="00032B24"/>
    <w:rsid w:val="000366F4"/>
    <w:rsid w:val="0003689E"/>
    <w:rsid w:val="0003789C"/>
    <w:rsid w:val="00037B6B"/>
    <w:rsid w:val="0004168F"/>
    <w:rsid w:val="00041CF1"/>
    <w:rsid w:val="000424A0"/>
    <w:rsid w:val="00042516"/>
    <w:rsid w:val="000429AA"/>
    <w:rsid w:val="000429AD"/>
    <w:rsid w:val="00042D64"/>
    <w:rsid w:val="00043D6F"/>
    <w:rsid w:val="00043F54"/>
    <w:rsid w:val="00044878"/>
    <w:rsid w:val="00044BB6"/>
    <w:rsid w:val="00044BD2"/>
    <w:rsid w:val="00044D95"/>
    <w:rsid w:val="00045960"/>
    <w:rsid w:val="00045F03"/>
    <w:rsid w:val="000464EC"/>
    <w:rsid w:val="00046866"/>
    <w:rsid w:val="00046EB9"/>
    <w:rsid w:val="00052628"/>
    <w:rsid w:val="00055F24"/>
    <w:rsid w:val="00056809"/>
    <w:rsid w:val="00056C1D"/>
    <w:rsid w:val="000575C9"/>
    <w:rsid w:val="000600EC"/>
    <w:rsid w:val="00060A7E"/>
    <w:rsid w:val="000610AA"/>
    <w:rsid w:val="00061362"/>
    <w:rsid w:val="000613FB"/>
    <w:rsid w:val="00061665"/>
    <w:rsid w:val="000616D9"/>
    <w:rsid w:val="0006219B"/>
    <w:rsid w:val="00062488"/>
    <w:rsid w:val="00062763"/>
    <w:rsid w:val="000631CB"/>
    <w:rsid w:val="00064E16"/>
    <w:rsid w:val="000656B5"/>
    <w:rsid w:val="00065DED"/>
    <w:rsid w:val="000662E0"/>
    <w:rsid w:val="000707B8"/>
    <w:rsid w:val="00071841"/>
    <w:rsid w:val="000724F4"/>
    <w:rsid w:val="000730AC"/>
    <w:rsid w:val="00073697"/>
    <w:rsid w:val="00073AC0"/>
    <w:rsid w:val="00073C68"/>
    <w:rsid w:val="000744AC"/>
    <w:rsid w:val="00075E24"/>
    <w:rsid w:val="00076597"/>
    <w:rsid w:val="00076964"/>
    <w:rsid w:val="00076A57"/>
    <w:rsid w:val="0008080F"/>
    <w:rsid w:val="00081E1D"/>
    <w:rsid w:val="00082086"/>
    <w:rsid w:val="00082C4D"/>
    <w:rsid w:val="000833FF"/>
    <w:rsid w:val="00083B1C"/>
    <w:rsid w:val="000843B7"/>
    <w:rsid w:val="00086C63"/>
    <w:rsid w:val="00086E12"/>
    <w:rsid w:val="00087209"/>
    <w:rsid w:val="00087A56"/>
    <w:rsid w:val="00090370"/>
    <w:rsid w:val="000903ED"/>
    <w:rsid w:val="0009066D"/>
    <w:rsid w:val="000906BA"/>
    <w:rsid w:val="00090F62"/>
    <w:rsid w:val="000913B7"/>
    <w:rsid w:val="00094390"/>
    <w:rsid w:val="00095C0E"/>
    <w:rsid w:val="00096652"/>
    <w:rsid w:val="000968D2"/>
    <w:rsid w:val="00096C04"/>
    <w:rsid w:val="00097C86"/>
    <w:rsid w:val="00097E99"/>
    <w:rsid w:val="000A07D2"/>
    <w:rsid w:val="000A0D84"/>
    <w:rsid w:val="000A0D89"/>
    <w:rsid w:val="000A173A"/>
    <w:rsid w:val="000A3850"/>
    <w:rsid w:val="000A465A"/>
    <w:rsid w:val="000A517C"/>
    <w:rsid w:val="000A54D4"/>
    <w:rsid w:val="000A5ECF"/>
    <w:rsid w:val="000A73FD"/>
    <w:rsid w:val="000A7DC9"/>
    <w:rsid w:val="000B00B3"/>
    <w:rsid w:val="000B0652"/>
    <w:rsid w:val="000B1573"/>
    <w:rsid w:val="000B1C18"/>
    <w:rsid w:val="000B2398"/>
    <w:rsid w:val="000B24F1"/>
    <w:rsid w:val="000B25D6"/>
    <w:rsid w:val="000B3624"/>
    <w:rsid w:val="000B49FD"/>
    <w:rsid w:val="000B55B7"/>
    <w:rsid w:val="000B56A0"/>
    <w:rsid w:val="000B5781"/>
    <w:rsid w:val="000B5910"/>
    <w:rsid w:val="000B5F63"/>
    <w:rsid w:val="000B68F1"/>
    <w:rsid w:val="000B6AE9"/>
    <w:rsid w:val="000B6BC2"/>
    <w:rsid w:val="000B6CAA"/>
    <w:rsid w:val="000B71D5"/>
    <w:rsid w:val="000B73B5"/>
    <w:rsid w:val="000C1558"/>
    <w:rsid w:val="000C1828"/>
    <w:rsid w:val="000C27EE"/>
    <w:rsid w:val="000C3849"/>
    <w:rsid w:val="000C46F4"/>
    <w:rsid w:val="000C4BDE"/>
    <w:rsid w:val="000C50A2"/>
    <w:rsid w:val="000C5678"/>
    <w:rsid w:val="000C6207"/>
    <w:rsid w:val="000C6441"/>
    <w:rsid w:val="000C65AD"/>
    <w:rsid w:val="000C7484"/>
    <w:rsid w:val="000C7E8A"/>
    <w:rsid w:val="000D04FF"/>
    <w:rsid w:val="000D1353"/>
    <w:rsid w:val="000D17CE"/>
    <w:rsid w:val="000D25AB"/>
    <w:rsid w:val="000D2B12"/>
    <w:rsid w:val="000D317E"/>
    <w:rsid w:val="000D32C2"/>
    <w:rsid w:val="000D3661"/>
    <w:rsid w:val="000D3AA8"/>
    <w:rsid w:val="000D495C"/>
    <w:rsid w:val="000D56E3"/>
    <w:rsid w:val="000D6416"/>
    <w:rsid w:val="000D6494"/>
    <w:rsid w:val="000D68C6"/>
    <w:rsid w:val="000D6A6A"/>
    <w:rsid w:val="000D6EC0"/>
    <w:rsid w:val="000D71A3"/>
    <w:rsid w:val="000D7536"/>
    <w:rsid w:val="000E0CAA"/>
    <w:rsid w:val="000E0F9A"/>
    <w:rsid w:val="000E2112"/>
    <w:rsid w:val="000E4666"/>
    <w:rsid w:val="000E479A"/>
    <w:rsid w:val="000E6877"/>
    <w:rsid w:val="000E6D73"/>
    <w:rsid w:val="000E7805"/>
    <w:rsid w:val="000E7CF5"/>
    <w:rsid w:val="000F0967"/>
    <w:rsid w:val="000F104B"/>
    <w:rsid w:val="000F270C"/>
    <w:rsid w:val="000F2CE0"/>
    <w:rsid w:val="000F3E5D"/>
    <w:rsid w:val="000F455D"/>
    <w:rsid w:val="000F45CA"/>
    <w:rsid w:val="000F569E"/>
    <w:rsid w:val="000F57ED"/>
    <w:rsid w:val="000F5954"/>
    <w:rsid w:val="000F5B26"/>
    <w:rsid w:val="000F6B94"/>
    <w:rsid w:val="000F7B41"/>
    <w:rsid w:val="00100E4D"/>
    <w:rsid w:val="0010125B"/>
    <w:rsid w:val="00101FC4"/>
    <w:rsid w:val="00105035"/>
    <w:rsid w:val="00106327"/>
    <w:rsid w:val="00106BB8"/>
    <w:rsid w:val="001075A4"/>
    <w:rsid w:val="0010777A"/>
    <w:rsid w:val="0010795D"/>
    <w:rsid w:val="00107E57"/>
    <w:rsid w:val="0011103F"/>
    <w:rsid w:val="0011129E"/>
    <w:rsid w:val="00111336"/>
    <w:rsid w:val="0011199F"/>
    <w:rsid w:val="00111A33"/>
    <w:rsid w:val="001124E5"/>
    <w:rsid w:val="00112770"/>
    <w:rsid w:val="00112E70"/>
    <w:rsid w:val="0011311B"/>
    <w:rsid w:val="001131E6"/>
    <w:rsid w:val="001142FB"/>
    <w:rsid w:val="00114788"/>
    <w:rsid w:val="00115974"/>
    <w:rsid w:val="001161E4"/>
    <w:rsid w:val="00116B02"/>
    <w:rsid w:val="00117DA3"/>
    <w:rsid w:val="001210BF"/>
    <w:rsid w:val="00121406"/>
    <w:rsid w:val="001214FA"/>
    <w:rsid w:val="00122444"/>
    <w:rsid w:val="00122554"/>
    <w:rsid w:val="00122593"/>
    <w:rsid w:val="00123521"/>
    <w:rsid w:val="00124D25"/>
    <w:rsid w:val="00125121"/>
    <w:rsid w:val="00125B48"/>
    <w:rsid w:val="001274E0"/>
    <w:rsid w:val="00127CD6"/>
    <w:rsid w:val="001310BE"/>
    <w:rsid w:val="001310EA"/>
    <w:rsid w:val="00131C1D"/>
    <w:rsid w:val="00131EB4"/>
    <w:rsid w:val="0013209A"/>
    <w:rsid w:val="0013352E"/>
    <w:rsid w:val="00133D31"/>
    <w:rsid w:val="00134598"/>
    <w:rsid w:val="00136B1A"/>
    <w:rsid w:val="00140AB9"/>
    <w:rsid w:val="00140ACD"/>
    <w:rsid w:val="00140E58"/>
    <w:rsid w:val="00142C0D"/>
    <w:rsid w:val="0014318A"/>
    <w:rsid w:val="00143A5F"/>
    <w:rsid w:val="00144B3D"/>
    <w:rsid w:val="00146168"/>
    <w:rsid w:val="0014670C"/>
    <w:rsid w:val="00146EFF"/>
    <w:rsid w:val="00147364"/>
    <w:rsid w:val="00147EC7"/>
    <w:rsid w:val="00150610"/>
    <w:rsid w:val="001506A1"/>
    <w:rsid w:val="001507AF"/>
    <w:rsid w:val="00150B55"/>
    <w:rsid w:val="00150F1A"/>
    <w:rsid w:val="001515CE"/>
    <w:rsid w:val="001517CF"/>
    <w:rsid w:val="00151BD4"/>
    <w:rsid w:val="001523BE"/>
    <w:rsid w:val="00152B8F"/>
    <w:rsid w:val="00154B39"/>
    <w:rsid w:val="00154E22"/>
    <w:rsid w:val="00154EBE"/>
    <w:rsid w:val="00155A00"/>
    <w:rsid w:val="00156A95"/>
    <w:rsid w:val="00157276"/>
    <w:rsid w:val="0015731D"/>
    <w:rsid w:val="001608F7"/>
    <w:rsid w:val="00160B8D"/>
    <w:rsid w:val="00160BA8"/>
    <w:rsid w:val="0016178E"/>
    <w:rsid w:val="001617AA"/>
    <w:rsid w:val="00161AF5"/>
    <w:rsid w:val="001634A4"/>
    <w:rsid w:val="001646B2"/>
    <w:rsid w:val="00164DDE"/>
    <w:rsid w:val="0016554E"/>
    <w:rsid w:val="00166429"/>
    <w:rsid w:val="0017079D"/>
    <w:rsid w:val="001717B5"/>
    <w:rsid w:val="00173955"/>
    <w:rsid w:val="0017594F"/>
    <w:rsid w:val="00176038"/>
    <w:rsid w:val="001772B1"/>
    <w:rsid w:val="001772B2"/>
    <w:rsid w:val="0018014E"/>
    <w:rsid w:val="001804F4"/>
    <w:rsid w:val="00180B57"/>
    <w:rsid w:val="00180E19"/>
    <w:rsid w:val="00181684"/>
    <w:rsid w:val="0018176B"/>
    <w:rsid w:val="001817B4"/>
    <w:rsid w:val="00182EFB"/>
    <w:rsid w:val="00183080"/>
    <w:rsid w:val="001830BD"/>
    <w:rsid w:val="00183A54"/>
    <w:rsid w:val="00184E1B"/>
    <w:rsid w:val="001853EA"/>
    <w:rsid w:val="00185CEF"/>
    <w:rsid w:val="00186509"/>
    <w:rsid w:val="0018699B"/>
    <w:rsid w:val="00187F22"/>
    <w:rsid w:val="00190294"/>
    <w:rsid w:val="00190619"/>
    <w:rsid w:val="00190C9D"/>
    <w:rsid w:val="00192391"/>
    <w:rsid w:val="00192C8F"/>
    <w:rsid w:val="00192FE5"/>
    <w:rsid w:val="00192FFF"/>
    <w:rsid w:val="00193455"/>
    <w:rsid w:val="00195259"/>
    <w:rsid w:val="001A0708"/>
    <w:rsid w:val="001A19F3"/>
    <w:rsid w:val="001A1D16"/>
    <w:rsid w:val="001A2D13"/>
    <w:rsid w:val="001A3972"/>
    <w:rsid w:val="001A408C"/>
    <w:rsid w:val="001A4971"/>
    <w:rsid w:val="001A4BC7"/>
    <w:rsid w:val="001A51A9"/>
    <w:rsid w:val="001A5AF0"/>
    <w:rsid w:val="001A6A3D"/>
    <w:rsid w:val="001A73D7"/>
    <w:rsid w:val="001B071A"/>
    <w:rsid w:val="001B0F41"/>
    <w:rsid w:val="001B1A23"/>
    <w:rsid w:val="001B22A7"/>
    <w:rsid w:val="001B2C5B"/>
    <w:rsid w:val="001B2EE3"/>
    <w:rsid w:val="001B2F8C"/>
    <w:rsid w:val="001B2F96"/>
    <w:rsid w:val="001B3C52"/>
    <w:rsid w:val="001B3C74"/>
    <w:rsid w:val="001B41E8"/>
    <w:rsid w:val="001B5059"/>
    <w:rsid w:val="001B568C"/>
    <w:rsid w:val="001B5D24"/>
    <w:rsid w:val="001B5E0E"/>
    <w:rsid w:val="001B5EB6"/>
    <w:rsid w:val="001B61A6"/>
    <w:rsid w:val="001B6883"/>
    <w:rsid w:val="001B6911"/>
    <w:rsid w:val="001C107B"/>
    <w:rsid w:val="001C1B6B"/>
    <w:rsid w:val="001C2012"/>
    <w:rsid w:val="001C26F3"/>
    <w:rsid w:val="001C3C7C"/>
    <w:rsid w:val="001C5752"/>
    <w:rsid w:val="001C7E91"/>
    <w:rsid w:val="001D01FC"/>
    <w:rsid w:val="001D084B"/>
    <w:rsid w:val="001D09BB"/>
    <w:rsid w:val="001D188E"/>
    <w:rsid w:val="001D3ADE"/>
    <w:rsid w:val="001D4C6F"/>
    <w:rsid w:val="001D4F0F"/>
    <w:rsid w:val="001D617E"/>
    <w:rsid w:val="001D68C8"/>
    <w:rsid w:val="001D6ACD"/>
    <w:rsid w:val="001D7123"/>
    <w:rsid w:val="001D7C69"/>
    <w:rsid w:val="001D7C6E"/>
    <w:rsid w:val="001E0535"/>
    <w:rsid w:val="001E0551"/>
    <w:rsid w:val="001E1454"/>
    <w:rsid w:val="001E1DBC"/>
    <w:rsid w:val="001E23FE"/>
    <w:rsid w:val="001E422A"/>
    <w:rsid w:val="001E51F6"/>
    <w:rsid w:val="001E60E7"/>
    <w:rsid w:val="001E7390"/>
    <w:rsid w:val="001E7A48"/>
    <w:rsid w:val="001E7E1D"/>
    <w:rsid w:val="001F0182"/>
    <w:rsid w:val="001F026D"/>
    <w:rsid w:val="001F070D"/>
    <w:rsid w:val="001F0A2F"/>
    <w:rsid w:val="001F0A9E"/>
    <w:rsid w:val="001F0B81"/>
    <w:rsid w:val="001F0BE3"/>
    <w:rsid w:val="001F0F0E"/>
    <w:rsid w:val="001F183F"/>
    <w:rsid w:val="001F2AE4"/>
    <w:rsid w:val="001F301B"/>
    <w:rsid w:val="001F32FC"/>
    <w:rsid w:val="001F3EFA"/>
    <w:rsid w:val="001F42CC"/>
    <w:rsid w:val="001F4507"/>
    <w:rsid w:val="001F770F"/>
    <w:rsid w:val="001F7841"/>
    <w:rsid w:val="00200AAE"/>
    <w:rsid w:val="0020171C"/>
    <w:rsid w:val="002027FE"/>
    <w:rsid w:val="0020351E"/>
    <w:rsid w:val="0020414A"/>
    <w:rsid w:val="002041D7"/>
    <w:rsid w:val="00205063"/>
    <w:rsid w:val="00205DAA"/>
    <w:rsid w:val="0020620B"/>
    <w:rsid w:val="002062FE"/>
    <w:rsid w:val="00206C81"/>
    <w:rsid w:val="0020737A"/>
    <w:rsid w:val="002103C2"/>
    <w:rsid w:val="002115DE"/>
    <w:rsid w:val="002145B4"/>
    <w:rsid w:val="00214B5F"/>
    <w:rsid w:val="002157E0"/>
    <w:rsid w:val="0021626F"/>
    <w:rsid w:val="00217E26"/>
    <w:rsid w:val="00221C35"/>
    <w:rsid w:val="00221E3E"/>
    <w:rsid w:val="00222BE8"/>
    <w:rsid w:val="0022332B"/>
    <w:rsid w:val="002239A8"/>
    <w:rsid w:val="00224D99"/>
    <w:rsid w:val="002255FF"/>
    <w:rsid w:val="002300C5"/>
    <w:rsid w:val="002302FA"/>
    <w:rsid w:val="002303F2"/>
    <w:rsid w:val="00230D8C"/>
    <w:rsid w:val="00231A17"/>
    <w:rsid w:val="002324B9"/>
    <w:rsid w:val="0023269B"/>
    <w:rsid w:val="00233F93"/>
    <w:rsid w:val="00234A1D"/>
    <w:rsid w:val="002365B6"/>
    <w:rsid w:val="002367A6"/>
    <w:rsid w:val="0023777C"/>
    <w:rsid w:val="00237FDE"/>
    <w:rsid w:val="00241817"/>
    <w:rsid w:val="002425E0"/>
    <w:rsid w:val="0024348D"/>
    <w:rsid w:val="002441FE"/>
    <w:rsid w:val="00244EFF"/>
    <w:rsid w:val="00245184"/>
    <w:rsid w:val="0024553D"/>
    <w:rsid w:val="002456B7"/>
    <w:rsid w:val="0024604B"/>
    <w:rsid w:val="00250CFA"/>
    <w:rsid w:val="002512D9"/>
    <w:rsid w:val="0025153B"/>
    <w:rsid w:val="00251B6D"/>
    <w:rsid w:val="002520BE"/>
    <w:rsid w:val="00252FEB"/>
    <w:rsid w:val="00253248"/>
    <w:rsid w:val="00253337"/>
    <w:rsid w:val="0025351C"/>
    <w:rsid w:val="0025420D"/>
    <w:rsid w:val="002549F1"/>
    <w:rsid w:val="00254F07"/>
    <w:rsid w:val="00255597"/>
    <w:rsid w:val="002566E2"/>
    <w:rsid w:val="00257A12"/>
    <w:rsid w:val="00257E4F"/>
    <w:rsid w:val="00257EED"/>
    <w:rsid w:val="0026027C"/>
    <w:rsid w:val="00260FA0"/>
    <w:rsid w:val="00261151"/>
    <w:rsid w:val="00261713"/>
    <w:rsid w:val="00261870"/>
    <w:rsid w:val="00261A75"/>
    <w:rsid w:val="002623FF"/>
    <w:rsid w:val="0026420F"/>
    <w:rsid w:val="00264453"/>
    <w:rsid w:val="0026455C"/>
    <w:rsid w:val="002646F7"/>
    <w:rsid w:val="00264D7B"/>
    <w:rsid w:val="0026562B"/>
    <w:rsid w:val="00265A17"/>
    <w:rsid w:val="00265E49"/>
    <w:rsid w:val="00265F36"/>
    <w:rsid w:val="00266736"/>
    <w:rsid w:val="00266BB4"/>
    <w:rsid w:val="002671D6"/>
    <w:rsid w:val="00267459"/>
    <w:rsid w:val="00267F27"/>
    <w:rsid w:val="00267FAF"/>
    <w:rsid w:val="002702DC"/>
    <w:rsid w:val="002709F9"/>
    <w:rsid w:val="0027179E"/>
    <w:rsid w:val="00271B8C"/>
    <w:rsid w:val="0027288A"/>
    <w:rsid w:val="002731F9"/>
    <w:rsid w:val="00273A1F"/>
    <w:rsid w:val="00274248"/>
    <w:rsid w:val="0027596B"/>
    <w:rsid w:val="00276B93"/>
    <w:rsid w:val="002811F4"/>
    <w:rsid w:val="002818AE"/>
    <w:rsid w:val="00282220"/>
    <w:rsid w:val="002828FC"/>
    <w:rsid w:val="002838F2"/>
    <w:rsid w:val="002841A6"/>
    <w:rsid w:val="002843F4"/>
    <w:rsid w:val="00284CC0"/>
    <w:rsid w:val="00284CD7"/>
    <w:rsid w:val="00284D38"/>
    <w:rsid w:val="00284E20"/>
    <w:rsid w:val="0028773F"/>
    <w:rsid w:val="002879BC"/>
    <w:rsid w:val="002900AA"/>
    <w:rsid w:val="002913E4"/>
    <w:rsid w:val="00292961"/>
    <w:rsid w:val="00292D9C"/>
    <w:rsid w:val="00292DE3"/>
    <w:rsid w:val="00292F76"/>
    <w:rsid w:val="00293445"/>
    <w:rsid w:val="00294879"/>
    <w:rsid w:val="00294E58"/>
    <w:rsid w:val="002959CB"/>
    <w:rsid w:val="002977A8"/>
    <w:rsid w:val="00297A79"/>
    <w:rsid w:val="00297CDF"/>
    <w:rsid w:val="002A03F7"/>
    <w:rsid w:val="002A0790"/>
    <w:rsid w:val="002A0A09"/>
    <w:rsid w:val="002A140D"/>
    <w:rsid w:val="002A16DD"/>
    <w:rsid w:val="002A1C00"/>
    <w:rsid w:val="002A36C4"/>
    <w:rsid w:val="002A41C5"/>
    <w:rsid w:val="002A4DFE"/>
    <w:rsid w:val="002A54BE"/>
    <w:rsid w:val="002A5F32"/>
    <w:rsid w:val="002A60CF"/>
    <w:rsid w:val="002A619F"/>
    <w:rsid w:val="002A636C"/>
    <w:rsid w:val="002A661F"/>
    <w:rsid w:val="002A6964"/>
    <w:rsid w:val="002A7263"/>
    <w:rsid w:val="002A7CD8"/>
    <w:rsid w:val="002B0DA9"/>
    <w:rsid w:val="002B1C7C"/>
    <w:rsid w:val="002B2803"/>
    <w:rsid w:val="002B2A26"/>
    <w:rsid w:val="002B346B"/>
    <w:rsid w:val="002B4700"/>
    <w:rsid w:val="002B4A40"/>
    <w:rsid w:val="002B60E6"/>
    <w:rsid w:val="002B60FD"/>
    <w:rsid w:val="002B62BD"/>
    <w:rsid w:val="002B6CEB"/>
    <w:rsid w:val="002B75D1"/>
    <w:rsid w:val="002B7D57"/>
    <w:rsid w:val="002C0459"/>
    <w:rsid w:val="002C0507"/>
    <w:rsid w:val="002C096A"/>
    <w:rsid w:val="002C1415"/>
    <w:rsid w:val="002C16A7"/>
    <w:rsid w:val="002C37C3"/>
    <w:rsid w:val="002C462D"/>
    <w:rsid w:val="002C5F08"/>
    <w:rsid w:val="002C60F9"/>
    <w:rsid w:val="002C6F56"/>
    <w:rsid w:val="002C7AFF"/>
    <w:rsid w:val="002C7E7D"/>
    <w:rsid w:val="002D0D33"/>
    <w:rsid w:val="002D0FB4"/>
    <w:rsid w:val="002D2D14"/>
    <w:rsid w:val="002D2E4E"/>
    <w:rsid w:val="002D3A22"/>
    <w:rsid w:val="002D4A05"/>
    <w:rsid w:val="002D500A"/>
    <w:rsid w:val="002D7D03"/>
    <w:rsid w:val="002D7D07"/>
    <w:rsid w:val="002D7D2C"/>
    <w:rsid w:val="002D7EF5"/>
    <w:rsid w:val="002E1D85"/>
    <w:rsid w:val="002E2B58"/>
    <w:rsid w:val="002E45D2"/>
    <w:rsid w:val="002E4720"/>
    <w:rsid w:val="002E47B2"/>
    <w:rsid w:val="002E5B3D"/>
    <w:rsid w:val="002E5F10"/>
    <w:rsid w:val="002E632A"/>
    <w:rsid w:val="002F0583"/>
    <w:rsid w:val="002F0DF9"/>
    <w:rsid w:val="002F0F39"/>
    <w:rsid w:val="002F1DD8"/>
    <w:rsid w:val="002F21B8"/>
    <w:rsid w:val="002F2E3A"/>
    <w:rsid w:val="002F45EC"/>
    <w:rsid w:val="002F4C62"/>
    <w:rsid w:val="002F522A"/>
    <w:rsid w:val="002F546A"/>
    <w:rsid w:val="002F630D"/>
    <w:rsid w:val="002F6663"/>
    <w:rsid w:val="002F6B52"/>
    <w:rsid w:val="002F6BB8"/>
    <w:rsid w:val="002F6C67"/>
    <w:rsid w:val="002F7D8C"/>
    <w:rsid w:val="003004DB"/>
    <w:rsid w:val="003013CF"/>
    <w:rsid w:val="003025BD"/>
    <w:rsid w:val="00302665"/>
    <w:rsid w:val="00302C54"/>
    <w:rsid w:val="00302D06"/>
    <w:rsid w:val="00304880"/>
    <w:rsid w:val="003069D4"/>
    <w:rsid w:val="0030736C"/>
    <w:rsid w:val="00307773"/>
    <w:rsid w:val="00307BA7"/>
    <w:rsid w:val="00307C24"/>
    <w:rsid w:val="00310E3A"/>
    <w:rsid w:val="00311055"/>
    <w:rsid w:val="00311BF5"/>
    <w:rsid w:val="00311D9C"/>
    <w:rsid w:val="00311DE8"/>
    <w:rsid w:val="00312654"/>
    <w:rsid w:val="00312806"/>
    <w:rsid w:val="00315865"/>
    <w:rsid w:val="0031592F"/>
    <w:rsid w:val="00315BDB"/>
    <w:rsid w:val="003162E2"/>
    <w:rsid w:val="00316AD0"/>
    <w:rsid w:val="00317DC9"/>
    <w:rsid w:val="00317FF9"/>
    <w:rsid w:val="0032030C"/>
    <w:rsid w:val="0032151F"/>
    <w:rsid w:val="0032387A"/>
    <w:rsid w:val="00324407"/>
    <w:rsid w:val="00326AF6"/>
    <w:rsid w:val="00326BDA"/>
    <w:rsid w:val="00326E72"/>
    <w:rsid w:val="003306CC"/>
    <w:rsid w:val="00331B4D"/>
    <w:rsid w:val="00332210"/>
    <w:rsid w:val="003326EC"/>
    <w:rsid w:val="00332E08"/>
    <w:rsid w:val="00332E16"/>
    <w:rsid w:val="00333156"/>
    <w:rsid w:val="00337234"/>
    <w:rsid w:val="00340024"/>
    <w:rsid w:val="003402D8"/>
    <w:rsid w:val="0034143C"/>
    <w:rsid w:val="003416F3"/>
    <w:rsid w:val="003424CD"/>
    <w:rsid w:val="00342C1A"/>
    <w:rsid w:val="00343FB9"/>
    <w:rsid w:val="00345367"/>
    <w:rsid w:val="00347276"/>
    <w:rsid w:val="00350CAD"/>
    <w:rsid w:val="00351D97"/>
    <w:rsid w:val="00352E8E"/>
    <w:rsid w:val="00352F84"/>
    <w:rsid w:val="00353218"/>
    <w:rsid w:val="0035377D"/>
    <w:rsid w:val="00353CAE"/>
    <w:rsid w:val="00355F44"/>
    <w:rsid w:val="00356690"/>
    <w:rsid w:val="003570C6"/>
    <w:rsid w:val="003604AD"/>
    <w:rsid w:val="00361A5E"/>
    <w:rsid w:val="00361D2E"/>
    <w:rsid w:val="00361DB6"/>
    <w:rsid w:val="0036269E"/>
    <w:rsid w:val="00362788"/>
    <w:rsid w:val="003637A1"/>
    <w:rsid w:val="003651D2"/>
    <w:rsid w:val="00365E41"/>
    <w:rsid w:val="00366529"/>
    <w:rsid w:val="00366B44"/>
    <w:rsid w:val="00370884"/>
    <w:rsid w:val="003712C4"/>
    <w:rsid w:val="00372242"/>
    <w:rsid w:val="0037299C"/>
    <w:rsid w:val="00372E80"/>
    <w:rsid w:val="003734EF"/>
    <w:rsid w:val="0037355B"/>
    <w:rsid w:val="003746D8"/>
    <w:rsid w:val="00374B9B"/>
    <w:rsid w:val="003753BB"/>
    <w:rsid w:val="00376F0E"/>
    <w:rsid w:val="003771D7"/>
    <w:rsid w:val="00381B0C"/>
    <w:rsid w:val="003820E8"/>
    <w:rsid w:val="003839EA"/>
    <w:rsid w:val="0038434F"/>
    <w:rsid w:val="00384DED"/>
    <w:rsid w:val="00385BE7"/>
    <w:rsid w:val="00386701"/>
    <w:rsid w:val="0038735B"/>
    <w:rsid w:val="00387EE6"/>
    <w:rsid w:val="003924DE"/>
    <w:rsid w:val="0039387E"/>
    <w:rsid w:val="00393AAA"/>
    <w:rsid w:val="00394928"/>
    <w:rsid w:val="00395A4C"/>
    <w:rsid w:val="00395DB5"/>
    <w:rsid w:val="00396F31"/>
    <w:rsid w:val="0039791F"/>
    <w:rsid w:val="003979BF"/>
    <w:rsid w:val="003A03FE"/>
    <w:rsid w:val="003A08E2"/>
    <w:rsid w:val="003A1723"/>
    <w:rsid w:val="003A1846"/>
    <w:rsid w:val="003A23CE"/>
    <w:rsid w:val="003A2D95"/>
    <w:rsid w:val="003A3D16"/>
    <w:rsid w:val="003A5B6E"/>
    <w:rsid w:val="003A68E7"/>
    <w:rsid w:val="003B015C"/>
    <w:rsid w:val="003B178C"/>
    <w:rsid w:val="003B22B2"/>
    <w:rsid w:val="003B2633"/>
    <w:rsid w:val="003B2A57"/>
    <w:rsid w:val="003B3701"/>
    <w:rsid w:val="003B39C4"/>
    <w:rsid w:val="003B5244"/>
    <w:rsid w:val="003B6253"/>
    <w:rsid w:val="003B6922"/>
    <w:rsid w:val="003B711D"/>
    <w:rsid w:val="003C0EEE"/>
    <w:rsid w:val="003C0FE1"/>
    <w:rsid w:val="003C230E"/>
    <w:rsid w:val="003C2ACB"/>
    <w:rsid w:val="003C2C0C"/>
    <w:rsid w:val="003C3561"/>
    <w:rsid w:val="003C3A17"/>
    <w:rsid w:val="003C3AF3"/>
    <w:rsid w:val="003C6E0B"/>
    <w:rsid w:val="003C7E23"/>
    <w:rsid w:val="003D0533"/>
    <w:rsid w:val="003D0711"/>
    <w:rsid w:val="003D298C"/>
    <w:rsid w:val="003D3015"/>
    <w:rsid w:val="003D3FC5"/>
    <w:rsid w:val="003D476B"/>
    <w:rsid w:val="003D57B2"/>
    <w:rsid w:val="003E1878"/>
    <w:rsid w:val="003E1A22"/>
    <w:rsid w:val="003E1E9C"/>
    <w:rsid w:val="003E3FA4"/>
    <w:rsid w:val="003E58A2"/>
    <w:rsid w:val="003E590B"/>
    <w:rsid w:val="003E5F31"/>
    <w:rsid w:val="003E6AD9"/>
    <w:rsid w:val="003E793B"/>
    <w:rsid w:val="003E7D46"/>
    <w:rsid w:val="003F06B0"/>
    <w:rsid w:val="003F11B2"/>
    <w:rsid w:val="003F17C3"/>
    <w:rsid w:val="003F1BD3"/>
    <w:rsid w:val="003F4631"/>
    <w:rsid w:val="003F4D1D"/>
    <w:rsid w:val="003F4EAB"/>
    <w:rsid w:val="003F6549"/>
    <w:rsid w:val="003F6713"/>
    <w:rsid w:val="003F7F67"/>
    <w:rsid w:val="004001AB"/>
    <w:rsid w:val="004025C7"/>
    <w:rsid w:val="004040A4"/>
    <w:rsid w:val="0040426D"/>
    <w:rsid w:val="004067A2"/>
    <w:rsid w:val="00406852"/>
    <w:rsid w:val="00406D0E"/>
    <w:rsid w:val="00407129"/>
    <w:rsid w:val="00407DA3"/>
    <w:rsid w:val="00407E26"/>
    <w:rsid w:val="004106E2"/>
    <w:rsid w:val="004108C2"/>
    <w:rsid w:val="00411137"/>
    <w:rsid w:val="0041172D"/>
    <w:rsid w:val="00411F2E"/>
    <w:rsid w:val="00412001"/>
    <w:rsid w:val="00412A2B"/>
    <w:rsid w:val="00412BE4"/>
    <w:rsid w:val="004134CE"/>
    <w:rsid w:val="004139D4"/>
    <w:rsid w:val="004145A8"/>
    <w:rsid w:val="00414855"/>
    <w:rsid w:val="00414892"/>
    <w:rsid w:val="00414D56"/>
    <w:rsid w:val="0041518E"/>
    <w:rsid w:val="00415351"/>
    <w:rsid w:val="0041575C"/>
    <w:rsid w:val="00417017"/>
    <w:rsid w:val="0041737C"/>
    <w:rsid w:val="004174B0"/>
    <w:rsid w:val="00417F57"/>
    <w:rsid w:val="00420EEB"/>
    <w:rsid w:val="00421ABD"/>
    <w:rsid w:val="00421D4B"/>
    <w:rsid w:val="004223B7"/>
    <w:rsid w:val="0042280E"/>
    <w:rsid w:val="00422C3B"/>
    <w:rsid w:val="00422DDA"/>
    <w:rsid w:val="004231B1"/>
    <w:rsid w:val="00423910"/>
    <w:rsid w:val="00424C32"/>
    <w:rsid w:val="00424C85"/>
    <w:rsid w:val="00426AC7"/>
    <w:rsid w:val="00430FEB"/>
    <w:rsid w:val="004316D1"/>
    <w:rsid w:val="004323B0"/>
    <w:rsid w:val="00435A7E"/>
    <w:rsid w:val="00436135"/>
    <w:rsid w:val="004374C3"/>
    <w:rsid w:val="004379C0"/>
    <w:rsid w:val="0044004D"/>
    <w:rsid w:val="004403FE"/>
    <w:rsid w:val="00440695"/>
    <w:rsid w:val="00441879"/>
    <w:rsid w:val="00441891"/>
    <w:rsid w:val="00442760"/>
    <w:rsid w:val="00443032"/>
    <w:rsid w:val="00443787"/>
    <w:rsid w:val="00443D72"/>
    <w:rsid w:val="00444A1E"/>
    <w:rsid w:val="00444A5C"/>
    <w:rsid w:val="00445560"/>
    <w:rsid w:val="004455F5"/>
    <w:rsid w:val="00446EF1"/>
    <w:rsid w:val="004475A2"/>
    <w:rsid w:val="00447830"/>
    <w:rsid w:val="00447A74"/>
    <w:rsid w:val="00450A89"/>
    <w:rsid w:val="00451612"/>
    <w:rsid w:val="00451B14"/>
    <w:rsid w:val="00452070"/>
    <w:rsid w:val="0045213A"/>
    <w:rsid w:val="004529C2"/>
    <w:rsid w:val="00453C30"/>
    <w:rsid w:val="00454451"/>
    <w:rsid w:val="00454DFE"/>
    <w:rsid w:val="00454FD4"/>
    <w:rsid w:val="0045524D"/>
    <w:rsid w:val="0045605B"/>
    <w:rsid w:val="0045659B"/>
    <w:rsid w:val="0046030F"/>
    <w:rsid w:val="004607CE"/>
    <w:rsid w:val="00460B16"/>
    <w:rsid w:val="0046204B"/>
    <w:rsid w:val="00462F88"/>
    <w:rsid w:val="0046445E"/>
    <w:rsid w:val="00464733"/>
    <w:rsid w:val="00464E3F"/>
    <w:rsid w:val="0046510D"/>
    <w:rsid w:val="004652E0"/>
    <w:rsid w:val="0046557C"/>
    <w:rsid w:val="00465C6F"/>
    <w:rsid w:val="00466414"/>
    <w:rsid w:val="00466DF7"/>
    <w:rsid w:val="00470CE1"/>
    <w:rsid w:val="00473B98"/>
    <w:rsid w:val="00474240"/>
    <w:rsid w:val="004746A0"/>
    <w:rsid w:val="00475110"/>
    <w:rsid w:val="00475B1B"/>
    <w:rsid w:val="00476D22"/>
    <w:rsid w:val="0047711D"/>
    <w:rsid w:val="004777CC"/>
    <w:rsid w:val="00481EEC"/>
    <w:rsid w:val="00482444"/>
    <w:rsid w:val="004825B9"/>
    <w:rsid w:val="004827C1"/>
    <w:rsid w:val="004829B5"/>
    <w:rsid w:val="00482E01"/>
    <w:rsid w:val="00482E35"/>
    <w:rsid w:val="00482FF0"/>
    <w:rsid w:val="004834D8"/>
    <w:rsid w:val="00483B26"/>
    <w:rsid w:val="00484A07"/>
    <w:rsid w:val="00485040"/>
    <w:rsid w:val="00486D27"/>
    <w:rsid w:val="00486F7A"/>
    <w:rsid w:val="00487E43"/>
    <w:rsid w:val="00490B67"/>
    <w:rsid w:val="00490CA7"/>
    <w:rsid w:val="00491504"/>
    <w:rsid w:val="00491B5D"/>
    <w:rsid w:val="00492259"/>
    <w:rsid w:val="00492891"/>
    <w:rsid w:val="00493C80"/>
    <w:rsid w:val="00493F7B"/>
    <w:rsid w:val="00494258"/>
    <w:rsid w:val="00495396"/>
    <w:rsid w:val="00495723"/>
    <w:rsid w:val="00497BD3"/>
    <w:rsid w:val="00497E8F"/>
    <w:rsid w:val="004A007E"/>
    <w:rsid w:val="004A08B0"/>
    <w:rsid w:val="004A1A22"/>
    <w:rsid w:val="004A22FF"/>
    <w:rsid w:val="004A26D5"/>
    <w:rsid w:val="004A296B"/>
    <w:rsid w:val="004A2E17"/>
    <w:rsid w:val="004A34D8"/>
    <w:rsid w:val="004A4178"/>
    <w:rsid w:val="004A46E3"/>
    <w:rsid w:val="004A5993"/>
    <w:rsid w:val="004A59EF"/>
    <w:rsid w:val="004A6083"/>
    <w:rsid w:val="004A671E"/>
    <w:rsid w:val="004A6DFD"/>
    <w:rsid w:val="004A7106"/>
    <w:rsid w:val="004A7133"/>
    <w:rsid w:val="004A7FE7"/>
    <w:rsid w:val="004B09BF"/>
    <w:rsid w:val="004B1649"/>
    <w:rsid w:val="004B2F87"/>
    <w:rsid w:val="004B31AB"/>
    <w:rsid w:val="004B36D3"/>
    <w:rsid w:val="004B554A"/>
    <w:rsid w:val="004B5F3E"/>
    <w:rsid w:val="004B66B0"/>
    <w:rsid w:val="004B67D8"/>
    <w:rsid w:val="004B780B"/>
    <w:rsid w:val="004C0C14"/>
    <w:rsid w:val="004C24C2"/>
    <w:rsid w:val="004C2E8D"/>
    <w:rsid w:val="004C3832"/>
    <w:rsid w:val="004C3FD5"/>
    <w:rsid w:val="004C4623"/>
    <w:rsid w:val="004C4EC6"/>
    <w:rsid w:val="004C5ABE"/>
    <w:rsid w:val="004C5B28"/>
    <w:rsid w:val="004C68C7"/>
    <w:rsid w:val="004C7181"/>
    <w:rsid w:val="004C75E5"/>
    <w:rsid w:val="004C79AF"/>
    <w:rsid w:val="004C7F80"/>
    <w:rsid w:val="004D0902"/>
    <w:rsid w:val="004D0B69"/>
    <w:rsid w:val="004D13D1"/>
    <w:rsid w:val="004D2AB9"/>
    <w:rsid w:val="004D3728"/>
    <w:rsid w:val="004D79C2"/>
    <w:rsid w:val="004E029D"/>
    <w:rsid w:val="004E0F2D"/>
    <w:rsid w:val="004E14EB"/>
    <w:rsid w:val="004E291B"/>
    <w:rsid w:val="004E294A"/>
    <w:rsid w:val="004E2E23"/>
    <w:rsid w:val="004E31F3"/>
    <w:rsid w:val="004E3D5A"/>
    <w:rsid w:val="004E4047"/>
    <w:rsid w:val="004E42A3"/>
    <w:rsid w:val="004F2CBF"/>
    <w:rsid w:val="004F31FD"/>
    <w:rsid w:val="004F3800"/>
    <w:rsid w:val="004F4264"/>
    <w:rsid w:val="004F5ECF"/>
    <w:rsid w:val="004F62E6"/>
    <w:rsid w:val="004F7815"/>
    <w:rsid w:val="004F7C22"/>
    <w:rsid w:val="004F7CAF"/>
    <w:rsid w:val="0050059E"/>
    <w:rsid w:val="00502EA9"/>
    <w:rsid w:val="00504F4A"/>
    <w:rsid w:val="0050550E"/>
    <w:rsid w:val="005065D0"/>
    <w:rsid w:val="005065D9"/>
    <w:rsid w:val="005073E5"/>
    <w:rsid w:val="00510346"/>
    <w:rsid w:val="00510525"/>
    <w:rsid w:val="005135F9"/>
    <w:rsid w:val="00513650"/>
    <w:rsid w:val="0051390D"/>
    <w:rsid w:val="0051447A"/>
    <w:rsid w:val="0051463D"/>
    <w:rsid w:val="00514780"/>
    <w:rsid w:val="0051529C"/>
    <w:rsid w:val="00515625"/>
    <w:rsid w:val="00515BED"/>
    <w:rsid w:val="00516E24"/>
    <w:rsid w:val="005224E1"/>
    <w:rsid w:val="00522F4E"/>
    <w:rsid w:val="005232EF"/>
    <w:rsid w:val="0052368A"/>
    <w:rsid w:val="00524D3A"/>
    <w:rsid w:val="00524EE2"/>
    <w:rsid w:val="00526673"/>
    <w:rsid w:val="00527543"/>
    <w:rsid w:val="00527902"/>
    <w:rsid w:val="00527DE1"/>
    <w:rsid w:val="005317AA"/>
    <w:rsid w:val="00533AD7"/>
    <w:rsid w:val="00533B16"/>
    <w:rsid w:val="00534FA7"/>
    <w:rsid w:val="00535424"/>
    <w:rsid w:val="005357D9"/>
    <w:rsid w:val="00535D12"/>
    <w:rsid w:val="00536137"/>
    <w:rsid w:val="00536A50"/>
    <w:rsid w:val="00536C80"/>
    <w:rsid w:val="00537678"/>
    <w:rsid w:val="00537CD0"/>
    <w:rsid w:val="00537D8B"/>
    <w:rsid w:val="00540C9A"/>
    <w:rsid w:val="0054135E"/>
    <w:rsid w:val="00541628"/>
    <w:rsid w:val="005428FF"/>
    <w:rsid w:val="00542DBB"/>
    <w:rsid w:val="0054325A"/>
    <w:rsid w:val="00545AB5"/>
    <w:rsid w:val="00546BB0"/>
    <w:rsid w:val="00546C27"/>
    <w:rsid w:val="00546DDF"/>
    <w:rsid w:val="00546FE1"/>
    <w:rsid w:val="00547115"/>
    <w:rsid w:val="00547FCB"/>
    <w:rsid w:val="00550017"/>
    <w:rsid w:val="005502D5"/>
    <w:rsid w:val="005506F4"/>
    <w:rsid w:val="00550884"/>
    <w:rsid w:val="00550968"/>
    <w:rsid w:val="00550DB2"/>
    <w:rsid w:val="00552117"/>
    <w:rsid w:val="00553610"/>
    <w:rsid w:val="00553757"/>
    <w:rsid w:val="00553851"/>
    <w:rsid w:val="005554F6"/>
    <w:rsid w:val="00556001"/>
    <w:rsid w:val="00556FCC"/>
    <w:rsid w:val="00561245"/>
    <w:rsid w:val="0056133D"/>
    <w:rsid w:val="00562575"/>
    <w:rsid w:val="0056283E"/>
    <w:rsid w:val="005633B7"/>
    <w:rsid w:val="00563C86"/>
    <w:rsid w:val="00563FF2"/>
    <w:rsid w:val="00564368"/>
    <w:rsid w:val="005646E5"/>
    <w:rsid w:val="00564763"/>
    <w:rsid w:val="00564833"/>
    <w:rsid w:val="00564D60"/>
    <w:rsid w:val="00564DE0"/>
    <w:rsid w:val="00565691"/>
    <w:rsid w:val="005675E3"/>
    <w:rsid w:val="00567793"/>
    <w:rsid w:val="0056784A"/>
    <w:rsid w:val="005700E0"/>
    <w:rsid w:val="00570F5B"/>
    <w:rsid w:val="005710B3"/>
    <w:rsid w:val="00571BA0"/>
    <w:rsid w:val="00571C5A"/>
    <w:rsid w:val="00572F6A"/>
    <w:rsid w:val="005735CA"/>
    <w:rsid w:val="00575957"/>
    <w:rsid w:val="00576B42"/>
    <w:rsid w:val="00576DC3"/>
    <w:rsid w:val="005771F8"/>
    <w:rsid w:val="00577330"/>
    <w:rsid w:val="005779C5"/>
    <w:rsid w:val="005801E8"/>
    <w:rsid w:val="005803C4"/>
    <w:rsid w:val="00580C8F"/>
    <w:rsid w:val="00580D7C"/>
    <w:rsid w:val="00581C81"/>
    <w:rsid w:val="00582253"/>
    <w:rsid w:val="00582685"/>
    <w:rsid w:val="00582719"/>
    <w:rsid w:val="00582C01"/>
    <w:rsid w:val="00582EF6"/>
    <w:rsid w:val="00583286"/>
    <w:rsid w:val="005845C4"/>
    <w:rsid w:val="0058489C"/>
    <w:rsid w:val="005848ED"/>
    <w:rsid w:val="00585F36"/>
    <w:rsid w:val="00586C78"/>
    <w:rsid w:val="00587A8B"/>
    <w:rsid w:val="00587BB0"/>
    <w:rsid w:val="00590A37"/>
    <w:rsid w:val="0059119F"/>
    <w:rsid w:val="0059131B"/>
    <w:rsid w:val="00591790"/>
    <w:rsid w:val="00591ADE"/>
    <w:rsid w:val="00591DB5"/>
    <w:rsid w:val="005923B2"/>
    <w:rsid w:val="00592C8B"/>
    <w:rsid w:val="00593808"/>
    <w:rsid w:val="005942D5"/>
    <w:rsid w:val="00594961"/>
    <w:rsid w:val="005952BE"/>
    <w:rsid w:val="005956FF"/>
    <w:rsid w:val="0059728C"/>
    <w:rsid w:val="00597DC5"/>
    <w:rsid w:val="005A03A7"/>
    <w:rsid w:val="005A04B3"/>
    <w:rsid w:val="005A086C"/>
    <w:rsid w:val="005A130E"/>
    <w:rsid w:val="005A2766"/>
    <w:rsid w:val="005A4373"/>
    <w:rsid w:val="005A5FA3"/>
    <w:rsid w:val="005B0C09"/>
    <w:rsid w:val="005B107D"/>
    <w:rsid w:val="005B1FB9"/>
    <w:rsid w:val="005B2577"/>
    <w:rsid w:val="005B27BD"/>
    <w:rsid w:val="005B323C"/>
    <w:rsid w:val="005B3A6B"/>
    <w:rsid w:val="005B413C"/>
    <w:rsid w:val="005B4BA6"/>
    <w:rsid w:val="005B55F0"/>
    <w:rsid w:val="005B5952"/>
    <w:rsid w:val="005B5E10"/>
    <w:rsid w:val="005B6E72"/>
    <w:rsid w:val="005B71DD"/>
    <w:rsid w:val="005B7E0C"/>
    <w:rsid w:val="005C0C59"/>
    <w:rsid w:val="005C119B"/>
    <w:rsid w:val="005C1EA5"/>
    <w:rsid w:val="005C3966"/>
    <w:rsid w:val="005C58E7"/>
    <w:rsid w:val="005C593C"/>
    <w:rsid w:val="005C6346"/>
    <w:rsid w:val="005C747D"/>
    <w:rsid w:val="005C74E2"/>
    <w:rsid w:val="005C7644"/>
    <w:rsid w:val="005C7CC3"/>
    <w:rsid w:val="005D0512"/>
    <w:rsid w:val="005D45DF"/>
    <w:rsid w:val="005D46BF"/>
    <w:rsid w:val="005D4E0E"/>
    <w:rsid w:val="005D606A"/>
    <w:rsid w:val="005D65B6"/>
    <w:rsid w:val="005D6759"/>
    <w:rsid w:val="005D6763"/>
    <w:rsid w:val="005D6A5F"/>
    <w:rsid w:val="005D7FF3"/>
    <w:rsid w:val="005E030E"/>
    <w:rsid w:val="005E03DC"/>
    <w:rsid w:val="005E1062"/>
    <w:rsid w:val="005E1B03"/>
    <w:rsid w:val="005E1F9A"/>
    <w:rsid w:val="005E2890"/>
    <w:rsid w:val="005E30A8"/>
    <w:rsid w:val="005E5DC4"/>
    <w:rsid w:val="005E5F59"/>
    <w:rsid w:val="005E68BF"/>
    <w:rsid w:val="005F3DC8"/>
    <w:rsid w:val="005F4AA2"/>
    <w:rsid w:val="005F4F3C"/>
    <w:rsid w:val="005F5205"/>
    <w:rsid w:val="005F52A6"/>
    <w:rsid w:val="005F6327"/>
    <w:rsid w:val="005F6D60"/>
    <w:rsid w:val="005F7200"/>
    <w:rsid w:val="00600199"/>
    <w:rsid w:val="0060047C"/>
    <w:rsid w:val="0060252E"/>
    <w:rsid w:val="00602E7F"/>
    <w:rsid w:val="006032CA"/>
    <w:rsid w:val="00603C34"/>
    <w:rsid w:val="00603E98"/>
    <w:rsid w:val="0060506B"/>
    <w:rsid w:val="00605388"/>
    <w:rsid w:val="00605A34"/>
    <w:rsid w:val="00606031"/>
    <w:rsid w:val="00606462"/>
    <w:rsid w:val="006065B9"/>
    <w:rsid w:val="00606869"/>
    <w:rsid w:val="00607212"/>
    <w:rsid w:val="00607D86"/>
    <w:rsid w:val="006104C2"/>
    <w:rsid w:val="00610E17"/>
    <w:rsid w:val="00611DC1"/>
    <w:rsid w:val="00611E5E"/>
    <w:rsid w:val="0061200A"/>
    <w:rsid w:val="006138C4"/>
    <w:rsid w:val="00613FDF"/>
    <w:rsid w:val="00614305"/>
    <w:rsid w:val="0061432B"/>
    <w:rsid w:val="00614526"/>
    <w:rsid w:val="0061543D"/>
    <w:rsid w:val="00615FEB"/>
    <w:rsid w:val="006162E7"/>
    <w:rsid w:val="006203E8"/>
    <w:rsid w:val="006218AE"/>
    <w:rsid w:val="00621B11"/>
    <w:rsid w:val="0062237F"/>
    <w:rsid w:val="0062277F"/>
    <w:rsid w:val="006229AF"/>
    <w:rsid w:val="00623482"/>
    <w:rsid w:val="00624165"/>
    <w:rsid w:val="006247B1"/>
    <w:rsid w:val="00624B61"/>
    <w:rsid w:val="00626256"/>
    <w:rsid w:val="00626ACF"/>
    <w:rsid w:val="006313EC"/>
    <w:rsid w:val="006316EB"/>
    <w:rsid w:val="00633853"/>
    <w:rsid w:val="006342E1"/>
    <w:rsid w:val="00636083"/>
    <w:rsid w:val="006361A6"/>
    <w:rsid w:val="00637B6A"/>
    <w:rsid w:val="00637C94"/>
    <w:rsid w:val="006409A3"/>
    <w:rsid w:val="006414EA"/>
    <w:rsid w:val="006435EE"/>
    <w:rsid w:val="006467DC"/>
    <w:rsid w:val="00646B87"/>
    <w:rsid w:val="00646BDF"/>
    <w:rsid w:val="00646C77"/>
    <w:rsid w:val="00650788"/>
    <w:rsid w:val="00651777"/>
    <w:rsid w:val="00651C7B"/>
    <w:rsid w:val="0065223E"/>
    <w:rsid w:val="00652324"/>
    <w:rsid w:val="00653979"/>
    <w:rsid w:val="00653E99"/>
    <w:rsid w:val="006541D4"/>
    <w:rsid w:val="006546F1"/>
    <w:rsid w:val="00654D04"/>
    <w:rsid w:val="006564B8"/>
    <w:rsid w:val="00656594"/>
    <w:rsid w:val="00657974"/>
    <w:rsid w:val="00660F95"/>
    <w:rsid w:val="006618CD"/>
    <w:rsid w:val="00661C1B"/>
    <w:rsid w:val="00662012"/>
    <w:rsid w:val="00662234"/>
    <w:rsid w:val="00662325"/>
    <w:rsid w:val="0066305B"/>
    <w:rsid w:val="00664C7A"/>
    <w:rsid w:val="00665871"/>
    <w:rsid w:val="00665A76"/>
    <w:rsid w:val="0066612D"/>
    <w:rsid w:val="0066655F"/>
    <w:rsid w:val="00666BBE"/>
    <w:rsid w:val="00666E93"/>
    <w:rsid w:val="0066754E"/>
    <w:rsid w:val="00667704"/>
    <w:rsid w:val="00670FE0"/>
    <w:rsid w:val="00672051"/>
    <w:rsid w:val="00673D9A"/>
    <w:rsid w:val="00674253"/>
    <w:rsid w:val="00675367"/>
    <w:rsid w:val="006762DC"/>
    <w:rsid w:val="0067750E"/>
    <w:rsid w:val="00677D39"/>
    <w:rsid w:val="00680577"/>
    <w:rsid w:val="0068093C"/>
    <w:rsid w:val="00683588"/>
    <w:rsid w:val="006836AD"/>
    <w:rsid w:val="00684A2E"/>
    <w:rsid w:val="00685E81"/>
    <w:rsid w:val="00686994"/>
    <w:rsid w:val="00687448"/>
    <w:rsid w:val="0068793D"/>
    <w:rsid w:val="00687FA9"/>
    <w:rsid w:val="00690B1C"/>
    <w:rsid w:val="00690C88"/>
    <w:rsid w:val="0069106A"/>
    <w:rsid w:val="00691889"/>
    <w:rsid w:val="00691DB8"/>
    <w:rsid w:val="00692FAB"/>
    <w:rsid w:val="0069360E"/>
    <w:rsid w:val="0069378B"/>
    <w:rsid w:val="00694CEA"/>
    <w:rsid w:val="006959E1"/>
    <w:rsid w:val="00695C40"/>
    <w:rsid w:val="00697FA0"/>
    <w:rsid w:val="006A0174"/>
    <w:rsid w:val="006A0AA0"/>
    <w:rsid w:val="006A1582"/>
    <w:rsid w:val="006A1909"/>
    <w:rsid w:val="006A1CA5"/>
    <w:rsid w:val="006A1D6C"/>
    <w:rsid w:val="006A2125"/>
    <w:rsid w:val="006A257F"/>
    <w:rsid w:val="006A29AC"/>
    <w:rsid w:val="006A2C3D"/>
    <w:rsid w:val="006A41BD"/>
    <w:rsid w:val="006A4B04"/>
    <w:rsid w:val="006A5437"/>
    <w:rsid w:val="006A5E44"/>
    <w:rsid w:val="006A7B59"/>
    <w:rsid w:val="006B43A9"/>
    <w:rsid w:val="006B4B59"/>
    <w:rsid w:val="006B4DFB"/>
    <w:rsid w:val="006B5880"/>
    <w:rsid w:val="006B5F88"/>
    <w:rsid w:val="006B60C0"/>
    <w:rsid w:val="006B6714"/>
    <w:rsid w:val="006B75A0"/>
    <w:rsid w:val="006B7E55"/>
    <w:rsid w:val="006C11DB"/>
    <w:rsid w:val="006C150B"/>
    <w:rsid w:val="006C1852"/>
    <w:rsid w:val="006C3AFB"/>
    <w:rsid w:val="006C44A1"/>
    <w:rsid w:val="006C47B6"/>
    <w:rsid w:val="006C508E"/>
    <w:rsid w:val="006C52B3"/>
    <w:rsid w:val="006C5C23"/>
    <w:rsid w:val="006C666E"/>
    <w:rsid w:val="006C761E"/>
    <w:rsid w:val="006D04E6"/>
    <w:rsid w:val="006D073B"/>
    <w:rsid w:val="006D1834"/>
    <w:rsid w:val="006D1EB1"/>
    <w:rsid w:val="006D1F08"/>
    <w:rsid w:val="006D1F8B"/>
    <w:rsid w:val="006D3865"/>
    <w:rsid w:val="006D4967"/>
    <w:rsid w:val="006D4A00"/>
    <w:rsid w:val="006D5027"/>
    <w:rsid w:val="006D5309"/>
    <w:rsid w:val="006D6854"/>
    <w:rsid w:val="006D794C"/>
    <w:rsid w:val="006E00BA"/>
    <w:rsid w:val="006E04D7"/>
    <w:rsid w:val="006E081B"/>
    <w:rsid w:val="006E0A22"/>
    <w:rsid w:val="006E114D"/>
    <w:rsid w:val="006E1649"/>
    <w:rsid w:val="006E18DB"/>
    <w:rsid w:val="006E2517"/>
    <w:rsid w:val="006E299D"/>
    <w:rsid w:val="006E29E9"/>
    <w:rsid w:val="006E2ED0"/>
    <w:rsid w:val="006E3D0C"/>
    <w:rsid w:val="006E3EA0"/>
    <w:rsid w:val="006E44FA"/>
    <w:rsid w:val="006E529B"/>
    <w:rsid w:val="006E7247"/>
    <w:rsid w:val="006E7B54"/>
    <w:rsid w:val="006E7B6A"/>
    <w:rsid w:val="006F1457"/>
    <w:rsid w:val="006F183F"/>
    <w:rsid w:val="006F1981"/>
    <w:rsid w:val="006F1C81"/>
    <w:rsid w:val="006F1CFF"/>
    <w:rsid w:val="006F21FF"/>
    <w:rsid w:val="006F29CE"/>
    <w:rsid w:val="006F2F7D"/>
    <w:rsid w:val="006F3E36"/>
    <w:rsid w:val="006F4173"/>
    <w:rsid w:val="006F4300"/>
    <w:rsid w:val="006F4EFA"/>
    <w:rsid w:val="006F500B"/>
    <w:rsid w:val="006F5339"/>
    <w:rsid w:val="006F7068"/>
    <w:rsid w:val="006F77B0"/>
    <w:rsid w:val="006F7F36"/>
    <w:rsid w:val="00700883"/>
    <w:rsid w:val="00700EF8"/>
    <w:rsid w:val="00700F8A"/>
    <w:rsid w:val="007012A1"/>
    <w:rsid w:val="0070160A"/>
    <w:rsid w:val="00701BD8"/>
    <w:rsid w:val="007028FE"/>
    <w:rsid w:val="007036C0"/>
    <w:rsid w:val="00703E87"/>
    <w:rsid w:val="007054B5"/>
    <w:rsid w:val="007063F2"/>
    <w:rsid w:val="00707303"/>
    <w:rsid w:val="00710CF5"/>
    <w:rsid w:val="00710E37"/>
    <w:rsid w:val="007113AD"/>
    <w:rsid w:val="0071215F"/>
    <w:rsid w:val="00712AF1"/>
    <w:rsid w:val="00713015"/>
    <w:rsid w:val="00713908"/>
    <w:rsid w:val="00714314"/>
    <w:rsid w:val="00715443"/>
    <w:rsid w:val="00715AF1"/>
    <w:rsid w:val="007160EF"/>
    <w:rsid w:val="007166A3"/>
    <w:rsid w:val="007173A5"/>
    <w:rsid w:val="0071779C"/>
    <w:rsid w:val="00720FFC"/>
    <w:rsid w:val="00721D99"/>
    <w:rsid w:val="00723DAB"/>
    <w:rsid w:val="00724759"/>
    <w:rsid w:val="00724C0F"/>
    <w:rsid w:val="00724E34"/>
    <w:rsid w:val="007251C7"/>
    <w:rsid w:val="00725C15"/>
    <w:rsid w:val="00725F70"/>
    <w:rsid w:val="0072613F"/>
    <w:rsid w:val="00726EFB"/>
    <w:rsid w:val="00726F33"/>
    <w:rsid w:val="00731991"/>
    <w:rsid w:val="007323BB"/>
    <w:rsid w:val="00732CA2"/>
    <w:rsid w:val="007338F0"/>
    <w:rsid w:val="007341CF"/>
    <w:rsid w:val="00734C10"/>
    <w:rsid w:val="0073624A"/>
    <w:rsid w:val="00737716"/>
    <w:rsid w:val="00737C3A"/>
    <w:rsid w:val="007419EE"/>
    <w:rsid w:val="00741DC2"/>
    <w:rsid w:val="00742244"/>
    <w:rsid w:val="0074246C"/>
    <w:rsid w:val="00742BD0"/>
    <w:rsid w:val="0074477B"/>
    <w:rsid w:val="00746E43"/>
    <w:rsid w:val="007523F4"/>
    <w:rsid w:val="00753165"/>
    <w:rsid w:val="00753A84"/>
    <w:rsid w:val="00753EF6"/>
    <w:rsid w:val="00754011"/>
    <w:rsid w:val="00754B10"/>
    <w:rsid w:val="00754B12"/>
    <w:rsid w:val="00754C74"/>
    <w:rsid w:val="00754EE3"/>
    <w:rsid w:val="0075602A"/>
    <w:rsid w:val="007571EC"/>
    <w:rsid w:val="0075779F"/>
    <w:rsid w:val="007578BB"/>
    <w:rsid w:val="00757DA9"/>
    <w:rsid w:val="00760166"/>
    <w:rsid w:val="007601BC"/>
    <w:rsid w:val="00761C43"/>
    <w:rsid w:val="00762B54"/>
    <w:rsid w:val="00762B5A"/>
    <w:rsid w:val="00763A7F"/>
    <w:rsid w:val="00763FD4"/>
    <w:rsid w:val="007648E7"/>
    <w:rsid w:val="00765C9F"/>
    <w:rsid w:val="0076615C"/>
    <w:rsid w:val="007667CA"/>
    <w:rsid w:val="00766985"/>
    <w:rsid w:val="0076784A"/>
    <w:rsid w:val="007707FF"/>
    <w:rsid w:val="00770DCF"/>
    <w:rsid w:val="007711E7"/>
    <w:rsid w:val="007718C0"/>
    <w:rsid w:val="007724CA"/>
    <w:rsid w:val="0077471B"/>
    <w:rsid w:val="0077497D"/>
    <w:rsid w:val="00775580"/>
    <w:rsid w:val="00775AF1"/>
    <w:rsid w:val="00776420"/>
    <w:rsid w:val="00776AC3"/>
    <w:rsid w:val="007777CB"/>
    <w:rsid w:val="00777ABF"/>
    <w:rsid w:val="00781A7C"/>
    <w:rsid w:val="00782055"/>
    <w:rsid w:val="0078267A"/>
    <w:rsid w:val="007826B1"/>
    <w:rsid w:val="00782CC3"/>
    <w:rsid w:val="00783468"/>
    <w:rsid w:val="007834CE"/>
    <w:rsid w:val="00784ADF"/>
    <w:rsid w:val="00784EAC"/>
    <w:rsid w:val="0078573A"/>
    <w:rsid w:val="0078675E"/>
    <w:rsid w:val="00790FDE"/>
    <w:rsid w:val="00791640"/>
    <w:rsid w:val="00791E72"/>
    <w:rsid w:val="007924CE"/>
    <w:rsid w:val="00792CB0"/>
    <w:rsid w:val="007933B2"/>
    <w:rsid w:val="00794101"/>
    <w:rsid w:val="00794249"/>
    <w:rsid w:val="00794FB0"/>
    <w:rsid w:val="00795991"/>
    <w:rsid w:val="007959EF"/>
    <w:rsid w:val="0079667D"/>
    <w:rsid w:val="0079672D"/>
    <w:rsid w:val="00796D8D"/>
    <w:rsid w:val="00797096"/>
    <w:rsid w:val="0079741B"/>
    <w:rsid w:val="00797441"/>
    <w:rsid w:val="00797A20"/>
    <w:rsid w:val="007A05A2"/>
    <w:rsid w:val="007A05FB"/>
    <w:rsid w:val="007A0741"/>
    <w:rsid w:val="007A0ECC"/>
    <w:rsid w:val="007A12D9"/>
    <w:rsid w:val="007A135C"/>
    <w:rsid w:val="007A1466"/>
    <w:rsid w:val="007A1723"/>
    <w:rsid w:val="007A2199"/>
    <w:rsid w:val="007A2926"/>
    <w:rsid w:val="007A300B"/>
    <w:rsid w:val="007A419E"/>
    <w:rsid w:val="007A52E6"/>
    <w:rsid w:val="007A5658"/>
    <w:rsid w:val="007A5F65"/>
    <w:rsid w:val="007A64F2"/>
    <w:rsid w:val="007A7265"/>
    <w:rsid w:val="007A744B"/>
    <w:rsid w:val="007A7480"/>
    <w:rsid w:val="007A7FDF"/>
    <w:rsid w:val="007B0526"/>
    <w:rsid w:val="007B179E"/>
    <w:rsid w:val="007B1951"/>
    <w:rsid w:val="007B2370"/>
    <w:rsid w:val="007B246F"/>
    <w:rsid w:val="007B3C5E"/>
    <w:rsid w:val="007B4660"/>
    <w:rsid w:val="007B47C9"/>
    <w:rsid w:val="007B4A33"/>
    <w:rsid w:val="007B76FB"/>
    <w:rsid w:val="007C19CD"/>
    <w:rsid w:val="007C2D54"/>
    <w:rsid w:val="007C359D"/>
    <w:rsid w:val="007C3E26"/>
    <w:rsid w:val="007C40FD"/>
    <w:rsid w:val="007C4F52"/>
    <w:rsid w:val="007C54F2"/>
    <w:rsid w:val="007C5A4E"/>
    <w:rsid w:val="007C61F6"/>
    <w:rsid w:val="007C63B0"/>
    <w:rsid w:val="007C676F"/>
    <w:rsid w:val="007C6B26"/>
    <w:rsid w:val="007C6F02"/>
    <w:rsid w:val="007C71B9"/>
    <w:rsid w:val="007C7333"/>
    <w:rsid w:val="007D0447"/>
    <w:rsid w:val="007D0CD4"/>
    <w:rsid w:val="007D1F06"/>
    <w:rsid w:val="007D3495"/>
    <w:rsid w:val="007D3E1A"/>
    <w:rsid w:val="007D493A"/>
    <w:rsid w:val="007D4ACE"/>
    <w:rsid w:val="007D5163"/>
    <w:rsid w:val="007D603E"/>
    <w:rsid w:val="007D74F0"/>
    <w:rsid w:val="007E0AC4"/>
    <w:rsid w:val="007E0BA0"/>
    <w:rsid w:val="007E171F"/>
    <w:rsid w:val="007E232F"/>
    <w:rsid w:val="007E2479"/>
    <w:rsid w:val="007E29AD"/>
    <w:rsid w:val="007E2BDC"/>
    <w:rsid w:val="007E2D07"/>
    <w:rsid w:val="007E418A"/>
    <w:rsid w:val="007E4E83"/>
    <w:rsid w:val="007E5707"/>
    <w:rsid w:val="007E5BB9"/>
    <w:rsid w:val="007E5CD8"/>
    <w:rsid w:val="007E76B5"/>
    <w:rsid w:val="007E774E"/>
    <w:rsid w:val="007E7E33"/>
    <w:rsid w:val="007E7E87"/>
    <w:rsid w:val="007F0344"/>
    <w:rsid w:val="007F0D6B"/>
    <w:rsid w:val="007F1C72"/>
    <w:rsid w:val="007F24A5"/>
    <w:rsid w:val="007F250B"/>
    <w:rsid w:val="007F2C32"/>
    <w:rsid w:val="007F3506"/>
    <w:rsid w:val="007F39D0"/>
    <w:rsid w:val="007F3DF0"/>
    <w:rsid w:val="007F568D"/>
    <w:rsid w:val="007F5B3B"/>
    <w:rsid w:val="007F74EB"/>
    <w:rsid w:val="007F7818"/>
    <w:rsid w:val="007F7AC9"/>
    <w:rsid w:val="007F7D37"/>
    <w:rsid w:val="007F7EB3"/>
    <w:rsid w:val="0080102A"/>
    <w:rsid w:val="008014DD"/>
    <w:rsid w:val="008018B7"/>
    <w:rsid w:val="00802527"/>
    <w:rsid w:val="00802EE3"/>
    <w:rsid w:val="00803F16"/>
    <w:rsid w:val="0080476A"/>
    <w:rsid w:val="00804F1D"/>
    <w:rsid w:val="00805236"/>
    <w:rsid w:val="00805AA4"/>
    <w:rsid w:val="008072E6"/>
    <w:rsid w:val="00807824"/>
    <w:rsid w:val="00807954"/>
    <w:rsid w:val="00807EF4"/>
    <w:rsid w:val="00810189"/>
    <w:rsid w:val="00810457"/>
    <w:rsid w:val="00810A46"/>
    <w:rsid w:val="00810D60"/>
    <w:rsid w:val="00811F28"/>
    <w:rsid w:val="008122F6"/>
    <w:rsid w:val="00812D34"/>
    <w:rsid w:val="00812F62"/>
    <w:rsid w:val="008136A7"/>
    <w:rsid w:val="00813895"/>
    <w:rsid w:val="00813C51"/>
    <w:rsid w:val="00813C5B"/>
    <w:rsid w:val="008149C9"/>
    <w:rsid w:val="00815EB5"/>
    <w:rsid w:val="00816343"/>
    <w:rsid w:val="00817326"/>
    <w:rsid w:val="008177F4"/>
    <w:rsid w:val="008205C5"/>
    <w:rsid w:val="00821FCB"/>
    <w:rsid w:val="008229E9"/>
    <w:rsid w:val="008248B9"/>
    <w:rsid w:val="008260AE"/>
    <w:rsid w:val="00827499"/>
    <w:rsid w:val="00827C69"/>
    <w:rsid w:val="0083069E"/>
    <w:rsid w:val="0083274E"/>
    <w:rsid w:val="008337FC"/>
    <w:rsid w:val="00835133"/>
    <w:rsid w:val="008359C2"/>
    <w:rsid w:val="0083619F"/>
    <w:rsid w:val="008365F9"/>
    <w:rsid w:val="00836649"/>
    <w:rsid w:val="008376A9"/>
    <w:rsid w:val="00837CD1"/>
    <w:rsid w:val="00837DC0"/>
    <w:rsid w:val="008404DE"/>
    <w:rsid w:val="00840B27"/>
    <w:rsid w:val="00840BC7"/>
    <w:rsid w:val="00843024"/>
    <w:rsid w:val="00843C83"/>
    <w:rsid w:val="00845071"/>
    <w:rsid w:val="008452E0"/>
    <w:rsid w:val="00845343"/>
    <w:rsid w:val="00845EC0"/>
    <w:rsid w:val="0084682A"/>
    <w:rsid w:val="00847FFE"/>
    <w:rsid w:val="00850806"/>
    <w:rsid w:val="008508FA"/>
    <w:rsid w:val="008511AA"/>
    <w:rsid w:val="00851310"/>
    <w:rsid w:val="008516CE"/>
    <w:rsid w:val="00851BA6"/>
    <w:rsid w:val="00851FB3"/>
    <w:rsid w:val="00853143"/>
    <w:rsid w:val="00853852"/>
    <w:rsid w:val="00854519"/>
    <w:rsid w:val="00854CB9"/>
    <w:rsid w:val="008558BD"/>
    <w:rsid w:val="00855BE4"/>
    <w:rsid w:val="00855DE9"/>
    <w:rsid w:val="00856D0A"/>
    <w:rsid w:val="008576F9"/>
    <w:rsid w:val="00857A7F"/>
    <w:rsid w:val="00857D55"/>
    <w:rsid w:val="008604A0"/>
    <w:rsid w:val="008607DB"/>
    <w:rsid w:val="00860C05"/>
    <w:rsid w:val="00860E2D"/>
    <w:rsid w:val="00860E5B"/>
    <w:rsid w:val="008616DD"/>
    <w:rsid w:val="00861D14"/>
    <w:rsid w:val="008639AF"/>
    <w:rsid w:val="00864147"/>
    <w:rsid w:val="00864A91"/>
    <w:rsid w:val="00864C90"/>
    <w:rsid w:val="0086502D"/>
    <w:rsid w:val="00865CDC"/>
    <w:rsid w:val="00866EFD"/>
    <w:rsid w:val="0086714D"/>
    <w:rsid w:val="008701D5"/>
    <w:rsid w:val="0087161B"/>
    <w:rsid w:val="00871998"/>
    <w:rsid w:val="00871999"/>
    <w:rsid w:val="00871F91"/>
    <w:rsid w:val="008720D4"/>
    <w:rsid w:val="00872600"/>
    <w:rsid w:val="00872F99"/>
    <w:rsid w:val="00873381"/>
    <w:rsid w:val="00873971"/>
    <w:rsid w:val="00873C6E"/>
    <w:rsid w:val="00874017"/>
    <w:rsid w:val="00874A17"/>
    <w:rsid w:val="0087538D"/>
    <w:rsid w:val="008754B6"/>
    <w:rsid w:val="00876761"/>
    <w:rsid w:val="0088098A"/>
    <w:rsid w:val="008809B7"/>
    <w:rsid w:val="00881726"/>
    <w:rsid w:val="00881AD1"/>
    <w:rsid w:val="0088213A"/>
    <w:rsid w:val="008821DC"/>
    <w:rsid w:val="008823C9"/>
    <w:rsid w:val="00884BA3"/>
    <w:rsid w:val="00884BE8"/>
    <w:rsid w:val="008864E9"/>
    <w:rsid w:val="008865C1"/>
    <w:rsid w:val="00886632"/>
    <w:rsid w:val="00886B29"/>
    <w:rsid w:val="00886C2D"/>
    <w:rsid w:val="0088736F"/>
    <w:rsid w:val="0088745D"/>
    <w:rsid w:val="00887A3E"/>
    <w:rsid w:val="00887DB6"/>
    <w:rsid w:val="00890164"/>
    <w:rsid w:val="0089076E"/>
    <w:rsid w:val="00890F3B"/>
    <w:rsid w:val="00890F4E"/>
    <w:rsid w:val="0089106E"/>
    <w:rsid w:val="008918EF"/>
    <w:rsid w:val="00892430"/>
    <w:rsid w:val="00893C33"/>
    <w:rsid w:val="00893EE0"/>
    <w:rsid w:val="00895944"/>
    <w:rsid w:val="00895CF5"/>
    <w:rsid w:val="00895E63"/>
    <w:rsid w:val="008971E2"/>
    <w:rsid w:val="0089729E"/>
    <w:rsid w:val="008974DD"/>
    <w:rsid w:val="008A05E0"/>
    <w:rsid w:val="008A2635"/>
    <w:rsid w:val="008A2904"/>
    <w:rsid w:val="008A2E99"/>
    <w:rsid w:val="008A3133"/>
    <w:rsid w:val="008A3439"/>
    <w:rsid w:val="008A3D6D"/>
    <w:rsid w:val="008A3EE5"/>
    <w:rsid w:val="008A6C06"/>
    <w:rsid w:val="008A7714"/>
    <w:rsid w:val="008A7E91"/>
    <w:rsid w:val="008B0BCF"/>
    <w:rsid w:val="008B0FE4"/>
    <w:rsid w:val="008B2169"/>
    <w:rsid w:val="008B241F"/>
    <w:rsid w:val="008B3415"/>
    <w:rsid w:val="008B365F"/>
    <w:rsid w:val="008B3FE5"/>
    <w:rsid w:val="008B4119"/>
    <w:rsid w:val="008B4957"/>
    <w:rsid w:val="008B5202"/>
    <w:rsid w:val="008B6E0B"/>
    <w:rsid w:val="008B6E94"/>
    <w:rsid w:val="008C0CDA"/>
    <w:rsid w:val="008C130B"/>
    <w:rsid w:val="008C1B3E"/>
    <w:rsid w:val="008C35C4"/>
    <w:rsid w:val="008C3AB6"/>
    <w:rsid w:val="008C40C4"/>
    <w:rsid w:val="008C47A9"/>
    <w:rsid w:val="008C610C"/>
    <w:rsid w:val="008C65FC"/>
    <w:rsid w:val="008C6D17"/>
    <w:rsid w:val="008C719D"/>
    <w:rsid w:val="008C727F"/>
    <w:rsid w:val="008C7680"/>
    <w:rsid w:val="008D0A04"/>
    <w:rsid w:val="008D0A1C"/>
    <w:rsid w:val="008D0D01"/>
    <w:rsid w:val="008D1BDC"/>
    <w:rsid w:val="008D2E82"/>
    <w:rsid w:val="008D3E54"/>
    <w:rsid w:val="008D4008"/>
    <w:rsid w:val="008D501A"/>
    <w:rsid w:val="008D566A"/>
    <w:rsid w:val="008D5AC7"/>
    <w:rsid w:val="008D5AC8"/>
    <w:rsid w:val="008D5B4F"/>
    <w:rsid w:val="008E1938"/>
    <w:rsid w:val="008E3ED7"/>
    <w:rsid w:val="008E513F"/>
    <w:rsid w:val="008E527F"/>
    <w:rsid w:val="008E70DE"/>
    <w:rsid w:val="008E7385"/>
    <w:rsid w:val="008F071E"/>
    <w:rsid w:val="008F0842"/>
    <w:rsid w:val="008F114F"/>
    <w:rsid w:val="008F16E7"/>
    <w:rsid w:val="008F1BAB"/>
    <w:rsid w:val="008F1CD5"/>
    <w:rsid w:val="008F1F91"/>
    <w:rsid w:val="008F20F9"/>
    <w:rsid w:val="008F2847"/>
    <w:rsid w:val="008F2B20"/>
    <w:rsid w:val="008F361D"/>
    <w:rsid w:val="008F4FE7"/>
    <w:rsid w:val="008F4FEA"/>
    <w:rsid w:val="008F521E"/>
    <w:rsid w:val="008F6172"/>
    <w:rsid w:val="008F700F"/>
    <w:rsid w:val="00902E10"/>
    <w:rsid w:val="00904311"/>
    <w:rsid w:val="00905080"/>
    <w:rsid w:val="0090598C"/>
    <w:rsid w:val="00905C22"/>
    <w:rsid w:val="00906FE9"/>
    <w:rsid w:val="00910A17"/>
    <w:rsid w:val="0091210C"/>
    <w:rsid w:val="00912EEF"/>
    <w:rsid w:val="00913559"/>
    <w:rsid w:val="00913FBE"/>
    <w:rsid w:val="009142B8"/>
    <w:rsid w:val="009148F6"/>
    <w:rsid w:val="00915820"/>
    <w:rsid w:val="009160BB"/>
    <w:rsid w:val="00916193"/>
    <w:rsid w:val="009177BD"/>
    <w:rsid w:val="00917E72"/>
    <w:rsid w:val="0092040E"/>
    <w:rsid w:val="009206B5"/>
    <w:rsid w:val="00921474"/>
    <w:rsid w:val="0092183F"/>
    <w:rsid w:val="009219B4"/>
    <w:rsid w:val="009224F4"/>
    <w:rsid w:val="0092405A"/>
    <w:rsid w:val="009247D3"/>
    <w:rsid w:val="00924EF0"/>
    <w:rsid w:val="009252FB"/>
    <w:rsid w:val="009262A9"/>
    <w:rsid w:val="0092644B"/>
    <w:rsid w:val="00926744"/>
    <w:rsid w:val="00926945"/>
    <w:rsid w:val="00927212"/>
    <w:rsid w:val="00927933"/>
    <w:rsid w:val="00927E1E"/>
    <w:rsid w:val="00930A27"/>
    <w:rsid w:val="00930DA7"/>
    <w:rsid w:val="0093149D"/>
    <w:rsid w:val="009316CD"/>
    <w:rsid w:val="00931D3B"/>
    <w:rsid w:val="00932154"/>
    <w:rsid w:val="00932C62"/>
    <w:rsid w:val="00933089"/>
    <w:rsid w:val="00933F31"/>
    <w:rsid w:val="00934B90"/>
    <w:rsid w:val="00935CEB"/>
    <w:rsid w:val="00936372"/>
    <w:rsid w:val="0093776D"/>
    <w:rsid w:val="00937CF0"/>
    <w:rsid w:val="00940768"/>
    <w:rsid w:val="00942463"/>
    <w:rsid w:val="00942B20"/>
    <w:rsid w:val="00942CBE"/>
    <w:rsid w:val="0094407B"/>
    <w:rsid w:val="0094618B"/>
    <w:rsid w:val="00946B4E"/>
    <w:rsid w:val="00947732"/>
    <w:rsid w:val="0094781F"/>
    <w:rsid w:val="0095027F"/>
    <w:rsid w:val="00950B37"/>
    <w:rsid w:val="00950E72"/>
    <w:rsid w:val="0095195D"/>
    <w:rsid w:val="00951DBA"/>
    <w:rsid w:val="00952632"/>
    <w:rsid w:val="00952913"/>
    <w:rsid w:val="00952C4D"/>
    <w:rsid w:val="00952D52"/>
    <w:rsid w:val="00953334"/>
    <w:rsid w:val="009533F3"/>
    <w:rsid w:val="009538D6"/>
    <w:rsid w:val="00953C42"/>
    <w:rsid w:val="00954511"/>
    <w:rsid w:val="00955715"/>
    <w:rsid w:val="00955F5A"/>
    <w:rsid w:val="00956DE1"/>
    <w:rsid w:val="00957360"/>
    <w:rsid w:val="009574D3"/>
    <w:rsid w:val="009603DA"/>
    <w:rsid w:val="0096161E"/>
    <w:rsid w:val="00962A7F"/>
    <w:rsid w:val="00963276"/>
    <w:rsid w:val="0096333F"/>
    <w:rsid w:val="00963E88"/>
    <w:rsid w:val="00964482"/>
    <w:rsid w:val="00964D27"/>
    <w:rsid w:val="0096508C"/>
    <w:rsid w:val="0096550F"/>
    <w:rsid w:val="009657B5"/>
    <w:rsid w:val="009659C0"/>
    <w:rsid w:val="009665D0"/>
    <w:rsid w:val="0096668C"/>
    <w:rsid w:val="00967F91"/>
    <w:rsid w:val="00971FD7"/>
    <w:rsid w:val="00972656"/>
    <w:rsid w:val="00972B9F"/>
    <w:rsid w:val="00972BDF"/>
    <w:rsid w:val="009734AE"/>
    <w:rsid w:val="00973E79"/>
    <w:rsid w:val="009743E1"/>
    <w:rsid w:val="00974608"/>
    <w:rsid w:val="009746DB"/>
    <w:rsid w:val="00974C32"/>
    <w:rsid w:val="00974E7F"/>
    <w:rsid w:val="00977B3B"/>
    <w:rsid w:val="00977ED5"/>
    <w:rsid w:val="00980B5B"/>
    <w:rsid w:val="0098173F"/>
    <w:rsid w:val="009819F7"/>
    <w:rsid w:val="009820E3"/>
    <w:rsid w:val="009827FA"/>
    <w:rsid w:val="00982FBD"/>
    <w:rsid w:val="00983369"/>
    <w:rsid w:val="00984141"/>
    <w:rsid w:val="00984DF0"/>
    <w:rsid w:val="00986401"/>
    <w:rsid w:val="00986606"/>
    <w:rsid w:val="00986EBD"/>
    <w:rsid w:val="00987112"/>
    <w:rsid w:val="009901D2"/>
    <w:rsid w:val="0099034A"/>
    <w:rsid w:val="00990755"/>
    <w:rsid w:val="0099083E"/>
    <w:rsid w:val="00991B80"/>
    <w:rsid w:val="00992EC1"/>
    <w:rsid w:val="00993146"/>
    <w:rsid w:val="009933E1"/>
    <w:rsid w:val="00994389"/>
    <w:rsid w:val="0099462A"/>
    <w:rsid w:val="00994A98"/>
    <w:rsid w:val="00995BAA"/>
    <w:rsid w:val="0099633E"/>
    <w:rsid w:val="00996C6B"/>
    <w:rsid w:val="00996E15"/>
    <w:rsid w:val="00996FC2"/>
    <w:rsid w:val="009A13FA"/>
    <w:rsid w:val="009A1F8D"/>
    <w:rsid w:val="009A3005"/>
    <w:rsid w:val="009A36EA"/>
    <w:rsid w:val="009A39C6"/>
    <w:rsid w:val="009A3D66"/>
    <w:rsid w:val="009A4169"/>
    <w:rsid w:val="009A4215"/>
    <w:rsid w:val="009A4456"/>
    <w:rsid w:val="009A509C"/>
    <w:rsid w:val="009A5593"/>
    <w:rsid w:val="009A5C71"/>
    <w:rsid w:val="009A5F4A"/>
    <w:rsid w:val="009B01F0"/>
    <w:rsid w:val="009B09EC"/>
    <w:rsid w:val="009B1464"/>
    <w:rsid w:val="009B173C"/>
    <w:rsid w:val="009B35B4"/>
    <w:rsid w:val="009B37E2"/>
    <w:rsid w:val="009B4050"/>
    <w:rsid w:val="009B4C4C"/>
    <w:rsid w:val="009B5D51"/>
    <w:rsid w:val="009B6741"/>
    <w:rsid w:val="009C17CD"/>
    <w:rsid w:val="009C1CB7"/>
    <w:rsid w:val="009C21D1"/>
    <w:rsid w:val="009C2F02"/>
    <w:rsid w:val="009C30E8"/>
    <w:rsid w:val="009C4ED6"/>
    <w:rsid w:val="009C6022"/>
    <w:rsid w:val="009C6C6F"/>
    <w:rsid w:val="009C76E0"/>
    <w:rsid w:val="009C7ED8"/>
    <w:rsid w:val="009D03E3"/>
    <w:rsid w:val="009D17E7"/>
    <w:rsid w:val="009D1E4D"/>
    <w:rsid w:val="009D20EF"/>
    <w:rsid w:val="009D2428"/>
    <w:rsid w:val="009D2452"/>
    <w:rsid w:val="009D2B5C"/>
    <w:rsid w:val="009D3A92"/>
    <w:rsid w:val="009D58D7"/>
    <w:rsid w:val="009D596F"/>
    <w:rsid w:val="009D5C17"/>
    <w:rsid w:val="009D5FF8"/>
    <w:rsid w:val="009D60B8"/>
    <w:rsid w:val="009D7D02"/>
    <w:rsid w:val="009E00F4"/>
    <w:rsid w:val="009E0B79"/>
    <w:rsid w:val="009E0D20"/>
    <w:rsid w:val="009E145B"/>
    <w:rsid w:val="009E174A"/>
    <w:rsid w:val="009E1A4C"/>
    <w:rsid w:val="009E34C6"/>
    <w:rsid w:val="009E4B9F"/>
    <w:rsid w:val="009E57A3"/>
    <w:rsid w:val="009E5835"/>
    <w:rsid w:val="009E72F4"/>
    <w:rsid w:val="009F07F6"/>
    <w:rsid w:val="009F1625"/>
    <w:rsid w:val="009F1A91"/>
    <w:rsid w:val="009F1EC9"/>
    <w:rsid w:val="009F2DE5"/>
    <w:rsid w:val="009F471C"/>
    <w:rsid w:val="009F5061"/>
    <w:rsid w:val="009F65DD"/>
    <w:rsid w:val="009F68DA"/>
    <w:rsid w:val="009F69BB"/>
    <w:rsid w:val="009F6E9B"/>
    <w:rsid w:val="009F72C0"/>
    <w:rsid w:val="009F73D6"/>
    <w:rsid w:val="009F7535"/>
    <w:rsid w:val="00A017DE"/>
    <w:rsid w:val="00A026F2"/>
    <w:rsid w:val="00A0433F"/>
    <w:rsid w:val="00A04EE0"/>
    <w:rsid w:val="00A050AB"/>
    <w:rsid w:val="00A0642D"/>
    <w:rsid w:val="00A06535"/>
    <w:rsid w:val="00A06873"/>
    <w:rsid w:val="00A06BAA"/>
    <w:rsid w:val="00A07015"/>
    <w:rsid w:val="00A107A9"/>
    <w:rsid w:val="00A108C4"/>
    <w:rsid w:val="00A10FE8"/>
    <w:rsid w:val="00A117F5"/>
    <w:rsid w:val="00A12D03"/>
    <w:rsid w:val="00A13A1F"/>
    <w:rsid w:val="00A13C8C"/>
    <w:rsid w:val="00A13F5D"/>
    <w:rsid w:val="00A14BFE"/>
    <w:rsid w:val="00A1754A"/>
    <w:rsid w:val="00A17C52"/>
    <w:rsid w:val="00A20C03"/>
    <w:rsid w:val="00A2142F"/>
    <w:rsid w:val="00A22E12"/>
    <w:rsid w:val="00A232DD"/>
    <w:rsid w:val="00A2396B"/>
    <w:rsid w:val="00A23E97"/>
    <w:rsid w:val="00A24024"/>
    <w:rsid w:val="00A24DB4"/>
    <w:rsid w:val="00A2518B"/>
    <w:rsid w:val="00A2680C"/>
    <w:rsid w:val="00A26B6F"/>
    <w:rsid w:val="00A272C5"/>
    <w:rsid w:val="00A27690"/>
    <w:rsid w:val="00A30261"/>
    <w:rsid w:val="00A309C8"/>
    <w:rsid w:val="00A30DEB"/>
    <w:rsid w:val="00A312E2"/>
    <w:rsid w:val="00A31487"/>
    <w:rsid w:val="00A31C26"/>
    <w:rsid w:val="00A326B9"/>
    <w:rsid w:val="00A32749"/>
    <w:rsid w:val="00A33B7C"/>
    <w:rsid w:val="00A342F4"/>
    <w:rsid w:val="00A34386"/>
    <w:rsid w:val="00A35740"/>
    <w:rsid w:val="00A35FF9"/>
    <w:rsid w:val="00A361C1"/>
    <w:rsid w:val="00A3624F"/>
    <w:rsid w:val="00A36D25"/>
    <w:rsid w:val="00A41A07"/>
    <w:rsid w:val="00A423CC"/>
    <w:rsid w:val="00A43A4A"/>
    <w:rsid w:val="00A44803"/>
    <w:rsid w:val="00A449FF"/>
    <w:rsid w:val="00A44E00"/>
    <w:rsid w:val="00A46BC1"/>
    <w:rsid w:val="00A47275"/>
    <w:rsid w:val="00A47CC1"/>
    <w:rsid w:val="00A47D63"/>
    <w:rsid w:val="00A502BB"/>
    <w:rsid w:val="00A519E4"/>
    <w:rsid w:val="00A51B98"/>
    <w:rsid w:val="00A51C4F"/>
    <w:rsid w:val="00A521DD"/>
    <w:rsid w:val="00A53182"/>
    <w:rsid w:val="00A53389"/>
    <w:rsid w:val="00A54C19"/>
    <w:rsid w:val="00A54C8F"/>
    <w:rsid w:val="00A55FAE"/>
    <w:rsid w:val="00A5615B"/>
    <w:rsid w:val="00A562CD"/>
    <w:rsid w:val="00A568D7"/>
    <w:rsid w:val="00A57433"/>
    <w:rsid w:val="00A57BA3"/>
    <w:rsid w:val="00A609FC"/>
    <w:rsid w:val="00A616D5"/>
    <w:rsid w:val="00A6172D"/>
    <w:rsid w:val="00A61B45"/>
    <w:rsid w:val="00A62726"/>
    <w:rsid w:val="00A64E35"/>
    <w:rsid w:val="00A65538"/>
    <w:rsid w:val="00A668B2"/>
    <w:rsid w:val="00A674E1"/>
    <w:rsid w:val="00A67774"/>
    <w:rsid w:val="00A67816"/>
    <w:rsid w:val="00A679FB"/>
    <w:rsid w:val="00A67BAA"/>
    <w:rsid w:val="00A67D79"/>
    <w:rsid w:val="00A70D14"/>
    <w:rsid w:val="00A71125"/>
    <w:rsid w:val="00A7259F"/>
    <w:rsid w:val="00A72817"/>
    <w:rsid w:val="00A73F17"/>
    <w:rsid w:val="00A7446C"/>
    <w:rsid w:val="00A75297"/>
    <w:rsid w:val="00A7556D"/>
    <w:rsid w:val="00A75E30"/>
    <w:rsid w:val="00A767B8"/>
    <w:rsid w:val="00A76855"/>
    <w:rsid w:val="00A769FD"/>
    <w:rsid w:val="00A8114E"/>
    <w:rsid w:val="00A82030"/>
    <w:rsid w:val="00A8234A"/>
    <w:rsid w:val="00A8317E"/>
    <w:rsid w:val="00A83BD6"/>
    <w:rsid w:val="00A84A2F"/>
    <w:rsid w:val="00A85C16"/>
    <w:rsid w:val="00A86D3A"/>
    <w:rsid w:val="00A86DFA"/>
    <w:rsid w:val="00A87BD6"/>
    <w:rsid w:val="00A87CE0"/>
    <w:rsid w:val="00A909DD"/>
    <w:rsid w:val="00A90A12"/>
    <w:rsid w:val="00A9169C"/>
    <w:rsid w:val="00A92B7A"/>
    <w:rsid w:val="00A92EBB"/>
    <w:rsid w:val="00A93626"/>
    <w:rsid w:val="00A945CA"/>
    <w:rsid w:val="00A94EAE"/>
    <w:rsid w:val="00A9553F"/>
    <w:rsid w:val="00A966C4"/>
    <w:rsid w:val="00A968DF"/>
    <w:rsid w:val="00A972D1"/>
    <w:rsid w:val="00A97AB0"/>
    <w:rsid w:val="00A97FE2"/>
    <w:rsid w:val="00AA1024"/>
    <w:rsid w:val="00AA34AB"/>
    <w:rsid w:val="00AA4036"/>
    <w:rsid w:val="00AA5183"/>
    <w:rsid w:val="00AA5B3A"/>
    <w:rsid w:val="00AA5C17"/>
    <w:rsid w:val="00AA5CF4"/>
    <w:rsid w:val="00AA6829"/>
    <w:rsid w:val="00AA75C4"/>
    <w:rsid w:val="00AA7D06"/>
    <w:rsid w:val="00AB0B51"/>
    <w:rsid w:val="00AB1438"/>
    <w:rsid w:val="00AB251A"/>
    <w:rsid w:val="00AB262B"/>
    <w:rsid w:val="00AB2658"/>
    <w:rsid w:val="00AB2E01"/>
    <w:rsid w:val="00AB347C"/>
    <w:rsid w:val="00AB3E68"/>
    <w:rsid w:val="00AB412E"/>
    <w:rsid w:val="00AB42B8"/>
    <w:rsid w:val="00AB47FE"/>
    <w:rsid w:val="00AB633B"/>
    <w:rsid w:val="00AB6467"/>
    <w:rsid w:val="00AC10AC"/>
    <w:rsid w:val="00AC111B"/>
    <w:rsid w:val="00AC12BA"/>
    <w:rsid w:val="00AC1BB7"/>
    <w:rsid w:val="00AC23EB"/>
    <w:rsid w:val="00AC2764"/>
    <w:rsid w:val="00AC2819"/>
    <w:rsid w:val="00AC2932"/>
    <w:rsid w:val="00AC3162"/>
    <w:rsid w:val="00AC32DB"/>
    <w:rsid w:val="00AC4E9D"/>
    <w:rsid w:val="00AC5885"/>
    <w:rsid w:val="00AC69CE"/>
    <w:rsid w:val="00AC6AE1"/>
    <w:rsid w:val="00AC6E1A"/>
    <w:rsid w:val="00AC71CF"/>
    <w:rsid w:val="00AC74DC"/>
    <w:rsid w:val="00AC7E57"/>
    <w:rsid w:val="00AD0004"/>
    <w:rsid w:val="00AD0352"/>
    <w:rsid w:val="00AD04EE"/>
    <w:rsid w:val="00AD0F2F"/>
    <w:rsid w:val="00AD1977"/>
    <w:rsid w:val="00AD301A"/>
    <w:rsid w:val="00AD472D"/>
    <w:rsid w:val="00AD4957"/>
    <w:rsid w:val="00AD4CF7"/>
    <w:rsid w:val="00AD5050"/>
    <w:rsid w:val="00AD6561"/>
    <w:rsid w:val="00AD7CD2"/>
    <w:rsid w:val="00AE1FF8"/>
    <w:rsid w:val="00AE27FD"/>
    <w:rsid w:val="00AE327C"/>
    <w:rsid w:val="00AE3844"/>
    <w:rsid w:val="00AE3D1C"/>
    <w:rsid w:val="00AE42A1"/>
    <w:rsid w:val="00AE6D33"/>
    <w:rsid w:val="00AF2A71"/>
    <w:rsid w:val="00AF40E5"/>
    <w:rsid w:val="00AF4480"/>
    <w:rsid w:val="00AF4DB7"/>
    <w:rsid w:val="00AF7437"/>
    <w:rsid w:val="00AF7CAE"/>
    <w:rsid w:val="00B005B2"/>
    <w:rsid w:val="00B009DE"/>
    <w:rsid w:val="00B00F57"/>
    <w:rsid w:val="00B0121B"/>
    <w:rsid w:val="00B01A1E"/>
    <w:rsid w:val="00B020DC"/>
    <w:rsid w:val="00B021E6"/>
    <w:rsid w:val="00B02217"/>
    <w:rsid w:val="00B02359"/>
    <w:rsid w:val="00B02CF5"/>
    <w:rsid w:val="00B03CE0"/>
    <w:rsid w:val="00B04711"/>
    <w:rsid w:val="00B050E7"/>
    <w:rsid w:val="00B0588C"/>
    <w:rsid w:val="00B05AD9"/>
    <w:rsid w:val="00B0670E"/>
    <w:rsid w:val="00B0705C"/>
    <w:rsid w:val="00B078DE"/>
    <w:rsid w:val="00B11105"/>
    <w:rsid w:val="00B132C2"/>
    <w:rsid w:val="00B134EF"/>
    <w:rsid w:val="00B13F8E"/>
    <w:rsid w:val="00B153EC"/>
    <w:rsid w:val="00B15945"/>
    <w:rsid w:val="00B1597C"/>
    <w:rsid w:val="00B17F5C"/>
    <w:rsid w:val="00B20513"/>
    <w:rsid w:val="00B20B55"/>
    <w:rsid w:val="00B21514"/>
    <w:rsid w:val="00B21F79"/>
    <w:rsid w:val="00B22369"/>
    <w:rsid w:val="00B244E5"/>
    <w:rsid w:val="00B24EFF"/>
    <w:rsid w:val="00B24F94"/>
    <w:rsid w:val="00B25113"/>
    <w:rsid w:val="00B25A95"/>
    <w:rsid w:val="00B2632E"/>
    <w:rsid w:val="00B26CF8"/>
    <w:rsid w:val="00B26F34"/>
    <w:rsid w:val="00B2720B"/>
    <w:rsid w:val="00B27F55"/>
    <w:rsid w:val="00B30FA6"/>
    <w:rsid w:val="00B313FD"/>
    <w:rsid w:val="00B32688"/>
    <w:rsid w:val="00B33353"/>
    <w:rsid w:val="00B33539"/>
    <w:rsid w:val="00B33662"/>
    <w:rsid w:val="00B33954"/>
    <w:rsid w:val="00B34115"/>
    <w:rsid w:val="00B34845"/>
    <w:rsid w:val="00B34E9D"/>
    <w:rsid w:val="00B35AB7"/>
    <w:rsid w:val="00B36C1F"/>
    <w:rsid w:val="00B40066"/>
    <w:rsid w:val="00B41C84"/>
    <w:rsid w:val="00B420AB"/>
    <w:rsid w:val="00B421FF"/>
    <w:rsid w:val="00B42468"/>
    <w:rsid w:val="00B443DF"/>
    <w:rsid w:val="00B445A4"/>
    <w:rsid w:val="00B44CA5"/>
    <w:rsid w:val="00B45920"/>
    <w:rsid w:val="00B45B7F"/>
    <w:rsid w:val="00B45EEC"/>
    <w:rsid w:val="00B47493"/>
    <w:rsid w:val="00B47795"/>
    <w:rsid w:val="00B51BB3"/>
    <w:rsid w:val="00B51E0C"/>
    <w:rsid w:val="00B52150"/>
    <w:rsid w:val="00B52315"/>
    <w:rsid w:val="00B523A3"/>
    <w:rsid w:val="00B526F1"/>
    <w:rsid w:val="00B52896"/>
    <w:rsid w:val="00B5369C"/>
    <w:rsid w:val="00B53FA3"/>
    <w:rsid w:val="00B54914"/>
    <w:rsid w:val="00B552F7"/>
    <w:rsid w:val="00B558D9"/>
    <w:rsid w:val="00B55ABE"/>
    <w:rsid w:val="00B575F6"/>
    <w:rsid w:val="00B6017C"/>
    <w:rsid w:val="00B60197"/>
    <w:rsid w:val="00B607BC"/>
    <w:rsid w:val="00B62390"/>
    <w:rsid w:val="00B64148"/>
    <w:rsid w:val="00B64A82"/>
    <w:rsid w:val="00B65DF7"/>
    <w:rsid w:val="00B67146"/>
    <w:rsid w:val="00B6766C"/>
    <w:rsid w:val="00B70F3D"/>
    <w:rsid w:val="00B71A4B"/>
    <w:rsid w:val="00B71D87"/>
    <w:rsid w:val="00B740D7"/>
    <w:rsid w:val="00B7499E"/>
    <w:rsid w:val="00B7514A"/>
    <w:rsid w:val="00B751E3"/>
    <w:rsid w:val="00B7528F"/>
    <w:rsid w:val="00B75398"/>
    <w:rsid w:val="00B76E17"/>
    <w:rsid w:val="00B77078"/>
    <w:rsid w:val="00B773E6"/>
    <w:rsid w:val="00B774FA"/>
    <w:rsid w:val="00B77989"/>
    <w:rsid w:val="00B805A9"/>
    <w:rsid w:val="00B80603"/>
    <w:rsid w:val="00B8115B"/>
    <w:rsid w:val="00B81731"/>
    <w:rsid w:val="00B831DB"/>
    <w:rsid w:val="00B83B21"/>
    <w:rsid w:val="00B84EF5"/>
    <w:rsid w:val="00B8524D"/>
    <w:rsid w:val="00B8625F"/>
    <w:rsid w:val="00B87638"/>
    <w:rsid w:val="00B87A3E"/>
    <w:rsid w:val="00B90159"/>
    <w:rsid w:val="00B91051"/>
    <w:rsid w:val="00B91956"/>
    <w:rsid w:val="00B919E5"/>
    <w:rsid w:val="00B9341F"/>
    <w:rsid w:val="00B9342E"/>
    <w:rsid w:val="00B9348E"/>
    <w:rsid w:val="00B93565"/>
    <w:rsid w:val="00B936FB"/>
    <w:rsid w:val="00B93CEB"/>
    <w:rsid w:val="00B947AD"/>
    <w:rsid w:val="00B966D3"/>
    <w:rsid w:val="00B96D75"/>
    <w:rsid w:val="00B9760B"/>
    <w:rsid w:val="00B97A3C"/>
    <w:rsid w:val="00B97CAC"/>
    <w:rsid w:val="00BA16D0"/>
    <w:rsid w:val="00BA1B59"/>
    <w:rsid w:val="00BA21C6"/>
    <w:rsid w:val="00BA21DC"/>
    <w:rsid w:val="00BA2A50"/>
    <w:rsid w:val="00BA4BD3"/>
    <w:rsid w:val="00BA53B1"/>
    <w:rsid w:val="00BA5918"/>
    <w:rsid w:val="00BA6356"/>
    <w:rsid w:val="00BA6CC8"/>
    <w:rsid w:val="00BB03E6"/>
    <w:rsid w:val="00BB08BE"/>
    <w:rsid w:val="00BB3C7D"/>
    <w:rsid w:val="00BB5C6B"/>
    <w:rsid w:val="00BB677A"/>
    <w:rsid w:val="00BB74C3"/>
    <w:rsid w:val="00BC0F67"/>
    <w:rsid w:val="00BC24F8"/>
    <w:rsid w:val="00BC264E"/>
    <w:rsid w:val="00BC47AB"/>
    <w:rsid w:val="00BC4A76"/>
    <w:rsid w:val="00BC5CA5"/>
    <w:rsid w:val="00BC7A0D"/>
    <w:rsid w:val="00BD0C14"/>
    <w:rsid w:val="00BD1381"/>
    <w:rsid w:val="00BD1F6C"/>
    <w:rsid w:val="00BD45A8"/>
    <w:rsid w:val="00BD57C6"/>
    <w:rsid w:val="00BD5F81"/>
    <w:rsid w:val="00BD6E0B"/>
    <w:rsid w:val="00BD70B2"/>
    <w:rsid w:val="00BE07DB"/>
    <w:rsid w:val="00BE092C"/>
    <w:rsid w:val="00BE0A2C"/>
    <w:rsid w:val="00BE127F"/>
    <w:rsid w:val="00BE1828"/>
    <w:rsid w:val="00BE2A6D"/>
    <w:rsid w:val="00BE3476"/>
    <w:rsid w:val="00BE51C2"/>
    <w:rsid w:val="00BE5967"/>
    <w:rsid w:val="00BE5B19"/>
    <w:rsid w:val="00BE5E5F"/>
    <w:rsid w:val="00BE6092"/>
    <w:rsid w:val="00BE65B4"/>
    <w:rsid w:val="00BE65BD"/>
    <w:rsid w:val="00BE6BEF"/>
    <w:rsid w:val="00BE772D"/>
    <w:rsid w:val="00BE7F68"/>
    <w:rsid w:val="00BF027F"/>
    <w:rsid w:val="00BF0A94"/>
    <w:rsid w:val="00BF1068"/>
    <w:rsid w:val="00BF16EA"/>
    <w:rsid w:val="00BF2EC6"/>
    <w:rsid w:val="00BF3723"/>
    <w:rsid w:val="00BF3802"/>
    <w:rsid w:val="00BF38DC"/>
    <w:rsid w:val="00BF3C44"/>
    <w:rsid w:val="00BF4C1A"/>
    <w:rsid w:val="00BF5E2D"/>
    <w:rsid w:val="00BF5ECF"/>
    <w:rsid w:val="00BF68CF"/>
    <w:rsid w:val="00BF6B1A"/>
    <w:rsid w:val="00BF6B89"/>
    <w:rsid w:val="00BF6E9D"/>
    <w:rsid w:val="00BF7502"/>
    <w:rsid w:val="00C00065"/>
    <w:rsid w:val="00C006C6"/>
    <w:rsid w:val="00C01033"/>
    <w:rsid w:val="00C014AB"/>
    <w:rsid w:val="00C0308F"/>
    <w:rsid w:val="00C03618"/>
    <w:rsid w:val="00C039FD"/>
    <w:rsid w:val="00C04A2E"/>
    <w:rsid w:val="00C04BBA"/>
    <w:rsid w:val="00C05973"/>
    <w:rsid w:val="00C06B69"/>
    <w:rsid w:val="00C06EBB"/>
    <w:rsid w:val="00C10656"/>
    <w:rsid w:val="00C1067B"/>
    <w:rsid w:val="00C11BB8"/>
    <w:rsid w:val="00C11E81"/>
    <w:rsid w:val="00C12562"/>
    <w:rsid w:val="00C1260C"/>
    <w:rsid w:val="00C12E1C"/>
    <w:rsid w:val="00C139FB"/>
    <w:rsid w:val="00C15C5F"/>
    <w:rsid w:val="00C16C44"/>
    <w:rsid w:val="00C2040F"/>
    <w:rsid w:val="00C2053E"/>
    <w:rsid w:val="00C2217D"/>
    <w:rsid w:val="00C22409"/>
    <w:rsid w:val="00C226C9"/>
    <w:rsid w:val="00C2300E"/>
    <w:rsid w:val="00C23F5F"/>
    <w:rsid w:val="00C25003"/>
    <w:rsid w:val="00C272C8"/>
    <w:rsid w:val="00C307B4"/>
    <w:rsid w:val="00C30878"/>
    <w:rsid w:val="00C31B88"/>
    <w:rsid w:val="00C31D36"/>
    <w:rsid w:val="00C3245D"/>
    <w:rsid w:val="00C347B8"/>
    <w:rsid w:val="00C365B2"/>
    <w:rsid w:val="00C40815"/>
    <w:rsid w:val="00C41308"/>
    <w:rsid w:val="00C41AAA"/>
    <w:rsid w:val="00C41B4B"/>
    <w:rsid w:val="00C41F0D"/>
    <w:rsid w:val="00C420DD"/>
    <w:rsid w:val="00C430CA"/>
    <w:rsid w:val="00C459D5"/>
    <w:rsid w:val="00C47283"/>
    <w:rsid w:val="00C47AAD"/>
    <w:rsid w:val="00C47BE9"/>
    <w:rsid w:val="00C50249"/>
    <w:rsid w:val="00C51BB1"/>
    <w:rsid w:val="00C5296C"/>
    <w:rsid w:val="00C5355B"/>
    <w:rsid w:val="00C54F76"/>
    <w:rsid w:val="00C551E1"/>
    <w:rsid w:val="00C557F6"/>
    <w:rsid w:val="00C5581A"/>
    <w:rsid w:val="00C5640B"/>
    <w:rsid w:val="00C57010"/>
    <w:rsid w:val="00C57268"/>
    <w:rsid w:val="00C57AAC"/>
    <w:rsid w:val="00C57D7B"/>
    <w:rsid w:val="00C607B7"/>
    <w:rsid w:val="00C608B2"/>
    <w:rsid w:val="00C636C6"/>
    <w:rsid w:val="00C63F9E"/>
    <w:rsid w:val="00C642C4"/>
    <w:rsid w:val="00C64AFD"/>
    <w:rsid w:val="00C656B9"/>
    <w:rsid w:val="00C659DB"/>
    <w:rsid w:val="00C65EEE"/>
    <w:rsid w:val="00C6739C"/>
    <w:rsid w:val="00C674A6"/>
    <w:rsid w:val="00C674E4"/>
    <w:rsid w:val="00C700AD"/>
    <w:rsid w:val="00C7059B"/>
    <w:rsid w:val="00C705EE"/>
    <w:rsid w:val="00C72255"/>
    <w:rsid w:val="00C72364"/>
    <w:rsid w:val="00C72810"/>
    <w:rsid w:val="00C72C3B"/>
    <w:rsid w:val="00C7317F"/>
    <w:rsid w:val="00C74B43"/>
    <w:rsid w:val="00C76268"/>
    <w:rsid w:val="00C76DAB"/>
    <w:rsid w:val="00C77F4B"/>
    <w:rsid w:val="00C80A6D"/>
    <w:rsid w:val="00C812B5"/>
    <w:rsid w:val="00C81A3A"/>
    <w:rsid w:val="00C82A3E"/>
    <w:rsid w:val="00C82CBF"/>
    <w:rsid w:val="00C835DF"/>
    <w:rsid w:val="00C83AB1"/>
    <w:rsid w:val="00C841E5"/>
    <w:rsid w:val="00C84598"/>
    <w:rsid w:val="00C84CF9"/>
    <w:rsid w:val="00C85BEA"/>
    <w:rsid w:val="00C85F08"/>
    <w:rsid w:val="00C86B3C"/>
    <w:rsid w:val="00C90A00"/>
    <w:rsid w:val="00C90D92"/>
    <w:rsid w:val="00C90F0F"/>
    <w:rsid w:val="00C91421"/>
    <w:rsid w:val="00C915E6"/>
    <w:rsid w:val="00C921E5"/>
    <w:rsid w:val="00C9293F"/>
    <w:rsid w:val="00C9389B"/>
    <w:rsid w:val="00C942F7"/>
    <w:rsid w:val="00C950E4"/>
    <w:rsid w:val="00C9587F"/>
    <w:rsid w:val="00C96587"/>
    <w:rsid w:val="00C974A6"/>
    <w:rsid w:val="00C97C2A"/>
    <w:rsid w:val="00CA013B"/>
    <w:rsid w:val="00CA0BE7"/>
    <w:rsid w:val="00CA0D20"/>
    <w:rsid w:val="00CA1BA5"/>
    <w:rsid w:val="00CA240D"/>
    <w:rsid w:val="00CA26ED"/>
    <w:rsid w:val="00CA32B8"/>
    <w:rsid w:val="00CA3C8C"/>
    <w:rsid w:val="00CA596D"/>
    <w:rsid w:val="00CA5CBA"/>
    <w:rsid w:val="00CA60FD"/>
    <w:rsid w:val="00CA66A8"/>
    <w:rsid w:val="00CA7A8F"/>
    <w:rsid w:val="00CB031D"/>
    <w:rsid w:val="00CB080A"/>
    <w:rsid w:val="00CB173C"/>
    <w:rsid w:val="00CB2608"/>
    <w:rsid w:val="00CB2A9D"/>
    <w:rsid w:val="00CB2DCF"/>
    <w:rsid w:val="00CB37F3"/>
    <w:rsid w:val="00CB49A4"/>
    <w:rsid w:val="00CB4DB4"/>
    <w:rsid w:val="00CB64A7"/>
    <w:rsid w:val="00CB6CC9"/>
    <w:rsid w:val="00CB6E93"/>
    <w:rsid w:val="00CB77A7"/>
    <w:rsid w:val="00CC020D"/>
    <w:rsid w:val="00CC0EE8"/>
    <w:rsid w:val="00CC2266"/>
    <w:rsid w:val="00CC2625"/>
    <w:rsid w:val="00CC33E6"/>
    <w:rsid w:val="00CC43E5"/>
    <w:rsid w:val="00CC479A"/>
    <w:rsid w:val="00CC54E7"/>
    <w:rsid w:val="00CC570A"/>
    <w:rsid w:val="00CC5F65"/>
    <w:rsid w:val="00CC61E9"/>
    <w:rsid w:val="00CC6240"/>
    <w:rsid w:val="00CC63F9"/>
    <w:rsid w:val="00CD1675"/>
    <w:rsid w:val="00CD237C"/>
    <w:rsid w:val="00CD25FE"/>
    <w:rsid w:val="00CD2BFE"/>
    <w:rsid w:val="00CD2F48"/>
    <w:rsid w:val="00CD3334"/>
    <w:rsid w:val="00CD35D9"/>
    <w:rsid w:val="00CD3E73"/>
    <w:rsid w:val="00CD46C5"/>
    <w:rsid w:val="00CD4778"/>
    <w:rsid w:val="00CD5387"/>
    <w:rsid w:val="00CD550A"/>
    <w:rsid w:val="00CD62D4"/>
    <w:rsid w:val="00CD6C70"/>
    <w:rsid w:val="00CD7230"/>
    <w:rsid w:val="00CD7D85"/>
    <w:rsid w:val="00CE0AB1"/>
    <w:rsid w:val="00CE24BA"/>
    <w:rsid w:val="00CE2F1C"/>
    <w:rsid w:val="00CE37C4"/>
    <w:rsid w:val="00CE547B"/>
    <w:rsid w:val="00CE578A"/>
    <w:rsid w:val="00CE5BE8"/>
    <w:rsid w:val="00CE6C6D"/>
    <w:rsid w:val="00CE721E"/>
    <w:rsid w:val="00CF033D"/>
    <w:rsid w:val="00CF04AF"/>
    <w:rsid w:val="00CF14B3"/>
    <w:rsid w:val="00CF21F0"/>
    <w:rsid w:val="00CF2B3D"/>
    <w:rsid w:val="00CF4579"/>
    <w:rsid w:val="00CF4746"/>
    <w:rsid w:val="00CF54C4"/>
    <w:rsid w:val="00CF6DA3"/>
    <w:rsid w:val="00CF71F4"/>
    <w:rsid w:val="00CF7AAB"/>
    <w:rsid w:val="00CF7D3C"/>
    <w:rsid w:val="00D017BC"/>
    <w:rsid w:val="00D02795"/>
    <w:rsid w:val="00D03380"/>
    <w:rsid w:val="00D043F0"/>
    <w:rsid w:val="00D04510"/>
    <w:rsid w:val="00D05033"/>
    <w:rsid w:val="00D05657"/>
    <w:rsid w:val="00D06180"/>
    <w:rsid w:val="00D06A32"/>
    <w:rsid w:val="00D076E0"/>
    <w:rsid w:val="00D07BB8"/>
    <w:rsid w:val="00D07BE5"/>
    <w:rsid w:val="00D108D9"/>
    <w:rsid w:val="00D10DFD"/>
    <w:rsid w:val="00D112CF"/>
    <w:rsid w:val="00D1147B"/>
    <w:rsid w:val="00D11643"/>
    <w:rsid w:val="00D11888"/>
    <w:rsid w:val="00D11B76"/>
    <w:rsid w:val="00D11E32"/>
    <w:rsid w:val="00D126CA"/>
    <w:rsid w:val="00D14BC6"/>
    <w:rsid w:val="00D150D4"/>
    <w:rsid w:val="00D1531C"/>
    <w:rsid w:val="00D16A23"/>
    <w:rsid w:val="00D16EFF"/>
    <w:rsid w:val="00D173B9"/>
    <w:rsid w:val="00D17EAB"/>
    <w:rsid w:val="00D2062F"/>
    <w:rsid w:val="00D206F0"/>
    <w:rsid w:val="00D20F06"/>
    <w:rsid w:val="00D21089"/>
    <w:rsid w:val="00D21119"/>
    <w:rsid w:val="00D21EDC"/>
    <w:rsid w:val="00D2328F"/>
    <w:rsid w:val="00D23500"/>
    <w:rsid w:val="00D23573"/>
    <w:rsid w:val="00D24157"/>
    <w:rsid w:val="00D258E4"/>
    <w:rsid w:val="00D2644B"/>
    <w:rsid w:val="00D26657"/>
    <w:rsid w:val="00D26AA9"/>
    <w:rsid w:val="00D26F3F"/>
    <w:rsid w:val="00D27D35"/>
    <w:rsid w:val="00D30E34"/>
    <w:rsid w:val="00D31060"/>
    <w:rsid w:val="00D33062"/>
    <w:rsid w:val="00D337AD"/>
    <w:rsid w:val="00D352D3"/>
    <w:rsid w:val="00D35575"/>
    <w:rsid w:val="00D3614F"/>
    <w:rsid w:val="00D36152"/>
    <w:rsid w:val="00D36750"/>
    <w:rsid w:val="00D36BCA"/>
    <w:rsid w:val="00D37568"/>
    <w:rsid w:val="00D40076"/>
    <w:rsid w:val="00D40D9C"/>
    <w:rsid w:val="00D4114D"/>
    <w:rsid w:val="00D41D8D"/>
    <w:rsid w:val="00D4200A"/>
    <w:rsid w:val="00D4222D"/>
    <w:rsid w:val="00D42622"/>
    <w:rsid w:val="00D437CF"/>
    <w:rsid w:val="00D440F9"/>
    <w:rsid w:val="00D44CE6"/>
    <w:rsid w:val="00D456C3"/>
    <w:rsid w:val="00D45DA6"/>
    <w:rsid w:val="00D46B87"/>
    <w:rsid w:val="00D47267"/>
    <w:rsid w:val="00D5004A"/>
    <w:rsid w:val="00D51428"/>
    <w:rsid w:val="00D51854"/>
    <w:rsid w:val="00D52F05"/>
    <w:rsid w:val="00D53B53"/>
    <w:rsid w:val="00D54A43"/>
    <w:rsid w:val="00D559DE"/>
    <w:rsid w:val="00D55BB7"/>
    <w:rsid w:val="00D56329"/>
    <w:rsid w:val="00D56925"/>
    <w:rsid w:val="00D57490"/>
    <w:rsid w:val="00D60124"/>
    <w:rsid w:val="00D60871"/>
    <w:rsid w:val="00D6173B"/>
    <w:rsid w:val="00D61A75"/>
    <w:rsid w:val="00D61AC5"/>
    <w:rsid w:val="00D61DDE"/>
    <w:rsid w:val="00D6233E"/>
    <w:rsid w:val="00D626A4"/>
    <w:rsid w:val="00D626B5"/>
    <w:rsid w:val="00D62F04"/>
    <w:rsid w:val="00D6439C"/>
    <w:rsid w:val="00D6794C"/>
    <w:rsid w:val="00D7070A"/>
    <w:rsid w:val="00D70BD0"/>
    <w:rsid w:val="00D71178"/>
    <w:rsid w:val="00D7214C"/>
    <w:rsid w:val="00D72C2B"/>
    <w:rsid w:val="00D72D6C"/>
    <w:rsid w:val="00D73157"/>
    <w:rsid w:val="00D74260"/>
    <w:rsid w:val="00D75AC0"/>
    <w:rsid w:val="00D75B99"/>
    <w:rsid w:val="00D76989"/>
    <w:rsid w:val="00D77598"/>
    <w:rsid w:val="00D77C78"/>
    <w:rsid w:val="00D806B3"/>
    <w:rsid w:val="00D80CC2"/>
    <w:rsid w:val="00D81031"/>
    <w:rsid w:val="00D81D6F"/>
    <w:rsid w:val="00D81F36"/>
    <w:rsid w:val="00D83B25"/>
    <w:rsid w:val="00D83BAD"/>
    <w:rsid w:val="00D83F50"/>
    <w:rsid w:val="00D84FCE"/>
    <w:rsid w:val="00D8561F"/>
    <w:rsid w:val="00D862CD"/>
    <w:rsid w:val="00D86D19"/>
    <w:rsid w:val="00D87126"/>
    <w:rsid w:val="00D876C0"/>
    <w:rsid w:val="00D87B2B"/>
    <w:rsid w:val="00D87CC5"/>
    <w:rsid w:val="00D906AB"/>
    <w:rsid w:val="00D92018"/>
    <w:rsid w:val="00D934CA"/>
    <w:rsid w:val="00D949E3"/>
    <w:rsid w:val="00D961A3"/>
    <w:rsid w:val="00D96548"/>
    <w:rsid w:val="00D965F2"/>
    <w:rsid w:val="00D971D6"/>
    <w:rsid w:val="00D972CD"/>
    <w:rsid w:val="00DA02FE"/>
    <w:rsid w:val="00DA06FE"/>
    <w:rsid w:val="00DA08F3"/>
    <w:rsid w:val="00DA1711"/>
    <w:rsid w:val="00DA1812"/>
    <w:rsid w:val="00DA1E05"/>
    <w:rsid w:val="00DA2454"/>
    <w:rsid w:val="00DA26D5"/>
    <w:rsid w:val="00DA3529"/>
    <w:rsid w:val="00DA3A10"/>
    <w:rsid w:val="00DA3A2A"/>
    <w:rsid w:val="00DA4463"/>
    <w:rsid w:val="00DA44DE"/>
    <w:rsid w:val="00DA4858"/>
    <w:rsid w:val="00DA502F"/>
    <w:rsid w:val="00DA5D1D"/>
    <w:rsid w:val="00DA5DEE"/>
    <w:rsid w:val="00DA6E6E"/>
    <w:rsid w:val="00DB2396"/>
    <w:rsid w:val="00DB317A"/>
    <w:rsid w:val="00DB39AD"/>
    <w:rsid w:val="00DB4950"/>
    <w:rsid w:val="00DB54B3"/>
    <w:rsid w:val="00DB5C6A"/>
    <w:rsid w:val="00DB68B1"/>
    <w:rsid w:val="00DB734A"/>
    <w:rsid w:val="00DB7C92"/>
    <w:rsid w:val="00DC0BFC"/>
    <w:rsid w:val="00DC0C38"/>
    <w:rsid w:val="00DC1285"/>
    <w:rsid w:val="00DC2683"/>
    <w:rsid w:val="00DC39B7"/>
    <w:rsid w:val="00DC3E35"/>
    <w:rsid w:val="00DC48AC"/>
    <w:rsid w:val="00DC5507"/>
    <w:rsid w:val="00DC6965"/>
    <w:rsid w:val="00DC6D6D"/>
    <w:rsid w:val="00DC7C4F"/>
    <w:rsid w:val="00DD032B"/>
    <w:rsid w:val="00DD2B33"/>
    <w:rsid w:val="00DD3061"/>
    <w:rsid w:val="00DD346B"/>
    <w:rsid w:val="00DD4476"/>
    <w:rsid w:val="00DD4D47"/>
    <w:rsid w:val="00DD5432"/>
    <w:rsid w:val="00DD5B90"/>
    <w:rsid w:val="00DD5E1B"/>
    <w:rsid w:val="00DD6D60"/>
    <w:rsid w:val="00DD7A19"/>
    <w:rsid w:val="00DE1AFE"/>
    <w:rsid w:val="00DE27D3"/>
    <w:rsid w:val="00DE3ECC"/>
    <w:rsid w:val="00DE59BA"/>
    <w:rsid w:val="00DE5F82"/>
    <w:rsid w:val="00DE5FF6"/>
    <w:rsid w:val="00DE61AA"/>
    <w:rsid w:val="00DE6C77"/>
    <w:rsid w:val="00DF0D5A"/>
    <w:rsid w:val="00DF18D8"/>
    <w:rsid w:val="00DF2169"/>
    <w:rsid w:val="00DF2B18"/>
    <w:rsid w:val="00DF40D8"/>
    <w:rsid w:val="00DF4A7D"/>
    <w:rsid w:val="00DF5050"/>
    <w:rsid w:val="00DF5AE4"/>
    <w:rsid w:val="00DF62F1"/>
    <w:rsid w:val="00DF7041"/>
    <w:rsid w:val="00DF7D90"/>
    <w:rsid w:val="00E00EA4"/>
    <w:rsid w:val="00E021DB"/>
    <w:rsid w:val="00E04981"/>
    <w:rsid w:val="00E0546E"/>
    <w:rsid w:val="00E05F56"/>
    <w:rsid w:val="00E0614C"/>
    <w:rsid w:val="00E063BF"/>
    <w:rsid w:val="00E07FC6"/>
    <w:rsid w:val="00E10EF6"/>
    <w:rsid w:val="00E11007"/>
    <w:rsid w:val="00E11AFA"/>
    <w:rsid w:val="00E12233"/>
    <w:rsid w:val="00E13365"/>
    <w:rsid w:val="00E135D3"/>
    <w:rsid w:val="00E148B5"/>
    <w:rsid w:val="00E14F53"/>
    <w:rsid w:val="00E15B8A"/>
    <w:rsid w:val="00E16968"/>
    <w:rsid w:val="00E16F51"/>
    <w:rsid w:val="00E17769"/>
    <w:rsid w:val="00E20C6A"/>
    <w:rsid w:val="00E21240"/>
    <w:rsid w:val="00E212CB"/>
    <w:rsid w:val="00E22D5B"/>
    <w:rsid w:val="00E24151"/>
    <w:rsid w:val="00E252A8"/>
    <w:rsid w:val="00E257D1"/>
    <w:rsid w:val="00E27255"/>
    <w:rsid w:val="00E3046D"/>
    <w:rsid w:val="00E307B2"/>
    <w:rsid w:val="00E30ED9"/>
    <w:rsid w:val="00E31700"/>
    <w:rsid w:val="00E31862"/>
    <w:rsid w:val="00E32171"/>
    <w:rsid w:val="00E323D0"/>
    <w:rsid w:val="00E3253E"/>
    <w:rsid w:val="00E328DA"/>
    <w:rsid w:val="00E340FC"/>
    <w:rsid w:val="00E34BB9"/>
    <w:rsid w:val="00E35608"/>
    <w:rsid w:val="00E36D53"/>
    <w:rsid w:val="00E37699"/>
    <w:rsid w:val="00E37B1C"/>
    <w:rsid w:val="00E37B42"/>
    <w:rsid w:val="00E40A23"/>
    <w:rsid w:val="00E420C2"/>
    <w:rsid w:val="00E42466"/>
    <w:rsid w:val="00E4284D"/>
    <w:rsid w:val="00E42AEA"/>
    <w:rsid w:val="00E42E50"/>
    <w:rsid w:val="00E43BA6"/>
    <w:rsid w:val="00E4452D"/>
    <w:rsid w:val="00E452BF"/>
    <w:rsid w:val="00E45BEA"/>
    <w:rsid w:val="00E45C85"/>
    <w:rsid w:val="00E4685C"/>
    <w:rsid w:val="00E47970"/>
    <w:rsid w:val="00E501B2"/>
    <w:rsid w:val="00E50F9D"/>
    <w:rsid w:val="00E510A9"/>
    <w:rsid w:val="00E512FC"/>
    <w:rsid w:val="00E517EB"/>
    <w:rsid w:val="00E52FA8"/>
    <w:rsid w:val="00E54346"/>
    <w:rsid w:val="00E54A3E"/>
    <w:rsid w:val="00E5605F"/>
    <w:rsid w:val="00E5636A"/>
    <w:rsid w:val="00E56F8E"/>
    <w:rsid w:val="00E57857"/>
    <w:rsid w:val="00E57CDF"/>
    <w:rsid w:val="00E60B05"/>
    <w:rsid w:val="00E60C9C"/>
    <w:rsid w:val="00E6109E"/>
    <w:rsid w:val="00E62179"/>
    <w:rsid w:val="00E624F8"/>
    <w:rsid w:val="00E62E25"/>
    <w:rsid w:val="00E6360F"/>
    <w:rsid w:val="00E63631"/>
    <w:rsid w:val="00E636C7"/>
    <w:rsid w:val="00E6451D"/>
    <w:rsid w:val="00E64746"/>
    <w:rsid w:val="00E650B1"/>
    <w:rsid w:val="00E66A3C"/>
    <w:rsid w:val="00E66C18"/>
    <w:rsid w:val="00E674ED"/>
    <w:rsid w:val="00E67F55"/>
    <w:rsid w:val="00E704D8"/>
    <w:rsid w:val="00E7050F"/>
    <w:rsid w:val="00E70E93"/>
    <w:rsid w:val="00E71327"/>
    <w:rsid w:val="00E729B2"/>
    <w:rsid w:val="00E747D6"/>
    <w:rsid w:val="00E74C73"/>
    <w:rsid w:val="00E75D3B"/>
    <w:rsid w:val="00E77240"/>
    <w:rsid w:val="00E80220"/>
    <w:rsid w:val="00E803D9"/>
    <w:rsid w:val="00E81640"/>
    <w:rsid w:val="00E81908"/>
    <w:rsid w:val="00E81B41"/>
    <w:rsid w:val="00E81CFA"/>
    <w:rsid w:val="00E82891"/>
    <w:rsid w:val="00E82918"/>
    <w:rsid w:val="00E83272"/>
    <w:rsid w:val="00E84263"/>
    <w:rsid w:val="00E84AAD"/>
    <w:rsid w:val="00E84ADF"/>
    <w:rsid w:val="00E84B60"/>
    <w:rsid w:val="00E84C80"/>
    <w:rsid w:val="00E84D6C"/>
    <w:rsid w:val="00E85410"/>
    <w:rsid w:val="00E8645B"/>
    <w:rsid w:val="00E86AE0"/>
    <w:rsid w:val="00E871ED"/>
    <w:rsid w:val="00E90693"/>
    <w:rsid w:val="00E9089D"/>
    <w:rsid w:val="00E90983"/>
    <w:rsid w:val="00E90CCC"/>
    <w:rsid w:val="00E92C1B"/>
    <w:rsid w:val="00E945F0"/>
    <w:rsid w:val="00E9472B"/>
    <w:rsid w:val="00E95712"/>
    <w:rsid w:val="00E972B5"/>
    <w:rsid w:val="00E97BD3"/>
    <w:rsid w:val="00E97CC5"/>
    <w:rsid w:val="00EA000B"/>
    <w:rsid w:val="00EA0826"/>
    <w:rsid w:val="00EA114A"/>
    <w:rsid w:val="00EA166F"/>
    <w:rsid w:val="00EA2368"/>
    <w:rsid w:val="00EA39BC"/>
    <w:rsid w:val="00EA405B"/>
    <w:rsid w:val="00EA4D19"/>
    <w:rsid w:val="00EA5CD2"/>
    <w:rsid w:val="00EA5DF6"/>
    <w:rsid w:val="00EA6293"/>
    <w:rsid w:val="00EA7685"/>
    <w:rsid w:val="00EA7A70"/>
    <w:rsid w:val="00EB06AA"/>
    <w:rsid w:val="00EB0F34"/>
    <w:rsid w:val="00EB1178"/>
    <w:rsid w:val="00EB136D"/>
    <w:rsid w:val="00EB1AC3"/>
    <w:rsid w:val="00EB22CB"/>
    <w:rsid w:val="00EB292E"/>
    <w:rsid w:val="00EB2991"/>
    <w:rsid w:val="00EB3ED7"/>
    <w:rsid w:val="00EB43BB"/>
    <w:rsid w:val="00EB5010"/>
    <w:rsid w:val="00EB5676"/>
    <w:rsid w:val="00EB6B07"/>
    <w:rsid w:val="00EB744E"/>
    <w:rsid w:val="00EC036C"/>
    <w:rsid w:val="00EC0551"/>
    <w:rsid w:val="00EC134C"/>
    <w:rsid w:val="00EC1516"/>
    <w:rsid w:val="00EC27EC"/>
    <w:rsid w:val="00EC2D02"/>
    <w:rsid w:val="00EC33E7"/>
    <w:rsid w:val="00EC422C"/>
    <w:rsid w:val="00EC4341"/>
    <w:rsid w:val="00EC6990"/>
    <w:rsid w:val="00EC6FB0"/>
    <w:rsid w:val="00EC7636"/>
    <w:rsid w:val="00EC7C88"/>
    <w:rsid w:val="00ED0357"/>
    <w:rsid w:val="00ED0464"/>
    <w:rsid w:val="00ED08BE"/>
    <w:rsid w:val="00ED1412"/>
    <w:rsid w:val="00ED53BB"/>
    <w:rsid w:val="00ED5950"/>
    <w:rsid w:val="00ED5AE0"/>
    <w:rsid w:val="00ED6EAB"/>
    <w:rsid w:val="00ED74D1"/>
    <w:rsid w:val="00ED767B"/>
    <w:rsid w:val="00ED76D1"/>
    <w:rsid w:val="00ED79BA"/>
    <w:rsid w:val="00ED7D05"/>
    <w:rsid w:val="00EE2532"/>
    <w:rsid w:val="00EE29D0"/>
    <w:rsid w:val="00EE325A"/>
    <w:rsid w:val="00EE45F2"/>
    <w:rsid w:val="00EE587B"/>
    <w:rsid w:val="00EE65D7"/>
    <w:rsid w:val="00EE684B"/>
    <w:rsid w:val="00EE702E"/>
    <w:rsid w:val="00EE710D"/>
    <w:rsid w:val="00EE71A9"/>
    <w:rsid w:val="00EE76F2"/>
    <w:rsid w:val="00EE7AB9"/>
    <w:rsid w:val="00EF0241"/>
    <w:rsid w:val="00EF063D"/>
    <w:rsid w:val="00EF09AD"/>
    <w:rsid w:val="00EF12CC"/>
    <w:rsid w:val="00EF1A1E"/>
    <w:rsid w:val="00EF300B"/>
    <w:rsid w:val="00EF3BCB"/>
    <w:rsid w:val="00EF4B2F"/>
    <w:rsid w:val="00EF51F8"/>
    <w:rsid w:val="00EF55E1"/>
    <w:rsid w:val="00EF5D54"/>
    <w:rsid w:val="00EF74BF"/>
    <w:rsid w:val="00EF754A"/>
    <w:rsid w:val="00F00505"/>
    <w:rsid w:val="00F006BD"/>
    <w:rsid w:val="00F0094D"/>
    <w:rsid w:val="00F011CF"/>
    <w:rsid w:val="00F01471"/>
    <w:rsid w:val="00F0167E"/>
    <w:rsid w:val="00F01781"/>
    <w:rsid w:val="00F019FC"/>
    <w:rsid w:val="00F02CE4"/>
    <w:rsid w:val="00F02DA2"/>
    <w:rsid w:val="00F02F82"/>
    <w:rsid w:val="00F03EA7"/>
    <w:rsid w:val="00F04CCE"/>
    <w:rsid w:val="00F06A0A"/>
    <w:rsid w:val="00F070D1"/>
    <w:rsid w:val="00F07887"/>
    <w:rsid w:val="00F10C0F"/>
    <w:rsid w:val="00F11F5E"/>
    <w:rsid w:val="00F12ADB"/>
    <w:rsid w:val="00F13125"/>
    <w:rsid w:val="00F14F4F"/>
    <w:rsid w:val="00F161E1"/>
    <w:rsid w:val="00F1630A"/>
    <w:rsid w:val="00F16B1F"/>
    <w:rsid w:val="00F172B0"/>
    <w:rsid w:val="00F20458"/>
    <w:rsid w:val="00F20AFC"/>
    <w:rsid w:val="00F21D5C"/>
    <w:rsid w:val="00F23436"/>
    <w:rsid w:val="00F23779"/>
    <w:rsid w:val="00F237D8"/>
    <w:rsid w:val="00F251AB"/>
    <w:rsid w:val="00F25945"/>
    <w:rsid w:val="00F259E4"/>
    <w:rsid w:val="00F25AFE"/>
    <w:rsid w:val="00F261BE"/>
    <w:rsid w:val="00F301C7"/>
    <w:rsid w:val="00F3070C"/>
    <w:rsid w:val="00F32403"/>
    <w:rsid w:val="00F32710"/>
    <w:rsid w:val="00F32D0E"/>
    <w:rsid w:val="00F33E3E"/>
    <w:rsid w:val="00F34273"/>
    <w:rsid w:val="00F3433E"/>
    <w:rsid w:val="00F34AD0"/>
    <w:rsid w:val="00F34F39"/>
    <w:rsid w:val="00F355ED"/>
    <w:rsid w:val="00F360E1"/>
    <w:rsid w:val="00F374C7"/>
    <w:rsid w:val="00F40302"/>
    <w:rsid w:val="00F42BF3"/>
    <w:rsid w:val="00F42CDD"/>
    <w:rsid w:val="00F436A1"/>
    <w:rsid w:val="00F436C3"/>
    <w:rsid w:val="00F44499"/>
    <w:rsid w:val="00F44CD9"/>
    <w:rsid w:val="00F45BF8"/>
    <w:rsid w:val="00F45C98"/>
    <w:rsid w:val="00F46749"/>
    <w:rsid w:val="00F46A5A"/>
    <w:rsid w:val="00F46EDA"/>
    <w:rsid w:val="00F4746E"/>
    <w:rsid w:val="00F47797"/>
    <w:rsid w:val="00F52DA8"/>
    <w:rsid w:val="00F5329F"/>
    <w:rsid w:val="00F532F5"/>
    <w:rsid w:val="00F545F1"/>
    <w:rsid w:val="00F5482B"/>
    <w:rsid w:val="00F55539"/>
    <w:rsid w:val="00F55EED"/>
    <w:rsid w:val="00F56F04"/>
    <w:rsid w:val="00F572CD"/>
    <w:rsid w:val="00F5771B"/>
    <w:rsid w:val="00F57CD7"/>
    <w:rsid w:val="00F609AB"/>
    <w:rsid w:val="00F61621"/>
    <w:rsid w:val="00F61801"/>
    <w:rsid w:val="00F634B4"/>
    <w:rsid w:val="00F64148"/>
    <w:rsid w:val="00F66260"/>
    <w:rsid w:val="00F67700"/>
    <w:rsid w:val="00F67857"/>
    <w:rsid w:val="00F67BC8"/>
    <w:rsid w:val="00F70EBF"/>
    <w:rsid w:val="00F7119F"/>
    <w:rsid w:val="00F714C7"/>
    <w:rsid w:val="00F71878"/>
    <w:rsid w:val="00F71955"/>
    <w:rsid w:val="00F72584"/>
    <w:rsid w:val="00F72ECD"/>
    <w:rsid w:val="00F73BEB"/>
    <w:rsid w:val="00F73E22"/>
    <w:rsid w:val="00F73F99"/>
    <w:rsid w:val="00F742E3"/>
    <w:rsid w:val="00F7476A"/>
    <w:rsid w:val="00F8180C"/>
    <w:rsid w:val="00F82CC1"/>
    <w:rsid w:val="00F83C0E"/>
    <w:rsid w:val="00F83EAD"/>
    <w:rsid w:val="00F84DFD"/>
    <w:rsid w:val="00F85360"/>
    <w:rsid w:val="00F854E7"/>
    <w:rsid w:val="00F856BB"/>
    <w:rsid w:val="00F85F22"/>
    <w:rsid w:val="00F862ED"/>
    <w:rsid w:val="00F8636A"/>
    <w:rsid w:val="00F8677F"/>
    <w:rsid w:val="00F87B8D"/>
    <w:rsid w:val="00F87CF0"/>
    <w:rsid w:val="00F92713"/>
    <w:rsid w:val="00F938E3"/>
    <w:rsid w:val="00F938F1"/>
    <w:rsid w:val="00F93947"/>
    <w:rsid w:val="00F93B2A"/>
    <w:rsid w:val="00F94A96"/>
    <w:rsid w:val="00F9535C"/>
    <w:rsid w:val="00F96383"/>
    <w:rsid w:val="00F97A95"/>
    <w:rsid w:val="00FA25FC"/>
    <w:rsid w:val="00FA307F"/>
    <w:rsid w:val="00FA3669"/>
    <w:rsid w:val="00FA3A60"/>
    <w:rsid w:val="00FA5D68"/>
    <w:rsid w:val="00FA6421"/>
    <w:rsid w:val="00FA74B4"/>
    <w:rsid w:val="00FB0013"/>
    <w:rsid w:val="00FB0374"/>
    <w:rsid w:val="00FB09FE"/>
    <w:rsid w:val="00FB0C48"/>
    <w:rsid w:val="00FB1FDC"/>
    <w:rsid w:val="00FB274E"/>
    <w:rsid w:val="00FB2DBE"/>
    <w:rsid w:val="00FB2E90"/>
    <w:rsid w:val="00FB49A5"/>
    <w:rsid w:val="00FB4BE5"/>
    <w:rsid w:val="00FC2188"/>
    <w:rsid w:val="00FC2E8A"/>
    <w:rsid w:val="00FC31B6"/>
    <w:rsid w:val="00FC348A"/>
    <w:rsid w:val="00FC4A9C"/>
    <w:rsid w:val="00FC4D43"/>
    <w:rsid w:val="00FC5C77"/>
    <w:rsid w:val="00FC6112"/>
    <w:rsid w:val="00FC6A1A"/>
    <w:rsid w:val="00FC71DE"/>
    <w:rsid w:val="00FD0231"/>
    <w:rsid w:val="00FD0863"/>
    <w:rsid w:val="00FD0ACF"/>
    <w:rsid w:val="00FD1ACC"/>
    <w:rsid w:val="00FD22B3"/>
    <w:rsid w:val="00FD3BCF"/>
    <w:rsid w:val="00FD4991"/>
    <w:rsid w:val="00FD5066"/>
    <w:rsid w:val="00FD598A"/>
    <w:rsid w:val="00FD5FD7"/>
    <w:rsid w:val="00FD62F6"/>
    <w:rsid w:val="00FD6CCA"/>
    <w:rsid w:val="00FD72C3"/>
    <w:rsid w:val="00FD7909"/>
    <w:rsid w:val="00FD7DD6"/>
    <w:rsid w:val="00FE1B52"/>
    <w:rsid w:val="00FE2045"/>
    <w:rsid w:val="00FE36C9"/>
    <w:rsid w:val="00FE3B6B"/>
    <w:rsid w:val="00FE6A7A"/>
    <w:rsid w:val="00FE6E67"/>
    <w:rsid w:val="00FE6EC1"/>
    <w:rsid w:val="00FF1042"/>
    <w:rsid w:val="00FF2677"/>
    <w:rsid w:val="00FF3417"/>
    <w:rsid w:val="00FF3635"/>
    <w:rsid w:val="00FF50A9"/>
    <w:rsid w:val="00FF5608"/>
    <w:rsid w:val="00FF64F5"/>
    <w:rsid w:val="00FF6D59"/>
    <w:rsid w:val="00FF6D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19A6B9A"/>
  <w15:docId w15:val="{1880A5EB-E79A-5848-8F51-72B6365E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entury Gothic" w:hAnsiTheme="minorHAnsi" w:cstheme="minorBidi"/>
        <w:lang w:val="en-AU" w:eastAsia="en-US" w:bidi="ar-SA"/>
      </w:rPr>
    </w:rPrDefault>
    <w:pPrDefault>
      <w:pPr>
        <w:spacing w:after="240"/>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0" w:unhideWhenUsed="1" w:qFormat="1"/>
    <w:lsdException w:name="heading 4" w:locked="0" w:semiHidden="1" w:uiPriority="3" w:qFormat="1"/>
    <w:lsdException w:name="heading 5" w:locked="0" w:semiHidden="1" w:uiPriority="3" w:qFormat="1"/>
    <w:lsdException w:name="heading 6" w:locked="0" w:semiHidden="1" w:uiPriority="3" w:qFormat="1"/>
    <w:lsdException w:name="heading 7" w:locked="0" w:semiHidden="1" w:uiPriority="3" w:unhideWhenUsed="1" w:qFormat="1"/>
    <w:lsdException w:name="heading 8" w:locked="0" w:semiHidden="1" w:uiPriority="3" w:unhideWhenUsed="1" w:qFormat="1"/>
    <w:lsdException w:name="heading 9" w:locked="0" w:semiHidden="1" w:uiPriority="3" w:unhideWhenUsed="1" w:qFormat="1"/>
    <w:lsdException w:name="index 1" w:locked="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5"/>
    <w:lsdException w:name="footnote text" w:semiHidden="1" w:unhideWhenUsed="1"/>
    <w:lsdException w:name="annotation text" w:locked="0" w:semiHidden="1" w:unhideWhenUsed="1"/>
    <w:lsdException w:name="header" w:locked="0" w:semiHidden="1" w:unhideWhenUsed="1"/>
    <w:lsdException w:name="footer" w:locked="0" w:semiHidden="1" w:uiPriority="10" w:unhideWhenUsed="1"/>
    <w:lsdException w:name="index heading" w:semiHidden="1" w:unhideWhenUsed="1"/>
    <w:lsdException w:name="caption" w:semiHidden="1" w:uiPriority="10" w:unhideWhenUsed="1" w:qFormat="1"/>
    <w:lsdException w:name="table of figures" w:semiHidden="1" w:unhideWhenUsed="1"/>
    <w:lsdException w:name="envelope address" w:semiHidden="1" w:uiPriority="98" w:unhideWhenUsed="1"/>
    <w:lsdException w:name="envelope return" w:semiHidden="1" w:uiPriority="98"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10" w:unhideWhenUsed="1"/>
    <w:lsdException w:name="endnote reference" w:semiHidden="1" w:uiPriority="98" w:unhideWhenUsed="1"/>
    <w:lsdException w:name="endnote text" w:semiHidden="1" w:uiPriority="98" w:unhideWhenUsed="1"/>
    <w:lsdException w:name="table of authorities" w:semiHidden="1" w:unhideWhenUsed="1"/>
    <w:lsdException w:name="macro" w:semiHidden="1" w:unhideWhenUsed="1"/>
    <w:lsdException w:name="toa heading" w:semiHidden="1" w:unhideWhenUsed="1"/>
    <w:lsdException w:name="List" w:locked="0" w:uiPriority="7" w:unhideWhenUsed="1"/>
    <w:lsdException w:name="List Bullet" w:locked="0" w:semiHidden="1" w:uiPriority="6" w:unhideWhenUsed="1" w:qFormat="1"/>
    <w:lsdException w:name="List Number" w:locked="0" w:semiHidden="1" w:uiPriority="7" w:qFormat="1"/>
    <w:lsdException w:name="List 2" w:locked="0" w:semiHidden="1" w:uiPriority="7" w:unhideWhenUsed="1"/>
    <w:lsdException w:name="List 3" w:locked="0" w:semiHidden="1" w:uiPriority="7" w:unhideWhenUsed="1"/>
    <w:lsdException w:name="List 4" w:semiHidden="1" w:uiPriority="7" w:unhideWhenUsed="1"/>
    <w:lsdException w:name="List 5" w:semiHidden="1" w:uiPriority="6" w:unhideWhenUsed="1"/>
    <w:lsdException w:name="List Bullet 2" w:locked="0" w:semiHidden="1" w:uiPriority="6" w:unhideWhenUsed="1"/>
    <w:lsdException w:name="List Bullet 3" w:locked="0" w:semiHidden="1" w:uiPriority="6" w:unhideWhenUsed="1"/>
    <w:lsdException w:name="List Bullet 4" w:locked="0" w:semiHidden="1" w:uiPriority="7" w:unhideWhenUsed="1"/>
    <w:lsdException w:name="List Bullet 5" w:locked="0" w:semiHidden="1" w:uiPriority="7" w:unhideWhenUsed="1"/>
    <w:lsdException w:name="List Number 2" w:locked="0" w:semiHidden="1" w:uiPriority="7" w:unhideWhenUsed="1"/>
    <w:lsdException w:name="List Number 3" w:locked="0" w:semiHidden="1" w:uiPriority="7" w:unhideWhenUsed="1"/>
    <w:lsdException w:name="List Number 4" w:locked="0" w:semiHidden="1" w:uiPriority="7" w:unhideWhenUsed="1"/>
    <w:lsdException w:name="List Number 5" w:locked="0" w:semiHidden="1" w:uiPriority="7" w:unhideWhenUsed="1"/>
    <w:lsdException w:name="Title" w:locked="0" w:uiPriority="10" w:qFormat="1"/>
    <w:lsdException w:name="Closing" w:semiHidden="1" w:uiPriority="98" w:unhideWhenUsed="1"/>
    <w:lsdException w:name="Signature" w:locked="0" w:semiHidden="1" w:uiPriority="10" w:unhideWhenUsed="1"/>
    <w:lsdException w:name="Default Paragraph Font" w:locked="0" w:semiHidden="1" w:uiPriority="1" w:unhideWhenUsed="1"/>
    <w:lsdException w:name="Body Text" w:locked="0" w:semiHidden="1" w:uiPriority="98" w:unhideWhenUsed="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11" w:qFormat="1"/>
    <w:lsdException w:name="Salutation" w:semiHidden="1"/>
    <w:lsdException w:name="Date" w:locked="0" w:semiHidden="1" w:uiPriority="10"/>
    <w:lsdException w:name="Body Text First Indent" w:semiHidden="1" w:uiPriority="98"/>
    <w:lsdException w:name="Body Text First Indent 2" w:semiHidden="1" w:uiPriority="98" w:unhideWhenUsed="1"/>
    <w:lsdException w:name="Note Heading" w:semiHidden="1" w:unhideWhenUsed="1"/>
    <w:lsdException w:name="Body Text 2" w:locked="0" w:semiHidden="1" w:uiPriority="98" w:unhideWhenUsed="1"/>
    <w:lsdException w:name="Body Text 3" w:locked="0" w:semiHidden="1" w:uiPriority="98" w:unhideWhenUsed="1"/>
    <w:lsdException w:name="Body Text Indent 2" w:semiHidden="1" w:uiPriority="98" w:unhideWhenUsed="1"/>
    <w:lsdException w:name="Body Text Indent 3" w:semiHidden="1" w:uiPriority="98" w:unhideWhenUsed="1"/>
    <w:lsdException w:name="Block Text" w:semiHidden="1" w:uiPriority="98" w:unhideWhenUsed="1"/>
    <w:lsdException w:name="Hyperlink" w:locked="0" w:semiHidden="1" w:unhideWhenUsed="1"/>
    <w:lsdException w:name="FollowedHyperlink" w:locked="0" w:semiHidden="1" w:uiPriority="98" w:unhideWhenUsed="1"/>
    <w:lsdException w:name="Strong" w:uiPriority="22" w:qFormat="1"/>
    <w:lsdException w:name="Emphasis" w:locked="0" w:uiPriority="8" w:qFormat="1"/>
    <w:lsdException w:name="Document Map" w:semiHidden="1" w:uiPriority="98" w:unhideWhenUsed="1"/>
    <w:lsdException w:name="Plain Text" w:semiHidden="1" w:unhideWhenUsed="1"/>
    <w:lsdException w:name="E-mail Signature" w:semiHidden="1" w:uiPriority="98"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8" w:unhideWhenUsed="1"/>
    <w:lsdException w:name="No List" w:locked="0"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8" w:unhideWhenUsed="1"/>
    <w:lsdException w:name="Table Grid" w:locked="0" w:uiPriority="39"/>
    <w:lsdException w:name="Table Theme" w:semiHidden="1" w:unhideWhenUsed="1"/>
    <w:lsdException w:name="Placeholder Text" w:locked="0" w:semiHidden="1"/>
    <w:lsdException w:name="No Spacing" w:locked="0"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0" w:qFormat="1"/>
    <w:lsdException w:name="Intense Quote" w:locked="0"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98" w:qFormat="1"/>
    <w:lsdException w:name="Subtle Reference" w:locked="0" w:uiPriority="98" w:qFormat="1"/>
    <w:lsdException w:name="Intense Reference" w:locked="0" w:uiPriority="98" w:qFormat="1"/>
    <w:lsdException w:name="Book Title" w:uiPriority="98"/>
    <w:lsdException w:name="Bibliography" w:semiHidden="1" w:uiPriority="37" w:unhideWhenUsed="1"/>
    <w:lsdException w:name="TOC Heading" w:locked="0"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5"/>
    <w:qFormat/>
    <w:rsid w:val="00302665"/>
    <w:pPr>
      <w:spacing w:after="120" w:line="360" w:lineRule="auto"/>
    </w:pPr>
    <w:rPr>
      <w:color w:val="000000" w:themeColor="text1"/>
      <w:sz w:val="22"/>
    </w:rPr>
  </w:style>
  <w:style w:type="paragraph" w:styleId="Heading1">
    <w:name w:val="heading 1"/>
    <w:aliases w:val="Heading 1 numbered"/>
    <w:next w:val="Normal"/>
    <w:link w:val="Heading1Char"/>
    <w:qFormat/>
    <w:rsid w:val="008014DD"/>
    <w:pPr>
      <w:keepNext/>
      <w:keepLines/>
      <w:numPr>
        <w:numId w:val="9"/>
      </w:numPr>
      <w:spacing w:before="190" w:after="190" w:line="280" w:lineRule="atLeast"/>
      <w:outlineLvl w:val="0"/>
    </w:pPr>
    <w:rPr>
      <w:rFonts w:asciiTheme="majorHAnsi" w:hAnsiTheme="majorHAnsi" w:cs="Century Gothic"/>
      <w:color w:val="931B2F" w:themeColor="background2"/>
      <w:sz w:val="54"/>
    </w:rPr>
  </w:style>
  <w:style w:type="paragraph" w:styleId="Heading2">
    <w:name w:val="heading 2"/>
    <w:basedOn w:val="Normal"/>
    <w:next w:val="Heading3Normal"/>
    <w:link w:val="Heading2Char"/>
    <w:uiPriority w:val="1"/>
    <w:qFormat/>
    <w:locked/>
    <w:rsid w:val="00DF5050"/>
    <w:pPr>
      <w:spacing w:before="190" w:after="190"/>
      <w:outlineLvl w:val="1"/>
    </w:pPr>
    <w:rPr>
      <w:rFonts w:asciiTheme="majorHAnsi" w:hAnsiTheme="majorHAnsi"/>
      <w:color w:val="931B2F" w:themeColor="background2"/>
      <w:sz w:val="32"/>
    </w:rPr>
  </w:style>
  <w:style w:type="paragraph" w:styleId="Heading3">
    <w:name w:val="heading 3"/>
    <w:basedOn w:val="Normal"/>
    <w:next w:val="Normal"/>
    <w:link w:val="Heading3Char"/>
    <w:qFormat/>
    <w:locked/>
    <w:rsid w:val="00CD237C"/>
    <w:pPr>
      <w:numPr>
        <w:ilvl w:val="2"/>
        <w:numId w:val="9"/>
      </w:numPr>
      <w:spacing w:before="190" w:after="190"/>
      <w:outlineLvl w:val="2"/>
    </w:pPr>
    <w:rPr>
      <w:rFonts w:asciiTheme="majorHAnsi" w:hAnsiTheme="majorHAnsi"/>
      <w:b/>
      <w:color w:val="8C8686" w:themeColor="accent4"/>
    </w:rPr>
  </w:style>
  <w:style w:type="paragraph" w:styleId="Heading4">
    <w:name w:val="heading 4"/>
    <w:basedOn w:val="Normal"/>
    <w:next w:val="Normal"/>
    <w:link w:val="Heading4Char"/>
    <w:uiPriority w:val="3"/>
    <w:semiHidden/>
    <w:qFormat/>
    <w:locked/>
    <w:rsid w:val="00656594"/>
    <w:pPr>
      <w:keepNext/>
      <w:keepLines/>
      <w:spacing w:before="200"/>
      <w:outlineLvl w:val="3"/>
    </w:pPr>
    <w:rPr>
      <w:rFonts w:eastAsiaTheme="majorEastAsia" w:cstheme="majorBidi"/>
      <w:b/>
      <w:i/>
      <w:iCs/>
    </w:rPr>
  </w:style>
  <w:style w:type="paragraph" w:styleId="Heading5">
    <w:name w:val="heading 5"/>
    <w:basedOn w:val="Heading4"/>
    <w:next w:val="Normal"/>
    <w:link w:val="Heading5Char"/>
    <w:uiPriority w:val="3"/>
    <w:semiHidden/>
    <w:qFormat/>
    <w:locked/>
    <w:rsid w:val="00656594"/>
    <w:pPr>
      <w:outlineLvl w:val="4"/>
    </w:pPr>
    <w:rPr>
      <w:i w:val="0"/>
    </w:rPr>
  </w:style>
  <w:style w:type="paragraph" w:styleId="Heading6">
    <w:name w:val="heading 6"/>
    <w:basedOn w:val="Heading4"/>
    <w:next w:val="Normal"/>
    <w:link w:val="Heading6Char"/>
    <w:uiPriority w:val="3"/>
    <w:semiHidden/>
    <w:qFormat/>
    <w:locked/>
    <w:rsid w:val="00656594"/>
    <w:pPr>
      <w:outlineLvl w:val="5"/>
    </w:pPr>
    <w:rPr>
      <w:i w:val="0"/>
    </w:rPr>
  </w:style>
  <w:style w:type="paragraph" w:styleId="Heading7">
    <w:name w:val="heading 7"/>
    <w:basedOn w:val="Heading4"/>
    <w:next w:val="Normal"/>
    <w:link w:val="Heading7Char"/>
    <w:uiPriority w:val="3"/>
    <w:semiHidden/>
    <w:qFormat/>
    <w:locked/>
    <w:rsid w:val="00656594"/>
    <w:pPr>
      <w:outlineLvl w:val="6"/>
    </w:pPr>
    <w:rPr>
      <w:i w:val="0"/>
      <w:iCs w:val="0"/>
    </w:rPr>
  </w:style>
  <w:style w:type="paragraph" w:styleId="Heading8">
    <w:name w:val="heading 8"/>
    <w:basedOn w:val="Heading4"/>
    <w:next w:val="Normal"/>
    <w:link w:val="Heading8Char"/>
    <w:uiPriority w:val="3"/>
    <w:semiHidden/>
    <w:qFormat/>
    <w:locked/>
    <w:rsid w:val="00656594"/>
    <w:pPr>
      <w:outlineLvl w:val="7"/>
    </w:pPr>
    <w:rPr>
      <w:i w:val="0"/>
      <w:color w:val="272727" w:themeColor="text1" w:themeTint="D8"/>
      <w:szCs w:val="21"/>
    </w:rPr>
  </w:style>
  <w:style w:type="paragraph" w:styleId="Heading9">
    <w:name w:val="heading 9"/>
    <w:basedOn w:val="Normal"/>
    <w:next w:val="Normal"/>
    <w:link w:val="Heading9Char"/>
    <w:uiPriority w:val="3"/>
    <w:semiHidden/>
    <w:qFormat/>
    <w:locked/>
    <w:rsid w:val="00656594"/>
    <w:pPr>
      <w:keepNext/>
      <w:keepLines/>
      <w:spacing w:before="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locked/>
    <w:rsid w:val="00A769FD"/>
    <w:pPr>
      <w:tabs>
        <w:tab w:val="left" w:pos="660"/>
        <w:tab w:val="right" w:leader="dot" w:pos="9638"/>
      </w:tabs>
      <w:ind w:left="709" w:hanging="709"/>
      <w:contextualSpacing/>
    </w:pPr>
    <w:rPr>
      <w:noProof/>
      <w:color w:val="931B2F" w:themeColor="background2"/>
      <w:sz w:val="24"/>
    </w:rPr>
  </w:style>
  <w:style w:type="paragraph" w:styleId="TOC2">
    <w:name w:val="toc 2"/>
    <w:basedOn w:val="Normal"/>
    <w:next w:val="Normal"/>
    <w:autoRedefine/>
    <w:uiPriority w:val="39"/>
    <w:locked/>
    <w:rsid w:val="001A4971"/>
    <w:pPr>
      <w:tabs>
        <w:tab w:val="left" w:pos="660"/>
        <w:tab w:val="right" w:leader="dot" w:pos="9638"/>
      </w:tabs>
      <w:ind w:left="709" w:hanging="709"/>
      <w:contextualSpacing/>
    </w:pPr>
    <w:rPr>
      <w:noProof/>
    </w:rPr>
  </w:style>
  <w:style w:type="numbering" w:customStyle="1" w:styleId="Bullets">
    <w:name w:val="_Bullets"/>
    <w:uiPriority w:val="99"/>
    <w:rsid w:val="003D0711"/>
    <w:pPr>
      <w:numPr>
        <w:numId w:val="2"/>
      </w:numPr>
    </w:pPr>
  </w:style>
  <w:style w:type="character" w:styleId="Hyperlink">
    <w:name w:val="Hyperlink"/>
    <w:basedOn w:val="DefaultParagraphFont"/>
    <w:uiPriority w:val="99"/>
    <w:locked/>
    <w:rsid w:val="007160EF"/>
    <w:rPr>
      <w:b w:val="0"/>
      <w:color w:val="931B2F" w:themeColor="background2"/>
      <w:u w:val="single"/>
    </w:rPr>
  </w:style>
  <w:style w:type="paragraph" w:customStyle="1" w:styleId="SignOff">
    <w:name w:val="Sign Off"/>
    <w:basedOn w:val="Normal"/>
    <w:uiPriority w:val="10"/>
    <w:semiHidden/>
    <w:rsid w:val="00BC264E"/>
    <w:pPr>
      <w:spacing w:before="488"/>
      <w:contextualSpacing/>
    </w:pPr>
  </w:style>
  <w:style w:type="paragraph" w:customStyle="1" w:styleId="Address">
    <w:name w:val="Address"/>
    <w:basedOn w:val="Normal"/>
    <w:uiPriority w:val="10"/>
    <w:semiHidden/>
    <w:locked/>
    <w:rsid w:val="00792CB0"/>
    <w:pPr>
      <w:spacing w:before="1360" w:after="1000" w:line="180" w:lineRule="atLeast"/>
      <w:contextualSpacing/>
    </w:pPr>
  </w:style>
  <w:style w:type="character" w:customStyle="1" w:styleId="Heading1Char">
    <w:name w:val="Heading 1 Char"/>
    <w:aliases w:val="Heading 1 numbered Char"/>
    <w:link w:val="Heading1"/>
    <w:rsid w:val="008014DD"/>
    <w:rPr>
      <w:rFonts w:asciiTheme="majorHAnsi" w:hAnsiTheme="majorHAnsi" w:cs="Century Gothic"/>
      <w:color w:val="931B2F" w:themeColor="background2"/>
      <w:sz w:val="54"/>
    </w:rPr>
  </w:style>
  <w:style w:type="character" w:customStyle="1" w:styleId="Heading2Char">
    <w:name w:val="Heading 2 Char"/>
    <w:basedOn w:val="DefaultParagraphFont"/>
    <w:link w:val="Heading2"/>
    <w:uiPriority w:val="1"/>
    <w:rsid w:val="00DF5050"/>
    <w:rPr>
      <w:rFonts w:asciiTheme="majorHAnsi" w:hAnsiTheme="majorHAnsi"/>
      <w:color w:val="931B2F" w:themeColor="background2"/>
      <w:sz w:val="32"/>
    </w:rPr>
  </w:style>
  <w:style w:type="character" w:customStyle="1" w:styleId="Heading3Char">
    <w:name w:val="Heading 3 Char"/>
    <w:basedOn w:val="DefaultParagraphFont"/>
    <w:link w:val="Heading3"/>
    <w:rsid w:val="00CD237C"/>
    <w:rPr>
      <w:rFonts w:asciiTheme="majorHAnsi" w:hAnsiTheme="majorHAnsi"/>
      <w:b/>
      <w:color w:val="8C8686" w:themeColor="accent4"/>
      <w:sz w:val="22"/>
    </w:rPr>
  </w:style>
  <w:style w:type="paragraph" w:styleId="CommentText">
    <w:name w:val="annotation text"/>
    <w:basedOn w:val="Normal"/>
    <w:link w:val="CommentTextChar"/>
    <w:uiPriority w:val="99"/>
    <w:semiHidden/>
    <w:locked/>
    <w:rsid w:val="00C9293F"/>
  </w:style>
  <w:style w:type="character" w:customStyle="1" w:styleId="CommentTextChar">
    <w:name w:val="Comment Text Char"/>
    <w:basedOn w:val="DefaultParagraphFont"/>
    <w:link w:val="CommentText"/>
    <w:uiPriority w:val="99"/>
    <w:semiHidden/>
    <w:rsid w:val="00684A2E"/>
    <w:rPr>
      <w:rFonts w:cs="Century Gothic"/>
      <w:color w:val="000000" w:themeColor="text1"/>
      <w:sz w:val="20"/>
      <w:szCs w:val="20"/>
      <w:lang w:eastAsia="en-AU"/>
    </w:rPr>
  </w:style>
  <w:style w:type="paragraph" w:styleId="Header">
    <w:name w:val="header"/>
    <w:basedOn w:val="Normal"/>
    <w:link w:val="HeaderChar"/>
    <w:uiPriority w:val="99"/>
    <w:semiHidden/>
    <w:locked/>
    <w:rsid w:val="00C9293F"/>
    <w:pPr>
      <w:tabs>
        <w:tab w:val="center" w:pos="4513"/>
        <w:tab w:val="right" w:pos="9026"/>
      </w:tabs>
    </w:pPr>
  </w:style>
  <w:style w:type="character" w:customStyle="1" w:styleId="HeaderChar">
    <w:name w:val="Header Char"/>
    <w:basedOn w:val="DefaultParagraphFont"/>
    <w:link w:val="Header"/>
    <w:uiPriority w:val="99"/>
    <w:semiHidden/>
    <w:rsid w:val="00C9293F"/>
    <w:rPr>
      <w:rFonts w:ascii="Century Gothic" w:eastAsia="Century Gothic" w:hAnsi="Century Gothic" w:cs="Century Gothic"/>
      <w:color w:val="490D17" w:themeColor="background2" w:themeShade="80"/>
      <w:sz w:val="18"/>
      <w:lang w:eastAsia="en-AU"/>
    </w:rPr>
  </w:style>
  <w:style w:type="paragraph" w:styleId="Footer">
    <w:name w:val="footer"/>
    <w:basedOn w:val="Normal"/>
    <w:link w:val="FooterChar"/>
    <w:uiPriority w:val="10"/>
    <w:semiHidden/>
    <w:locked/>
    <w:rsid w:val="0011199F"/>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10"/>
    <w:semiHidden/>
    <w:rsid w:val="0011199F"/>
    <w:rPr>
      <w:rFonts w:asciiTheme="majorHAnsi" w:hAnsiTheme="majorHAnsi"/>
      <w:color w:val="000000" w:themeColor="text1"/>
      <w:sz w:val="18"/>
    </w:rPr>
  </w:style>
  <w:style w:type="character" w:styleId="CommentReference">
    <w:name w:val="annotation reference"/>
    <w:basedOn w:val="DefaultParagraphFont"/>
    <w:semiHidden/>
    <w:locked/>
    <w:rsid w:val="00C9293F"/>
    <w:rPr>
      <w:sz w:val="16"/>
      <w:szCs w:val="16"/>
    </w:rPr>
  </w:style>
  <w:style w:type="paragraph" w:styleId="Title">
    <w:name w:val="Title"/>
    <w:basedOn w:val="Normal"/>
    <w:next w:val="Normal"/>
    <w:link w:val="TitleChar"/>
    <w:uiPriority w:val="10"/>
    <w:qFormat/>
    <w:locked/>
    <w:rsid w:val="00013DF3"/>
    <w:rPr>
      <w:rFonts w:asciiTheme="majorHAnsi" w:hAnsiTheme="majorHAnsi"/>
      <w:sz w:val="60"/>
    </w:rPr>
  </w:style>
  <w:style w:type="character" w:customStyle="1" w:styleId="TitleChar">
    <w:name w:val="Title Char"/>
    <w:basedOn w:val="DefaultParagraphFont"/>
    <w:link w:val="Title"/>
    <w:uiPriority w:val="10"/>
    <w:rsid w:val="00684A2E"/>
    <w:rPr>
      <w:rFonts w:asciiTheme="majorHAnsi" w:hAnsiTheme="majorHAnsi" w:cs="Century Gothic"/>
      <w:color w:val="000000" w:themeColor="text1"/>
      <w:sz w:val="60"/>
      <w:lang w:eastAsia="en-AU"/>
    </w:rPr>
  </w:style>
  <w:style w:type="paragraph" w:styleId="CommentSubject">
    <w:name w:val="annotation subject"/>
    <w:basedOn w:val="CommentText"/>
    <w:next w:val="CommentText"/>
    <w:link w:val="CommentSubjectChar"/>
    <w:uiPriority w:val="98"/>
    <w:semiHidden/>
    <w:locked/>
    <w:rsid w:val="00C9293F"/>
    <w:rPr>
      <w:b/>
      <w:bCs/>
    </w:rPr>
  </w:style>
  <w:style w:type="character" w:customStyle="1" w:styleId="CommentSubjectChar">
    <w:name w:val="Comment Subject Char"/>
    <w:basedOn w:val="CommentTextChar"/>
    <w:link w:val="CommentSubject"/>
    <w:uiPriority w:val="98"/>
    <w:semiHidden/>
    <w:rsid w:val="00684A2E"/>
    <w:rPr>
      <w:rFonts w:cs="Century Gothic"/>
      <w:b/>
      <w:bCs/>
      <w:color w:val="000000" w:themeColor="text1"/>
      <w:sz w:val="20"/>
      <w:szCs w:val="20"/>
      <w:lang w:eastAsia="en-AU"/>
    </w:rPr>
  </w:style>
  <w:style w:type="paragraph" w:styleId="BalloonText">
    <w:name w:val="Balloon Text"/>
    <w:basedOn w:val="Normal"/>
    <w:link w:val="BalloonTextChar"/>
    <w:uiPriority w:val="98"/>
    <w:semiHidden/>
    <w:locked/>
    <w:rsid w:val="002F546A"/>
    <w:rPr>
      <w:rFonts w:cs="Segoe UI"/>
      <w:szCs w:val="18"/>
    </w:rPr>
  </w:style>
  <w:style w:type="character" w:customStyle="1" w:styleId="BalloonTextChar">
    <w:name w:val="Balloon Text Char"/>
    <w:basedOn w:val="DefaultParagraphFont"/>
    <w:link w:val="BalloonText"/>
    <w:uiPriority w:val="98"/>
    <w:semiHidden/>
    <w:rsid w:val="00684A2E"/>
    <w:rPr>
      <w:rFonts w:cs="Segoe UI"/>
      <w:color w:val="000000" w:themeColor="text1"/>
      <w:sz w:val="20"/>
      <w:szCs w:val="18"/>
      <w:lang w:eastAsia="en-AU"/>
    </w:rPr>
  </w:style>
  <w:style w:type="table" w:styleId="TableGrid">
    <w:name w:val="Table Grid"/>
    <w:basedOn w:val="TableNormal"/>
    <w:uiPriority w:val="39"/>
    <w:locked/>
    <w:rsid w:val="00180E19"/>
    <w:pPr>
      <w:spacing w:after="0"/>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NoSpacing">
    <w:name w:val="No Spacing"/>
    <w:basedOn w:val="Normal"/>
    <w:link w:val="NoSpacingChar"/>
    <w:uiPriority w:val="7"/>
    <w:qFormat/>
    <w:locked/>
    <w:rsid w:val="004C7F80"/>
    <w:rPr>
      <w:rFonts w:eastAsia="Calibri" w:cs="Calibri"/>
    </w:rPr>
  </w:style>
  <w:style w:type="paragraph" w:styleId="ListParagraph">
    <w:name w:val="List Paragraph"/>
    <w:aliases w:val="List Paragraph11,List Paragraph1,Recommendation,Content descriptions,NFP GP Bulleted List,FooterText,numbered,Paragraphe de liste1,Bulletr List Paragraph,列出段落,列出段落1,List Paragraph2,List Paragraph21,Listeafsnit1,Parágrafo da Lista1,リスト段落1"/>
    <w:basedOn w:val="Normal"/>
    <w:link w:val="ListParagraphChar"/>
    <w:uiPriority w:val="34"/>
    <w:qFormat/>
    <w:locked/>
    <w:rsid w:val="001F0BE3"/>
    <w:pPr>
      <w:numPr>
        <w:numId w:val="1"/>
      </w:numPr>
      <w:contextualSpacing/>
    </w:pPr>
  </w:style>
  <w:style w:type="paragraph" w:styleId="ListBullet">
    <w:name w:val="List Bullet"/>
    <w:basedOn w:val="Normal"/>
    <w:uiPriority w:val="6"/>
    <w:qFormat/>
    <w:rsid w:val="003D0711"/>
    <w:pPr>
      <w:numPr>
        <w:numId w:val="10"/>
      </w:numPr>
      <w:spacing w:before="100" w:after="100"/>
    </w:pPr>
  </w:style>
  <w:style w:type="paragraph" w:styleId="ListBullet2">
    <w:name w:val="List Bullet 2"/>
    <w:basedOn w:val="Normal"/>
    <w:uiPriority w:val="6"/>
    <w:locked/>
    <w:rsid w:val="003D0711"/>
    <w:pPr>
      <w:numPr>
        <w:ilvl w:val="1"/>
        <w:numId w:val="10"/>
      </w:numPr>
      <w:spacing w:before="100" w:after="100"/>
    </w:pPr>
  </w:style>
  <w:style w:type="paragraph" w:styleId="ListBullet3">
    <w:name w:val="List Bullet 3"/>
    <w:basedOn w:val="Normal"/>
    <w:uiPriority w:val="6"/>
    <w:locked/>
    <w:rsid w:val="003D0711"/>
    <w:pPr>
      <w:numPr>
        <w:ilvl w:val="2"/>
        <w:numId w:val="10"/>
      </w:numPr>
      <w:spacing w:before="100" w:after="100"/>
      <w:contextualSpacing/>
    </w:pPr>
  </w:style>
  <w:style w:type="paragraph" w:styleId="ListBullet4">
    <w:name w:val="List Bullet 4"/>
    <w:basedOn w:val="Normal"/>
    <w:uiPriority w:val="7"/>
    <w:semiHidden/>
    <w:unhideWhenUsed/>
    <w:locked/>
    <w:rsid w:val="00466414"/>
    <w:pPr>
      <w:numPr>
        <w:ilvl w:val="3"/>
        <w:numId w:val="5"/>
      </w:numPr>
      <w:contextualSpacing/>
    </w:pPr>
  </w:style>
  <w:style w:type="paragraph" w:styleId="ListBullet5">
    <w:name w:val="List Bullet 5"/>
    <w:basedOn w:val="Normal"/>
    <w:uiPriority w:val="7"/>
    <w:semiHidden/>
    <w:unhideWhenUsed/>
    <w:locked/>
    <w:rsid w:val="00466414"/>
    <w:pPr>
      <w:numPr>
        <w:ilvl w:val="4"/>
        <w:numId w:val="3"/>
      </w:numPr>
      <w:contextualSpacing/>
    </w:pPr>
  </w:style>
  <w:style w:type="numbering" w:customStyle="1" w:styleId="NumberedList">
    <w:name w:val="_Numbered List"/>
    <w:uiPriority w:val="99"/>
    <w:rsid w:val="003D0711"/>
    <w:pPr>
      <w:numPr>
        <w:numId w:val="4"/>
      </w:numPr>
    </w:pPr>
  </w:style>
  <w:style w:type="paragraph" w:styleId="Quote">
    <w:name w:val="Quote"/>
    <w:basedOn w:val="Normal"/>
    <w:next w:val="Normal"/>
    <w:link w:val="QuoteChar"/>
    <w:uiPriority w:val="10"/>
    <w:qFormat/>
    <w:locked/>
    <w:rsid w:val="00C25003"/>
    <w:pPr>
      <w:pBdr>
        <w:top w:val="single" w:sz="8" w:space="10" w:color="808080" w:themeColor="background1" w:themeShade="80"/>
        <w:bottom w:val="single" w:sz="8" w:space="10" w:color="808080" w:themeColor="background1" w:themeShade="80"/>
      </w:pBdr>
      <w:spacing w:before="200" w:after="160"/>
    </w:pPr>
    <w:rPr>
      <w:i/>
      <w:iCs/>
      <w:color w:val="808080" w:themeColor="background1" w:themeShade="80"/>
    </w:rPr>
  </w:style>
  <w:style w:type="character" w:customStyle="1" w:styleId="QuoteChar">
    <w:name w:val="Quote Char"/>
    <w:basedOn w:val="DefaultParagraphFont"/>
    <w:link w:val="Quote"/>
    <w:uiPriority w:val="10"/>
    <w:rsid w:val="00082C4D"/>
    <w:rPr>
      <w:i/>
      <w:iCs/>
      <w:color w:val="808080" w:themeColor="background1" w:themeShade="80"/>
    </w:rPr>
  </w:style>
  <w:style w:type="paragraph" w:styleId="IntenseQuote">
    <w:name w:val="Intense Quote"/>
    <w:basedOn w:val="Normal"/>
    <w:next w:val="Normal"/>
    <w:link w:val="IntenseQuoteChar"/>
    <w:uiPriority w:val="98"/>
    <w:qFormat/>
    <w:locked/>
    <w:rsid w:val="00D16EFF"/>
    <w:pPr>
      <w:pBdr>
        <w:top w:val="single" w:sz="4" w:space="10" w:color="931B2F" w:themeColor="accent1"/>
        <w:bottom w:val="single" w:sz="4" w:space="10" w:color="931B2F" w:themeColor="accent1"/>
      </w:pBdr>
      <w:spacing w:before="200"/>
      <w:jc w:val="center"/>
    </w:pPr>
    <w:rPr>
      <w:i/>
      <w:iCs/>
      <w:color w:val="931B2F" w:themeColor="accent1"/>
    </w:rPr>
  </w:style>
  <w:style w:type="character" w:customStyle="1" w:styleId="IntenseQuoteChar">
    <w:name w:val="Intense Quote Char"/>
    <w:basedOn w:val="DefaultParagraphFont"/>
    <w:link w:val="IntenseQuote"/>
    <w:uiPriority w:val="98"/>
    <w:rsid w:val="00AF7437"/>
    <w:rPr>
      <w:rFonts w:cs="Century Gothic"/>
      <w:i/>
      <w:iCs/>
      <w:color w:val="931B2F" w:themeColor="accent1"/>
      <w:sz w:val="20"/>
      <w:lang w:eastAsia="en-AU"/>
    </w:rPr>
  </w:style>
  <w:style w:type="paragraph" w:styleId="BodyText">
    <w:name w:val="Body Text"/>
    <w:basedOn w:val="Normal"/>
    <w:link w:val="BodyTextChar"/>
    <w:uiPriority w:val="98"/>
    <w:semiHidden/>
    <w:locked/>
    <w:rsid w:val="00656594"/>
  </w:style>
  <w:style w:type="character" w:customStyle="1" w:styleId="BodyTextChar">
    <w:name w:val="Body Text Char"/>
    <w:basedOn w:val="DefaultParagraphFont"/>
    <w:link w:val="BodyText"/>
    <w:uiPriority w:val="98"/>
    <w:semiHidden/>
    <w:rsid w:val="00684A2E"/>
    <w:rPr>
      <w:rFonts w:cs="Century Gothic"/>
      <w:color w:val="000000" w:themeColor="text1"/>
      <w:sz w:val="20"/>
      <w:lang w:eastAsia="en-AU"/>
    </w:rPr>
  </w:style>
  <w:style w:type="paragraph" w:styleId="Date">
    <w:name w:val="Date"/>
    <w:basedOn w:val="Normal"/>
    <w:next w:val="Normal"/>
    <w:link w:val="DateChar"/>
    <w:uiPriority w:val="10"/>
    <w:semiHidden/>
    <w:locked/>
    <w:rsid w:val="00792CB0"/>
    <w:pPr>
      <w:spacing w:line="240" w:lineRule="auto"/>
    </w:pPr>
  </w:style>
  <w:style w:type="character" w:customStyle="1" w:styleId="DateChar">
    <w:name w:val="Date Char"/>
    <w:basedOn w:val="DefaultParagraphFont"/>
    <w:link w:val="Date"/>
    <w:uiPriority w:val="10"/>
    <w:semiHidden/>
    <w:rsid w:val="003B2A57"/>
    <w:rPr>
      <w:color w:val="000000" w:themeColor="text1"/>
      <w:sz w:val="16"/>
    </w:rPr>
  </w:style>
  <w:style w:type="character" w:customStyle="1" w:styleId="Heading4Char">
    <w:name w:val="Heading 4 Char"/>
    <w:basedOn w:val="DefaultParagraphFont"/>
    <w:link w:val="Heading4"/>
    <w:uiPriority w:val="3"/>
    <w:semiHidden/>
    <w:rsid w:val="001D3ADE"/>
    <w:rPr>
      <w:rFonts w:eastAsiaTheme="majorEastAsia" w:cstheme="majorBidi"/>
      <w:b/>
      <w:i/>
      <w:iCs/>
      <w:color w:val="000000" w:themeColor="text1"/>
      <w:sz w:val="19"/>
    </w:rPr>
  </w:style>
  <w:style w:type="character" w:customStyle="1" w:styleId="Heading5Char">
    <w:name w:val="Heading 5 Char"/>
    <w:basedOn w:val="DefaultParagraphFont"/>
    <w:link w:val="Heading5"/>
    <w:uiPriority w:val="3"/>
    <w:semiHidden/>
    <w:rsid w:val="001D3ADE"/>
    <w:rPr>
      <w:rFonts w:eastAsiaTheme="majorEastAsia" w:cstheme="majorBidi"/>
      <w:b/>
      <w:iCs/>
      <w:color w:val="000000" w:themeColor="text1"/>
      <w:sz w:val="19"/>
    </w:rPr>
  </w:style>
  <w:style w:type="character" w:customStyle="1" w:styleId="Heading6Char">
    <w:name w:val="Heading 6 Char"/>
    <w:basedOn w:val="DefaultParagraphFont"/>
    <w:link w:val="Heading6"/>
    <w:uiPriority w:val="3"/>
    <w:semiHidden/>
    <w:rsid w:val="001D3ADE"/>
    <w:rPr>
      <w:rFonts w:eastAsiaTheme="majorEastAsia" w:cstheme="majorBidi"/>
      <w:b/>
      <w:iCs/>
      <w:color w:val="000000" w:themeColor="text1"/>
      <w:sz w:val="19"/>
    </w:rPr>
  </w:style>
  <w:style w:type="character" w:customStyle="1" w:styleId="Heading7Char">
    <w:name w:val="Heading 7 Char"/>
    <w:basedOn w:val="DefaultParagraphFont"/>
    <w:link w:val="Heading7"/>
    <w:uiPriority w:val="3"/>
    <w:semiHidden/>
    <w:rsid w:val="001D3ADE"/>
    <w:rPr>
      <w:rFonts w:eastAsiaTheme="majorEastAsia" w:cstheme="majorBidi"/>
      <w:b/>
      <w:color w:val="000000" w:themeColor="text1"/>
      <w:sz w:val="19"/>
    </w:rPr>
  </w:style>
  <w:style w:type="character" w:customStyle="1" w:styleId="Heading8Char">
    <w:name w:val="Heading 8 Char"/>
    <w:basedOn w:val="DefaultParagraphFont"/>
    <w:link w:val="Heading8"/>
    <w:uiPriority w:val="3"/>
    <w:semiHidden/>
    <w:rsid w:val="001D3ADE"/>
    <w:rPr>
      <w:rFonts w:eastAsiaTheme="majorEastAsia" w:cstheme="majorBidi"/>
      <w:b/>
      <w:iCs/>
      <w:color w:val="272727" w:themeColor="text1" w:themeTint="D8"/>
      <w:sz w:val="19"/>
      <w:szCs w:val="21"/>
    </w:rPr>
  </w:style>
  <w:style w:type="character" w:customStyle="1" w:styleId="Heading9Char">
    <w:name w:val="Heading 9 Char"/>
    <w:basedOn w:val="DefaultParagraphFont"/>
    <w:link w:val="Heading9"/>
    <w:uiPriority w:val="3"/>
    <w:semiHidden/>
    <w:rsid w:val="001D3ADE"/>
    <w:rPr>
      <w:rFonts w:eastAsiaTheme="majorEastAsia" w:cstheme="majorBidi"/>
      <w:b/>
      <w:iCs/>
      <w:color w:val="272727" w:themeColor="text1" w:themeTint="D8"/>
      <w:sz w:val="19"/>
      <w:szCs w:val="21"/>
    </w:rPr>
  </w:style>
  <w:style w:type="paragraph" w:styleId="Subtitle">
    <w:name w:val="Subtitle"/>
    <w:next w:val="Normal"/>
    <w:link w:val="SubtitleChar"/>
    <w:uiPriority w:val="11"/>
    <w:qFormat/>
    <w:locked/>
    <w:rsid w:val="00656594"/>
    <w:pPr>
      <w:numPr>
        <w:ilvl w:val="1"/>
      </w:numPr>
      <w:spacing w:after="0"/>
    </w:pPr>
    <w:rPr>
      <w:rFonts w:asciiTheme="majorHAnsi" w:eastAsiaTheme="minorEastAsia" w:hAnsiTheme="majorHAnsi"/>
      <w:color w:val="000000" w:themeColor="text1"/>
      <w:sz w:val="40"/>
      <w:lang w:eastAsia="en-AU"/>
    </w:rPr>
  </w:style>
  <w:style w:type="character" w:customStyle="1" w:styleId="SubtitleChar">
    <w:name w:val="Subtitle Char"/>
    <w:basedOn w:val="DefaultParagraphFont"/>
    <w:link w:val="Subtitle"/>
    <w:uiPriority w:val="11"/>
    <w:rsid w:val="00082C4D"/>
    <w:rPr>
      <w:rFonts w:asciiTheme="majorHAnsi" w:eastAsiaTheme="minorEastAsia" w:hAnsiTheme="majorHAnsi"/>
      <w:color w:val="000000" w:themeColor="text1"/>
      <w:sz w:val="40"/>
      <w:lang w:eastAsia="en-AU"/>
    </w:rPr>
  </w:style>
  <w:style w:type="paragraph" w:styleId="BodyText2">
    <w:name w:val="Body Text 2"/>
    <w:basedOn w:val="Normal"/>
    <w:link w:val="BodyText2Char"/>
    <w:uiPriority w:val="98"/>
    <w:semiHidden/>
    <w:locked/>
    <w:rsid w:val="00656594"/>
  </w:style>
  <w:style w:type="character" w:customStyle="1" w:styleId="BodyText2Char">
    <w:name w:val="Body Text 2 Char"/>
    <w:basedOn w:val="DefaultParagraphFont"/>
    <w:link w:val="BodyText2"/>
    <w:uiPriority w:val="98"/>
    <w:semiHidden/>
    <w:rsid w:val="00684A2E"/>
    <w:rPr>
      <w:rFonts w:cs="Century Gothic"/>
      <w:color w:val="000000" w:themeColor="text1"/>
      <w:sz w:val="20"/>
      <w:lang w:eastAsia="en-AU"/>
    </w:rPr>
  </w:style>
  <w:style w:type="paragraph" w:styleId="BodyText3">
    <w:name w:val="Body Text 3"/>
    <w:basedOn w:val="Normal"/>
    <w:link w:val="BodyText3Char"/>
    <w:uiPriority w:val="98"/>
    <w:semiHidden/>
    <w:locked/>
    <w:rsid w:val="00656594"/>
    <w:rPr>
      <w:szCs w:val="16"/>
    </w:rPr>
  </w:style>
  <w:style w:type="character" w:customStyle="1" w:styleId="BodyText3Char">
    <w:name w:val="Body Text 3 Char"/>
    <w:basedOn w:val="DefaultParagraphFont"/>
    <w:link w:val="BodyText3"/>
    <w:uiPriority w:val="98"/>
    <w:semiHidden/>
    <w:rsid w:val="00684A2E"/>
    <w:rPr>
      <w:rFonts w:cs="Century Gothic"/>
      <w:color w:val="000000" w:themeColor="text1"/>
      <w:sz w:val="20"/>
      <w:szCs w:val="16"/>
      <w:lang w:eastAsia="en-AU"/>
    </w:rPr>
  </w:style>
  <w:style w:type="character" w:styleId="Emphasis">
    <w:name w:val="Emphasis"/>
    <w:basedOn w:val="DefaultParagraphFont"/>
    <w:uiPriority w:val="8"/>
    <w:qFormat/>
    <w:locked/>
    <w:rsid w:val="00656594"/>
    <w:rPr>
      <w:i/>
      <w:iCs/>
    </w:rPr>
  </w:style>
  <w:style w:type="character" w:styleId="IntenseEmphasis">
    <w:name w:val="Intense Emphasis"/>
    <w:basedOn w:val="DefaultParagraphFont"/>
    <w:uiPriority w:val="98"/>
    <w:qFormat/>
    <w:locked/>
    <w:rsid w:val="00656594"/>
    <w:rPr>
      <w:i/>
      <w:iCs/>
      <w:color w:val="931B2F" w:themeColor="accent1"/>
    </w:rPr>
  </w:style>
  <w:style w:type="paragraph" w:styleId="TOCHeading">
    <w:name w:val="TOC Heading"/>
    <w:basedOn w:val="Heading1"/>
    <w:next w:val="Normal"/>
    <w:uiPriority w:val="19"/>
    <w:semiHidden/>
    <w:qFormat/>
    <w:locked/>
    <w:rsid w:val="004A34D8"/>
    <w:pPr>
      <w:pageBreakBefore/>
      <w:numPr>
        <w:numId w:val="0"/>
      </w:numPr>
      <w:spacing w:before="400" w:after="1200"/>
      <w:outlineLvl w:val="9"/>
    </w:pPr>
    <w:rPr>
      <w:rFonts w:eastAsiaTheme="majorEastAsia" w:cstheme="majorBidi"/>
      <w:b/>
      <w:szCs w:val="32"/>
      <w:lang w:eastAsia="en-AU"/>
    </w:rPr>
  </w:style>
  <w:style w:type="paragraph" w:styleId="Index1">
    <w:name w:val="index 1"/>
    <w:basedOn w:val="Normal"/>
    <w:next w:val="Normal"/>
    <w:autoRedefine/>
    <w:uiPriority w:val="99"/>
    <w:semiHidden/>
    <w:locked/>
    <w:rsid w:val="002F546A"/>
    <w:pPr>
      <w:ind w:left="200" w:hanging="200"/>
    </w:pPr>
  </w:style>
  <w:style w:type="paragraph" w:styleId="MessageHeader">
    <w:name w:val="Message Header"/>
    <w:basedOn w:val="Normal"/>
    <w:link w:val="MessageHeaderChar"/>
    <w:uiPriority w:val="99"/>
    <w:semiHidden/>
    <w:locked/>
    <w:rsid w:val="0088736F"/>
    <w:pPr>
      <w:pBdr>
        <w:top w:val="single" w:sz="6" w:space="5" w:color="808080" w:themeColor="background1" w:themeShade="80"/>
        <w:left w:val="single" w:sz="6" w:space="5" w:color="808080" w:themeColor="background1" w:themeShade="80"/>
        <w:bottom w:val="single" w:sz="6" w:space="5" w:color="808080" w:themeColor="background1" w:themeShade="80"/>
        <w:right w:val="single" w:sz="6" w:space="5" w:color="808080" w:themeColor="background1" w:themeShade="80"/>
      </w:pBdr>
      <w:shd w:val="pct5" w:color="auto" w:fill="auto"/>
      <w:spacing w:before="40" w:after="40"/>
      <w:ind w:left="100" w:right="10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4A2E"/>
    <w:rPr>
      <w:rFonts w:asciiTheme="majorHAnsi" w:eastAsiaTheme="majorEastAsia" w:hAnsiTheme="majorHAnsi" w:cstheme="majorBidi"/>
      <w:color w:val="000000" w:themeColor="text1"/>
      <w:sz w:val="24"/>
      <w:szCs w:val="24"/>
      <w:shd w:val="pct5" w:color="auto" w:fill="auto"/>
      <w:lang w:eastAsia="en-AU"/>
    </w:rPr>
  </w:style>
  <w:style w:type="paragraph" w:styleId="Signature">
    <w:name w:val="Signature"/>
    <w:basedOn w:val="Normal"/>
    <w:link w:val="SignatureChar"/>
    <w:uiPriority w:val="10"/>
    <w:semiHidden/>
    <w:locked/>
    <w:rsid w:val="004C7F80"/>
    <w:pPr>
      <w:spacing w:before="624" w:after="1531"/>
    </w:pPr>
  </w:style>
  <w:style w:type="character" w:customStyle="1" w:styleId="SignatureChar">
    <w:name w:val="Signature Char"/>
    <w:basedOn w:val="DefaultParagraphFont"/>
    <w:link w:val="Signature"/>
    <w:uiPriority w:val="10"/>
    <w:semiHidden/>
    <w:rsid w:val="0088745D"/>
    <w:rPr>
      <w:color w:val="4D4D4D" w:themeColor="text2"/>
      <w:sz w:val="18"/>
    </w:rPr>
  </w:style>
  <w:style w:type="character" w:styleId="FollowedHyperlink">
    <w:name w:val="FollowedHyperlink"/>
    <w:basedOn w:val="DefaultParagraphFont"/>
    <w:uiPriority w:val="98"/>
    <w:semiHidden/>
    <w:locked/>
    <w:rsid w:val="0088736F"/>
    <w:rPr>
      <w:color w:val="000000" w:themeColor="text1"/>
      <w:u w:val="single"/>
    </w:rPr>
  </w:style>
  <w:style w:type="character" w:styleId="IntenseReference">
    <w:name w:val="Intense Reference"/>
    <w:basedOn w:val="DefaultParagraphFont"/>
    <w:uiPriority w:val="98"/>
    <w:qFormat/>
    <w:locked/>
    <w:rsid w:val="0088736F"/>
    <w:rPr>
      <w:rFonts w:asciiTheme="minorHAnsi" w:hAnsiTheme="minorHAnsi"/>
      <w:b/>
      <w:bCs/>
      <w:i w:val="0"/>
      <w:caps w:val="0"/>
      <w:smallCaps/>
      <w:color w:val="000000" w:themeColor="text1"/>
      <w:spacing w:val="0"/>
    </w:rPr>
  </w:style>
  <w:style w:type="character" w:styleId="SubtleReference">
    <w:name w:val="Subtle Reference"/>
    <w:basedOn w:val="DefaultParagraphFont"/>
    <w:uiPriority w:val="98"/>
    <w:qFormat/>
    <w:locked/>
    <w:rsid w:val="0088736F"/>
    <w:rPr>
      <w:smallCaps/>
      <w:color w:val="5A5A5A" w:themeColor="text1" w:themeTint="A5"/>
    </w:rPr>
  </w:style>
  <w:style w:type="paragraph" w:customStyle="1" w:styleId="spacer">
    <w:name w:val="spacer"/>
    <w:basedOn w:val="Footer"/>
    <w:uiPriority w:val="9"/>
    <w:semiHidden/>
    <w:locked/>
    <w:rsid w:val="00986606"/>
    <w:rPr>
      <w:sz w:val="2"/>
    </w:rPr>
  </w:style>
  <w:style w:type="character" w:styleId="FootnoteReference">
    <w:name w:val="footnote reference"/>
    <w:basedOn w:val="DefaultParagraphFont"/>
    <w:uiPriority w:val="99"/>
    <w:locked/>
    <w:rsid w:val="00AF7437"/>
    <w:rPr>
      <w:b/>
      <w:vertAlign w:val="superscript"/>
    </w:rPr>
  </w:style>
  <w:style w:type="paragraph" w:styleId="ListNumber4">
    <w:name w:val="List Number 4"/>
    <w:basedOn w:val="Normal"/>
    <w:uiPriority w:val="7"/>
    <w:semiHidden/>
    <w:locked/>
    <w:rsid w:val="003D0711"/>
    <w:pPr>
      <w:numPr>
        <w:ilvl w:val="3"/>
        <w:numId w:val="11"/>
      </w:numPr>
      <w:contextualSpacing/>
    </w:pPr>
  </w:style>
  <w:style w:type="paragraph" w:styleId="ListNumber5">
    <w:name w:val="List Number 5"/>
    <w:basedOn w:val="Normal"/>
    <w:uiPriority w:val="7"/>
    <w:semiHidden/>
    <w:locked/>
    <w:rsid w:val="003D0711"/>
    <w:pPr>
      <w:numPr>
        <w:ilvl w:val="4"/>
        <w:numId w:val="11"/>
      </w:numPr>
      <w:contextualSpacing/>
    </w:pPr>
  </w:style>
  <w:style w:type="numbering" w:customStyle="1" w:styleId="AlphaList">
    <w:name w:val="_Alpha List"/>
    <w:uiPriority w:val="99"/>
    <w:rsid w:val="003D0711"/>
    <w:pPr>
      <w:numPr>
        <w:numId w:val="6"/>
      </w:numPr>
    </w:pPr>
  </w:style>
  <w:style w:type="paragraph" w:styleId="List">
    <w:name w:val="List"/>
    <w:basedOn w:val="Normal"/>
    <w:uiPriority w:val="7"/>
    <w:rsid w:val="003D0711"/>
    <w:pPr>
      <w:numPr>
        <w:numId w:val="12"/>
      </w:numPr>
      <w:spacing w:before="100" w:after="100"/>
    </w:pPr>
  </w:style>
  <w:style w:type="paragraph" w:styleId="List2">
    <w:name w:val="List 2"/>
    <w:basedOn w:val="Normal"/>
    <w:uiPriority w:val="7"/>
    <w:locked/>
    <w:rsid w:val="003D0711"/>
    <w:pPr>
      <w:numPr>
        <w:ilvl w:val="1"/>
        <w:numId w:val="12"/>
      </w:numPr>
      <w:spacing w:before="100" w:after="100"/>
    </w:pPr>
  </w:style>
  <w:style w:type="paragraph" w:customStyle="1" w:styleId="TableText">
    <w:name w:val="Table Text"/>
    <w:basedOn w:val="NoSpacing"/>
    <w:uiPriority w:val="9"/>
    <w:locked/>
    <w:rsid w:val="000E6877"/>
    <w:pPr>
      <w:spacing w:after="60" w:line="240" w:lineRule="auto"/>
      <w:contextualSpacing/>
    </w:pPr>
  </w:style>
  <w:style w:type="character" w:customStyle="1" w:styleId="NoSpacingChar">
    <w:name w:val="No Spacing Char"/>
    <w:basedOn w:val="DefaultParagraphFont"/>
    <w:link w:val="NoSpacing"/>
    <w:uiPriority w:val="7"/>
    <w:rsid w:val="000424A0"/>
    <w:rPr>
      <w:rFonts w:eastAsia="Calibri" w:cs="Calibri"/>
      <w:color w:val="000000" w:themeColor="text1"/>
    </w:rPr>
  </w:style>
  <w:style w:type="character" w:styleId="PlaceholderText">
    <w:name w:val="Placeholder Text"/>
    <w:basedOn w:val="DefaultParagraphFont"/>
    <w:uiPriority w:val="99"/>
    <w:semiHidden/>
    <w:locked/>
    <w:rsid w:val="003F7F67"/>
    <w:rPr>
      <w:color w:val="FF0000"/>
    </w:rPr>
  </w:style>
  <w:style w:type="paragraph" w:styleId="FootnoteText">
    <w:name w:val="footnote text"/>
    <w:basedOn w:val="Normal"/>
    <w:link w:val="FootnoteTextChar"/>
    <w:uiPriority w:val="99"/>
    <w:locked/>
    <w:rsid w:val="00261151"/>
    <w:pPr>
      <w:spacing w:after="60" w:line="240" w:lineRule="auto"/>
    </w:pPr>
    <w:rPr>
      <w:rFonts w:eastAsiaTheme="minorEastAsia" w:cs="Times New Roman"/>
      <w:sz w:val="16"/>
      <w:lang w:val="en-US"/>
    </w:rPr>
  </w:style>
  <w:style w:type="character" w:customStyle="1" w:styleId="FootnoteTextChar">
    <w:name w:val="Footnote Text Char"/>
    <w:basedOn w:val="DefaultParagraphFont"/>
    <w:link w:val="FootnoteText"/>
    <w:uiPriority w:val="99"/>
    <w:rsid w:val="00261151"/>
    <w:rPr>
      <w:rFonts w:eastAsiaTheme="minorEastAsia" w:cs="Times New Roman"/>
      <w:color w:val="000000" w:themeColor="text1"/>
      <w:sz w:val="16"/>
      <w:lang w:val="en-US"/>
    </w:rPr>
  </w:style>
  <w:style w:type="table" w:customStyle="1" w:styleId="StandardTable">
    <w:name w:val="Standard Table"/>
    <w:basedOn w:val="TableNormal"/>
    <w:uiPriority w:val="99"/>
    <w:semiHidden/>
    <w:rsid w:val="00A449FF"/>
    <w:pPr>
      <w:spacing w:after="0"/>
    </w:pPr>
    <w:rPr>
      <w:sz w:val="18"/>
    </w:rPr>
    <w:tblPr>
      <w:tblStyleRowBandSize w:val="1"/>
      <w:tblStyleColBandSize w:val="1"/>
      <w:tblBorders>
        <w:bottom w:val="single" w:sz="2" w:space="0" w:color="auto"/>
        <w:insideH w:val="single" w:sz="4" w:space="0" w:color="000000" w:themeColor="text1"/>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rFonts w:asciiTheme="majorHAnsi" w:hAnsiTheme="majorHAnsi"/>
        <w:b/>
        <w:color w:val="4D4D4D" w:themeColor="text2"/>
      </w:rPr>
      <w:tblPr/>
      <w:tcPr>
        <w:tcBorders>
          <w:bottom w:val="nil"/>
        </w:tcBorders>
      </w:tcPr>
    </w:tblStylePr>
    <w:tblStylePr w:type="lastRow">
      <w:tblPr/>
      <w:tcPr>
        <w:tcBorders>
          <w:top w:val="double" w:sz="4" w:space="0" w:color="4D4D4D" w:themeColor="text2"/>
        </w:tcBorders>
      </w:tcPr>
    </w:tblStylePr>
  </w:style>
  <w:style w:type="paragraph" w:customStyle="1" w:styleId="Header1">
    <w:name w:val="Header 1"/>
    <w:uiPriority w:val="9"/>
    <w:semiHidden/>
    <w:locked/>
    <w:rsid w:val="007338F0"/>
    <w:pPr>
      <w:spacing w:after="0"/>
      <w:ind w:right="28"/>
    </w:pPr>
    <w:rPr>
      <w:rFonts w:eastAsiaTheme="minorEastAsia" w:cs="Century Gothic"/>
      <w:caps/>
      <w:noProof/>
      <w:color w:val="000000" w:themeColor="text1"/>
      <w:sz w:val="16"/>
      <w:lang w:eastAsia="en-AU"/>
    </w:rPr>
  </w:style>
  <w:style w:type="paragraph" w:customStyle="1" w:styleId="BasicParagraph">
    <w:name w:val="[Basic Paragraph]"/>
    <w:basedOn w:val="Normal"/>
    <w:uiPriority w:val="99"/>
    <w:rsid w:val="00302D06"/>
    <w:pPr>
      <w:autoSpaceDE w:val="0"/>
      <w:autoSpaceDN w:val="0"/>
      <w:adjustRightInd w:val="0"/>
      <w:spacing w:line="288" w:lineRule="auto"/>
      <w:textAlignment w:val="center"/>
    </w:pPr>
    <w:rPr>
      <w:rFonts w:ascii="Minion Pro" w:hAnsi="Minion Pro" w:cs="Minion Pro"/>
      <w:color w:val="000000"/>
      <w:sz w:val="24"/>
      <w:szCs w:val="24"/>
      <w:lang w:val="en-US"/>
    </w:rPr>
  </w:style>
  <w:style w:type="table" w:customStyle="1" w:styleId="TableGrid1">
    <w:name w:val="Table Grid1"/>
    <w:basedOn w:val="TableNormal"/>
    <w:next w:val="TableGrid"/>
    <w:semiHidden/>
    <w:rsid w:val="00ED0464"/>
    <w:rPr>
      <w:rFonts w:ascii="Times New Roman" w:eastAsia="Times New Roman" w:hAnsi="Times New Roman" w:cs="Times New Roman"/>
      <w:color w:val="848589"/>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uiPriority w:val="10"/>
    <w:qFormat/>
    <w:rsid w:val="003A2D95"/>
    <w:pPr>
      <w:keepNext/>
      <w:spacing w:after="0"/>
    </w:pPr>
    <w:rPr>
      <w:rFonts w:asciiTheme="majorHAnsi" w:hAnsiTheme="majorHAnsi"/>
      <w:b/>
      <w:color w:val="FFFFFF" w:themeColor="background1"/>
    </w:rPr>
  </w:style>
  <w:style w:type="table" w:styleId="ColorfulGrid">
    <w:name w:val="Colorful Grid"/>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4C6CD" w:themeFill="accent1" w:themeFillTint="33"/>
    </w:tcPr>
    <w:tblStylePr w:type="firstRow">
      <w:rPr>
        <w:b/>
        <w:bCs/>
      </w:rPr>
      <w:tblPr/>
      <w:tcPr>
        <w:shd w:val="clear" w:color="auto" w:fill="EA8D9C" w:themeFill="accent1" w:themeFillTint="66"/>
      </w:tcPr>
    </w:tblStylePr>
    <w:tblStylePr w:type="lastRow">
      <w:rPr>
        <w:b/>
        <w:bCs/>
        <w:color w:val="000000" w:themeColor="text1"/>
      </w:rPr>
      <w:tblPr/>
      <w:tcPr>
        <w:shd w:val="clear" w:color="auto" w:fill="EA8D9C" w:themeFill="accent1" w:themeFillTint="66"/>
      </w:tcPr>
    </w:tblStylePr>
    <w:tblStylePr w:type="firstCol">
      <w:rPr>
        <w:color w:val="FFFFFF" w:themeColor="background1"/>
      </w:rPr>
      <w:tblPr/>
      <w:tcPr>
        <w:shd w:val="clear" w:color="auto" w:fill="6D1423" w:themeFill="accent1" w:themeFillShade="BF"/>
      </w:tcPr>
    </w:tblStylePr>
    <w:tblStylePr w:type="lastCol">
      <w:rPr>
        <w:color w:val="FFFFFF" w:themeColor="background1"/>
      </w:rPr>
      <w:tblPr/>
      <w:tcPr>
        <w:shd w:val="clear" w:color="auto" w:fill="6D1423" w:themeFill="accent1" w:themeFillShade="BF"/>
      </w:tc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ColorfulGrid-Accent2">
    <w:name w:val="Colorful Grid Accent 2"/>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FDEE1" w:themeFill="accent2" w:themeFillTint="33"/>
    </w:tcPr>
    <w:tblStylePr w:type="firstRow">
      <w:rPr>
        <w:b/>
        <w:bCs/>
      </w:rPr>
      <w:tblPr/>
      <w:tcPr>
        <w:shd w:val="clear" w:color="auto" w:fill="E0BEC4" w:themeFill="accent2" w:themeFillTint="66"/>
      </w:tcPr>
    </w:tblStylePr>
    <w:tblStylePr w:type="lastRow">
      <w:rPr>
        <w:b/>
        <w:bCs/>
        <w:color w:val="000000" w:themeColor="text1"/>
      </w:rPr>
      <w:tblPr/>
      <w:tcPr>
        <w:shd w:val="clear" w:color="auto" w:fill="E0BEC4" w:themeFill="accent2" w:themeFillTint="66"/>
      </w:tcPr>
    </w:tblStylePr>
    <w:tblStylePr w:type="firstCol">
      <w:rPr>
        <w:color w:val="FFFFFF" w:themeColor="background1"/>
      </w:rPr>
      <w:tblPr/>
      <w:tcPr>
        <w:shd w:val="clear" w:color="auto" w:fill="8A424E" w:themeFill="accent2" w:themeFillShade="BF"/>
      </w:tcPr>
    </w:tblStylePr>
    <w:tblStylePr w:type="lastCol">
      <w:rPr>
        <w:color w:val="FFFFFF" w:themeColor="background1"/>
      </w:rPr>
      <w:tblPr/>
      <w:tcPr>
        <w:shd w:val="clear" w:color="auto" w:fill="8A424E" w:themeFill="accent2" w:themeFillShade="BF"/>
      </w:tc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ColorfulGrid-Accent3">
    <w:name w:val="Colorful Grid Accent 3"/>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0000" w:themeColor="text1"/>
      </w:rPr>
      <w:tblPr/>
      <w:tcPr>
        <w:shd w:val="clear" w:color="auto" w:fill="F5F5F5" w:themeFill="accent3" w:themeFillTint="66"/>
      </w:tcPr>
    </w:tblStylePr>
    <w:tblStylePr w:type="firstCol">
      <w:rPr>
        <w:color w:val="FFFFFF" w:themeColor="background1"/>
      </w:rPr>
      <w:tblPr/>
      <w:tcPr>
        <w:shd w:val="clear" w:color="auto" w:fill="AFABAB" w:themeFill="accent3" w:themeFillShade="BF"/>
      </w:tcPr>
    </w:tblStylePr>
    <w:tblStylePr w:type="lastCol">
      <w:rPr>
        <w:color w:val="FFFFFF" w:themeColor="background1"/>
      </w:rPr>
      <w:tblPr/>
      <w:tcPr>
        <w:shd w:val="clear" w:color="auto" w:fill="AFABAB" w:themeFill="accent3" w:themeFillShade="BF"/>
      </w:tc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ColorfulGrid-Accent4">
    <w:name w:val="Colorful Grid Accent 4"/>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E8E6E6" w:themeFill="accent4" w:themeFillTint="33"/>
    </w:tcPr>
    <w:tblStylePr w:type="firstRow">
      <w:rPr>
        <w:b/>
        <w:bCs/>
      </w:rPr>
      <w:tblPr/>
      <w:tcPr>
        <w:shd w:val="clear" w:color="auto" w:fill="D1CECE" w:themeFill="accent4" w:themeFillTint="66"/>
      </w:tcPr>
    </w:tblStylePr>
    <w:tblStylePr w:type="lastRow">
      <w:rPr>
        <w:b/>
        <w:bCs/>
        <w:color w:val="000000" w:themeColor="text1"/>
      </w:rPr>
      <w:tblPr/>
      <w:tcPr>
        <w:shd w:val="clear" w:color="auto" w:fill="D1CECE" w:themeFill="accent4" w:themeFillTint="66"/>
      </w:tcPr>
    </w:tblStylePr>
    <w:tblStylePr w:type="firstCol">
      <w:rPr>
        <w:color w:val="FFFFFF" w:themeColor="background1"/>
      </w:rPr>
      <w:tblPr/>
      <w:tcPr>
        <w:shd w:val="clear" w:color="auto" w:fill="696464" w:themeFill="accent4" w:themeFillShade="BF"/>
      </w:tcPr>
    </w:tblStylePr>
    <w:tblStylePr w:type="lastCol">
      <w:rPr>
        <w:color w:val="FFFFFF" w:themeColor="background1"/>
      </w:rPr>
      <w:tblPr/>
      <w:tcPr>
        <w:shd w:val="clear" w:color="auto" w:fill="696464" w:themeFill="accent4" w:themeFillShade="BF"/>
      </w:tc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ColorfulGrid-Accent5">
    <w:name w:val="Colorful Grid Accent 5"/>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D5D3D3" w:themeFill="accent5" w:themeFillTint="33"/>
    </w:tcPr>
    <w:tblStylePr w:type="firstRow">
      <w:rPr>
        <w:b/>
        <w:bCs/>
      </w:rPr>
      <w:tblPr/>
      <w:tcPr>
        <w:shd w:val="clear" w:color="auto" w:fill="ACA8A8" w:themeFill="accent5" w:themeFillTint="66"/>
      </w:tcPr>
    </w:tblStylePr>
    <w:tblStylePr w:type="lastRow">
      <w:rPr>
        <w:b/>
        <w:bCs/>
        <w:color w:val="000000" w:themeColor="text1"/>
      </w:rPr>
      <w:tblPr/>
      <w:tcPr>
        <w:shd w:val="clear" w:color="auto" w:fill="ACA8A8" w:themeFill="accent5" w:themeFillTint="66"/>
      </w:tcPr>
    </w:tblStylePr>
    <w:tblStylePr w:type="firstCol">
      <w:rPr>
        <w:color w:val="FFFFFF" w:themeColor="background1"/>
      </w:rPr>
      <w:tblPr/>
      <w:tcPr>
        <w:shd w:val="clear" w:color="auto" w:fill="201F1F" w:themeFill="accent5" w:themeFillShade="BF"/>
      </w:tcPr>
    </w:tblStylePr>
    <w:tblStylePr w:type="lastCol">
      <w:rPr>
        <w:color w:val="FFFFFF" w:themeColor="background1"/>
      </w:rPr>
      <w:tblPr/>
      <w:tcPr>
        <w:shd w:val="clear" w:color="auto" w:fill="201F1F" w:themeFill="accent5" w:themeFillShade="BF"/>
      </w:tc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ColorfulGrid-Accent6">
    <w:name w:val="Colorful Grid Accent 6"/>
    <w:basedOn w:val="TableNormal"/>
    <w:uiPriority w:val="73"/>
    <w:semiHidden/>
    <w:unhideWhenUsed/>
    <w:locked/>
    <w:rsid w:val="00C551E1"/>
    <w:pPr>
      <w:spacing w:after="0"/>
    </w:pPr>
    <w:rPr>
      <w:color w:val="000000" w:themeColor="text1"/>
    </w:rPr>
    <w:tblPr>
      <w:tblStyleRowBandSize w:val="1"/>
      <w:tblStyleColBandSize w:val="1"/>
      <w:tblBorders>
        <w:insideH w:val="single" w:sz="4" w:space="0" w:color="FFFFFF" w:themeColor="background1"/>
      </w:tblBorders>
    </w:tblPr>
    <w:tcPr>
      <w:shd w:val="clear" w:color="auto" w:fill="F1B7C1" w:themeFill="accent6" w:themeFillTint="33"/>
    </w:tcPr>
    <w:tblStylePr w:type="firstRow">
      <w:rPr>
        <w:b/>
        <w:bCs/>
      </w:rPr>
      <w:tblPr/>
      <w:tcPr>
        <w:shd w:val="clear" w:color="auto" w:fill="E47083" w:themeFill="accent6" w:themeFillTint="66"/>
      </w:tcPr>
    </w:tblStylePr>
    <w:tblStylePr w:type="lastRow">
      <w:rPr>
        <w:b/>
        <w:bCs/>
        <w:color w:val="000000" w:themeColor="text1"/>
      </w:rPr>
      <w:tblPr/>
      <w:tcPr>
        <w:shd w:val="clear" w:color="auto" w:fill="E47083" w:themeFill="accent6" w:themeFillTint="66"/>
      </w:tcPr>
    </w:tblStylePr>
    <w:tblStylePr w:type="firstCol">
      <w:rPr>
        <w:color w:val="FFFFFF" w:themeColor="background1"/>
      </w:rPr>
      <w:tblPr/>
      <w:tcPr>
        <w:shd w:val="clear" w:color="auto" w:fill="370A11" w:themeFill="accent6" w:themeFillShade="BF"/>
      </w:tcPr>
    </w:tblStylePr>
    <w:tblStylePr w:type="lastCol">
      <w:rPr>
        <w:color w:val="FFFFFF" w:themeColor="background1"/>
      </w:rPr>
      <w:tblPr/>
      <w:tcPr>
        <w:shd w:val="clear" w:color="auto" w:fill="370A11" w:themeFill="accent6" w:themeFillShade="BF"/>
      </w:tc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ColorfulList">
    <w:name w:val="Colorful List"/>
    <w:basedOn w:val="TableNormal"/>
    <w:uiPriority w:val="72"/>
    <w:semiHidden/>
    <w:unhideWhenUsed/>
    <w:locked/>
    <w:rsid w:val="00C551E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C551E1"/>
    <w:pPr>
      <w:spacing w:after="0"/>
    </w:pPr>
    <w:rPr>
      <w:color w:val="000000" w:themeColor="text1"/>
    </w:rPr>
    <w:tblPr>
      <w:tblStyleRowBandSize w:val="1"/>
      <w:tblStyleColBandSize w:val="1"/>
    </w:tblPr>
    <w:tcPr>
      <w:shd w:val="clear" w:color="auto" w:fill="FAE3E6" w:themeFill="accent1"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8C1" w:themeFill="accent1" w:themeFillTint="3F"/>
      </w:tcPr>
    </w:tblStylePr>
    <w:tblStylePr w:type="band1Horz">
      <w:tblPr/>
      <w:tcPr>
        <w:shd w:val="clear" w:color="auto" w:fill="F4C6CD" w:themeFill="accent1" w:themeFillTint="33"/>
      </w:tcPr>
    </w:tblStylePr>
  </w:style>
  <w:style w:type="table" w:styleId="ColorfulList-Accent2">
    <w:name w:val="Colorful List Accent 2"/>
    <w:basedOn w:val="TableNormal"/>
    <w:uiPriority w:val="72"/>
    <w:semiHidden/>
    <w:unhideWhenUsed/>
    <w:locked/>
    <w:rsid w:val="00C551E1"/>
    <w:pPr>
      <w:spacing w:after="0"/>
    </w:pPr>
    <w:rPr>
      <w:color w:val="000000" w:themeColor="text1"/>
    </w:rPr>
    <w:tblPr>
      <w:tblStyleRowBandSize w:val="1"/>
      <w:tblStyleColBandSize w:val="1"/>
    </w:tblPr>
    <w:tcPr>
      <w:shd w:val="clear" w:color="auto" w:fill="F7EFF0" w:themeFill="accent2" w:themeFillTint="19"/>
    </w:tcPr>
    <w:tblStylePr w:type="firstRow">
      <w:rPr>
        <w:b/>
        <w:bCs/>
        <w:color w:val="FFFFFF" w:themeColor="background1"/>
      </w:rPr>
      <w:tblPr/>
      <w:tcPr>
        <w:tcBorders>
          <w:bottom w:val="single" w:sz="12" w:space="0" w:color="FFFFFF" w:themeColor="background1"/>
        </w:tcBorders>
        <w:shd w:val="clear" w:color="auto" w:fill="944653" w:themeFill="accent2" w:themeFillShade="CC"/>
      </w:tcPr>
    </w:tblStylePr>
    <w:tblStylePr w:type="lastRow">
      <w:rPr>
        <w:b/>
        <w:bCs/>
        <w:color w:val="94465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7DA" w:themeFill="accent2" w:themeFillTint="3F"/>
      </w:tcPr>
    </w:tblStylePr>
    <w:tblStylePr w:type="band1Horz">
      <w:tblPr/>
      <w:tcPr>
        <w:shd w:val="clear" w:color="auto" w:fill="EFDEE1" w:themeFill="accent2" w:themeFillTint="33"/>
      </w:tcPr>
    </w:tblStylePr>
  </w:style>
  <w:style w:type="table" w:styleId="ColorfulList-Accent3">
    <w:name w:val="Colorful List Accent 3"/>
    <w:basedOn w:val="TableNormal"/>
    <w:uiPriority w:val="72"/>
    <w:semiHidden/>
    <w:unhideWhenUsed/>
    <w:locked/>
    <w:rsid w:val="00C551E1"/>
    <w:pPr>
      <w:spacing w:after="0"/>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706A6A" w:themeFill="accent4" w:themeFillShade="CC"/>
      </w:tcPr>
    </w:tblStylePr>
    <w:tblStylePr w:type="lastRow">
      <w:rPr>
        <w:b/>
        <w:bCs/>
        <w:color w:val="706A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ColorfulList-Accent4">
    <w:name w:val="Colorful List Accent 4"/>
    <w:basedOn w:val="TableNormal"/>
    <w:uiPriority w:val="72"/>
    <w:semiHidden/>
    <w:unhideWhenUsed/>
    <w:locked/>
    <w:rsid w:val="00C551E1"/>
    <w:pPr>
      <w:spacing w:after="0"/>
    </w:pPr>
    <w:rPr>
      <w:color w:val="000000" w:themeColor="text1"/>
    </w:rPr>
    <w:tblPr>
      <w:tblStyleRowBandSize w:val="1"/>
      <w:tblStyleColBandSize w:val="1"/>
    </w:tblPr>
    <w:tcPr>
      <w:shd w:val="clear" w:color="auto" w:fill="F3F3F3" w:themeFill="accent4" w:themeFillTint="19"/>
    </w:tcPr>
    <w:tblStylePr w:type="firstRow">
      <w:rPr>
        <w:b/>
        <w:bCs/>
        <w:color w:val="FFFFFF" w:themeColor="background1"/>
      </w:rPr>
      <w:tblPr/>
      <w:tcPr>
        <w:tcBorders>
          <w:bottom w:val="single" w:sz="12" w:space="0" w:color="FFFFFF" w:themeColor="background1"/>
        </w:tcBorders>
        <w:shd w:val="clear" w:color="auto" w:fill="BAB7B7" w:themeFill="accent3" w:themeFillShade="CC"/>
      </w:tcPr>
    </w:tblStylePr>
    <w:tblStylePr w:type="lastRow">
      <w:rPr>
        <w:b/>
        <w:bCs/>
        <w:color w:val="BAB7B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1" w:themeFill="accent4" w:themeFillTint="3F"/>
      </w:tcPr>
    </w:tblStylePr>
    <w:tblStylePr w:type="band1Horz">
      <w:tblPr/>
      <w:tcPr>
        <w:shd w:val="clear" w:color="auto" w:fill="E8E6E6" w:themeFill="accent4" w:themeFillTint="33"/>
      </w:tcPr>
    </w:tblStylePr>
  </w:style>
  <w:style w:type="table" w:styleId="ColorfulList-Accent5">
    <w:name w:val="Colorful List Accent 5"/>
    <w:basedOn w:val="TableNormal"/>
    <w:uiPriority w:val="72"/>
    <w:semiHidden/>
    <w:unhideWhenUsed/>
    <w:locked/>
    <w:rsid w:val="00C551E1"/>
    <w:pPr>
      <w:spacing w:after="0"/>
    </w:pPr>
    <w:rPr>
      <w:color w:val="000000" w:themeColor="text1"/>
    </w:rPr>
    <w:tblPr>
      <w:tblStyleRowBandSize w:val="1"/>
      <w:tblStyleColBandSize w:val="1"/>
    </w:tblPr>
    <w:tcPr>
      <w:shd w:val="clear" w:color="auto" w:fill="EAE9E9" w:themeFill="accent5" w:themeFillTint="19"/>
    </w:tcPr>
    <w:tblStylePr w:type="firstRow">
      <w:rPr>
        <w:b/>
        <w:bCs/>
        <w:color w:val="FFFFFF" w:themeColor="background1"/>
      </w:rPr>
      <w:tblPr/>
      <w:tcPr>
        <w:tcBorders>
          <w:bottom w:val="single" w:sz="12" w:space="0" w:color="FFFFFF" w:themeColor="background1"/>
        </w:tcBorders>
        <w:shd w:val="clear" w:color="auto" w:fill="3B0B13" w:themeFill="accent6" w:themeFillShade="CC"/>
      </w:tcPr>
    </w:tblStylePr>
    <w:tblStylePr w:type="lastRow">
      <w:rPr>
        <w:b/>
        <w:bCs/>
        <w:color w:val="3B0B1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9C9" w:themeFill="accent5" w:themeFillTint="3F"/>
      </w:tcPr>
    </w:tblStylePr>
    <w:tblStylePr w:type="band1Horz">
      <w:tblPr/>
      <w:tcPr>
        <w:shd w:val="clear" w:color="auto" w:fill="D5D3D3" w:themeFill="accent5" w:themeFillTint="33"/>
      </w:tcPr>
    </w:tblStylePr>
  </w:style>
  <w:style w:type="table" w:styleId="ColorfulList-Accent6">
    <w:name w:val="Colorful List Accent 6"/>
    <w:basedOn w:val="TableNormal"/>
    <w:uiPriority w:val="72"/>
    <w:semiHidden/>
    <w:unhideWhenUsed/>
    <w:locked/>
    <w:rsid w:val="00C551E1"/>
    <w:pPr>
      <w:spacing w:after="0"/>
    </w:pPr>
    <w:rPr>
      <w:color w:val="000000" w:themeColor="text1"/>
    </w:rPr>
    <w:tblPr>
      <w:tblStyleRowBandSize w:val="1"/>
      <w:tblStyleColBandSize w:val="1"/>
    </w:tblPr>
    <w:tcPr>
      <w:shd w:val="clear" w:color="auto" w:fill="F8DBE0" w:themeFill="accent6" w:themeFillTint="19"/>
    </w:tcPr>
    <w:tblStylePr w:type="firstRow">
      <w:rPr>
        <w:b/>
        <w:bCs/>
        <w:color w:val="FFFFFF" w:themeColor="background1"/>
      </w:rPr>
      <w:tblPr/>
      <w:tcPr>
        <w:tcBorders>
          <w:bottom w:val="single" w:sz="12" w:space="0" w:color="FFFFFF" w:themeColor="background1"/>
        </w:tcBorders>
        <w:shd w:val="clear" w:color="auto" w:fill="232121" w:themeFill="accent5" w:themeFillShade="CC"/>
      </w:tcPr>
    </w:tblStylePr>
    <w:tblStylePr w:type="lastRow">
      <w:rPr>
        <w:b/>
        <w:bCs/>
        <w:color w:val="2321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A7B2" w:themeFill="accent6" w:themeFillTint="3F"/>
      </w:tcPr>
    </w:tblStylePr>
    <w:tblStylePr w:type="band1Horz">
      <w:tblPr/>
      <w:tcPr>
        <w:shd w:val="clear" w:color="auto" w:fill="F1B7C1" w:themeFill="accent6" w:themeFillTint="33"/>
      </w:tcPr>
    </w:tblStylePr>
  </w:style>
  <w:style w:type="table" w:styleId="ColorfulShading">
    <w:name w:val="Colorful Shading"/>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931B2F" w:themeColor="accent1"/>
        <w:bottom w:val="single" w:sz="4" w:space="0" w:color="931B2F" w:themeColor="accent1"/>
        <w:right w:val="single" w:sz="4" w:space="0" w:color="931B2F" w:themeColor="accent1"/>
        <w:insideH w:val="single" w:sz="4" w:space="0" w:color="FFFFFF" w:themeColor="background1"/>
        <w:insideV w:val="single" w:sz="4" w:space="0" w:color="FFFFFF" w:themeColor="background1"/>
      </w:tblBorders>
    </w:tblPr>
    <w:tcPr>
      <w:shd w:val="clear" w:color="auto" w:fill="FAE3E6" w:themeFill="accent1"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101C" w:themeFill="accent1" w:themeFillShade="99"/>
      </w:tcPr>
    </w:tblStylePr>
    <w:tblStylePr w:type="firstCol">
      <w:rPr>
        <w:color w:val="FFFFFF" w:themeColor="background1"/>
      </w:rPr>
      <w:tblPr/>
      <w:tcPr>
        <w:tcBorders>
          <w:top w:val="nil"/>
          <w:left w:val="nil"/>
          <w:bottom w:val="nil"/>
          <w:right w:val="nil"/>
          <w:insideH w:val="single" w:sz="4" w:space="0" w:color="58101C" w:themeColor="accent1" w:themeShade="99"/>
          <w:insideV w:val="nil"/>
        </w:tcBorders>
        <w:shd w:val="clear" w:color="auto" w:fill="5810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8101C" w:themeFill="accent1" w:themeFillShade="99"/>
      </w:tcPr>
    </w:tblStylePr>
    <w:tblStylePr w:type="band1Vert">
      <w:tblPr/>
      <w:tcPr>
        <w:shd w:val="clear" w:color="auto" w:fill="EA8D9C" w:themeFill="accent1" w:themeFillTint="66"/>
      </w:tcPr>
    </w:tblStylePr>
    <w:tblStylePr w:type="band1Horz">
      <w:tblPr/>
      <w:tcPr>
        <w:shd w:val="clear" w:color="auto" w:fill="E571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B35F6D" w:themeColor="accent2"/>
        <w:left w:val="single" w:sz="4" w:space="0" w:color="B35F6D" w:themeColor="accent2"/>
        <w:bottom w:val="single" w:sz="4" w:space="0" w:color="B35F6D" w:themeColor="accent2"/>
        <w:right w:val="single" w:sz="4" w:space="0" w:color="B35F6D" w:themeColor="accent2"/>
        <w:insideH w:val="single" w:sz="4" w:space="0" w:color="FFFFFF" w:themeColor="background1"/>
        <w:insideV w:val="single" w:sz="4" w:space="0" w:color="FFFFFF" w:themeColor="background1"/>
      </w:tblBorders>
    </w:tblPr>
    <w:tcPr>
      <w:shd w:val="clear" w:color="auto" w:fill="F7EFF0" w:themeFill="accent2" w:themeFillTint="19"/>
    </w:tcPr>
    <w:tblStylePr w:type="firstRow">
      <w:rPr>
        <w:b/>
        <w:bCs/>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F353E" w:themeFill="accent2" w:themeFillShade="99"/>
      </w:tcPr>
    </w:tblStylePr>
    <w:tblStylePr w:type="firstCol">
      <w:rPr>
        <w:color w:val="FFFFFF" w:themeColor="background1"/>
      </w:rPr>
      <w:tblPr/>
      <w:tcPr>
        <w:tcBorders>
          <w:top w:val="nil"/>
          <w:left w:val="nil"/>
          <w:bottom w:val="nil"/>
          <w:right w:val="nil"/>
          <w:insideH w:val="single" w:sz="4" w:space="0" w:color="6F353E" w:themeColor="accent2" w:themeShade="99"/>
          <w:insideV w:val="nil"/>
        </w:tcBorders>
        <w:shd w:val="clear" w:color="auto" w:fill="6F35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F353E" w:themeFill="accent2" w:themeFillShade="99"/>
      </w:tcPr>
    </w:tblStylePr>
    <w:tblStylePr w:type="band1Vert">
      <w:tblPr/>
      <w:tcPr>
        <w:shd w:val="clear" w:color="auto" w:fill="E0BEC4" w:themeFill="accent2" w:themeFillTint="66"/>
      </w:tcPr>
    </w:tblStylePr>
    <w:tblStylePr w:type="band1Horz">
      <w:tblPr/>
      <w:tcPr>
        <w:shd w:val="clear" w:color="auto" w:fill="D9AFB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8C8686" w:themeColor="accent4"/>
        <w:left w:val="single" w:sz="4" w:space="0" w:color="E8E7E7" w:themeColor="accent3"/>
        <w:bottom w:val="single" w:sz="4" w:space="0" w:color="E8E7E7" w:themeColor="accent3"/>
        <w:right w:val="single" w:sz="4" w:space="0" w:color="E8E7E7"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8888" w:themeFill="accent3" w:themeFillShade="99"/>
      </w:tcPr>
    </w:tblStylePr>
    <w:tblStylePr w:type="firstCol">
      <w:rPr>
        <w:color w:val="FFFFFF" w:themeColor="background1"/>
      </w:rPr>
      <w:tblPr/>
      <w:tcPr>
        <w:tcBorders>
          <w:top w:val="nil"/>
          <w:left w:val="nil"/>
          <w:bottom w:val="nil"/>
          <w:right w:val="nil"/>
          <w:insideH w:val="single" w:sz="4" w:space="0" w:color="8D8888" w:themeColor="accent3" w:themeShade="99"/>
          <w:insideV w:val="nil"/>
        </w:tcBorders>
        <w:shd w:val="clear" w:color="auto" w:fill="8D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D8888" w:themeFill="accent3" w:themeFillShade="99"/>
      </w:tcPr>
    </w:tblStylePr>
    <w:tblStylePr w:type="band1Vert">
      <w:tblPr/>
      <w:tcPr>
        <w:shd w:val="clear" w:color="auto" w:fill="F5F5F5" w:themeFill="accent3" w:themeFillTint="66"/>
      </w:tcPr>
    </w:tblStylePr>
    <w:tblStylePr w:type="band1Horz">
      <w:tblPr/>
      <w:tcPr>
        <w:shd w:val="clear" w:color="auto" w:fill="F3F2F2" w:themeFill="accent3" w:themeFillTint="7F"/>
      </w:tcPr>
    </w:tblStylePr>
  </w:style>
  <w:style w:type="table" w:styleId="ColorfulShading-Accent4">
    <w:name w:val="Colorful Shading Accent 4"/>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E8E7E7" w:themeColor="accent3"/>
        <w:left w:val="single" w:sz="4" w:space="0" w:color="8C8686" w:themeColor="accent4"/>
        <w:bottom w:val="single" w:sz="4" w:space="0" w:color="8C8686" w:themeColor="accent4"/>
        <w:right w:val="single" w:sz="4" w:space="0" w:color="8C8686" w:themeColor="accent4"/>
        <w:insideH w:val="single" w:sz="4" w:space="0" w:color="FFFFFF" w:themeColor="background1"/>
        <w:insideV w:val="single" w:sz="4" w:space="0" w:color="FFFFFF" w:themeColor="background1"/>
      </w:tblBorders>
    </w:tblPr>
    <w:tcPr>
      <w:shd w:val="clear" w:color="auto" w:fill="F3F3F3" w:themeFill="accent4" w:themeFillTint="19"/>
    </w:tcPr>
    <w:tblStylePr w:type="firstRow">
      <w:rPr>
        <w:b/>
        <w:bCs/>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5050" w:themeFill="accent4" w:themeFillShade="99"/>
      </w:tcPr>
    </w:tblStylePr>
    <w:tblStylePr w:type="firstCol">
      <w:rPr>
        <w:color w:val="FFFFFF" w:themeColor="background1"/>
      </w:rPr>
      <w:tblPr/>
      <w:tcPr>
        <w:tcBorders>
          <w:top w:val="nil"/>
          <w:left w:val="nil"/>
          <w:bottom w:val="nil"/>
          <w:right w:val="nil"/>
          <w:insideH w:val="single" w:sz="4" w:space="0" w:color="545050" w:themeColor="accent4" w:themeShade="99"/>
          <w:insideV w:val="nil"/>
        </w:tcBorders>
        <w:shd w:val="clear" w:color="auto" w:fill="5450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5050" w:themeFill="accent4" w:themeFillShade="99"/>
      </w:tcPr>
    </w:tblStylePr>
    <w:tblStylePr w:type="band1Vert">
      <w:tblPr/>
      <w:tcPr>
        <w:shd w:val="clear" w:color="auto" w:fill="D1CECE" w:themeFill="accent4" w:themeFillTint="66"/>
      </w:tcPr>
    </w:tblStylePr>
    <w:tblStylePr w:type="band1Horz">
      <w:tblPr/>
      <w:tcPr>
        <w:shd w:val="clear" w:color="auto" w:fill="C5C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4A0E18" w:themeColor="accent6"/>
        <w:left w:val="single" w:sz="4" w:space="0" w:color="2C2A2A" w:themeColor="accent5"/>
        <w:bottom w:val="single" w:sz="4" w:space="0" w:color="2C2A2A" w:themeColor="accent5"/>
        <w:right w:val="single" w:sz="4" w:space="0" w:color="2C2A2A" w:themeColor="accent5"/>
        <w:insideH w:val="single" w:sz="4" w:space="0" w:color="FFFFFF" w:themeColor="background1"/>
        <w:insideV w:val="single" w:sz="4" w:space="0" w:color="FFFFFF" w:themeColor="background1"/>
      </w:tblBorders>
    </w:tblPr>
    <w:tcPr>
      <w:shd w:val="clear" w:color="auto" w:fill="EAE9E9" w:themeFill="accent5" w:themeFillTint="19"/>
    </w:tcPr>
    <w:tblStylePr w:type="firstRow">
      <w:rPr>
        <w:b/>
        <w:bCs/>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1919" w:themeFill="accent5" w:themeFillShade="99"/>
      </w:tcPr>
    </w:tblStylePr>
    <w:tblStylePr w:type="firstCol">
      <w:rPr>
        <w:color w:val="FFFFFF" w:themeColor="background1"/>
      </w:rPr>
      <w:tblPr/>
      <w:tcPr>
        <w:tcBorders>
          <w:top w:val="nil"/>
          <w:left w:val="nil"/>
          <w:bottom w:val="nil"/>
          <w:right w:val="nil"/>
          <w:insideH w:val="single" w:sz="4" w:space="0" w:color="1A1919" w:themeColor="accent5" w:themeShade="99"/>
          <w:insideV w:val="nil"/>
        </w:tcBorders>
        <w:shd w:val="clear" w:color="auto" w:fill="1A19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accent5" w:themeFillShade="99"/>
      </w:tcPr>
    </w:tblStylePr>
    <w:tblStylePr w:type="band1Vert">
      <w:tblPr/>
      <w:tcPr>
        <w:shd w:val="clear" w:color="auto" w:fill="ACA8A8" w:themeFill="accent5" w:themeFillTint="66"/>
      </w:tcPr>
    </w:tblStylePr>
    <w:tblStylePr w:type="band1Horz">
      <w:tblPr/>
      <w:tcPr>
        <w:shd w:val="clear" w:color="auto" w:fill="97929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C551E1"/>
    <w:pPr>
      <w:spacing w:after="0"/>
    </w:pPr>
    <w:rPr>
      <w:color w:val="000000" w:themeColor="text1"/>
    </w:rPr>
    <w:tblPr>
      <w:tblStyleRowBandSize w:val="1"/>
      <w:tblStyleColBandSize w:val="1"/>
      <w:tblBorders>
        <w:top w:val="single" w:sz="24" w:space="0" w:color="2C2A2A" w:themeColor="accent5"/>
        <w:left w:val="single" w:sz="4" w:space="0" w:color="4A0E18" w:themeColor="accent6"/>
        <w:bottom w:val="single" w:sz="4" w:space="0" w:color="4A0E18" w:themeColor="accent6"/>
        <w:right w:val="single" w:sz="4" w:space="0" w:color="4A0E18" w:themeColor="accent6"/>
        <w:insideH w:val="single" w:sz="4" w:space="0" w:color="FFFFFF" w:themeColor="background1"/>
        <w:insideV w:val="single" w:sz="4" w:space="0" w:color="FFFFFF" w:themeColor="background1"/>
      </w:tblBorders>
    </w:tblPr>
    <w:tcPr>
      <w:shd w:val="clear" w:color="auto" w:fill="F8DBE0" w:themeFill="accent6" w:themeFillTint="19"/>
    </w:tcPr>
    <w:tblStylePr w:type="firstRow">
      <w:rPr>
        <w:b/>
        <w:bCs/>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080E" w:themeFill="accent6" w:themeFillShade="99"/>
      </w:tcPr>
    </w:tblStylePr>
    <w:tblStylePr w:type="firstCol">
      <w:rPr>
        <w:color w:val="FFFFFF" w:themeColor="background1"/>
      </w:rPr>
      <w:tblPr/>
      <w:tcPr>
        <w:tcBorders>
          <w:top w:val="nil"/>
          <w:left w:val="nil"/>
          <w:bottom w:val="nil"/>
          <w:right w:val="nil"/>
          <w:insideH w:val="single" w:sz="4" w:space="0" w:color="2C080E" w:themeColor="accent6" w:themeShade="99"/>
          <w:insideV w:val="nil"/>
        </w:tcBorders>
        <w:shd w:val="clear" w:color="auto" w:fill="2C080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080E" w:themeFill="accent6" w:themeFillShade="99"/>
      </w:tcPr>
    </w:tblStylePr>
    <w:tblStylePr w:type="band1Vert">
      <w:tblPr/>
      <w:tcPr>
        <w:shd w:val="clear" w:color="auto" w:fill="E47083" w:themeFill="accent6" w:themeFillTint="66"/>
      </w:tcPr>
    </w:tblStylePr>
    <w:tblStylePr w:type="band1Horz">
      <w:tblPr/>
      <w:tcPr>
        <w:shd w:val="clear" w:color="auto" w:fill="DD4E6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93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0D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4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423" w:themeFill="accent1" w:themeFillShade="BF"/>
      </w:tcPr>
    </w:tblStylePr>
    <w:tblStylePr w:type="band1Vert">
      <w:tblPr/>
      <w:tcPr>
        <w:tcBorders>
          <w:top w:val="nil"/>
          <w:left w:val="nil"/>
          <w:bottom w:val="nil"/>
          <w:right w:val="nil"/>
          <w:insideH w:val="nil"/>
          <w:insideV w:val="nil"/>
        </w:tcBorders>
        <w:shd w:val="clear" w:color="auto" w:fill="6D1423" w:themeFill="accent1" w:themeFillShade="BF"/>
      </w:tcPr>
    </w:tblStylePr>
    <w:tblStylePr w:type="band1Horz">
      <w:tblPr/>
      <w:tcPr>
        <w:tcBorders>
          <w:top w:val="nil"/>
          <w:left w:val="nil"/>
          <w:bottom w:val="nil"/>
          <w:right w:val="nil"/>
          <w:insideH w:val="nil"/>
          <w:insideV w:val="nil"/>
        </w:tcBorders>
        <w:shd w:val="clear" w:color="auto" w:fill="6D1423" w:themeFill="accent1" w:themeFillShade="BF"/>
      </w:tcPr>
    </w:tblStylePr>
  </w:style>
  <w:style w:type="table" w:styleId="DarkList-Accent2">
    <w:name w:val="Dark List Accent 2"/>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B35F6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C2C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A42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A424E" w:themeFill="accent2" w:themeFillShade="BF"/>
      </w:tcPr>
    </w:tblStylePr>
    <w:tblStylePr w:type="band1Vert">
      <w:tblPr/>
      <w:tcPr>
        <w:tcBorders>
          <w:top w:val="nil"/>
          <w:left w:val="nil"/>
          <w:bottom w:val="nil"/>
          <w:right w:val="nil"/>
          <w:insideH w:val="nil"/>
          <w:insideV w:val="nil"/>
        </w:tcBorders>
        <w:shd w:val="clear" w:color="auto" w:fill="8A424E" w:themeFill="accent2" w:themeFillShade="BF"/>
      </w:tcPr>
    </w:tblStylePr>
    <w:tblStylePr w:type="band1Horz">
      <w:tblPr/>
      <w:tcPr>
        <w:tcBorders>
          <w:top w:val="nil"/>
          <w:left w:val="nil"/>
          <w:bottom w:val="nil"/>
          <w:right w:val="nil"/>
          <w:insideH w:val="nil"/>
          <w:insideV w:val="nil"/>
        </w:tcBorders>
        <w:shd w:val="clear" w:color="auto" w:fill="8A424E" w:themeFill="accent2" w:themeFillShade="BF"/>
      </w:tcPr>
    </w:tblStylePr>
  </w:style>
  <w:style w:type="table" w:styleId="DarkList-Accent3">
    <w:name w:val="Dark List Accent 3"/>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E8E7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707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FABA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FABAB" w:themeFill="accent3" w:themeFillShade="BF"/>
      </w:tcPr>
    </w:tblStylePr>
    <w:tblStylePr w:type="band1Vert">
      <w:tblPr/>
      <w:tcPr>
        <w:tcBorders>
          <w:top w:val="nil"/>
          <w:left w:val="nil"/>
          <w:bottom w:val="nil"/>
          <w:right w:val="nil"/>
          <w:insideH w:val="nil"/>
          <w:insideV w:val="nil"/>
        </w:tcBorders>
        <w:shd w:val="clear" w:color="auto" w:fill="AFABAB" w:themeFill="accent3" w:themeFillShade="BF"/>
      </w:tcPr>
    </w:tblStylePr>
    <w:tblStylePr w:type="band1Horz">
      <w:tblPr/>
      <w:tcPr>
        <w:tcBorders>
          <w:top w:val="nil"/>
          <w:left w:val="nil"/>
          <w:bottom w:val="nil"/>
          <w:right w:val="nil"/>
          <w:insideH w:val="nil"/>
          <w:insideV w:val="nil"/>
        </w:tcBorders>
        <w:shd w:val="clear" w:color="auto" w:fill="AFABAB" w:themeFill="accent3" w:themeFillShade="BF"/>
      </w:tcPr>
    </w:tblStylePr>
  </w:style>
  <w:style w:type="table" w:styleId="DarkList-Accent4">
    <w:name w:val="Dark List Accent 4"/>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8C868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4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64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6464" w:themeFill="accent4" w:themeFillShade="BF"/>
      </w:tcPr>
    </w:tblStylePr>
    <w:tblStylePr w:type="band1Vert">
      <w:tblPr/>
      <w:tcPr>
        <w:tcBorders>
          <w:top w:val="nil"/>
          <w:left w:val="nil"/>
          <w:bottom w:val="nil"/>
          <w:right w:val="nil"/>
          <w:insideH w:val="nil"/>
          <w:insideV w:val="nil"/>
        </w:tcBorders>
        <w:shd w:val="clear" w:color="auto" w:fill="696464" w:themeFill="accent4" w:themeFillShade="BF"/>
      </w:tcPr>
    </w:tblStylePr>
    <w:tblStylePr w:type="band1Horz">
      <w:tblPr/>
      <w:tcPr>
        <w:tcBorders>
          <w:top w:val="nil"/>
          <w:left w:val="nil"/>
          <w:bottom w:val="nil"/>
          <w:right w:val="nil"/>
          <w:insideH w:val="nil"/>
          <w:insideV w:val="nil"/>
        </w:tcBorders>
        <w:shd w:val="clear" w:color="auto" w:fill="696464" w:themeFill="accent4" w:themeFillShade="BF"/>
      </w:tcPr>
    </w:tblStylePr>
  </w:style>
  <w:style w:type="table" w:styleId="DarkList-Accent5">
    <w:name w:val="Dark List Accent 5"/>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2C2A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15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1F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1F1F" w:themeFill="accent5" w:themeFillShade="BF"/>
      </w:tcPr>
    </w:tblStylePr>
    <w:tblStylePr w:type="band1Vert">
      <w:tblPr/>
      <w:tcPr>
        <w:tcBorders>
          <w:top w:val="nil"/>
          <w:left w:val="nil"/>
          <w:bottom w:val="nil"/>
          <w:right w:val="nil"/>
          <w:insideH w:val="nil"/>
          <w:insideV w:val="nil"/>
        </w:tcBorders>
        <w:shd w:val="clear" w:color="auto" w:fill="201F1F" w:themeFill="accent5" w:themeFillShade="BF"/>
      </w:tcPr>
    </w:tblStylePr>
    <w:tblStylePr w:type="band1Horz">
      <w:tblPr/>
      <w:tcPr>
        <w:tcBorders>
          <w:top w:val="nil"/>
          <w:left w:val="nil"/>
          <w:bottom w:val="nil"/>
          <w:right w:val="nil"/>
          <w:insideH w:val="nil"/>
          <w:insideV w:val="nil"/>
        </w:tcBorders>
        <w:shd w:val="clear" w:color="auto" w:fill="201F1F" w:themeFill="accent5" w:themeFillShade="BF"/>
      </w:tcPr>
    </w:tblStylePr>
  </w:style>
  <w:style w:type="table" w:styleId="DarkList-Accent6">
    <w:name w:val="Dark List Accent 6"/>
    <w:basedOn w:val="TableNormal"/>
    <w:uiPriority w:val="70"/>
    <w:semiHidden/>
    <w:unhideWhenUsed/>
    <w:locked/>
    <w:rsid w:val="00C551E1"/>
    <w:pPr>
      <w:spacing w:after="0"/>
    </w:pPr>
    <w:rPr>
      <w:color w:val="FFFFFF" w:themeColor="background1"/>
    </w:rPr>
    <w:tblPr>
      <w:tblStyleRowBandSize w:val="1"/>
      <w:tblStyleColBandSize w:val="1"/>
    </w:tblPr>
    <w:tcPr>
      <w:shd w:val="clear" w:color="auto" w:fill="4A0E1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07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0A1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0A11" w:themeFill="accent6" w:themeFillShade="BF"/>
      </w:tcPr>
    </w:tblStylePr>
    <w:tblStylePr w:type="band1Vert">
      <w:tblPr/>
      <w:tcPr>
        <w:tcBorders>
          <w:top w:val="nil"/>
          <w:left w:val="nil"/>
          <w:bottom w:val="nil"/>
          <w:right w:val="nil"/>
          <w:insideH w:val="nil"/>
          <w:insideV w:val="nil"/>
        </w:tcBorders>
        <w:shd w:val="clear" w:color="auto" w:fill="370A11" w:themeFill="accent6" w:themeFillShade="BF"/>
      </w:tcPr>
    </w:tblStylePr>
    <w:tblStylePr w:type="band1Horz">
      <w:tblPr/>
      <w:tcPr>
        <w:tcBorders>
          <w:top w:val="nil"/>
          <w:left w:val="nil"/>
          <w:bottom w:val="nil"/>
          <w:right w:val="nil"/>
          <w:insideH w:val="nil"/>
          <w:insideV w:val="nil"/>
        </w:tcBorders>
        <w:shd w:val="clear" w:color="auto" w:fill="370A11" w:themeFill="accent6" w:themeFillShade="BF"/>
      </w:tcPr>
    </w:tblStylePr>
  </w:style>
  <w:style w:type="table" w:customStyle="1" w:styleId="GridTable1Light1">
    <w:name w:val="Grid Table 1 Light1"/>
    <w:basedOn w:val="TableNormal"/>
    <w:uiPriority w:val="46"/>
    <w:semiHidden/>
    <w:rsid w:val="00C551E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C551E1"/>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C551E1"/>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C551E1"/>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C551E1"/>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C551E1"/>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C551E1"/>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C551E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C551E1"/>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2-Accent21">
    <w:name w:val="Grid Table 2 - Accent 21"/>
    <w:basedOn w:val="TableNormal"/>
    <w:uiPriority w:val="47"/>
    <w:semiHidden/>
    <w:rsid w:val="00C551E1"/>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2-Accent31">
    <w:name w:val="Grid Table 2 - Accent 31"/>
    <w:basedOn w:val="TableNormal"/>
    <w:uiPriority w:val="47"/>
    <w:semiHidden/>
    <w:rsid w:val="00C551E1"/>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2-Accent41">
    <w:name w:val="Grid Table 2 - Accent 41"/>
    <w:basedOn w:val="TableNormal"/>
    <w:uiPriority w:val="47"/>
    <w:semiHidden/>
    <w:rsid w:val="00C551E1"/>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2-Accent51">
    <w:name w:val="Grid Table 2 - Accent 51"/>
    <w:basedOn w:val="TableNormal"/>
    <w:uiPriority w:val="47"/>
    <w:semiHidden/>
    <w:rsid w:val="00C551E1"/>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2-Accent61">
    <w:name w:val="Grid Table 2 - Accent 61"/>
    <w:basedOn w:val="TableNormal"/>
    <w:uiPriority w:val="47"/>
    <w:semiHidden/>
    <w:rsid w:val="00C551E1"/>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31">
    <w:name w:val="Grid Table 31"/>
    <w:basedOn w:val="TableNormal"/>
    <w:uiPriority w:val="48"/>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3-Accent21">
    <w:name w:val="Grid Table 3 - Accent 21"/>
    <w:basedOn w:val="TableNormal"/>
    <w:uiPriority w:val="48"/>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3-Accent31">
    <w:name w:val="Grid Table 3 - Accent 31"/>
    <w:basedOn w:val="TableNormal"/>
    <w:uiPriority w:val="48"/>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3-Accent41">
    <w:name w:val="Grid Table 3 - Accent 41"/>
    <w:basedOn w:val="TableNormal"/>
    <w:uiPriority w:val="48"/>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3-Accent51">
    <w:name w:val="Grid Table 3 - Accent 51"/>
    <w:basedOn w:val="TableNormal"/>
    <w:uiPriority w:val="48"/>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3-Accent61">
    <w:name w:val="Grid Table 3 - Accent 61"/>
    <w:basedOn w:val="TableNormal"/>
    <w:uiPriority w:val="48"/>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customStyle="1" w:styleId="GridTable41">
    <w:name w:val="Grid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4-Accent21">
    <w:name w:val="Grid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4-Accent31">
    <w:name w:val="Grid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4-Accent41">
    <w:name w:val="Grid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4-Accent51">
    <w:name w:val="Grid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4-Accent61">
    <w:name w:val="Grid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5Dark1">
    <w:name w:val="Grid Table 5 Dark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customStyle="1" w:styleId="GridTable5Dark-Accent21">
    <w:name w:val="Grid Table 5 Dark - Accent 2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customStyle="1" w:styleId="GridTable5Dark-Accent31">
    <w:name w:val="Grid Table 5 Dark - Accent 3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customStyle="1" w:styleId="GridTable5Dark-Accent41">
    <w:name w:val="Grid Table 5 Dark - Accent 4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customStyle="1" w:styleId="GridTable5Dark-Accent51">
    <w:name w:val="Grid Table 5 Dark - Accent 5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customStyle="1" w:styleId="GridTable5Dark-Accent61">
    <w:name w:val="Grid Table 5 Dark - Accent 61"/>
    <w:basedOn w:val="TableNormal"/>
    <w:uiPriority w:val="50"/>
    <w:semiHidden/>
    <w:rsid w:val="00C551E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customStyle="1" w:styleId="GridTable6Colorful1">
    <w:name w:val="Grid Table 6 Colorful1"/>
    <w:basedOn w:val="TableNormal"/>
    <w:uiPriority w:val="51"/>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6Colorful-Accent21">
    <w:name w:val="Grid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6Colorful-Accent31">
    <w:name w:val="Grid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6Colorful-Accent41">
    <w:name w:val="Grid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6Colorful-Accent51">
    <w:name w:val="Grid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6Colorful-Accent61">
    <w:name w:val="Grid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7Colorful1">
    <w:name w:val="Grid Table 7 Colorful1"/>
    <w:basedOn w:val="TableNormal"/>
    <w:uiPriority w:val="52"/>
    <w:semiHidden/>
    <w:rsid w:val="00C551E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C551E1"/>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7Colorful-Accent21">
    <w:name w:val="Grid Table 7 Colorful - Accent 21"/>
    <w:basedOn w:val="TableNormal"/>
    <w:uiPriority w:val="52"/>
    <w:semiHidden/>
    <w:rsid w:val="00C551E1"/>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7Colorful-Accent31">
    <w:name w:val="Grid Table 7 Colorful - Accent 31"/>
    <w:basedOn w:val="TableNormal"/>
    <w:uiPriority w:val="52"/>
    <w:semiHidden/>
    <w:rsid w:val="00C551E1"/>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7Colorful-Accent41">
    <w:name w:val="Grid Table 7 Colorful - Accent 41"/>
    <w:basedOn w:val="TableNormal"/>
    <w:uiPriority w:val="52"/>
    <w:semiHidden/>
    <w:rsid w:val="00C551E1"/>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7Colorful-Accent51">
    <w:name w:val="Grid Table 7 Colorful - Accent 51"/>
    <w:basedOn w:val="TableNormal"/>
    <w:uiPriority w:val="52"/>
    <w:semiHidden/>
    <w:rsid w:val="00C551E1"/>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7Colorful-Accent61">
    <w:name w:val="Grid Table 7 Colorful - Accent 61"/>
    <w:basedOn w:val="TableNormal"/>
    <w:uiPriority w:val="52"/>
    <w:semiHidden/>
    <w:rsid w:val="00C551E1"/>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ghtGrid">
    <w:name w:val="Light Grid"/>
    <w:basedOn w:val="TableNormal"/>
    <w:uiPriority w:val="62"/>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18" w:space="0" w:color="931B2F" w:themeColor="accent1"/>
          <w:right w:val="single" w:sz="8" w:space="0" w:color="931B2F" w:themeColor="accent1"/>
          <w:insideH w:val="nil"/>
          <w:insideV w:val="single" w:sz="8" w:space="0" w:color="93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insideH w:val="nil"/>
          <w:insideV w:val="single" w:sz="8" w:space="0" w:color="93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shd w:val="clear" w:color="auto" w:fill="F2B8C1" w:themeFill="accent1" w:themeFillTint="3F"/>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shd w:val="clear" w:color="auto" w:fill="F2B8C1" w:themeFill="accent1" w:themeFillTint="3F"/>
      </w:tcPr>
    </w:tblStylePr>
    <w:tblStylePr w:type="band2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insideV w:val="single" w:sz="8" w:space="0" w:color="931B2F" w:themeColor="accent1"/>
        </w:tcBorders>
      </w:tcPr>
    </w:tblStylePr>
  </w:style>
  <w:style w:type="table" w:styleId="LightGrid-Accent2">
    <w:name w:val="Light Grid Accent 2"/>
    <w:basedOn w:val="TableNormal"/>
    <w:uiPriority w:val="62"/>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18" w:space="0" w:color="B35F6D" w:themeColor="accent2"/>
          <w:right w:val="single" w:sz="8" w:space="0" w:color="B35F6D" w:themeColor="accent2"/>
          <w:insideH w:val="nil"/>
          <w:insideV w:val="single" w:sz="8" w:space="0" w:color="B35F6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insideH w:val="nil"/>
          <w:insideV w:val="single" w:sz="8" w:space="0" w:color="B35F6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shd w:val="clear" w:color="auto" w:fill="ECD7DA" w:themeFill="accent2" w:themeFillTint="3F"/>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shd w:val="clear" w:color="auto" w:fill="ECD7DA" w:themeFill="accent2" w:themeFillTint="3F"/>
      </w:tcPr>
    </w:tblStylePr>
    <w:tblStylePr w:type="band2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insideV w:val="single" w:sz="8" w:space="0" w:color="B35F6D" w:themeColor="accent2"/>
        </w:tcBorders>
      </w:tcPr>
    </w:tblStylePr>
  </w:style>
  <w:style w:type="table" w:styleId="LightGrid-Accent3">
    <w:name w:val="Light Grid Accent 3"/>
    <w:basedOn w:val="TableNormal"/>
    <w:uiPriority w:val="62"/>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18" w:space="0" w:color="E8E7E7" w:themeColor="accent3"/>
          <w:right w:val="single" w:sz="8" w:space="0" w:color="E8E7E7" w:themeColor="accent3"/>
          <w:insideH w:val="nil"/>
          <w:insideV w:val="single" w:sz="8" w:space="0" w:color="E8E7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insideH w:val="nil"/>
          <w:insideV w:val="single" w:sz="8" w:space="0" w:color="E8E7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shd w:val="clear" w:color="auto" w:fill="F9F9F9" w:themeFill="accent3" w:themeFillTint="3F"/>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shd w:val="clear" w:color="auto" w:fill="F9F9F9" w:themeFill="accent3" w:themeFillTint="3F"/>
      </w:tcPr>
    </w:tblStylePr>
    <w:tblStylePr w:type="band2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insideV w:val="single" w:sz="8" w:space="0" w:color="E8E7E7" w:themeColor="accent3"/>
        </w:tcBorders>
      </w:tcPr>
    </w:tblStylePr>
  </w:style>
  <w:style w:type="table" w:styleId="LightGrid-Accent4">
    <w:name w:val="Light Grid Accent 4"/>
    <w:basedOn w:val="TableNormal"/>
    <w:uiPriority w:val="62"/>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18" w:space="0" w:color="8C8686" w:themeColor="accent4"/>
          <w:right w:val="single" w:sz="8" w:space="0" w:color="8C8686" w:themeColor="accent4"/>
          <w:insideH w:val="nil"/>
          <w:insideV w:val="single" w:sz="8" w:space="0" w:color="8C868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insideH w:val="nil"/>
          <w:insideV w:val="single" w:sz="8" w:space="0" w:color="8C868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shd w:val="clear" w:color="auto" w:fill="E2E1E1" w:themeFill="accent4" w:themeFillTint="3F"/>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shd w:val="clear" w:color="auto" w:fill="E2E1E1" w:themeFill="accent4" w:themeFillTint="3F"/>
      </w:tcPr>
    </w:tblStylePr>
    <w:tblStylePr w:type="band2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insideV w:val="single" w:sz="8" w:space="0" w:color="8C8686" w:themeColor="accent4"/>
        </w:tcBorders>
      </w:tcPr>
    </w:tblStylePr>
  </w:style>
  <w:style w:type="table" w:styleId="LightGrid-Accent5">
    <w:name w:val="Light Grid Accent 5"/>
    <w:basedOn w:val="TableNormal"/>
    <w:uiPriority w:val="62"/>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18" w:space="0" w:color="2C2A2A" w:themeColor="accent5"/>
          <w:right w:val="single" w:sz="8" w:space="0" w:color="2C2A2A" w:themeColor="accent5"/>
          <w:insideH w:val="nil"/>
          <w:insideV w:val="single" w:sz="8" w:space="0" w:color="2C2A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insideH w:val="nil"/>
          <w:insideV w:val="single" w:sz="8" w:space="0" w:color="2C2A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shd w:val="clear" w:color="auto" w:fill="CBC9C9" w:themeFill="accent5" w:themeFillTint="3F"/>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shd w:val="clear" w:color="auto" w:fill="CBC9C9" w:themeFill="accent5" w:themeFillTint="3F"/>
      </w:tcPr>
    </w:tblStylePr>
    <w:tblStylePr w:type="band2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insideV w:val="single" w:sz="8" w:space="0" w:color="2C2A2A" w:themeColor="accent5"/>
        </w:tcBorders>
      </w:tcPr>
    </w:tblStylePr>
  </w:style>
  <w:style w:type="table" w:styleId="LightGrid-Accent6">
    <w:name w:val="Light Grid Accent 6"/>
    <w:basedOn w:val="TableNormal"/>
    <w:uiPriority w:val="62"/>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18" w:space="0" w:color="4A0E18" w:themeColor="accent6"/>
          <w:right w:val="single" w:sz="8" w:space="0" w:color="4A0E18" w:themeColor="accent6"/>
          <w:insideH w:val="nil"/>
          <w:insideV w:val="single" w:sz="8" w:space="0" w:color="4A0E1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insideH w:val="nil"/>
          <w:insideV w:val="single" w:sz="8" w:space="0" w:color="4A0E1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shd w:val="clear" w:color="auto" w:fill="EEA7B2" w:themeFill="accent6" w:themeFillTint="3F"/>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shd w:val="clear" w:color="auto" w:fill="EEA7B2" w:themeFill="accent6" w:themeFillTint="3F"/>
      </w:tcPr>
    </w:tblStylePr>
    <w:tblStylePr w:type="band2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insideV w:val="single" w:sz="8" w:space="0" w:color="4A0E18" w:themeColor="accent6"/>
        </w:tcBorders>
      </w:tcPr>
    </w:tblStylePr>
  </w:style>
  <w:style w:type="table" w:styleId="LightList">
    <w:name w:val="Light List"/>
    <w:basedOn w:val="TableNormal"/>
    <w:uiPriority w:val="61"/>
    <w:semiHidden/>
    <w:unhideWhenUsed/>
    <w:locked/>
    <w:rsid w:val="00C551E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C551E1"/>
    <w:pPr>
      <w:spacing w:after="0"/>
    </w:p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pPr>
        <w:spacing w:before="0" w:after="0" w:line="240" w:lineRule="auto"/>
      </w:pPr>
      <w:rPr>
        <w:b/>
        <w:bCs/>
        <w:color w:val="FFFFFF" w:themeColor="background1"/>
      </w:rPr>
      <w:tblPr/>
      <w:tcPr>
        <w:shd w:val="clear" w:color="auto" w:fill="931B2F" w:themeFill="accent1"/>
      </w:tcPr>
    </w:tblStylePr>
    <w:tblStylePr w:type="lastRow">
      <w:pPr>
        <w:spacing w:before="0" w:after="0" w:line="240" w:lineRule="auto"/>
      </w:pPr>
      <w:rPr>
        <w:b/>
        <w:bCs/>
      </w:rPr>
      <w:tblPr/>
      <w:tcPr>
        <w:tcBorders>
          <w:top w:val="double" w:sz="6" w:space="0" w:color="931B2F" w:themeColor="accent1"/>
          <w:left w:val="single" w:sz="8" w:space="0" w:color="931B2F" w:themeColor="accent1"/>
          <w:bottom w:val="single" w:sz="8" w:space="0" w:color="931B2F" w:themeColor="accent1"/>
          <w:right w:val="single" w:sz="8" w:space="0" w:color="931B2F" w:themeColor="accent1"/>
        </w:tcBorders>
      </w:tcPr>
    </w:tblStylePr>
    <w:tblStylePr w:type="firstCol">
      <w:rPr>
        <w:b/>
        <w:bCs/>
      </w:rPr>
    </w:tblStylePr>
    <w:tblStylePr w:type="lastCol">
      <w:rPr>
        <w:b/>
        <w:bCs/>
      </w:rPr>
    </w:tblStylePr>
    <w:tblStylePr w:type="band1Vert">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tblStylePr w:type="band1Horz">
      <w:tblPr/>
      <w:tcPr>
        <w:tcBorders>
          <w:top w:val="single" w:sz="8" w:space="0" w:color="931B2F" w:themeColor="accent1"/>
          <w:left w:val="single" w:sz="8" w:space="0" w:color="931B2F" w:themeColor="accent1"/>
          <w:bottom w:val="single" w:sz="8" w:space="0" w:color="931B2F" w:themeColor="accent1"/>
          <w:right w:val="single" w:sz="8" w:space="0" w:color="931B2F" w:themeColor="accent1"/>
        </w:tcBorders>
      </w:tcPr>
    </w:tblStylePr>
  </w:style>
  <w:style w:type="table" w:styleId="LightList-Accent2">
    <w:name w:val="Light List Accent 2"/>
    <w:basedOn w:val="TableNormal"/>
    <w:uiPriority w:val="61"/>
    <w:semiHidden/>
    <w:unhideWhenUsed/>
    <w:locked/>
    <w:rsid w:val="00C551E1"/>
    <w:pPr>
      <w:spacing w:after="0"/>
    </w:p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pPr>
        <w:spacing w:before="0" w:after="0" w:line="240" w:lineRule="auto"/>
      </w:pPr>
      <w:rPr>
        <w:b/>
        <w:bCs/>
        <w:color w:val="FFFFFF" w:themeColor="background1"/>
      </w:rPr>
      <w:tblPr/>
      <w:tcPr>
        <w:shd w:val="clear" w:color="auto" w:fill="B35F6D" w:themeFill="accent2"/>
      </w:tcPr>
    </w:tblStylePr>
    <w:tblStylePr w:type="lastRow">
      <w:pPr>
        <w:spacing w:before="0" w:after="0" w:line="240" w:lineRule="auto"/>
      </w:pPr>
      <w:rPr>
        <w:b/>
        <w:bCs/>
      </w:rPr>
      <w:tblPr/>
      <w:tcPr>
        <w:tcBorders>
          <w:top w:val="double" w:sz="6" w:space="0" w:color="B35F6D" w:themeColor="accent2"/>
          <w:left w:val="single" w:sz="8" w:space="0" w:color="B35F6D" w:themeColor="accent2"/>
          <w:bottom w:val="single" w:sz="8" w:space="0" w:color="B35F6D" w:themeColor="accent2"/>
          <w:right w:val="single" w:sz="8" w:space="0" w:color="B35F6D" w:themeColor="accent2"/>
        </w:tcBorders>
      </w:tcPr>
    </w:tblStylePr>
    <w:tblStylePr w:type="firstCol">
      <w:rPr>
        <w:b/>
        <w:bCs/>
      </w:rPr>
    </w:tblStylePr>
    <w:tblStylePr w:type="lastCol">
      <w:rPr>
        <w:b/>
        <w:bCs/>
      </w:rPr>
    </w:tblStylePr>
    <w:tblStylePr w:type="band1Vert">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tblStylePr w:type="band1Horz">
      <w:tblPr/>
      <w:tcPr>
        <w:tcBorders>
          <w:top w:val="single" w:sz="8" w:space="0" w:color="B35F6D" w:themeColor="accent2"/>
          <w:left w:val="single" w:sz="8" w:space="0" w:color="B35F6D" w:themeColor="accent2"/>
          <w:bottom w:val="single" w:sz="8" w:space="0" w:color="B35F6D" w:themeColor="accent2"/>
          <w:right w:val="single" w:sz="8" w:space="0" w:color="B35F6D" w:themeColor="accent2"/>
        </w:tcBorders>
      </w:tcPr>
    </w:tblStylePr>
  </w:style>
  <w:style w:type="table" w:styleId="LightList-Accent3">
    <w:name w:val="Light List Accent 3"/>
    <w:basedOn w:val="TableNormal"/>
    <w:uiPriority w:val="61"/>
    <w:semiHidden/>
    <w:unhideWhenUsed/>
    <w:locked/>
    <w:rsid w:val="00C551E1"/>
    <w:pPr>
      <w:spacing w:after="0"/>
    </w:p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pPr>
        <w:spacing w:before="0" w:after="0" w:line="240" w:lineRule="auto"/>
      </w:pPr>
      <w:rPr>
        <w:b/>
        <w:bCs/>
        <w:color w:val="FFFFFF" w:themeColor="background1"/>
      </w:rPr>
      <w:tblPr/>
      <w:tcPr>
        <w:shd w:val="clear" w:color="auto" w:fill="E8E7E7" w:themeFill="accent3"/>
      </w:tcPr>
    </w:tblStylePr>
    <w:tblStylePr w:type="lastRow">
      <w:pPr>
        <w:spacing w:before="0" w:after="0" w:line="240" w:lineRule="auto"/>
      </w:pPr>
      <w:rPr>
        <w:b/>
        <w:bCs/>
      </w:rPr>
      <w:tblPr/>
      <w:tcPr>
        <w:tcBorders>
          <w:top w:val="double" w:sz="6" w:space="0" w:color="E8E7E7" w:themeColor="accent3"/>
          <w:left w:val="single" w:sz="8" w:space="0" w:color="E8E7E7" w:themeColor="accent3"/>
          <w:bottom w:val="single" w:sz="8" w:space="0" w:color="E8E7E7" w:themeColor="accent3"/>
          <w:right w:val="single" w:sz="8" w:space="0" w:color="E8E7E7" w:themeColor="accent3"/>
        </w:tcBorders>
      </w:tcPr>
    </w:tblStylePr>
    <w:tblStylePr w:type="firstCol">
      <w:rPr>
        <w:b/>
        <w:bCs/>
      </w:rPr>
    </w:tblStylePr>
    <w:tblStylePr w:type="lastCol">
      <w:rPr>
        <w:b/>
        <w:bCs/>
      </w:rPr>
    </w:tblStylePr>
    <w:tblStylePr w:type="band1Vert">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tblStylePr w:type="band1Horz">
      <w:tblPr/>
      <w:tcPr>
        <w:tcBorders>
          <w:top w:val="single" w:sz="8" w:space="0" w:color="E8E7E7" w:themeColor="accent3"/>
          <w:left w:val="single" w:sz="8" w:space="0" w:color="E8E7E7" w:themeColor="accent3"/>
          <w:bottom w:val="single" w:sz="8" w:space="0" w:color="E8E7E7" w:themeColor="accent3"/>
          <w:right w:val="single" w:sz="8" w:space="0" w:color="E8E7E7" w:themeColor="accent3"/>
        </w:tcBorders>
      </w:tcPr>
    </w:tblStylePr>
  </w:style>
  <w:style w:type="table" w:styleId="LightList-Accent4">
    <w:name w:val="Light List Accent 4"/>
    <w:basedOn w:val="TableNormal"/>
    <w:uiPriority w:val="61"/>
    <w:semiHidden/>
    <w:unhideWhenUsed/>
    <w:locked/>
    <w:rsid w:val="00C551E1"/>
    <w:pPr>
      <w:spacing w:after="0"/>
    </w:p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pPr>
        <w:spacing w:before="0" w:after="0" w:line="240" w:lineRule="auto"/>
      </w:pPr>
      <w:rPr>
        <w:b/>
        <w:bCs/>
        <w:color w:val="FFFFFF" w:themeColor="background1"/>
      </w:rPr>
      <w:tblPr/>
      <w:tcPr>
        <w:shd w:val="clear" w:color="auto" w:fill="8C8686" w:themeFill="accent4"/>
      </w:tcPr>
    </w:tblStylePr>
    <w:tblStylePr w:type="lastRow">
      <w:pPr>
        <w:spacing w:before="0" w:after="0" w:line="240" w:lineRule="auto"/>
      </w:pPr>
      <w:rPr>
        <w:b/>
        <w:bCs/>
      </w:rPr>
      <w:tblPr/>
      <w:tcPr>
        <w:tcBorders>
          <w:top w:val="double" w:sz="6" w:space="0" w:color="8C8686" w:themeColor="accent4"/>
          <w:left w:val="single" w:sz="8" w:space="0" w:color="8C8686" w:themeColor="accent4"/>
          <w:bottom w:val="single" w:sz="8" w:space="0" w:color="8C8686" w:themeColor="accent4"/>
          <w:right w:val="single" w:sz="8" w:space="0" w:color="8C8686" w:themeColor="accent4"/>
        </w:tcBorders>
      </w:tcPr>
    </w:tblStylePr>
    <w:tblStylePr w:type="firstCol">
      <w:rPr>
        <w:b/>
        <w:bCs/>
      </w:rPr>
    </w:tblStylePr>
    <w:tblStylePr w:type="lastCol">
      <w:rPr>
        <w:b/>
        <w:bCs/>
      </w:rPr>
    </w:tblStylePr>
    <w:tblStylePr w:type="band1Vert">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tblStylePr w:type="band1Horz">
      <w:tblPr/>
      <w:tcPr>
        <w:tcBorders>
          <w:top w:val="single" w:sz="8" w:space="0" w:color="8C8686" w:themeColor="accent4"/>
          <w:left w:val="single" w:sz="8" w:space="0" w:color="8C8686" w:themeColor="accent4"/>
          <w:bottom w:val="single" w:sz="8" w:space="0" w:color="8C8686" w:themeColor="accent4"/>
          <w:right w:val="single" w:sz="8" w:space="0" w:color="8C8686" w:themeColor="accent4"/>
        </w:tcBorders>
      </w:tcPr>
    </w:tblStylePr>
  </w:style>
  <w:style w:type="table" w:styleId="LightList-Accent5">
    <w:name w:val="Light List Accent 5"/>
    <w:basedOn w:val="TableNormal"/>
    <w:uiPriority w:val="61"/>
    <w:semiHidden/>
    <w:unhideWhenUsed/>
    <w:locked/>
    <w:rsid w:val="00C551E1"/>
    <w:pPr>
      <w:spacing w:after="0"/>
    </w:p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pPr>
        <w:spacing w:before="0" w:after="0" w:line="240" w:lineRule="auto"/>
      </w:pPr>
      <w:rPr>
        <w:b/>
        <w:bCs/>
        <w:color w:val="FFFFFF" w:themeColor="background1"/>
      </w:rPr>
      <w:tblPr/>
      <w:tcPr>
        <w:shd w:val="clear" w:color="auto" w:fill="2C2A2A" w:themeFill="accent5"/>
      </w:tcPr>
    </w:tblStylePr>
    <w:tblStylePr w:type="lastRow">
      <w:pPr>
        <w:spacing w:before="0" w:after="0" w:line="240" w:lineRule="auto"/>
      </w:pPr>
      <w:rPr>
        <w:b/>
        <w:bCs/>
      </w:rPr>
      <w:tblPr/>
      <w:tcPr>
        <w:tcBorders>
          <w:top w:val="double" w:sz="6" w:space="0" w:color="2C2A2A" w:themeColor="accent5"/>
          <w:left w:val="single" w:sz="8" w:space="0" w:color="2C2A2A" w:themeColor="accent5"/>
          <w:bottom w:val="single" w:sz="8" w:space="0" w:color="2C2A2A" w:themeColor="accent5"/>
          <w:right w:val="single" w:sz="8" w:space="0" w:color="2C2A2A" w:themeColor="accent5"/>
        </w:tcBorders>
      </w:tcPr>
    </w:tblStylePr>
    <w:tblStylePr w:type="firstCol">
      <w:rPr>
        <w:b/>
        <w:bCs/>
      </w:rPr>
    </w:tblStylePr>
    <w:tblStylePr w:type="lastCol">
      <w:rPr>
        <w:b/>
        <w:bCs/>
      </w:rPr>
    </w:tblStylePr>
    <w:tblStylePr w:type="band1Vert">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tblStylePr w:type="band1Horz">
      <w:tblPr/>
      <w:tcPr>
        <w:tcBorders>
          <w:top w:val="single" w:sz="8" w:space="0" w:color="2C2A2A" w:themeColor="accent5"/>
          <w:left w:val="single" w:sz="8" w:space="0" w:color="2C2A2A" w:themeColor="accent5"/>
          <w:bottom w:val="single" w:sz="8" w:space="0" w:color="2C2A2A" w:themeColor="accent5"/>
          <w:right w:val="single" w:sz="8" w:space="0" w:color="2C2A2A" w:themeColor="accent5"/>
        </w:tcBorders>
      </w:tcPr>
    </w:tblStylePr>
  </w:style>
  <w:style w:type="table" w:styleId="LightList-Accent6">
    <w:name w:val="Light List Accent 6"/>
    <w:basedOn w:val="TableNormal"/>
    <w:uiPriority w:val="61"/>
    <w:semiHidden/>
    <w:unhideWhenUsed/>
    <w:locked/>
    <w:rsid w:val="00C551E1"/>
    <w:pPr>
      <w:spacing w:after="0"/>
    </w:p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pPr>
        <w:spacing w:before="0" w:after="0" w:line="240" w:lineRule="auto"/>
      </w:pPr>
      <w:rPr>
        <w:b/>
        <w:bCs/>
        <w:color w:val="FFFFFF" w:themeColor="background1"/>
      </w:rPr>
      <w:tblPr/>
      <w:tcPr>
        <w:shd w:val="clear" w:color="auto" w:fill="4A0E18" w:themeFill="accent6"/>
      </w:tcPr>
    </w:tblStylePr>
    <w:tblStylePr w:type="lastRow">
      <w:pPr>
        <w:spacing w:before="0" w:after="0" w:line="240" w:lineRule="auto"/>
      </w:pPr>
      <w:rPr>
        <w:b/>
        <w:bCs/>
      </w:rPr>
      <w:tblPr/>
      <w:tcPr>
        <w:tcBorders>
          <w:top w:val="double" w:sz="6" w:space="0" w:color="4A0E18" w:themeColor="accent6"/>
          <w:left w:val="single" w:sz="8" w:space="0" w:color="4A0E18" w:themeColor="accent6"/>
          <w:bottom w:val="single" w:sz="8" w:space="0" w:color="4A0E18" w:themeColor="accent6"/>
          <w:right w:val="single" w:sz="8" w:space="0" w:color="4A0E18" w:themeColor="accent6"/>
        </w:tcBorders>
      </w:tcPr>
    </w:tblStylePr>
    <w:tblStylePr w:type="firstCol">
      <w:rPr>
        <w:b/>
        <w:bCs/>
      </w:rPr>
    </w:tblStylePr>
    <w:tblStylePr w:type="lastCol">
      <w:rPr>
        <w:b/>
        <w:bCs/>
      </w:rPr>
    </w:tblStylePr>
    <w:tblStylePr w:type="band1Vert">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tblStylePr w:type="band1Horz">
      <w:tblPr/>
      <w:tcPr>
        <w:tcBorders>
          <w:top w:val="single" w:sz="8" w:space="0" w:color="4A0E18" w:themeColor="accent6"/>
          <w:left w:val="single" w:sz="8" w:space="0" w:color="4A0E18" w:themeColor="accent6"/>
          <w:bottom w:val="single" w:sz="8" w:space="0" w:color="4A0E18" w:themeColor="accent6"/>
          <w:right w:val="single" w:sz="8" w:space="0" w:color="4A0E18" w:themeColor="accent6"/>
        </w:tcBorders>
      </w:tcPr>
    </w:tblStylePr>
  </w:style>
  <w:style w:type="table" w:styleId="LightShading">
    <w:name w:val="Light Shading"/>
    <w:basedOn w:val="TableNormal"/>
    <w:uiPriority w:val="60"/>
    <w:semiHidden/>
    <w:unhideWhenUsed/>
    <w:locked/>
    <w:rsid w:val="00C551E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C551E1"/>
    <w:pPr>
      <w:spacing w:after="0"/>
    </w:pPr>
    <w:rPr>
      <w:color w:val="6D1423" w:themeColor="accent1" w:themeShade="BF"/>
    </w:rPr>
    <w:tblPr>
      <w:tblStyleRowBandSize w:val="1"/>
      <w:tblStyleColBandSize w:val="1"/>
      <w:tblBorders>
        <w:top w:val="single" w:sz="8" w:space="0" w:color="931B2F" w:themeColor="accent1"/>
        <w:bottom w:val="single" w:sz="8" w:space="0" w:color="931B2F" w:themeColor="accent1"/>
      </w:tblBorders>
    </w:tblPr>
    <w:tblStylePr w:type="fir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lastRow">
      <w:pPr>
        <w:spacing w:before="0" w:after="0" w:line="240" w:lineRule="auto"/>
      </w:pPr>
      <w:rPr>
        <w:b/>
        <w:bCs/>
      </w:rPr>
      <w:tblPr/>
      <w:tcPr>
        <w:tcBorders>
          <w:top w:val="single" w:sz="8" w:space="0" w:color="931B2F" w:themeColor="accent1"/>
          <w:left w:val="nil"/>
          <w:bottom w:val="single" w:sz="8" w:space="0" w:color="93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left w:val="nil"/>
          <w:right w:val="nil"/>
          <w:insideH w:val="nil"/>
          <w:insideV w:val="nil"/>
        </w:tcBorders>
        <w:shd w:val="clear" w:color="auto" w:fill="F2B8C1" w:themeFill="accent1" w:themeFillTint="3F"/>
      </w:tcPr>
    </w:tblStylePr>
  </w:style>
  <w:style w:type="table" w:styleId="LightShading-Accent2">
    <w:name w:val="Light Shading Accent 2"/>
    <w:basedOn w:val="TableNormal"/>
    <w:uiPriority w:val="60"/>
    <w:semiHidden/>
    <w:unhideWhenUsed/>
    <w:locked/>
    <w:rsid w:val="00C551E1"/>
    <w:pPr>
      <w:spacing w:after="0"/>
    </w:pPr>
    <w:rPr>
      <w:color w:val="8A424E" w:themeColor="accent2" w:themeShade="BF"/>
    </w:rPr>
    <w:tblPr>
      <w:tblStyleRowBandSize w:val="1"/>
      <w:tblStyleColBandSize w:val="1"/>
      <w:tblBorders>
        <w:top w:val="single" w:sz="8" w:space="0" w:color="B35F6D" w:themeColor="accent2"/>
        <w:bottom w:val="single" w:sz="8" w:space="0" w:color="B35F6D" w:themeColor="accent2"/>
      </w:tblBorders>
    </w:tblPr>
    <w:tblStylePr w:type="fir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lastRow">
      <w:pPr>
        <w:spacing w:before="0" w:after="0" w:line="240" w:lineRule="auto"/>
      </w:pPr>
      <w:rPr>
        <w:b/>
        <w:bCs/>
      </w:rPr>
      <w:tblPr/>
      <w:tcPr>
        <w:tcBorders>
          <w:top w:val="single" w:sz="8" w:space="0" w:color="B35F6D" w:themeColor="accent2"/>
          <w:left w:val="nil"/>
          <w:bottom w:val="single" w:sz="8" w:space="0" w:color="B35F6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left w:val="nil"/>
          <w:right w:val="nil"/>
          <w:insideH w:val="nil"/>
          <w:insideV w:val="nil"/>
        </w:tcBorders>
        <w:shd w:val="clear" w:color="auto" w:fill="ECD7DA" w:themeFill="accent2" w:themeFillTint="3F"/>
      </w:tcPr>
    </w:tblStylePr>
  </w:style>
  <w:style w:type="table" w:styleId="LightShading-Accent3">
    <w:name w:val="Light Shading Accent 3"/>
    <w:basedOn w:val="TableNormal"/>
    <w:uiPriority w:val="60"/>
    <w:semiHidden/>
    <w:unhideWhenUsed/>
    <w:locked/>
    <w:rsid w:val="00C551E1"/>
    <w:pPr>
      <w:spacing w:after="0"/>
    </w:pPr>
    <w:rPr>
      <w:color w:val="AFABAB" w:themeColor="accent3" w:themeShade="BF"/>
    </w:rPr>
    <w:tblPr>
      <w:tblStyleRowBandSize w:val="1"/>
      <w:tblStyleColBandSize w:val="1"/>
      <w:tblBorders>
        <w:top w:val="single" w:sz="8" w:space="0" w:color="E8E7E7" w:themeColor="accent3"/>
        <w:bottom w:val="single" w:sz="8" w:space="0" w:color="E8E7E7" w:themeColor="accent3"/>
      </w:tblBorders>
    </w:tblPr>
    <w:tblStylePr w:type="fir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lastRow">
      <w:pPr>
        <w:spacing w:before="0" w:after="0" w:line="240" w:lineRule="auto"/>
      </w:pPr>
      <w:rPr>
        <w:b/>
        <w:bCs/>
      </w:rPr>
      <w:tblPr/>
      <w:tcPr>
        <w:tcBorders>
          <w:top w:val="single" w:sz="8" w:space="0" w:color="E8E7E7" w:themeColor="accent3"/>
          <w:left w:val="nil"/>
          <w:bottom w:val="single" w:sz="8" w:space="0" w:color="E8E7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LightShading-Accent4">
    <w:name w:val="Light Shading Accent 4"/>
    <w:basedOn w:val="TableNormal"/>
    <w:uiPriority w:val="60"/>
    <w:semiHidden/>
    <w:unhideWhenUsed/>
    <w:locked/>
    <w:rsid w:val="00C551E1"/>
    <w:pPr>
      <w:spacing w:after="0"/>
    </w:pPr>
    <w:rPr>
      <w:color w:val="696464" w:themeColor="accent4" w:themeShade="BF"/>
    </w:rPr>
    <w:tblPr>
      <w:tblStyleRowBandSize w:val="1"/>
      <w:tblStyleColBandSize w:val="1"/>
      <w:tblBorders>
        <w:top w:val="single" w:sz="8" w:space="0" w:color="8C8686" w:themeColor="accent4"/>
        <w:bottom w:val="single" w:sz="8" w:space="0" w:color="8C8686" w:themeColor="accent4"/>
      </w:tblBorders>
    </w:tblPr>
    <w:tblStylePr w:type="fir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lastRow">
      <w:pPr>
        <w:spacing w:before="0" w:after="0" w:line="240" w:lineRule="auto"/>
      </w:pPr>
      <w:rPr>
        <w:b/>
        <w:bCs/>
      </w:rPr>
      <w:tblPr/>
      <w:tcPr>
        <w:tcBorders>
          <w:top w:val="single" w:sz="8" w:space="0" w:color="8C8686" w:themeColor="accent4"/>
          <w:left w:val="nil"/>
          <w:bottom w:val="single" w:sz="8" w:space="0" w:color="8C868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left w:val="nil"/>
          <w:right w:val="nil"/>
          <w:insideH w:val="nil"/>
          <w:insideV w:val="nil"/>
        </w:tcBorders>
        <w:shd w:val="clear" w:color="auto" w:fill="E2E1E1" w:themeFill="accent4" w:themeFillTint="3F"/>
      </w:tcPr>
    </w:tblStylePr>
  </w:style>
  <w:style w:type="table" w:styleId="LightShading-Accent5">
    <w:name w:val="Light Shading Accent 5"/>
    <w:basedOn w:val="TableNormal"/>
    <w:uiPriority w:val="60"/>
    <w:semiHidden/>
    <w:unhideWhenUsed/>
    <w:locked/>
    <w:rsid w:val="00C551E1"/>
    <w:pPr>
      <w:spacing w:after="0"/>
    </w:pPr>
    <w:rPr>
      <w:color w:val="201F1F" w:themeColor="accent5" w:themeShade="BF"/>
    </w:rPr>
    <w:tblPr>
      <w:tblStyleRowBandSize w:val="1"/>
      <w:tblStyleColBandSize w:val="1"/>
      <w:tblBorders>
        <w:top w:val="single" w:sz="8" w:space="0" w:color="2C2A2A" w:themeColor="accent5"/>
        <w:bottom w:val="single" w:sz="8" w:space="0" w:color="2C2A2A" w:themeColor="accent5"/>
      </w:tblBorders>
    </w:tblPr>
    <w:tblStylePr w:type="fir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lastRow">
      <w:pPr>
        <w:spacing w:before="0" w:after="0" w:line="240" w:lineRule="auto"/>
      </w:pPr>
      <w:rPr>
        <w:b/>
        <w:bCs/>
      </w:rPr>
      <w:tblPr/>
      <w:tcPr>
        <w:tcBorders>
          <w:top w:val="single" w:sz="8" w:space="0" w:color="2C2A2A" w:themeColor="accent5"/>
          <w:left w:val="nil"/>
          <w:bottom w:val="single" w:sz="8" w:space="0" w:color="2C2A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left w:val="nil"/>
          <w:right w:val="nil"/>
          <w:insideH w:val="nil"/>
          <w:insideV w:val="nil"/>
        </w:tcBorders>
        <w:shd w:val="clear" w:color="auto" w:fill="CBC9C9" w:themeFill="accent5" w:themeFillTint="3F"/>
      </w:tcPr>
    </w:tblStylePr>
  </w:style>
  <w:style w:type="table" w:styleId="LightShading-Accent6">
    <w:name w:val="Light Shading Accent 6"/>
    <w:basedOn w:val="TableNormal"/>
    <w:uiPriority w:val="60"/>
    <w:semiHidden/>
    <w:unhideWhenUsed/>
    <w:locked/>
    <w:rsid w:val="00C551E1"/>
    <w:pPr>
      <w:spacing w:after="0"/>
    </w:pPr>
    <w:rPr>
      <w:color w:val="370A11" w:themeColor="accent6" w:themeShade="BF"/>
    </w:rPr>
    <w:tblPr>
      <w:tblStyleRowBandSize w:val="1"/>
      <w:tblStyleColBandSize w:val="1"/>
      <w:tblBorders>
        <w:top w:val="single" w:sz="8" w:space="0" w:color="4A0E18" w:themeColor="accent6"/>
        <w:bottom w:val="single" w:sz="8" w:space="0" w:color="4A0E18" w:themeColor="accent6"/>
      </w:tblBorders>
    </w:tblPr>
    <w:tblStylePr w:type="fir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lastRow">
      <w:pPr>
        <w:spacing w:before="0" w:after="0" w:line="240" w:lineRule="auto"/>
      </w:pPr>
      <w:rPr>
        <w:b/>
        <w:bCs/>
      </w:rPr>
      <w:tblPr/>
      <w:tcPr>
        <w:tcBorders>
          <w:top w:val="single" w:sz="8" w:space="0" w:color="4A0E18" w:themeColor="accent6"/>
          <w:left w:val="nil"/>
          <w:bottom w:val="single" w:sz="8" w:space="0" w:color="4A0E1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left w:val="nil"/>
          <w:right w:val="nil"/>
          <w:insideH w:val="nil"/>
          <w:insideV w:val="nil"/>
        </w:tcBorders>
        <w:shd w:val="clear" w:color="auto" w:fill="EEA7B2" w:themeFill="accent6" w:themeFillTint="3F"/>
      </w:tcPr>
    </w:tblStylePr>
  </w:style>
  <w:style w:type="table" w:customStyle="1" w:styleId="ListTable1Light1">
    <w:name w:val="List Table 1 Light1"/>
    <w:basedOn w:val="TableNormal"/>
    <w:uiPriority w:val="46"/>
    <w:semiHidden/>
    <w:rsid w:val="00C551E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C551E1"/>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1Light-Accent21">
    <w:name w:val="List Table 1 Light - Accent 21"/>
    <w:basedOn w:val="TableNormal"/>
    <w:uiPriority w:val="46"/>
    <w:semiHidden/>
    <w:rsid w:val="00C551E1"/>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1Light-Accent31">
    <w:name w:val="List Table 1 Light - Accent 31"/>
    <w:basedOn w:val="TableNormal"/>
    <w:uiPriority w:val="46"/>
    <w:semiHidden/>
    <w:rsid w:val="00C551E1"/>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1Light-Accent41">
    <w:name w:val="List Table 1 Light - Accent 41"/>
    <w:basedOn w:val="TableNormal"/>
    <w:uiPriority w:val="46"/>
    <w:semiHidden/>
    <w:rsid w:val="00C551E1"/>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1Light-Accent51">
    <w:name w:val="List Table 1 Light - Accent 51"/>
    <w:basedOn w:val="TableNormal"/>
    <w:uiPriority w:val="46"/>
    <w:semiHidden/>
    <w:rsid w:val="00C551E1"/>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1Light-Accent61">
    <w:name w:val="List Table 1 Light - Accent 61"/>
    <w:basedOn w:val="TableNormal"/>
    <w:uiPriority w:val="46"/>
    <w:semiHidden/>
    <w:rsid w:val="00C551E1"/>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21">
    <w:name w:val="List Table 21"/>
    <w:basedOn w:val="TableNormal"/>
    <w:uiPriority w:val="47"/>
    <w:semiHidden/>
    <w:rsid w:val="00C551E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C551E1"/>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2-Accent21">
    <w:name w:val="List Table 2 - Accent 21"/>
    <w:basedOn w:val="TableNormal"/>
    <w:uiPriority w:val="47"/>
    <w:semiHidden/>
    <w:rsid w:val="00C551E1"/>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2-Accent31">
    <w:name w:val="List Table 2 - Accent 31"/>
    <w:basedOn w:val="TableNormal"/>
    <w:uiPriority w:val="47"/>
    <w:semiHidden/>
    <w:rsid w:val="00C551E1"/>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2-Accent41">
    <w:name w:val="List Table 2 - Accent 41"/>
    <w:basedOn w:val="TableNormal"/>
    <w:uiPriority w:val="47"/>
    <w:semiHidden/>
    <w:rsid w:val="00C551E1"/>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2-Accent51">
    <w:name w:val="List Table 2 - Accent 51"/>
    <w:basedOn w:val="TableNormal"/>
    <w:uiPriority w:val="47"/>
    <w:semiHidden/>
    <w:rsid w:val="00C551E1"/>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2-Accent61">
    <w:name w:val="List Table 2 - Accent 61"/>
    <w:basedOn w:val="TableNormal"/>
    <w:uiPriority w:val="47"/>
    <w:semiHidden/>
    <w:rsid w:val="00C551E1"/>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31">
    <w:name w:val="List Table 31"/>
    <w:basedOn w:val="TableNormal"/>
    <w:uiPriority w:val="48"/>
    <w:semiHidden/>
    <w:rsid w:val="00C551E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C551E1"/>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customStyle="1" w:styleId="ListTable3-Accent21">
    <w:name w:val="List Table 3 - Accent 21"/>
    <w:basedOn w:val="TableNormal"/>
    <w:uiPriority w:val="48"/>
    <w:semiHidden/>
    <w:rsid w:val="00C551E1"/>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customStyle="1" w:styleId="ListTable3-Accent31">
    <w:name w:val="List Table 3 - Accent 31"/>
    <w:basedOn w:val="TableNormal"/>
    <w:uiPriority w:val="48"/>
    <w:semiHidden/>
    <w:rsid w:val="00C551E1"/>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customStyle="1" w:styleId="ListTable3-Accent41">
    <w:name w:val="List Table 3 - Accent 41"/>
    <w:basedOn w:val="TableNormal"/>
    <w:uiPriority w:val="48"/>
    <w:semiHidden/>
    <w:rsid w:val="00C551E1"/>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customStyle="1" w:styleId="ListTable3-Accent51">
    <w:name w:val="List Table 3 - Accent 51"/>
    <w:basedOn w:val="TableNormal"/>
    <w:uiPriority w:val="48"/>
    <w:semiHidden/>
    <w:rsid w:val="00C551E1"/>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customStyle="1" w:styleId="ListTable3-Accent61">
    <w:name w:val="List Table 3 - Accent 61"/>
    <w:basedOn w:val="TableNormal"/>
    <w:uiPriority w:val="48"/>
    <w:semiHidden/>
    <w:rsid w:val="00C551E1"/>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customStyle="1" w:styleId="ListTable41">
    <w:name w:val="List Table 41"/>
    <w:basedOn w:val="TableNormal"/>
    <w:uiPriority w:val="49"/>
    <w:semiHidden/>
    <w:rsid w:val="00C551E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C551E1"/>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4-Accent21">
    <w:name w:val="List Table 4 - Accent 21"/>
    <w:basedOn w:val="TableNormal"/>
    <w:uiPriority w:val="49"/>
    <w:semiHidden/>
    <w:rsid w:val="00C551E1"/>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4-Accent31">
    <w:name w:val="List Table 4 - Accent 31"/>
    <w:basedOn w:val="TableNormal"/>
    <w:uiPriority w:val="49"/>
    <w:semiHidden/>
    <w:rsid w:val="00C551E1"/>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4-Accent41">
    <w:name w:val="List Table 4 - Accent 41"/>
    <w:basedOn w:val="TableNormal"/>
    <w:uiPriority w:val="49"/>
    <w:semiHidden/>
    <w:rsid w:val="00C551E1"/>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4-Accent51">
    <w:name w:val="List Table 4 - Accent 51"/>
    <w:basedOn w:val="TableNormal"/>
    <w:uiPriority w:val="49"/>
    <w:semiHidden/>
    <w:rsid w:val="00C551E1"/>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4-Accent61">
    <w:name w:val="List Table 4 - Accent 61"/>
    <w:basedOn w:val="TableNormal"/>
    <w:uiPriority w:val="49"/>
    <w:semiHidden/>
    <w:rsid w:val="00C551E1"/>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5Dark1">
    <w:name w:val="List Table 5 Dark1"/>
    <w:basedOn w:val="TableNormal"/>
    <w:uiPriority w:val="50"/>
    <w:semiHidden/>
    <w:rsid w:val="00C551E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C551E1"/>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C551E1"/>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C551E1"/>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C551E1"/>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C551E1"/>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C551E1"/>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C551E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C551E1"/>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6Colorful-Accent21">
    <w:name w:val="List Table 6 Colorful - Accent 21"/>
    <w:basedOn w:val="TableNormal"/>
    <w:uiPriority w:val="51"/>
    <w:semiHidden/>
    <w:rsid w:val="00C551E1"/>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6Colorful-Accent31">
    <w:name w:val="List Table 6 Colorful - Accent 31"/>
    <w:basedOn w:val="TableNormal"/>
    <w:uiPriority w:val="51"/>
    <w:semiHidden/>
    <w:rsid w:val="00C551E1"/>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6Colorful-Accent41">
    <w:name w:val="List Table 6 Colorful - Accent 41"/>
    <w:basedOn w:val="TableNormal"/>
    <w:uiPriority w:val="51"/>
    <w:semiHidden/>
    <w:rsid w:val="00C551E1"/>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6Colorful-Accent51">
    <w:name w:val="List Table 6 Colorful - Accent 51"/>
    <w:basedOn w:val="TableNormal"/>
    <w:uiPriority w:val="51"/>
    <w:semiHidden/>
    <w:rsid w:val="00C551E1"/>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6Colorful-Accent61">
    <w:name w:val="List Table 6 Colorful - Accent 61"/>
    <w:basedOn w:val="TableNormal"/>
    <w:uiPriority w:val="51"/>
    <w:semiHidden/>
    <w:rsid w:val="00C551E1"/>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7Colorful1">
    <w:name w:val="List Table 7 Colorful1"/>
    <w:basedOn w:val="TableNormal"/>
    <w:uiPriority w:val="52"/>
    <w:semiHidden/>
    <w:rsid w:val="00C551E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C551E1"/>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C551E1"/>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C551E1"/>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C551E1"/>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C551E1"/>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C551E1"/>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insideV w:val="single" w:sz="8" w:space="0" w:color="D82A46" w:themeColor="accent1" w:themeTint="BF"/>
      </w:tblBorders>
    </w:tblPr>
    <w:tcPr>
      <w:shd w:val="clear" w:color="auto" w:fill="F2B8C1" w:themeFill="accent1" w:themeFillTint="3F"/>
    </w:tcPr>
    <w:tblStylePr w:type="firstRow">
      <w:rPr>
        <w:b/>
        <w:bCs/>
      </w:rPr>
    </w:tblStylePr>
    <w:tblStylePr w:type="lastRow">
      <w:rPr>
        <w:b/>
        <w:bCs/>
      </w:rPr>
      <w:tblPr/>
      <w:tcPr>
        <w:tcBorders>
          <w:top w:val="single" w:sz="18" w:space="0" w:color="D82A46" w:themeColor="accent1" w:themeTint="BF"/>
        </w:tcBorders>
      </w:tcPr>
    </w:tblStylePr>
    <w:tblStylePr w:type="firstCol">
      <w:rPr>
        <w:b/>
        <w:bCs/>
      </w:rPr>
    </w:tblStylePr>
    <w:tblStylePr w:type="lastCol">
      <w:rPr>
        <w:b/>
        <w:bCs/>
      </w:rPr>
    </w:tblStylePr>
    <w:tblStylePr w:type="band1Vert">
      <w:tblPr/>
      <w:tcPr>
        <w:shd w:val="clear" w:color="auto" w:fill="E57184" w:themeFill="accent1" w:themeFillTint="7F"/>
      </w:tcPr>
    </w:tblStylePr>
    <w:tblStylePr w:type="band1Horz">
      <w:tblPr/>
      <w:tcPr>
        <w:shd w:val="clear" w:color="auto" w:fill="E57184" w:themeFill="accent1" w:themeFillTint="7F"/>
      </w:tcPr>
    </w:tblStylePr>
  </w:style>
  <w:style w:type="table" w:styleId="MediumGrid1-Accent2">
    <w:name w:val="Medium Grid 1 Accent 2"/>
    <w:basedOn w:val="TableNormal"/>
    <w:uiPriority w:val="67"/>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insideV w:val="single" w:sz="8" w:space="0" w:color="C68791" w:themeColor="accent2" w:themeTint="BF"/>
      </w:tblBorders>
    </w:tblPr>
    <w:tcPr>
      <w:shd w:val="clear" w:color="auto" w:fill="ECD7DA" w:themeFill="accent2" w:themeFillTint="3F"/>
    </w:tcPr>
    <w:tblStylePr w:type="firstRow">
      <w:rPr>
        <w:b/>
        <w:bCs/>
      </w:rPr>
    </w:tblStylePr>
    <w:tblStylePr w:type="lastRow">
      <w:rPr>
        <w:b/>
        <w:bCs/>
      </w:rPr>
      <w:tblPr/>
      <w:tcPr>
        <w:tcBorders>
          <w:top w:val="single" w:sz="18" w:space="0" w:color="C68791" w:themeColor="accent2" w:themeTint="BF"/>
        </w:tcBorders>
      </w:tcPr>
    </w:tblStylePr>
    <w:tblStylePr w:type="firstCol">
      <w:rPr>
        <w:b/>
        <w:bCs/>
      </w:rPr>
    </w:tblStylePr>
    <w:tblStylePr w:type="lastCol">
      <w:rPr>
        <w:b/>
        <w:bCs/>
      </w:rPr>
    </w:tblStylePr>
    <w:tblStylePr w:type="band1Vert">
      <w:tblPr/>
      <w:tcPr>
        <w:shd w:val="clear" w:color="auto" w:fill="D9AFB6" w:themeFill="accent2" w:themeFillTint="7F"/>
      </w:tcPr>
    </w:tblStylePr>
    <w:tblStylePr w:type="band1Horz">
      <w:tblPr/>
      <w:tcPr>
        <w:shd w:val="clear" w:color="auto" w:fill="D9AFB6" w:themeFill="accent2" w:themeFillTint="7F"/>
      </w:tcPr>
    </w:tblStylePr>
  </w:style>
  <w:style w:type="table" w:styleId="MediumGrid1-Accent3">
    <w:name w:val="Medium Grid 1 Accent 3"/>
    <w:basedOn w:val="TableNormal"/>
    <w:uiPriority w:val="67"/>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insideV w:val="single" w:sz="8" w:space="0" w:color="EDECEC" w:themeColor="accent3" w:themeTint="BF"/>
      </w:tblBorders>
    </w:tblPr>
    <w:tcPr>
      <w:shd w:val="clear" w:color="auto" w:fill="F9F9F9" w:themeFill="accent3" w:themeFillTint="3F"/>
    </w:tcPr>
    <w:tblStylePr w:type="firstRow">
      <w:rPr>
        <w:b/>
        <w:bCs/>
      </w:rPr>
    </w:tblStylePr>
    <w:tblStylePr w:type="lastRow">
      <w:rPr>
        <w:b/>
        <w:bCs/>
      </w:rPr>
      <w:tblPr/>
      <w:tcPr>
        <w:tcBorders>
          <w:top w:val="single" w:sz="18" w:space="0" w:color="EDECEC" w:themeColor="accent3" w:themeTint="BF"/>
        </w:tcBorders>
      </w:tcPr>
    </w:tblStylePr>
    <w:tblStylePr w:type="firstCol">
      <w:rPr>
        <w:b/>
        <w:bCs/>
      </w:rPr>
    </w:tblStylePr>
    <w:tblStylePr w:type="lastCol">
      <w:rPr>
        <w:b/>
        <w:bCs/>
      </w:rPr>
    </w:tblStylePr>
    <w:tblStylePr w:type="band1Vert">
      <w:tblPr/>
      <w:tcPr>
        <w:shd w:val="clear" w:color="auto" w:fill="F3F2F2" w:themeFill="accent3" w:themeFillTint="7F"/>
      </w:tcPr>
    </w:tblStylePr>
    <w:tblStylePr w:type="band1Horz">
      <w:tblPr/>
      <w:tcPr>
        <w:shd w:val="clear" w:color="auto" w:fill="F3F2F2" w:themeFill="accent3" w:themeFillTint="7F"/>
      </w:tcPr>
    </w:tblStylePr>
  </w:style>
  <w:style w:type="table" w:styleId="MediumGrid1-Accent4">
    <w:name w:val="Medium Grid 1 Accent 4"/>
    <w:basedOn w:val="TableNormal"/>
    <w:uiPriority w:val="67"/>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insideV w:val="single" w:sz="8" w:space="0" w:color="A8A4A4" w:themeColor="accent4" w:themeTint="BF"/>
      </w:tblBorders>
    </w:tblPr>
    <w:tcPr>
      <w:shd w:val="clear" w:color="auto" w:fill="E2E1E1" w:themeFill="accent4" w:themeFillTint="3F"/>
    </w:tcPr>
    <w:tblStylePr w:type="firstRow">
      <w:rPr>
        <w:b/>
        <w:bCs/>
      </w:rPr>
    </w:tblStylePr>
    <w:tblStylePr w:type="lastRow">
      <w:rPr>
        <w:b/>
        <w:bCs/>
      </w:rPr>
      <w:tblPr/>
      <w:tcPr>
        <w:tcBorders>
          <w:top w:val="single" w:sz="18" w:space="0" w:color="A8A4A4" w:themeColor="accent4" w:themeTint="BF"/>
        </w:tcBorders>
      </w:tcPr>
    </w:tblStylePr>
    <w:tblStylePr w:type="firstCol">
      <w:rPr>
        <w:b/>
        <w:bCs/>
      </w:rPr>
    </w:tblStylePr>
    <w:tblStylePr w:type="lastCol">
      <w:rPr>
        <w:b/>
        <w:bCs/>
      </w:rPr>
    </w:tblStylePr>
    <w:tblStylePr w:type="band1Vert">
      <w:tblPr/>
      <w:tcPr>
        <w:shd w:val="clear" w:color="auto" w:fill="C5C2C2" w:themeFill="accent4" w:themeFillTint="7F"/>
      </w:tcPr>
    </w:tblStylePr>
    <w:tblStylePr w:type="band1Horz">
      <w:tblPr/>
      <w:tcPr>
        <w:shd w:val="clear" w:color="auto" w:fill="C5C2C2" w:themeFill="accent4" w:themeFillTint="7F"/>
      </w:tcPr>
    </w:tblStylePr>
  </w:style>
  <w:style w:type="table" w:styleId="MediumGrid1-Accent5">
    <w:name w:val="Medium Grid 1 Accent 5"/>
    <w:basedOn w:val="TableNormal"/>
    <w:uiPriority w:val="67"/>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insideV w:val="single" w:sz="8" w:space="0" w:color="625E5E" w:themeColor="accent5" w:themeTint="BF"/>
      </w:tblBorders>
    </w:tblPr>
    <w:tcPr>
      <w:shd w:val="clear" w:color="auto" w:fill="CBC9C9" w:themeFill="accent5" w:themeFillTint="3F"/>
    </w:tcPr>
    <w:tblStylePr w:type="firstRow">
      <w:rPr>
        <w:b/>
        <w:bCs/>
      </w:rPr>
    </w:tblStylePr>
    <w:tblStylePr w:type="lastRow">
      <w:rPr>
        <w:b/>
        <w:bCs/>
      </w:rPr>
      <w:tblPr/>
      <w:tcPr>
        <w:tcBorders>
          <w:top w:val="single" w:sz="18" w:space="0" w:color="625E5E" w:themeColor="accent5" w:themeTint="BF"/>
        </w:tcBorders>
      </w:tcPr>
    </w:tblStylePr>
    <w:tblStylePr w:type="firstCol">
      <w:rPr>
        <w:b/>
        <w:bCs/>
      </w:rPr>
    </w:tblStylePr>
    <w:tblStylePr w:type="lastCol">
      <w:rPr>
        <w:b/>
        <w:bCs/>
      </w:rPr>
    </w:tblStylePr>
    <w:tblStylePr w:type="band1Vert">
      <w:tblPr/>
      <w:tcPr>
        <w:shd w:val="clear" w:color="auto" w:fill="979292" w:themeFill="accent5" w:themeFillTint="7F"/>
      </w:tcPr>
    </w:tblStylePr>
    <w:tblStylePr w:type="band1Horz">
      <w:tblPr/>
      <w:tcPr>
        <w:shd w:val="clear" w:color="auto" w:fill="979292" w:themeFill="accent5" w:themeFillTint="7F"/>
      </w:tcPr>
    </w:tblStylePr>
  </w:style>
  <w:style w:type="table" w:styleId="MediumGrid1-Accent6">
    <w:name w:val="Medium Grid 1 Accent 6"/>
    <w:basedOn w:val="TableNormal"/>
    <w:uiPriority w:val="67"/>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insideV w:val="single" w:sz="8" w:space="0" w:color="A21E34" w:themeColor="accent6" w:themeTint="BF"/>
      </w:tblBorders>
    </w:tblPr>
    <w:tcPr>
      <w:shd w:val="clear" w:color="auto" w:fill="EEA7B2" w:themeFill="accent6" w:themeFillTint="3F"/>
    </w:tcPr>
    <w:tblStylePr w:type="firstRow">
      <w:rPr>
        <w:b/>
        <w:bCs/>
      </w:rPr>
    </w:tblStylePr>
    <w:tblStylePr w:type="lastRow">
      <w:rPr>
        <w:b/>
        <w:bCs/>
      </w:rPr>
      <w:tblPr/>
      <w:tcPr>
        <w:tcBorders>
          <w:top w:val="single" w:sz="18" w:space="0" w:color="A21E34" w:themeColor="accent6" w:themeTint="BF"/>
        </w:tcBorders>
      </w:tcPr>
    </w:tblStylePr>
    <w:tblStylePr w:type="firstCol">
      <w:rPr>
        <w:b/>
        <w:bCs/>
      </w:rPr>
    </w:tblStylePr>
    <w:tblStylePr w:type="lastCol">
      <w:rPr>
        <w:b/>
        <w:bCs/>
      </w:rPr>
    </w:tblStylePr>
    <w:tblStylePr w:type="band1Vert">
      <w:tblPr/>
      <w:tcPr>
        <w:shd w:val="clear" w:color="auto" w:fill="DD4E65" w:themeFill="accent6" w:themeFillTint="7F"/>
      </w:tcPr>
    </w:tblStylePr>
    <w:tblStylePr w:type="band1Horz">
      <w:tblPr/>
      <w:tcPr>
        <w:shd w:val="clear" w:color="auto" w:fill="DD4E65" w:themeFill="accent6" w:themeFillTint="7F"/>
      </w:tcPr>
    </w:tblStylePr>
  </w:style>
  <w:style w:type="table" w:styleId="MediumGrid2">
    <w:name w:val="Medium Grid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insideH w:val="single" w:sz="8" w:space="0" w:color="931B2F" w:themeColor="accent1"/>
        <w:insideV w:val="single" w:sz="8" w:space="0" w:color="931B2F" w:themeColor="accent1"/>
      </w:tblBorders>
    </w:tblPr>
    <w:tcPr>
      <w:shd w:val="clear" w:color="auto" w:fill="F2B8C1" w:themeFill="accent1" w:themeFillTint="3F"/>
    </w:tcPr>
    <w:tblStylePr w:type="firstRow">
      <w:rPr>
        <w:b/>
        <w:bCs/>
        <w:color w:val="000000" w:themeColor="text1"/>
      </w:rPr>
      <w:tblPr/>
      <w:tcPr>
        <w:shd w:val="clear" w:color="auto" w:fill="FAE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6CD" w:themeFill="accent1" w:themeFillTint="33"/>
      </w:tcPr>
    </w:tblStylePr>
    <w:tblStylePr w:type="band1Vert">
      <w:tblPr/>
      <w:tcPr>
        <w:shd w:val="clear" w:color="auto" w:fill="E57184" w:themeFill="accent1" w:themeFillTint="7F"/>
      </w:tcPr>
    </w:tblStylePr>
    <w:tblStylePr w:type="band1Horz">
      <w:tblPr/>
      <w:tcPr>
        <w:tcBorders>
          <w:insideH w:val="single" w:sz="6" w:space="0" w:color="931B2F" w:themeColor="accent1"/>
          <w:insideV w:val="single" w:sz="6" w:space="0" w:color="931B2F" w:themeColor="accent1"/>
        </w:tcBorders>
        <w:shd w:val="clear" w:color="auto" w:fill="E571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insideH w:val="single" w:sz="8" w:space="0" w:color="B35F6D" w:themeColor="accent2"/>
        <w:insideV w:val="single" w:sz="8" w:space="0" w:color="B35F6D" w:themeColor="accent2"/>
      </w:tblBorders>
    </w:tblPr>
    <w:tcPr>
      <w:shd w:val="clear" w:color="auto" w:fill="ECD7DA" w:themeFill="accent2" w:themeFillTint="3F"/>
    </w:tcPr>
    <w:tblStylePr w:type="firstRow">
      <w:rPr>
        <w:b/>
        <w:bCs/>
        <w:color w:val="000000" w:themeColor="text1"/>
      </w:rPr>
      <w:tblPr/>
      <w:tcPr>
        <w:shd w:val="clear" w:color="auto" w:fill="F7EF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EE1" w:themeFill="accent2" w:themeFillTint="33"/>
      </w:tcPr>
    </w:tblStylePr>
    <w:tblStylePr w:type="band1Vert">
      <w:tblPr/>
      <w:tcPr>
        <w:shd w:val="clear" w:color="auto" w:fill="D9AFB6" w:themeFill="accent2" w:themeFillTint="7F"/>
      </w:tcPr>
    </w:tblStylePr>
    <w:tblStylePr w:type="band1Horz">
      <w:tblPr/>
      <w:tcPr>
        <w:tcBorders>
          <w:insideH w:val="single" w:sz="6" w:space="0" w:color="B35F6D" w:themeColor="accent2"/>
          <w:insideV w:val="single" w:sz="6" w:space="0" w:color="B35F6D" w:themeColor="accent2"/>
        </w:tcBorders>
        <w:shd w:val="clear" w:color="auto" w:fill="D9AFB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insideH w:val="single" w:sz="8" w:space="0" w:color="E8E7E7" w:themeColor="accent3"/>
        <w:insideV w:val="single" w:sz="8" w:space="0" w:color="E8E7E7" w:themeColor="accent3"/>
      </w:tblBorders>
    </w:tblPr>
    <w:tcPr>
      <w:shd w:val="clear" w:color="auto" w:fill="F9F9F9"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2F2" w:themeFill="accent3" w:themeFillTint="7F"/>
      </w:tcPr>
    </w:tblStylePr>
    <w:tblStylePr w:type="band1Horz">
      <w:tblPr/>
      <w:tcPr>
        <w:tcBorders>
          <w:insideH w:val="single" w:sz="6" w:space="0" w:color="E8E7E7" w:themeColor="accent3"/>
          <w:insideV w:val="single" w:sz="6" w:space="0" w:color="E8E7E7" w:themeColor="accent3"/>
        </w:tcBorders>
        <w:shd w:val="clear" w:color="auto" w:fill="F3F2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insideH w:val="single" w:sz="8" w:space="0" w:color="8C8686" w:themeColor="accent4"/>
        <w:insideV w:val="single" w:sz="8" w:space="0" w:color="8C8686" w:themeColor="accent4"/>
      </w:tblBorders>
    </w:tblPr>
    <w:tcPr>
      <w:shd w:val="clear" w:color="auto" w:fill="E2E1E1" w:themeFill="accent4" w:themeFillTint="3F"/>
    </w:tcPr>
    <w:tblStylePr w:type="firstRow">
      <w:rPr>
        <w:b/>
        <w:bCs/>
        <w:color w:val="000000" w:themeColor="text1"/>
      </w:rPr>
      <w:tblPr/>
      <w:tcPr>
        <w:shd w:val="clear" w:color="auto" w:fill="F3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6E6" w:themeFill="accent4" w:themeFillTint="33"/>
      </w:tcPr>
    </w:tblStylePr>
    <w:tblStylePr w:type="band1Vert">
      <w:tblPr/>
      <w:tcPr>
        <w:shd w:val="clear" w:color="auto" w:fill="C5C2C2" w:themeFill="accent4" w:themeFillTint="7F"/>
      </w:tcPr>
    </w:tblStylePr>
    <w:tblStylePr w:type="band1Horz">
      <w:tblPr/>
      <w:tcPr>
        <w:tcBorders>
          <w:insideH w:val="single" w:sz="6" w:space="0" w:color="8C8686" w:themeColor="accent4"/>
          <w:insideV w:val="single" w:sz="6" w:space="0" w:color="8C8686" w:themeColor="accent4"/>
        </w:tcBorders>
        <w:shd w:val="clear" w:color="auto" w:fill="C5C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insideH w:val="single" w:sz="8" w:space="0" w:color="2C2A2A" w:themeColor="accent5"/>
        <w:insideV w:val="single" w:sz="8" w:space="0" w:color="2C2A2A" w:themeColor="accent5"/>
      </w:tblBorders>
    </w:tblPr>
    <w:tcPr>
      <w:shd w:val="clear" w:color="auto" w:fill="CBC9C9" w:themeFill="accent5" w:themeFillTint="3F"/>
    </w:tcPr>
    <w:tblStylePr w:type="firstRow">
      <w:rPr>
        <w:b/>
        <w:bCs/>
        <w:color w:val="000000" w:themeColor="text1"/>
      </w:rPr>
      <w:tblPr/>
      <w:tcPr>
        <w:shd w:val="clear" w:color="auto" w:fill="EAE9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3D3" w:themeFill="accent5" w:themeFillTint="33"/>
      </w:tcPr>
    </w:tblStylePr>
    <w:tblStylePr w:type="band1Vert">
      <w:tblPr/>
      <w:tcPr>
        <w:shd w:val="clear" w:color="auto" w:fill="979292" w:themeFill="accent5" w:themeFillTint="7F"/>
      </w:tcPr>
    </w:tblStylePr>
    <w:tblStylePr w:type="band1Horz">
      <w:tblPr/>
      <w:tcPr>
        <w:tcBorders>
          <w:insideH w:val="single" w:sz="6" w:space="0" w:color="2C2A2A" w:themeColor="accent5"/>
          <w:insideV w:val="single" w:sz="6" w:space="0" w:color="2C2A2A" w:themeColor="accent5"/>
        </w:tcBorders>
        <w:shd w:val="clear" w:color="auto" w:fill="9792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insideH w:val="single" w:sz="8" w:space="0" w:color="4A0E18" w:themeColor="accent6"/>
        <w:insideV w:val="single" w:sz="8" w:space="0" w:color="4A0E18" w:themeColor="accent6"/>
      </w:tblBorders>
    </w:tblPr>
    <w:tcPr>
      <w:shd w:val="clear" w:color="auto" w:fill="EEA7B2" w:themeFill="accent6" w:themeFillTint="3F"/>
    </w:tcPr>
    <w:tblStylePr w:type="firstRow">
      <w:rPr>
        <w:b/>
        <w:bCs/>
        <w:color w:val="000000" w:themeColor="text1"/>
      </w:rPr>
      <w:tblPr/>
      <w:tcPr>
        <w:shd w:val="clear" w:color="auto" w:fill="F8DBE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B7C1" w:themeFill="accent6" w:themeFillTint="33"/>
      </w:tcPr>
    </w:tblStylePr>
    <w:tblStylePr w:type="band1Vert">
      <w:tblPr/>
      <w:tcPr>
        <w:shd w:val="clear" w:color="auto" w:fill="DD4E65" w:themeFill="accent6" w:themeFillTint="7F"/>
      </w:tcPr>
    </w:tblStylePr>
    <w:tblStylePr w:type="band1Horz">
      <w:tblPr/>
      <w:tcPr>
        <w:tcBorders>
          <w:insideH w:val="single" w:sz="6" w:space="0" w:color="4A0E18" w:themeColor="accent6"/>
          <w:insideV w:val="single" w:sz="6" w:space="0" w:color="4A0E18" w:themeColor="accent6"/>
        </w:tcBorders>
        <w:shd w:val="clear" w:color="auto" w:fill="DD4E6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8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71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7184" w:themeFill="accent1" w:themeFillTint="7F"/>
      </w:tcPr>
    </w:tblStylePr>
  </w:style>
  <w:style w:type="table" w:styleId="MediumGrid3-Accent2">
    <w:name w:val="Medium Grid 3 Accent 2"/>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7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5F6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5F6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5F6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AFB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AFB6" w:themeFill="accent2" w:themeFillTint="7F"/>
      </w:tcPr>
    </w:tblStylePr>
  </w:style>
  <w:style w:type="table" w:styleId="MediumGrid3-Accent3">
    <w:name w:val="Medium Grid 3 Accent 3"/>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E7E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E7E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E7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2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2F2" w:themeFill="accent3" w:themeFillTint="7F"/>
      </w:tcPr>
    </w:tblStylePr>
  </w:style>
  <w:style w:type="table" w:styleId="MediumGrid3-Accent4">
    <w:name w:val="Medium Grid 3 Accent 4"/>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868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868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868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2C2" w:themeFill="accent4" w:themeFillTint="7F"/>
      </w:tcPr>
    </w:tblStylePr>
  </w:style>
  <w:style w:type="table" w:styleId="MediumGrid3-Accent5">
    <w:name w:val="Medium Grid 3 Accent 5"/>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2A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2A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2A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2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292" w:themeFill="accent5" w:themeFillTint="7F"/>
      </w:tcPr>
    </w:tblStylePr>
  </w:style>
  <w:style w:type="table" w:styleId="MediumGrid3-Accent6">
    <w:name w:val="Medium Grid 3 Accent 6"/>
    <w:basedOn w:val="TableNormal"/>
    <w:uiPriority w:val="69"/>
    <w:semiHidden/>
    <w:unhideWhenUsed/>
    <w:locked/>
    <w:rsid w:val="00C551E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A7B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0E1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0E1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0E1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4E6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4E65" w:themeFill="accent6" w:themeFillTint="7F"/>
      </w:tcPr>
    </w:tblStylePr>
  </w:style>
  <w:style w:type="table" w:styleId="MediumList1">
    <w:name w:val="Medium Lis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931B2F" w:themeColor="accent1"/>
        <w:bottom w:val="single" w:sz="8" w:space="0" w:color="931B2F" w:themeColor="accent1"/>
      </w:tblBorders>
    </w:tblPr>
    <w:tblStylePr w:type="firstRow">
      <w:rPr>
        <w:rFonts w:asciiTheme="majorHAnsi" w:eastAsiaTheme="majorEastAsia" w:hAnsiTheme="majorHAnsi" w:cstheme="majorBidi"/>
      </w:rPr>
      <w:tblPr/>
      <w:tcPr>
        <w:tcBorders>
          <w:top w:val="nil"/>
          <w:bottom w:val="single" w:sz="8" w:space="0" w:color="931B2F" w:themeColor="accent1"/>
        </w:tcBorders>
      </w:tcPr>
    </w:tblStylePr>
    <w:tblStylePr w:type="lastRow">
      <w:rPr>
        <w:b/>
        <w:bCs/>
        <w:color w:val="4D4D4D" w:themeColor="text2"/>
      </w:rPr>
      <w:tblPr/>
      <w:tcPr>
        <w:tcBorders>
          <w:top w:val="single" w:sz="8" w:space="0" w:color="931B2F" w:themeColor="accent1"/>
          <w:bottom w:val="single" w:sz="8" w:space="0" w:color="931B2F" w:themeColor="accent1"/>
        </w:tcBorders>
      </w:tcPr>
    </w:tblStylePr>
    <w:tblStylePr w:type="firstCol">
      <w:rPr>
        <w:b/>
        <w:bCs/>
      </w:rPr>
    </w:tblStylePr>
    <w:tblStylePr w:type="lastCol">
      <w:rPr>
        <w:b/>
        <w:bCs/>
      </w:rPr>
      <w:tblPr/>
      <w:tcPr>
        <w:tcBorders>
          <w:top w:val="single" w:sz="8" w:space="0" w:color="931B2F" w:themeColor="accent1"/>
          <w:bottom w:val="single" w:sz="8" w:space="0" w:color="931B2F" w:themeColor="accent1"/>
        </w:tcBorders>
      </w:tcPr>
    </w:tblStylePr>
    <w:tblStylePr w:type="band1Vert">
      <w:tblPr/>
      <w:tcPr>
        <w:shd w:val="clear" w:color="auto" w:fill="F2B8C1" w:themeFill="accent1" w:themeFillTint="3F"/>
      </w:tcPr>
    </w:tblStylePr>
    <w:tblStylePr w:type="band1Horz">
      <w:tblPr/>
      <w:tcPr>
        <w:shd w:val="clear" w:color="auto" w:fill="F2B8C1" w:themeFill="accent1" w:themeFillTint="3F"/>
      </w:tcPr>
    </w:tblStylePr>
  </w:style>
  <w:style w:type="table" w:styleId="MediumList1-Accent2">
    <w:name w:val="Medium List 1 Accent 2"/>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B35F6D" w:themeColor="accent2"/>
        <w:bottom w:val="single" w:sz="8" w:space="0" w:color="B35F6D" w:themeColor="accent2"/>
      </w:tblBorders>
    </w:tblPr>
    <w:tblStylePr w:type="firstRow">
      <w:rPr>
        <w:rFonts w:asciiTheme="majorHAnsi" w:eastAsiaTheme="majorEastAsia" w:hAnsiTheme="majorHAnsi" w:cstheme="majorBidi"/>
      </w:rPr>
      <w:tblPr/>
      <w:tcPr>
        <w:tcBorders>
          <w:top w:val="nil"/>
          <w:bottom w:val="single" w:sz="8" w:space="0" w:color="B35F6D" w:themeColor="accent2"/>
        </w:tcBorders>
      </w:tcPr>
    </w:tblStylePr>
    <w:tblStylePr w:type="lastRow">
      <w:rPr>
        <w:b/>
        <w:bCs/>
        <w:color w:val="4D4D4D" w:themeColor="text2"/>
      </w:rPr>
      <w:tblPr/>
      <w:tcPr>
        <w:tcBorders>
          <w:top w:val="single" w:sz="8" w:space="0" w:color="B35F6D" w:themeColor="accent2"/>
          <w:bottom w:val="single" w:sz="8" w:space="0" w:color="B35F6D" w:themeColor="accent2"/>
        </w:tcBorders>
      </w:tcPr>
    </w:tblStylePr>
    <w:tblStylePr w:type="firstCol">
      <w:rPr>
        <w:b/>
        <w:bCs/>
      </w:rPr>
    </w:tblStylePr>
    <w:tblStylePr w:type="lastCol">
      <w:rPr>
        <w:b/>
        <w:bCs/>
      </w:rPr>
      <w:tblPr/>
      <w:tcPr>
        <w:tcBorders>
          <w:top w:val="single" w:sz="8" w:space="0" w:color="B35F6D" w:themeColor="accent2"/>
          <w:bottom w:val="single" w:sz="8" w:space="0" w:color="B35F6D" w:themeColor="accent2"/>
        </w:tcBorders>
      </w:tcPr>
    </w:tblStylePr>
    <w:tblStylePr w:type="band1Vert">
      <w:tblPr/>
      <w:tcPr>
        <w:shd w:val="clear" w:color="auto" w:fill="ECD7DA" w:themeFill="accent2" w:themeFillTint="3F"/>
      </w:tcPr>
    </w:tblStylePr>
    <w:tblStylePr w:type="band1Horz">
      <w:tblPr/>
      <w:tcPr>
        <w:shd w:val="clear" w:color="auto" w:fill="ECD7DA" w:themeFill="accent2" w:themeFillTint="3F"/>
      </w:tcPr>
    </w:tblStylePr>
  </w:style>
  <w:style w:type="table" w:styleId="MediumList1-Accent3">
    <w:name w:val="Medium List 1 Accent 3"/>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E8E7E7" w:themeColor="accent3"/>
        <w:bottom w:val="single" w:sz="8" w:space="0" w:color="E8E7E7" w:themeColor="accent3"/>
      </w:tblBorders>
    </w:tblPr>
    <w:tblStylePr w:type="firstRow">
      <w:rPr>
        <w:rFonts w:asciiTheme="majorHAnsi" w:eastAsiaTheme="majorEastAsia" w:hAnsiTheme="majorHAnsi" w:cstheme="majorBidi"/>
      </w:rPr>
      <w:tblPr/>
      <w:tcPr>
        <w:tcBorders>
          <w:top w:val="nil"/>
          <w:bottom w:val="single" w:sz="8" w:space="0" w:color="E8E7E7" w:themeColor="accent3"/>
        </w:tcBorders>
      </w:tcPr>
    </w:tblStylePr>
    <w:tblStylePr w:type="lastRow">
      <w:rPr>
        <w:b/>
        <w:bCs/>
        <w:color w:val="4D4D4D" w:themeColor="text2"/>
      </w:rPr>
      <w:tblPr/>
      <w:tcPr>
        <w:tcBorders>
          <w:top w:val="single" w:sz="8" w:space="0" w:color="E8E7E7" w:themeColor="accent3"/>
          <w:bottom w:val="single" w:sz="8" w:space="0" w:color="E8E7E7" w:themeColor="accent3"/>
        </w:tcBorders>
      </w:tcPr>
    </w:tblStylePr>
    <w:tblStylePr w:type="firstCol">
      <w:rPr>
        <w:b/>
        <w:bCs/>
      </w:rPr>
    </w:tblStylePr>
    <w:tblStylePr w:type="lastCol">
      <w:rPr>
        <w:b/>
        <w:bCs/>
      </w:rPr>
      <w:tblPr/>
      <w:tcPr>
        <w:tcBorders>
          <w:top w:val="single" w:sz="8" w:space="0" w:color="E8E7E7" w:themeColor="accent3"/>
          <w:bottom w:val="single" w:sz="8" w:space="0" w:color="E8E7E7" w:themeColor="accent3"/>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MediumList1-Accent4">
    <w:name w:val="Medium List 1 Accent 4"/>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8C8686" w:themeColor="accent4"/>
        <w:bottom w:val="single" w:sz="8" w:space="0" w:color="8C8686" w:themeColor="accent4"/>
      </w:tblBorders>
    </w:tblPr>
    <w:tblStylePr w:type="firstRow">
      <w:rPr>
        <w:rFonts w:asciiTheme="majorHAnsi" w:eastAsiaTheme="majorEastAsia" w:hAnsiTheme="majorHAnsi" w:cstheme="majorBidi"/>
      </w:rPr>
      <w:tblPr/>
      <w:tcPr>
        <w:tcBorders>
          <w:top w:val="nil"/>
          <w:bottom w:val="single" w:sz="8" w:space="0" w:color="8C8686" w:themeColor="accent4"/>
        </w:tcBorders>
      </w:tcPr>
    </w:tblStylePr>
    <w:tblStylePr w:type="lastRow">
      <w:rPr>
        <w:b/>
        <w:bCs/>
        <w:color w:val="4D4D4D" w:themeColor="text2"/>
      </w:rPr>
      <w:tblPr/>
      <w:tcPr>
        <w:tcBorders>
          <w:top w:val="single" w:sz="8" w:space="0" w:color="8C8686" w:themeColor="accent4"/>
          <w:bottom w:val="single" w:sz="8" w:space="0" w:color="8C8686" w:themeColor="accent4"/>
        </w:tcBorders>
      </w:tcPr>
    </w:tblStylePr>
    <w:tblStylePr w:type="firstCol">
      <w:rPr>
        <w:b/>
        <w:bCs/>
      </w:rPr>
    </w:tblStylePr>
    <w:tblStylePr w:type="lastCol">
      <w:rPr>
        <w:b/>
        <w:bCs/>
      </w:rPr>
      <w:tblPr/>
      <w:tcPr>
        <w:tcBorders>
          <w:top w:val="single" w:sz="8" w:space="0" w:color="8C8686" w:themeColor="accent4"/>
          <w:bottom w:val="single" w:sz="8" w:space="0" w:color="8C8686" w:themeColor="accent4"/>
        </w:tcBorders>
      </w:tcPr>
    </w:tblStylePr>
    <w:tblStylePr w:type="band1Vert">
      <w:tblPr/>
      <w:tcPr>
        <w:shd w:val="clear" w:color="auto" w:fill="E2E1E1" w:themeFill="accent4" w:themeFillTint="3F"/>
      </w:tcPr>
    </w:tblStylePr>
    <w:tblStylePr w:type="band1Horz">
      <w:tblPr/>
      <w:tcPr>
        <w:shd w:val="clear" w:color="auto" w:fill="E2E1E1" w:themeFill="accent4" w:themeFillTint="3F"/>
      </w:tcPr>
    </w:tblStylePr>
  </w:style>
  <w:style w:type="table" w:styleId="MediumList1-Accent5">
    <w:name w:val="Medium List 1 Accent 5"/>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2C2A2A" w:themeColor="accent5"/>
        <w:bottom w:val="single" w:sz="8" w:space="0" w:color="2C2A2A" w:themeColor="accent5"/>
      </w:tblBorders>
    </w:tblPr>
    <w:tblStylePr w:type="firstRow">
      <w:rPr>
        <w:rFonts w:asciiTheme="majorHAnsi" w:eastAsiaTheme="majorEastAsia" w:hAnsiTheme="majorHAnsi" w:cstheme="majorBidi"/>
      </w:rPr>
      <w:tblPr/>
      <w:tcPr>
        <w:tcBorders>
          <w:top w:val="nil"/>
          <w:bottom w:val="single" w:sz="8" w:space="0" w:color="2C2A2A" w:themeColor="accent5"/>
        </w:tcBorders>
      </w:tcPr>
    </w:tblStylePr>
    <w:tblStylePr w:type="lastRow">
      <w:rPr>
        <w:b/>
        <w:bCs/>
        <w:color w:val="4D4D4D" w:themeColor="text2"/>
      </w:rPr>
      <w:tblPr/>
      <w:tcPr>
        <w:tcBorders>
          <w:top w:val="single" w:sz="8" w:space="0" w:color="2C2A2A" w:themeColor="accent5"/>
          <w:bottom w:val="single" w:sz="8" w:space="0" w:color="2C2A2A" w:themeColor="accent5"/>
        </w:tcBorders>
      </w:tcPr>
    </w:tblStylePr>
    <w:tblStylePr w:type="firstCol">
      <w:rPr>
        <w:b/>
        <w:bCs/>
      </w:rPr>
    </w:tblStylePr>
    <w:tblStylePr w:type="lastCol">
      <w:rPr>
        <w:b/>
        <w:bCs/>
      </w:rPr>
      <w:tblPr/>
      <w:tcPr>
        <w:tcBorders>
          <w:top w:val="single" w:sz="8" w:space="0" w:color="2C2A2A" w:themeColor="accent5"/>
          <w:bottom w:val="single" w:sz="8" w:space="0" w:color="2C2A2A" w:themeColor="accent5"/>
        </w:tcBorders>
      </w:tcPr>
    </w:tblStylePr>
    <w:tblStylePr w:type="band1Vert">
      <w:tblPr/>
      <w:tcPr>
        <w:shd w:val="clear" w:color="auto" w:fill="CBC9C9" w:themeFill="accent5" w:themeFillTint="3F"/>
      </w:tcPr>
    </w:tblStylePr>
    <w:tblStylePr w:type="band1Horz">
      <w:tblPr/>
      <w:tcPr>
        <w:shd w:val="clear" w:color="auto" w:fill="CBC9C9" w:themeFill="accent5" w:themeFillTint="3F"/>
      </w:tcPr>
    </w:tblStylePr>
  </w:style>
  <w:style w:type="table" w:styleId="MediumList1-Accent6">
    <w:name w:val="Medium List 1 Accent 6"/>
    <w:basedOn w:val="TableNormal"/>
    <w:uiPriority w:val="65"/>
    <w:semiHidden/>
    <w:unhideWhenUsed/>
    <w:locked/>
    <w:rsid w:val="00C551E1"/>
    <w:pPr>
      <w:spacing w:after="0"/>
    </w:pPr>
    <w:rPr>
      <w:color w:val="000000" w:themeColor="text1"/>
    </w:rPr>
    <w:tblPr>
      <w:tblStyleRowBandSize w:val="1"/>
      <w:tblStyleColBandSize w:val="1"/>
      <w:tblBorders>
        <w:top w:val="single" w:sz="8" w:space="0" w:color="4A0E18" w:themeColor="accent6"/>
        <w:bottom w:val="single" w:sz="8" w:space="0" w:color="4A0E18" w:themeColor="accent6"/>
      </w:tblBorders>
    </w:tblPr>
    <w:tblStylePr w:type="firstRow">
      <w:rPr>
        <w:rFonts w:asciiTheme="majorHAnsi" w:eastAsiaTheme="majorEastAsia" w:hAnsiTheme="majorHAnsi" w:cstheme="majorBidi"/>
      </w:rPr>
      <w:tblPr/>
      <w:tcPr>
        <w:tcBorders>
          <w:top w:val="nil"/>
          <w:bottom w:val="single" w:sz="8" w:space="0" w:color="4A0E18" w:themeColor="accent6"/>
        </w:tcBorders>
      </w:tcPr>
    </w:tblStylePr>
    <w:tblStylePr w:type="lastRow">
      <w:rPr>
        <w:b/>
        <w:bCs/>
        <w:color w:val="4D4D4D" w:themeColor="text2"/>
      </w:rPr>
      <w:tblPr/>
      <w:tcPr>
        <w:tcBorders>
          <w:top w:val="single" w:sz="8" w:space="0" w:color="4A0E18" w:themeColor="accent6"/>
          <w:bottom w:val="single" w:sz="8" w:space="0" w:color="4A0E18" w:themeColor="accent6"/>
        </w:tcBorders>
      </w:tcPr>
    </w:tblStylePr>
    <w:tblStylePr w:type="firstCol">
      <w:rPr>
        <w:b/>
        <w:bCs/>
      </w:rPr>
    </w:tblStylePr>
    <w:tblStylePr w:type="lastCol">
      <w:rPr>
        <w:b/>
        <w:bCs/>
      </w:rPr>
      <w:tblPr/>
      <w:tcPr>
        <w:tcBorders>
          <w:top w:val="single" w:sz="8" w:space="0" w:color="4A0E18" w:themeColor="accent6"/>
          <w:bottom w:val="single" w:sz="8" w:space="0" w:color="4A0E18" w:themeColor="accent6"/>
        </w:tcBorders>
      </w:tcPr>
    </w:tblStylePr>
    <w:tblStylePr w:type="band1Vert">
      <w:tblPr/>
      <w:tcPr>
        <w:shd w:val="clear" w:color="auto" w:fill="EEA7B2" w:themeFill="accent6" w:themeFillTint="3F"/>
      </w:tcPr>
    </w:tblStylePr>
    <w:tblStylePr w:type="band1Horz">
      <w:tblPr/>
      <w:tcPr>
        <w:shd w:val="clear" w:color="auto" w:fill="EEA7B2" w:themeFill="accent6" w:themeFillTint="3F"/>
      </w:tcPr>
    </w:tblStylePr>
  </w:style>
  <w:style w:type="table" w:styleId="MediumList2">
    <w:name w:val="Medium Lis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31B2F" w:themeColor="accent1"/>
        <w:left w:val="single" w:sz="8" w:space="0" w:color="931B2F" w:themeColor="accent1"/>
        <w:bottom w:val="single" w:sz="8" w:space="0" w:color="931B2F" w:themeColor="accent1"/>
        <w:right w:val="single" w:sz="8" w:space="0" w:color="931B2F" w:themeColor="accent1"/>
      </w:tblBorders>
    </w:tblPr>
    <w:tblStylePr w:type="firstRow">
      <w:rPr>
        <w:sz w:val="24"/>
        <w:szCs w:val="24"/>
      </w:rPr>
      <w:tblPr/>
      <w:tcPr>
        <w:tcBorders>
          <w:top w:val="nil"/>
          <w:left w:val="nil"/>
          <w:bottom w:val="single" w:sz="24" w:space="0" w:color="93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1B2F" w:themeColor="accent1"/>
          <w:insideH w:val="nil"/>
          <w:insideV w:val="nil"/>
        </w:tcBorders>
        <w:shd w:val="clear" w:color="auto" w:fill="FFFFFF" w:themeFill="background1"/>
      </w:tcPr>
    </w:tblStylePr>
    <w:tblStylePr w:type="lastCol">
      <w:tblPr/>
      <w:tcPr>
        <w:tcBorders>
          <w:top w:val="nil"/>
          <w:left w:val="single" w:sz="8" w:space="0" w:color="93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8C1" w:themeFill="accent1" w:themeFillTint="3F"/>
      </w:tcPr>
    </w:tblStylePr>
    <w:tblStylePr w:type="band1Horz">
      <w:tblPr/>
      <w:tcPr>
        <w:tcBorders>
          <w:top w:val="nil"/>
          <w:bottom w:val="nil"/>
          <w:insideH w:val="nil"/>
          <w:insideV w:val="nil"/>
        </w:tcBorders>
        <w:shd w:val="clear" w:color="auto" w:fill="F2B8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35F6D" w:themeColor="accent2"/>
        <w:left w:val="single" w:sz="8" w:space="0" w:color="B35F6D" w:themeColor="accent2"/>
        <w:bottom w:val="single" w:sz="8" w:space="0" w:color="B35F6D" w:themeColor="accent2"/>
        <w:right w:val="single" w:sz="8" w:space="0" w:color="B35F6D" w:themeColor="accent2"/>
      </w:tblBorders>
    </w:tblPr>
    <w:tblStylePr w:type="firstRow">
      <w:rPr>
        <w:sz w:val="24"/>
        <w:szCs w:val="24"/>
      </w:rPr>
      <w:tblPr/>
      <w:tcPr>
        <w:tcBorders>
          <w:top w:val="nil"/>
          <w:left w:val="nil"/>
          <w:bottom w:val="single" w:sz="24" w:space="0" w:color="B35F6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5F6D" w:themeColor="accent2"/>
          <w:insideH w:val="nil"/>
          <w:insideV w:val="nil"/>
        </w:tcBorders>
        <w:shd w:val="clear" w:color="auto" w:fill="FFFFFF" w:themeFill="background1"/>
      </w:tcPr>
    </w:tblStylePr>
    <w:tblStylePr w:type="lastCol">
      <w:tblPr/>
      <w:tcPr>
        <w:tcBorders>
          <w:top w:val="nil"/>
          <w:left w:val="single" w:sz="8" w:space="0" w:color="B35F6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7DA" w:themeFill="accent2" w:themeFillTint="3F"/>
      </w:tcPr>
    </w:tblStylePr>
    <w:tblStylePr w:type="band1Horz">
      <w:tblPr/>
      <w:tcPr>
        <w:tcBorders>
          <w:top w:val="nil"/>
          <w:bottom w:val="nil"/>
          <w:insideH w:val="nil"/>
          <w:insideV w:val="nil"/>
        </w:tcBorders>
        <w:shd w:val="clear" w:color="auto" w:fill="ECD7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E7E7" w:themeColor="accent3"/>
        <w:left w:val="single" w:sz="8" w:space="0" w:color="E8E7E7" w:themeColor="accent3"/>
        <w:bottom w:val="single" w:sz="8" w:space="0" w:color="E8E7E7" w:themeColor="accent3"/>
        <w:right w:val="single" w:sz="8" w:space="0" w:color="E8E7E7" w:themeColor="accent3"/>
      </w:tblBorders>
    </w:tblPr>
    <w:tblStylePr w:type="firstRow">
      <w:rPr>
        <w:sz w:val="24"/>
        <w:szCs w:val="24"/>
      </w:rPr>
      <w:tblPr/>
      <w:tcPr>
        <w:tcBorders>
          <w:top w:val="nil"/>
          <w:left w:val="nil"/>
          <w:bottom w:val="single" w:sz="24" w:space="0" w:color="E8E7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E7E7" w:themeColor="accent3"/>
          <w:insideH w:val="nil"/>
          <w:insideV w:val="nil"/>
        </w:tcBorders>
        <w:shd w:val="clear" w:color="auto" w:fill="FFFFFF" w:themeFill="background1"/>
      </w:tcPr>
    </w:tblStylePr>
    <w:tblStylePr w:type="lastCol">
      <w:tblPr/>
      <w:tcPr>
        <w:tcBorders>
          <w:top w:val="nil"/>
          <w:left w:val="single" w:sz="8" w:space="0" w:color="E8E7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C8686" w:themeColor="accent4"/>
        <w:left w:val="single" w:sz="8" w:space="0" w:color="8C8686" w:themeColor="accent4"/>
        <w:bottom w:val="single" w:sz="8" w:space="0" w:color="8C8686" w:themeColor="accent4"/>
        <w:right w:val="single" w:sz="8" w:space="0" w:color="8C8686" w:themeColor="accent4"/>
      </w:tblBorders>
    </w:tblPr>
    <w:tblStylePr w:type="firstRow">
      <w:rPr>
        <w:sz w:val="24"/>
        <w:szCs w:val="24"/>
      </w:rPr>
      <w:tblPr/>
      <w:tcPr>
        <w:tcBorders>
          <w:top w:val="nil"/>
          <w:left w:val="nil"/>
          <w:bottom w:val="single" w:sz="24" w:space="0" w:color="8C868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8686" w:themeColor="accent4"/>
          <w:insideH w:val="nil"/>
          <w:insideV w:val="nil"/>
        </w:tcBorders>
        <w:shd w:val="clear" w:color="auto" w:fill="FFFFFF" w:themeFill="background1"/>
      </w:tcPr>
    </w:tblStylePr>
    <w:tblStylePr w:type="lastCol">
      <w:tblPr/>
      <w:tcPr>
        <w:tcBorders>
          <w:top w:val="nil"/>
          <w:left w:val="single" w:sz="8" w:space="0" w:color="8C868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1" w:themeFill="accent4" w:themeFillTint="3F"/>
      </w:tcPr>
    </w:tblStylePr>
    <w:tblStylePr w:type="band1Horz">
      <w:tblPr/>
      <w:tcPr>
        <w:tcBorders>
          <w:top w:val="nil"/>
          <w:bottom w:val="nil"/>
          <w:insideH w:val="nil"/>
          <w:insideV w:val="nil"/>
        </w:tcBorders>
        <w:shd w:val="clear" w:color="auto" w:fill="E2E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2C2A2A" w:themeColor="accent5"/>
        <w:left w:val="single" w:sz="8" w:space="0" w:color="2C2A2A" w:themeColor="accent5"/>
        <w:bottom w:val="single" w:sz="8" w:space="0" w:color="2C2A2A" w:themeColor="accent5"/>
        <w:right w:val="single" w:sz="8" w:space="0" w:color="2C2A2A" w:themeColor="accent5"/>
      </w:tblBorders>
    </w:tblPr>
    <w:tblStylePr w:type="firstRow">
      <w:rPr>
        <w:sz w:val="24"/>
        <w:szCs w:val="24"/>
      </w:rPr>
      <w:tblPr/>
      <w:tcPr>
        <w:tcBorders>
          <w:top w:val="nil"/>
          <w:left w:val="nil"/>
          <w:bottom w:val="single" w:sz="24" w:space="0" w:color="2C2A2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2A2A" w:themeColor="accent5"/>
          <w:insideH w:val="nil"/>
          <w:insideV w:val="nil"/>
        </w:tcBorders>
        <w:shd w:val="clear" w:color="auto" w:fill="FFFFFF" w:themeFill="background1"/>
      </w:tcPr>
    </w:tblStylePr>
    <w:tblStylePr w:type="lastCol">
      <w:tblPr/>
      <w:tcPr>
        <w:tcBorders>
          <w:top w:val="nil"/>
          <w:left w:val="single" w:sz="8" w:space="0" w:color="2C2A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9C9" w:themeFill="accent5" w:themeFillTint="3F"/>
      </w:tcPr>
    </w:tblStylePr>
    <w:tblStylePr w:type="band1Horz">
      <w:tblPr/>
      <w:tcPr>
        <w:tcBorders>
          <w:top w:val="nil"/>
          <w:bottom w:val="nil"/>
          <w:insideH w:val="nil"/>
          <w:insideV w:val="nil"/>
        </w:tcBorders>
        <w:shd w:val="clear" w:color="auto" w:fill="CBC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C551E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A0E18" w:themeColor="accent6"/>
        <w:left w:val="single" w:sz="8" w:space="0" w:color="4A0E18" w:themeColor="accent6"/>
        <w:bottom w:val="single" w:sz="8" w:space="0" w:color="4A0E18" w:themeColor="accent6"/>
        <w:right w:val="single" w:sz="8" w:space="0" w:color="4A0E18" w:themeColor="accent6"/>
      </w:tblBorders>
    </w:tblPr>
    <w:tblStylePr w:type="firstRow">
      <w:rPr>
        <w:sz w:val="24"/>
        <w:szCs w:val="24"/>
      </w:rPr>
      <w:tblPr/>
      <w:tcPr>
        <w:tcBorders>
          <w:top w:val="nil"/>
          <w:left w:val="nil"/>
          <w:bottom w:val="single" w:sz="24" w:space="0" w:color="4A0E1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0E18" w:themeColor="accent6"/>
          <w:insideH w:val="nil"/>
          <w:insideV w:val="nil"/>
        </w:tcBorders>
        <w:shd w:val="clear" w:color="auto" w:fill="FFFFFF" w:themeFill="background1"/>
      </w:tcPr>
    </w:tblStylePr>
    <w:tblStylePr w:type="lastCol">
      <w:tblPr/>
      <w:tcPr>
        <w:tcBorders>
          <w:top w:val="nil"/>
          <w:left w:val="single" w:sz="8" w:space="0" w:color="4A0E1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A7B2" w:themeFill="accent6" w:themeFillTint="3F"/>
      </w:tcPr>
    </w:tblStylePr>
    <w:tblStylePr w:type="band1Horz">
      <w:tblPr/>
      <w:tcPr>
        <w:tcBorders>
          <w:top w:val="nil"/>
          <w:bottom w:val="nil"/>
          <w:insideH w:val="nil"/>
          <w:insideV w:val="nil"/>
        </w:tcBorders>
        <w:shd w:val="clear" w:color="auto" w:fill="EEA7B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C551E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C551E1"/>
    <w:pPr>
      <w:spacing w:after="0"/>
    </w:pPr>
    <w:tblPr>
      <w:tblStyleRowBandSize w:val="1"/>
      <w:tblStyleColBandSize w:val="1"/>
      <w:tbl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single" w:sz="8" w:space="0" w:color="D82A46" w:themeColor="accent1" w:themeTint="BF"/>
      </w:tblBorders>
    </w:tblPr>
    <w:tblStylePr w:type="firstRow">
      <w:pPr>
        <w:spacing w:before="0" w:after="0" w:line="240" w:lineRule="auto"/>
      </w:pPr>
      <w:rPr>
        <w:b/>
        <w:bCs/>
        <w:color w:val="FFFFFF" w:themeColor="background1"/>
      </w:rPr>
      <w:tblPr/>
      <w:tcPr>
        <w:tcBorders>
          <w:top w:val="single" w:sz="8"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shd w:val="clear" w:color="auto" w:fill="931B2F" w:themeFill="accent1"/>
      </w:tcPr>
    </w:tblStylePr>
    <w:tblStylePr w:type="lastRow">
      <w:pPr>
        <w:spacing w:before="0" w:after="0" w:line="240" w:lineRule="auto"/>
      </w:pPr>
      <w:rPr>
        <w:b/>
        <w:bCs/>
      </w:rPr>
      <w:tblPr/>
      <w:tcPr>
        <w:tcBorders>
          <w:top w:val="double" w:sz="6" w:space="0" w:color="D82A46" w:themeColor="accent1" w:themeTint="BF"/>
          <w:left w:val="single" w:sz="8" w:space="0" w:color="D82A46" w:themeColor="accent1" w:themeTint="BF"/>
          <w:bottom w:val="single" w:sz="8" w:space="0" w:color="D82A46" w:themeColor="accent1" w:themeTint="BF"/>
          <w:right w:val="single" w:sz="8" w:space="0" w:color="D82A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8C1" w:themeFill="accent1" w:themeFillTint="3F"/>
      </w:tcPr>
    </w:tblStylePr>
    <w:tblStylePr w:type="band1Horz">
      <w:tblPr/>
      <w:tcPr>
        <w:tcBorders>
          <w:insideH w:val="nil"/>
          <w:insideV w:val="nil"/>
        </w:tcBorders>
        <w:shd w:val="clear" w:color="auto" w:fill="F2B8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C551E1"/>
    <w:pPr>
      <w:spacing w:after="0"/>
    </w:pPr>
    <w:tblPr>
      <w:tblStyleRowBandSize w:val="1"/>
      <w:tblStyleColBandSize w:val="1"/>
      <w:tbl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single" w:sz="8" w:space="0" w:color="C68791" w:themeColor="accent2" w:themeTint="BF"/>
      </w:tblBorders>
    </w:tblPr>
    <w:tblStylePr w:type="firstRow">
      <w:pPr>
        <w:spacing w:before="0" w:after="0" w:line="240" w:lineRule="auto"/>
      </w:pPr>
      <w:rPr>
        <w:b/>
        <w:bCs/>
        <w:color w:val="FFFFFF" w:themeColor="background1"/>
      </w:rPr>
      <w:tblPr/>
      <w:tcPr>
        <w:tcBorders>
          <w:top w:val="single" w:sz="8"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shd w:val="clear" w:color="auto" w:fill="B35F6D" w:themeFill="accent2"/>
      </w:tcPr>
    </w:tblStylePr>
    <w:tblStylePr w:type="lastRow">
      <w:pPr>
        <w:spacing w:before="0" w:after="0" w:line="240" w:lineRule="auto"/>
      </w:pPr>
      <w:rPr>
        <w:b/>
        <w:bCs/>
      </w:rPr>
      <w:tblPr/>
      <w:tcPr>
        <w:tcBorders>
          <w:top w:val="double" w:sz="6" w:space="0" w:color="C68791" w:themeColor="accent2" w:themeTint="BF"/>
          <w:left w:val="single" w:sz="8" w:space="0" w:color="C68791" w:themeColor="accent2" w:themeTint="BF"/>
          <w:bottom w:val="single" w:sz="8" w:space="0" w:color="C68791" w:themeColor="accent2" w:themeTint="BF"/>
          <w:right w:val="single" w:sz="8" w:space="0" w:color="C687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D7DA" w:themeFill="accent2" w:themeFillTint="3F"/>
      </w:tcPr>
    </w:tblStylePr>
    <w:tblStylePr w:type="band1Horz">
      <w:tblPr/>
      <w:tcPr>
        <w:tcBorders>
          <w:insideH w:val="nil"/>
          <w:insideV w:val="nil"/>
        </w:tcBorders>
        <w:shd w:val="clear" w:color="auto" w:fill="ECD7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C551E1"/>
    <w:pPr>
      <w:spacing w:after="0"/>
    </w:pPr>
    <w:tblPr>
      <w:tblStyleRowBandSize w:val="1"/>
      <w:tblStyleColBandSize w:val="1"/>
      <w:tbl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single" w:sz="8" w:space="0" w:color="EDECEC" w:themeColor="accent3" w:themeTint="BF"/>
      </w:tblBorders>
    </w:tblPr>
    <w:tblStylePr w:type="firstRow">
      <w:pPr>
        <w:spacing w:before="0" w:after="0" w:line="240" w:lineRule="auto"/>
      </w:pPr>
      <w:rPr>
        <w:b/>
        <w:bCs/>
        <w:color w:val="FFFFFF" w:themeColor="background1"/>
      </w:rPr>
      <w:tblPr/>
      <w:tcPr>
        <w:tcBorders>
          <w:top w:val="single" w:sz="8"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shd w:val="clear" w:color="auto" w:fill="E8E7E7" w:themeFill="accent3"/>
      </w:tcPr>
    </w:tblStylePr>
    <w:tblStylePr w:type="lastRow">
      <w:pPr>
        <w:spacing w:before="0" w:after="0" w:line="240" w:lineRule="auto"/>
      </w:pPr>
      <w:rPr>
        <w:b/>
        <w:bCs/>
      </w:rPr>
      <w:tblPr/>
      <w:tcPr>
        <w:tcBorders>
          <w:top w:val="double" w:sz="6" w:space="0" w:color="EDECEC" w:themeColor="accent3" w:themeTint="BF"/>
          <w:left w:val="single" w:sz="8" w:space="0" w:color="EDECEC" w:themeColor="accent3" w:themeTint="BF"/>
          <w:bottom w:val="single" w:sz="8" w:space="0" w:color="EDECEC" w:themeColor="accent3" w:themeTint="BF"/>
          <w:right w:val="single" w:sz="8" w:space="0" w:color="EDEC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C551E1"/>
    <w:pPr>
      <w:spacing w:after="0"/>
    </w:pPr>
    <w:tblPr>
      <w:tblStyleRowBandSize w:val="1"/>
      <w:tblStyleColBandSize w:val="1"/>
      <w:tbl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single" w:sz="8" w:space="0" w:color="A8A4A4" w:themeColor="accent4" w:themeTint="BF"/>
      </w:tblBorders>
    </w:tblPr>
    <w:tblStylePr w:type="firstRow">
      <w:pPr>
        <w:spacing w:before="0" w:after="0" w:line="240" w:lineRule="auto"/>
      </w:pPr>
      <w:rPr>
        <w:b/>
        <w:bCs/>
        <w:color w:val="FFFFFF" w:themeColor="background1"/>
      </w:rPr>
      <w:tblPr/>
      <w:tcPr>
        <w:tcBorders>
          <w:top w:val="single" w:sz="8"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shd w:val="clear" w:color="auto" w:fill="8C8686" w:themeFill="accent4"/>
      </w:tcPr>
    </w:tblStylePr>
    <w:tblStylePr w:type="lastRow">
      <w:pPr>
        <w:spacing w:before="0" w:after="0" w:line="240" w:lineRule="auto"/>
      </w:pPr>
      <w:rPr>
        <w:b/>
        <w:bCs/>
      </w:rPr>
      <w:tblPr/>
      <w:tcPr>
        <w:tcBorders>
          <w:top w:val="double" w:sz="6" w:space="0" w:color="A8A4A4" w:themeColor="accent4" w:themeTint="BF"/>
          <w:left w:val="single" w:sz="8" w:space="0" w:color="A8A4A4" w:themeColor="accent4" w:themeTint="BF"/>
          <w:bottom w:val="single" w:sz="8" w:space="0" w:color="A8A4A4" w:themeColor="accent4" w:themeTint="BF"/>
          <w:right w:val="single" w:sz="8" w:space="0" w:color="A8A4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1E1" w:themeFill="accent4" w:themeFillTint="3F"/>
      </w:tcPr>
    </w:tblStylePr>
    <w:tblStylePr w:type="band1Horz">
      <w:tblPr/>
      <w:tcPr>
        <w:tcBorders>
          <w:insideH w:val="nil"/>
          <w:insideV w:val="nil"/>
        </w:tcBorders>
        <w:shd w:val="clear" w:color="auto" w:fill="E2E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C551E1"/>
    <w:pPr>
      <w:spacing w:after="0"/>
    </w:pPr>
    <w:tblPr>
      <w:tblStyleRowBandSize w:val="1"/>
      <w:tblStyleColBandSize w:val="1"/>
      <w:tbl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single" w:sz="8" w:space="0" w:color="625E5E" w:themeColor="accent5" w:themeTint="BF"/>
      </w:tblBorders>
    </w:tblPr>
    <w:tblStylePr w:type="firstRow">
      <w:pPr>
        <w:spacing w:before="0" w:after="0" w:line="240" w:lineRule="auto"/>
      </w:pPr>
      <w:rPr>
        <w:b/>
        <w:bCs/>
        <w:color w:val="FFFFFF" w:themeColor="background1"/>
      </w:rPr>
      <w:tblPr/>
      <w:tcPr>
        <w:tcBorders>
          <w:top w:val="single" w:sz="8"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shd w:val="clear" w:color="auto" w:fill="2C2A2A" w:themeFill="accent5"/>
      </w:tcPr>
    </w:tblStylePr>
    <w:tblStylePr w:type="lastRow">
      <w:pPr>
        <w:spacing w:before="0" w:after="0" w:line="240" w:lineRule="auto"/>
      </w:pPr>
      <w:rPr>
        <w:b/>
        <w:bCs/>
      </w:rPr>
      <w:tblPr/>
      <w:tcPr>
        <w:tcBorders>
          <w:top w:val="double" w:sz="6" w:space="0" w:color="625E5E" w:themeColor="accent5" w:themeTint="BF"/>
          <w:left w:val="single" w:sz="8" w:space="0" w:color="625E5E" w:themeColor="accent5" w:themeTint="BF"/>
          <w:bottom w:val="single" w:sz="8" w:space="0" w:color="625E5E" w:themeColor="accent5" w:themeTint="BF"/>
          <w:right w:val="single" w:sz="8" w:space="0" w:color="625E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C9C9" w:themeFill="accent5" w:themeFillTint="3F"/>
      </w:tcPr>
    </w:tblStylePr>
    <w:tblStylePr w:type="band1Horz">
      <w:tblPr/>
      <w:tcPr>
        <w:tcBorders>
          <w:insideH w:val="nil"/>
          <w:insideV w:val="nil"/>
        </w:tcBorders>
        <w:shd w:val="clear" w:color="auto" w:fill="CBC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C551E1"/>
    <w:pPr>
      <w:spacing w:after="0"/>
    </w:pPr>
    <w:tblPr>
      <w:tblStyleRowBandSize w:val="1"/>
      <w:tblStyleColBandSize w:val="1"/>
      <w:tbl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single" w:sz="8" w:space="0" w:color="A21E34" w:themeColor="accent6" w:themeTint="BF"/>
      </w:tblBorders>
    </w:tblPr>
    <w:tblStylePr w:type="firstRow">
      <w:pPr>
        <w:spacing w:before="0" w:after="0" w:line="240" w:lineRule="auto"/>
      </w:pPr>
      <w:rPr>
        <w:b/>
        <w:bCs/>
        <w:color w:val="FFFFFF" w:themeColor="background1"/>
      </w:rPr>
      <w:tblPr/>
      <w:tcPr>
        <w:tcBorders>
          <w:top w:val="single" w:sz="8"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shd w:val="clear" w:color="auto" w:fill="4A0E18" w:themeFill="accent6"/>
      </w:tcPr>
    </w:tblStylePr>
    <w:tblStylePr w:type="lastRow">
      <w:pPr>
        <w:spacing w:before="0" w:after="0" w:line="240" w:lineRule="auto"/>
      </w:pPr>
      <w:rPr>
        <w:b/>
        <w:bCs/>
      </w:rPr>
      <w:tblPr/>
      <w:tcPr>
        <w:tcBorders>
          <w:top w:val="double" w:sz="6" w:space="0" w:color="A21E34" w:themeColor="accent6" w:themeTint="BF"/>
          <w:left w:val="single" w:sz="8" w:space="0" w:color="A21E34" w:themeColor="accent6" w:themeTint="BF"/>
          <w:bottom w:val="single" w:sz="8" w:space="0" w:color="A21E34" w:themeColor="accent6" w:themeTint="BF"/>
          <w:right w:val="single" w:sz="8" w:space="0" w:color="A21E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A7B2" w:themeFill="accent6" w:themeFillTint="3F"/>
      </w:tcPr>
    </w:tblStylePr>
    <w:tblStylePr w:type="band1Horz">
      <w:tblPr/>
      <w:tcPr>
        <w:tcBorders>
          <w:insideH w:val="nil"/>
          <w:insideV w:val="nil"/>
        </w:tcBorders>
        <w:shd w:val="clear" w:color="auto" w:fill="EEA7B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31B2F" w:themeFill="accent1"/>
      </w:tcPr>
    </w:tblStylePr>
    <w:tblStylePr w:type="lastCol">
      <w:rPr>
        <w:b/>
        <w:bCs/>
        <w:color w:val="FFFFFF" w:themeColor="background1"/>
      </w:rPr>
      <w:tblPr/>
      <w:tcPr>
        <w:tcBorders>
          <w:left w:val="nil"/>
          <w:right w:val="nil"/>
          <w:insideH w:val="nil"/>
          <w:insideV w:val="nil"/>
        </w:tcBorders>
        <w:shd w:val="clear" w:color="auto" w:fill="93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5F6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5F6D" w:themeFill="accent2"/>
      </w:tcPr>
    </w:tblStylePr>
    <w:tblStylePr w:type="lastCol">
      <w:rPr>
        <w:b/>
        <w:bCs/>
        <w:color w:val="FFFFFF" w:themeColor="background1"/>
      </w:rPr>
      <w:tblPr/>
      <w:tcPr>
        <w:tcBorders>
          <w:left w:val="nil"/>
          <w:right w:val="nil"/>
          <w:insideH w:val="nil"/>
          <w:insideV w:val="nil"/>
        </w:tcBorders>
        <w:shd w:val="clear" w:color="auto" w:fill="B35F6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E7E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E7E7" w:themeFill="accent3"/>
      </w:tcPr>
    </w:tblStylePr>
    <w:tblStylePr w:type="lastCol">
      <w:rPr>
        <w:b/>
        <w:bCs/>
        <w:color w:val="FFFFFF" w:themeColor="background1"/>
      </w:rPr>
      <w:tblPr/>
      <w:tcPr>
        <w:tcBorders>
          <w:left w:val="nil"/>
          <w:right w:val="nil"/>
          <w:insideH w:val="nil"/>
          <w:insideV w:val="nil"/>
        </w:tcBorders>
        <w:shd w:val="clear" w:color="auto" w:fill="E8E7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868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8686" w:themeFill="accent4"/>
      </w:tcPr>
    </w:tblStylePr>
    <w:tblStylePr w:type="lastCol">
      <w:rPr>
        <w:b/>
        <w:bCs/>
        <w:color w:val="FFFFFF" w:themeColor="background1"/>
      </w:rPr>
      <w:tblPr/>
      <w:tcPr>
        <w:tcBorders>
          <w:left w:val="nil"/>
          <w:right w:val="nil"/>
          <w:insideH w:val="nil"/>
          <w:insideV w:val="nil"/>
        </w:tcBorders>
        <w:shd w:val="clear" w:color="auto" w:fill="8C868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2A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2A2A" w:themeFill="accent5"/>
      </w:tcPr>
    </w:tblStylePr>
    <w:tblStylePr w:type="lastCol">
      <w:rPr>
        <w:b/>
        <w:bCs/>
        <w:color w:val="FFFFFF" w:themeColor="background1"/>
      </w:rPr>
      <w:tblPr/>
      <w:tcPr>
        <w:tcBorders>
          <w:left w:val="nil"/>
          <w:right w:val="nil"/>
          <w:insideH w:val="nil"/>
          <w:insideV w:val="nil"/>
        </w:tcBorders>
        <w:shd w:val="clear" w:color="auto" w:fill="2C2A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locked/>
    <w:rsid w:val="00C551E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0E1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0E18" w:themeFill="accent6"/>
      </w:tcPr>
    </w:tblStylePr>
    <w:tblStylePr w:type="lastCol">
      <w:rPr>
        <w:b/>
        <w:bCs/>
        <w:color w:val="FFFFFF" w:themeColor="background1"/>
      </w:rPr>
      <w:tblPr/>
      <w:tcPr>
        <w:tcBorders>
          <w:left w:val="nil"/>
          <w:right w:val="nil"/>
          <w:insideH w:val="nil"/>
          <w:insideV w:val="nil"/>
        </w:tcBorders>
        <w:shd w:val="clear" w:color="auto" w:fill="4A0E1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PlainTable11">
    <w:name w:val="Plain Table 11"/>
    <w:basedOn w:val="TableNormal"/>
    <w:uiPriority w:val="41"/>
    <w:semiHidden/>
    <w:rsid w:val="00C551E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C551E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C551E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C551E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C551E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locked/>
    <w:rsid w:val="00C551E1"/>
    <w:pPr>
      <w:spacing w:after="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C551E1"/>
    <w:pPr>
      <w:spacing w:after="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C551E1"/>
    <w:pPr>
      <w:spacing w:after="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C551E1"/>
    <w:pPr>
      <w:spacing w:after="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C551E1"/>
    <w:pPr>
      <w:spacing w:after="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C551E1"/>
    <w:pPr>
      <w:spacing w:after="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C551E1"/>
    <w:pPr>
      <w:spacing w:after="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C551E1"/>
    <w:pPr>
      <w:spacing w:after="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C551E1"/>
    <w:pPr>
      <w:spacing w:after="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C551E1"/>
    <w:pPr>
      <w:spacing w:after="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C551E1"/>
    <w:pPr>
      <w:spacing w:after="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C551E1"/>
    <w:pPr>
      <w:spacing w:after="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C551E1"/>
    <w:pPr>
      <w:spacing w:after="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C551E1"/>
    <w:pPr>
      <w:spacing w:after="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C551E1"/>
    <w:pPr>
      <w:spacing w:after="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C551E1"/>
    <w:pPr>
      <w:spacing w:after="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C551E1"/>
    <w:pPr>
      <w:spacing w:after="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C551E1"/>
    <w:pPr>
      <w:spacing w:after="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C551E1"/>
    <w:pPr>
      <w:spacing w:after="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C551E1"/>
    <w:pPr>
      <w:spacing w:after="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C551E1"/>
    <w:pPr>
      <w:spacing w:after="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C551E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C551E1"/>
    <w:pPr>
      <w:spacing w:after="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C551E1"/>
    <w:pPr>
      <w:spacing w:after="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C551E1"/>
    <w:pPr>
      <w:spacing w:after="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C551E1"/>
    <w:pPr>
      <w:spacing w:after="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C551E1"/>
    <w:pPr>
      <w:spacing w:after="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locked/>
    <w:rsid w:val="00C551E1"/>
    <w:pPr>
      <w:spacing w:after="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C551E1"/>
    <w:pPr>
      <w:spacing w:after="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C551E1"/>
    <w:pPr>
      <w:spacing w:after="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C551E1"/>
    <w:pPr>
      <w:spacing w:after="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C551E1"/>
    <w:pPr>
      <w:spacing w:after="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C551E1"/>
    <w:pPr>
      <w:spacing w:after="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C551E1"/>
    <w:pPr>
      <w:spacing w:after="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C551E1"/>
    <w:pPr>
      <w:spacing w:after="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C551E1"/>
    <w:pPr>
      <w:spacing w:after="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C551E1"/>
    <w:pPr>
      <w:spacing w:after="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10"/>
    <w:semiHidden/>
    <w:qFormat/>
    <w:locked/>
    <w:rsid w:val="005B5952"/>
    <w:pPr>
      <w:spacing w:before="240" w:after="60" w:line="240" w:lineRule="auto"/>
      <w:contextualSpacing/>
    </w:pPr>
    <w:rPr>
      <w:b/>
      <w:iCs/>
      <w:szCs w:val="18"/>
    </w:rPr>
  </w:style>
  <w:style w:type="paragraph" w:customStyle="1" w:styleId="Source">
    <w:name w:val="Source"/>
    <w:basedOn w:val="Normal"/>
    <w:uiPriority w:val="8"/>
    <w:semiHidden/>
    <w:qFormat/>
    <w:rsid w:val="008177F4"/>
    <w:pPr>
      <w:spacing w:before="60" w:line="200" w:lineRule="atLeast"/>
    </w:pPr>
    <w:rPr>
      <w:i/>
      <w:color w:val="595959" w:themeColor="text1" w:themeTint="A6"/>
    </w:rPr>
  </w:style>
  <w:style w:type="paragraph" w:customStyle="1" w:styleId="SignOffSender">
    <w:name w:val="Sign Off Sender"/>
    <w:basedOn w:val="SignOff"/>
    <w:uiPriority w:val="9"/>
    <w:semiHidden/>
    <w:qFormat/>
    <w:rsid w:val="009C2F02"/>
    <w:pPr>
      <w:spacing w:before="0" w:line="200" w:lineRule="atLeast"/>
    </w:pPr>
    <w:rPr>
      <w:rFonts w:asciiTheme="majorHAnsi" w:hAnsiTheme="majorHAnsi"/>
      <w:caps/>
    </w:rPr>
  </w:style>
  <w:style w:type="character" w:customStyle="1" w:styleId="boldtextCHR">
    <w:name w:val="bold text CHR"/>
    <w:basedOn w:val="DefaultParagraphFont"/>
    <w:uiPriority w:val="9"/>
    <w:semiHidden/>
    <w:qFormat/>
    <w:rsid w:val="00917E72"/>
    <w:rPr>
      <w:rFonts w:asciiTheme="majorHAnsi" w:hAnsiTheme="majorHAnsi"/>
      <w:b w:val="0"/>
    </w:rPr>
  </w:style>
  <w:style w:type="paragraph" w:customStyle="1" w:styleId="chrHyperlink">
    <w:name w:val="chr_Hyperlink"/>
    <w:basedOn w:val="Footer"/>
    <w:link w:val="chrHyperlinkChar"/>
    <w:uiPriority w:val="9"/>
    <w:semiHidden/>
    <w:qFormat/>
    <w:rsid w:val="008D5B4F"/>
  </w:style>
  <w:style w:type="character" w:customStyle="1" w:styleId="chrHyperlinkChar">
    <w:name w:val="chr_Hyperlink Char"/>
    <w:basedOn w:val="FooterChar"/>
    <w:link w:val="chrHyperlink"/>
    <w:uiPriority w:val="9"/>
    <w:semiHidden/>
    <w:rsid w:val="00FB1FDC"/>
    <w:rPr>
      <w:rFonts w:asciiTheme="majorHAnsi" w:hAnsiTheme="majorHAnsi"/>
      <w:color w:val="000000" w:themeColor="text1"/>
      <w:sz w:val="18"/>
    </w:rPr>
  </w:style>
  <w:style w:type="paragraph" w:customStyle="1" w:styleId="DocumentTitle">
    <w:name w:val="Document Title"/>
    <w:uiPriority w:val="3"/>
    <w:semiHidden/>
    <w:qFormat/>
    <w:rsid w:val="0078267A"/>
    <w:pPr>
      <w:spacing w:line="280" w:lineRule="atLeast"/>
      <w:ind w:right="1021"/>
      <w:jc w:val="center"/>
    </w:pPr>
    <w:rPr>
      <w:rFonts w:eastAsiaTheme="minorEastAsia" w:cs="Century Gothic"/>
      <w:caps/>
      <w:noProof/>
      <w:color w:val="931B2F" w:themeColor="accent1"/>
      <w:sz w:val="22"/>
      <w:lang w:eastAsia="en-AU"/>
    </w:rPr>
  </w:style>
  <w:style w:type="paragraph" w:customStyle="1" w:styleId="FooterHeading">
    <w:name w:val="Footer Heading"/>
    <w:basedOn w:val="Footer"/>
    <w:uiPriority w:val="9"/>
    <w:semiHidden/>
    <w:rsid w:val="0011199F"/>
    <w:pPr>
      <w:spacing w:after="57" w:line="200" w:lineRule="atLeast"/>
    </w:pPr>
  </w:style>
  <w:style w:type="paragraph" w:customStyle="1" w:styleId="AddressBlock">
    <w:name w:val="Address Block"/>
    <w:basedOn w:val="Normal"/>
    <w:uiPriority w:val="21"/>
    <w:semiHidden/>
    <w:rsid w:val="00A449FF"/>
    <w:pPr>
      <w:spacing w:line="230" w:lineRule="atLeast"/>
    </w:pPr>
    <w:rPr>
      <w:rFonts w:asciiTheme="majorHAnsi" w:hAnsiTheme="majorHAnsi"/>
      <w:sz w:val="18"/>
    </w:rPr>
  </w:style>
  <w:style w:type="paragraph" w:customStyle="1" w:styleId="HeaderTitle">
    <w:name w:val="Header Title"/>
    <w:basedOn w:val="Header"/>
    <w:uiPriority w:val="3"/>
    <w:semiHidden/>
    <w:rsid w:val="00934B90"/>
    <w:pPr>
      <w:jc w:val="right"/>
    </w:pPr>
    <w:rPr>
      <w:rFonts w:asciiTheme="majorHAnsi" w:hAnsiTheme="majorHAnsi"/>
      <w:b/>
      <w:sz w:val="32"/>
    </w:rPr>
  </w:style>
  <w:style w:type="character" w:customStyle="1" w:styleId="UnresolvedMention1">
    <w:name w:val="Unresolved Mention1"/>
    <w:basedOn w:val="DefaultParagraphFont"/>
    <w:uiPriority w:val="99"/>
    <w:semiHidden/>
    <w:unhideWhenUsed/>
    <w:rsid w:val="00B02CF5"/>
    <w:rPr>
      <w:color w:val="808080"/>
      <w:shd w:val="clear" w:color="auto" w:fill="E6E6E6"/>
    </w:rPr>
  </w:style>
  <w:style w:type="table" w:customStyle="1" w:styleId="GridTable1LightAccent21">
    <w:name w:val="Grid Table 1 Light – Accent 21"/>
    <w:basedOn w:val="TableNormal"/>
    <w:uiPriority w:val="46"/>
    <w:semiHidden/>
    <w:rsid w:val="00A449FF"/>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paragraph" w:customStyle="1" w:styleId="FooterDetails">
    <w:name w:val="Footer Details"/>
    <w:basedOn w:val="Footer"/>
    <w:link w:val="FooterDetailsChar"/>
    <w:uiPriority w:val="29"/>
    <w:semiHidden/>
    <w:rsid w:val="00436135"/>
    <w:pPr>
      <w:spacing w:before="60"/>
    </w:pPr>
    <w:rPr>
      <w:b/>
      <w:sz w:val="15"/>
    </w:rPr>
  </w:style>
  <w:style w:type="table" w:customStyle="1" w:styleId="ColouredTable">
    <w:name w:val="Coloured Table"/>
    <w:basedOn w:val="TableNormal"/>
    <w:uiPriority w:val="99"/>
    <w:rsid w:val="00C82CBF"/>
    <w:pPr>
      <w:spacing w:after="0"/>
    </w:pPr>
    <w:rPr>
      <w:color w:val="000000" w:themeColor="text1"/>
    </w:rPr>
    <w:tblPr>
      <w:tblStyleRowBandSize w:val="1"/>
      <w:tblBorders>
        <w:top w:val="single" w:sz="4" w:space="0" w:color="931B2F" w:themeColor="background2"/>
        <w:left w:val="single" w:sz="4" w:space="0" w:color="931B2F" w:themeColor="background2"/>
        <w:bottom w:val="single" w:sz="4" w:space="0" w:color="931B2F" w:themeColor="background2"/>
        <w:right w:val="single" w:sz="4" w:space="0" w:color="931B2F" w:themeColor="background2"/>
        <w:insideH w:val="single" w:sz="4" w:space="0" w:color="931B2F" w:themeColor="background2"/>
        <w:insideV w:val="single" w:sz="4" w:space="0" w:color="931B2F"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240" w:lineRule="auto"/>
      </w:pPr>
      <w:rPr>
        <w:color w:val="FFFFFF" w:themeColor="background1"/>
      </w:rPr>
      <w:tblPr/>
      <w:tcPr>
        <w:tcBorders>
          <w:top w:val="nil"/>
          <w:left w:val="nil"/>
          <w:bottom w:val="nil"/>
          <w:right w:val="nil"/>
          <w:insideH w:val="nil"/>
          <w:insideV w:val="nil"/>
          <w:tl2br w:val="nil"/>
          <w:tr2bl w:val="nil"/>
        </w:tcBorders>
        <w:shd w:val="clear" w:color="auto" w:fill="931B2F" w:themeFill="background2"/>
      </w:tcPr>
    </w:tblStylePr>
    <w:tblStylePr w:type="firstCol">
      <w:rPr>
        <w:color w:val="FFFFFF" w:themeColor="background1"/>
      </w:rPr>
      <w:tblPr/>
      <w:tcPr>
        <w:shd w:val="clear" w:color="auto" w:fill="931B2F" w:themeFill="background2"/>
      </w:tcPr>
    </w:tblStylePr>
    <w:tblStylePr w:type="band2Horz">
      <w:rPr>
        <w:color w:val="auto"/>
      </w:rPr>
      <w:tblPr/>
      <w:tcPr>
        <w:shd w:val="clear" w:color="auto" w:fill="F2F2F2" w:themeFill="background1" w:themeFillShade="F2"/>
      </w:tcPr>
    </w:tblStylePr>
  </w:style>
  <w:style w:type="numbering" w:customStyle="1" w:styleId="HeadingsNumbered0">
    <w:name w:val="_Headings Numbered"/>
    <w:uiPriority w:val="99"/>
    <w:rsid w:val="008014DD"/>
    <w:pPr>
      <w:numPr>
        <w:numId w:val="13"/>
      </w:numPr>
    </w:pPr>
  </w:style>
  <w:style w:type="paragraph" w:customStyle="1" w:styleId="blue">
    <w:name w:val="blue"/>
    <w:basedOn w:val="FooterDetails"/>
    <w:link w:val="blueChar"/>
    <w:uiPriority w:val="3"/>
    <w:semiHidden/>
    <w:rsid w:val="00436135"/>
    <w:rPr>
      <w:b w:val="0"/>
      <w:color w:val="931B2F" w:themeColor="background2"/>
    </w:rPr>
  </w:style>
  <w:style w:type="paragraph" w:customStyle="1" w:styleId="Heading1Normal">
    <w:name w:val="Heading 1 Normal"/>
    <w:basedOn w:val="Heading1"/>
    <w:uiPriority w:val="2"/>
    <w:qFormat/>
    <w:rsid w:val="008014DD"/>
    <w:pPr>
      <w:numPr>
        <w:numId w:val="0"/>
      </w:numPr>
    </w:pPr>
  </w:style>
  <w:style w:type="character" w:customStyle="1" w:styleId="FooterDetailsChar">
    <w:name w:val="Footer Details Char"/>
    <w:basedOn w:val="FooterChar"/>
    <w:link w:val="FooterDetails"/>
    <w:uiPriority w:val="29"/>
    <w:semiHidden/>
    <w:rsid w:val="00094390"/>
    <w:rPr>
      <w:rFonts w:asciiTheme="majorHAnsi" w:hAnsiTheme="majorHAnsi"/>
      <w:b/>
      <w:color w:val="000000" w:themeColor="text1"/>
      <w:sz w:val="15"/>
    </w:rPr>
  </w:style>
  <w:style w:type="character" w:customStyle="1" w:styleId="blueChar">
    <w:name w:val="blue Char"/>
    <w:basedOn w:val="FooterDetailsChar"/>
    <w:link w:val="blue"/>
    <w:uiPriority w:val="3"/>
    <w:semiHidden/>
    <w:rsid w:val="00E24151"/>
    <w:rPr>
      <w:rFonts w:asciiTheme="majorHAnsi" w:hAnsiTheme="majorHAnsi"/>
      <w:b w:val="0"/>
      <w:color w:val="931B2F" w:themeColor="background2"/>
      <w:sz w:val="15"/>
    </w:rPr>
  </w:style>
  <w:style w:type="paragraph" w:customStyle="1" w:styleId="Heading2Normal">
    <w:name w:val="Heading 2 Normal"/>
    <w:basedOn w:val="Heading2"/>
    <w:uiPriority w:val="2"/>
    <w:qFormat/>
    <w:rsid w:val="008014DD"/>
  </w:style>
  <w:style w:type="paragraph" w:customStyle="1" w:styleId="Heading3Normal">
    <w:name w:val="Heading 3 Normal"/>
    <w:basedOn w:val="Heading3"/>
    <w:uiPriority w:val="2"/>
    <w:qFormat/>
    <w:rsid w:val="00E43BA6"/>
    <w:pPr>
      <w:numPr>
        <w:ilvl w:val="0"/>
        <w:numId w:val="0"/>
      </w:numPr>
      <w:spacing w:before="240"/>
    </w:pPr>
  </w:style>
  <w:style w:type="paragraph" w:styleId="TOC3">
    <w:name w:val="toc 3"/>
    <w:basedOn w:val="Normal"/>
    <w:next w:val="Normal"/>
    <w:autoRedefine/>
    <w:uiPriority w:val="39"/>
    <w:locked/>
    <w:rsid w:val="006409A3"/>
    <w:pPr>
      <w:tabs>
        <w:tab w:val="right" w:pos="9638"/>
      </w:tabs>
      <w:spacing w:after="100"/>
    </w:pPr>
    <w:rPr>
      <w:i/>
      <w:sz w:val="16"/>
    </w:rPr>
  </w:style>
  <w:style w:type="paragraph" w:customStyle="1" w:styleId="SourceNotes">
    <w:name w:val="Source Notes"/>
    <w:basedOn w:val="Normal"/>
    <w:uiPriority w:val="8"/>
    <w:qFormat/>
    <w:rsid w:val="0027179E"/>
    <w:rPr>
      <w:sz w:val="16"/>
    </w:rPr>
  </w:style>
  <w:style w:type="table" w:customStyle="1" w:styleId="GridTable1Light2">
    <w:name w:val="Grid Table 1 Light2"/>
    <w:basedOn w:val="TableNormal"/>
    <w:uiPriority w:val="46"/>
    <w:semiHidden/>
    <w:rsid w:val="00776AC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semiHidden/>
    <w:rsid w:val="00776AC3"/>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semiHidden/>
    <w:rsid w:val="00776AC3"/>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46"/>
    <w:semiHidden/>
    <w:rsid w:val="00776AC3"/>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semiHidden/>
    <w:rsid w:val="00776AC3"/>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46"/>
    <w:semiHidden/>
    <w:rsid w:val="00776AC3"/>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47"/>
    <w:semiHidden/>
    <w:rsid w:val="00776AC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47"/>
    <w:semiHidden/>
    <w:rsid w:val="00776AC3"/>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2-Accent22">
    <w:name w:val="Grid Table 2 - Accent 22"/>
    <w:basedOn w:val="TableNormal"/>
    <w:uiPriority w:val="47"/>
    <w:semiHidden/>
    <w:rsid w:val="00776AC3"/>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2-Accent32">
    <w:name w:val="Grid Table 2 - Accent 32"/>
    <w:basedOn w:val="TableNormal"/>
    <w:uiPriority w:val="47"/>
    <w:semiHidden/>
    <w:rsid w:val="00776AC3"/>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2-Accent42">
    <w:name w:val="Grid Table 2 - Accent 42"/>
    <w:basedOn w:val="TableNormal"/>
    <w:uiPriority w:val="47"/>
    <w:semiHidden/>
    <w:rsid w:val="00776AC3"/>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2-Accent52">
    <w:name w:val="Grid Table 2 - Accent 52"/>
    <w:basedOn w:val="TableNormal"/>
    <w:uiPriority w:val="47"/>
    <w:semiHidden/>
    <w:rsid w:val="00776AC3"/>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2-Accent62">
    <w:name w:val="Grid Table 2 - Accent 62"/>
    <w:basedOn w:val="TableNormal"/>
    <w:uiPriority w:val="47"/>
    <w:semiHidden/>
    <w:rsid w:val="00776AC3"/>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32">
    <w:name w:val="Grid Table 32"/>
    <w:basedOn w:val="TableNormal"/>
    <w:uiPriority w:val="48"/>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48"/>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3-Accent22">
    <w:name w:val="Grid Table 3 - Accent 22"/>
    <w:basedOn w:val="TableNormal"/>
    <w:uiPriority w:val="48"/>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3-Accent32">
    <w:name w:val="Grid Table 3 - Accent 32"/>
    <w:basedOn w:val="TableNormal"/>
    <w:uiPriority w:val="48"/>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3-Accent42">
    <w:name w:val="Grid Table 3 - Accent 42"/>
    <w:basedOn w:val="TableNormal"/>
    <w:uiPriority w:val="48"/>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3-Accent52">
    <w:name w:val="Grid Table 3 - Accent 52"/>
    <w:basedOn w:val="TableNormal"/>
    <w:uiPriority w:val="48"/>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3-Accent62">
    <w:name w:val="Grid Table 3 - Accent 62"/>
    <w:basedOn w:val="TableNormal"/>
    <w:uiPriority w:val="48"/>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customStyle="1" w:styleId="GridTable42">
    <w:name w:val="Grid Table 42"/>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4-Accent22">
    <w:name w:val="Grid Table 4 - Accent 2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4-Accent32">
    <w:name w:val="Grid Table 4 - Accent 32"/>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4-Accent42">
    <w:name w:val="Grid Table 4 - Accent 42"/>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4-Accent52">
    <w:name w:val="Grid Table 4 - Accent 52"/>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4-Accent62">
    <w:name w:val="Grid Table 4 - Accent 62"/>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5Dark2">
    <w:name w:val="Grid Table 5 Dark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customStyle="1" w:styleId="GridTable5Dark-Accent22">
    <w:name w:val="Grid Table 5 Dark - Accent 2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customStyle="1" w:styleId="GridTable5Dark-Accent32">
    <w:name w:val="Grid Table 5 Dark - Accent 3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customStyle="1" w:styleId="GridTable5Dark-Accent42">
    <w:name w:val="Grid Table 5 Dark - Accent 4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customStyle="1" w:styleId="GridTable5Dark-Accent52">
    <w:name w:val="Grid Table 5 Dark - Accent 5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customStyle="1" w:styleId="GridTable5Dark-Accent62">
    <w:name w:val="Grid Table 5 Dark - Accent 62"/>
    <w:basedOn w:val="TableNormal"/>
    <w:uiPriority w:val="50"/>
    <w:semiHidden/>
    <w:rsid w:val="00776AC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customStyle="1" w:styleId="GridTable6Colourful1">
    <w:name w:val="Grid Table 6 Colourful1"/>
    <w:basedOn w:val="TableNormal"/>
    <w:uiPriority w:val="51"/>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urfulAccent11">
    <w:name w:val="Grid Table 6 Colourful – Accent 11"/>
    <w:basedOn w:val="TableNormal"/>
    <w:uiPriority w:val="51"/>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GridTable6ColourfulAccent21">
    <w:name w:val="Grid Table 6 Colourful – Accent 21"/>
    <w:basedOn w:val="TableNormal"/>
    <w:uiPriority w:val="51"/>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GridTable6ColourfulAccent31">
    <w:name w:val="Grid Table 6 Colourful – Accent 31"/>
    <w:basedOn w:val="TableNormal"/>
    <w:uiPriority w:val="51"/>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GridTable6ColourfulAccent41">
    <w:name w:val="Grid Table 6 Colourful – Accent 41"/>
    <w:basedOn w:val="TableNormal"/>
    <w:uiPriority w:val="51"/>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GridTable6ColourfulAccent51">
    <w:name w:val="Grid Table 6 Colourful – Accent 51"/>
    <w:basedOn w:val="TableNormal"/>
    <w:uiPriority w:val="51"/>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GridTable6ColourfulAccent61">
    <w:name w:val="Grid Table 6 Colourful – Accent 61"/>
    <w:basedOn w:val="TableNormal"/>
    <w:uiPriority w:val="51"/>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GridTable7Colourful1">
    <w:name w:val="Grid Table 7 Colourful1"/>
    <w:basedOn w:val="TableNormal"/>
    <w:uiPriority w:val="52"/>
    <w:semiHidden/>
    <w:rsid w:val="00776AC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urfulAccent11">
    <w:name w:val="Grid Table 7 Colourful – Accent 11"/>
    <w:basedOn w:val="TableNormal"/>
    <w:uiPriority w:val="52"/>
    <w:semiHidden/>
    <w:rsid w:val="00776AC3"/>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customStyle="1" w:styleId="GridTable7ColourfulAccent21">
    <w:name w:val="Grid Table 7 Colourful – Accent 21"/>
    <w:basedOn w:val="TableNormal"/>
    <w:uiPriority w:val="52"/>
    <w:semiHidden/>
    <w:rsid w:val="00776AC3"/>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customStyle="1" w:styleId="GridTable7ColourfulAccent31">
    <w:name w:val="Grid Table 7 Colourful – Accent 31"/>
    <w:basedOn w:val="TableNormal"/>
    <w:uiPriority w:val="52"/>
    <w:semiHidden/>
    <w:rsid w:val="00776AC3"/>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customStyle="1" w:styleId="GridTable7ColourfulAccent41">
    <w:name w:val="Grid Table 7 Colourful – Accent 41"/>
    <w:basedOn w:val="TableNormal"/>
    <w:uiPriority w:val="52"/>
    <w:semiHidden/>
    <w:rsid w:val="00776AC3"/>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customStyle="1" w:styleId="GridTable7ColourfulAccent51">
    <w:name w:val="Grid Table 7 Colourful – Accent 51"/>
    <w:basedOn w:val="TableNormal"/>
    <w:uiPriority w:val="52"/>
    <w:semiHidden/>
    <w:rsid w:val="00776AC3"/>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customStyle="1" w:styleId="GridTable7ColourfulAccent61">
    <w:name w:val="Grid Table 7 Colourful – Accent 61"/>
    <w:basedOn w:val="TableNormal"/>
    <w:uiPriority w:val="52"/>
    <w:semiHidden/>
    <w:rsid w:val="00776AC3"/>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customStyle="1" w:styleId="ListTable1Light2">
    <w:name w:val="List Table 1 Light2"/>
    <w:basedOn w:val="TableNormal"/>
    <w:uiPriority w:val="46"/>
    <w:semiHidden/>
    <w:rsid w:val="00776AC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semiHidden/>
    <w:rsid w:val="00776AC3"/>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1Light-Accent22">
    <w:name w:val="List Table 1 Light - Accent 22"/>
    <w:basedOn w:val="TableNormal"/>
    <w:uiPriority w:val="46"/>
    <w:semiHidden/>
    <w:rsid w:val="00776AC3"/>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1Light-Accent32">
    <w:name w:val="List Table 1 Light - Accent 32"/>
    <w:basedOn w:val="TableNormal"/>
    <w:uiPriority w:val="46"/>
    <w:semiHidden/>
    <w:rsid w:val="00776AC3"/>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1Light-Accent42">
    <w:name w:val="List Table 1 Light - Accent 42"/>
    <w:basedOn w:val="TableNormal"/>
    <w:uiPriority w:val="46"/>
    <w:semiHidden/>
    <w:rsid w:val="00776AC3"/>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1Light-Accent52">
    <w:name w:val="List Table 1 Light - Accent 52"/>
    <w:basedOn w:val="TableNormal"/>
    <w:uiPriority w:val="46"/>
    <w:semiHidden/>
    <w:rsid w:val="00776AC3"/>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1Light-Accent62">
    <w:name w:val="List Table 1 Light - Accent 62"/>
    <w:basedOn w:val="TableNormal"/>
    <w:uiPriority w:val="46"/>
    <w:semiHidden/>
    <w:rsid w:val="00776AC3"/>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22">
    <w:name w:val="List Table 22"/>
    <w:basedOn w:val="TableNormal"/>
    <w:uiPriority w:val="47"/>
    <w:semiHidden/>
    <w:rsid w:val="00776AC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47"/>
    <w:semiHidden/>
    <w:rsid w:val="00776AC3"/>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2-Accent22">
    <w:name w:val="List Table 2 - Accent 22"/>
    <w:basedOn w:val="TableNormal"/>
    <w:uiPriority w:val="47"/>
    <w:semiHidden/>
    <w:rsid w:val="00776AC3"/>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2-Accent32">
    <w:name w:val="List Table 2 - Accent 32"/>
    <w:basedOn w:val="TableNormal"/>
    <w:uiPriority w:val="47"/>
    <w:semiHidden/>
    <w:rsid w:val="00776AC3"/>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2-Accent42">
    <w:name w:val="List Table 2 - Accent 42"/>
    <w:basedOn w:val="TableNormal"/>
    <w:uiPriority w:val="47"/>
    <w:semiHidden/>
    <w:rsid w:val="00776AC3"/>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2-Accent52">
    <w:name w:val="List Table 2 - Accent 52"/>
    <w:basedOn w:val="TableNormal"/>
    <w:uiPriority w:val="47"/>
    <w:semiHidden/>
    <w:rsid w:val="00776AC3"/>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2-Accent62">
    <w:name w:val="List Table 2 - Accent 62"/>
    <w:basedOn w:val="TableNormal"/>
    <w:uiPriority w:val="47"/>
    <w:semiHidden/>
    <w:rsid w:val="00776AC3"/>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32">
    <w:name w:val="List Table 32"/>
    <w:basedOn w:val="TableNormal"/>
    <w:uiPriority w:val="48"/>
    <w:semiHidden/>
    <w:rsid w:val="00776AC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48"/>
    <w:semiHidden/>
    <w:rsid w:val="00776AC3"/>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customStyle="1" w:styleId="ListTable3-Accent22">
    <w:name w:val="List Table 3 - Accent 22"/>
    <w:basedOn w:val="TableNormal"/>
    <w:uiPriority w:val="48"/>
    <w:semiHidden/>
    <w:rsid w:val="00776AC3"/>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customStyle="1" w:styleId="ListTable3-Accent32">
    <w:name w:val="List Table 3 - Accent 32"/>
    <w:basedOn w:val="TableNormal"/>
    <w:uiPriority w:val="48"/>
    <w:semiHidden/>
    <w:rsid w:val="00776AC3"/>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customStyle="1" w:styleId="ListTable3-Accent42">
    <w:name w:val="List Table 3 - Accent 42"/>
    <w:basedOn w:val="TableNormal"/>
    <w:uiPriority w:val="48"/>
    <w:semiHidden/>
    <w:rsid w:val="00776AC3"/>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customStyle="1" w:styleId="ListTable3-Accent52">
    <w:name w:val="List Table 3 - Accent 52"/>
    <w:basedOn w:val="TableNormal"/>
    <w:uiPriority w:val="48"/>
    <w:semiHidden/>
    <w:rsid w:val="00776AC3"/>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customStyle="1" w:styleId="ListTable3-Accent62">
    <w:name w:val="List Table 3 - Accent 62"/>
    <w:basedOn w:val="TableNormal"/>
    <w:uiPriority w:val="48"/>
    <w:semiHidden/>
    <w:rsid w:val="00776AC3"/>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customStyle="1" w:styleId="ListTable42">
    <w:name w:val="List Table 42"/>
    <w:basedOn w:val="TableNormal"/>
    <w:uiPriority w:val="49"/>
    <w:semiHidden/>
    <w:rsid w:val="00776AC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49"/>
    <w:semiHidden/>
    <w:rsid w:val="00776AC3"/>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4-Accent22">
    <w:name w:val="List Table 4 - Accent 22"/>
    <w:basedOn w:val="TableNormal"/>
    <w:uiPriority w:val="49"/>
    <w:semiHidden/>
    <w:rsid w:val="00776AC3"/>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4-Accent32">
    <w:name w:val="List Table 4 - Accent 32"/>
    <w:basedOn w:val="TableNormal"/>
    <w:uiPriority w:val="49"/>
    <w:semiHidden/>
    <w:rsid w:val="00776AC3"/>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4-Accent42">
    <w:name w:val="List Table 4 - Accent 42"/>
    <w:basedOn w:val="TableNormal"/>
    <w:uiPriority w:val="49"/>
    <w:semiHidden/>
    <w:rsid w:val="00776AC3"/>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4-Accent52">
    <w:name w:val="List Table 4 - Accent 52"/>
    <w:basedOn w:val="TableNormal"/>
    <w:uiPriority w:val="49"/>
    <w:semiHidden/>
    <w:rsid w:val="00776AC3"/>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4-Accent62">
    <w:name w:val="List Table 4 - Accent 62"/>
    <w:basedOn w:val="TableNormal"/>
    <w:uiPriority w:val="49"/>
    <w:semiHidden/>
    <w:rsid w:val="00776AC3"/>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5Dark2">
    <w:name w:val="List Table 5 Dark2"/>
    <w:basedOn w:val="TableNormal"/>
    <w:uiPriority w:val="50"/>
    <w:semiHidden/>
    <w:rsid w:val="00776AC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50"/>
    <w:semiHidden/>
    <w:rsid w:val="00776AC3"/>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50"/>
    <w:semiHidden/>
    <w:rsid w:val="00776AC3"/>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50"/>
    <w:semiHidden/>
    <w:rsid w:val="00776AC3"/>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50"/>
    <w:semiHidden/>
    <w:rsid w:val="00776AC3"/>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50"/>
    <w:semiHidden/>
    <w:rsid w:val="00776AC3"/>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50"/>
    <w:semiHidden/>
    <w:rsid w:val="00776AC3"/>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urful1">
    <w:name w:val="List Table 6 Colourful1"/>
    <w:basedOn w:val="TableNormal"/>
    <w:uiPriority w:val="51"/>
    <w:semiHidden/>
    <w:rsid w:val="00776AC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urfulAccent11">
    <w:name w:val="List Table 6 Colourful – Accent 11"/>
    <w:basedOn w:val="TableNormal"/>
    <w:uiPriority w:val="51"/>
    <w:semiHidden/>
    <w:rsid w:val="00776AC3"/>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customStyle="1" w:styleId="ListTable6ColourfulAccent21">
    <w:name w:val="List Table 6 Colourful – Accent 21"/>
    <w:basedOn w:val="TableNormal"/>
    <w:uiPriority w:val="51"/>
    <w:semiHidden/>
    <w:rsid w:val="00776AC3"/>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customStyle="1" w:styleId="ListTable6ColourfulAccent31">
    <w:name w:val="List Table 6 Colourful – Accent 31"/>
    <w:basedOn w:val="TableNormal"/>
    <w:uiPriority w:val="51"/>
    <w:semiHidden/>
    <w:rsid w:val="00776AC3"/>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customStyle="1" w:styleId="ListTable6ColourfulAccent41">
    <w:name w:val="List Table 6 Colourful – Accent 41"/>
    <w:basedOn w:val="TableNormal"/>
    <w:uiPriority w:val="51"/>
    <w:semiHidden/>
    <w:rsid w:val="00776AC3"/>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customStyle="1" w:styleId="ListTable6ColourfulAccent51">
    <w:name w:val="List Table 6 Colourful – Accent 51"/>
    <w:basedOn w:val="TableNormal"/>
    <w:uiPriority w:val="51"/>
    <w:semiHidden/>
    <w:rsid w:val="00776AC3"/>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customStyle="1" w:styleId="ListTable6ColourfulAccent61">
    <w:name w:val="List Table 6 Colourful – Accent 61"/>
    <w:basedOn w:val="TableNormal"/>
    <w:uiPriority w:val="51"/>
    <w:semiHidden/>
    <w:rsid w:val="00776AC3"/>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customStyle="1" w:styleId="ListTable7Colourful1">
    <w:name w:val="List Table 7 Colourful1"/>
    <w:basedOn w:val="TableNormal"/>
    <w:uiPriority w:val="52"/>
    <w:semiHidden/>
    <w:rsid w:val="00776AC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11">
    <w:name w:val="List Table 7 Colourful – Accent 11"/>
    <w:basedOn w:val="TableNormal"/>
    <w:uiPriority w:val="52"/>
    <w:semiHidden/>
    <w:rsid w:val="00776AC3"/>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21">
    <w:name w:val="List Table 7 Colourful – Accent 21"/>
    <w:basedOn w:val="TableNormal"/>
    <w:uiPriority w:val="52"/>
    <w:semiHidden/>
    <w:rsid w:val="00776AC3"/>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31">
    <w:name w:val="List Table 7 Colourful – Accent 31"/>
    <w:basedOn w:val="TableNormal"/>
    <w:uiPriority w:val="52"/>
    <w:semiHidden/>
    <w:rsid w:val="00776AC3"/>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41">
    <w:name w:val="List Table 7 Colourful – Accent 41"/>
    <w:basedOn w:val="TableNormal"/>
    <w:uiPriority w:val="52"/>
    <w:semiHidden/>
    <w:rsid w:val="00776AC3"/>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51">
    <w:name w:val="List Table 7 Colourful – Accent 51"/>
    <w:basedOn w:val="TableNormal"/>
    <w:uiPriority w:val="52"/>
    <w:semiHidden/>
    <w:rsid w:val="00776AC3"/>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urfulAccent61">
    <w:name w:val="List Table 7 Colourful – Accent 61"/>
    <w:basedOn w:val="TableNormal"/>
    <w:uiPriority w:val="52"/>
    <w:semiHidden/>
    <w:rsid w:val="00776AC3"/>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41"/>
    <w:semiHidden/>
    <w:rsid w:val="00776A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semiHidden/>
    <w:rsid w:val="00776AC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semiHidden/>
    <w:rsid w:val="00776A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semiHidden/>
    <w:rsid w:val="00776A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45"/>
    <w:semiHidden/>
    <w:rsid w:val="00776AC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semiHidden/>
    <w:rsid w:val="00776A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
    <w:name w:val="Plain Table"/>
    <w:basedOn w:val="TableNormal"/>
    <w:uiPriority w:val="99"/>
    <w:rsid w:val="007E171F"/>
    <w:pPr>
      <w:spacing w:after="0"/>
    </w:pPr>
    <w:tblPr>
      <w:tblStyleRowBandSize w:val="1"/>
      <w:tblBorders>
        <w:top w:val="single" w:sz="4" w:space="0" w:color="931B2F" w:themeColor="background2"/>
        <w:bottom w:val="single" w:sz="4" w:space="0" w:color="931B2F" w:themeColor="background2"/>
        <w:insideH w:val="single" w:sz="4" w:space="0" w:color="931B2F" w:themeColor="background2"/>
      </w:tblBorders>
      <w:tblCellMar>
        <w:top w:w="85" w:type="dxa"/>
        <w:left w:w="85" w:type="dxa"/>
        <w:bottom w:w="85" w:type="dxa"/>
        <w:right w:w="85" w:type="dxa"/>
      </w:tblCellMar>
    </w:tblPr>
    <w:tcPr>
      <w:shd w:val="clear" w:color="auto" w:fill="auto"/>
    </w:tcPr>
    <w:tblStylePr w:type="firstRow">
      <w:pPr>
        <w:wordWrap/>
        <w:spacing w:beforeLines="0" w:before="0" w:beforeAutospacing="0" w:afterLines="0" w:after="0" w:afterAutospacing="0"/>
      </w:pPr>
      <w:rPr>
        <w:color w:val="000000" w:themeColor="text1"/>
      </w:rPr>
    </w:tblStylePr>
    <w:tblStylePr w:type="firstCol">
      <w:tblPr/>
      <w:tcPr>
        <w:shd w:val="clear" w:color="auto" w:fill="F2F2F2" w:themeFill="background1" w:themeFillShade="F2"/>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style>
  <w:style w:type="table" w:customStyle="1" w:styleId="BoxGrid-Black">
    <w:name w:val="Box Grid - Black"/>
    <w:basedOn w:val="TableNormal"/>
    <w:uiPriority w:val="99"/>
    <w:rsid w:val="00776AC3"/>
    <w:pPr>
      <w:spacing w:after="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table" w:customStyle="1" w:styleId="BoxGrid-Coloured">
    <w:name w:val="Box Grid - Coloured"/>
    <w:basedOn w:val="TableNormal"/>
    <w:uiPriority w:val="99"/>
    <w:rsid w:val="00776AC3"/>
    <w:pPr>
      <w:spacing w:after="0"/>
    </w:pPr>
    <w:tblPr>
      <w:tblBorders>
        <w:top w:val="single" w:sz="8" w:space="0" w:color="931B2F" w:themeColor="background2"/>
        <w:left w:val="single" w:sz="8" w:space="0" w:color="931B2F" w:themeColor="background2"/>
        <w:bottom w:val="single" w:sz="8" w:space="0" w:color="931B2F" w:themeColor="background2"/>
        <w:right w:val="single" w:sz="8" w:space="0" w:color="931B2F" w:themeColor="background2"/>
        <w:insideH w:val="single" w:sz="8" w:space="0" w:color="931B2F" w:themeColor="background2"/>
        <w:insideV w:val="single" w:sz="8" w:space="0" w:color="931B2F" w:themeColor="background2"/>
      </w:tblBorders>
      <w:tblCellMar>
        <w:top w:w="85" w:type="dxa"/>
        <w:left w:w="85" w:type="dxa"/>
        <w:bottom w:w="85" w:type="dxa"/>
        <w:right w:w="85" w:type="dxa"/>
      </w:tblCellMar>
    </w:tblPr>
  </w:style>
  <w:style w:type="paragraph" w:customStyle="1" w:styleId="CoverAddress">
    <w:name w:val="Cover Address"/>
    <w:uiPriority w:val="5"/>
    <w:semiHidden/>
    <w:qFormat/>
    <w:rsid w:val="00E501B2"/>
    <w:pPr>
      <w:spacing w:after="0"/>
      <w:jc w:val="center"/>
    </w:pPr>
    <w:rPr>
      <w:rFonts w:asciiTheme="majorHAnsi" w:hAnsiTheme="majorHAnsi"/>
      <w:color w:val="000000" w:themeColor="text1"/>
      <w:sz w:val="16"/>
    </w:rPr>
  </w:style>
  <w:style w:type="paragraph" w:customStyle="1" w:styleId="CoverTitle">
    <w:name w:val="Cover Title"/>
    <w:basedOn w:val="CoverAddress"/>
    <w:uiPriority w:val="5"/>
    <w:semiHidden/>
    <w:qFormat/>
    <w:rsid w:val="008359C2"/>
    <w:pPr>
      <w:jc w:val="left"/>
    </w:pPr>
    <w:rPr>
      <w:caps/>
      <w:color w:val="931B2F" w:themeColor="background2"/>
      <w:sz w:val="72"/>
    </w:rPr>
  </w:style>
  <w:style w:type="paragraph" w:customStyle="1" w:styleId="TableHeadingBlack">
    <w:name w:val="Table Heading Black"/>
    <w:basedOn w:val="TableHeading"/>
    <w:uiPriority w:val="10"/>
    <w:qFormat/>
    <w:rsid w:val="00BE3476"/>
    <w:rPr>
      <w:color w:val="000000" w:themeColor="text1"/>
    </w:rPr>
  </w:style>
  <w:style w:type="paragraph" w:customStyle="1" w:styleId="TOCSubheading">
    <w:name w:val="TOC Subheading"/>
    <w:basedOn w:val="TOCHeading"/>
    <w:uiPriority w:val="5"/>
    <w:semiHidden/>
    <w:qFormat/>
    <w:rsid w:val="001A73D7"/>
    <w:pPr>
      <w:pageBreakBefore w:val="0"/>
      <w:spacing w:after="200"/>
    </w:pPr>
    <w:rPr>
      <w:b w:val="0"/>
      <w:sz w:val="28"/>
    </w:rPr>
  </w:style>
  <w:style w:type="paragraph" w:customStyle="1" w:styleId="SectionTitle">
    <w:name w:val="Section Title"/>
    <w:basedOn w:val="Normal"/>
    <w:next w:val="Normal"/>
    <w:uiPriority w:val="99"/>
    <w:semiHidden/>
    <w:qFormat/>
    <w:rsid w:val="00FD1ACC"/>
    <w:pPr>
      <w:spacing w:before="200" w:after="400" w:line="240" w:lineRule="auto"/>
      <w:outlineLvl w:val="0"/>
    </w:pPr>
    <w:rPr>
      <w:color w:val="931B2F" w:themeColor="background2"/>
      <w:sz w:val="54"/>
    </w:rPr>
  </w:style>
  <w:style w:type="paragraph" w:styleId="ListNumber">
    <w:name w:val="List Number"/>
    <w:basedOn w:val="Normal"/>
    <w:uiPriority w:val="7"/>
    <w:qFormat/>
    <w:rsid w:val="003D0711"/>
    <w:pPr>
      <w:numPr>
        <w:numId w:val="11"/>
      </w:numPr>
      <w:spacing w:before="100" w:after="100"/>
    </w:pPr>
  </w:style>
  <w:style w:type="paragraph" w:customStyle="1" w:styleId="CoverSubtitle">
    <w:name w:val="Cover Subtitle"/>
    <w:basedOn w:val="CoverTitle"/>
    <w:uiPriority w:val="5"/>
    <w:semiHidden/>
    <w:qFormat/>
    <w:rsid w:val="008359C2"/>
    <w:pPr>
      <w:spacing w:before="120" w:after="120"/>
    </w:pPr>
    <w:rPr>
      <w:color w:val="4D4D4D" w:themeColor="text2"/>
      <w:sz w:val="32"/>
    </w:rPr>
  </w:style>
  <w:style w:type="paragraph" w:styleId="ListNumber2">
    <w:name w:val="List Number 2"/>
    <w:basedOn w:val="Normal"/>
    <w:uiPriority w:val="7"/>
    <w:rsid w:val="003D0711"/>
    <w:pPr>
      <w:numPr>
        <w:ilvl w:val="1"/>
        <w:numId w:val="11"/>
      </w:numPr>
      <w:spacing w:before="100" w:after="100"/>
    </w:pPr>
  </w:style>
  <w:style w:type="paragraph" w:customStyle="1" w:styleId="CoverDate">
    <w:name w:val="Cover Date"/>
    <w:basedOn w:val="CoverAddress"/>
    <w:uiPriority w:val="5"/>
    <w:semiHidden/>
    <w:qFormat/>
    <w:rsid w:val="009933E1"/>
    <w:pPr>
      <w:jc w:val="left"/>
    </w:pPr>
    <w:rPr>
      <w:caps/>
      <w:sz w:val="28"/>
    </w:rPr>
  </w:style>
  <w:style w:type="numbering" w:customStyle="1" w:styleId="HeadingsNumbered">
    <w:name w:val="Headings Numbered"/>
    <w:uiPriority w:val="99"/>
    <w:rsid w:val="00087A56"/>
    <w:pPr>
      <w:numPr>
        <w:numId w:val="7"/>
      </w:numPr>
    </w:pPr>
  </w:style>
  <w:style w:type="paragraph" w:styleId="List3">
    <w:name w:val="List 3"/>
    <w:basedOn w:val="Normal"/>
    <w:uiPriority w:val="7"/>
    <w:rsid w:val="003D0711"/>
    <w:pPr>
      <w:numPr>
        <w:ilvl w:val="2"/>
        <w:numId w:val="12"/>
      </w:numPr>
      <w:spacing w:before="100" w:after="100"/>
    </w:pPr>
  </w:style>
  <w:style w:type="paragraph" w:styleId="List4">
    <w:name w:val="List 4"/>
    <w:basedOn w:val="Normal"/>
    <w:uiPriority w:val="7"/>
    <w:semiHidden/>
    <w:locked/>
    <w:rsid w:val="00666E93"/>
    <w:pPr>
      <w:numPr>
        <w:ilvl w:val="7"/>
        <w:numId w:val="8"/>
      </w:numPr>
      <w:spacing w:before="180" w:after="180"/>
      <w:ind w:left="2382" w:hanging="397"/>
    </w:pPr>
  </w:style>
  <w:style w:type="paragraph" w:styleId="ListNumber3">
    <w:name w:val="List Number 3"/>
    <w:basedOn w:val="Normal"/>
    <w:uiPriority w:val="7"/>
    <w:rsid w:val="003D0711"/>
    <w:pPr>
      <w:numPr>
        <w:ilvl w:val="2"/>
        <w:numId w:val="11"/>
      </w:numPr>
      <w:spacing w:before="100" w:after="100"/>
    </w:pPr>
  </w:style>
  <w:style w:type="paragraph" w:customStyle="1" w:styleId="1ptspacer">
    <w:name w:val="1pt spacer"/>
    <w:basedOn w:val="Normal"/>
    <w:uiPriority w:val="2"/>
    <w:semiHidden/>
    <w:rsid w:val="00F25945"/>
    <w:pPr>
      <w:spacing w:after="190" w:line="240" w:lineRule="auto"/>
      <w:contextualSpacing/>
    </w:pPr>
    <w:rPr>
      <w:rFonts w:eastAsia="Calibri" w:cs="Calibri"/>
      <w:color w:val="E8E7E7" w:themeColor="accent3"/>
      <w:sz w:val="2"/>
    </w:rPr>
  </w:style>
  <w:style w:type="paragraph" w:customStyle="1" w:styleId="CaptionTable">
    <w:name w:val="Caption Table"/>
    <w:basedOn w:val="Caption"/>
    <w:uiPriority w:val="8"/>
    <w:qFormat/>
    <w:rsid w:val="006D794C"/>
    <w:pPr>
      <w:keepNext/>
      <w:keepLines/>
    </w:pPr>
    <w:rPr>
      <w:sz w:val="20"/>
    </w:rPr>
  </w:style>
  <w:style w:type="paragraph" w:customStyle="1" w:styleId="CaptionFigure">
    <w:name w:val="Caption Figure"/>
    <w:basedOn w:val="CaptionTable"/>
    <w:uiPriority w:val="8"/>
    <w:qFormat/>
    <w:rsid w:val="006D794C"/>
  </w:style>
  <w:style w:type="paragraph" w:styleId="TableofFigures">
    <w:name w:val="table of figures"/>
    <w:basedOn w:val="Normal"/>
    <w:next w:val="Normal"/>
    <w:uiPriority w:val="99"/>
    <w:unhideWhenUsed/>
    <w:locked/>
    <w:rsid w:val="001A73D7"/>
    <w:pPr>
      <w:tabs>
        <w:tab w:val="left" w:pos="993"/>
        <w:tab w:val="right" w:leader="dot" w:pos="9628"/>
      </w:tabs>
      <w:ind w:left="992" w:hanging="992"/>
      <w:contextualSpacing/>
    </w:pPr>
    <w:rPr>
      <w:rFonts w:eastAsiaTheme="minorEastAsia"/>
      <w:color w:val="auto"/>
      <w:szCs w:val="22"/>
      <w:lang w:eastAsia="en-AU"/>
    </w:rPr>
  </w:style>
  <w:style w:type="paragraph" w:customStyle="1" w:styleId="TableTitle">
    <w:name w:val="Table Title"/>
    <w:basedOn w:val="Caption"/>
    <w:uiPriority w:val="8"/>
    <w:qFormat/>
    <w:rsid w:val="00C41308"/>
    <w:rPr>
      <w:color w:val="931B2F" w:themeColor="background2"/>
    </w:rPr>
  </w:style>
  <w:style w:type="paragraph" w:customStyle="1" w:styleId="NormalSingleSpacing">
    <w:name w:val="Normal Single Spacing"/>
    <w:basedOn w:val="Normal"/>
    <w:uiPriority w:val="5"/>
    <w:qFormat/>
    <w:rsid w:val="008404DE"/>
    <w:pPr>
      <w:spacing w:after="0" w:line="240" w:lineRule="auto"/>
    </w:pPr>
  </w:style>
  <w:style w:type="paragraph" w:styleId="Revision">
    <w:name w:val="Revision"/>
    <w:hidden/>
    <w:uiPriority w:val="99"/>
    <w:semiHidden/>
    <w:rsid w:val="00155A00"/>
    <w:pPr>
      <w:spacing w:after="0"/>
    </w:pPr>
    <w:rPr>
      <w:color w:val="000000" w:themeColor="text1"/>
      <w:sz w:val="22"/>
    </w:rPr>
  </w:style>
  <w:style w:type="paragraph" w:styleId="TOC4">
    <w:name w:val="toc 4"/>
    <w:basedOn w:val="Normal"/>
    <w:next w:val="Normal"/>
    <w:autoRedefine/>
    <w:uiPriority w:val="39"/>
    <w:unhideWhenUsed/>
    <w:locked/>
    <w:rsid w:val="00742BD0"/>
    <w:pPr>
      <w:spacing w:after="100" w:line="240" w:lineRule="auto"/>
      <w:ind w:left="720"/>
    </w:pPr>
    <w:rPr>
      <w:rFonts w:eastAsiaTheme="minorEastAsia"/>
      <w:color w:val="auto"/>
      <w:sz w:val="24"/>
      <w:szCs w:val="24"/>
    </w:rPr>
  </w:style>
  <w:style w:type="paragraph" w:styleId="TOC5">
    <w:name w:val="toc 5"/>
    <w:basedOn w:val="Normal"/>
    <w:next w:val="Normal"/>
    <w:autoRedefine/>
    <w:uiPriority w:val="39"/>
    <w:unhideWhenUsed/>
    <w:locked/>
    <w:rsid w:val="00742BD0"/>
    <w:pPr>
      <w:spacing w:after="100" w:line="240" w:lineRule="auto"/>
      <w:ind w:left="960"/>
    </w:pPr>
    <w:rPr>
      <w:rFonts w:eastAsiaTheme="minorEastAsia"/>
      <w:color w:val="auto"/>
      <w:sz w:val="24"/>
      <w:szCs w:val="24"/>
    </w:rPr>
  </w:style>
  <w:style w:type="paragraph" w:styleId="TOC6">
    <w:name w:val="toc 6"/>
    <w:basedOn w:val="Normal"/>
    <w:next w:val="Normal"/>
    <w:autoRedefine/>
    <w:uiPriority w:val="39"/>
    <w:unhideWhenUsed/>
    <w:locked/>
    <w:rsid w:val="00742BD0"/>
    <w:pPr>
      <w:spacing w:after="100" w:line="240" w:lineRule="auto"/>
      <w:ind w:left="1200"/>
    </w:pPr>
    <w:rPr>
      <w:rFonts w:eastAsiaTheme="minorEastAsia"/>
      <w:color w:val="auto"/>
      <w:sz w:val="24"/>
      <w:szCs w:val="24"/>
    </w:rPr>
  </w:style>
  <w:style w:type="paragraph" w:styleId="TOC7">
    <w:name w:val="toc 7"/>
    <w:basedOn w:val="Normal"/>
    <w:next w:val="Normal"/>
    <w:autoRedefine/>
    <w:uiPriority w:val="39"/>
    <w:unhideWhenUsed/>
    <w:locked/>
    <w:rsid w:val="00742BD0"/>
    <w:pPr>
      <w:spacing w:after="100" w:line="240" w:lineRule="auto"/>
      <w:ind w:left="1440"/>
    </w:pPr>
    <w:rPr>
      <w:rFonts w:eastAsiaTheme="minorEastAsia"/>
      <w:color w:val="auto"/>
      <w:sz w:val="24"/>
      <w:szCs w:val="24"/>
    </w:rPr>
  </w:style>
  <w:style w:type="paragraph" w:styleId="TOC8">
    <w:name w:val="toc 8"/>
    <w:basedOn w:val="Normal"/>
    <w:next w:val="Normal"/>
    <w:autoRedefine/>
    <w:uiPriority w:val="39"/>
    <w:unhideWhenUsed/>
    <w:locked/>
    <w:rsid w:val="00742BD0"/>
    <w:pPr>
      <w:spacing w:after="100" w:line="240" w:lineRule="auto"/>
      <w:ind w:left="1680"/>
    </w:pPr>
    <w:rPr>
      <w:rFonts w:eastAsiaTheme="minorEastAsia"/>
      <w:color w:val="auto"/>
      <w:sz w:val="24"/>
      <w:szCs w:val="24"/>
    </w:rPr>
  </w:style>
  <w:style w:type="paragraph" w:styleId="TOC9">
    <w:name w:val="toc 9"/>
    <w:basedOn w:val="Normal"/>
    <w:next w:val="Normal"/>
    <w:autoRedefine/>
    <w:uiPriority w:val="39"/>
    <w:unhideWhenUsed/>
    <w:locked/>
    <w:rsid w:val="00742BD0"/>
    <w:pPr>
      <w:spacing w:after="100" w:line="240" w:lineRule="auto"/>
      <w:ind w:left="1920"/>
    </w:pPr>
    <w:rPr>
      <w:rFonts w:eastAsiaTheme="minorEastAsia"/>
      <w:color w:val="auto"/>
      <w:sz w:val="24"/>
      <w:szCs w:val="24"/>
    </w:rPr>
  </w:style>
  <w:style w:type="paragraph" w:styleId="NormalWeb">
    <w:name w:val="Normal (Web)"/>
    <w:basedOn w:val="Normal"/>
    <w:uiPriority w:val="99"/>
    <w:unhideWhenUsed/>
    <w:locked/>
    <w:rsid w:val="00E56F8E"/>
    <w:pPr>
      <w:spacing w:before="100" w:beforeAutospacing="1" w:after="100" w:afterAutospacing="1" w:line="240" w:lineRule="auto"/>
    </w:pPr>
    <w:rPr>
      <w:rFonts w:ascii="Times New Roman" w:eastAsiaTheme="minorEastAsia" w:hAnsi="Times New Roman" w:cs="Times New Roman"/>
      <w:color w:val="auto"/>
      <w:sz w:val="24"/>
      <w:szCs w:val="24"/>
    </w:rPr>
  </w:style>
  <w:style w:type="character" w:styleId="Strong">
    <w:name w:val="Strong"/>
    <w:basedOn w:val="DefaultParagraphFont"/>
    <w:uiPriority w:val="22"/>
    <w:qFormat/>
    <w:locked/>
    <w:rsid w:val="00864C90"/>
    <w:rPr>
      <w:b/>
      <w:bCs/>
    </w:rPr>
  </w:style>
  <w:style w:type="character" w:customStyle="1" w:styleId="apple-converted-space">
    <w:name w:val="apple-converted-space"/>
    <w:basedOn w:val="DefaultParagraphFont"/>
    <w:rsid w:val="00294879"/>
  </w:style>
  <w:style w:type="character" w:customStyle="1" w:styleId="ListParagraphChar">
    <w:name w:val="List Paragraph Char"/>
    <w:aliases w:val="List Paragraph11 Char,List Paragraph1 Char,Recommendation Char,Content descriptions Char,NFP GP Bulleted List Char,FooterText Char,numbered Char,Paragraphe de liste1 Char,Bulletr List Paragraph Char,列出段落 Char,列出段落1 Char,リスト段落1 Char"/>
    <w:basedOn w:val="DefaultParagraphFont"/>
    <w:link w:val="ListParagraph"/>
    <w:uiPriority w:val="34"/>
    <w:locked/>
    <w:rsid w:val="00BA53B1"/>
    <w:rPr>
      <w:color w:val="000000" w:themeColor="text1"/>
      <w:sz w:val="22"/>
    </w:rPr>
  </w:style>
  <w:style w:type="character" w:customStyle="1" w:styleId="UnresolvedMention2">
    <w:name w:val="Unresolved Mention2"/>
    <w:basedOn w:val="DefaultParagraphFont"/>
    <w:uiPriority w:val="99"/>
    <w:semiHidden/>
    <w:unhideWhenUsed/>
    <w:rsid w:val="00E34BB9"/>
    <w:rPr>
      <w:color w:val="605E5C"/>
      <w:shd w:val="clear" w:color="auto" w:fill="E1DFDD"/>
    </w:rPr>
  </w:style>
  <w:style w:type="table" w:styleId="GridTable1Light-Accent2">
    <w:name w:val="Grid Table 1 Light Accent 2"/>
    <w:basedOn w:val="TableNormal"/>
    <w:uiPriority w:val="46"/>
    <w:rsid w:val="00766985"/>
    <w:pPr>
      <w:spacing w:after="0"/>
    </w:pPr>
    <w:tblPr>
      <w:tblStyleRowBandSize w:val="1"/>
      <w:tblStyleColBandSize w:val="1"/>
      <w:tblBorders>
        <w:top w:val="single" w:sz="4" w:space="0" w:color="E0BEC4" w:themeColor="accent2" w:themeTint="66"/>
        <w:left w:val="single" w:sz="4" w:space="0" w:color="E0BEC4" w:themeColor="accent2" w:themeTint="66"/>
        <w:bottom w:val="single" w:sz="4" w:space="0" w:color="E0BEC4" w:themeColor="accent2" w:themeTint="66"/>
        <w:right w:val="single" w:sz="4" w:space="0" w:color="E0BEC4" w:themeColor="accent2" w:themeTint="66"/>
        <w:insideH w:val="single" w:sz="4" w:space="0" w:color="E0BEC4" w:themeColor="accent2" w:themeTint="66"/>
        <w:insideV w:val="single" w:sz="4" w:space="0" w:color="E0BEC4" w:themeColor="accent2" w:themeTint="66"/>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2" w:space="0" w:color="D19EA7"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locked/>
    <w:rsid w:val="0076698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66985"/>
    <w:pPr>
      <w:spacing w:after="0"/>
    </w:pPr>
    <w:tblPr>
      <w:tblStyleRowBandSize w:val="1"/>
      <w:tblStyleColBandSize w:val="1"/>
      <w:tblBorders>
        <w:top w:val="single" w:sz="4" w:space="0" w:color="EA8D9C" w:themeColor="accent1" w:themeTint="66"/>
        <w:left w:val="single" w:sz="4" w:space="0" w:color="EA8D9C" w:themeColor="accent1" w:themeTint="66"/>
        <w:bottom w:val="single" w:sz="4" w:space="0" w:color="EA8D9C" w:themeColor="accent1" w:themeTint="66"/>
        <w:right w:val="single" w:sz="4" w:space="0" w:color="EA8D9C" w:themeColor="accent1" w:themeTint="66"/>
        <w:insideH w:val="single" w:sz="4" w:space="0" w:color="EA8D9C" w:themeColor="accent1" w:themeTint="66"/>
        <w:insideV w:val="single" w:sz="4" w:space="0" w:color="EA8D9C" w:themeColor="accent1" w:themeTint="66"/>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2" w:space="0" w:color="DF546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6985"/>
    <w:pPr>
      <w:spacing w:after="0"/>
    </w:pPr>
    <w:tblPr>
      <w:tblStyleRowBandSize w:val="1"/>
      <w:tblStyleColBandSize w:val="1"/>
      <w:tblBorders>
        <w:top w:val="single" w:sz="4" w:space="0" w:color="F5F5F5" w:themeColor="accent3" w:themeTint="66"/>
        <w:left w:val="single" w:sz="4" w:space="0" w:color="F5F5F5" w:themeColor="accent3" w:themeTint="66"/>
        <w:bottom w:val="single" w:sz="4" w:space="0" w:color="F5F5F5" w:themeColor="accent3" w:themeTint="66"/>
        <w:right w:val="single" w:sz="4" w:space="0" w:color="F5F5F5" w:themeColor="accent3" w:themeTint="66"/>
        <w:insideH w:val="single" w:sz="4" w:space="0" w:color="F5F5F5" w:themeColor="accent3" w:themeTint="66"/>
        <w:insideV w:val="single" w:sz="4" w:space="0" w:color="F5F5F5" w:themeColor="accent3" w:themeTint="66"/>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2" w:space="0" w:color="F1F0F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66985"/>
    <w:pPr>
      <w:spacing w:after="0"/>
    </w:pPr>
    <w:tblPr>
      <w:tblStyleRowBandSize w:val="1"/>
      <w:tblStyleColBandSize w:val="1"/>
      <w:tblBorders>
        <w:top w:val="single" w:sz="4" w:space="0" w:color="D1CECE" w:themeColor="accent4" w:themeTint="66"/>
        <w:left w:val="single" w:sz="4" w:space="0" w:color="D1CECE" w:themeColor="accent4" w:themeTint="66"/>
        <w:bottom w:val="single" w:sz="4" w:space="0" w:color="D1CECE" w:themeColor="accent4" w:themeTint="66"/>
        <w:right w:val="single" w:sz="4" w:space="0" w:color="D1CECE" w:themeColor="accent4" w:themeTint="66"/>
        <w:insideH w:val="single" w:sz="4" w:space="0" w:color="D1CECE" w:themeColor="accent4" w:themeTint="66"/>
        <w:insideV w:val="single" w:sz="4" w:space="0" w:color="D1CECE" w:themeColor="accent4" w:themeTint="66"/>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2" w:space="0" w:color="BAB6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66985"/>
    <w:pPr>
      <w:spacing w:after="0"/>
    </w:pPr>
    <w:tblPr>
      <w:tblStyleRowBandSize w:val="1"/>
      <w:tblStyleColBandSize w:val="1"/>
      <w:tblBorders>
        <w:top w:val="single" w:sz="4" w:space="0" w:color="ACA8A8" w:themeColor="accent5" w:themeTint="66"/>
        <w:left w:val="single" w:sz="4" w:space="0" w:color="ACA8A8" w:themeColor="accent5" w:themeTint="66"/>
        <w:bottom w:val="single" w:sz="4" w:space="0" w:color="ACA8A8" w:themeColor="accent5" w:themeTint="66"/>
        <w:right w:val="single" w:sz="4" w:space="0" w:color="ACA8A8" w:themeColor="accent5" w:themeTint="66"/>
        <w:insideH w:val="single" w:sz="4" w:space="0" w:color="ACA8A8" w:themeColor="accent5" w:themeTint="66"/>
        <w:insideV w:val="single" w:sz="4" w:space="0" w:color="ACA8A8" w:themeColor="accent5" w:themeTint="66"/>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2" w:space="0" w:color="827C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66985"/>
    <w:pPr>
      <w:spacing w:after="0"/>
    </w:pPr>
    <w:tblPr>
      <w:tblStyleRowBandSize w:val="1"/>
      <w:tblStyleColBandSize w:val="1"/>
      <w:tblBorders>
        <w:top w:val="single" w:sz="4" w:space="0" w:color="E47083" w:themeColor="accent6" w:themeTint="66"/>
        <w:left w:val="single" w:sz="4" w:space="0" w:color="E47083" w:themeColor="accent6" w:themeTint="66"/>
        <w:bottom w:val="single" w:sz="4" w:space="0" w:color="E47083" w:themeColor="accent6" w:themeTint="66"/>
        <w:right w:val="single" w:sz="4" w:space="0" w:color="E47083" w:themeColor="accent6" w:themeTint="66"/>
        <w:insideH w:val="single" w:sz="4" w:space="0" w:color="E47083" w:themeColor="accent6" w:themeTint="66"/>
        <w:insideV w:val="single" w:sz="4" w:space="0" w:color="E47083" w:themeColor="accent6" w:themeTint="66"/>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2" w:space="0" w:color="D6294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76698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66985"/>
    <w:pPr>
      <w:spacing w:after="0"/>
    </w:pPr>
    <w:tblPr>
      <w:tblStyleRowBandSize w:val="1"/>
      <w:tblStyleColBandSize w:val="1"/>
      <w:tblBorders>
        <w:top w:val="single" w:sz="2" w:space="0" w:color="DF546B" w:themeColor="accent1" w:themeTint="99"/>
        <w:bottom w:val="single" w:sz="2" w:space="0" w:color="DF546B" w:themeColor="accent1" w:themeTint="99"/>
        <w:insideH w:val="single" w:sz="2" w:space="0" w:color="DF546B" w:themeColor="accent1" w:themeTint="99"/>
        <w:insideV w:val="single" w:sz="2" w:space="0" w:color="DF546B" w:themeColor="accent1" w:themeTint="99"/>
      </w:tblBorders>
    </w:tblPr>
    <w:tblStylePr w:type="firstRow">
      <w:rPr>
        <w:b/>
        <w:bCs/>
      </w:rPr>
      <w:tblPr/>
      <w:tcPr>
        <w:tcBorders>
          <w:top w:val="nil"/>
          <w:bottom w:val="single" w:sz="12" w:space="0" w:color="DF546B" w:themeColor="accent1" w:themeTint="99"/>
          <w:insideH w:val="nil"/>
          <w:insideV w:val="nil"/>
        </w:tcBorders>
        <w:shd w:val="clear" w:color="auto" w:fill="FFFFFF" w:themeFill="background1"/>
      </w:tcPr>
    </w:tblStylePr>
    <w:tblStylePr w:type="lastRow">
      <w:rPr>
        <w:b/>
        <w:bCs/>
      </w:rPr>
      <w:tblPr/>
      <w:tcPr>
        <w:tcBorders>
          <w:top w:val="double" w:sz="2" w:space="0" w:color="DF54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2-Accent2">
    <w:name w:val="Grid Table 2 Accent 2"/>
    <w:basedOn w:val="TableNormal"/>
    <w:uiPriority w:val="47"/>
    <w:rsid w:val="00766985"/>
    <w:pPr>
      <w:spacing w:after="0"/>
    </w:pPr>
    <w:tblPr>
      <w:tblStyleRowBandSize w:val="1"/>
      <w:tblStyleColBandSize w:val="1"/>
      <w:tblBorders>
        <w:top w:val="single" w:sz="2" w:space="0" w:color="D19EA7" w:themeColor="accent2" w:themeTint="99"/>
        <w:bottom w:val="single" w:sz="2" w:space="0" w:color="D19EA7" w:themeColor="accent2" w:themeTint="99"/>
        <w:insideH w:val="single" w:sz="2" w:space="0" w:color="D19EA7" w:themeColor="accent2" w:themeTint="99"/>
        <w:insideV w:val="single" w:sz="2" w:space="0" w:color="D19EA7" w:themeColor="accent2" w:themeTint="99"/>
      </w:tblBorders>
    </w:tblPr>
    <w:tblStylePr w:type="firstRow">
      <w:rPr>
        <w:b/>
        <w:bCs/>
      </w:rPr>
      <w:tblPr/>
      <w:tcPr>
        <w:tcBorders>
          <w:top w:val="nil"/>
          <w:bottom w:val="single" w:sz="12" w:space="0" w:color="D19EA7" w:themeColor="accent2" w:themeTint="99"/>
          <w:insideH w:val="nil"/>
          <w:insideV w:val="nil"/>
        </w:tcBorders>
        <w:shd w:val="clear" w:color="auto" w:fill="FFFFFF" w:themeFill="background1"/>
      </w:tcPr>
    </w:tblStylePr>
    <w:tblStylePr w:type="lastRow">
      <w:rPr>
        <w:b/>
        <w:bCs/>
      </w:rPr>
      <w:tblPr/>
      <w:tcPr>
        <w:tcBorders>
          <w:top w:val="double" w:sz="2" w:space="0" w:color="D19E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2-Accent3">
    <w:name w:val="Grid Table 2 Accent 3"/>
    <w:basedOn w:val="TableNormal"/>
    <w:uiPriority w:val="47"/>
    <w:rsid w:val="00766985"/>
    <w:pPr>
      <w:spacing w:after="0"/>
    </w:pPr>
    <w:tblPr>
      <w:tblStyleRowBandSize w:val="1"/>
      <w:tblStyleColBandSize w:val="1"/>
      <w:tblBorders>
        <w:top w:val="single" w:sz="2" w:space="0" w:color="F1F0F0" w:themeColor="accent3" w:themeTint="99"/>
        <w:bottom w:val="single" w:sz="2" w:space="0" w:color="F1F0F0" w:themeColor="accent3" w:themeTint="99"/>
        <w:insideH w:val="single" w:sz="2" w:space="0" w:color="F1F0F0" w:themeColor="accent3" w:themeTint="99"/>
        <w:insideV w:val="single" w:sz="2" w:space="0" w:color="F1F0F0" w:themeColor="accent3" w:themeTint="99"/>
      </w:tblBorders>
    </w:tblPr>
    <w:tblStylePr w:type="firstRow">
      <w:rPr>
        <w:b/>
        <w:bCs/>
      </w:rPr>
      <w:tblPr/>
      <w:tcPr>
        <w:tcBorders>
          <w:top w:val="nil"/>
          <w:bottom w:val="single" w:sz="12" w:space="0" w:color="F1F0F0" w:themeColor="accent3" w:themeTint="99"/>
          <w:insideH w:val="nil"/>
          <w:insideV w:val="nil"/>
        </w:tcBorders>
        <w:shd w:val="clear" w:color="auto" w:fill="FFFFFF" w:themeFill="background1"/>
      </w:tcPr>
    </w:tblStylePr>
    <w:tblStylePr w:type="lastRow">
      <w:rPr>
        <w:b/>
        <w:bCs/>
      </w:rPr>
      <w:tblPr/>
      <w:tcPr>
        <w:tcBorders>
          <w:top w:val="double" w:sz="2" w:space="0" w:color="F1F0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2-Accent4">
    <w:name w:val="Grid Table 2 Accent 4"/>
    <w:basedOn w:val="TableNormal"/>
    <w:uiPriority w:val="47"/>
    <w:rsid w:val="00766985"/>
    <w:pPr>
      <w:spacing w:after="0"/>
    </w:pPr>
    <w:tblPr>
      <w:tblStyleRowBandSize w:val="1"/>
      <w:tblStyleColBandSize w:val="1"/>
      <w:tblBorders>
        <w:top w:val="single" w:sz="2" w:space="0" w:color="BAB6B6" w:themeColor="accent4" w:themeTint="99"/>
        <w:bottom w:val="single" w:sz="2" w:space="0" w:color="BAB6B6" w:themeColor="accent4" w:themeTint="99"/>
        <w:insideH w:val="single" w:sz="2" w:space="0" w:color="BAB6B6" w:themeColor="accent4" w:themeTint="99"/>
        <w:insideV w:val="single" w:sz="2" w:space="0" w:color="BAB6B6" w:themeColor="accent4" w:themeTint="99"/>
      </w:tblBorders>
    </w:tblPr>
    <w:tblStylePr w:type="firstRow">
      <w:rPr>
        <w:b/>
        <w:bCs/>
      </w:rPr>
      <w:tblPr/>
      <w:tcPr>
        <w:tcBorders>
          <w:top w:val="nil"/>
          <w:bottom w:val="single" w:sz="12" w:space="0" w:color="BAB6B6" w:themeColor="accent4" w:themeTint="99"/>
          <w:insideH w:val="nil"/>
          <w:insideV w:val="nil"/>
        </w:tcBorders>
        <w:shd w:val="clear" w:color="auto" w:fill="FFFFFF" w:themeFill="background1"/>
      </w:tcPr>
    </w:tblStylePr>
    <w:tblStylePr w:type="lastRow">
      <w:rPr>
        <w:b/>
        <w:bCs/>
      </w:rPr>
      <w:tblPr/>
      <w:tcPr>
        <w:tcBorders>
          <w:top w:val="double" w:sz="2" w:space="0" w:color="BAB6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2-Accent5">
    <w:name w:val="Grid Table 2 Accent 5"/>
    <w:basedOn w:val="TableNormal"/>
    <w:uiPriority w:val="47"/>
    <w:rsid w:val="00766985"/>
    <w:pPr>
      <w:spacing w:after="0"/>
    </w:pPr>
    <w:tblPr>
      <w:tblStyleRowBandSize w:val="1"/>
      <w:tblStyleColBandSize w:val="1"/>
      <w:tblBorders>
        <w:top w:val="single" w:sz="2" w:space="0" w:color="827C7C" w:themeColor="accent5" w:themeTint="99"/>
        <w:bottom w:val="single" w:sz="2" w:space="0" w:color="827C7C" w:themeColor="accent5" w:themeTint="99"/>
        <w:insideH w:val="single" w:sz="2" w:space="0" w:color="827C7C" w:themeColor="accent5" w:themeTint="99"/>
        <w:insideV w:val="single" w:sz="2" w:space="0" w:color="827C7C" w:themeColor="accent5" w:themeTint="99"/>
      </w:tblBorders>
    </w:tblPr>
    <w:tblStylePr w:type="firstRow">
      <w:rPr>
        <w:b/>
        <w:bCs/>
      </w:rPr>
      <w:tblPr/>
      <w:tcPr>
        <w:tcBorders>
          <w:top w:val="nil"/>
          <w:bottom w:val="single" w:sz="12" w:space="0" w:color="827C7C" w:themeColor="accent5" w:themeTint="99"/>
          <w:insideH w:val="nil"/>
          <w:insideV w:val="nil"/>
        </w:tcBorders>
        <w:shd w:val="clear" w:color="auto" w:fill="FFFFFF" w:themeFill="background1"/>
      </w:tcPr>
    </w:tblStylePr>
    <w:tblStylePr w:type="lastRow">
      <w:rPr>
        <w:b/>
        <w:bCs/>
      </w:rPr>
      <w:tblPr/>
      <w:tcPr>
        <w:tcBorders>
          <w:top w:val="double" w:sz="2" w:space="0" w:color="827C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2-Accent6">
    <w:name w:val="Grid Table 2 Accent 6"/>
    <w:basedOn w:val="TableNormal"/>
    <w:uiPriority w:val="47"/>
    <w:rsid w:val="00766985"/>
    <w:pPr>
      <w:spacing w:after="0"/>
    </w:pPr>
    <w:tblPr>
      <w:tblStyleRowBandSize w:val="1"/>
      <w:tblStyleColBandSize w:val="1"/>
      <w:tblBorders>
        <w:top w:val="single" w:sz="2" w:space="0" w:color="D62946" w:themeColor="accent6" w:themeTint="99"/>
        <w:bottom w:val="single" w:sz="2" w:space="0" w:color="D62946" w:themeColor="accent6" w:themeTint="99"/>
        <w:insideH w:val="single" w:sz="2" w:space="0" w:color="D62946" w:themeColor="accent6" w:themeTint="99"/>
        <w:insideV w:val="single" w:sz="2" w:space="0" w:color="D62946" w:themeColor="accent6" w:themeTint="99"/>
      </w:tblBorders>
    </w:tblPr>
    <w:tblStylePr w:type="firstRow">
      <w:rPr>
        <w:b/>
        <w:bCs/>
      </w:rPr>
      <w:tblPr/>
      <w:tcPr>
        <w:tcBorders>
          <w:top w:val="nil"/>
          <w:bottom w:val="single" w:sz="12" w:space="0" w:color="D62946" w:themeColor="accent6" w:themeTint="99"/>
          <w:insideH w:val="nil"/>
          <w:insideV w:val="nil"/>
        </w:tcBorders>
        <w:shd w:val="clear" w:color="auto" w:fill="FFFFFF" w:themeFill="background1"/>
      </w:tcPr>
    </w:tblStylePr>
    <w:tblStylePr w:type="lastRow">
      <w:rPr>
        <w:b/>
        <w:bCs/>
      </w:rPr>
      <w:tblPr/>
      <w:tcPr>
        <w:tcBorders>
          <w:top w:val="double" w:sz="2" w:space="0" w:color="D6294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3">
    <w:name w:val="Grid Table 3"/>
    <w:basedOn w:val="TableNormal"/>
    <w:uiPriority w:val="48"/>
    <w:locked/>
    <w:rsid w:val="007669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66985"/>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3-Accent2">
    <w:name w:val="Grid Table 3 Accent 2"/>
    <w:basedOn w:val="TableNormal"/>
    <w:uiPriority w:val="48"/>
    <w:rsid w:val="00766985"/>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3-Accent3">
    <w:name w:val="Grid Table 3 Accent 3"/>
    <w:basedOn w:val="TableNormal"/>
    <w:uiPriority w:val="48"/>
    <w:rsid w:val="00766985"/>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3-Accent4">
    <w:name w:val="Grid Table 3 Accent 4"/>
    <w:basedOn w:val="TableNormal"/>
    <w:uiPriority w:val="48"/>
    <w:rsid w:val="00766985"/>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3-Accent5">
    <w:name w:val="Grid Table 3 Accent 5"/>
    <w:basedOn w:val="TableNormal"/>
    <w:uiPriority w:val="48"/>
    <w:rsid w:val="00766985"/>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3-Accent6">
    <w:name w:val="Grid Table 3 Accent 6"/>
    <w:basedOn w:val="TableNormal"/>
    <w:uiPriority w:val="48"/>
    <w:rsid w:val="00766985"/>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GridTable4">
    <w:name w:val="Grid Table 4"/>
    <w:basedOn w:val="TableNormal"/>
    <w:uiPriority w:val="49"/>
    <w:rsid w:val="007669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66985"/>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insideV w:val="nil"/>
        </w:tcBorders>
        <w:shd w:val="clear" w:color="auto" w:fill="931B2F" w:themeFill="accent1"/>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4-Accent2">
    <w:name w:val="Grid Table 4 Accent 2"/>
    <w:basedOn w:val="TableNormal"/>
    <w:uiPriority w:val="49"/>
    <w:rsid w:val="00766985"/>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insideV w:val="nil"/>
        </w:tcBorders>
        <w:shd w:val="clear" w:color="auto" w:fill="B35F6D" w:themeFill="accent2"/>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4-Accent3">
    <w:name w:val="Grid Table 4 Accent 3"/>
    <w:basedOn w:val="TableNormal"/>
    <w:uiPriority w:val="49"/>
    <w:rsid w:val="00766985"/>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insideV w:val="nil"/>
        </w:tcBorders>
        <w:shd w:val="clear" w:color="auto" w:fill="E8E7E7" w:themeFill="accent3"/>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4-Accent4">
    <w:name w:val="Grid Table 4 Accent 4"/>
    <w:basedOn w:val="TableNormal"/>
    <w:uiPriority w:val="49"/>
    <w:rsid w:val="00766985"/>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insideV w:val="nil"/>
        </w:tcBorders>
        <w:shd w:val="clear" w:color="auto" w:fill="8C8686" w:themeFill="accent4"/>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4-Accent5">
    <w:name w:val="Grid Table 4 Accent 5"/>
    <w:basedOn w:val="TableNormal"/>
    <w:uiPriority w:val="49"/>
    <w:rsid w:val="00766985"/>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insideV w:val="nil"/>
        </w:tcBorders>
        <w:shd w:val="clear" w:color="auto" w:fill="2C2A2A" w:themeFill="accent5"/>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4-Accent6">
    <w:name w:val="Grid Table 4 Accent 6"/>
    <w:basedOn w:val="TableNormal"/>
    <w:uiPriority w:val="49"/>
    <w:rsid w:val="00766985"/>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insideV w:val="nil"/>
        </w:tcBorders>
        <w:shd w:val="clear" w:color="auto" w:fill="4A0E18" w:themeFill="accent6"/>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5Dark">
    <w:name w:val="Grid Table 5 Dark"/>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6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1B2F" w:themeFill="accent1"/>
      </w:tcPr>
    </w:tblStylePr>
    <w:tblStylePr w:type="band1Vert">
      <w:tblPr/>
      <w:tcPr>
        <w:shd w:val="clear" w:color="auto" w:fill="EA8D9C" w:themeFill="accent1" w:themeFillTint="66"/>
      </w:tcPr>
    </w:tblStylePr>
    <w:tblStylePr w:type="band1Horz">
      <w:tblPr/>
      <w:tcPr>
        <w:shd w:val="clear" w:color="auto" w:fill="EA8D9C" w:themeFill="accent1" w:themeFillTint="66"/>
      </w:tcPr>
    </w:tblStylePr>
  </w:style>
  <w:style w:type="table" w:styleId="GridTable5Dark-Accent2">
    <w:name w:val="Grid Table 5 Dark Accent 2"/>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E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5F6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5F6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5F6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5F6D" w:themeFill="accent2"/>
      </w:tcPr>
    </w:tblStylePr>
    <w:tblStylePr w:type="band1Vert">
      <w:tblPr/>
      <w:tcPr>
        <w:shd w:val="clear" w:color="auto" w:fill="E0BEC4" w:themeFill="accent2" w:themeFillTint="66"/>
      </w:tcPr>
    </w:tblStylePr>
    <w:tblStylePr w:type="band1Horz">
      <w:tblPr/>
      <w:tcPr>
        <w:shd w:val="clear" w:color="auto" w:fill="E0BEC4" w:themeFill="accent2" w:themeFillTint="66"/>
      </w:tcPr>
    </w:tblStylePr>
  </w:style>
  <w:style w:type="table" w:styleId="GridTable5Dark-Accent3">
    <w:name w:val="Grid Table 5 Dark Accent 3"/>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E7" w:themeFill="accent3"/>
      </w:tcPr>
    </w:tblStylePr>
    <w:tblStylePr w:type="band1Vert">
      <w:tblPr/>
      <w:tcPr>
        <w:shd w:val="clear" w:color="auto" w:fill="F5F5F5" w:themeFill="accent3" w:themeFillTint="66"/>
      </w:tcPr>
    </w:tblStylePr>
    <w:tblStylePr w:type="band1Horz">
      <w:tblPr/>
      <w:tcPr>
        <w:shd w:val="clear" w:color="auto" w:fill="F5F5F5" w:themeFill="accent3" w:themeFillTint="66"/>
      </w:tcPr>
    </w:tblStylePr>
  </w:style>
  <w:style w:type="table" w:styleId="GridTable5Dark-Accent4">
    <w:name w:val="Grid Table 5 Dark Accent 4"/>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6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868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868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868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8686" w:themeFill="accent4"/>
      </w:tcPr>
    </w:tblStylePr>
    <w:tblStylePr w:type="band1Vert">
      <w:tblPr/>
      <w:tcPr>
        <w:shd w:val="clear" w:color="auto" w:fill="D1CECE" w:themeFill="accent4" w:themeFillTint="66"/>
      </w:tcPr>
    </w:tblStylePr>
    <w:tblStylePr w:type="band1Horz">
      <w:tblPr/>
      <w:tcPr>
        <w:shd w:val="clear" w:color="auto" w:fill="D1CECE" w:themeFill="accent4" w:themeFillTint="66"/>
      </w:tcPr>
    </w:tblStylePr>
  </w:style>
  <w:style w:type="table" w:styleId="GridTable5Dark-Accent5">
    <w:name w:val="Grid Table 5 Dark Accent 5"/>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3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2A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2A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2A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2A2A" w:themeFill="accent5"/>
      </w:tcPr>
    </w:tblStylePr>
    <w:tblStylePr w:type="band1Vert">
      <w:tblPr/>
      <w:tcPr>
        <w:shd w:val="clear" w:color="auto" w:fill="ACA8A8" w:themeFill="accent5" w:themeFillTint="66"/>
      </w:tcPr>
    </w:tblStylePr>
    <w:tblStylePr w:type="band1Horz">
      <w:tblPr/>
      <w:tcPr>
        <w:shd w:val="clear" w:color="auto" w:fill="ACA8A8" w:themeFill="accent5" w:themeFillTint="66"/>
      </w:tcPr>
    </w:tblStylePr>
  </w:style>
  <w:style w:type="table" w:styleId="GridTable5Dark-Accent6">
    <w:name w:val="Grid Table 5 Dark Accent 6"/>
    <w:basedOn w:val="TableNormal"/>
    <w:uiPriority w:val="50"/>
    <w:rsid w:val="007669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B7C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0E1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0E1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0E1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0E18" w:themeFill="accent6"/>
      </w:tcPr>
    </w:tblStylePr>
    <w:tblStylePr w:type="band1Vert">
      <w:tblPr/>
      <w:tcPr>
        <w:shd w:val="clear" w:color="auto" w:fill="E47083" w:themeFill="accent6" w:themeFillTint="66"/>
      </w:tcPr>
    </w:tblStylePr>
    <w:tblStylePr w:type="band1Horz">
      <w:tblPr/>
      <w:tcPr>
        <w:shd w:val="clear" w:color="auto" w:fill="E47083" w:themeFill="accent6" w:themeFillTint="66"/>
      </w:tcPr>
    </w:tblStylePr>
  </w:style>
  <w:style w:type="table" w:styleId="GridTable6Colorful">
    <w:name w:val="Grid Table 6 Colorful"/>
    <w:basedOn w:val="TableNormal"/>
    <w:uiPriority w:val="51"/>
    <w:rsid w:val="007669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66985"/>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bottom w:val="single" w:sz="12" w:space="0" w:color="DF546B" w:themeColor="accent1" w:themeTint="99"/>
        </w:tcBorders>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GridTable6Colorful-Accent2">
    <w:name w:val="Grid Table 6 Colorful Accent 2"/>
    <w:basedOn w:val="TableNormal"/>
    <w:uiPriority w:val="51"/>
    <w:rsid w:val="00766985"/>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bottom w:val="single" w:sz="12" w:space="0" w:color="D19EA7" w:themeColor="accent2" w:themeTint="99"/>
        </w:tcBorders>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GridTable6Colorful-Accent3">
    <w:name w:val="Grid Table 6 Colorful Accent 3"/>
    <w:basedOn w:val="TableNormal"/>
    <w:uiPriority w:val="51"/>
    <w:rsid w:val="00766985"/>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bottom w:val="single" w:sz="12" w:space="0" w:color="F1F0F0" w:themeColor="accent3" w:themeTint="99"/>
        </w:tcBorders>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GridTable6Colorful-Accent4">
    <w:name w:val="Grid Table 6 Colorful Accent 4"/>
    <w:basedOn w:val="TableNormal"/>
    <w:uiPriority w:val="51"/>
    <w:rsid w:val="00766985"/>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bottom w:val="single" w:sz="12" w:space="0" w:color="BAB6B6" w:themeColor="accent4" w:themeTint="99"/>
        </w:tcBorders>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GridTable6Colorful-Accent5">
    <w:name w:val="Grid Table 6 Colorful Accent 5"/>
    <w:basedOn w:val="TableNormal"/>
    <w:uiPriority w:val="51"/>
    <w:rsid w:val="00766985"/>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bottom w:val="single" w:sz="12" w:space="0" w:color="827C7C" w:themeColor="accent5" w:themeTint="99"/>
        </w:tcBorders>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GridTable6Colorful-Accent6">
    <w:name w:val="Grid Table 6 Colorful Accent 6"/>
    <w:basedOn w:val="TableNormal"/>
    <w:uiPriority w:val="51"/>
    <w:rsid w:val="00766985"/>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bottom w:val="single" w:sz="12" w:space="0" w:color="D62946" w:themeColor="accent6" w:themeTint="99"/>
        </w:tcBorders>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GridTable7Colorful">
    <w:name w:val="Grid Table 7 Colorful"/>
    <w:basedOn w:val="TableNormal"/>
    <w:uiPriority w:val="52"/>
    <w:rsid w:val="007669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66985"/>
    <w:pPr>
      <w:spacing w:after="0"/>
    </w:pPr>
    <w:rPr>
      <w:color w:val="6D1423" w:themeColor="accent1" w:themeShade="BF"/>
    </w:r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insideV w:val="single" w:sz="4" w:space="0" w:color="DF54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bottom w:val="single" w:sz="4" w:space="0" w:color="DF546B" w:themeColor="accent1" w:themeTint="99"/>
        </w:tcBorders>
      </w:tcPr>
    </w:tblStylePr>
    <w:tblStylePr w:type="nwCell">
      <w:tblPr/>
      <w:tcPr>
        <w:tcBorders>
          <w:bottom w:val="single" w:sz="4" w:space="0" w:color="DF546B" w:themeColor="accent1" w:themeTint="99"/>
        </w:tcBorders>
      </w:tcPr>
    </w:tblStylePr>
    <w:tblStylePr w:type="seCell">
      <w:tblPr/>
      <w:tcPr>
        <w:tcBorders>
          <w:top w:val="single" w:sz="4" w:space="0" w:color="DF546B" w:themeColor="accent1" w:themeTint="99"/>
        </w:tcBorders>
      </w:tcPr>
    </w:tblStylePr>
    <w:tblStylePr w:type="swCell">
      <w:tblPr/>
      <w:tcPr>
        <w:tcBorders>
          <w:top w:val="single" w:sz="4" w:space="0" w:color="DF546B" w:themeColor="accent1" w:themeTint="99"/>
        </w:tcBorders>
      </w:tcPr>
    </w:tblStylePr>
  </w:style>
  <w:style w:type="table" w:styleId="GridTable7Colorful-Accent2">
    <w:name w:val="Grid Table 7 Colorful Accent 2"/>
    <w:basedOn w:val="TableNormal"/>
    <w:uiPriority w:val="52"/>
    <w:rsid w:val="00766985"/>
    <w:pPr>
      <w:spacing w:after="0"/>
    </w:pPr>
    <w:rPr>
      <w:color w:val="8A424E" w:themeColor="accent2" w:themeShade="BF"/>
    </w:r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insideV w:val="single" w:sz="4" w:space="0" w:color="D19E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bottom w:val="single" w:sz="4" w:space="0" w:color="D19EA7" w:themeColor="accent2" w:themeTint="99"/>
        </w:tcBorders>
      </w:tcPr>
    </w:tblStylePr>
    <w:tblStylePr w:type="nwCell">
      <w:tblPr/>
      <w:tcPr>
        <w:tcBorders>
          <w:bottom w:val="single" w:sz="4" w:space="0" w:color="D19EA7" w:themeColor="accent2" w:themeTint="99"/>
        </w:tcBorders>
      </w:tcPr>
    </w:tblStylePr>
    <w:tblStylePr w:type="seCell">
      <w:tblPr/>
      <w:tcPr>
        <w:tcBorders>
          <w:top w:val="single" w:sz="4" w:space="0" w:color="D19EA7" w:themeColor="accent2" w:themeTint="99"/>
        </w:tcBorders>
      </w:tcPr>
    </w:tblStylePr>
    <w:tblStylePr w:type="swCell">
      <w:tblPr/>
      <w:tcPr>
        <w:tcBorders>
          <w:top w:val="single" w:sz="4" w:space="0" w:color="D19EA7" w:themeColor="accent2" w:themeTint="99"/>
        </w:tcBorders>
      </w:tcPr>
    </w:tblStylePr>
  </w:style>
  <w:style w:type="table" w:styleId="GridTable7Colorful-Accent3">
    <w:name w:val="Grid Table 7 Colorful Accent 3"/>
    <w:basedOn w:val="TableNormal"/>
    <w:uiPriority w:val="52"/>
    <w:rsid w:val="00766985"/>
    <w:pPr>
      <w:spacing w:after="0"/>
    </w:pPr>
    <w:rPr>
      <w:color w:val="AFABAB" w:themeColor="accent3" w:themeShade="BF"/>
    </w:r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insideV w:val="single" w:sz="4" w:space="0" w:color="F1F0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bottom w:val="single" w:sz="4" w:space="0" w:color="F1F0F0" w:themeColor="accent3" w:themeTint="99"/>
        </w:tcBorders>
      </w:tcPr>
    </w:tblStylePr>
    <w:tblStylePr w:type="nwCell">
      <w:tblPr/>
      <w:tcPr>
        <w:tcBorders>
          <w:bottom w:val="single" w:sz="4" w:space="0" w:color="F1F0F0" w:themeColor="accent3" w:themeTint="99"/>
        </w:tcBorders>
      </w:tcPr>
    </w:tblStylePr>
    <w:tblStylePr w:type="seCell">
      <w:tblPr/>
      <w:tcPr>
        <w:tcBorders>
          <w:top w:val="single" w:sz="4" w:space="0" w:color="F1F0F0" w:themeColor="accent3" w:themeTint="99"/>
        </w:tcBorders>
      </w:tcPr>
    </w:tblStylePr>
    <w:tblStylePr w:type="swCell">
      <w:tblPr/>
      <w:tcPr>
        <w:tcBorders>
          <w:top w:val="single" w:sz="4" w:space="0" w:color="F1F0F0" w:themeColor="accent3" w:themeTint="99"/>
        </w:tcBorders>
      </w:tcPr>
    </w:tblStylePr>
  </w:style>
  <w:style w:type="table" w:styleId="GridTable7Colorful-Accent4">
    <w:name w:val="Grid Table 7 Colorful Accent 4"/>
    <w:basedOn w:val="TableNormal"/>
    <w:uiPriority w:val="52"/>
    <w:rsid w:val="00766985"/>
    <w:pPr>
      <w:spacing w:after="0"/>
    </w:pPr>
    <w:rPr>
      <w:color w:val="696464" w:themeColor="accent4" w:themeShade="BF"/>
    </w:r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insideV w:val="single" w:sz="4" w:space="0" w:color="BAB6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bottom w:val="single" w:sz="4" w:space="0" w:color="BAB6B6" w:themeColor="accent4" w:themeTint="99"/>
        </w:tcBorders>
      </w:tcPr>
    </w:tblStylePr>
    <w:tblStylePr w:type="nwCell">
      <w:tblPr/>
      <w:tcPr>
        <w:tcBorders>
          <w:bottom w:val="single" w:sz="4" w:space="0" w:color="BAB6B6" w:themeColor="accent4" w:themeTint="99"/>
        </w:tcBorders>
      </w:tcPr>
    </w:tblStylePr>
    <w:tblStylePr w:type="seCell">
      <w:tblPr/>
      <w:tcPr>
        <w:tcBorders>
          <w:top w:val="single" w:sz="4" w:space="0" w:color="BAB6B6" w:themeColor="accent4" w:themeTint="99"/>
        </w:tcBorders>
      </w:tcPr>
    </w:tblStylePr>
    <w:tblStylePr w:type="swCell">
      <w:tblPr/>
      <w:tcPr>
        <w:tcBorders>
          <w:top w:val="single" w:sz="4" w:space="0" w:color="BAB6B6" w:themeColor="accent4" w:themeTint="99"/>
        </w:tcBorders>
      </w:tcPr>
    </w:tblStylePr>
  </w:style>
  <w:style w:type="table" w:styleId="GridTable7Colorful-Accent5">
    <w:name w:val="Grid Table 7 Colorful Accent 5"/>
    <w:basedOn w:val="TableNormal"/>
    <w:uiPriority w:val="52"/>
    <w:rsid w:val="00766985"/>
    <w:pPr>
      <w:spacing w:after="0"/>
    </w:pPr>
    <w:rPr>
      <w:color w:val="201F1F" w:themeColor="accent5" w:themeShade="BF"/>
    </w:r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insideV w:val="single" w:sz="4" w:space="0" w:color="827C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bottom w:val="single" w:sz="4" w:space="0" w:color="827C7C" w:themeColor="accent5" w:themeTint="99"/>
        </w:tcBorders>
      </w:tcPr>
    </w:tblStylePr>
    <w:tblStylePr w:type="nwCell">
      <w:tblPr/>
      <w:tcPr>
        <w:tcBorders>
          <w:bottom w:val="single" w:sz="4" w:space="0" w:color="827C7C" w:themeColor="accent5" w:themeTint="99"/>
        </w:tcBorders>
      </w:tcPr>
    </w:tblStylePr>
    <w:tblStylePr w:type="seCell">
      <w:tblPr/>
      <w:tcPr>
        <w:tcBorders>
          <w:top w:val="single" w:sz="4" w:space="0" w:color="827C7C" w:themeColor="accent5" w:themeTint="99"/>
        </w:tcBorders>
      </w:tcPr>
    </w:tblStylePr>
    <w:tblStylePr w:type="swCell">
      <w:tblPr/>
      <w:tcPr>
        <w:tcBorders>
          <w:top w:val="single" w:sz="4" w:space="0" w:color="827C7C" w:themeColor="accent5" w:themeTint="99"/>
        </w:tcBorders>
      </w:tcPr>
    </w:tblStylePr>
  </w:style>
  <w:style w:type="table" w:styleId="GridTable7Colorful-Accent6">
    <w:name w:val="Grid Table 7 Colorful Accent 6"/>
    <w:basedOn w:val="TableNormal"/>
    <w:uiPriority w:val="52"/>
    <w:rsid w:val="00766985"/>
    <w:pPr>
      <w:spacing w:after="0"/>
    </w:pPr>
    <w:rPr>
      <w:color w:val="370A11" w:themeColor="accent6" w:themeShade="BF"/>
    </w:r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insideV w:val="single" w:sz="4" w:space="0" w:color="D6294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bottom w:val="single" w:sz="4" w:space="0" w:color="D62946" w:themeColor="accent6" w:themeTint="99"/>
        </w:tcBorders>
      </w:tcPr>
    </w:tblStylePr>
    <w:tblStylePr w:type="nwCell">
      <w:tblPr/>
      <w:tcPr>
        <w:tcBorders>
          <w:bottom w:val="single" w:sz="4" w:space="0" w:color="D62946" w:themeColor="accent6" w:themeTint="99"/>
        </w:tcBorders>
      </w:tcPr>
    </w:tblStylePr>
    <w:tblStylePr w:type="seCell">
      <w:tblPr/>
      <w:tcPr>
        <w:tcBorders>
          <w:top w:val="single" w:sz="4" w:space="0" w:color="D62946" w:themeColor="accent6" w:themeTint="99"/>
        </w:tcBorders>
      </w:tcPr>
    </w:tblStylePr>
    <w:tblStylePr w:type="swCell">
      <w:tblPr/>
      <w:tcPr>
        <w:tcBorders>
          <w:top w:val="single" w:sz="4" w:space="0" w:color="D62946" w:themeColor="accent6" w:themeTint="99"/>
        </w:tcBorders>
      </w:tcPr>
    </w:tblStylePr>
  </w:style>
  <w:style w:type="table" w:styleId="ListTable1Light">
    <w:name w:val="List Table 1 Light"/>
    <w:basedOn w:val="TableNormal"/>
    <w:uiPriority w:val="46"/>
    <w:rsid w:val="0076698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66985"/>
    <w:pPr>
      <w:spacing w:after="0"/>
    </w:pPr>
    <w:tblPr>
      <w:tblStyleRowBandSize w:val="1"/>
      <w:tblStyleColBandSize w:val="1"/>
    </w:tblPr>
    <w:tblStylePr w:type="firstRow">
      <w:rPr>
        <w:b/>
        <w:bCs/>
      </w:rPr>
      <w:tblPr/>
      <w:tcPr>
        <w:tcBorders>
          <w:bottom w:val="single" w:sz="4" w:space="0" w:color="DF546B" w:themeColor="accent1" w:themeTint="99"/>
        </w:tcBorders>
      </w:tcPr>
    </w:tblStylePr>
    <w:tblStylePr w:type="lastRow">
      <w:rPr>
        <w:b/>
        <w:bCs/>
      </w:rPr>
      <w:tblPr/>
      <w:tcPr>
        <w:tcBorders>
          <w:top w:val="sing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1Light-Accent2">
    <w:name w:val="List Table 1 Light Accent 2"/>
    <w:basedOn w:val="TableNormal"/>
    <w:uiPriority w:val="46"/>
    <w:rsid w:val="00766985"/>
    <w:pPr>
      <w:spacing w:after="0"/>
    </w:pPr>
    <w:tblPr>
      <w:tblStyleRowBandSize w:val="1"/>
      <w:tblStyleColBandSize w:val="1"/>
    </w:tblPr>
    <w:tblStylePr w:type="firstRow">
      <w:rPr>
        <w:b/>
        <w:bCs/>
      </w:rPr>
      <w:tblPr/>
      <w:tcPr>
        <w:tcBorders>
          <w:bottom w:val="single" w:sz="4" w:space="0" w:color="D19EA7" w:themeColor="accent2" w:themeTint="99"/>
        </w:tcBorders>
      </w:tcPr>
    </w:tblStylePr>
    <w:tblStylePr w:type="lastRow">
      <w:rPr>
        <w:b/>
        <w:bCs/>
      </w:rPr>
      <w:tblPr/>
      <w:tcPr>
        <w:tcBorders>
          <w:top w:val="sing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1Light-Accent3">
    <w:name w:val="List Table 1 Light Accent 3"/>
    <w:basedOn w:val="TableNormal"/>
    <w:uiPriority w:val="46"/>
    <w:rsid w:val="00766985"/>
    <w:pPr>
      <w:spacing w:after="0"/>
    </w:pPr>
    <w:tblPr>
      <w:tblStyleRowBandSize w:val="1"/>
      <w:tblStyleColBandSize w:val="1"/>
    </w:tblPr>
    <w:tblStylePr w:type="firstRow">
      <w:rPr>
        <w:b/>
        <w:bCs/>
      </w:rPr>
      <w:tblPr/>
      <w:tcPr>
        <w:tcBorders>
          <w:bottom w:val="single" w:sz="4" w:space="0" w:color="F1F0F0" w:themeColor="accent3" w:themeTint="99"/>
        </w:tcBorders>
      </w:tcPr>
    </w:tblStylePr>
    <w:tblStylePr w:type="lastRow">
      <w:rPr>
        <w:b/>
        <w:bCs/>
      </w:rPr>
      <w:tblPr/>
      <w:tcPr>
        <w:tcBorders>
          <w:top w:val="sing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1Light-Accent4">
    <w:name w:val="List Table 1 Light Accent 4"/>
    <w:basedOn w:val="TableNormal"/>
    <w:uiPriority w:val="46"/>
    <w:rsid w:val="00766985"/>
    <w:pPr>
      <w:spacing w:after="0"/>
    </w:pPr>
    <w:tblPr>
      <w:tblStyleRowBandSize w:val="1"/>
      <w:tblStyleColBandSize w:val="1"/>
    </w:tblPr>
    <w:tblStylePr w:type="firstRow">
      <w:rPr>
        <w:b/>
        <w:bCs/>
      </w:rPr>
      <w:tblPr/>
      <w:tcPr>
        <w:tcBorders>
          <w:bottom w:val="single" w:sz="4" w:space="0" w:color="BAB6B6" w:themeColor="accent4" w:themeTint="99"/>
        </w:tcBorders>
      </w:tcPr>
    </w:tblStylePr>
    <w:tblStylePr w:type="lastRow">
      <w:rPr>
        <w:b/>
        <w:bCs/>
      </w:rPr>
      <w:tblPr/>
      <w:tcPr>
        <w:tcBorders>
          <w:top w:val="sing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1Light-Accent5">
    <w:name w:val="List Table 1 Light Accent 5"/>
    <w:basedOn w:val="TableNormal"/>
    <w:uiPriority w:val="46"/>
    <w:rsid w:val="00766985"/>
    <w:pPr>
      <w:spacing w:after="0"/>
    </w:pPr>
    <w:tblPr>
      <w:tblStyleRowBandSize w:val="1"/>
      <w:tblStyleColBandSize w:val="1"/>
    </w:tblPr>
    <w:tblStylePr w:type="firstRow">
      <w:rPr>
        <w:b/>
        <w:bCs/>
      </w:rPr>
      <w:tblPr/>
      <w:tcPr>
        <w:tcBorders>
          <w:bottom w:val="single" w:sz="4" w:space="0" w:color="827C7C" w:themeColor="accent5" w:themeTint="99"/>
        </w:tcBorders>
      </w:tcPr>
    </w:tblStylePr>
    <w:tblStylePr w:type="lastRow">
      <w:rPr>
        <w:b/>
        <w:bCs/>
      </w:rPr>
      <w:tblPr/>
      <w:tcPr>
        <w:tcBorders>
          <w:top w:val="sing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1Light-Accent6">
    <w:name w:val="List Table 1 Light Accent 6"/>
    <w:basedOn w:val="TableNormal"/>
    <w:uiPriority w:val="46"/>
    <w:rsid w:val="00766985"/>
    <w:pPr>
      <w:spacing w:after="0"/>
    </w:pPr>
    <w:tblPr>
      <w:tblStyleRowBandSize w:val="1"/>
      <w:tblStyleColBandSize w:val="1"/>
    </w:tblPr>
    <w:tblStylePr w:type="firstRow">
      <w:rPr>
        <w:b/>
        <w:bCs/>
      </w:rPr>
      <w:tblPr/>
      <w:tcPr>
        <w:tcBorders>
          <w:bottom w:val="single" w:sz="4" w:space="0" w:color="D62946" w:themeColor="accent6" w:themeTint="99"/>
        </w:tcBorders>
      </w:tcPr>
    </w:tblStylePr>
    <w:tblStylePr w:type="lastRow">
      <w:rPr>
        <w:b/>
        <w:bCs/>
      </w:rPr>
      <w:tblPr/>
      <w:tcPr>
        <w:tcBorders>
          <w:top w:val="sing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2">
    <w:name w:val="List Table 2"/>
    <w:basedOn w:val="TableNormal"/>
    <w:uiPriority w:val="47"/>
    <w:rsid w:val="0076698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66985"/>
    <w:pPr>
      <w:spacing w:after="0"/>
    </w:pPr>
    <w:tblPr>
      <w:tblStyleRowBandSize w:val="1"/>
      <w:tblStyleColBandSize w:val="1"/>
      <w:tblBorders>
        <w:top w:val="single" w:sz="4" w:space="0" w:color="DF546B" w:themeColor="accent1" w:themeTint="99"/>
        <w:bottom w:val="single" w:sz="4" w:space="0" w:color="DF546B" w:themeColor="accent1" w:themeTint="99"/>
        <w:insideH w:val="single" w:sz="4" w:space="0" w:color="DF54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2-Accent2">
    <w:name w:val="List Table 2 Accent 2"/>
    <w:basedOn w:val="TableNormal"/>
    <w:uiPriority w:val="47"/>
    <w:rsid w:val="00766985"/>
    <w:pPr>
      <w:spacing w:after="0"/>
    </w:pPr>
    <w:tblPr>
      <w:tblStyleRowBandSize w:val="1"/>
      <w:tblStyleColBandSize w:val="1"/>
      <w:tblBorders>
        <w:top w:val="single" w:sz="4" w:space="0" w:color="D19EA7" w:themeColor="accent2" w:themeTint="99"/>
        <w:bottom w:val="single" w:sz="4" w:space="0" w:color="D19EA7" w:themeColor="accent2" w:themeTint="99"/>
        <w:insideH w:val="single" w:sz="4" w:space="0" w:color="D19EA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2-Accent3">
    <w:name w:val="List Table 2 Accent 3"/>
    <w:basedOn w:val="TableNormal"/>
    <w:uiPriority w:val="47"/>
    <w:rsid w:val="00766985"/>
    <w:pPr>
      <w:spacing w:after="0"/>
    </w:pPr>
    <w:tblPr>
      <w:tblStyleRowBandSize w:val="1"/>
      <w:tblStyleColBandSize w:val="1"/>
      <w:tblBorders>
        <w:top w:val="single" w:sz="4" w:space="0" w:color="F1F0F0" w:themeColor="accent3" w:themeTint="99"/>
        <w:bottom w:val="single" w:sz="4" w:space="0" w:color="F1F0F0" w:themeColor="accent3" w:themeTint="99"/>
        <w:insideH w:val="single" w:sz="4" w:space="0" w:color="F1F0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2-Accent4">
    <w:name w:val="List Table 2 Accent 4"/>
    <w:basedOn w:val="TableNormal"/>
    <w:uiPriority w:val="47"/>
    <w:rsid w:val="00766985"/>
    <w:pPr>
      <w:spacing w:after="0"/>
    </w:pPr>
    <w:tblPr>
      <w:tblStyleRowBandSize w:val="1"/>
      <w:tblStyleColBandSize w:val="1"/>
      <w:tblBorders>
        <w:top w:val="single" w:sz="4" w:space="0" w:color="BAB6B6" w:themeColor="accent4" w:themeTint="99"/>
        <w:bottom w:val="single" w:sz="4" w:space="0" w:color="BAB6B6" w:themeColor="accent4" w:themeTint="99"/>
        <w:insideH w:val="single" w:sz="4" w:space="0" w:color="BAB6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2-Accent5">
    <w:name w:val="List Table 2 Accent 5"/>
    <w:basedOn w:val="TableNormal"/>
    <w:uiPriority w:val="47"/>
    <w:rsid w:val="00766985"/>
    <w:pPr>
      <w:spacing w:after="0"/>
    </w:pPr>
    <w:tblPr>
      <w:tblStyleRowBandSize w:val="1"/>
      <w:tblStyleColBandSize w:val="1"/>
      <w:tblBorders>
        <w:top w:val="single" w:sz="4" w:space="0" w:color="827C7C" w:themeColor="accent5" w:themeTint="99"/>
        <w:bottom w:val="single" w:sz="4" w:space="0" w:color="827C7C" w:themeColor="accent5" w:themeTint="99"/>
        <w:insideH w:val="single" w:sz="4" w:space="0" w:color="827C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2-Accent6">
    <w:name w:val="List Table 2 Accent 6"/>
    <w:basedOn w:val="TableNormal"/>
    <w:uiPriority w:val="47"/>
    <w:rsid w:val="00766985"/>
    <w:pPr>
      <w:spacing w:after="0"/>
    </w:pPr>
    <w:tblPr>
      <w:tblStyleRowBandSize w:val="1"/>
      <w:tblStyleColBandSize w:val="1"/>
      <w:tblBorders>
        <w:top w:val="single" w:sz="4" w:space="0" w:color="D62946" w:themeColor="accent6" w:themeTint="99"/>
        <w:bottom w:val="single" w:sz="4" w:space="0" w:color="D62946" w:themeColor="accent6" w:themeTint="99"/>
        <w:insideH w:val="single" w:sz="4" w:space="0" w:color="D6294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3">
    <w:name w:val="List Table 3"/>
    <w:basedOn w:val="TableNormal"/>
    <w:uiPriority w:val="48"/>
    <w:rsid w:val="0076698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66985"/>
    <w:pPr>
      <w:spacing w:after="0"/>
    </w:pPr>
    <w:tblPr>
      <w:tblStyleRowBandSize w:val="1"/>
      <w:tblStyleColBandSize w:val="1"/>
      <w:tblBorders>
        <w:top w:val="single" w:sz="4" w:space="0" w:color="931B2F" w:themeColor="accent1"/>
        <w:left w:val="single" w:sz="4" w:space="0" w:color="931B2F" w:themeColor="accent1"/>
        <w:bottom w:val="single" w:sz="4" w:space="0" w:color="931B2F" w:themeColor="accent1"/>
        <w:right w:val="single" w:sz="4" w:space="0" w:color="931B2F" w:themeColor="accent1"/>
      </w:tblBorders>
    </w:tblPr>
    <w:tblStylePr w:type="firstRow">
      <w:rPr>
        <w:b/>
        <w:bCs/>
        <w:color w:val="FFFFFF" w:themeColor="background1"/>
      </w:rPr>
      <w:tblPr/>
      <w:tcPr>
        <w:shd w:val="clear" w:color="auto" w:fill="931B2F" w:themeFill="accent1"/>
      </w:tcPr>
    </w:tblStylePr>
    <w:tblStylePr w:type="lastRow">
      <w:rPr>
        <w:b/>
        <w:bCs/>
      </w:rPr>
      <w:tblPr/>
      <w:tcPr>
        <w:tcBorders>
          <w:top w:val="double" w:sz="4" w:space="0" w:color="93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1B2F" w:themeColor="accent1"/>
          <w:right w:val="single" w:sz="4" w:space="0" w:color="931B2F" w:themeColor="accent1"/>
        </w:tcBorders>
      </w:tcPr>
    </w:tblStylePr>
    <w:tblStylePr w:type="band1Horz">
      <w:tblPr/>
      <w:tcPr>
        <w:tcBorders>
          <w:top w:val="single" w:sz="4" w:space="0" w:color="931B2F" w:themeColor="accent1"/>
          <w:bottom w:val="single" w:sz="4" w:space="0" w:color="93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1B2F" w:themeColor="accent1"/>
          <w:left w:val="nil"/>
        </w:tcBorders>
      </w:tcPr>
    </w:tblStylePr>
    <w:tblStylePr w:type="swCell">
      <w:tblPr/>
      <w:tcPr>
        <w:tcBorders>
          <w:top w:val="double" w:sz="4" w:space="0" w:color="931B2F" w:themeColor="accent1"/>
          <w:right w:val="nil"/>
        </w:tcBorders>
      </w:tcPr>
    </w:tblStylePr>
  </w:style>
  <w:style w:type="table" w:styleId="ListTable3-Accent2">
    <w:name w:val="List Table 3 Accent 2"/>
    <w:basedOn w:val="TableNormal"/>
    <w:uiPriority w:val="48"/>
    <w:rsid w:val="00766985"/>
    <w:pPr>
      <w:spacing w:after="0"/>
    </w:pPr>
    <w:tblPr>
      <w:tblStyleRowBandSize w:val="1"/>
      <w:tblStyleColBandSize w:val="1"/>
      <w:tblBorders>
        <w:top w:val="single" w:sz="4" w:space="0" w:color="B35F6D" w:themeColor="accent2"/>
        <w:left w:val="single" w:sz="4" w:space="0" w:color="B35F6D" w:themeColor="accent2"/>
        <w:bottom w:val="single" w:sz="4" w:space="0" w:color="B35F6D" w:themeColor="accent2"/>
        <w:right w:val="single" w:sz="4" w:space="0" w:color="B35F6D" w:themeColor="accent2"/>
      </w:tblBorders>
    </w:tblPr>
    <w:tblStylePr w:type="firstRow">
      <w:rPr>
        <w:b/>
        <w:bCs/>
        <w:color w:val="FFFFFF" w:themeColor="background1"/>
      </w:rPr>
      <w:tblPr/>
      <w:tcPr>
        <w:shd w:val="clear" w:color="auto" w:fill="B35F6D" w:themeFill="accent2"/>
      </w:tcPr>
    </w:tblStylePr>
    <w:tblStylePr w:type="lastRow">
      <w:rPr>
        <w:b/>
        <w:bCs/>
      </w:rPr>
      <w:tblPr/>
      <w:tcPr>
        <w:tcBorders>
          <w:top w:val="double" w:sz="4" w:space="0" w:color="B35F6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5F6D" w:themeColor="accent2"/>
          <w:right w:val="single" w:sz="4" w:space="0" w:color="B35F6D" w:themeColor="accent2"/>
        </w:tcBorders>
      </w:tcPr>
    </w:tblStylePr>
    <w:tblStylePr w:type="band1Horz">
      <w:tblPr/>
      <w:tcPr>
        <w:tcBorders>
          <w:top w:val="single" w:sz="4" w:space="0" w:color="B35F6D" w:themeColor="accent2"/>
          <w:bottom w:val="single" w:sz="4" w:space="0" w:color="B35F6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5F6D" w:themeColor="accent2"/>
          <w:left w:val="nil"/>
        </w:tcBorders>
      </w:tcPr>
    </w:tblStylePr>
    <w:tblStylePr w:type="swCell">
      <w:tblPr/>
      <w:tcPr>
        <w:tcBorders>
          <w:top w:val="double" w:sz="4" w:space="0" w:color="B35F6D" w:themeColor="accent2"/>
          <w:right w:val="nil"/>
        </w:tcBorders>
      </w:tcPr>
    </w:tblStylePr>
  </w:style>
  <w:style w:type="table" w:styleId="ListTable3-Accent3">
    <w:name w:val="List Table 3 Accent 3"/>
    <w:basedOn w:val="TableNormal"/>
    <w:uiPriority w:val="48"/>
    <w:rsid w:val="00766985"/>
    <w:pPr>
      <w:spacing w:after="0"/>
    </w:pPr>
    <w:tblPr>
      <w:tblStyleRowBandSize w:val="1"/>
      <w:tblStyleColBandSize w:val="1"/>
      <w:tblBorders>
        <w:top w:val="single" w:sz="4" w:space="0" w:color="E8E7E7" w:themeColor="accent3"/>
        <w:left w:val="single" w:sz="4" w:space="0" w:color="E8E7E7" w:themeColor="accent3"/>
        <w:bottom w:val="single" w:sz="4" w:space="0" w:color="E8E7E7" w:themeColor="accent3"/>
        <w:right w:val="single" w:sz="4" w:space="0" w:color="E8E7E7" w:themeColor="accent3"/>
      </w:tblBorders>
    </w:tblPr>
    <w:tblStylePr w:type="firstRow">
      <w:rPr>
        <w:b/>
        <w:bCs/>
        <w:color w:val="FFFFFF" w:themeColor="background1"/>
      </w:rPr>
      <w:tblPr/>
      <w:tcPr>
        <w:shd w:val="clear" w:color="auto" w:fill="E8E7E7" w:themeFill="accent3"/>
      </w:tcPr>
    </w:tblStylePr>
    <w:tblStylePr w:type="lastRow">
      <w:rPr>
        <w:b/>
        <w:bCs/>
      </w:rPr>
      <w:tblPr/>
      <w:tcPr>
        <w:tcBorders>
          <w:top w:val="double" w:sz="4" w:space="0" w:color="E8E7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E7" w:themeColor="accent3"/>
          <w:right w:val="single" w:sz="4" w:space="0" w:color="E8E7E7" w:themeColor="accent3"/>
        </w:tcBorders>
      </w:tcPr>
    </w:tblStylePr>
    <w:tblStylePr w:type="band1Horz">
      <w:tblPr/>
      <w:tcPr>
        <w:tcBorders>
          <w:top w:val="single" w:sz="4" w:space="0" w:color="E8E7E7" w:themeColor="accent3"/>
          <w:bottom w:val="single" w:sz="4" w:space="0" w:color="E8E7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E7" w:themeColor="accent3"/>
          <w:left w:val="nil"/>
        </w:tcBorders>
      </w:tcPr>
    </w:tblStylePr>
    <w:tblStylePr w:type="swCell">
      <w:tblPr/>
      <w:tcPr>
        <w:tcBorders>
          <w:top w:val="double" w:sz="4" w:space="0" w:color="E8E7E7" w:themeColor="accent3"/>
          <w:right w:val="nil"/>
        </w:tcBorders>
      </w:tcPr>
    </w:tblStylePr>
  </w:style>
  <w:style w:type="table" w:styleId="ListTable3-Accent4">
    <w:name w:val="List Table 3 Accent 4"/>
    <w:basedOn w:val="TableNormal"/>
    <w:uiPriority w:val="48"/>
    <w:rsid w:val="00766985"/>
    <w:pPr>
      <w:spacing w:after="0"/>
    </w:pPr>
    <w:tblPr>
      <w:tblStyleRowBandSize w:val="1"/>
      <w:tblStyleColBandSize w:val="1"/>
      <w:tblBorders>
        <w:top w:val="single" w:sz="4" w:space="0" w:color="8C8686" w:themeColor="accent4"/>
        <w:left w:val="single" w:sz="4" w:space="0" w:color="8C8686" w:themeColor="accent4"/>
        <w:bottom w:val="single" w:sz="4" w:space="0" w:color="8C8686" w:themeColor="accent4"/>
        <w:right w:val="single" w:sz="4" w:space="0" w:color="8C8686" w:themeColor="accent4"/>
      </w:tblBorders>
    </w:tblPr>
    <w:tblStylePr w:type="firstRow">
      <w:rPr>
        <w:b/>
        <w:bCs/>
        <w:color w:val="FFFFFF" w:themeColor="background1"/>
      </w:rPr>
      <w:tblPr/>
      <w:tcPr>
        <w:shd w:val="clear" w:color="auto" w:fill="8C8686" w:themeFill="accent4"/>
      </w:tcPr>
    </w:tblStylePr>
    <w:tblStylePr w:type="lastRow">
      <w:rPr>
        <w:b/>
        <w:bCs/>
      </w:rPr>
      <w:tblPr/>
      <w:tcPr>
        <w:tcBorders>
          <w:top w:val="double" w:sz="4" w:space="0" w:color="8C868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8686" w:themeColor="accent4"/>
          <w:right w:val="single" w:sz="4" w:space="0" w:color="8C8686" w:themeColor="accent4"/>
        </w:tcBorders>
      </w:tcPr>
    </w:tblStylePr>
    <w:tblStylePr w:type="band1Horz">
      <w:tblPr/>
      <w:tcPr>
        <w:tcBorders>
          <w:top w:val="single" w:sz="4" w:space="0" w:color="8C8686" w:themeColor="accent4"/>
          <w:bottom w:val="single" w:sz="4" w:space="0" w:color="8C86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8686" w:themeColor="accent4"/>
          <w:left w:val="nil"/>
        </w:tcBorders>
      </w:tcPr>
    </w:tblStylePr>
    <w:tblStylePr w:type="swCell">
      <w:tblPr/>
      <w:tcPr>
        <w:tcBorders>
          <w:top w:val="double" w:sz="4" w:space="0" w:color="8C8686" w:themeColor="accent4"/>
          <w:right w:val="nil"/>
        </w:tcBorders>
      </w:tcPr>
    </w:tblStylePr>
  </w:style>
  <w:style w:type="table" w:styleId="ListTable3-Accent5">
    <w:name w:val="List Table 3 Accent 5"/>
    <w:basedOn w:val="TableNormal"/>
    <w:uiPriority w:val="48"/>
    <w:rsid w:val="00766985"/>
    <w:pPr>
      <w:spacing w:after="0"/>
    </w:pPr>
    <w:tblPr>
      <w:tblStyleRowBandSize w:val="1"/>
      <w:tblStyleColBandSize w:val="1"/>
      <w:tblBorders>
        <w:top w:val="single" w:sz="4" w:space="0" w:color="2C2A2A" w:themeColor="accent5"/>
        <w:left w:val="single" w:sz="4" w:space="0" w:color="2C2A2A" w:themeColor="accent5"/>
        <w:bottom w:val="single" w:sz="4" w:space="0" w:color="2C2A2A" w:themeColor="accent5"/>
        <w:right w:val="single" w:sz="4" w:space="0" w:color="2C2A2A" w:themeColor="accent5"/>
      </w:tblBorders>
    </w:tblPr>
    <w:tblStylePr w:type="firstRow">
      <w:rPr>
        <w:b/>
        <w:bCs/>
        <w:color w:val="FFFFFF" w:themeColor="background1"/>
      </w:rPr>
      <w:tblPr/>
      <w:tcPr>
        <w:shd w:val="clear" w:color="auto" w:fill="2C2A2A" w:themeFill="accent5"/>
      </w:tcPr>
    </w:tblStylePr>
    <w:tblStylePr w:type="lastRow">
      <w:rPr>
        <w:b/>
        <w:bCs/>
      </w:rPr>
      <w:tblPr/>
      <w:tcPr>
        <w:tcBorders>
          <w:top w:val="double" w:sz="4" w:space="0" w:color="2C2A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2A2A" w:themeColor="accent5"/>
          <w:right w:val="single" w:sz="4" w:space="0" w:color="2C2A2A" w:themeColor="accent5"/>
        </w:tcBorders>
      </w:tcPr>
    </w:tblStylePr>
    <w:tblStylePr w:type="band1Horz">
      <w:tblPr/>
      <w:tcPr>
        <w:tcBorders>
          <w:top w:val="single" w:sz="4" w:space="0" w:color="2C2A2A" w:themeColor="accent5"/>
          <w:bottom w:val="single" w:sz="4" w:space="0" w:color="2C2A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2A2A" w:themeColor="accent5"/>
          <w:left w:val="nil"/>
        </w:tcBorders>
      </w:tcPr>
    </w:tblStylePr>
    <w:tblStylePr w:type="swCell">
      <w:tblPr/>
      <w:tcPr>
        <w:tcBorders>
          <w:top w:val="double" w:sz="4" w:space="0" w:color="2C2A2A" w:themeColor="accent5"/>
          <w:right w:val="nil"/>
        </w:tcBorders>
      </w:tcPr>
    </w:tblStylePr>
  </w:style>
  <w:style w:type="table" w:styleId="ListTable3-Accent6">
    <w:name w:val="List Table 3 Accent 6"/>
    <w:basedOn w:val="TableNormal"/>
    <w:uiPriority w:val="48"/>
    <w:rsid w:val="00766985"/>
    <w:pPr>
      <w:spacing w:after="0"/>
    </w:pPr>
    <w:tblPr>
      <w:tblStyleRowBandSize w:val="1"/>
      <w:tblStyleColBandSize w:val="1"/>
      <w:tblBorders>
        <w:top w:val="single" w:sz="4" w:space="0" w:color="4A0E18" w:themeColor="accent6"/>
        <w:left w:val="single" w:sz="4" w:space="0" w:color="4A0E18" w:themeColor="accent6"/>
        <w:bottom w:val="single" w:sz="4" w:space="0" w:color="4A0E18" w:themeColor="accent6"/>
        <w:right w:val="single" w:sz="4" w:space="0" w:color="4A0E18" w:themeColor="accent6"/>
      </w:tblBorders>
    </w:tblPr>
    <w:tblStylePr w:type="firstRow">
      <w:rPr>
        <w:b/>
        <w:bCs/>
        <w:color w:val="FFFFFF" w:themeColor="background1"/>
      </w:rPr>
      <w:tblPr/>
      <w:tcPr>
        <w:shd w:val="clear" w:color="auto" w:fill="4A0E18" w:themeFill="accent6"/>
      </w:tcPr>
    </w:tblStylePr>
    <w:tblStylePr w:type="lastRow">
      <w:rPr>
        <w:b/>
        <w:bCs/>
      </w:rPr>
      <w:tblPr/>
      <w:tcPr>
        <w:tcBorders>
          <w:top w:val="double" w:sz="4" w:space="0" w:color="4A0E1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0E18" w:themeColor="accent6"/>
          <w:right w:val="single" w:sz="4" w:space="0" w:color="4A0E18" w:themeColor="accent6"/>
        </w:tcBorders>
      </w:tcPr>
    </w:tblStylePr>
    <w:tblStylePr w:type="band1Horz">
      <w:tblPr/>
      <w:tcPr>
        <w:tcBorders>
          <w:top w:val="single" w:sz="4" w:space="0" w:color="4A0E18" w:themeColor="accent6"/>
          <w:bottom w:val="single" w:sz="4" w:space="0" w:color="4A0E1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0E18" w:themeColor="accent6"/>
          <w:left w:val="nil"/>
        </w:tcBorders>
      </w:tcPr>
    </w:tblStylePr>
    <w:tblStylePr w:type="swCell">
      <w:tblPr/>
      <w:tcPr>
        <w:tcBorders>
          <w:top w:val="double" w:sz="4" w:space="0" w:color="4A0E18" w:themeColor="accent6"/>
          <w:right w:val="nil"/>
        </w:tcBorders>
      </w:tcPr>
    </w:tblStylePr>
  </w:style>
  <w:style w:type="table" w:styleId="ListTable4">
    <w:name w:val="List Table 4"/>
    <w:basedOn w:val="TableNormal"/>
    <w:uiPriority w:val="49"/>
    <w:rsid w:val="007669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66985"/>
    <w:pPr>
      <w:spacing w:after="0"/>
    </w:pPr>
    <w:tblPr>
      <w:tblStyleRowBandSize w:val="1"/>
      <w:tblStyleColBandSize w:val="1"/>
      <w:tblBorders>
        <w:top w:val="single" w:sz="4" w:space="0" w:color="DF546B" w:themeColor="accent1" w:themeTint="99"/>
        <w:left w:val="single" w:sz="4" w:space="0" w:color="DF546B" w:themeColor="accent1" w:themeTint="99"/>
        <w:bottom w:val="single" w:sz="4" w:space="0" w:color="DF546B" w:themeColor="accent1" w:themeTint="99"/>
        <w:right w:val="single" w:sz="4" w:space="0" w:color="DF546B" w:themeColor="accent1" w:themeTint="99"/>
        <w:insideH w:val="single" w:sz="4" w:space="0" w:color="DF546B" w:themeColor="accent1" w:themeTint="99"/>
      </w:tblBorders>
    </w:tblPr>
    <w:tblStylePr w:type="firstRow">
      <w:rPr>
        <w:b/>
        <w:bCs/>
        <w:color w:val="FFFFFF" w:themeColor="background1"/>
      </w:rPr>
      <w:tblPr/>
      <w:tcPr>
        <w:tcBorders>
          <w:top w:val="single" w:sz="4" w:space="0" w:color="931B2F" w:themeColor="accent1"/>
          <w:left w:val="single" w:sz="4" w:space="0" w:color="931B2F" w:themeColor="accent1"/>
          <w:bottom w:val="single" w:sz="4" w:space="0" w:color="931B2F" w:themeColor="accent1"/>
          <w:right w:val="single" w:sz="4" w:space="0" w:color="931B2F" w:themeColor="accent1"/>
          <w:insideH w:val="nil"/>
        </w:tcBorders>
        <w:shd w:val="clear" w:color="auto" w:fill="931B2F" w:themeFill="accent1"/>
      </w:tcPr>
    </w:tblStylePr>
    <w:tblStylePr w:type="lastRow">
      <w:rPr>
        <w:b/>
        <w:bCs/>
      </w:rPr>
      <w:tblPr/>
      <w:tcPr>
        <w:tcBorders>
          <w:top w:val="double" w:sz="4" w:space="0" w:color="DF546B" w:themeColor="accent1" w:themeTint="99"/>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4-Accent2">
    <w:name w:val="List Table 4 Accent 2"/>
    <w:basedOn w:val="TableNormal"/>
    <w:uiPriority w:val="49"/>
    <w:rsid w:val="00766985"/>
    <w:pPr>
      <w:spacing w:after="0"/>
    </w:pPr>
    <w:tblPr>
      <w:tblStyleRowBandSize w:val="1"/>
      <w:tblStyleColBandSize w:val="1"/>
      <w:tblBorders>
        <w:top w:val="single" w:sz="4" w:space="0" w:color="D19EA7" w:themeColor="accent2" w:themeTint="99"/>
        <w:left w:val="single" w:sz="4" w:space="0" w:color="D19EA7" w:themeColor="accent2" w:themeTint="99"/>
        <w:bottom w:val="single" w:sz="4" w:space="0" w:color="D19EA7" w:themeColor="accent2" w:themeTint="99"/>
        <w:right w:val="single" w:sz="4" w:space="0" w:color="D19EA7" w:themeColor="accent2" w:themeTint="99"/>
        <w:insideH w:val="single" w:sz="4" w:space="0" w:color="D19EA7" w:themeColor="accent2" w:themeTint="99"/>
      </w:tblBorders>
    </w:tblPr>
    <w:tblStylePr w:type="firstRow">
      <w:rPr>
        <w:b/>
        <w:bCs/>
        <w:color w:val="FFFFFF" w:themeColor="background1"/>
      </w:rPr>
      <w:tblPr/>
      <w:tcPr>
        <w:tcBorders>
          <w:top w:val="single" w:sz="4" w:space="0" w:color="B35F6D" w:themeColor="accent2"/>
          <w:left w:val="single" w:sz="4" w:space="0" w:color="B35F6D" w:themeColor="accent2"/>
          <w:bottom w:val="single" w:sz="4" w:space="0" w:color="B35F6D" w:themeColor="accent2"/>
          <w:right w:val="single" w:sz="4" w:space="0" w:color="B35F6D" w:themeColor="accent2"/>
          <w:insideH w:val="nil"/>
        </w:tcBorders>
        <w:shd w:val="clear" w:color="auto" w:fill="B35F6D" w:themeFill="accent2"/>
      </w:tcPr>
    </w:tblStylePr>
    <w:tblStylePr w:type="lastRow">
      <w:rPr>
        <w:b/>
        <w:bCs/>
      </w:rPr>
      <w:tblPr/>
      <w:tcPr>
        <w:tcBorders>
          <w:top w:val="double" w:sz="4" w:space="0" w:color="D19EA7" w:themeColor="accent2" w:themeTint="99"/>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4-Accent3">
    <w:name w:val="List Table 4 Accent 3"/>
    <w:basedOn w:val="TableNormal"/>
    <w:uiPriority w:val="49"/>
    <w:rsid w:val="00766985"/>
    <w:pPr>
      <w:spacing w:after="0"/>
    </w:pPr>
    <w:tblPr>
      <w:tblStyleRowBandSize w:val="1"/>
      <w:tblStyleColBandSize w:val="1"/>
      <w:tblBorders>
        <w:top w:val="single" w:sz="4" w:space="0" w:color="F1F0F0" w:themeColor="accent3" w:themeTint="99"/>
        <w:left w:val="single" w:sz="4" w:space="0" w:color="F1F0F0" w:themeColor="accent3" w:themeTint="99"/>
        <w:bottom w:val="single" w:sz="4" w:space="0" w:color="F1F0F0" w:themeColor="accent3" w:themeTint="99"/>
        <w:right w:val="single" w:sz="4" w:space="0" w:color="F1F0F0" w:themeColor="accent3" w:themeTint="99"/>
        <w:insideH w:val="single" w:sz="4" w:space="0" w:color="F1F0F0" w:themeColor="accent3" w:themeTint="99"/>
      </w:tblBorders>
    </w:tblPr>
    <w:tblStylePr w:type="firstRow">
      <w:rPr>
        <w:b/>
        <w:bCs/>
        <w:color w:val="FFFFFF" w:themeColor="background1"/>
      </w:rPr>
      <w:tblPr/>
      <w:tcPr>
        <w:tcBorders>
          <w:top w:val="single" w:sz="4" w:space="0" w:color="E8E7E7" w:themeColor="accent3"/>
          <w:left w:val="single" w:sz="4" w:space="0" w:color="E8E7E7" w:themeColor="accent3"/>
          <w:bottom w:val="single" w:sz="4" w:space="0" w:color="E8E7E7" w:themeColor="accent3"/>
          <w:right w:val="single" w:sz="4" w:space="0" w:color="E8E7E7" w:themeColor="accent3"/>
          <w:insideH w:val="nil"/>
        </w:tcBorders>
        <w:shd w:val="clear" w:color="auto" w:fill="E8E7E7" w:themeFill="accent3"/>
      </w:tcPr>
    </w:tblStylePr>
    <w:tblStylePr w:type="lastRow">
      <w:rPr>
        <w:b/>
        <w:bCs/>
      </w:rPr>
      <w:tblPr/>
      <w:tcPr>
        <w:tcBorders>
          <w:top w:val="double" w:sz="4" w:space="0" w:color="F1F0F0" w:themeColor="accent3" w:themeTint="99"/>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4-Accent4">
    <w:name w:val="List Table 4 Accent 4"/>
    <w:basedOn w:val="TableNormal"/>
    <w:uiPriority w:val="49"/>
    <w:rsid w:val="00766985"/>
    <w:pPr>
      <w:spacing w:after="0"/>
    </w:pPr>
    <w:tblPr>
      <w:tblStyleRowBandSize w:val="1"/>
      <w:tblStyleColBandSize w:val="1"/>
      <w:tblBorders>
        <w:top w:val="single" w:sz="4" w:space="0" w:color="BAB6B6" w:themeColor="accent4" w:themeTint="99"/>
        <w:left w:val="single" w:sz="4" w:space="0" w:color="BAB6B6" w:themeColor="accent4" w:themeTint="99"/>
        <w:bottom w:val="single" w:sz="4" w:space="0" w:color="BAB6B6" w:themeColor="accent4" w:themeTint="99"/>
        <w:right w:val="single" w:sz="4" w:space="0" w:color="BAB6B6" w:themeColor="accent4" w:themeTint="99"/>
        <w:insideH w:val="single" w:sz="4" w:space="0" w:color="BAB6B6" w:themeColor="accent4" w:themeTint="99"/>
      </w:tblBorders>
    </w:tblPr>
    <w:tblStylePr w:type="firstRow">
      <w:rPr>
        <w:b/>
        <w:bCs/>
        <w:color w:val="FFFFFF" w:themeColor="background1"/>
      </w:rPr>
      <w:tblPr/>
      <w:tcPr>
        <w:tcBorders>
          <w:top w:val="single" w:sz="4" w:space="0" w:color="8C8686" w:themeColor="accent4"/>
          <w:left w:val="single" w:sz="4" w:space="0" w:color="8C8686" w:themeColor="accent4"/>
          <w:bottom w:val="single" w:sz="4" w:space="0" w:color="8C8686" w:themeColor="accent4"/>
          <w:right w:val="single" w:sz="4" w:space="0" w:color="8C8686" w:themeColor="accent4"/>
          <w:insideH w:val="nil"/>
        </w:tcBorders>
        <w:shd w:val="clear" w:color="auto" w:fill="8C8686" w:themeFill="accent4"/>
      </w:tcPr>
    </w:tblStylePr>
    <w:tblStylePr w:type="lastRow">
      <w:rPr>
        <w:b/>
        <w:bCs/>
      </w:rPr>
      <w:tblPr/>
      <w:tcPr>
        <w:tcBorders>
          <w:top w:val="double" w:sz="4" w:space="0" w:color="BAB6B6" w:themeColor="accent4" w:themeTint="99"/>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4-Accent5">
    <w:name w:val="List Table 4 Accent 5"/>
    <w:basedOn w:val="TableNormal"/>
    <w:uiPriority w:val="49"/>
    <w:rsid w:val="00766985"/>
    <w:pPr>
      <w:spacing w:after="0"/>
    </w:pPr>
    <w:tblPr>
      <w:tblStyleRowBandSize w:val="1"/>
      <w:tblStyleColBandSize w:val="1"/>
      <w:tblBorders>
        <w:top w:val="single" w:sz="4" w:space="0" w:color="827C7C" w:themeColor="accent5" w:themeTint="99"/>
        <w:left w:val="single" w:sz="4" w:space="0" w:color="827C7C" w:themeColor="accent5" w:themeTint="99"/>
        <w:bottom w:val="single" w:sz="4" w:space="0" w:color="827C7C" w:themeColor="accent5" w:themeTint="99"/>
        <w:right w:val="single" w:sz="4" w:space="0" w:color="827C7C" w:themeColor="accent5" w:themeTint="99"/>
        <w:insideH w:val="single" w:sz="4" w:space="0" w:color="827C7C" w:themeColor="accent5" w:themeTint="99"/>
      </w:tblBorders>
    </w:tblPr>
    <w:tblStylePr w:type="firstRow">
      <w:rPr>
        <w:b/>
        <w:bCs/>
        <w:color w:val="FFFFFF" w:themeColor="background1"/>
      </w:rPr>
      <w:tblPr/>
      <w:tcPr>
        <w:tcBorders>
          <w:top w:val="single" w:sz="4" w:space="0" w:color="2C2A2A" w:themeColor="accent5"/>
          <w:left w:val="single" w:sz="4" w:space="0" w:color="2C2A2A" w:themeColor="accent5"/>
          <w:bottom w:val="single" w:sz="4" w:space="0" w:color="2C2A2A" w:themeColor="accent5"/>
          <w:right w:val="single" w:sz="4" w:space="0" w:color="2C2A2A" w:themeColor="accent5"/>
          <w:insideH w:val="nil"/>
        </w:tcBorders>
        <w:shd w:val="clear" w:color="auto" w:fill="2C2A2A" w:themeFill="accent5"/>
      </w:tcPr>
    </w:tblStylePr>
    <w:tblStylePr w:type="lastRow">
      <w:rPr>
        <w:b/>
        <w:bCs/>
      </w:rPr>
      <w:tblPr/>
      <w:tcPr>
        <w:tcBorders>
          <w:top w:val="double" w:sz="4" w:space="0" w:color="827C7C" w:themeColor="accent5" w:themeTint="99"/>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4-Accent6">
    <w:name w:val="List Table 4 Accent 6"/>
    <w:basedOn w:val="TableNormal"/>
    <w:uiPriority w:val="49"/>
    <w:rsid w:val="00766985"/>
    <w:pPr>
      <w:spacing w:after="0"/>
    </w:pPr>
    <w:tblPr>
      <w:tblStyleRowBandSize w:val="1"/>
      <w:tblStyleColBandSize w:val="1"/>
      <w:tblBorders>
        <w:top w:val="single" w:sz="4" w:space="0" w:color="D62946" w:themeColor="accent6" w:themeTint="99"/>
        <w:left w:val="single" w:sz="4" w:space="0" w:color="D62946" w:themeColor="accent6" w:themeTint="99"/>
        <w:bottom w:val="single" w:sz="4" w:space="0" w:color="D62946" w:themeColor="accent6" w:themeTint="99"/>
        <w:right w:val="single" w:sz="4" w:space="0" w:color="D62946" w:themeColor="accent6" w:themeTint="99"/>
        <w:insideH w:val="single" w:sz="4" w:space="0" w:color="D62946" w:themeColor="accent6" w:themeTint="99"/>
      </w:tblBorders>
    </w:tblPr>
    <w:tblStylePr w:type="firstRow">
      <w:rPr>
        <w:b/>
        <w:bCs/>
        <w:color w:val="FFFFFF" w:themeColor="background1"/>
      </w:rPr>
      <w:tblPr/>
      <w:tcPr>
        <w:tcBorders>
          <w:top w:val="single" w:sz="4" w:space="0" w:color="4A0E18" w:themeColor="accent6"/>
          <w:left w:val="single" w:sz="4" w:space="0" w:color="4A0E18" w:themeColor="accent6"/>
          <w:bottom w:val="single" w:sz="4" w:space="0" w:color="4A0E18" w:themeColor="accent6"/>
          <w:right w:val="single" w:sz="4" w:space="0" w:color="4A0E18" w:themeColor="accent6"/>
          <w:insideH w:val="nil"/>
        </w:tcBorders>
        <w:shd w:val="clear" w:color="auto" w:fill="4A0E18" w:themeFill="accent6"/>
      </w:tcPr>
    </w:tblStylePr>
    <w:tblStylePr w:type="lastRow">
      <w:rPr>
        <w:b/>
        <w:bCs/>
      </w:rPr>
      <w:tblPr/>
      <w:tcPr>
        <w:tcBorders>
          <w:top w:val="double" w:sz="4" w:space="0" w:color="D62946" w:themeColor="accent6" w:themeTint="99"/>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5Dark">
    <w:name w:val="List Table 5 Dark"/>
    <w:basedOn w:val="TableNormal"/>
    <w:uiPriority w:val="50"/>
    <w:rsid w:val="0076698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66985"/>
    <w:pPr>
      <w:spacing w:after="0"/>
    </w:pPr>
    <w:rPr>
      <w:color w:val="FFFFFF" w:themeColor="background1"/>
    </w:rPr>
    <w:tblPr>
      <w:tblStyleRowBandSize w:val="1"/>
      <w:tblStyleColBandSize w:val="1"/>
      <w:tblBorders>
        <w:top w:val="single" w:sz="24" w:space="0" w:color="931B2F" w:themeColor="accent1"/>
        <w:left w:val="single" w:sz="24" w:space="0" w:color="931B2F" w:themeColor="accent1"/>
        <w:bottom w:val="single" w:sz="24" w:space="0" w:color="931B2F" w:themeColor="accent1"/>
        <w:right w:val="single" w:sz="24" w:space="0" w:color="931B2F" w:themeColor="accent1"/>
      </w:tblBorders>
    </w:tblPr>
    <w:tcPr>
      <w:shd w:val="clear" w:color="auto" w:fill="93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66985"/>
    <w:pPr>
      <w:spacing w:after="0"/>
    </w:pPr>
    <w:rPr>
      <w:color w:val="FFFFFF" w:themeColor="background1"/>
    </w:rPr>
    <w:tblPr>
      <w:tblStyleRowBandSize w:val="1"/>
      <w:tblStyleColBandSize w:val="1"/>
      <w:tblBorders>
        <w:top w:val="single" w:sz="24" w:space="0" w:color="B35F6D" w:themeColor="accent2"/>
        <w:left w:val="single" w:sz="24" w:space="0" w:color="B35F6D" w:themeColor="accent2"/>
        <w:bottom w:val="single" w:sz="24" w:space="0" w:color="B35F6D" w:themeColor="accent2"/>
        <w:right w:val="single" w:sz="24" w:space="0" w:color="B35F6D" w:themeColor="accent2"/>
      </w:tblBorders>
    </w:tblPr>
    <w:tcPr>
      <w:shd w:val="clear" w:color="auto" w:fill="B35F6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66985"/>
    <w:pPr>
      <w:spacing w:after="0"/>
    </w:pPr>
    <w:rPr>
      <w:color w:val="FFFFFF" w:themeColor="background1"/>
    </w:rPr>
    <w:tblPr>
      <w:tblStyleRowBandSize w:val="1"/>
      <w:tblStyleColBandSize w:val="1"/>
      <w:tblBorders>
        <w:top w:val="single" w:sz="24" w:space="0" w:color="E8E7E7" w:themeColor="accent3"/>
        <w:left w:val="single" w:sz="24" w:space="0" w:color="E8E7E7" w:themeColor="accent3"/>
        <w:bottom w:val="single" w:sz="24" w:space="0" w:color="E8E7E7" w:themeColor="accent3"/>
        <w:right w:val="single" w:sz="24" w:space="0" w:color="E8E7E7" w:themeColor="accent3"/>
      </w:tblBorders>
    </w:tblPr>
    <w:tcPr>
      <w:shd w:val="clear" w:color="auto" w:fill="E8E7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66985"/>
    <w:pPr>
      <w:spacing w:after="0"/>
    </w:pPr>
    <w:rPr>
      <w:color w:val="FFFFFF" w:themeColor="background1"/>
    </w:rPr>
    <w:tblPr>
      <w:tblStyleRowBandSize w:val="1"/>
      <w:tblStyleColBandSize w:val="1"/>
      <w:tblBorders>
        <w:top w:val="single" w:sz="24" w:space="0" w:color="8C8686" w:themeColor="accent4"/>
        <w:left w:val="single" w:sz="24" w:space="0" w:color="8C8686" w:themeColor="accent4"/>
        <w:bottom w:val="single" w:sz="24" w:space="0" w:color="8C8686" w:themeColor="accent4"/>
        <w:right w:val="single" w:sz="24" w:space="0" w:color="8C8686" w:themeColor="accent4"/>
      </w:tblBorders>
    </w:tblPr>
    <w:tcPr>
      <w:shd w:val="clear" w:color="auto" w:fill="8C868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66985"/>
    <w:pPr>
      <w:spacing w:after="0"/>
    </w:pPr>
    <w:rPr>
      <w:color w:val="FFFFFF" w:themeColor="background1"/>
    </w:rPr>
    <w:tblPr>
      <w:tblStyleRowBandSize w:val="1"/>
      <w:tblStyleColBandSize w:val="1"/>
      <w:tblBorders>
        <w:top w:val="single" w:sz="24" w:space="0" w:color="2C2A2A" w:themeColor="accent5"/>
        <w:left w:val="single" w:sz="24" w:space="0" w:color="2C2A2A" w:themeColor="accent5"/>
        <w:bottom w:val="single" w:sz="24" w:space="0" w:color="2C2A2A" w:themeColor="accent5"/>
        <w:right w:val="single" w:sz="24" w:space="0" w:color="2C2A2A" w:themeColor="accent5"/>
      </w:tblBorders>
    </w:tblPr>
    <w:tcPr>
      <w:shd w:val="clear" w:color="auto" w:fill="2C2A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66985"/>
    <w:pPr>
      <w:spacing w:after="0"/>
    </w:pPr>
    <w:rPr>
      <w:color w:val="FFFFFF" w:themeColor="background1"/>
    </w:rPr>
    <w:tblPr>
      <w:tblStyleRowBandSize w:val="1"/>
      <w:tblStyleColBandSize w:val="1"/>
      <w:tblBorders>
        <w:top w:val="single" w:sz="24" w:space="0" w:color="4A0E18" w:themeColor="accent6"/>
        <w:left w:val="single" w:sz="24" w:space="0" w:color="4A0E18" w:themeColor="accent6"/>
        <w:bottom w:val="single" w:sz="24" w:space="0" w:color="4A0E18" w:themeColor="accent6"/>
        <w:right w:val="single" w:sz="24" w:space="0" w:color="4A0E18" w:themeColor="accent6"/>
      </w:tblBorders>
    </w:tblPr>
    <w:tcPr>
      <w:shd w:val="clear" w:color="auto" w:fill="4A0E1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6698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66985"/>
    <w:pPr>
      <w:spacing w:after="0"/>
    </w:pPr>
    <w:rPr>
      <w:color w:val="6D1423" w:themeColor="accent1" w:themeShade="BF"/>
    </w:rPr>
    <w:tblPr>
      <w:tblStyleRowBandSize w:val="1"/>
      <w:tblStyleColBandSize w:val="1"/>
      <w:tblBorders>
        <w:top w:val="single" w:sz="4" w:space="0" w:color="931B2F" w:themeColor="accent1"/>
        <w:bottom w:val="single" w:sz="4" w:space="0" w:color="931B2F" w:themeColor="accent1"/>
      </w:tblBorders>
    </w:tblPr>
    <w:tblStylePr w:type="firstRow">
      <w:rPr>
        <w:b/>
        <w:bCs/>
      </w:rPr>
      <w:tblPr/>
      <w:tcPr>
        <w:tcBorders>
          <w:bottom w:val="single" w:sz="4" w:space="0" w:color="931B2F" w:themeColor="accent1"/>
        </w:tcBorders>
      </w:tcPr>
    </w:tblStylePr>
    <w:tblStylePr w:type="lastRow">
      <w:rPr>
        <w:b/>
        <w:bCs/>
      </w:rPr>
      <w:tblPr/>
      <w:tcPr>
        <w:tcBorders>
          <w:top w:val="double" w:sz="4" w:space="0" w:color="931B2F" w:themeColor="accent1"/>
        </w:tcBorders>
      </w:tcPr>
    </w:tblStylePr>
    <w:tblStylePr w:type="firstCol">
      <w:rPr>
        <w:b/>
        <w:bCs/>
      </w:rPr>
    </w:tblStylePr>
    <w:tblStylePr w:type="lastCol">
      <w:rPr>
        <w:b/>
        <w:bCs/>
      </w:rPr>
    </w:tblStylePr>
    <w:tblStylePr w:type="band1Vert">
      <w:tblPr/>
      <w:tcPr>
        <w:shd w:val="clear" w:color="auto" w:fill="F4C6CD" w:themeFill="accent1" w:themeFillTint="33"/>
      </w:tcPr>
    </w:tblStylePr>
    <w:tblStylePr w:type="band1Horz">
      <w:tblPr/>
      <w:tcPr>
        <w:shd w:val="clear" w:color="auto" w:fill="F4C6CD" w:themeFill="accent1" w:themeFillTint="33"/>
      </w:tcPr>
    </w:tblStylePr>
  </w:style>
  <w:style w:type="table" w:styleId="ListTable6Colorful-Accent2">
    <w:name w:val="List Table 6 Colorful Accent 2"/>
    <w:basedOn w:val="TableNormal"/>
    <w:uiPriority w:val="51"/>
    <w:rsid w:val="00766985"/>
    <w:pPr>
      <w:spacing w:after="0"/>
    </w:pPr>
    <w:rPr>
      <w:color w:val="8A424E" w:themeColor="accent2" w:themeShade="BF"/>
    </w:rPr>
    <w:tblPr>
      <w:tblStyleRowBandSize w:val="1"/>
      <w:tblStyleColBandSize w:val="1"/>
      <w:tblBorders>
        <w:top w:val="single" w:sz="4" w:space="0" w:color="B35F6D" w:themeColor="accent2"/>
        <w:bottom w:val="single" w:sz="4" w:space="0" w:color="B35F6D" w:themeColor="accent2"/>
      </w:tblBorders>
    </w:tblPr>
    <w:tblStylePr w:type="firstRow">
      <w:rPr>
        <w:b/>
        <w:bCs/>
      </w:rPr>
      <w:tblPr/>
      <w:tcPr>
        <w:tcBorders>
          <w:bottom w:val="single" w:sz="4" w:space="0" w:color="B35F6D" w:themeColor="accent2"/>
        </w:tcBorders>
      </w:tcPr>
    </w:tblStylePr>
    <w:tblStylePr w:type="lastRow">
      <w:rPr>
        <w:b/>
        <w:bCs/>
      </w:rPr>
      <w:tblPr/>
      <w:tcPr>
        <w:tcBorders>
          <w:top w:val="double" w:sz="4" w:space="0" w:color="B35F6D" w:themeColor="accent2"/>
        </w:tcBorders>
      </w:tcPr>
    </w:tblStylePr>
    <w:tblStylePr w:type="firstCol">
      <w:rPr>
        <w:b/>
        <w:bCs/>
      </w:rPr>
    </w:tblStylePr>
    <w:tblStylePr w:type="lastCol">
      <w:rPr>
        <w:b/>
        <w:bCs/>
      </w:rPr>
    </w:tblStylePr>
    <w:tblStylePr w:type="band1Vert">
      <w:tblPr/>
      <w:tcPr>
        <w:shd w:val="clear" w:color="auto" w:fill="EFDEE1" w:themeFill="accent2" w:themeFillTint="33"/>
      </w:tcPr>
    </w:tblStylePr>
    <w:tblStylePr w:type="band1Horz">
      <w:tblPr/>
      <w:tcPr>
        <w:shd w:val="clear" w:color="auto" w:fill="EFDEE1" w:themeFill="accent2" w:themeFillTint="33"/>
      </w:tcPr>
    </w:tblStylePr>
  </w:style>
  <w:style w:type="table" w:styleId="ListTable6Colorful-Accent3">
    <w:name w:val="List Table 6 Colorful Accent 3"/>
    <w:basedOn w:val="TableNormal"/>
    <w:uiPriority w:val="51"/>
    <w:rsid w:val="00766985"/>
    <w:pPr>
      <w:spacing w:after="0"/>
    </w:pPr>
    <w:rPr>
      <w:color w:val="AFABAB" w:themeColor="accent3" w:themeShade="BF"/>
    </w:rPr>
    <w:tblPr>
      <w:tblStyleRowBandSize w:val="1"/>
      <w:tblStyleColBandSize w:val="1"/>
      <w:tblBorders>
        <w:top w:val="single" w:sz="4" w:space="0" w:color="E8E7E7" w:themeColor="accent3"/>
        <w:bottom w:val="single" w:sz="4" w:space="0" w:color="E8E7E7" w:themeColor="accent3"/>
      </w:tblBorders>
    </w:tblPr>
    <w:tblStylePr w:type="firstRow">
      <w:rPr>
        <w:b/>
        <w:bCs/>
      </w:rPr>
      <w:tblPr/>
      <w:tcPr>
        <w:tcBorders>
          <w:bottom w:val="single" w:sz="4" w:space="0" w:color="E8E7E7" w:themeColor="accent3"/>
        </w:tcBorders>
      </w:tcPr>
    </w:tblStylePr>
    <w:tblStylePr w:type="lastRow">
      <w:rPr>
        <w:b/>
        <w:bCs/>
      </w:rPr>
      <w:tblPr/>
      <w:tcPr>
        <w:tcBorders>
          <w:top w:val="double" w:sz="4" w:space="0" w:color="E8E7E7" w:themeColor="accent3"/>
        </w:tcBorders>
      </w:tcPr>
    </w:tblStylePr>
    <w:tblStylePr w:type="firstCol">
      <w:rPr>
        <w:b/>
        <w:bCs/>
      </w:rPr>
    </w:tblStylePr>
    <w:tblStylePr w:type="lastCol">
      <w:rPr>
        <w:b/>
        <w:bCs/>
      </w:rPr>
    </w:tblStylePr>
    <w:tblStylePr w:type="band1Vert">
      <w:tblPr/>
      <w:tcPr>
        <w:shd w:val="clear" w:color="auto" w:fill="FAFAFA" w:themeFill="accent3" w:themeFillTint="33"/>
      </w:tcPr>
    </w:tblStylePr>
    <w:tblStylePr w:type="band1Horz">
      <w:tblPr/>
      <w:tcPr>
        <w:shd w:val="clear" w:color="auto" w:fill="FAFAFA" w:themeFill="accent3" w:themeFillTint="33"/>
      </w:tcPr>
    </w:tblStylePr>
  </w:style>
  <w:style w:type="table" w:styleId="ListTable6Colorful-Accent4">
    <w:name w:val="List Table 6 Colorful Accent 4"/>
    <w:basedOn w:val="TableNormal"/>
    <w:uiPriority w:val="51"/>
    <w:rsid w:val="00766985"/>
    <w:pPr>
      <w:spacing w:after="0"/>
    </w:pPr>
    <w:rPr>
      <w:color w:val="696464" w:themeColor="accent4" w:themeShade="BF"/>
    </w:rPr>
    <w:tblPr>
      <w:tblStyleRowBandSize w:val="1"/>
      <w:tblStyleColBandSize w:val="1"/>
      <w:tblBorders>
        <w:top w:val="single" w:sz="4" w:space="0" w:color="8C8686" w:themeColor="accent4"/>
        <w:bottom w:val="single" w:sz="4" w:space="0" w:color="8C8686" w:themeColor="accent4"/>
      </w:tblBorders>
    </w:tblPr>
    <w:tblStylePr w:type="firstRow">
      <w:rPr>
        <w:b/>
        <w:bCs/>
      </w:rPr>
      <w:tblPr/>
      <w:tcPr>
        <w:tcBorders>
          <w:bottom w:val="single" w:sz="4" w:space="0" w:color="8C8686" w:themeColor="accent4"/>
        </w:tcBorders>
      </w:tcPr>
    </w:tblStylePr>
    <w:tblStylePr w:type="lastRow">
      <w:rPr>
        <w:b/>
        <w:bCs/>
      </w:rPr>
      <w:tblPr/>
      <w:tcPr>
        <w:tcBorders>
          <w:top w:val="double" w:sz="4" w:space="0" w:color="8C8686" w:themeColor="accent4"/>
        </w:tcBorders>
      </w:tcPr>
    </w:tblStylePr>
    <w:tblStylePr w:type="firstCol">
      <w:rPr>
        <w:b/>
        <w:bCs/>
      </w:rPr>
    </w:tblStylePr>
    <w:tblStylePr w:type="lastCol">
      <w:rPr>
        <w:b/>
        <w:bCs/>
      </w:rPr>
    </w:tblStylePr>
    <w:tblStylePr w:type="band1Vert">
      <w:tblPr/>
      <w:tcPr>
        <w:shd w:val="clear" w:color="auto" w:fill="E8E6E6" w:themeFill="accent4" w:themeFillTint="33"/>
      </w:tcPr>
    </w:tblStylePr>
    <w:tblStylePr w:type="band1Horz">
      <w:tblPr/>
      <w:tcPr>
        <w:shd w:val="clear" w:color="auto" w:fill="E8E6E6" w:themeFill="accent4" w:themeFillTint="33"/>
      </w:tcPr>
    </w:tblStylePr>
  </w:style>
  <w:style w:type="table" w:styleId="ListTable6Colorful-Accent5">
    <w:name w:val="List Table 6 Colorful Accent 5"/>
    <w:basedOn w:val="TableNormal"/>
    <w:uiPriority w:val="51"/>
    <w:rsid w:val="00766985"/>
    <w:pPr>
      <w:spacing w:after="0"/>
    </w:pPr>
    <w:rPr>
      <w:color w:val="201F1F" w:themeColor="accent5" w:themeShade="BF"/>
    </w:rPr>
    <w:tblPr>
      <w:tblStyleRowBandSize w:val="1"/>
      <w:tblStyleColBandSize w:val="1"/>
      <w:tblBorders>
        <w:top w:val="single" w:sz="4" w:space="0" w:color="2C2A2A" w:themeColor="accent5"/>
        <w:bottom w:val="single" w:sz="4" w:space="0" w:color="2C2A2A" w:themeColor="accent5"/>
      </w:tblBorders>
    </w:tblPr>
    <w:tblStylePr w:type="firstRow">
      <w:rPr>
        <w:b/>
        <w:bCs/>
      </w:rPr>
      <w:tblPr/>
      <w:tcPr>
        <w:tcBorders>
          <w:bottom w:val="single" w:sz="4" w:space="0" w:color="2C2A2A" w:themeColor="accent5"/>
        </w:tcBorders>
      </w:tcPr>
    </w:tblStylePr>
    <w:tblStylePr w:type="lastRow">
      <w:rPr>
        <w:b/>
        <w:bCs/>
      </w:rPr>
      <w:tblPr/>
      <w:tcPr>
        <w:tcBorders>
          <w:top w:val="double" w:sz="4" w:space="0" w:color="2C2A2A" w:themeColor="accent5"/>
        </w:tcBorders>
      </w:tcPr>
    </w:tblStylePr>
    <w:tblStylePr w:type="firstCol">
      <w:rPr>
        <w:b/>
        <w:bCs/>
      </w:rPr>
    </w:tblStylePr>
    <w:tblStylePr w:type="lastCol">
      <w:rPr>
        <w:b/>
        <w:bCs/>
      </w:rPr>
    </w:tblStylePr>
    <w:tblStylePr w:type="band1Vert">
      <w:tblPr/>
      <w:tcPr>
        <w:shd w:val="clear" w:color="auto" w:fill="D5D3D3" w:themeFill="accent5" w:themeFillTint="33"/>
      </w:tcPr>
    </w:tblStylePr>
    <w:tblStylePr w:type="band1Horz">
      <w:tblPr/>
      <w:tcPr>
        <w:shd w:val="clear" w:color="auto" w:fill="D5D3D3" w:themeFill="accent5" w:themeFillTint="33"/>
      </w:tcPr>
    </w:tblStylePr>
  </w:style>
  <w:style w:type="table" w:styleId="ListTable6Colorful-Accent6">
    <w:name w:val="List Table 6 Colorful Accent 6"/>
    <w:basedOn w:val="TableNormal"/>
    <w:uiPriority w:val="51"/>
    <w:rsid w:val="00766985"/>
    <w:pPr>
      <w:spacing w:after="0"/>
    </w:pPr>
    <w:rPr>
      <w:color w:val="370A11" w:themeColor="accent6" w:themeShade="BF"/>
    </w:rPr>
    <w:tblPr>
      <w:tblStyleRowBandSize w:val="1"/>
      <w:tblStyleColBandSize w:val="1"/>
      <w:tblBorders>
        <w:top w:val="single" w:sz="4" w:space="0" w:color="4A0E18" w:themeColor="accent6"/>
        <w:bottom w:val="single" w:sz="4" w:space="0" w:color="4A0E18" w:themeColor="accent6"/>
      </w:tblBorders>
    </w:tblPr>
    <w:tblStylePr w:type="firstRow">
      <w:rPr>
        <w:b/>
        <w:bCs/>
      </w:rPr>
      <w:tblPr/>
      <w:tcPr>
        <w:tcBorders>
          <w:bottom w:val="single" w:sz="4" w:space="0" w:color="4A0E18" w:themeColor="accent6"/>
        </w:tcBorders>
      </w:tcPr>
    </w:tblStylePr>
    <w:tblStylePr w:type="lastRow">
      <w:rPr>
        <w:b/>
        <w:bCs/>
      </w:rPr>
      <w:tblPr/>
      <w:tcPr>
        <w:tcBorders>
          <w:top w:val="double" w:sz="4" w:space="0" w:color="4A0E18" w:themeColor="accent6"/>
        </w:tcBorders>
      </w:tcPr>
    </w:tblStylePr>
    <w:tblStylePr w:type="firstCol">
      <w:rPr>
        <w:b/>
        <w:bCs/>
      </w:rPr>
    </w:tblStylePr>
    <w:tblStylePr w:type="lastCol">
      <w:rPr>
        <w:b/>
        <w:bCs/>
      </w:rPr>
    </w:tblStylePr>
    <w:tblStylePr w:type="band1Vert">
      <w:tblPr/>
      <w:tcPr>
        <w:shd w:val="clear" w:color="auto" w:fill="F1B7C1" w:themeFill="accent6" w:themeFillTint="33"/>
      </w:tcPr>
    </w:tblStylePr>
    <w:tblStylePr w:type="band1Horz">
      <w:tblPr/>
      <w:tcPr>
        <w:shd w:val="clear" w:color="auto" w:fill="F1B7C1" w:themeFill="accent6" w:themeFillTint="33"/>
      </w:tcPr>
    </w:tblStylePr>
  </w:style>
  <w:style w:type="table" w:styleId="ListTable7Colorful">
    <w:name w:val="List Table 7 Colorful"/>
    <w:basedOn w:val="TableNormal"/>
    <w:uiPriority w:val="52"/>
    <w:rsid w:val="0076698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66985"/>
    <w:pPr>
      <w:spacing w:after="0"/>
    </w:pPr>
    <w:rPr>
      <w:color w:val="6D14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3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3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3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31B2F" w:themeColor="accent1"/>
        </w:tcBorders>
        <w:shd w:val="clear" w:color="auto" w:fill="FFFFFF" w:themeFill="background1"/>
      </w:tcPr>
    </w:tblStylePr>
    <w:tblStylePr w:type="band1Vert">
      <w:tblPr/>
      <w:tcPr>
        <w:shd w:val="clear" w:color="auto" w:fill="F4C6CD" w:themeFill="accent1" w:themeFillTint="33"/>
      </w:tcPr>
    </w:tblStylePr>
    <w:tblStylePr w:type="band1Horz">
      <w:tblPr/>
      <w:tcPr>
        <w:shd w:val="clear" w:color="auto" w:fill="F4C6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66985"/>
    <w:pPr>
      <w:spacing w:after="0"/>
    </w:pPr>
    <w:rPr>
      <w:color w:val="8A42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5F6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5F6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5F6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5F6D" w:themeColor="accent2"/>
        </w:tcBorders>
        <w:shd w:val="clear" w:color="auto" w:fill="FFFFFF" w:themeFill="background1"/>
      </w:tcPr>
    </w:tblStylePr>
    <w:tblStylePr w:type="band1Vert">
      <w:tblPr/>
      <w:tcPr>
        <w:shd w:val="clear" w:color="auto" w:fill="EFDEE1" w:themeFill="accent2" w:themeFillTint="33"/>
      </w:tcPr>
    </w:tblStylePr>
    <w:tblStylePr w:type="band1Horz">
      <w:tblPr/>
      <w:tcPr>
        <w:shd w:val="clear" w:color="auto" w:fill="EFDE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66985"/>
    <w:pPr>
      <w:spacing w:after="0"/>
    </w:pPr>
    <w:rPr>
      <w:color w:val="AFABA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E7E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E7E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E7E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E7E7" w:themeColor="accent3"/>
        </w:tcBorders>
        <w:shd w:val="clear" w:color="auto" w:fill="FFFFFF" w:themeFill="background1"/>
      </w:tcPr>
    </w:tblStylePr>
    <w:tblStylePr w:type="band1Vert">
      <w:tblPr/>
      <w:tcPr>
        <w:shd w:val="clear" w:color="auto" w:fill="FAFAFA" w:themeFill="accent3" w:themeFillTint="33"/>
      </w:tcPr>
    </w:tblStylePr>
    <w:tblStylePr w:type="band1Horz">
      <w:tblPr/>
      <w:tcPr>
        <w:shd w:val="clear" w:color="auto" w:fill="FA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66985"/>
    <w:pPr>
      <w:spacing w:after="0"/>
    </w:pPr>
    <w:rPr>
      <w:color w:val="6964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868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868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868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8686" w:themeColor="accent4"/>
        </w:tcBorders>
        <w:shd w:val="clear" w:color="auto" w:fill="FFFFFF" w:themeFill="background1"/>
      </w:tcPr>
    </w:tblStylePr>
    <w:tblStylePr w:type="band1Vert">
      <w:tblPr/>
      <w:tcPr>
        <w:shd w:val="clear" w:color="auto" w:fill="E8E6E6" w:themeFill="accent4" w:themeFillTint="33"/>
      </w:tcPr>
    </w:tblStylePr>
    <w:tblStylePr w:type="band1Horz">
      <w:tblPr/>
      <w:tcPr>
        <w:shd w:val="clear" w:color="auto" w:fill="E8E6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66985"/>
    <w:pPr>
      <w:spacing w:after="0"/>
    </w:pPr>
    <w:rPr>
      <w:color w:val="201F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2A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2A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2A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2A2A" w:themeColor="accent5"/>
        </w:tcBorders>
        <w:shd w:val="clear" w:color="auto" w:fill="FFFFFF" w:themeFill="background1"/>
      </w:tcPr>
    </w:tblStylePr>
    <w:tblStylePr w:type="band1Vert">
      <w:tblPr/>
      <w:tcPr>
        <w:shd w:val="clear" w:color="auto" w:fill="D5D3D3" w:themeFill="accent5" w:themeFillTint="33"/>
      </w:tcPr>
    </w:tblStylePr>
    <w:tblStylePr w:type="band1Horz">
      <w:tblPr/>
      <w:tcPr>
        <w:shd w:val="clear" w:color="auto" w:fill="D5D3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66985"/>
    <w:pPr>
      <w:spacing w:after="0"/>
    </w:pPr>
    <w:rPr>
      <w:color w:val="370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0E1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0E1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0E1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0E18" w:themeColor="accent6"/>
        </w:tcBorders>
        <w:shd w:val="clear" w:color="auto" w:fill="FFFFFF" w:themeFill="background1"/>
      </w:tcPr>
    </w:tblStylePr>
    <w:tblStylePr w:type="band1Vert">
      <w:tblPr/>
      <w:tcPr>
        <w:shd w:val="clear" w:color="auto" w:fill="F1B7C1" w:themeFill="accent6" w:themeFillTint="33"/>
      </w:tcPr>
    </w:tblStylePr>
    <w:tblStylePr w:type="band1Horz">
      <w:tblPr/>
      <w:tcPr>
        <w:shd w:val="clear" w:color="auto" w:fill="F1B7C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locked/>
    <w:rsid w:val="007669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76698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76698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76698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76698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locked/>
    <w:rsid w:val="0076698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4manualnumbers">
    <w:name w:val="Heading 4 manual numbers"/>
    <w:basedOn w:val="Normal"/>
    <w:autoRedefine/>
    <w:uiPriority w:val="99"/>
    <w:semiHidden/>
    <w:qFormat/>
    <w:rsid w:val="00766985"/>
    <w:pPr>
      <w:keepNext/>
      <w:keepLines/>
      <w:spacing w:before="440" w:after="240" w:line="240" w:lineRule="auto"/>
      <w:outlineLvl w:val="3"/>
    </w:pPr>
    <w:rPr>
      <w:rFonts w:ascii="Arial Narrow" w:eastAsiaTheme="majorEastAsia" w:hAnsi="Arial Narrow" w:cstheme="majorBidi"/>
      <w:b/>
      <w:bCs/>
      <w:iCs/>
      <w:color w:val="A6A6A6" w:themeColor="background1" w:themeShade="A6"/>
      <w:sz w:val="28"/>
    </w:rPr>
  </w:style>
  <w:style w:type="numbering" w:styleId="111111">
    <w:name w:val="Outline List 2"/>
    <w:basedOn w:val="NoList"/>
    <w:semiHidden/>
    <w:unhideWhenUsed/>
    <w:locked/>
    <w:rsid w:val="00766985"/>
    <w:pPr>
      <w:numPr>
        <w:numId w:val="34"/>
      </w:numPr>
    </w:pPr>
  </w:style>
  <w:style w:type="character" w:customStyle="1" w:styleId="Heading1Char1">
    <w:name w:val="Heading 1 Char1"/>
    <w:aliases w:val="Heading 1 numbered Char1"/>
    <w:basedOn w:val="DefaultParagraphFont"/>
    <w:rsid w:val="00762B5A"/>
    <w:rPr>
      <w:rFonts w:asciiTheme="majorHAnsi" w:eastAsiaTheme="majorEastAsia" w:hAnsiTheme="majorHAnsi" w:cstheme="majorBidi"/>
      <w:color w:val="6D1423" w:themeColor="accent1" w:themeShade="BF"/>
      <w:sz w:val="32"/>
      <w:szCs w:val="32"/>
    </w:rPr>
  </w:style>
  <w:style w:type="paragraph" w:customStyle="1" w:styleId="msonormal0">
    <w:name w:val="msonormal"/>
    <w:basedOn w:val="Normal"/>
    <w:uiPriority w:val="99"/>
    <w:rsid w:val="00762B5A"/>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343">
      <w:bodyDiv w:val="1"/>
      <w:marLeft w:val="0"/>
      <w:marRight w:val="0"/>
      <w:marTop w:val="0"/>
      <w:marBottom w:val="0"/>
      <w:divBdr>
        <w:top w:val="none" w:sz="0" w:space="0" w:color="auto"/>
        <w:left w:val="none" w:sz="0" w:space="0" w:color="auto"/>
        <w:bottom w:val="none" w:sz="0" w:space="0" w:color="auto"/>
        <w:right w:val="none" w:sz="0" w:space="0" w:color="auto"/>
      </w:divBdr>
      <w:divsChild>
        <w:div w:id="1736731949">
          <w:marLeft w:val="0"/>
          <w:marRight w:val="0"/>
          <w:marTop w:val="0"/>
          <w:marBottom w:val="0"/>
          <w:divBdr>
            <w:top w:val="none" w:sz="0" w:space="0" w:color="auto"/>
            <w:left w:val="none" w:sz="0" w:space="0" w:color="auto"/>
            <w:bottom w:val="none" w:sz="0" w:space="0" w:color="auto"/>
            <w:right w:val="none" w:sz="0" w:space="0" w:color="auto"/>
          </w:divBdr>
          <w:divsChild>
            <w:div w:id="548229599">
              <w:marLeft w:val="0"/>
              <w:marRight w:val="0"/>
              <w:marTop w:val="0"/>
              <w:marBottom w:val="0"/>
              <w:divBdr>
                <w:top w:val="none" w:sz="0" w:space="0" w:color="auto"/>
                <w:left w:val="none" w:sz="0" w:space="0" w:color="auto"/>
                <w:bottom w:val="none" w:sz="0" w:space="0" w:color="auto"/>
                <w:right w:val="none" w:sz="0" w:space="0" w:color="auto"/>
              </w:divBdr>
              <w:divsChild>
                <w:div w:id="1908571239">
                  <w:marLeft w:val="0"/>
                  <w:marRight w:val="0"/>
                  <w:marTop w:val="0"/>
                  <w:marBottom w:val="0"/>
                  <w:divBdr>
                    <w:top w:val="none" w:sz="0" w:space="0" w:color="auto"/>
                    <w:left w:val="none" w:sz="0" w:space="0" w:color="auto"/>
                    <w:bottom w:val="none" w:sz="0" w:space="0" w:color="auto"/>
                    <w:right w:val="none" w:sz="0" w:space="0" w:color="auto"/>
                  </w:divBdr>
                  <w:divsChild>
                    <w:div w:id="12488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3819">
      <w:bodyDiv w:val="1"/>
      <w:marLeft w:val="0"/>
      <w:marRight w:val="0"/>
      <w:marTop w:val="0"/>
      <w:marBottom w:val="0"/>
      <w:divBdr>
        <w:top w:val="none" w:sz="0" w:space="0" w:color="auto"/>
        <w:left w:val="none" w:sz="0" w:space="0" w:color="auto"/>
        <w:bottom w:val="none" w:sz="0" w:space="0" w:color="auto"/>
        <w:right w:val="none" w:sz="0" w:space="0" w:color="auto"/>
      </w:divBdr>
    </w:div>
    <w:div w:id="49888405">
      <w:bodyDiv w:val="1"/>
      <w:marLeft w:val="0"/>
      <w:marRight w:val="0"/>
      <w:marTop w:val="0"/>
      <w:marBottom w:val="0"/>
      <w:divBdr>
        <w:top w:val="none" w:sz="0" w:space="0" w:color="auto"/>
        <w:left w:val="none" w:sz="0" w:space="0" w:color="auto"/>
        <w:bottom w:val="none" w:sz="0" w:space="0" w:color="auto"/>
        <w:right w:val="none" w:sz="0" w:space="0" w:color="auto"/>
      </w:divBdr>
    </w:div>
    <w:div w:id="82460971">
      <w:bodyDiv w:val="1"/>
      <w:marLeft w:val="0"/>
      <w:marRight w:val="0"/>
      <w:marTop w:val="0"/>
      <w:marBottom w:val="0"/>
      <w:divBdr>
        <w:top w:val="none" w:sz="0" w:space="0" w:color="auto"/>
        <w:left w:val="none" w:sz="0" w:space="0" w:color="auto"/>
        <w:bottom w:val="none" w:sz="0" w:space="0" w:color="auto"/>
        <w:right w:val="none" w:sz="0" w:space="0" w:color="auto"/>
      </w:divBdr>
    </w:div>
    <w:div w:id="112753944">
      <w:bodyDiv w:val="1"/>
      <w:marLeft w:val="0"/>
      <w:marRight w:val="0"/>
      <w:marTop w:val="0"/>
      <w:marBottom w:val="0"/>
      <w:divBdr>
        <w:top w:val="none" w:sz="0" w:space="0" w:color="auto"/>
        <w:left w:val="none" w:sz="0" w:space="0" w:color="auto"/>
        <w:bottom w:val="none" w:sz="0" w:space="0" w:color="auto"/>
        <w:right w:val="none" w:sz="0" w:space="0" w:color="auto"/>
      </w:divBdr>
    </w:div>
    <w:div w:id="124781733">
      <w:bodyDiv w:val="1"/>
      <w:marLeft w:val="0"/>
      <w:marRight w:val="0"/>
      <w:marTop w:val="0"/>
      <w:marBottom w:val="0"/>
      <w:divBdr>
        <w:top w:val="none" w:sz="0" w:space="0" w:color="auto"/>
        <w:left w:val="none" w:sz="0" w:space="0" w:color="auto"/>
        <w:bottom w:val="none" w:sz="0" w:space="0" w:color="auto"/>
        <w:right w:val="none" w:sz="0" w:space="0" w:color="auto"/>
      </w:divBdr>
      <w:divsChild>
        <w:div w:id="410204731">
          <w:marLeft w:val="274"/>
          <w:marRight w:val="0"/>
          <w:marTop w:val="0"/>
          <w:marBottom w:val="0"/>
          <w:divBdr>
            <w:top w:val="none" w:sz="0" w:space="0" w:color="auto"/>
            <w:left w:val="none" w:sz="0" w:space="0" w:color="auto"/>
            <w:bottom w:val="none" w:sz="0" w:space="0" w:color="auto"/>
            <w:right w:val="none" w:sz="0" w:space="0" w:color="auto"/>
          </w:divBdr>
        </w:div>
      </w:divsChild>
    </w:div>
    <w:div w:id="143746713">
      <w:bodyDiv w:val="1"/>
      <w:marLeft w:val="0"/>
      <w:marRight w:val="0"/>
      <w:marTop w:val="0"/>
      <w:marBottom w:val="0"/>
      <w:divBdr>
        <w:top w:val="none" w:sz="0" w:space="0" w:color="auto"/>
        <w:left w:val="none" w:sz="0" w:space="0" w:color="auto"/>
        <w:bottom w:val="none" w:sz="0" w:space="0" w:color="auto"/>
        <w:right w:val="none" w:sz="0" w:space="0" w:color="auto"/>
      </w:divBdr>
    </w:div>
    <w:div w:id="175272820">
      <w:bodyDiv w:val="1"/>
      <w:marLeft w:val="0"/>
      <w:marRight w:val="0"/>
      <w:marTop w:val="0"/>
      <w:marBottom w:val="0"/>
      <w:divBdr>
        <w:top w:val="none" w:sz="0" w:space="0" w:color="auto"/>
        <w:left w:val="none" w:sz="0" w:space="0" w:color="auto"/>
        <w:bottom w:val="none" w:sz="0" w:space="0" w:color="auto"/>
        <w:right w:val="none" w:sz="0" w:space="0" w:color="auto"/>
      </w:divBdr>
    </w:div>
    <w:div w:id="194201122">
      <w:bodyDiv w:val="1"/>
      <w:marLeft w:val="0"/>
      <w:marRight w:val="0"/>
      <w:marTop w:val="0"/>
      <w:marBottom w:val="0"/>
      <w:divBdr>
        <w:top w:val="none" w:sz="0" w:space="0" w:color="auto"/>
        <w:left w:val="none" w:sz="0" w:space="0" w:color="auto"/>
        <w:bottom w:val="none" w:sz="0" w:space="0" w:color="auto"/>
        <w:right w:val="none" w:sz="0" w:space="0" w:color="auto"/>
      </w:divBdr>
    </w:div>
    <w:div w:id="196046500">
      <w:bodyDiv w:val="1"/>
      <w:marLeft w:val="0"/>
      <w:marRight w:val="0"/>
      <w:marTop w:val="0"/>
      <w:marBottom w:val="0"/>
      <w:divBdr>
        <w:top w:val="none" w:sz="0" w:space="0" w:color="auto"/>
        <w:left w:val="none" w:sz="0" w:space="0" w:color="auto"/>
        <w:bottom w:val="none" w:sz="0" w:space="0" w:color="auto"/>
        <w:right w:val="none" w:sz="0" w:space="0" w:color="auto"/>
      </w:divBdr>
      <w:divsChild>
        <w:div w:id="441538900">
          <w:marLeft w:val="274"/>
          <w:marRight w:val="0"/>
          <w:marTop w:val="0"/>
          <w:marBottom w:val="0"/>
          <w:divBdr>
            <w:top w:val="none" w:sz="0" w:space="0" w:color="auto"/>
            <w:left w:val="none" w:sz="0" w:space="0" w:color="auto"/>
            <w:bottom w:val="none" w:sz="0" w:space="0" w:color="auto"/>
            <w:right w:val="none" w:sz="0" w:space="0" w:color="auto"/>
          </w:divBdr>
        </w:div>
        <w:div w:id="1441148338">
          <w:marLeft w:val="274"/>
          <w:marRight w:val="0"/>
          <w:marTop w:val="0"/>
          <w:marBottom w:val="0"/>
          <w:divBdr>
            <w:top w:val="none" w:sz="0" w:space="0" w:color="auto"/>
            <w:left w:val="none" w:sz="0" w:space="0" w:color="auto"/>
            <w:bottom w:val="none" w:sz="0" w:space="0" w:color="auto"/>
            <w:right w:val="none" w:sz="0" w:space="0" w:color="auto"/>
          </w:divBdr>
        </w:div>
        <w:div w:id="1795368029">
          <w:marLeft w:val="274"/>
          <w:marRight w:val="0"/>
          <w:marTop w:val="0"/>
          <w:marBottom w:val="0"/>
          <w:divBdr>
            <w:top w:val="none" w:sz="0" w:space="0" w:color="auto"/>
            <w:left w:val="none" w:sz="0" w:space="0" w:color="auto"/>
            <w:bottom w:val="none" w:sz="0" w:space="0" w:color="auto"/>
            <w:right w:val="none" w:sz="0" w:space="0" w:color="auto"/>
          </w:divBdr>
        </w:div>
      </w:divsChild>
    </w:div>
    <w:div w:id="215629455">
      <w:bodyDiv w:val="1"/>
      <w:marLeft w:val="0"/>
      <w:marRight w:val="0"/>
      <w:marTop w:val="0"/>
      <w:marBottom w:val="0"/>
      <w:divBdr>
        <w:top w:val="none" w:sz="0" w:space="0" w:color="auto"/>
        <w:left w:val="none" w:sz="0" w:space="0" w:color="auto"/>
        <w:bottom w:val="none" w:sz="0" w:space="0" w:color="auto"/>
        <w:right w:val="none" w:sz="0" w:space="0" w:color="auto"/>
      </w:divBdr>
    </w:div>
    <w:div w:id="216940041">
      <w:bodyDiv w:val="1"/>
      <w:marLeft w:val="0"/>
      <w:marRight w:val="0"/>
      <w:marTop w:val="0"/>
      <w:marBottom w:val="0"/>
      <w:divBdr>
        <w:top w:val="none" w:sz="0" w:space="0" w:color="auto"/>
        <w:left w:val="none" w:sz="0" w:space="0" w:color="auto"/>
        <w:bottom w:val="none" w:sz="0" w:space="0" w:color="auto"/>
        <w:right w:val="none" w:sz="0" w:space="0" w:color="auto"/>
      </w:divBdr>
    </w:div>
    <w:div w:id="226262855">
      <w:bodyDiv w:val="1"/>
      <w:marLeft w:val="0"/>
      <w:marRight w:val="0"/>
      <w:marTop w:val="0"/>
      <w:marBottom w:val="0"/>
      <w:divBdr>
        <w:top w:val="none" w:sz="0" w:space="0" w:color="auto"/>
        <w:left w:val="none" w:sz="0" w:space="0" w:color="auto"/>
        <w:bottom w:val="none" w:sz="0" w:space="0" w:color="auto"/>
        <w:right w:val="none" w:sz="0" w:space="0" w:color="auto"/>
      </w:divBdr>
    </w:div>
    <w:div w:id="227423384">
      <w:bodyDiv w:val="1"/>
      <w:marLeft w:val="0"/>
      <w:marRight w:val="0"/>
      <w:marTop w:val="0"/>
      <w:marBottom w:val="0"/>
      <w:divBdr>
        <w:top w:val="none" w:sz="0" w:space="0" w:color="auto"/>
        <w:left w:val="none" w:sz="0" w:space="0" w:color="auto"/>
        <w:bottom w:val="none" w:sz="0" w:space="0" w:color="auto"/>
        <w:right w:val="none" w:sz="0" w:space="0" w:color="auto"/>
      </w:divBdr>
    </w:div>
    <w:div w:id="334309132">
      <w:bodyDiv w:val="1"/>
      <w:marLeft w:val="0"/>
      <w:marRight w:val="0"/>
      <w:marTop w:val="0"/>
      <w:marBottom w:val="0"/>
      <w:divBdr>
        <w:top w:val="none" w:sz="0" w:space="0" w:color="auto"/>
        <w:left w:val="none" w:sz="0" w:space="0" w:color="auto"/>
        <w:bottom w:val="none" w:sz="0" w:space="0" w:color="auto"/>
        <w:right w:val="none" w:sz="0" w:space="0" w:color="auto"/>
      </w:divBdr>
    </w:div>
    <w:div w:id="337003372">
      <w:bodyDiv w:val="1"/>
      <w:marLeft w:val="0"/>
      <w:marRight w:val="0"/>
      <w:marTop w:val="0"/>
      <w:marBottom w:val="0"/>
      <w:divBdr>
        <w:top w:val="none" w:sz="0" w:space="0" w:color="auto"/>
        <w:left w:val="none" w:sz="0" w:space="0" w:color="auto"/>
        <w:bottom w:val="none" w:sz="0" w:space="0" w:color="auto"/>
        <w:right w:val="none" w:sz="0" w:space="0" w:color="auto"/>
      </w:divBdr>
    </w:div>
    <w:div w:id="358437643">
      <w:bodyDiv w:val="1"/>
      <w:marLeft w:val="0"/>
      <w:marRight w:val="0"/>
      <w:marTop w:val="0"/>
      <w:marBottom w:val="0"/>
      <w:divBdr>
        <w:top w:val="none" w:sz="0" w:space="0" w:color="auto"/>
        <w:left w:val="none" w:sz="0" w:space="0" w:color="auto"/>
        <w:bottom w:val="none" w:sz="0" w:space="0" w:color="auto"/>
        <w:right w:val="none" w:sz="0" w:space="0" w:color="auto"/>
      </w:divBdr>
      <w:divsChild>
        <w:div w:id="2048676950">
          <w:marLeft w:val="0"/>
          <w:marRight w:val="0"/>
          <w:marTop w:val="0"/>
          <w:marBottom w:val="0"/>
          <w:divBdr>
            <w:top w:val="none" w:sz="0" w:space="0" w:color="auto"/>
            <w:left w:val="none" w:sz="0" w:space="0" w:color="auto"/>
            <w:bottom w:val="none" w:sz="0" w:space="0" w:color="auto"/>
            <w:right w:val="none" w:sz="0" w:space="0" w:color="auto"/>
          </w:divBdr>
          <w:divsChild>
            <w:div w:id="313607693">
              <w:marLeft w:val="0"/>
              <w:marRight w:val="0"/>
              <w:marTop w:val="0"/>
              <w:marBottom w:val="0"/>
              <w:divBdr>
                <w:top w:val="none" w:sz="0" w:space="0" w:color="auto"/>
                <w:left w:val="none" w:sz="0" w:space="0" w:color="auto"/>
                <w:bottom w:val="none" w:sz="0" w:space="0" w:color="auto"/>
                <w:right w:val="none" w:sz="0" w:space="0" w:color="auto"/>
              </w:divBdr>
              <w:divsChild>
                <w:div w:id="13937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14423">
      <w:bodyDiv w:val="1"/>
      <w:marLeft w:val="0"/>
      <w:marRight w:val="0"/>
      <w:marTop w:val="0"/>
      <w:marBottom w:val="0"/>
      <w:divBdr>
        <w:top w:val="none" w:sz="0" w:space="0" w:color="auto"/>
        <w:left w:val="none" w:sz="0" w:space="0" w:color="auto"/>
        <w:bottom w:val="none" w:sz="0" w:space="0" w:color="auto"/>
        <w:right w:val="none" w:sz="0" w:space="0" w:color="auto"/>
      </w:divBdr>
    </w:div>
    <w:div w:id="371073804">
      <w:bodyDiv w:val="1"/>
      <w:marLeft w:val="0"/>
      <w:marRight w:val="0"/>
      <w:marTop w:val="0"/>
      <w:marBottom w:val="0"/>
      <w:divBdr>
        <w:top w:val="none" w:sz="0" w:space="0" w:color="auto"/>
        <w:left w:val="none" w:sz="0" w:space="0" w:color="auto"/>
        <w:bottom w:val="none" w:sz="0" w:space="0" w:color="auto"/>
        <w:right w:val="none" w:sz="0" w:space="0" w:color="auto"/>
      </w:divBdr>
    </w:div>
    <w:div w:id="428696898">
      <w:bodyDiv w:val="1"/>
      <w:marLeft w:val="0"/>
      <w:marRight w:val="0"/>
      <w:marTop w:val="0"/>
      <w:marBottom w:val="0"/>
      <w:divBdr>
        <w:top w:val="none" w:sz="0" w:space="0" w:color="auto"/>
        <w:left w:val="none" w:sz="0" w:space="0" w:color="auto"/>
        <w:bottom w:val="none" w:sz="0" w:space="0" w:color="auto"/>
        <w:right w:val="none" w:sz="0" w:space="0" w:color="auto"/>
      </w:divBdr>
    </w:div>
    <w:div w:id="432868652">
      <w:bodyDiv w:val="1"/>
      <w:marLeft w:val="0"/>
      <w:marRight w:val="0"/>
      <w:marTop w:val="0"/>
      <w:marBottom w:val="0"/>
      <w:divBdr>
        <w:top w:val="none" w:sz="0" w:space="0" w:color="auto"/>
        <w:left w:val="none" w:sz="0" w:space="0" w:color="auto"/>
        <w:bottom w:val="none" w:sz="0" w:space="0" w:color="auto"/>
        <w:right w:val="none" w:sz="0" w:space="0" w:color="auto"/>
      </w:divBdr>
    </w:div>
    <w:div w:id="443427174">
      <w:bodyDiv w:val="1"/>
      <w:marLeft w:val="0"/>
      <w:marRight w:val="0"/>
      <w:marTop w:val="0"/>
      <w:marBottom w:val="0"/>
      <w:divBdr>
        <w:top w:val="none" w:sz="0" w:space="0" w:color="auto"/>
        <w:left w:val="none" w:sz="0" w:space="0" w:color="auto"/>
        <w:bottom w:val="none" w:sz="0" w:space="0" w:color="auto"/>
        <w:right w:val="none" w:sz="0" w:space="0" w:color="auto"/>
      </w:divBdr>
    </w:div>
    <w:div w:id="456530370">
      <w:bodyDiv w:val="1"/>
      <w:marLeft w:val="0"/>
      <w:marRight w:val="0"/>
      <w:marTop w:val="0"/>
      <w:marBottom w:val="0"/>
      <w:divBdr>
        <w:top w:val="none" w:sz="0" w:space="0" w:color="auto"/>
        <w:left w:val="none" w:sz="0" w:space="0" w:color="auto"/>
        <w:bottom w:val="none" w:sz="0" w:space="0" w:color="auto"/>
        <w:right w:val="none" w:sz="0" w:space="0" w:color="auto"/>
      </w:divBdr>
    </w:div>
    <w:div w:id="460923295">
      <w:bodyDiv w:val="1"/>
      <w:marLeft w:val="0"/>
      <w:marRight w:val="0"/>
      <w:marTop w:val="0"/>
      <w:marBottom w:val="0"/>
      <w:divBdr>
        <w:top w:val="none" w:sz="0" w:space="0" w:color="auto"/>
        <w:left w:val="none" w:sz="0" w:space="0" w:color="auto"/>
        <w:bottom w:val="none" w:sz="0" w:space="0" w:color="auto"/>
        <w:right w:val="none" w:sz="0" w:space="0" w:color="auto"/>
      </w:divBdr>
      <w:divsChild>
        <w:div w:id="1711758">
          <w:marLeft w:val="274"/>
          <w:marRight w:val="0"/>
          <w:marTop w:val="0"/>
          <w:marBottom w:val="0"/>
          <w:divBdr>
            <w:top w:val="none" w:sz="0" w:space="0" w:color="auto"/>
            <w:left w:val="none" w:sz="0" w:space="0" w:color="auto"/>
            <w:bottom w:val="none" w:sz="0" w:space="0" w:color="auto"/>
            <w:right w:val="none" w:sz="0" w:space="0" w:color="auto"/>
          </w:divBdr>
        </w:div>
        <w:div w:id="199519424">
          <w:marLeft w:val="274"/>
          <w:marRight w:val="0"/>
          <w:marTop w:val="0"/>
          <w:marBottom w:val="0"/>
          <w:divBdr>
            <w:top w:val="none" w:sz="0" w:space="0" w:color="auto"/>
            <w:left w:val="none" w:sz="0" w:space="0" w:color="auto"/>
            <w:bottom w:val="none" w:sz="0" w:space="0" w:color="auto"/>
            <w:right w:val="none" w:sz="0" w:space="0" w:color="auto"/>
          </w:divBdr>
        </w:div>
        <w:div w:id="2114663625">
          <w:marLeft w:val="274"/>
          <w:marRight w:val="0"/>
          <w:marTop w:val="0"/>
          <w:marBottom w:val="0"/>
          <w:divBdr>
            <w:top w:val="none" w:sz="0" w:space="0" w:color="auto"/>
            <w:left w:val="none" w:sz="0" w:space="0" w:color="auto"/>
            <w:bottom w:val="none" w:sz="0" w:space="0" w:color="auto"/>
            <w:right w:val="none" w:sz="0" w:space="0" w:color="auto"/>
          </w:divBdr>
        </w:div>
      </w:divsChild>
    </w:div>
    <w:div w:id="472598398">
      <w:bodyDiv w:val="1"/>
      <w:marLeft w:val="0"/>
      <w:marRight w:val="0"/>
      <w:marTop w:val="0"/>
      <w:marBottom w:val="0"/>
      <w:divBdr>
        <w:top w:val="none" w:sz="0" w:space="0" w:color="auto"/>
        <w:left w:val="none" w:sz="0" w:space="0" w:color="auto"/>
        <w:bottom w:val="none" w:sz="0" w:space="0" w:color="auto"/>
        <w:right w:val="none" w:sz="0" w:space="0" w:color="auto"/>
      </w:divBdr>
    </w:div>
    <w:div w:id="477259195">
      <w:bodyDiv w:val="1"/>
      <w:marLeft w:val="0"/>
      <w:marRight w:val="0"/>
      <w:marTop w:val="0"/>
      <w:marBottom w:val="0"/>
      <w:divBdr>
        <w:top w:val="none" w:sz="0" w:space="0" w:color="auto"/>
        <w:left w:val="none" w:sz="0" w:space="0" w:color="auto"/>
        <w:bottom w:val="none" w:sz="0" w:space="0" w:color="auto"/>
        <w:right w:val="none" w:sz="0" w:space="0" w:color="auto"/>
      </w:divBdr>
    </w:div>
    <w:div w:id="500896624">
      <w:bodyDiv w:val="1"/>
      <w:marLeft w:val="0"/>
      <w:marRight w:val="0"/>
      <w:marTop w:val="0"/>
      <w:marBottom w:val="0"/>
      <w:divBdr>
        <w:top w:val="none" w:sz="0" w:space="0" w:color="auto"/>
        <w:left w:val="none" w:sz="0" w:space="0" w:color="auto"/>
        <w:bottom w:val="none" w:sz="0" w:space="0" w:color="auto"/>
        <w:right w:val="none" w:sz="0" w:space="0" w:color="auto"/>
      </w:divBdr>
    </w:div>
    <w:div w:id="510333798">
      <w:bodyDiv w:val="1"/>
      <w:marLeft w:val="0"/>
      <w:marRight w:val="0"/>
      <w:marTop w:val="0"/>
      <w:marBottom w:val="0"/>
      <w:divBdr>
        <w:top w:val="none" w:sz="0" w:space="0" w:color="auto"/>
        <w:left w:val="none" w:sz="0" w:space="0" w:color="auto"/>
        <w:bottom w:val="none" w:sz="0" w:space="0" w:color="auto"/>
        <w:right w:val="none" w:sz="0" w:space="0" w:color="auto"/>
      </w:divBdr>
      <w:divsChild>
        <w:div w:id="83695842">
          <w:marLeft w:val="0"/>
          <w:marRight w:val="0"/>
          <w:marTop w:val="0"/>
          <w:marBottom w:val="0"/>
          <w:divBdr>
            <w:top w:val="none" w:sz="0" w:space="0" w:color="auto"/>
            <w:left w:val="none" w:sz="0" w:space="0" w:color="auto"/>
            <w:bottom w:val="none" w:sz="0" w:space="0" w:color="auto"/>
            <w:right w:val="none" w:sz="0" w:space="0" w:color="auto"/>
          </w:divBdr>
          <w:divsChild>
            <w:div w:id="1809397277">
              <w:marLeft w:val="0"/>
              <w:marRight w:val="0"/>
              <w:marTop w:val="0"/>
              <w:marBottom w:val="0"/>
              <w:divBdr>
                <w:top w:val="none" w:sz="0" w:space="0" w:color="auto"/>
                <w:left w:val="none" w:sz="0" w:space="0" w:color="auto"/>
                <w:bottom w:val="none" w:sz="0" w:space="0" w:color="auto"/>
                <w:right w:val="none" w:sz="0" w:space="0" w:color="auto"/>
              </w:divBdr>
              <w:divsChild>
                <w:div w:id="1512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74">
      <w:bodyDiv w:val="1"/>
      <w:marLeft w:val="0"/>
      <w:marRight w:val="0"/>
      <w:marTop w:val="0"/>
      <w:marBottom w:val="0"/>
      <w:divBdr>
        <w:top w:val="none" w:sz="0" w:space="0" w:color="auto"/>
        <w:left w:val="none" w:sz="0" w:space="0" w:color="auto"/>
        <w:bottom w:val="none" w:sz="0" w:space="0" w:color="auto"/>
        <w:right w:val="none" w:sz="0" w:space="0" w:color="auto"/>
      </w:divBdr>
      <w:divsChild>
        <w:div w:id="98837762">
          <w:marLeft w:val="634"/>
          <w:marRight w:val="0"/>
          <w:marTop w:val="0"/>
          <w:marBottom w:val="0"/>
          <w:divBdr>
            <w:top w:val="none" w:sz="0" w:space="0" w:color="auto"/>
            <w:left w:val="none" w:sz="0" w:space="0" w:color="auto"/>
            <w:bottom w:val="none" w:sz="0" w:space="0" w:color="auto"/>
            <w:right w:val="none" w:sz="0" w:space="0" w:color="auto"/>
          </w:divBdr>
        </w:div>
        <w:div w:id="128866076">
          <w:marLeft w:val="274"/>
          <w:marRight w:val="0"/>
          <w:marTop w:val="0"/>
          <w:marBottom w:val="0"/>
          <w:divBdr>
            <w:top w:val="none" w:sz="0" w:space="0" w:color="auto"/>
            <w:left w:val="none" w:sz="0" w:space="0" w:color="auto"/>
            <w:bottom w:val="none" w:sz="0" w:space="0" w:color="auto"/>
            <w:right w:val="none" w:sz="0" w:space="0" w:color="auto"/>
          </w:divBdr>
        </w:div>
        <w:div w:id="289438890">
          <w:marLeft w:val="274"/>
          <w:marRight w:val="0"/>
          <w:marTop w:val="0"/>
          <w:marBottom w:val="0"/>
          <w:divBdr>
            <w:top w:val="none" w:sz="0" w:space="0" w:color="auto"/>
            <w:left w:val="none" w:sz="0" w:space="0" w:color="auto"/>
            <w:bottom w:val="none" w:sz="0" w:space="0" w:color="auto"/>
            <w:right w:val="none" w:sz="0" w:space="0" w:color="auto"/>
          </w:divBdr>
        </w:div>
        <w:div w:id="350373779">
          <w:marLeft w:val="274"/>
          <w:marRight w:val="0"/>
          <w:marTop w:val="0"/>
          <w:marBottom w:val="0"/>
          <w:divBdr>
            <w:top w:val="none" w:sz="0" w:space="0" w:color="auto"/>
            <w:left w:val="none" w:sz="0" w:space="0" w:color="auto"/>
            <w:bottom w:val="none" w:sz="0" w:space="0" w:color="auto"/>
            <w:right w:val="none" w:sz="0" w:space="0" w:color="auto"/>
          </w:divBdr>
        </w:div>
        <w:div w:id="451290959">
          <w:marLeft w:val="634"/>
          <w:marRight w:val="0"/>
          <w:marTop w:val="0"/>
          <w:marBottom w:val="0"/>
          <w:divBdr>
            <w:top w:val="none" w:sz="0" w:space="0" w:color="auto"/>
            <w:left w:val="none" w:sz="0" w:space="0" w:color="auto"/>
            <w:bottom w:val="none" w:sz="0" w:space="0" w:color="auto"/>
            <w:right w:val="none" w:sz="0" w:space="0" w:color="auto"/>
          </w:divBdr>
        </w:div>
        <w:div w:id="483351855">
          <w:marLeft w:val="274"/>
          <w:marRight w:val="0"/>
          <w:marTop w:val="0"/>
          <w:marBottom w:val="0"/>
          <w:divBdr>
            <w:top w:val="none" w:sz="0" w:space="0" w:color="auto"/>
            <w:left w:val="none" w:sz="0" w:space="0" w:color="auto"/>
            <w:bottom w:val="none" w:sz="0" w:space="0" w:color="auto"/>
            <w:right w:val="none" w:sz="0" w:space="0" w:color="auto"/>
          </w:divBdr>
        </w:div>
        <w:div w:id="542400196">
          <w:marLeft w:val="634"/>
          <w:marRight w:val="0"/>
          <w:marTop w:val="0"/>
          <w:marBottom w:val="0"/>
          <w:divBdr>
            <w:top w:val="none" w:sz="0" w:space="0" w:color="auto"/>
            <w:left w:val="none" w:sz="0" w:space="0" w:color="auto"/>
            <w:bottom w:val="none" w:sz="0" w:space="0" w:color="auto"/>
            <w:right w:val="none" w:sz="0" w:space="0" w:color="auto"/>
          </w:divBdr>
        </w:div>
        <w:div w:id="973635020">
          <w:marLeft w:val="634"/>
          <w:marRight w:val="0"/>
          <w:marTop w:val="0"/>
          <w:marBottom w:val="0"/>
          <w:divBdr>
            <w:top w:val="none" w:sz="0" w:space="0" w:color="auto"/>
            <w:left w:val="none" w:sz="0" w:space="0" w:color="auto"/>
            <w:bottom w:val="none" w:sz="0" w:space="0" w:color="auto"/>
            <w:right w:val="none" w:sz="0" w:space="0" w:color="auto"/>
          </w:divBdr>
        </w:div>
        <w:div w:id="1056708742">
          <w:marLeft w:val="274"/>
          <w:marRight w:val="0"/>
          <w:marTop w:val="0"/>
          <w:marBottom w:val="0"/>
          <w:divBdr>
            <w:top w:val="none" w:sz="0" w:space="0" w:color="auto"/>
            <w:left w:val="none" w:sz="0" w:space="0" w:color="auto"/>
            <w:bottom w:val="none" w:sz="0" w:space="0" w:color="auto"/>
            <w:right w:val="none" w:sz="0" w:space="0" w:color="auto"/>
          </w:divBdr>
        </w:div>
        <w:div w:id="1116754769">
          <w:marLeft w:val="274"/>
          <w:marRight w:val="0"/>
          <w:marTop w:val="0"/>
          <w:marBottom w:val="0"/>
          <w:divBdr>
            <w:top w:val="none" w:sz="0" w:space="0" w:color="auto"/>
            <w:left w:val="none" w:sz="0" w:space="0" w:color="auto"/>
            <w:bottom w:val="none" w:sz="0" w:space="0" w:color="auto"/>
            <w:right w:val="none" w:sz="0" w:space="0" w:color="auto"/>
          </w:divBdr>
        </w:div>
        <w:div w:id="1554122154">
          <w:marLeft w:val="274"/>
          <w:marRight w:val="0"/>
          <w:marTop w:val="0"/>
          <w:marBottom w:val="0"/>
          <w:divBdr>
            <w:top w:val="none" w:sz="0" w:space="0" w:color="auto"/>
            <w:left w:val="none" w:sz="0" w:space="0" w:color="auto"/>
            <w:bottom w:val="none" w:sz="0" w:space="0" w:color="auto"/>
            <w:right w:val="none" w:sz="0" w:space="0" w:color="auto"/>
          </w:divBdr>
        </w:div>
      </w:divsChild>
    </w:div>
    <w:div w:id="569927550">
      <w:bodyDiv w:val="1"/>
      <w:marLeft w:val="0"/>
      <w:marRight w:val="0"/>
      <w:marTop w:val="0"/>
      <w:marBottom w:val="0"/>
      <w:divBdr>
        <w:top w:val="none" w:sz="0" w:space="0" w:color="auto"/>
        <w:left w:val="none" w:sz="0" w:space="0" w:color="auto"/>
        <w:bottom w:val="none" w:sz="0" w:space="0" w:color="auto"/>
        <w:right w:val="none" w:sz="0" w:space="0" w:color="auto"/>
      </w:divBdr>
      <w:divsChild>
        <w:div w:id="88939204">
          <w:marLeft w:val="634"/>
          <w:marRight w:val="0"/>
          <w:marTop w:val="0"/>
          <w:marBottom w:val="0"/>
          <w:divBdr>
            <w:top w:val="none" w:sz="0" w:space="0" w:color="auto"/>
            <w:left w:val="none" w:sz="0" w:space="0" w:color="auto"/>
            <w:bottom w:val="none" w:sz="0" w:space="0" w:color="auto"/>
            <w:right w:val="none" w:sz="0" w:space="0" w:color="auto"/>
          </w:divBdr>
        </w:div>
        <w:div w:id="527646688">
          <w:marLeft w:val="634"/>
          <w:marRight w:val="0"/>
          <w:marTop w:val="0"/>
          <w:marBottom w:val="0"/>
          <w:divBdr>
            <w:top w:val="none" w:sz="0" w:space="0" w:color="auto"/>
            <w:left w:val="none" w:sz="0" w:space="0" w:color="auto"/>
            <w:bottom w:val="none" w:sz="0" w:space="0" w:color="auto"/>
            <w:right w:val="none" w:sz="0" w:space="0" w:color="auto"/>
          </w:divBdr>
        </w:div>
        <w:div w:id="725492252">
          <w:marLeft w:val="274"/>
          <w:marRight w:val="0"/>
          <w:marTop w:val="0"/>
          <w:marBottom w:val="0"/>
          <w:divBdr>
            <w:top w:val="none" w:sz="0" w:space="0" w:color="auto"/>
            <w:left w:val="none" w:sz="0" w:space="0" w:color="auto"/>
            <w:bottom w:val="none" w:sz="0" w:space="0" w:color="auto"/>
            <w:right w:val="none" w:sz="0" w:space="0" w:color="auto"/>
          </w:divBdr>
        </w:div>
        <w:div w:id="785854687">
          <w:marLeft w:val="274"/>
          <w:marRight w:val="0"/>
          <w:marTop w:val="0"/>
          <w:marBottom w:val="0"/>
          <w:divBdr>
            <w:top w:val="none" w:sz="0" w:space="0" w:color="auto"/>
            <w:left w:val="none" w:sz="0" w:space="0" w:color="auto"/>
            <w:bottom w:val="none" w:sz="0" w:space="0" w:color="auto"/>
            <w:right w:val="none" w:sz="0" w:space="0" w:color="auto"/>
          </w:divBdr>
        </w:div>
        <w:div w:id="894851695">
          <w:marLeft w:val="274"/>
          <w:marRight w:val="0"/>
          <w:marTop w:val="0"/>
          <w:marBottom w:val="0"/>
          <w:divBdr>
            <w:top w:val="none" w:sz="0" w:space="0" w:color="auto"/>
            <w:left w:val="none" w:sz="0" w:space="0" w:color="auto"/>
            <w:bottom w:val="none" w:sz="0" w:space="0" w:color="auto"/>
            <w:right w:val="none" w:sz="0" w:space="0" w:color="auto"/>
          </w:divBdr>
        </w:div>
        <w:div w:id="1111899773">
          <w:marLeft w:val="274"/>
          <w:marRight w:val="0"/>
          <w:marTop w:val="0"/>
          <w:marBottom w:val="0"/>
          <w:divBdr>
            <w:top w:val="none" w:sz="0" w:space="0" w:color="auto"/>
            <w:left w:val="none" w:sz="0" w:space="0" w:color="auto"/>
            <w:bottom w:val="none" w:sz="0" w:space="0" w:color="auto"/>
            <w:right w:val="none" w:sz="0" w:space="0" w:color="auto"/>
          </w:divBdr>
        </w:div>
        <w:div w:id="1266116362">
          <w:marLeft w:val="274"/>
          <w:marRight w:val="0"/>
          <w:marTop w:val="0"/>
          <w:marBottom w:val="0"/>
          <w:divBdr>
            <w:top w:val="none" w:sz="0" w:space="0" w:color="auto"/>
            <w:left w:val="none" w:sz="0" w:space="0" w:color="auto"/>
            <w:bottom w:val="none" w:sz="0" w:space="0" w:color="auto"/>
            <w:right w:val="none" w:sz="0" w:space="0" w:color="auto"/>
          </w:divBdr>
        </w:div>
        <w:div w:id="1346980966">
          <w:marLeft w:val="634"/>
          <w:marRight w:val="0"/>
          <w:marTop w:val="0"/>
          <w:marBottom w:val="0"/>
          <w:divBdr>
            <w:top w:val="none" w:sz="0" w:space="0" w:color="auto"/>
            <w:left w:val="none" w:sz="0" w:space="0" w:color="auto"/>
            <w:bottom w:val="none" w:sz="0" w:space="0" w:color="auto"/>
            <w:right w:val="none" w:sz="0" w:space="0" w:color="auto"/>
          </w:divBdr>
        </w:div>
        <w:div w:id="1531645725">
          <w:marLeft w:val="634"/>
          <w:marRight w:val="0"/>
          <w:marTop w:val="0"/>
          <w:marBottom w:val="0"/>
          <w:divBdr>
            <w:top w:val="none" w:sz="0" w:space="0" w:color="auto"/>
            <w:left w:val="none" w:sz="0" w:space="0" w:color="auto"/>
            <w:bottom w:val="none" w:sz="0" w:space="0" w:color="auto"/>
            <w:right w:val="none" w:sz="0" w:space="0" w:color="auto"/>
          </w:divBdr>
        </w:div>
        <w:div w:id="1718697799">
          <w:marLeft w:val="274"/>
          <w:marRight w:val="0"/>
          <w:marTop w:val="0"/>
          <w:marBottom w:val="0"/>
          <w:divBdr>
            <w:top w:val="none" w:sz="0" w:space="0" w:color="auto"/>
            <w:left w:val="none" w:sz="0" w:space="0" w:color="auto"/>
            <w:bottom w:val="none" w:sz="0" w:space="0" w:color="auto"/>
            <w:right w:val="none" w:sz="0" w:space="0" w:color="auto"/>
          </w:divBdr>
        </w:div>
        <w:div w:id="1770855300">
          <w:marLeft w:val="634"/>
          <w:marRight w:val="0"/>
          <w:marTop w:val="0"/>
          <w:marBottom w:val="0"/>
          <w:divBdr>
            <w:top w:val="none" w:sz="0" w:space="0" w:color="auto"/>
            <w:left w:val="none" w:sz="0" w:space="0" w:color="auto"/>
            <w:bottom w:val="none" w:sz="0" w:space="0" w:color="auto"/>
            <w:right w:val="none" w:sz="0" w:space="0" w:color="auto"/>
          </w:divBdr>
        </w:div>
        <w:div w:id="1845171726">
          <w:marLeft w:val="274"/>
          <w:marRight w:val="0"/>
          <w:marTop w:val="0"/>
          <w:marBottom w:val="0"/>
          <w:divBdr>
            <w:top w:val="none" w:sz="0" w:space="0" w:color="auto"/>
            <w:left w:val="none" w:sz="0" w:space="0" w:color="auto"/>
            <w:bottom w:val="none" w:sz="0" w:space="0" w:color="auto"/>
            <w:right w:val="none" w:sz="0" w:space="0" w:color="auto"/>
          </w:divBdr>
        </w:div>
        <w:div w:id="1957985469">
          <w:marLeft w:val="634"/>
          <w:marRight w:val="0"/>
          <w:marTop w:val="0"/>
          <w:marBottom w:val="0"/>
          <w:divBdr>
            <w:top w:val="none" w:sz="0" w:space="0" w:color="auto"/>
            <w:left w:val="none" w:sz="0" w:space="0" w:color="auto"/>
            <w:bottom w:val="none" w:sz="0" w:space="0" w:color="auto"/>
            <w:right w:val="none" w:sz="0" w:space="0" w:color="auto"/>
          </w:divBdr>
        </w:div>
        <w:div w:id="1990744657">
          <w:marLeft w:val="634"/>
          <w:marRight w:val="0"/>
          <w:marTop w:val="0"/>
          <w:marBottom w:val="0"/>
          <w:divBdr>
            <w:top w:val="none" w:sz="0" w:space="0" w:color="auto"/>
            <w:left w:val="none" w:sz="0" w:space="0" w:color="auto"/>
            <w:bottom w:val="none" w:sz="0" w:space="0" w:color="auto"/>
            <w:right w:val="none" w:sz="0" w:space="0" w:color="auto"/>
          </w:divBdr>
        </w:div>
        <w:div w:id="2082369487">
          <w:marLeft w:val="274"/>
          <w:marRight w:val="0"/>
          <w:marTop w:val="0"/>
          <w:marBottom w:val="0"/>
          <w:divBdr>
            <w:top w:val="none" w:sz="0" w:space="0" w:color="auto"/>
            <w:left w:val="none" w:sz="0" w:space="0" w:color="auto"/>
            <w:bottom w:val="none" w:sz="0" w:space="0" w:color="auto"/>
            <w:right w:val="none" w:sz="0" w:space="0" w:color="auto"/>
          </w:divBdr>
        </w:div>
      </w:divsChild>
    </w:div>
    <w:div w:id="584220253">
      <w:bodyDiv w:val="1"/>
      <w:marLeft w:val="0"/>
      <w:marRight w:val="0"/>
      <w:marTop w:val="0"/>
      <w:marBottom w:val="0"/>
      <w:divBdr>
        <w:top w:val="none" w:sz="0" w:space="0" w:color="auto"/>
        <w:left w:val="none" w:sz="0" w:space="0" w:color="auto"/>
        <w:bottom w:val="none" w:sz="0" w:space="0" w:color="auto"/>
        <w:right w:val="none" w:sz="0" w:space="0" w:color="auto"/>
      </w:divBdr>
    </w:div>
    <w:div w:id="596446492">
      <w:bodyDiv w:val="1"/>
      <w:marLeft w:val="0"/>
      <w:marRight w:val="0"/>
      <w:marTop w:val="0"/>
      <w:marBottom w:val="0"/>
      <w:divBdr>
        <w:top w:val="none" w:sz="0" w:space="0" w:color="auto"/>
        <w:left w:val="none" w:sz="0" w:space="0" w:color="auto"/>
        <w:bottom w:val="none" w:sz="0" w:space="0" w:color="auto"/>
        <w:right w:val="none" w:sz="0" w:space="0" w:color="auto"/>
      </w:divBdr>
      <w:divsChild>
        <w:div w:id="90858402">
          <w:marLeft w:val="0"/>
          <w:marRight w:val="0"/>
          <w:marTop w:val="0"/>
          <w:marBottom w:val="0"/>
          <w:divBdr>
            <w:top w:val="none" w:sz="0" w:space="0" w:color="auto"/>
            <w:left w:val="none" w:sz="0" w:space="0" w:color="auto"/>
            <w:bottom w:val="none" w:sz="0" w:space="0" w:color="auto"/>
            <w:right w:val="none" w:sz="0" w:space="0" w:color="auto"/>
          </w:divBdr>
          <w:divsChild>
            <w:div w:id="196427275">
              <w:marLeft w:val="0"/>
              <w:marRight w:val="0"/>
              <w:marTop w:val="0"/>
              <w:marBottom w:val="0"/>
              <w:divBdr>
                <w:top w:val="none" w:sz="0" w:space="0" w:color="auto"/>
                <w:left w:val="none" w:sz="0" w:space="0" w:color="auto"/>
                <w:bottom w:val="none" w:sz="0" w:space="0" w:color="auto"/>
                <w:right w:val="none" w:sz="0" w:space="0" w:color="auto"/>
              </w:divBdr>
              <w:divsChild>
                <w:div w:id="174266691">
                  <w:marLeft w:val="0"/>
                  <w:marRight w:val="0"/>
                  <w:marTop w:val="0"/>
                  <w:marBottom w:val="0"/>
                  <w:divBdr>
                    <w:top w:val="none" w:sz="0" w:space="0" w:color="auto"/>
                    <w:left w:val="none" w:sz="0" w:space="0" w:color="auto"/>
                    <w:bottom w:val="none" w:sz="0" w:space="0" w:color="auto"/>
                    <w:right w:val="none" w:sz="0" w:space="0" w:color="auto"/>
                  </w:divBdr>
                  <w:divsChild>
                    <w:div w:id="944850642">
                      <w:marLeft w:val="0"/>
                      <w:marRight w:val="0"/>
                      <w:marTop w:val="0"/>
                      <w:marBottom w:val="0"/>
                      <w:divBdr>
                        <w:top w:val="none" w:sz="0" w:space="0" w:color="auto"/>
                        <w:left w:val="none" w:sz="0" w:space="0" w:color="auto"/>
                        <w:bottom w:val="none" w:sz="0" w:space="0" w:color="auto"/>
                        <w:right w:val="none" w:sz="0" w:space="0" w:color="auto"/>
                      </w:divBdr>
                    </w:div>
                    <w:div w:id="1327974420">
                      <w:marLeft w:val="0"/>
                      <w:marRight w:val="0"/>
                      <w:marTop w:val="0"/>
                      <w:marBottom w:val="0"/>
                      <w:divBdr>
                        <w:top w:val="none" w:sz="0" w:space="0" w:color="auto"/>
                        <w:left w:val="none" w:sz="0" w:space="0" w:color="auto"/>
                        <w:bottom w:val="none" w:sz="0" w:space="0" w:color="auto"/>
                        <w:right w:val="none" w:sz="0" w:space="0" w:color="auto"/>
                      </w:divBdr>
                    </w:div>
                  </w:divsChild>
                </w:div>
                <w:div w:id="1921211939">
                  <w:marLeft w:val="0"/>
                  <w:marRight w:val="0"/>
                  <w:marTop w:val="0"/>
                  <w:marBottom w:val="0"/>
                  <w:divBdr>
                    <w:top w:val="none" w:sz="0" w:space="0" w:color="auto"/>
                    <w:left w:val="none" w:sz="0" w:space="0" w:color="auto"/>
                    <w:bottom w:val="none" w:sz="0" w:space="0" w:color="auto"/>
                    <w:right w:val="none" w:sz="0" w:space="0" w:color="auto"/>
                  </w:divBdr>
                  <w:divsChild>
                    <w:div w:id="2233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7135">
              <w:marLeft w:val="0"/>
              <w:marRight w:val="0"/>
              <w:marTop w:val="0"/>
              <w:marBottom w:val="0"/>
              <w:divBdr>
                <w:top w:val="none" w:sz="0" w:space="0" w:color="auto"/>
                <w:left w:val="none" w:sz="0" w:space="0" w:color="auto"/>
                <w:bottom w:val="none" w:sz="0" w:space="0" w:color="auto"/>
                <w:right w:val="none" w:sz="0" w:space="0" w:color="auto"/>
              </w:divBdr>
              <w:divsChild>
                <w:div w:id="151147841">
                  <w:marLeft w:val="0"/>
                  <w:marRight w:val="0"/>
                  <w:marTop w:val="0"/>
                  <w:marBottom w:val="0"/>
                  <w:divBdr>
                    <w:top w:val="none" w:sz="0" w:space="0" w:color="auto"/>
                    <w:left w:val="none" w:sz="0" w:space="0" w:color="auto"/>
                    <w:bottom w:val="none" w:sz="0" w:space="0" w:color="auto"/>
                    <w:right w:val="none" w:sz="0" w:space="0" w:color="auto"/>
                  </w:divBdr>
                  <w:divsChild>
                    <w:div w:id="1066143925">
                      <w:marLeft w:val="0"/>
                      <w:marRight w:val="0"/>
                      <w:marTop w:val="0"/>
                      <w:marBottom w:val="0"/>
                      <w:divBdr>
                        <w:top w:val="none" w:sz="0" w:space="0" w:color="auto"/>
                        <w:left w:val="none" w:sz="0" w:space="0" w:color="auto"/>
                        <w:bottom w:val="none" w:sz="0" w:space="0" w:color="auto"/>
                        <w:right w:val="none" w:sz="0" w:space="0" w:color="auto"/>
                      </w:divBdr>
                    </w:div>
                  </w:divsChild>
                </w:div>
                <w:div w:id="853225778">
                  <w:marLeft w:val="0"/>
                  <w:marRight w:val="0"/>
                  <w:marTop w:val="0"/>
                  <w:marBottom w:val="0"/>
                  <w:divBdr>
                    <w:top w:val="none" w:sz="0" w:space="0" w:color="auto"/>
                    <w:left w:val="none" w:sz="0" w:space="0" w:color="auto"/>
                    <w:bottom w:val="none" w:sz="0" w:space="0" w:color="auto"/>
                    <w:right w:val="none" w:sz="0" w:space="0" w:color="auto"/>
                  </w:divBdr>
                  <w:divsChild>
                    <w:div w:id="9671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6353">
          <w:marLeft w:val="0"/>
          <w:marRight w:val="0"/>
          <w:marTop w:val="0"/>
          <w:marBottom w:val="0"/>
          <w:divBdr>
            <w:top w:val="none" w:sz="0" w:space="0" w:color="auto"/>
            <w:left w:val="none" w:sz="0" w:space="0" w:color="auto"/>
            <w:bottom w:val="none" w:sz="0" w:space="0" w:color="auto"/>
            <w:right w:val="none" w:sz="0" w:space="0" w:color="auto"/>
          </w:divBdr>
          <w:divsChild>
            <w:div w:id="56435777">
              <w:marLeft w:val="0"/>
              <w:marRight w:val="0"/>
              <w:marTop w:val="0"/>
              <w:marBottom w:val="0"/>
              <w:divBdr>
                <w:top w:val="none" w:sz="0" w:space="0" w:color="auto"/>
                <w:left w:val="none" w:sz="0" w:space="0" w:color="auto"/>
                <w:bottom w:val="none" w:sz="0" w:space="0" w:color="auto"/>
                <w:right w:val="none" w:sz="0" w:space="0" w:color="auto"/>
              </w:divBdr>
              <w:divsChild>
                <w:div w:id="246379624">
                  <w:marLeft w:val="0"/>
                  <w:marRight w:val="0"/>
                  <w:marTop w:val="0"/>
                  <w:marBottom w:val="0"/>
                  <w:divBdr>
                    <w:top w:val="none" w:sz="0" w:space="0" w:color="auto"/>
                    <w:left w:val="none" w:sz="0" w:space="0" w:color="auto"/>
                    <w:bottom w:val="none" w:sz="0" w:space="0" w:color="auto"/>
                    <w:right w:val="none" w:sz="0" w:space="0" w:color="auto"/>
                  </w:divBdr>
                  <w:divsChild>
                    <w:div w:id="2117098783">
                      <w:marLeft w:val="0"/>
                      <w:marRight w:val="0"/>
                      <w:marTop w:val="0"/>
                      <w:marBottom w:val="0"/>
                      <w:divBdr>
                        <w:top w:val="none" w:sz="0" w:space="0" w:color="auto"/>
                        <w:left w:val="none" w:sz="0" w:space="0" w:color="auto"/>
                        <w:bottom w:val="none" w:sz="0" w:space="0" w:color="auto"/>
                        <w:right w:val="none" w:sz="0" w:space="0" w:color="auto"/>
                      </w:divBdr>
                    </w:div>
                  </w:divsChild>
                </w:div>
                <w:div w:id="300425981">
                  <w:marLeft w:val="0"/>
                  <w:marRight w:val="0"/>
                  <w:marTop w:val="0"/>
                  <w:marBottom w:val="0"/>
                  <w:divBdr>
                    <w:top w:val="none" w:sz="0" w:space="0" w:color="auto"/>
                    <w:left w:val="none" w:sz="0" w:space="0" w:color="auto"/>
                    <w:bottom w:val="none" w:sz="0" w:space="0" w:color="auto"/>
                    <w:right w:val="none" w:sz="0" w:space="0" w:color="auto"/>
                  </w:divBdr>
                  <w:divsChild>
                    <w:div w:id="828638005">
                      <w:marLeft w:val="0"/>
                      <w:marRight w:val="0"/>
                      <w:marTop w:val="0"/>
                      <w:marBottom w:val="0"/>
                      <w:divBdr>
                        <w:top w:val="none" w:sz="0" w:space="0" w:color="auto"/>
                        <w:left w:val="none" w:sz="0" w:space="0" w:color="auto"/>
                        <w:bottom w:val="none" w:sz="0" w:space="0" w:color="auto"/>
                        <w:right w:val="none" w:sz="0" w:space="0" w:color="auto"/>
                      </w:divBdr>
                    </w:div>
                  </w:divsChild>
                </w:div>
                <w:div w:id="701904880">
                  <w:marLeft w:val="0"/>
                  <w:marRight w:val="0"/>
                  <w:marTop w:val="0"/>
                  <w:marBottom w:val="0"/>
                  <w:divBdr>
                    <w:top w:val="none" w:sz="0" w:space="0" w:color="auto"/>
                    <w:left w:val="none" w:sz="0" w:space="0" w:color="auto"/>
                    <w:bottom w:val="none" w:sz="0" w:space="0" w:color="auto"/>
                    <w:right w:val="none" w:sz="0" w:space="0" w:color="auto"/>
                  </w:divBdr>
                  <w:divsChild>
                    <w:div w:id="1304656655">
                      <w:marLeft w:val="0"/>
                      <w:marRight w:val="0"/>
                      <w:marTop w:val="0"/>
                      <w:marBottom w:val="0"/>
                      <w:divBdr>
                        <w:top w:val="none" w:sz="0" w:space="0" w:color="auto"/>
                        <w:left w:val="none" w:sz="0" w:space="0" w:color="auto"/>
                        <w:bottom w:val="none" w:sz="0" w:space="0" w:color="auto"/>
                        <w:right w:val="none" w:sz="0" w:space="0" w:color="auto"/>
                      </w:divBdr>
                    </w:div>
                  </w:divsChild>
                </w:div>
                <w:div w:id="811602783">
                  <w:marLeft w:val="0"/>
                  <w:marRight w:val="0"/>
                  <w:marTop w:val="0"/>
                  <w:marBottom w:val="0"/>
                  <w:divBdr>
                    <w:top w:val="none" w:sz="0" w:space="0" w:color="auto"/>
                    <w:left w:val="none" w:sz="0" w:space="0" w:color="auto"/>
                    <w:bottom w:val="none" w:sz="0" w:space="0" w:color="auto"/>
                    <w:right w:val="none" w:sz="0" w:space="0" w:color="auto"/>
                  </w:divBdr>
                  <w:divsChild>
                    <w:div w:id="1175072415">
                      <w:marLeft w:val="0"/>
                      <w:marRight w:val="0"/>
                      <w:marTop w:val="0"/>
                      <w:marBottom w:val="0"/>
                      <w:divBdr>
                        <w:top w:val="none" w:sz="0" w:space="0" w:color="auto"/>
                        <w:left w:val="none" w:sz="0" w:space="0" w:color="auto"/>
                        <w:bottom w:val="none" w:sz="0" w:space="0" w:color="auto"/>
                        <w:right w:val="none" w:sz="0" w:space="0" w:color="auto"/>
                      </w:divBdr>
                    </w:div>
                  </w:divsChild>
                </w:div>
                <w:div w:id="1277785863">
                  <w:marLeft w:val="0"/>
                  <w:marRight w:val="0"/>
                  <w:marTop w:val="0"/>
                  <w:marBottom w:val="0"/>
                  <w:divBdr>
                    <w:top w:val="none" w:sz="0" w:space="0" w:color="auto"/>
                    <w:left w:val="none" w:sz="0" w:space="0" w:color="auto"/>
                    <w:bottom w:val="none" w:sz="0" w:space="0" w:color="auto"/>
                    <w:right w:val="none" w:sz="0" w:space="0" w:color="auto"/>
                  </w:divBdr>
                  <w:divsChild>
                    <w:div w:id="1538544841">
                      <w:marLeft w:val="0"/>
                      <w:marRight w:val="0"/>
                      <w:marTop w:val="0"/>
                      <w:marBottom w:val="0"/>
                      <w:divBdr>
                        <w:top w:val="none" w:sz="0" w:space="0" w:color="auto"/>
                        <w:left w:val="none" w:sz="0" w:space="0" w:color="auto"/>
                        <w:bottom w:val="none" w:sz="0" w:space="0" w:color="auto"/>
                        <w:right w:val="none" w:sz="0" w:space="0" w:color="auto"/>
                      </w:divBdr>
                    </w:div>
                  </w:divsChild>
                </w:div>
                <w:div w:id="1665861133">
                  <w:marLeft w:val="0"/>
                  <w:marRight w:val="0"/>
                  <w:marTop w:val="0"/>
                  <w:marBottom w:val="0"/>
                  <w:divBdr>
                    <w:top w:val="none" w:sz="0" w:space="0" w:color="auto"/>
                    <w:left w:val="none" w:sz="0" w:space="0" w:color="auto"/>
                    <w:bottom w:val="none" w:sz="0" w:space="0" w:color="auto"/>
                    <w:right w:val="none" w:sz="0" w:space="0" w:color="auto"/>
                  </w:divBdr>
                  <w:divsChild>
                    <w:div w:id="6358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2095">
              <w:marLeft w:val="0"/>
              <w:marRight w:val="0"/>
              <w:marTop w:val="0"/>
              <w:marBottom w:val="0"/>
              <w:divBdr>
                <w:top w:val="none" w:sz="0" w:space="0" w:color="auto"/>
                <w:left w:val="none" w:sz="0" w:space="0" w:color="auto"/>
                <w:bottom w:val="none" w:sz="0" w:space="0" w:color="auto"/>
                <w:right w:val="none" w:sz="0" w:space="0" w:color="auto"/>
              </w:divBdr>
              <w:divsChild>
                <w:div w:id="123696890">
                  <w:marLeft w:val="0"/>
                  <w:marRight w:val="0"/>
                  <w:marTop w:val="0"/>
                  <w:marBottom w:val="0"/>
                  <w:divBdr>
                    <w:top w:val="none" w:sz="0" w:space="0" w:color="auto"/>
                    <w:left w:val="none" w:sz="0" w:space="0" w:color="auto"/>
                    <w:bottom w:val="none" w:sz="0" w:space="0" w:color="auto"/>
                    <w:right w:val="none" w:sz="0" w:space="0" w:color="auto"/>
                  </w:divBdr>
                  <w:divsChild>
                    <w:div w:id="1125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018">
              <w:marLeft w:val="0"/>
              <w:marRight w:val="0"/>
              <w:marTop w:val="0"/>
              <w:marBottom w:val="0"/>
              <w:divBdr>
                <w:top w:val="none" w:sz="0" w:space="0" w:color="auto"/>
                <w:left w:val="none" w:sz="0" w:space="0" w:color="auto"/>
                <w:bottom w:val="none" w:sz="0" w:space="0" w:color="auto"/>
                <w:right w:val="none" w:sz="0" w:space="0" w:color="auto"/>
              </w:divBdr>
              <w:divsChild>
                <w:div w:id="600718771">
                  <w:marLeft w:val="0"/>
                  <w:marRight w:val="0"/>
                  <w:marTop w:val="0"/>
                  <w:marBottom w:val="0"/>
                  <w:divBdr>
                    <w:top w:val="none" w:sz="0" w:space="0" w:color="auto"/>
                    <w:left w:val="none" w:sz="0" w:space="0" w:color="auto"/>
                    <w:bottom w:val="none" w:sz="0" w:space="0" w:color="auto"/>
                    <w:right w:val="none" w:sz="0" w:space="0" w:color="auto"/>
                  </w:divBdr>
                </w:div>
              </w:divsChild>
            </w:div>
            <w:div w:id="586615286">
              <w:marLeft w:val="0"/>
              <w:marRight w:val="0"/>
              <w:marTop w:val="0"/>
              <w:marBottom w:val="0"/>
              <w:divBdr>
                <w:top w:val="none" w:sz="0" w:space="0" w:color="auto"/>
                <w:left w:val="none" w:sz="0" w:space="0" w:color="auto"/>
                <w:bottom w:val="none" w:sz="0" w:space="0" w:color="auto"/>
                <w:right w:val="none" w:sz="0" w:space="0" w:color="auto"/>
              </w:divBdr>
              <w:divsChild>
                <w:div w:id="314603557">
                  <w:marLeft w:val="0"/>
                  <w:marRight w:val="0"/>
                  <w:marTop w:val="0"/>
                  <w:marBottom w:val="0"/>
                  <w:divBdr>
                    <w:top w:val="none" w:sz="0" w:space="0" w:color="auto"/>
                    <w:left w:val="none" w:sz="0" w:space="0" w:color="auto"/>
                    <w:bottom w:val="none" w:sz="0" w:space="0" w:color="auto"/>
                    <w:right w:val="none" w:sz="0" w:space="0" w:color="auto"/>
                  </w:divBdr>
                </w:div>
                <w:div w:id="1652324812">
                  <w:marLeft w:val="0"/>
                  <w:marRight w:val="0"/>
                  <w:marTop w:val="0"/>
                  <w:marBottom w:val="0"/>
                  <w:divBdr>
                    <w:top w:val="none" w:sz="0" w:space="0" w:color="auto"/>
                    <w:left w:val="none" w:sz="0" w:space="0" w:color="auto"/>
                    <w:bottom w:val="none" w:sz="0" w:space="0" w:color="auto"/>
                    <w:right w:val="none" w:sz="0" w:space="0" w:color="auto"/>
                  </w:divBdr>
                </w:div>
                <w:div w:id="1745494726">
                  <w:marLeft w:val="0"/>
                  <w:marRight w:val="0"/>
                  <w:marTop w:val="0"/>
                  <w:marBottom w:val="0"/>
                  <w:divBdr>
                    <w:top w:val="none" w:sz="0" w:space="0" w:color="auto"/>
                    <w:left w:val="none" w:sz="0" w:space="0" w:color="auto"/>
                    <w:bottom w:val="none" w:sz="0" w:space="0" w:color="auto"/>
                    <w:right w:val="none" w:sz="0" w:space="0" w:color="auto"/>
                  </w:divBdr>
                </w:div>
              </w:divsChild>
            </w:div>
            <w:div w:id="600139887">
              <w:marLeft w:val="0"/>
              <w:marRight w:val="0"/>
              <w:marTop w:val="0"/>
              <w:marBottom w:val="0"/>
              <w:divBdr>
                <w:top w:val="none" w:sz="0" w:space="0" w:color="auto"/>
                <w:left w:val="none" w:sz="0" w:space="0" w:color="auto"/>
                <w:bottom w:val="none" w:sz="0" w:space="0" w:color="auto"/>
                <w:right w:val="none" w:sz="0" w:space="0" w:color="auto"/>
              </w:divBdr>
              <w:divsChild>
                <w:div w:id="1430811196">
                  <w:marLeft w:val="0"/>
                  <w:marRight w:val="0"/>
                  <w:marTop w:val="0"/>
                  <w:marBottom w:val="0"/>
                  <w:divBdr>
                    <w:top w:val="none" w:sz="0" w:space="0" w:color="auto"/>
                    <w:left w:val="none" w:sz="0" w:space="0" w:color="auto"/>
                    <w:bottom w:val="none" w:sz="0" w:space="0" w:color="auto"/>
                    <w:right w:val="none" w:sz="0" w:space="0" w:color="auto"/>
                  </w:divBdr>
                </w:div>
              </w:divsChild>
            </w:div>
            <w:div w:id="612976487">
              <w:marLeft w:val="0"/>
              <w:marRight w:val="0"/>
              <w:marTop w:val="0"/>
              <w:marBottom w:val="0"/>
              <w:divBdr>
                <w:top w:val="none" w:sz="0" w:space="0" w:color="auto"/>
                <w:left w:val="none" w:sz="0" w:space="0" w:color="auto"/>
                <w:bottom w:val="none" w:sz="0" w:space="0" w:color="auto"/>
                <w:right w:val="none" w:sz="0" w:space="0" w:color="auto"/>
              </w:divBdr>
              <w:divsChild>
                <w:div w:id="1871452499">
                  <w:marLeft w:val="0"/>
                  <w:marRight w:val="0"/>
                  <w:marTop w:val="0"/>
                  <w:marBottom w:val="0"/>
                  <w:divBdr>
                    <w:top w:val="none" w:sz="0" w:space="0" w:color="auto"/>
                    <w:left w:val="none" w:sz="0" w:space="0" w:color="auto"/>
                    <w:bottom w:val="none" w:sz="0" w:space="0" w:color="auto"/>
                    <w:right w:val="none" w:sz="0" w:space="0" w:color="auto"/>
                  </w:divBdr>
                </w:div>
              </w:divsChild>
            </w:div>
            <w:div w:id="630014435">
              <w:marLeft w:val="0"/>
              <w:marRight w:val="0"/>
              <w:marTop w:val="0"/>
              <w:marBottom w:val="0"/>
              <w:divBdr>
                <w:top w:val="none" w:sz="0" w:space="0" w:color="auto"/>
                <w:left w:val="none" w:sz="0" w:space="0" w:color="auto"/>
                <w:bottom w:val="none" w:sz="0" w:space="0" w:color="auto"/>
                <w:right w:val="none" w:sz="0" w:space="0" w:color="auto"/>
              </w:divBdr>
              <w:divsChild>
                <w:div w:id="260377999">
                  <w:marLeft w:val="0"/>
                  <w:marRight w:val="0"/>
                  <w:marTop w:val="0"/>
                  <w:marBottom w:val="0"/>
                  <w:divBdr>
                    <w:top w:val="none" w:sz="0" w:space="0" w:color="auto"/>
                    <w:left w:val="none" w:sz="0" w:space="0" w:color="auto"/>
                    <w:bottom w:val="none" w:sz="0" w:space="0" w:color="auto"/>
                    <w:right w:val="none" w:sz="0" w:space="0" w:color="auto"/>
                  </w:divBdr>
                </w:div>
              </w:divsChild>
            </w:div>
            <w:div w:id="677081781">
              <w:marLeft w:val="0"/>
              <w:marRight w:val="0"/>
              <w:marTop w:val="0"/>
              <w:marBottom w:val="0"/>
              <w:divBdr>
                <w:top w:val="none" w:sz="0" w:space="0" w:color="auto"/>
                <w:left w:val="none" w:sz="0" w:space="0" w:color="auto"/>
                <w:bottom w:val="none" w:sz="0" w:space="0" w:color="auto"/>
                <w:right w:val="none" w:sz="0" w:space="0" w:color="auto"/>
              </w:divBdr>
              <w:divsChild>
                <w:div w:id="2010524793">
                  <w:marLeft w:val="0"/>
                  <w:marRight w:val="0"/>
                  <w:marTop w:val="0"/>
                  <w:marBottom w:val="0"/>
                  <w:divBdr>
                    <w:top w:val="none" w:sz="0" w:space="0" w:color="auto"/>
                    <w:left w:val="none" w:sz="0" w:space="0" w:color="auto"/>
                    <w:bottom w:val="none" w:sz="0" w:space="0" w:color="auto"/>
                    <w:right w:val="none" w:sz="0" w:space="0" w:color="auto"/>
                  </w:divBdr>
                </w:div>
              </w:divsChild>
            </w:div>
            <w:div w:id="904217589">
              <w:marLeft w:val="0"/>
              <w:marRight w:val="0"/>
              <w:marTop w:val="0"/>
              <w:marBottom w:val="0"/>
              <w:divBdr>
                <w:top w:val="none" w:sz="0" w:space="0" w:color="auto"/>
                <w:left w:val="none" w:sz="0" w:space="0" w:color="auto"/>
                <w:bottom w:val="none" w:sz="0" w:space="0" w:color="auto"/>
                <w:right w:val="none" w:sz="0" w:space="0" w:color="auto"/>
              </w:divBdr>
              <w:divsChild>
                <w:div w:id="720906351">
                  <w:marLeft w:val="0"/>
                  <w:marRight w:val="0"/>
                  <w:marTop w:val="0"/>
                  <w:marBottom w:val="0"/>
                  <w:divBdr>
                    <w:top w:val="none" w:sz="0" w:space="0" w:color="auto"/>
                    <w:left w:val="none" w:sz="0" w:space="0" w:color="auto"/>
                    <w:bottom w:val="none" w:sz="0" w:space="0" w:color="auto"/>
                    <w:right w:val="none" w:sz="0" w:space="0" w:color="auto"/>
                  </w:divBdr>
                </w:div>
              </w:divsChild>
            </w:div>
            <w:div w:id="962274322">
              <w:marLeft w:val="0"/>
              <w:marRight w:val="0"/>
              <w:marTop w:val="0"/>
              <w:marBottom w:val="0"/>
              <w:divBdr>
                <w:top w:val="none" w:sz="0" w:space="0" w:color="auto"/>
                <w:left w:val="none" w:sz="0" w:space="0" w:color="auto"/>
                <w:bottom w:val="none" w:sz="0" w:space="0" w:color="auto"/>
                <w:right w:val="none" w:sz="0" w:space="0" w:color="auto"/>
              </w:divBdr>
              <w:divsChild>
                <w:div w:id="328026832">
                  <w:marLeft w:val="0"/>
                  <w:marRight w:val="0"/>
                  <w:marTop w:val="0"/>
                  <w:marBottom w:val="0"/>
                  <w:divBdr>
                    <w:top w:val="none" w:sz="0" w:space="0" w:color="auto"/>
                    <w:left w:val="none" w:sz="0" w:space="0" w:color="auto"/>
                    <w:bottom w:val="none" w:sz="0" w:space="0" w:color="auto"/>
                    <w:right w:val="none" w:sz="0" w:space="0" w:color="auto"/>
                  </w:divBdr>
                  <w:divsChild>
                    <w:div w:id="1948584341">
                      <w:marLeft w:val="0"/>
                      <w:marRight w:val="0"/>
                      <w:marTop w:val="0"/>
                      <w:marBottom w:val="0"/>
                      <w:divBdr>
                        <w:top w:val="none" w:sz="0" w:space="0" w:color="auto"/>
                        <w:left w:val="none" w:sz="0" w:space="0" w:color="auto"/>
                        <w:bottom w:val="none" w:sz="0" w:space="0" w:color="auto"/>
                        <w:right w:val="none" w:sz="0" w:space="0" w:color="auto"/>
                      </w:divBdr>
                    </w:div>
                  </w:divsChild>
                </w:div>
                <w:div w:id="487553191">
                  <w:marLeft w:val="0"/>
                  <w:marRight w:val="0"/>
                  <w:marTop w:val="0"/>
                  <w:marBottom w:val="0"/>
                  <w:divBdr>
                    <w:top w:val="none" w:sz="0" w:space="0" w:color="auto"/>
                    <w:left w:val="none" w:sz="0" w:space="0" w:color="auto"/>
                    <w:bottom w:val="none" w:sz="0" w:space="0" w:color="auto"/>
                    <w:right w:val="none" w:sz="0" w:space="0" w:color="auto"/>
                  </w:divBdr>
                  <w:divsChild>
                    <w:div w:id="1835291761">
                      <w:marLeft w:val="0"/>
                      <w:marRight w:val="0"/>
                      <w:marTop w:val="0"/>
                      <w:marBottom w:val="0"/>
                      <w:divBdr>
                        <w:top w:val="none" w:sz="0" w:space="0" w:color="auto"/>
                        <w:left w:val="none" w:sz="0" w:space="0" w:color="auto"/>
                        <w:bottom w:val="none" w:sz="0" w:space="0" w:color="auto"/>
                        <w:right w:val="none" w:sz="0" w:space="0" w:color="auto"/>
                      </w:divBdr>
                    </w:div>
                  </w:divsChild>
                </w:div>
                <w:div w:id="869298907">
                  <w:marLeft w:val="0"/>
                  <w:marRight w:val="0"/>
                  <w:marTop w:val="0"/>
                  <w:marBottom w:val="0"/>
                  <w:divBdr>
                    <w:top w:val="none" w:sz="0" w:space="0" w:color="auto"/>
                    <w:left w:val="none" w:sz="0" w:space="0" w:color="auto"/>
                    <w:bottom w:val="none" w:sz="0" w:space="0" w:color="auto"/>
                    <w:right w:val="none" w:sz="0" w:space="0" w:color="auto"/>
                  </w:divBdr>
                  <w:divsChild>
                    <w:div w:id="972759204">
                      <w:marLeft w:val="0"/>
                      <w:marRight w:val="0"/>
                      <w:marTop w:val="0"/>
                      <w:marBottom w:val="0"/>
                      <w:divBdr>
                        <w:top w:val="none" w:sz="0" w:space="0" w:color="auto"/>
                        <w:left w:val="none" w:sz="0" w:space="0" w:color="auto"/>
                        <w:bottom w:val="none" w:sz="0" w:space="0" w:color="auto"/>
                        <w:right w:val="none" w:sz="0" w:space="0" w:color="auto"/>
                      </w:divBdr>
                    </w:div>
                  </w:divsChild>
                </w:div>
                <w:div w:id="1193610714">
                  <w:marLeft w:val="0"/>
                  <w:marRight w:val="0"/>
                  <w:marTop w:val="0"/>
                  <w:marBottom w:val="0"/>
                  <w:divBdr>
                    <w:top w:val="none" w:sz="0" w:space="0" w:color="auto"/>
                    <w:left w:val="none" w:sz="0" w:space="0" w:color="auto"/>
                    <w:bottom w:val="none" w:sz="0" w:space="0" w:color="auto"/>
                    <w:right w:val="none" w:sz="0" w:space="0" w:color="auto"/>
                  </w:divBdr>
                  <w:divsChild>
                    <w:div w:id="14310325">
                      <w:marLeft w:val="0"/>
                      <w:marRight w:val="0"/>
                      <w:marTop w:val="0"/>
                      <w:marBottom w:val="0"/>
                      <w:divBdr>
                        <w:top w:val="none" w:sz="0" w:space="0" w:color="auto"/>
                        <w:left w:val="none" w:sz="0" w:space="0" w:color="auto"/>
                        <w:bottom w:val="none" w:sz="0" w:space="0" w:color="auto"/>
                        <w:right w:val="none" w:sz="0" w:space="0" w:color="auto"/>
                      </w:divBdr>
                    </w:div>
                  </w:divsChild>
                </w:div>
                <w:div w:id="1331252385">
                  <w:marLeft w:val="0"/>
                  <w:marRight w:val="0"/>
                  <w:marTop w:val="0"/>
                  <w:marBottom w:val="0"/>
                  <w:divBdr>
                    <w:top w:val="none" w:sz="0" w:space="0" w:color="auto"/>
                    <w:left w:val="none" w:sz="0" w:space="0" w:color="auto"/>
                    <w:bottom w:val="none" w:sz="0" w:space="0" w:color="auto"/>
                    <w:right w:val="none" w:sz="0" w:space="0" w:color="auto"/>
                  </w:divBdr>
                  <w:divsChild>
                    <w:div w:id="1177574779">
                      <w:marLeft w:val="0"/>
                      <w:marRight w:val="0"/>
                      <w:marTop w:val="0"/>
                      <w:marBottom w:val="0"/>
                      <w:divBdr>
                        <w:top w:val="none" w:sz="0" w:space="0" w:color="auto"/>
                        <w:left w:val="none" w:sz="0" w:space="0" w:color="auto"/>
                        <w:bottom w:val="none" w:sz="0" w:space="0" w:color="auto"/>
                        <w:right w:val="none" w:sz="0" w:space="0" w:color="auto"/>
                      </w:divBdr>
                    </w:div>
                  </w:divsChild>
                </w:div>
                <w:div w:id="1401515663">
                  <w:marLeft w:val="0"/>
                  <w:marRight w:val="0"/>
                  <w:marTop w:val="0"/>
                  <w:marBottom w:val="0"/>
                  <w:divBdr>
                    <w:top w:val="none" w:sz="0" w:space="0" w:color="auto"/>
                    <w:left w:val="none" w:sz="0" w:space="0" w:color="auto"/>
                    <w:bottom w:val="none" w:sz="0" w:space="0" w:color="auto"/>
                    <w:right w:val="none" w:sz="0" w:space="0" w:color="auto"/>
                  </w:divBdr>
                  <w:divsChild>
                    <w:div w:id="572086714">
                      <w:marLeft w:val="0"/>
                      <w:marRight w:val="0"/>
                      <w:marTop w:val="0"/>
                      <w:marBottom w:val="0"/>
                      <w:divBdr>
                        <w:top w:val="none" w:sz="0" w:space="0" w:color="auto"/>
                        <w:left w:val="none" w:sz="0" w:space="0" w:color="auto"/>
                        <w:bottom w:val="none" w:sz="0" w:space="0" w:color="auto"/>
                        <w:right w:val="none" w:sz="0" w:space="0" w:color="auto"/>
                      </w:divBdr>
                    </w:div>
                  </w:divsChild>
                </w:div>
                <w:div w:id="1668824160">
                  <w:marLeft w:val="0"/>
                  <w:marRight w:val="0"/>
                  <w:marTop w:val="0"/>
                  <w:marBottom w:val="0"/>
                  <w:divBdr>
                    <w:top w:val="none" w:sz="0" w:space="0" w:color="auto"/>
                    <w:left w:val="none" w:sz="0" w:space="0" w:color="auto"/>
                    <w:bottom w:val="none" w:sz="0" w:space="0" w:color="auto"/>
                    <w:right w:val="none" w:sz="0" w:space="0" w:color="auto"/>
                  </w:divBdr>
                  <w:divsChild>
                    <w:div w:id="1642927545">
                      <w:marLeft w:val="0"/>
                      <w:marRight w:val="0"/>
                      <w:marTop w:val="0"/>
                      <w:marBottom w:val="0"/>
                      <w:divBdr>
                        <w:top w:val="none" w:sz="0" w:space="0" w:color="auto"/>
                        <w:left w:val="none" w:sz="0" w:space="0" w:color="auto"/>
                        <w:bottom w:val="none" w:sz="0" w:space="0" w:color="auto"/>
                        <w:right w:val="none" w:sz="0" w:space="0" w:color="auto"/>
                      </w:divBdr>
                    </w:div>
                  </w:divsChild>
                </w:div>
                <w:div w:id="1797873763">
                  <w:marLeft w:val="0"/>
                  <w:marRight w:val="0"/>
                  <w:marTop w:val="0"/>
                  <w:marBottom w:val="0"/>
                  <w:divBdr>
                    <w:top w:val="none" w:sz="0" w:space="0" w:color="auto"/>
                    <w:left w:val="none" w:sz="0" w:space="0" w:color="auto"/>
                    <w:bottom w:val="none" w:sz="0" w:space="0" w:color="auto"/>
                    <w:right w:val="none" w:sz="0" w:space="0" w:color="auto"/>
                  </w:divBdr>
                  <w:divsChild>
                    <w:div w:id="393550936">
                      <w:marLeft w:val="0"/>
                      <w:marRight w:val="0"/>
                      <w:marTop w:val="0"/>
                      <w:marBottom w:val="0"/>
                      <w:divBdr>
                        <w:top w:val="none" w:sz="0" w:space="0" w:color="auto"/>
                        <w:left w:val="none" w:sz="0" w:space="0" w:color="auto"/>
                        <w:bottom w:val="none" w:sz="0" w:space="0" w:color="auto"/>
                        <w:right w:val="none" w:sz="0" w:space="0" w:color="auto"/>
                      </w:divBdr>
                    </w:div>
                  </w:divsChild>
                </w:div>
                <w:div w:id="1872572483">
                  <w:marLeft w:val="0"/>
                  <w:marRight w:val="0"/>
                  <w:marTop w:val="0"/>
                  <w:marBottom w:val="0"/>
                  <w:divBdr>
                    <w:top w:val="none" w:sz="0" w:space="0" w:color="auto"/>
                    <w:left w:val="none" w:sz="0" w:space="0" w:color="auto"/>
                    <w:bottom w:val="none" w:sz="0" w:space="0" w:color="auto"/>
                    <w:right w:val="none" w:sz="0" w:space="0" w:color="auto"/>
                  </w:divBdr>
                  <w:divsChild>
                    <w:div w:id="72826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950">
              <w:marLeft w:val="0"/>
              <w:marRight w:val="0"/>
              <w:marTop w:val="0"/>
              <w:marBottom w:val="0"/>
              <w:divBdr>
                <w:top w:val="none" w:sz="0" w:space="0" w:color="auto"/>
                <w:left w:val="none" w:sz="0" w:space="0" w:color="auto"/>
                <w:bottom w:val="none" w:sz="0" w:space="0" w:color="auto"/>
                <w:right w:val="none" w:sz="0" w:space="0" w:color="auto"/>
              </w:divBdr>
              <w:divsChild>
                <w:div w:id="1438065241">
                  <w:marLeft w:val="0"/>
                  <w:marRight w:val="0"/>
                  <w:marTop w:val="0"/>
                  <w:marBottom w:val="0"/>
                  <w:divBdr>
                    <w:top w:val="none" w:sz="0" w:space="0" w:color="auto"/>
                    <w:left w:val="none" w:sz="0" w:space="0" w:color="auto"/>
                    <w:bottom w:val="none" w:sz="0" w:space="0" w:color="auto"/>
                    <w:right w:val="none" w:sz="0" w:space="0" w:color="auto"/>
                  </w:divBdr>
                </w:div>
              </w:divsChild>
            </w:div>
            <w:div w:id="1090199940">
              <w:marLeft w:val="0"/>
              <w:marRight w:val="0"/>
              <w:marTop w:val="0"/>
              <w:marBottom w:val="0"/>
              <w:divBdr>
                <w:top w:val="none" w:sz="0" w:space="0" w:color="auto"/>
                <w:left w:val="none" w:sz="0" w:space="0" w:color="auto"/>
                <w:bottom w:val="none" w:sz="0" w:space="0" w:color="auto"/>
                <w:right w:val="none" w:sz="0" w:space="0" w:color="auto"/>
              </w:divBdr>
              <w:divsChild>
                <w:div w:id="1408645316">
                  <w:marLeft w:val="0"/>
                  <w:marRight w:val="0"/>
                  <w:marTop w:val="0"/>
                  <w:marBottom w:val="0"/>
                  <w:divBdr>
                    <w:top w:val="none" w:sz="0" w:space="0" w:color="auto"/>
                    <w:left w:val="none" w:sz="0" w:space="0" w:color="auto"/>
                    <w:bottom w:val="none" w:sz="0" w:space="0" w:color="auto"/>
                    <w:right w:val="none" w:sz="0" w:space="0" w:color="auto"/>
                  </w:divBdr>
                </w:div>
                <w:div w:id="2080899234">
                  <w:marLeft w:val="0"/>
                  <w:marRight w:val="0"/>
                  <w:marTop w:val="0"/>
                  <w:marBottom w:val="0"/>
                  <w:divBdr>
                    <w:top w:val="none" w:sz="0" w:space="0" w:color="auto"/>
                    <w:left w:val="none" w:sz="0" w:space="0" w:color="auto"/>
                    <w:bottom w:val="none" w:sz="0" w:space="0" w:color="auto"/>
                    <w:right w:val="none" w:sz="0" w:space="0" w:color="auto"/>
                  </w:divBdr>
                </w:div>
              </w:divsChild>
            </w:div>
            <w:div w:id="1341160890">
              <w:marLeft w:val="0"/>
              <w:marRight w:val="0"/>
              <w:marTop w:val="0"/>
              <w:marBottom w:val="0"/>
              <w:divBdr>
                <w:top w:val="none" w:sz="0" w:space="0" w:color="auto"/>
                <w:left w:val="none" w:sz="0" w:space="0" w:color="auto"/>
                <w:bottom w:val="none" w:sz="0" w:space="0" w:color="auto"/>
                <w:right w:val="none" w:sz="0" w:space="0" w:color="auto"/>
              </w:divBdr>
              <w:divsChild>
                <w:div w:id="1825852070">
                  <w:marLeft w:val="0"/>
                  <w:marRight w:val="0"/>
                  <w:marTop w:val="0"/>
                  <w:marBottom w:val="0"/>
                  <w:divBdr>
                    <w:top w:val="none" w:sz="0" w:space="0" w:color="auto"/>
                    <w:left w:val="none" w:sz="0" w:space="0" w:color="auto"/>
                    <w:bottom w:val="none" w:sz="0" w:space="0" w:color="auto"/>
                    <w:right w:val="none" w:sz="0" w:space="0" w:color="auto"/>
                  </w:divBdr>
                </w:div>
              </w:divsChild>
            </w:div>
            <w:div w:id="1400784880">
              <w:marLeft w:val="0"/>
              <w:marRight w:val="0"/>
              <w:marTop w:val="0"/>
              <w:marBottom w:val="0"/>
              <w:divBdr>
                <w:top w:val="none" w:sz="0" w:space="0" w:color="auto"/>
                <w:left w:val="none" w:sz="0" w:space="0" w:color="auto"/>
                <w:bottom w:val="none" w:sz="0" w:space="0" w:color="auto"/>
                <w:right w:val="none" w:sz="0" w:space="0" w:color="auto"/>
              </w:divBdr>
              <w:divsChild>
                <w:div w:id="421952356">
                  <w:marLeft w:val="0"/>
                  <w:marRight w:val="0"/>
                  <w:marTop w:val="0"/>
                  <w:marBottom w:val="0"/>
                  <w:divBdr>
                    <w:top w:val="none" w:sz="0" w:space="0" w:color="auto"/>
                    <w:left w:val="none" w:sz="0" w:space="0" w:color="auto"/>
                    <w:bottom w:val="none" w:sz="0" w:space="0" w:color="auto"/>
                    <w:right w:val="none" w:sz="0" w:space="0" w:color="auto"/>
                  </w:divBdr>
                </w:div>
              </w:divsChild>
            </w:div>
            <w:div w:id="1623221132">
              <w:marLeft w:val="0"/>
              <w:marRight w:val="0"/>
              <w:marTop w:val="0"/>
              <w:marBottom w:val="0"/>
              <w:divBdr>
                <w:top w:val="none" w:sz="0" w:space="0" w:color="auto"/>
                <w:left w:val="none" w:sz="0" w:space="0" w:color="auto"/>
                <w:bottom w:val="none" w:sz="0" w:space="0" w:color="auto"/>
                <w:right w:val="none" w:sz="0" w:space="0" w:color="auto"/>
              </w:divBdr>
              <w:divsChild>
                <w:div w:id="1690907234">
                  <w:marLeft w:val="0"/>
                  <w:marRight w:val="0"/>
                  <w:marTop w:val="0"/>
                  <w:marBottom w:val="0"/>
                  <w:divBdr>
                    <w:top w:val="none" w:sz="0" w:space="0" w:color="auto"/>
                    <w:left w:val="none" w:sz="0" w:space="0" w:color="auto"/>
                    <w:bottom w:val="none" w:sz="0" w:space="0" w:color="auto"/>
                    <w:right w:val="none" w:sz="0" w:space="0" w:color="auto"/>
                  </w:divBdr>
                </w:div>
              </w:divsChild>
            </w:div>
            <w:div w:id="1703049343">
              <w:marLeft w:val="0"/>
              <w:marRight w:val="0"/>
              <w:marTop w:val="0"/>
              <w:marBottom w:val="0"/>
              <w:divBdr>
                <w:top w:val="none" w:sz="0" w:space="0" w:color="auto"/>
                <w:left w:val="none" w:sz="0" w:space="0" w:color="auto"/>
                <w:bottom w:val="none" w:sz="0" w:space="0" w:color="auto"/>
                <w:right w:val="none" w:sz="0" w:space="0" w:color="auto"/>
              </w:divBdr>
              <w:divsChild>
                <w:div w:id="342585781">
                  <w:marLeft w:val="0"/>
                  <w:marRight w:val="0"/>
                  <w:marTop w:val="0"/>
                  <w:marBottom w:val="0"/>
                  <w:divBdr>
                    <w:top w:val="none" w:sz="0" w:space="0" w:color="auto"/>
                    <w:left w:val="none" w:sz="0" w:space="0" w:color="auto"/>
                    <w:bottom w:val="none" w:sz="0" w:space="0" w:color="auto"/>
                    <w:right w:val="none" w:sz="0" w:space="0" w:color="auto"/>
                  </w:divBdr>
                </w:div>
              </w:divsChild>
            </w:div>
            <w:div w:id="1886519938">
              <w:marLeft w:val="0"/>
              <w:marRight w:val="0"/>
              <w:marTop w:val="0"/>
              <w:marBottom w:val="0"/>
              <w:divBdr>
                <w:top w:val="none" w:sz="0" w:space="0" w:color="auto"/>
                <w:left w:val="none" w:sz="0" w:space="0" w:color="auto"/>
                <w:bottom w:val="none" w:sz="0" w:space="0" w:color="auto"/>
                <w:right w:val="none" w:sz="0" w:space="0" w:color="auto"/>
              </w:divBdr>
              <w:divsChild>
                <w:div w:id="6568828">
                  <w:marLeft w:val="0"/>
                  <w:marRight w:val="0"/>
                  <w:marTop w:val="0"/>
                  <w:marBottom w:val="0"/>
                  <w:divBdr>
                    <w:top w:val="none" w:sz="0" w:space="0" w:color="auto"/>
                    <w:left w:val="none" w:sz="0" w:space="0" w:color="auto"/>
                    <w:bottom w:val="none" w:sz="0" w:space="0" w:color="auto"/>
                    <w:right w:val="none" w:sz="0" w:space="0" w:color="auto"/>
                  </w:divBdr>
                  <w:divsChild>
                    <w:div w:id="1166097078">
                      <w:marLeft w:val="0"/>
                      <w:marRight w:val="0"/>
                      <w:marTop w:val="0"/>
                      <w:marBottom w:val="0"/>
                      <w:divBdr>
                        <w:top w:val="none" w:sz="0" w:space="0" w:color="auto"/>
                        <w:left w:val="none" w:sz="0" w:space="0" w:color="auto"/>
                        <w:bottom w:val="none" w:sz="0" w:space="0" w:color="auto"/>
                        <w:right w:val="none" w:sz="0" w:space="0" w:color="auto"/>
                      </w:divBdr>
                    </w:div>
                  </w:divsChild>
                </w:div>
                <w:div w:id="183903481">
                  <w:marLeft w:val="0"/>
                  <w:marRight w:val="0"/>
                  <w:marTop w:val="0"/>
                  <w:marBottom w:val="0"/>
                  <w:divBdr>
                    <w:top w:val="none" w:sz="0" w:space="0" w:color="auto"/>
                    <w:left w:val="none" w:sz="0" w:space="0" w:color="auto"/>
                    <w:bottom w:val="none" w:sz="0" w:space="0" w:color="auto"/>
                    <w:right w:val="none" w:sz="0" w:space="0" w:color="auto"/>
                  </w:divBdr>
                  <w:divsChild>
                    <w:div w:id="1995916827">
                      <w:marLeft w:val="0"/>
                      <w:marRight w:val="0"/>
                      <w:marTop w:val="0"/>
                      <w:marBottom w:val="0"/>
                      <w:divBdr>
                        <w:top w:val="none" w:sz="0" w:space="0" w:color="auto"/>
                        <w:left w:val="none" w:sz="0" w:space="0" w:color="auto"/>
                        <w:bottom w:val="none" w:sz="0" w:space="0" w:color="auto"/>
                        <w:right w:val="none" w:sz="0" w:space="0" w:color="auto"/>
                      </w:divBdr>
                    </w:div>
                  </w:divsChild>
                </w:div>
                <w:div w:id="242496760">
                  <w:marLeft w:val="0"/>
                  <w:marRight w:val="0"/>
                  <w:marTop w:val="0"/>
                  <w:marBottom w:val="0"/>
                  <w:divBdr>
                    <w:top w:val="none" w:sz="0" w:space="0" w:color="auto"/>
                    <w:left w:val="none" w:sz="0" w:space="0" w:color="auto"/>
                    <w:bottom w:val="none" w:sz="0" w:space="0" w:color="auto"/>
                    <w:right w:val="none" w:sz="0" w:space="0" w:color="auto"/>
                  </w:divBdr>
                  <w:divsChild>
                    <w:div w:id="1529292736">
                      <w:marLeft w:val="0"/>
                      <w:marRight w:val="0"/>
                      <w:marTop w:val="0"/>
                      <w:marBottom w:val="0"/>
                      <w:divBdr>
                        <w:top w:val="none" w:sz="0" w:space="0" w:color="auto"/>
                        <w:left w:val="none" w:sz="0" w:space="0" w:color="auto"/>
                        <w:bottom w:val="none" w:sz="0" w:space="0" w:color="auto"/>
                        <w:right w:val="none" w:sz="0" w:space="0" w:color="auto"/>
                      </w:divBdr>
                    </w:div>
                  </w:divsChild>
                </w:div>
                <w:div w:id="422074813">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 w:id="569736717">
                  <w:marLeft w:val="0"/>
                  <w:marRight w:val="0"/>
                  <w:marTop w:val="0"/>
                  <w:marBottom w:val="0"/>
                  <w:divBdr>
                    <w:top w:val="none" w:sz="0" w:space="0" w:color="auto"/>
                    <w:left w:val="none" w:sz="0" w:space="0" w:color="auto"/>
                    <w:bottom w:val="none" w:sz="0" w:space="0" w:color="auto"/>
                    <w:right w:val="none" w:sz="0" w:space="0" w:color="auto"/>
                  </w:divBdr>
                  <w:divsChild>
                    <w:div w:id="926422719">
                      <w:marLeft w:val="0"/>
                      <w:marRight w:val="0"/>
                      <w:marTop w:val="0"/>
                      <w:marBottom w:val="0"/>
                      <w:divBdr>
                        <w:top w:val="none" w:sz="0" w:space="0" w:color="auto"/>
                        <w:left w:val="none" w:sz="0" w:space="0" w:color="auto"/>
                        <w:bottom w:val="none" w:sz="0" w:space="0" w:color="auto"/>
                        <w:right w:val="none" w:sz="0" w:space="0" w:color="auto"/>
                      </w:divBdr>
                    </w:div>
                  </w:divsChild>
                </w:div>
                <w:div w:id="573779240">
                  <w:marLeft w:val="0"/>
                  <w:marRight w:val="0"/>
                  <w:marTop w:val="0"/>
                  <w:marBottom w:val="0"/>
                  <w:divBdr>
                    <w:top w:val="none" w:sz="0" w:space="0" w:color="auto"/>
                    <w:left w:val="none" w:sz="0" w:space="0" w:color="auto"/>
                    <w:bottom w:val="none" w:sz="0" w:space="0" w:color="auto"/>
                    <w:right w:val="none" w:sz="0" w:space="0" w:color="auto"/>
                  </w:divBdr>
                  <w:divsChild>
                    <w:div w:id="437606310">
                      <w:marLeft w:val="0"/>
                      <w:marRight w:val="0"/>
                      <w:marTop w:val="0"/>
                      <w:marBottom w:val="0"/>
                      <w:divBdr>
                        <w:top w:val="none" w:sz="0" w:space="0" w:color="auto"/>
                        <w:left w:val="none" w:sz="0" w:space="0" w:color="auto"/>
                        <w:bottom w:val="none" w:sz="0" w:space="0" w:color="auto"/>
                        <w:right w:val="none" w:sz="0" w:space="0" w:color="auto"/>
                      </w:divBdr>
                    </w:div>
                  </w:divsChild>
                </w:div>
                <w:div w:id="1009720133">
                  <w:marLeft w:val="0"/>
                  <w:marRight w:val="0"/>
                  <w:marTop w:val="0"/>
                  <w:marBottom w:val="0"/>
                  <w:divBdr>
                    <w:top w:val="none" w:sz="0" w:space="0" w:color="auto"/>
                    <w:left w:val="none" w:sz="0" w:space="0" w:color="auto"/>
                    <w:bottom w:val="none" w:sz="0" w:space="0" w:color="auto"/>
                    <w:right w:val="none" w:sz="0" w:space="0" w:color="auto"/>
                  </w:divBdr>
                  <w:divsChild>
                    <w:div w:id="287664954">
                      <w:marLeft w:val="0"/>
                      <w:marRight w:val="0"/>
                      <w:marTop w:val="0"/>
                      <w:marBottom w:val="0"/>
                      <w:divBdr>
                        <w:top w:val="none" w:sz="0" w:space="0" w:color="auto"/>
                        <w:left w:val="none" w:sz="0" w:space="0" w:color="auto"/>
                        <w:bottom w:val="none" w:sz="0" w:space="0" w:color="auto"/>
                        <w:right w:val="none" w:sz="0" w:space="0" w:color="auto"/>
                      </w:divBdr>
                    </w:div>
                  </w:divsChild>
                </w:div>
                <w:div w:id="1300265320">
                  <w:marLeft w:val="0"/>
                  <w:marRight w:val="0"/>
                  <w:marTop w:val="0"/>
                  <w:marBottom w:val="0"/>
                  <w:divBdr>
                    <w:top w:val="none" w:sz="0" w:space="0" w:color="auto"/>
                    <w:left w:val="none" w:sz="0" w:space="0" w:color="auto"/>
                    <w:bottom w:val="none" w:sz="0" w:space="0" w:color="auto"/>
                    <w:right w:val="none" w:sz="0" w:space="0" w:color="auto"/>
                  </w:divBdr>
                  <w:divsChild>
                    <w:div w:id="1186792670">
                      <w:marLeft w:val="0"/>
                      <w:marRight w:val="0"/>
                      <w:marTop w:val="0"/>
                      <w:marBottom w:val="0"/>
                      <w:divBdr>
                        <w:top w:val="none" w:sz="0" w:space="0" w:color="auto"/>
                        <w:left w:val="none" w:sz="0" w:space="0" w:color="auto"/>
                        <w:bottom w:val="none" w:sz="0" w:space="0" w:color="auto"/>
                        <w:right w:val="none" w:sz="0" w:space="0" w:color="auto"/>
                      </w:divBdr>
                    </w:div>
                  </w:divsChild>
                </w:div>
                <w:div w:id="1474911997">
                  <w:marLeft w:val="0"/>
                  <w:marRight w:val="0"/>
                  <w:marTop w:val="0"/>
                  <w:marBottom w:val="0"/>
                  <w:divBdr>
                    <w:top w:val="none" w:sz="0" w:space="0" w:color="auto"/>
                    <w:left w:val="none" w:sz="0" w:space="0" w:color="auto"/>
                    <w:bottom w:val="none" w:sz="0" w:space="0" w:color="auto"/>
                    <w:right w:val="none" w:sz="0" w:space="0" w:color="auto"/>
                  </w:divBdr>
                  <w:divsChild>
                    <w:div w:id="1418482322">
                      <w:marLeft w:val="0"/>
                      <w:marRight w:val="0"/>
                      <w:marTop w:val="0"/>
                      <w:marBottom w:val="0"/>
                      <w:divBdr>
                        <w:top w:val="none" w:sz="0" w:space="0" w:color="auto"/>
                        <w:left w:val="none" w:sz="0" w:space="0" w:color="auto"/>
                        <w:bottom w:val="none" w:sz="0" w:space="0" w:color="auto"/>
                        <w:right w:val="none" w:sz="0" w:space="0" w:color="auto"/>
                      </w:divBdr>
                    </w:div>
                  </w:divsChild>
                </w:div>
                <w:div w:id="1560439667">
                  <w:marLeft w:val="0"/>
                  <w:marRight w:val="0"/>
                  <w:marTop w:val="0"/>
                  <w:marBottom w:val="0"/>
                  <w:divBdr>
                    <w:top w:val="none" w:sz="0" w:space="0" w:color="auto"/>
                    <w:left w:val="none" w:sz="0" w:space="0" w:color="auto"/>
                    <w:bottom w:val="none" w:sz="0" w:space="0" w:color="auto"/>
                    <w:right w:val="none" w:sz="0" w:space="0" w:color="auto"/>
                  </w:divBdr>
                  <w:divsChild>
                    <w:div w:id="530654009">
                      <w:marLeft w:val="0"/>
                      <w:marRight w:val="0"/>
                      <w:marTop w:val="0"/>
                      <w:marBottom w:val="0"/>
                      <w:divBdr>
                        <w:top w:val="none" w:sz="0" w:space="0" w:color="auto"/>
                        <w:left w:val="none" w:sz="0" w:space="0" w:color="auto"/>
                        <w:bottom w:val="none" w:sz="0" w:space="0" w:color="auto"/>
                        <w:right w:val="none" w:sz="0" w:space="0" w:color="auto"/>
                      </w:divBdr>
                    </w:div>
                  </w:divsChild>
                </w:div>
                <w:div w:id="1698585386">
                  <w:marLeft w:val="0"/>
                  <w:marRight w:val="0"/>
                  <w:marTop w:val="0"/>
                  <w:marBottom w:val="0"/>
                  <w:divBdr>
                    <w:top w:val="none" w:sz="0" w:space="0" w:color="auto"/>
                    <w:left w:val="none" w:sz="0" w:space="0" w:color="auto"/>
                    <w:bottom w:val="none" w:sz="0" w:space="0" w:color="auto"/>
                    <w:right w:val="none" w:sz="0" w:space="0" w:color="auto"/>
                  </w:divBdr>
                  <w:divsChild>
                    <w:div w:id="1886597416">
                      <w:marLeft w:val="0"/>
                      <w:marRight w:val="0"/>
                      <w:marTop w:val="0"/>
                      <w:marBottom w:val="0"/>
                      <w:divBdr>
                        <w:top w:val="none" w:sz="0" w:space="0" w:color="auto"/>
                        <w:left w:val="none" w:sz="0" w:space="0" w:color="auto"/>
                        <w:bottom w:val="none" w:sz="0" w:space="0" w:color="auto"/>
                        <w:right w:val="none" w:sz="0" w:space="0" w:color="auto"/>
                      </w:divBdr>
                    </w:div>
                  </w:divsChild>
                </w:div>
                <w:div w:id="1782455048">
                  <w:marLeft w:val="0"/>
                  <w:marRight w:val="0"/>
                  <w:marTop w:val="0"/>
                  <w:marBottom w:val="0"/>
                  <w:divBdr>
                    <w:top w:val="none" w:sz="0" w:space="0" w:color="auto"/>
                    <w:left w:val="none" w:sz="0" w:space="0" w:color="auto"/>
                    <w:bottom w:val="none" w:sz="0" w:space="0" w:color="auto"/>
                    <w:right w:val="none" w:sz="0" w:space="0" w:color="auto"/>
                  </w:divBdr>
                  <w:divsChild>
                    <w:div w:id="1546793496">
                      <w:marLeft w:val="0"/>
                      <w:marRight w:val="0"/>
                      <w:marTop w:val="0"/>
                      <w:marBottom w:val="0"/>
                      <w:divBdr>
                        <w:top w:val="none" w:sz="0" w:space="0" w:color="auto"/>
                        <w:left w:val="none" w:sz="0" w:space="0" w:color="auto"/>
                        <w:bottom w:val="none" w:sz="0" w:space="0" w:color="auto"/>
                        <w:right w:val="none" w:sz="0" w:space="0" w:color="auto"/>
                      </w:divBdr>
                    </w:div>
                  </w:divsChild>
                </w:div>
                <w:div w:id="1939481621">
                  <w:marLeft w:val="0"/>
                  <w:marRight w:val="0"/>
                  <w:marTop w:val="0"/>
                  <w:marBottom w:val="0"/>
                  <w:divBdr>
                    <w:top w:val="none" w:sz="0" w:space="0" w:color="auto"/>
                    <w:left w:val="none" w:sz="0" w:space="0" w:color="auto"/>
                    <w:bottom w:val="none" w:sz="0" w:space="0" w:color="auto"/>
                    <w:right w:val="none" w:sz="0" w:space="0" w:color="auto"/>
                  </w:divBdr>
                  <w:divsChild>
                    <w:div w:id="1135873221">
                      <w:marLeft w:val="0"/>
                      <w:marRight w:val="0"/>
                      <w:marTop w:val="0"/>
                      <w:marBottom w:val="0"/>
                      <w:divBdr>
                        <w:top w:val="none" w:sz="0" w:space="0" w:color="auto"/>
                        <w:left w:val="none" w:sz="0" w:space="0" w:color="auto"/>
                        <w:bottom w:val="none" w:sz="0" w:space="0" w:color="auto"/>
                        <w:right w:val="none" w:sz="0" w:space="0" w:color="auto"/>
                      </w:divBdr>
                    </w:div>
                    <w:div w:id="1792481357">
                      <w:marLeft w:val="0"/>
                      <w:marRight w:val="0"/>
                      <w:marTop w:val="0"/>
                      <w:marBottom w:val="0"/>
                      <w:divBdr>
                        <w:top w:val="none" w:sz="0" w:space="0" w:color="auto"/>
                        <w:left w:val="none" w:sz="0" w:space="0" w:color="auto"/>
                        <w:bottom w:val="none" w:sz="0" w:space="0" w:color="auto"/>
                        <w:right w:val="none" w:sz="0" w:space="0" w:color="auto"/>
                      </w:divBdr>
                    </w:div>
                  </w:divsChild>
                </w:div>
                <w:div w:id="1993213060">
                  <w:marLeft w:val="0"/>
                  <w:marRight w:val="0"/>
                  <w:marTop w:val="0"/>
                  <w:marBottom w:val="0"/>
                  <w:divBdr>
                    <w:top w:val="none" w:sz="0" w:space="0" w:color="auto"/>
                    <w:left w:val="none" w:sz="0" w:space="0" w:color="auto"/>
                    <w:bottom w:val="none" w:sz="0" w:space="0" w:color="auto"/>
                    <w:right w:val="none" w:sz="0" w:space="0" w:color="auto"/>
                  </w:divBdr>
                  <w:divsChild>
                    <w:div w:id="251669293">
                      <w:marLeft w:val="0"/>
                      <w:marRight w:val="0"/>
                      <w:marTop w:val="0"/>
                      <w:marBottom w:val="0"/>
                      <w:divBdr>
                        <w:top w:val="none" w:sz="0" w:space="0" w:color="auto"/>
                        <w:left w:val="none" w:sz="0" w:space="0" w:color="auto"/>
                        <w:bottom w:val="none" w:sz="0" w:space="0" w:color="auto"/>
                        <w:right w:val="none" w:sz="0" w:space="0" w:color="auto"/>
                      </w:divBdr>
                    </w:div>
                  </w:divsChild>
                </w:div>
                <w:div w:id="2038968229">
                  <w:marLeft w:val="0"/>
                  <w:marRight w:val="0"/>
                  <w:marTop w:val="0"/>
                  <w:marBottom w:val="0"/>
                  <w:divBdr>
                    <w:top w:val="none" w:sz="0" w:space="0" w:color="auto"/>
                    <w:left w:val="none" w:sz="0" w:space="0" w:color="auto"/>
                    <w:bottom w:val="none" w:sz="0" w:space="0" w:color="auto"/>
                    <w:right w:val="none" w:sz="0" w:space="0" w:color="auto"/>
                  </w:divBdr>
                  <w:divsChild>
                    <w:div w:id="532226297">
                      <w:marLeft w:val="0"/>
                      <w:marRight w:val="0"/>
                      <w:marTop w:val="0"/>
                      <w:marBottom w:val="0"/>
                      <w:divBdr>
                        <w:top w:val="none" w:sz="0" w:space="0" w:color="auto"/>
                        <w:left w:val="none" w:sz="0" w:space="0" w:color="auto"/>
                        <w:bottom w:val="none" w:sz="0" w:space="0" w:color="auto"/>
                        <w:right w:val="none" w:sz="0" w:space="0" w:color="auto"/>
                      </w:divBdr>
                    </w:div>
                    <w:div w:id="666518120">
                      <w:marLeft w:val="0"/>
                      <w:marRight w:val="0"/>
                      <w:marTop w:val="0"/>
                      <w:marBottom w:val="0"/>
                      <w:divBdr>
                        <w:top w:val="none" w:sz="0" w:space="0" w:color="auto"/>
                        <w:left w:val="none" w:sz="0" w:space="0" w:color="auto"/>
                        <w:bottom w:val="none" w:sz="0" w:space="0" w:color="auto"/>
                        <w:right w:val="none" w:sz="0" w:space="0" w:color="auto"/>
                      </w:divBdr>
                    </w:div>
                  </w:divsChild>
                </w:div>
                <w:div w:id="2047833389">
                  <w:marLeft w:val="0"/>
                  <w:marRight w:val="0"/>
                  <w:marTop w:val="0"/>
                  <w:marBottom w:val="0"/>
                  <w:divBdr>
                    <w:top w:val="none" w:sz="0" w:space="0" w:color="auto"/>
                    <w:left w:val="none" w:sz="0" w:space="0" w:color="auto"/>
                    <w:bottom w:val="none" w:sz="0" w:space="0" w:color="auto"/>
                    <w:right w:val="none" w:sz="0" w:space="0" w:color="auto"/>
                  </w:divBdr>
                  <w:divsChild>
                    <w:div w:id="1844126402">
                      <w:marLeft w:val="0"/>
                      <w:marRight w:val="0"/>
                      <w:marTop w:val="0"/>
                      <w:marBottom w:val="0"/>
                      <w:divBdr>
                        <w:top w:val="none" w:sz="0" w:space="0" w:color="auto"/>
                        <w:left w:val="none" w:sz="0" w:space="0" w:color="auto"/>
                        <w:bottom w:val="none" w:sz="0" w:space="0" w:color="auto"/>
                        <w:right w:val="none" w:sz="0" w:space="0" w:color="auto"/>
                      </w:divBdr>
                    </w:div>
                  </w:divsChild>
                </w:div>
                <w:div w:id="2143114426">
                  <w:marLeft w:val="0"/>
                  <w:marRight w:val="0"/>
                  <w:marTop w:val="0"/>
                  <w:marBottom w:val="0"/>
                  <w:divBdr>
                    <w:top w:val="none" w:sz="0" w:space="0" w:color="auto"/>
                    <w:left w:val="none" w:sz="0" w:space="0" w:color="auto"/>
                    <w:bottom w:val="none" w:sz="0" w:space="0" w:color="auto"/>
                    <w:right w:val="none" w:sz="0" w:space="0" w:color="auto"/>
                  </w:divBdr>
                  <w:divsChild>
                    <w:div w:id="12904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3452">
              <w:marLeft w:val="0"/>
              <w:marRight w:val="0"/>
              <w:marTop w:val="0"/>
              <w:marBottom w:val="0"/>
              <w:divBdr>
                <w:top w:val="none" w:sz="0" w:space="0" w:color="auto"/>
                <w:left w:val="none" w:sz="0" w:space="0" w:color="auto"/>
                <w:bottom w:val="none" w:sz="0" w:space="0" w:color="auto"/>
                <w:right w:val="none" w:sz="0" w:space="0" w:color="auto"/>
              </w:divBdr>
              <w:divsChild>
                <w:div w:id="2012633054">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0165">
              <w:marLeft w:val="0"/>
              <w:marRight w:val="0"/>
              <w:marTop w:val="0"/>
              <w:marBottom w:val="0"/>
              <w:divBdr>
                <w:top w:val="none" w:sz="0" w:space="0" w:color="auto"/>
                <w:left w:val="none" w:sz="0" w:space="0" w:color="auto"/>
                <w:bottom w:val="none" w:sz="0" w:space="0" w:color="auto"/>
                <w:right w:val="none" w:sz="0" w:space="0" w:color="auto"/>
              </w:divBdr>
              <w:divsChild>
                <w:div w:id="794059839">
                  <w:marLeft w:val="0"/>
                  <w:marRight w:val="0"/>
                  <w:marTop w:val="0"/>
                  <w:marBottom w:val="0"/>
                  <w:divBdr>
                    <w:top w:val="none" w:sz="0" w:space="0" w:color="auto"/>
                    <w:left w:val="none" w:sz="0" w:space="0" w:color="auto"/>
                    <w:bottom w:val="none" w:sz="0" w:space="0" w:color="auto"/>
                    <w:right w:val="none" w:sz="0" w:space="0" w:color="auto"/>
                  </w:divBdr>
                </w:div>
                <w:div w:id="15171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2053">
          <w:marLeft w:val="0"/>
          <w:marRight w:val="0"/>
          <w:marTop w:val="0"/>
          <w:marBottom w:val="0"/>
          <w:divBdr>
            <w:top w:val="none" w:sz="0" w:space="0" w:color="auto"/>
            <w:left w:val="none" w:sz="0" w:space="0" w:color="auto"/>
            <w:bottom w:val="none" w:sz="0" w:space="0" w:color="auto"/>
            <w:right w:val="none" w:sz="0" w:space="0" w:color="auto"/>
          </w:divBdr>
          <w:divsChild>
            <w:div w:id="361515634">
              <w:marLeft w:val="0"/>
              <w:marRight w:val="0"/>
              <w:marTop w:val="0"/>
              <w:marBottom w:val="0"/>
              <w:divBdr>
                <w:top w:val="none" w:sz="0" w:space="0" w:color="auto"/>
                <w:left w:val="none" w:sz="0" w:space="0" w:color="auto"/>
                <w:bottom w:val="none" w:sz="0" w:space="0" w:color="auto"/>
                <w:right w:val="none" w:sz="0" w:space="0" w:color="auto"/>
              </w:divBdr>
              <w:divsChild>
                <w:div w:id="12212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8016">
          <w:marLeft w:val="0"/>
          <w:marRight w:val="0"/>
          <w:marTop w:val="0"/>
          <w:marBottom w:val="0"/>
          <w:divBdr>
            <w:top w:val="none" w:sz="0" w:space="0" w:color="auto"/>
            <w:left w:val="none" w:sz="0" w:space="0" w:color="auto"/>
            <w:bottom w:val="none" w:sz="0" w:space="0" w:color="auto"/>
            <w:right w:val="none" w:sz="0" w:space="0" w:color="auto"/>
          </w:divBdr>
          <w:divsChild>
            <w:div w:id="565919369">
              <w:marLeft w:val="0"/>
              <w:marRight w:val="0"/>
              <w:marTop w:val="0"/>
              <w:marBottom w:val="0"/>
              <w:divBdr>
                <w:top w:val="none" w:sz="0" w:space="0" w:color="auto"/>
                <w:left w:val="none" w:sz="0" w:space="0" w:color="auto"/>
                <w:bottom w:val="none" w:sz="0" w:space="0" w:color="auto"/>
                <w:right w:val="none" w:sz="0" w:space="0" w:color="auto"/>
              </w:divBdr>
              <w:divsChild>
                <w:div w:id="14769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3805">
          <w:marLeft w:val="0"/>
          <w:marRight w:val="0"/>
          <w:marTop w:val="0"/>
          <w:marBottom w:val="0"/>
          <w:divBdr>
            <w:top w:val="none" w:sz="0" w:space="0" w:color="auto"/>
            <w:left w:val="none" w:sz="0" w:space="0" w:color="auto"/>
            <w:bottom w:val="none" w:sz="0" w:space="0" w:color="auto"/>
            <w:right w:val="none" w:sz="0" w:space="0" w:color="auto"/>
          </w:divBdr>
          <w:divsChild>
            <w:div w:id="126437926">
              <w:marLeft w:val="0"/>
              <w:marRight w:val="0"/>
              <w:marTop w:val="0"/>
              <w:marBottom w:val="0"/>
              <w:divBdr>
                <w:top w:val="none" w:sz="0" w:space="0" w:color="auto"/>
                <w:left w:val="none" w:sz="0" w:space="0" w:color="auto"/>
                <w:bottom w:val="none" w:sz="0" w:space="0" w:color="auto"/>
                <w:right w:val="none" w:sz="0" w:space="0" w:color="auto"/>
              </w:divBdr>
              <w:divsChild>
                <w:div w:id="408693189">
                  <w:marLeft w:val="0"/>
                  <w:marRight w:val="0"/>
                  <w:marTop w:val="0"/>
                  <w:marBottom w:val="0"/>
                  <w:divBdr>
                    <w:top w:val="none" w:sz="0" w:space="0" w:color="auto"/>
                    <w:left w:val="none" w:sz="0" w:space="0" w:color="auto"/>
                    <w:bottom w:val="none" w:sz="0" w:space="0" w:color="auto"/>
                    <w:right w:val="none" w:sz="0" w:space="0" w:color="auto"/>
                  </w:divBdr>
                </w:div>
              </w:divsChild>
            </w:div>
            <w:div w:id="213735205">
              <w:marLeft w:val="0"/>
              <w:marRight w:val="0"/>
              <w:marTop w:val="0"/>
              <w:marBottom w:val="0"/>
              <w:divBdr>
                <w:top w:val="none" w:sz="0" w:space="0" w:color="auto"/>
                <w:left w:val="none" w:sz="0" w:space="0" w:color="auto"/>
                <w:bottom w:val="none" w:sz="0" w:space="0" w:color="auto"/>
                <w:right w:val="none" w:sz="0" w:space="0" w:color="auto"/>
              </w:divBdr>
              <w:divsChild>
                <w:div w:id="1852451867">
                  <w:marLeft w:val="0"/>
                  <w:marRight w:val="0"/>
                  <w:marTop w:val="0"/>
                  <w:marBottom w:val="0"/>
                  <w:divBdr>
                    <w:top w:val="none" w:sz="0" w:space="0" w:color="auto"/>
                    <w:left w:val="none" w:sz="0" w:space="0" w:color="auto"/>
                    <w:bottom w:val="none" w:sz="0" w:space="0" w:color="auto"/>
                    <w:right w:val="none" w:sz="0" w:space="0" w:color="auto"/>
                  </w:divBdr>
                </w:div>
              </w:divsChild>
            </w:div>
            <w:div w:id="229078674">
              <w:marLeft w:val="0"/>
              <w:marRight w:val="0"/>
              <w:marTop w:val="0"/>
              <w:marBottom w:val="0"/>
              <w:divBdr>
                <w:top w:val="none" w:sz="0" w:space="0" w:color="auto"/>
                <w:left w:val="none" w:sz="0" w:space="0" w:color="auto"/>
                <w:bottom w:val="none" w:sz="0" w:space="0" w:color="auto"/>
                <w:right w:val="none" w:sz="0" w:space="0" w:color="auto"/>
              </w:divBdr>
              <w:divsChild>
                <w:div w:id="1297686023">
                  <w:marLeft w:val="0"/>
                  <w:marRight w:val="0"/>
                  <w:marTop w:val="0"/>
                  <w:marBottom w:val="0"/>
                  <w:divBdr>
                    <w:top w:val="none" w:sz="0" w:space="0" w:color="auto"/>
                    <w:left w:val="none" w:sz="0" w:space="0" w:color="auto"/>
                    <w:bottom w:val="none" w:sz="0" w:space="0" w:color="auto"/>
                    <w:right w:val="none" w:sz="0" w:space="0" w:color="auto"/>
                  </w:divBdr>
                </w:div>
              </w:divsChild>
            </w:div>
            <w:div w:id="258484550">
              <w:marLeft w:val="0"/>
              <w:marRight w:val="0"/>
              <w:marTop w:val="0"/>
              <w:marBottom w:val="0"/>
              <w:divBdr>
                <w:top w:val="none" w:sz="0" w:space="0" w:color="auto"/>
                <w:left w:val="none" w:sz="0" w:space="0" w:color="auto"/>
                <w:bottom w:val="none" w:sz="0" w:space="0" w:color="auto"/>
                <w:right w:val="none" w:sz="0" w:space="0" w:color="auto"/>
              </w:divBdr>
              <w:divsChild>
                <w:div w:id="1565918402">
                  <w:marLeft w:val="0"/>
                  <w:marRight w:val="0"/>
                  <w:marTop w:val="0"/>
                  <w:marBottom w:val="0"/>
                  <w:divBdr>
                    <w:top w:val="none" w:sz="0" w:space="0" w:color="auto"/>
                    <w:left w:val="none" w:sz="0" w:space="0" w:color="auto"/>
                    <w:bottom w:val="none" w:sz="0" w:space="0" w:color="auto"/>
                    <w:right w:val="none" w:sz="0" w:space="0" w:color="auto"/>
                  </w:divBdr>
                </w:div>
              </w:divsChild>
            </w:div>
            <w:div w:id="345060918">
              <w:marLeft w:val="0"/>
              <w:marRight w:val="0"/>
              <w:marTop w:val="0"/>
              <w:marBottom w:val="0"/>
              <w:divBdr>
                <w:top w:val="none" w:sz="0" w:space="0" w:color="auto"/>
                <w:left w:val="none" w:sz="0" w:space="0" w:color="auto"/>
                <w:bottom w:val="none" w:sz="0" w:space="0" w:color="auto"/>
                <w:right w:val="none" w:sz="0" w:space="0" w:color="auto"/>
              </w:divBdr>
              <w:divsChild>
                <w:div w:id="538518090">
                  <w:marLeft w:val="0"/>
                  <w:marRight w:val="0"/>
                  <w:marTop w:val="0"/>
                  <w:marBottom w:val="0"/>
                  <w:divBdr>
                    <w:top w:val="none" w:sz="0" w:space="0" w:color="auto"/>
                    <w:left w:val="none" w:sz="0" w:space="0" w:color="auto"/>
                    <w:bottom w:val="none" w:sz="0" w:space="0" w:color="auto"/>
                    <w:right w:val="none" w:sz="0" w:space="0" w:color="auto"/>
                  </w:divBdr>
                </w:div>
              </w:divsChild>
            </w:div>
            <w:div w:id="362295161">
              <w:marLeft w:val="0"/>
              <w:marRight w:val="0"/>
              <w:marTop w:val="0"/>
              <w:marBottom w:val="0"/>
              <w:divBdr>
                <w:top w:val="none" w:sz="0" w:space="0" w:color="auto"/>
                <w:left w:val="none" w:sz="0" w:space="0" w:color="auto"/>
                <w:bottom w:val="none" w:sz="0" w:space="0" w:color="auto"/>
                <w:right w:val="none" w:sz="0" w:space="0" w:color="auto"/>
              </w:divBdr>
              <w:divsChild>
                <w:div w:id="1640720919">
                  <w:marLeft w:val="0"/>
                  <w:marRight w:val="0"/>
                  <w:marTop w:val="0"/>
                  <w:marBottom w:val="0"/>
                  <w:divBdr>
                    <w:top w:val="none" w:sz="0" w:space="0" w:color="auto"/>
                    <w:left w:val="none" w:sz="0" w:space="0" w:color="auto"/>
                    <w:bottom w:val="none" w:sz="0" w:space="0" w:color="auto"/>
                    <w:right w:val="none" w:sz="0" w:space="0" w:color="auto"/>
                  </w:divBdr>
                </w:div>
              </w:divsChild>
            </w:div>
            <w:div w:id="387193543">
              <w:marLeft w:val="0"/>
              <w:marRight w:val="0"/>
              <w:marTop w:val="0"/>
              <w:marBottom w:val="0"/>
              <w:divBdr>
                <w:top w:val="none" w:sz="0" w:space="0" w:color="auto"/>
                <w:left w:val="none" w:sz="0" w:space="0" w:color="auto"/>
                <w:bottom w:val="none" w:sz="0" w:space="0" w:color="auto"/>
                <w:right w:val="none" w:sz="0" w:space="0" w:color="auto"/>
              </w:divBdr>
              <w:divsChild>
                <w:div w:id="1518537205">
                  <w:marLeft w:val="0"/>
                  <w:marRight w:val="0"/>
                  <w:marTop w:val="0"/>
                  <w:marBottom w:val="0"/>
                  <w:divBdr>
                    <w:top w:val="none" w:sz="0" w:space="0" w:color="auto"/>
                    <w:left w:val="none" w:sz="0" w:space="0" w:color="auto"/>
                    <w:bottom w:val="none" w:sz="0" w:space="0" w:color="auto"/>
                    <w:right w:val="none" w:sz="0" w:space="0" w:color="auto"/>
                  </w:divBdr>
                </w:div>
              </w:divsChild>
            </w:div>
            <w:div w:id="692653340">
              <w:marLeft w:val="0"/>
              <w:marRight w:val="0"/>
              <w:marTop w:val="0"/>
              <w:marBottom w:val="0"/>
              <w:divBdr>
                <w:top w:val="none" w:sz="0" w:space="0" w:color="auto"/>
                <w:left w:val="none" w:sz="0" w:space="0" w:color="auto"/>
                <w:bottom w:val="none" w:sz="0" w:space="0" w:color="auto"/>
                <w:right w:val="none" w:sz="0" w:space="0" w:color="auto"/>
              </w:divBdr>
              <w:divsChild>
                <w:div w:id="1243373582">
                  <w:marLeft w:val="0"/>
                  <w:marRight w:val="0"/>
                  <w:marTop w:val="0"/>
                  <w:marBottom w:val="0"/>
                  <w:divBdr>
                    <w:top w:val="none" w:sz="0" w:space="0" w:color="auto"/>
                    <w:left w:val="none" w:sz="0" w:space="0" w:color="auto"/>
                    <w:bottom w:val="none" w:sz="0" w:space="0" w:color="auto"/>
                    <w:right w:val="none" w:sz="0" w:space="0" w:color="auto"/>
                  </w:divBdr>
                </w:div>
              </w:divsChild>
            </w:div>
            <w:div w:id="746652253">
              <w:marLeft w:val="0"/>
              <w:marRight w:val="0"/>
              <w:marTop w:val="0"/>
              <w:marBottom w:val="0"/>
              <w:divBdr>
                <w:top w:val="none" w:sz="0" w:space="0" w:color="auto"/>
                <w:left w:val="none" w:sz="0" w:space="0" w:color="auto"/>
                <w:bottom w:val="none" w:sz="0" w:space="0" w:color="auto"/>
                <w:right w:val="none" w:sz="0" w:space="0" w:color="auto"/>
              </w:divBdr>
              <w:divsChild>
                <w:div w:id="507523700">
                  <w:marLeft w:val="0"/>
                  <w:marRight w:val="0"/>
                  <w:marTop w:val="0"/>
                  <w:marBottom w:val="0"/>
                  <w:divBdr>
                    <w:top w:val="none" w:sz="0" w:space="0" w:color="auto"/>
                    <w:left w:val="none" w:sz="0" w:space="0" w:color="auto"/>
                    <w:bottom w:val="none" w:sz="0" w:space="0" w:color="auto"/>
                    <w:right w:val="none" w:sz="0" w:space="0" w:color="auto"/>
                  </w:divBdr>
                </w:div>
              </w:divsChild>
            </w:div>
            <w:div w:id="792793869">
              <w:marLeft w:val="0"/>
              <w:marRight w:val="0"/>
              <w:marTop w:val="0"/>
              <w:marBottom w:val="0"/>
              <w:divBdr>
                <w:top w:val="none" w:sz="0" w:space="0" w:color="auto"/>
                <w:left w:val="none" w:sz="0" w:space="0" w:color="auto"/>
                <w:bottom w:val="none" w:sz="0" w:space="0" w:color="auto"/>
                <w:right w:val="none" w:sz="0" w:space="0" w:color="auto"/>
              </w:divBdr>
              <w:divsChild>
                <w:div w:id="1143739364">
                  <w:marLeft w:val="0"/>
                  <w:marRight w:val="0"/>
                  <w:marTop w:val="0"/>
                  <w:marBottom w:val="0"/>
                  <w:divBdr>
                    <w:top w:val="none" w:sz="0" w:space="0" w:color="auto"/>
                    <w:left w:val="none" w:sz="0" w:space="0" w:color="auto"/>
                    <w:bottom w:val="none" w:sz="0" w:space="0" w:color="auto"/>
                    <w:right w:val="none" w:sz="0" w:space="0" w:color="auto"/>
                  </w:divBdr>
                </w:div>
              </w:divsChild>
            </w:div>
            <w:div w:id="1007633361">
              <w:marLeft w:val="0"/>
              <w:marRight w:val="0"/>
              <w:marTop w:val="0"/>
              <w:marBottom w:val="0"/>
              <w:divBdr>
                <w:top w:val="none" w:sz="0" w:space="0" w:color="auto"/>
                <w:left w:val="none" w:sz="0" w:space="0" w:color="auto"/>
                <w:bottom w:val="none" w:sz="0" w:space="0" w:color="auto"/>
                <w:right w:val="none" w:sz="0" w:space="0" w:color="auto"/>
              </w:divBdr>
              <w:divsChild>
                <w:div w:id="710037985">
                  <w:marLeft w:val="0"/>
                  <w:marRight w:val="0"/>
                  <w:marTop w:val="0"/>
                  <w:marBottom w:val="0"/>
                  <w:divBdr>
                    <w:top w:val="none" w:sz="0" w:space="0" w:color="auto"/>
                    <w:left w:val="none" w:sz="0" w:space="0" w:color="auto"/>
                    <w:bottom w:val="none" w:sz="0" w:space="0" w:color="auto"/>
                    <w:right w:val="none" w:sz="0" w:space="0" w:color="auto"/>
                  </w:divBdr>
                </w:div>
              </w:divsChild>
            </w:div>
            <w:div w:id="1198081705">
              <w:marLeft w:val="0"/>
              <w:marRight w:val="0"/>
              <w:marTop w:val="0"/>
              <w:marBottom w:val="0"/>
              <w:divBdr>
                <w:top w:val="none" w:sz="0" w:space="0" w:color="auto"/>
                <w:left w:val="none" w:sz="0" w:space="0" w:color="auto"/>
                <w:bottom w:val="none" w:sz="0" w:space="0" w:color="auto"/>
                <w:right w:val="none" w:sz="0" w:space="0" w:color="auto"/>
              </w:divBdr>
              <w:divsChild>
                <w:div w:id="131334876">
                  <w:marLeft w:val="0"/>
                  <w:marRight w:val="0"/>
                  <w:marTop w:val="0"/>
                  <w:marBottom w:val="0"/>
                  <w:divBdr>
                    <w:top w:val="none" w:sz="0" w:space="0" w:color="auto"/>
                    <w:left w:val="none" w:sz="0" w:space="0" w:color="auto"/>
                    <w:bottom w:val="none" w:sz="0" w:space="0" w:color="auto"/>
                    <w:right w:val="none" w:sz="0" w:space="0" w:color="auto"/>
                  </w:divBdr>
                </w:div>
              </w:divsChild>
            </w:div>
            <w:div w:id="1245458366">
              <w:marLeft w:val="0"/>
              <w:marRight w:val="0"/>
              <w:marTop w:val="0"/>
              <w:marBottom w:val="0"/>
              <w:divBdr>
                <w:top w:val="none" w:sz="0" w:space="0" w:color="auto"/>
                <w:left w:val="none" w:sz="0" w:space="0" w:color="auto"/>
                <w:bottom w:val="none" w:sz="0" w:space="0" w:color="auto"/>
                <w:right w:val="none" w:sz="0" w:space="0" w:color="auto"/>
              </w:divBdr>
              <w:divsChild>
                <w:div w:id="44834340">
                  <w:marLeft w:val="0"/>
                  <w:marRight w:val="0"/>
                  <w:marTop w:val="0"/>
                  <w:marBottom w:val="0"/>
                  <w:divBdr>
                    <w:top w:val="none" w:sz="0" w:space="0" w:color="auto"/>
                    <w:left w:val="none" w:sz="0" w:space="0" w:color="auto"/>
                    <w:bottom w:val="none" w:sz="0" w:space="0" w:color="auto"/>
                    <w:right w:val="none" w:sz="0" w:space="0" w:color="auto"/>
                  </w:divBdr>
                </w:div>
              </w:divsChild>
            </w:div>
            <w:div w:id="1305544341">
              <w:marLeft w:val="0"/>
              <w:marRight w:val="0"/>
              <w:marTop w:val="0"/>
              <w:marBottom w:val="0"/>
              <w:divBdr>
                <w:top w:val="none" w:sz="0" w:space="0" w:color="auto"/>
                <w:left w:val="none" w:sz="0" w:space="0" w:color="auto"/>
                <w:bottom w:val="none" w:sz="0" w:space="0" w:color="auto"/>
                <w:right w:val="none" w:sz="0" w:space="0" w:color="auto"/>
              </w:divBdr>
              <w:divsChild>
                <w:div w:id="1356804438">
                  <w:marLeft w:val="0"/>
                  <w:marRight w:val="0"/>
                  <w:marTop w:val="0"/>
                  <w:marBottom w:val="0"/>
                  <w:divBdr>
                    <w:top w:val="none" w:sz="0" w:space="0" w:color="auto"/>
                    <w:left w:val="none" w:sz="0" w:space="0" w:color="auto"/>
                    <w:bottom w:val="none" w:sz="0" w:space="0" w:color="auto"/>
                    <w:right w:val="none" w:sz="0" w:space="0" w:color="auto"/>
                  </w:divBdr>
                </w:div>
              </w:divsChild>
            </w:div>
            <w:div w:id="1555776867">
              <w:marLeft w:val="0"/>
              <w:marRight w:val="0"/>
              <w:marTop w:val="0"/>
              <w:marBottom w:val="0"/>
              <w:divBdr>
                <w:top w:val="none" w:sz="0" w:space="0" w:color="auto"/>
                <w:left w:val="none" w:sz="0" w:space="0" w:color="auto"/>
                <w:bottom w:val="none" w:sz="0" w:space="0" w:color="auto"/>
                <w:right w:val="none" w:sz="0" w:space="0" w:color="auto"/>
              </w:divBdr>
              <w:divsChild>
                <w:div w:id="675156805">
                  <w:marLeft w:val="0"/>
                  <w:marRight w:val="0"/>
                  <w:marTop w:val="0"/>
                  <w:marBottom w:val="0"/>
                  <w:divBdr>
                    <w:top w:val="none" w:sz="0" w:space="0" w:color="auto"/>
                    <w:left w:val="none" w:sz="0" w:space="0" w:color="auto"/>
                    <w:bottom w:val="none" w:sz="0" w:space="0" w:color="auto"/>
                    <w:right w:val="none" w:sz="0" w:space="0" w:color="auto"/>
                  </w:divBdr>
                </w:div>
              </w:divsChild>
            </w:div>
            <w:div w:id="1597975819">
              <w:marLeft w:val="0"/>
              <w:marRight w:val="0"/>
              <w:marTop w:val="0"/>
              <w:marBottom w:val="0"/>
              <w:divBdr>
                <w:top w:val="none" w:sz="0" w:space="0" w:color="auto"/>
                <w:left w:val="none" w:sz="0" w:space="0" w:color="auto"/>
                <w:bottom w:val="none" w:sz="0" w:space="0" w:color="auto"/>
                <w:right w:val="none" w:sz="0" w:space="0" w:color="auto"/>
              </w:divBdr>
              <w:divsChild>
                <w:div w:id="906378797">
                  <w:marLeft w:val="0"/>
                  <w:marRight w:val="0"/>
                  <w:marTop w:val="0"/>
                  <w:marBottom w:val="0"/>
                  <w:divBdr>
                    <w:top w:val="none" w:sz="0" w:space="0" w:color="auto"/>
                    <w:left w:val="none" w:sz="0" w:space="0" w:color="auto"/>
                    <w:bottom w:val="none" w:sz="0" w:space="0" w:color="auto"/>
                    <w:right w:val="none" w:sz="0" w:space="0" w:color="auto"/>
                  </w:divBdr>
                </w:div>
              </w:divsChild>
            </w:div>
            <w:div w:id="1685596518">
              <w:marLeft w:val="0"/>
              <w:marRight w:val="0"/>
              <w:marTop w:val="0"/>
              <w:marBottom w:val="0"/>
              <w:divBdr>
                <w:top w:val="none" w:sz="0" w:space="0" w:color="auto"/>
                <w:left w:val="none" w:sz="0" w:space="0" w:color="auto"/>
                <w:bottom w:val="none" w:sz="0" w:space="0" w:color="auto"/>
                <w:right w:val="none" w:sz="0" w:space="0" w:color="auto"/>
              </w:divBdr>
              <w:divsChild>
                <w:div w:id="242178233">
                  <w:marLeft w:val="0"/>
                  <w:marRight w:val="0"/>
                  <w:marTop w:val="0"/>
                  <w:marBottom w:val="0"/>
                  <w:divBdr>
                    <w:top w:val="none" w:sz="0" w:space="0" w:color="auto"/>
                    <w:left w:val="none" w:sz="0" w:space="0" w:color="auto"/>
                    <w:bottom w:val="none" w:sz="0" w:space="0" w:color="auto"/>
                    <w:right w:val="none" w:sz="0" w:space="0" w:color="auto"/>
                  </w:divBdr>
                </w:div>
              </w:divsChild>
            </w:div>
            <w:div w:id="1703895933">
              <w:marLeft w:val="0"/>
              <w:marRight w:val="0"/>
              <w:marTop w:val="0"/>
              <w:marBottom w:val="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851681842">
              <w:marLeft w:val="0"/>
              <w:marRight w:val="0"/>
              <w:marTop w:val="0"/>
              <w:marBottom w:val="0"/>
              <w:divBdr>
                <w:top w:val="none" w:sz="0" w:space="0" w:color="auto"/>
                <w:left w:val="none" w:sz="0" w:space="0" w:color="auto"/>
                <w:bottom w:val="none" w:sz="0" w:space="0" w:color="auto"/>
                <w:right w:val="none" w:sz="0" w:space="0" w:color="auto"/>
              </w:divBdr>
              <w:divsChild>
                <w:div w:id="1030567762">
                  <w:marLeft w:val="0"/>
                  <w:marRight w:val="0"/>
                  <w:marTop w:val="0"/>
                  <w:marBottom w:val="0"/>
                  <w:divBdr>
                    <w:top w:val="none" w:sz="0" w:space="0" w:color="auto"/>
                    <w:left w:val="none" w:sz="0" w:space="0" w:color="auto"/>
                    <w:bottom w:val="none" w:sz="0" w:space="0" w:color="auto"/>
                    <w:right w:val="none" w:sz="0" w:space="0" w:color="auto"/>
                  </w:divBdr>
                </w:div>
              </w:divsChild>
            </w:div>
            <w:div w:id="2012248136">
              <w:marLeft w:val="0"/>
              <w:marRight w:val="0"/>
              <w:marTop w:val="0"/>
              <w:marBottom w:val="0"/>
              <w:divBdr>
                <w:top w:val="none" w:sz="0" w:space="0" w:color="auto"/>
                <w:left w:val="none" w:sz="0" w:space="0" w:color="auto"/>
                <w:bottom w:val="none" w:sz="0" w:space="0" w:color="auto"/>
                <w:right w:val="none" w:sz="0" w:space="0" w:color="auto"/>
              </w:divBdr>
              <w:divsChild>
                <w:div w:id="18941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0095">
          <w:marLeft w:val="0"/>
          <w:marRight w:val="0"/>
          <w:marTop w:val="0"/>
          <w:marBottom w:val="0"/>
          <w:divBdr>
            <w:top w:val="none" w:sz="0" w:space="0" w:color="auto"/>
            <w:left w:val="none" w:sz="0" w:space="0" w:color="auto"/>
            <w:bottom w:val="none" w:sz="0" w:space="0" w:color="auto"/>
            <w:right w:val="none" w:sz="0" w:space="0" w:color="auto"/>
          </w:divBdr>
          <w:divsChild>
            <w:div w:id="126437009">
              <w:marLeft w:val="0"/>
              <w:marRight w:val="0"/>
              <w:marTop w:val="0"/>
              <w:marBottom w:val="0"/>
              <w:divBdr>
                <w:top w:val="none" w:sz="0" w:space="0" w:color="auto"/>
                <w:left w:val="none" w:sz="0" w:space="0" w:color="auto"/>
                <w:bottom w:val="none" w:sz="0" w:space="0" w:color="auto"/>
                <w:right w:val="none" w:sz="0" w:space="0" w:color="auto"/>
              </w:divBdr>
              <w:divsChild>
                <w:div w:id="11023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3978">
          <w:marLeft w:val="0"/>
          <w:marRight w:val="0"/>
          <w:marTop w:val="0"/>
          <w:marBottom w:val="0"/>
          <w:divBdr>
            <w:top w:val="none" w:sz="0" w:space="0" w:color="auto"/>
            <w:left w:val="none" w:sz="0" w:space="0" w:color="auto"/>
            <w:bottom w:val="none" w:sz="0" w:space="0" w:color="auto"/>
            <w:right w:val="none" w:sz="0" w:space="0" w:color="auto"/>
          </w:divBdr>
          <w:divsChild>
            <w:div w:id="982655330">
              <w:marLeft w:val="0"/>
              <w:marRight w:val="0"/>
              <w:marTop w:val="0"/>
              <w:marBottom w:val="0"/>
              <w:divBdr>
                <w:top w:val="none" w:sz="0" w:space="0" w:color="auto"/>
                <w:left w:val="none" w:sz="0" w:space="0" w:color="auto"/>
                <w:bottom w:val="none" w:sz="0" w:space="0" w:color="auto"/>
                <w:right w:val="none" w:sz="0" w:space="0" w:color="auto"/>
              </w:divBdr>
              <w:divsChild>
                <w:div w:id="19472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42480">
      <w:bodyDiv w:val="1"/>
      <w:marLeft w:val="0"/>
      <w:marRight w:val="0"/>
      <w:marTop w:val="0"/>
      <w:marBottom w:val="0"/>
      <w:divBdr>
        <w:top w:val="none" w:sz="0" w:space="0" w:color="auto"/>
        <w:left w:val="none" w:sz="0" w:space="0" w:color="auto"/>
        <w:bottom w:val="none" w:sz="0" w:space="0" w:color="auto"/>
        <w:right w:val="none" w:sz="0" w:space="0" w:color="auto"/>
      </w:divBdr>
    </w:div>
    <w:div w:id="758019634">
      <w:bodyDiv w:val="1"/>
      <w:marLeft w:val="0"/>
      <w:marRight w:val="0"/>
      <w:marTop w:val="0"/>
      <w:marBottom w:val="0"/>
      <w:divBdr>
        <w:top w:val="none" w:sz="0" w:space="0" w:color="auto"/>
        <w:left w:val="none" w:sz="0" w:space="0" w:color="auto"/>
        <w:bottom w:val="none" w:sz="0" w:space="0" w:color="auto"/>
        <w:right w:val="none" w:sz="0" w:space="0" w:color="auto"/>
      </w:divBdr>
    </w:div>
    <w:div w:id="773133585">
      <w:bodyDiv w:val="1"/>
      <w:marLeft w:val="0"/>
      <w:marRight w:val="0"/>
      <w:marTop w:val="0"/>
      <w:marBottom w:val="0"/>
      <w:divBdr>
        <w:top w:val="none" w:sz="0" w:space="0" w:color="auto"/>
        <w:left w:val="none" w:sz="0" w:space="0" w:color="auto"/>
        <w:bottom w:val="none" w:sz="0" w:space="0" w:color="auto"/>
        <w:right w:val="none" w:sz="0" w:space="0" w:color="auto"/>
      </w:divBdr>
    </w:div>
    <w:div w:id="819268938">
      <w:bodyDiv w:val="1"/>
      <w:marLeft w:val="0"/>
      <w:marRight w:val="0"/>
      <w:marTop w:val="0"/>
      <w:marBottom w:val="0"/>
      <w:divBdr>
        <w:top w:val="none" w:sz="0" w:space="0" w:color="auto"/>
        <w:left w:val="none" w:sz="0" w:space="0" w:color="auto"/>
        <w:bottom w:val="none" w:sz="0" w:space="0" w:color="auto"/>
        <w:right w:val="none" w:sz="0" w:space="0" w:color="auto"/>
      </w:divBdr>
      <w:divsChild>
        <w:div w:id="1507481184">
          <w:marLeft w:val="274"/>
          <w:marRight w:val="0"/>
          <w:marTop w:val="0"/>
          <w:marBottom w:val="0"/>
          <w:divBdr>
            <w:top w:val="none" w:sz="0" w:space="0" w:color="auto"/>
            <w:left w:val="none" w:sz="0" w:space="0" w:color="auto"/>
            <w:bottom w:val="none" w:sz="0" w:space="0" w:color="auto"/>
            <w:right w:val="none" w:sz="0" w:space="0" w:color="auto"/>
          </w:divBdr>
        </w:div>
      </w:divsChild>
    </w:div>
    <w:div w:id="848258923">
      <w:bodyDiv w:val="1"/>
      <w:marLeft w:val="0"/>
      <w:marRight w:val="0"/>
      <w:marTop w:val="0"/>
      <w:marBottom w:val="0"/>
      <w:divBdr>
        <w:top w:val="none" w:sz="0" w:space="0" w:color="auto"/>
        <w:left w:val="none" w:sz="0" w:space="0" w:color="auto"/>
        <w:bottom w:val="none" w:sz="0" w:space="0" w:color="auto"/>
        <w:right w:val="none" w:sz="0" w:space="0" w:color="auto"/>
      </w:divBdr>
    </w:div>
    <w:div w:id="890649638">
      <w:bodyDiv w:val="1"/>
      <w:marLeft w:val="0"/>
      <w:marRight w:val="0"/>
      <w:marTop w:val="0"/>
      <w:marBottom w:val="0"/>
      <w:divBdr>
        <w:top w:val="none" w:sz="0" w:space="0" w:color="auto"/>
        <w:left w:val="none" w:sz="0" w:space="0" w:color="auto"/>
        <w:bottom w:val="none" w:sz="0" w:space="0" w:color="auto"/>
        <w:right w:val="none" w:sz="0" w:space="0" w:color="auto"/>
      </w:divBdr>
    </w:div>
    <w:div w:id="959527869">
      <w:bodyDiv w:val="1"/>
      <w:marLeft w:val="0"/>
      <w:marRight w:val="0"/>
      <w:marTop w:val="0"/>
      <w:marBottom w:val="0"/>
      <w:divBdr>
        <w:top w:val="none" w:sz="0" w:space="0" w:color="auto"/>
        <w:left w:val="none" w:sz="0" w:space="0" w:color="auto"/>
        <w:bottom w:val="none" w:sz="0" w:space="0" w:color="auto"/>
        <w:right w:val="none" w:sz="0" w:space="0" w:color="auto"/>
      </w:divBdr>
    </w:div>
    <w:div w:id="964702644">
      <w:bodyDiv w:val="1"/>
      <w:marLeft w:val="0"/>
      <w:marRight w:val="0"/>
      <w:marTop w:val="0"/>
      <w:marBottom w:val="0"/>
      <w:divBdr>
        <w:top w:val="none" w:sz="0" w:space="0" w:color="auto"/>
        <w:left w:val="none" w:sz="0" w:space="0" w:color="auto"/>
        <w:bottom w:val="none" w:sz="0" w:space="0" w:color="auto"/>
        <w:right w:val="none" w:sz="0" w:space="0" w:color="auto"/>
      </w:divBdr>
    </w:div>
    <w:div w:id="969087615">
      <w:bodyDiv w:val="1"/>
      <w:marLeft w:val="0"/>
      <w:marRight w:val="0"/>
      <w:marTop w:val="0"/>
      <w:marBottom w:val="0"/>
      <w:divBdr>
        <w:top w:val="none" w:sz="0" w:space="0" w:color="auto"/>
        <w:left w:val="none" w:sz="0" w:space="0" w:color="auto"/>
        <w:bottom w:val="none" w:sz="0" w:space="0" w:color="auto"/>
        <w:right w:val="none" w:sz="0" w:space="0" w:color="auto"/>
      </w:divBdr>
    </w:div>
    <w:div w:id="1014186915">
      <w:bodyDiv w:val="1"/>
      <w:marLeft w:val="0"/>
      <w:marRight w:val="0"/>
      <w:marTop w:val="0"/>
      <w:marBottom w:val="0"/>
      <w:divBdr>
        <w:top w:val="none" w:sz="0" w:space="0" w:color="auto"/>
        <w:left w:val="none" w:sz="0" w:space="0" w:color="auto"/>
        <w:bottom w:val="none" w:sz="0" w:space="0" w:color="auto"/>
        <w:right w:val="none" w:sz="0" w:space="0" w:color="auto"/>
      </w:divBdr>
    </w:div>
    <w:div w:id="1036733871">
      <w:bodyDiv w:val="1"/>
      <w:marLeft w:val="0"/>
      <w:marRight w:val="0"/>
      <w:marTop w:val="0"/>
      <w:marBottom w:val="0"/>
      <w:divBdr>
        <w:top w:val="none" w:sz="0" w:space="0" w:color="auto"/>
        <w:left w:val="none" w:sz="0" w:space="0" w:color="auto"/>
        <w:bottom w:val="none" w:sz="0" w:space="0" w:color="auto"/>
        <w:right w:val="none" w:sz="0" w:space="0" w:color="auto"/>
      </w:divBdr>
    </w:div>
    <w:div w:id="1038552061">
      <w:bodyDiv w:val="1"/>
      <w:marLeft w:val="0"/>
      <w:marRight w:val="0"/>
      <w:marTop w:val="0"/>
      <w:marBottom w:val="0"/>
      <w:divBdr>
        <w:top w:val="none" w:sz="0" w:space="0" w:color="auto"/>
        <w:left w:val="none" w:sz="0" w:space="0" w:color="auto"/>
        <w:bottom w:val="none" w:sz="0" w:space="0" w:color="auto"/>
        <w:right w:val="none" w:sz="0" w:space="0" w:color="auto"/>
      </w:divBdr>
    </w:div>
    <w:div w:id="1046755361">
      <w:bodyDiv w:val="1"/>
      <w:marLeft w:val="0"/>
      <w:marRight w:val="0"/>
      <w:marTop w:val="0"/>
      <w:marBottom w:val="0"/>
      <w:divBdr>
        <w:top w:val="none" w:sz="0" w:space="0" w:color="auto"/>
        <w:left w:val="none" w:sz="0" w:space="0" w:color="auto"/>
        <w:bottom w:val="none" w:sz="0" w:space="0" w:color="auto"/>
        <w:right w:val="none" w:sz="0" w:space="0" w:color="auto"/>
      </w:divBdr>
    </w:div>
    <w:div w:id="1090078514">
      <w:bodyDiv w:val="1"/>
      <w:marLeft w:val="0"/>
      <w:marRight w:val="0"/>
      <w:marTop w:val="0"/>
      <w:marBottom w:val="0"/>
      <w:divBdr>
        <w:top w:val="none" w:sz="0" w:space="0" w:color="auto"/>
        <w:left w:val="none" w:sz="0" w:space="0" w:color="auto"/>
        <w:bottom w:val="none" w:sz="0" w:space="0" w:color="auto"/>
        <w:right w:val="none" w:sz="0" w:space="0" w:color="auto"/>
      </w:divBdr>
      <w:divsChild>
        <w:div w:id="1288974047">
          <w:marLeft w:val="0"/>
          <w:marRight w:val="0"/>
          <w:marTop w:val="0"/>
          <w:marBottom w:val="0"/>
          <w:divBdr>
            <w:top w:val="none" w:sz="0" w:space="0" w:color="auto"/>
            <w:left w:val="none" w:sz="0" w:space="0" w:color="auto"/>
            <w:bottom w:val="none" w:sz="0" w:space="0" w:color="auto"/>
            <w:right w:val="none" w:sz="0" w:space="0" w:color="auto"/>
          </w:divBdr>
          <w:divsChild>
            <w:div w:id="1476220149">
              <w:marLeft w:val="0"/>
              <w:marRight w:val="0"/>
              <w:marTop w:val="0"/>
              <w:marBottom w:val="0"/>
              <w:divBdr>
                <w:top w:val="none" w:sz="0" w:space="0" w:color="auto"/>
                <w:left w:val="none" w:sz="0" w:space="0" w:color="auto"/>
                <w:bottom w:val="none" w:sz="0" w:space="0" w:color="auto"/>
                <w:right w:val="none" w:sz="0" w:space="0" w:color="auto"/>
              </w:divBdr>
              <w:divsChild>
                <w:div w:id="17267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3979">
      <w:bodyDiv w:val="1"/>
      <w:marLeft w:val="0"/>
      <w:marRight w:val="0"/>
      <w:marTop w:val="0"/>
      <w:marBottom w:val="0"/>
      <w:divBdr>
        <w:top w:val="none" w:sz="0" w:space="0" w:color="auto"/>
        <w:left w:val="none" w:sz="0" w:space="0" w:color="auto"/>
        <w:bottom w:val="none" w:sz="0" w:space="0" w:color="auto"/>
        <w:right w:val="none" w:sz="0" w:space="0" w:color="auto"/>
      </w:divBdr>
      <w:divsChild>
        <w:div w:id="864295809">
          <w:marLeft w:val="0"/>
          <w:marRight w:val="0"/>
          <w:marTop w:val="0"/>
          <w:marBottom w:val="0"/>
          <w:divBdr>
            <w:top w:val="none" w:sz="0" w:space="0" w:color="auto"/>
            <w:left w:val="none" w:sz="0" w:space="0" w:color="auto"/>
            <w:bottom w:val="none" w:sz="0" w:space="0" w:color="auto"/>
            <w:right w:val="none" w:sz="0" w:space="0" w:color="auto"/>
          </w:divBdr>
          <w:divsChild>
            <w:div w:id="1812481117">
              <w:marLeft w:val="0"/>
              <w:marRight w:val="0"/>
              <w:marTop w:val="0"/>
              <w:marBottom w:val="0"/>
              <w:divBdr>
                <w:top w:val="none" w:sz="0" w:space="0" w:color="auto"/>
                <w:left w:val="none" w:sz="0" w:space="0" w:color="auto"/>
                <w:bottom w:val="none" w:sz="0" w:space="0" w:color="auto"/>
                <w:right w:val="none" w:sz="0" w:space="0" w:color="auto"/>
              </w:divBdr>
              <w:divsChild>
                <w:div w:id="3961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5102">
      <w:bodyDiv w:val="1"/>
      <w:marLeft w:val="0"/>
      <w:marRight w:val="0"/>
      <w:marTop w:val="0"/>
      <w:marBottom w:val="0"/>
      <w:divBdr>
        <w:top w:val="none" w:sz="0" w:space="0" w:color="auto"/>
        <w:left w:val="none" w:sz="0" w:space="0" w:color="auto"/>
        <w:bottom w:val="none" w:sz="0" w:space="0" w:color="auto"/>
        <w:right w:val="none" w:sz="0" w:space="0" w:color="auto"/>
      </w:divBdr>
    </w:div>
    <w:div w:id="1151823392">
      <w:bodyDiv w:val="1"/>
      <w:marLeft w:val="0"/>
      <w:marRight w:val="0"/>
      <w:marTop w:val="0"/>
      <w:marBottom w:val="0"/>
      <w:divBdr>
        <w:top w:val="none" w:sz="0" w:space="0" w:color="auto"/>
        <w:left w:val="none" w:sz="0" w:space="0" w:color="auto"/>
        <w:bottom w:val="none" w:sz="0" w:space="0" w:color="auto"/>
        <w:right w:val="none" w:sz="0" w:space="0" w:color="auto"/>
      </w:divBdr>
    </w:div>
    <w:div w:id="1165318430">
      <w:bodyDiv w:val="1"/>
      <w:marLeft w:val="0"/>
      <w:marRight w:val="0"/>
      <w:marTop w:val="0"/>
      <w:marBottom w:val="0"/>
      <w:divBdr>
        <w:top w:val="none" w:sz="0" w:space="0" w:color="auto"/>
        <w:left w:val="none" w:sz="0" w:space="0" w:color="auto"/>
        <w:bottom w:val="none" w:sz="0" w:space="0" w:color="auto"/>
        <w:right w:val="none" w:sz="0" w:space="0" w:color="auto"/>
      </w:divBdr>
    </w:div>
    <w:div w:id="1196847941">
      <w:bodyDiv w:val="1"/>
      <w:marLeft w:val="0"/>
      <w:marRight w:val="0"/>
      <w:marTop w:val="0"/>
      <w:marBottom w:val="0"/>
      <w:divBdr>
        <w:top w:val="none" w:sz="0" w:space="0" w:color="auto"/>
        <w:left w:val="none" w:sz="0" w:space="0" w:color="auto"/>
        <w:bottom w:val="none" w:sz="0" w:space="0" w:color="auto"/>
        <w:right w:val="none" w:sz="0" w:space="0" w:color="auto"/>
      </w:divBdr>
    </w:div>
    <w:div w:id="1204561700">
      <w:bodyDiv w:val="1"/>
      <w:marLeft w:val="0"/>
      <w:marRight w:val="0"/>
      <w:marTop w:val="0"/>
      <w:marBottom w:val="0"/>
      <w:divBdr>
        <w:top w:val="none" w:sz="0" w:space="0" w:color="auto"/>
        <w:left w:val="none" w:sz="0" w:space="0" w:color="auto"/>
        <w:bottom w:val="none" w:sz="0" w:space="0" w:color="auto"/>
        <w:right w:val="none" w:sz="0" w:space="0" w:color="auto"/>
      </w:divBdr>
      <w:divsChild>
        <w:div w:id="1135951591">
          <w:marLeft w:val="0"/>
          <w:marRight w:val="0"/>
          <w:marTop w:val="0"/>
          <w:marBottom w:val="0"/>
          <w:divBdr>
            <w:top w:val="none" w:sz="0" w:space="0" w:color="auto"/>
            <w:left w:val="none" w:sz="0" w:space="0" w:color="auto"/>
            <w:bottom w:val="none" w:sz="0" w:space="0" w:color="auto"/>
            <w:right w:val="none" w:sz="0" w:space="0" w:color="auto"/>
          </w:divBdr>
          <w:divsChild>
            <w:div w:id="664089845">
              <w:marLeft w:val="0"/>
              <w:marRight w:val="0"/>
              <w:marTop w:val="0"/>
              <w:marBottom w:val="0"/>
              <w:divBdr>
                <w:top w:val="none" w:sz="0" w:space="0" w:color="auto"/>
                <w:left w:val="none" w:sz="0" w:space="0" w:color="auto"/>
                <w:bottom w:val="none" w:sz="0" w:space="0" w:color="auto"/>
                <w:right w:val="none" w:sz="0" w:space="0" w:color="auto"/>
              </w:divBdr>
              <w:divsChild>
                <w:div w:id="443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2804">
      <w:bodyDiv w:val="1"/>
      <w:marLeft w:val="0"/>
      <w:marRight w:val="0"/>
      <w:marTop w:val="0"/>
      <w:marBottom w:val="0"/>
      <w:divBdr>
        <w:top w:val="none" w:sz="0" w:space="0" w:color="auto"/>
        <w:left w:val="none" w:sz="0" w:space="0" w:color="auto"/>
        <w:bottom w:val="none" w:sz="0" w:space="0" w:color="auto"/>
        <w:right w:val="none" w:sz="0" w:space="0" w:color="auto"/>
      </w:divBdr>
    </w:div>
    <w:div w:id="1247227944">
      <w:bodyDiv w:val="1"/>
      <w:marLeft w:val="0"/>
      <w:marRight w:val="0"/>
      <w:marTop w:val="0"/>
      <w:marBottom w:val="0"/>
      <w:divBdr>
        <w:top w:val="none" w:sz="0" w:space="0" w:color="auto"/>
        <w:left w:val="none" w:sz="0" w:space="0" w:color="auto"/>
        <w:bottom w:val="none" w:sz="0" w:space="0" w:color="auto"/>
        <w:right w:val="none" w:sz="0" w:space="0" w:color="auto"/>
      </w:divBdr>
    </w:div>
    <w:div w:id="1266500258">
      <w:bodyDiv w:val="1"/>
      <w:marLeft w:val="0"/>
      <w:marRight w:val="0"/>
      <w:marTop w:val="0"/>
      <w:marBottom w:val="0"/>
      <w:divBdr>
        <w:top w:val="none" w:sz="0" w:space="0" w:color="auto"/>
        <w:left w:val="none" w:sz="0" w:space="0" w:color="auto"/>
        <w:bottom w:val="none" w:sz="0" w:space="0" w:color="auto"/>
        <w:right w:val="none" w:sz="0" w:space="0" w:color="auto"/>
      </w:divBdr>
      <w:divsChild>
        <w:div w:id="1855550">
          <w:marLeft w:val="274"/>
          <w:marRight w:val="0"/>
          <w:marTop w:val="0"/>
          <w:marBottom w:val="0"/>
          <w:divBdr>
            <w:top w:val="none" w:sz="0" w:space="0" w:color="auto"/>
            <w:left w:val="none" w:sz="0" w:space="0" w:color="auto"/>
            <w:bottom w:val="none" w:sz="0" w:space="0" w:color="auto"/>
            <w:right w:val="none" w:sz="0" w:space="0" w:color="auto"/>
          </w:divBdr>
        </w:div>
        <w:div w:id="473062820">
          <w:marLeft w:val="274"/>
          <w:marRight w:val="0"/>
          <w:marTop w:val="0"/>
          <w:marBottom w:val="0"/>
          <w:divBdr>
            <w:top w:val="none" w:sz="0" w:space="0" w:color="auto"/>
            <w:left w:val="none" w:sz="0" w:space="0" w:color="auto"/>
            <w:bottom w:val="none" w:sz="0" w:space="0" w:color="auto"/>
            <w:right w:val="none" w:sz="0" w:space="0" w:color="auto"/>
          </w:divBdr>
        </w:div>
        <w:div w:id="727338552">
          <w:marLeft w:val="274"/>
          <w:marRight w:val="0"/>
          <w:marTop w:val="0"/>
          <w:marBottom w:val="0"/>
          <w:divBdr>
            <w:top w:val="none" w:sz="0" w:space="0" w:color="auto"/>
            <w:left w:val="none" w:sz="0" w:space="0" w:color="auto"/>
            <w:bottom w:val="none" w:sz="0" w:space="0" w:color="auto"/>
            <w:right w:val="none" w:sz="0" w:space="0" w:color="auto"/>
          </w:divBdr>
        </w:div>
        <w:div w:id="2035619242">
          <w:marLeft w:val="274"/>
          <w:marRight w:val="0"/>
          <w:marTop w:val="0"/>
          <w:marBottom w:val="0"/>
          <w:divBdr>
            <w:top w:val="none" w:sz="0" w:space="0" w:color="auto"/>
            <w:left w:val="none" w:sz="0" w:space="0" w:color="auto"/>
            <w:bottom w:val="none" w:sz="0" w:space="0" w:color="auto"/>
            <w:right w:val="none" w:sz="0" w:space="0" w:color="auto"/>
          </w:divBdr>
        </w:div>
      </w:divsChild>
    </w:div>
    <w:div w:id="1285771504">
      <w:bodyDiv w:val="1"/>
      <w:marLeft w:val="0"/>
      <w:marRight w:val="0"/>
      <w:marTop w:val="0"/>
      <w:marBottom w:val="0"/>
      <w:divBdr>
        <w:top w:val="none" w:sz="0" w:space="0" w:color="auto"/>
        <w:left w:val="none" w:sz="0" w:space="0" w:color="auto"/>
        <w:bottom w:val="none" w:sz="0" w:space="0" w:color="auto"/>
        <w:right w:val="none" w:sz="0" w:space="0" w:color="auto"/>
      </w:divBdr>
    </w:div>
    <w:div w:id="1306934994">
      <w:bodyDiv w:val="1"/>
      <w:marLeft w:val="0"/>
      <w:marRight w:val="0"/>
      <w:marTop w:val="0"/>
      <w:marBottom w:val="0"/>
      <w:divBdr>
        <w:top w:val="none" w:sz="0" w:space="0" w:color="auto"/>
        <w:left w:val="none" w:sz="0" w:space="0" w:color="auto"/>
        <w:bottom w:val="none" w:sz="0" w:space="0" w:color="auto"/>
        <w:right w:val="none" w:sz="0" w:space="0" w:color="auto"/>
      </w:divBdr>
      <w:divsChild>
        <w:div w:id="986862463">
          <w:marLeft w:val="0"/>
          <w:marRight w:val="0"/>
          <w:marTop w:val="0"/>
          <w:marBottom w:val="0"/>
          <w:divBdr>
            <w:top w:val="none" w:sz="0" w:space="0" w:color="auto"/>
            <w:left w:val="none" w:sz="0" w:space="0" w:color="auto"/>
            <w:bottom w:val="none" w:sz="0" w:space="0" w:color="auto"/>
            <w:right w:val="none" w:sz="0" w:space="0" w:color="auto"/>
          </w:divBdr>
          <w:divsChild>
            <w:div w:id="1141729139">
              <w:marLeft w:val="0"/>
              <w:marRight w:val="0"/>
              <w:marTop w:val="0"/>
              <w:marBottom w:val="0"/>
              <w:divBdr>
                <w:top w:val="none" w:sz="0" w:space="0" w:color="auto"/>
                <w:left w:val="none" w:sz="0" w:space="0" w:color="auto"/>
                <w:bottom w:val="none" w:sz="0" w:space="0" w:color="auto"/>
                <w:right w:val="none" w:sz="0" w:space="0" w:color="auto"/>
              </w:divBdr>
              <w:divsChild>
                <w:div w:id="6712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033244">
      <w:bodyDiv w:val="1"/>
      <w:marLeft w:val="0"/>
      <w:marRight w:val="0"/>
      <w:marTop w:val="0"/>
      <w:marBottom w:val="0"/>
      <w:divBdr>
        <w:top w:val="none" w:sz="0" w:space="0" w:color="auto"/>
        <w:left w:val="none" w:sz="0" w:space="0" w:color="auto"/>
        <w:bottom w:val="none" w:sz="0" w:space="0" w:color="auto"/>
        <w:right w:val="none" w:sz="0" w:space="0" w:color="auto"/>
      </w:divBdr>
    </w:div>
    <w:div w:id="1370836713">
      <w:bodyDiv w:val="1"/>
      <w:marLeft w:val="0"/>
      <w:marRight w:val="0"/>
      <w:marTop w:val="0"/>
      <w:marBottom w:val="0"/>
      <w:divBdr>
        <w:top w:val="none" w:sz="0" w:space="0" w:color="auto"/>
        <w:left w:val="none" w:sz="0" w:space="0" w:color="auto"/>
        <w:bottom w:val="none" w:sz="0" w:space="0" w:color="auto"/>
        <w:right w:val="none" w:sz="0" w:space="0" w:color="auto"/>
      </w:divBdr>
    </w:div>
    <w:div w:id="1403597117">
      <w:bodyDiv w:val="1"/>
      <w:marLeft w:val="0"/>
      <w:marRight w:val="0"/>
      <w:marTop w:val="0"/>
      <w:marBottom w:val="0"/>
      <w:divBdr>
        <w:top w:val="none" w:sz="0" w:space="0" w:color="auto"/>
        <w:left w:val="none" w:sz="0" w:space="0" w:color="auto"/>
        <w:bottom w:val="none" w:sz="0" w:space="0" w:color="auto"/>
        <w:right w:val="none" w:sz="0" w:space="0" w:color="auto"/>
      </w:divBdr>
    </w:div>
    <w:div w:id="1422525355">
      <w:bodyDiv w:val="1"/>
      <w:marLeft w:val="0"/>
      <w:marRight w:val="0"/>
      <w:marTop w:val="0"/>
      <w:marBottom w:val="0"/>
      <w:divBdr>
        <w:top w:val="none" w:sz="0" w:space="0" w:color="auto"/>
        <w:left w:val="none" w:sz="0" w:space="0" w:color="auto"/>
        <w:bottom w:val="none" w:sz="0" w:space="0" w:color="auto"/>
        <w:right w:val="none" w:sz="0" w:space="0" w:color="auto"/>
      </w:divBdr>
    </w:div>
    <w:div w:id="1434669591">
      <w:bodyDiv w:val="1"/>
      <w:marLeft w:val="0"/>
      <w:marRight w:val="0"/>
      <w:marTop w:val="0"/>
      <w:marBottom w:val="0"/>
      <w:divBdr>
        <w:top w:val="none" w:sz="0" w:space="0" w:color="auto"/>
        <w:left w:val="none" w:sz="0" w:space="0" w:color="auto"/>
        <w:bottom w:val="none" w:sz="0" w:space="0" w:color="auto"/>
        <w:right w:val="none" w:sz="0" w:space="0" w:color="auto"/>
      </w:divBdr>
    </w:div>
    <w:div w:id="1463160352">
      <w:bodyDiv w:val="1"/>
      <w:marLeft w:val="0"/>
      <w:marRight w:val="0"/>
      <w:marTop w:val="0"/>
      <w:marBottom w:val="0"/>
      <w:divBdr>
        <w:top w:val="none" w:sz="0" w:space="0" w:color="auto"/>
        <w:left w:val="none" w:sz="0" w:space="0" w:color="auto"/>
        <w:bottom w:val="none" w:sz="0" w:space="0" w:color="auto"/>
        <w:right w:val="none" w:sz="0" w:space="0" w:color="auto"/>
      </w:divBdr>
      <w:divsChild>
        <w:div w:id="303968612">
          <w:marLeft w:val="0"/>
          <w:marRight w:val="0"/>
          <w:marTop w:val="0"/>
          <w:marBottom w:val="0"/>
          <w:divBdr>
            <w:top w:val="none" w:sz="0" w:space="0" w:color="auto"/>
            <w:left w:val="none" w:sz="0" w:space="0" w:color="auto"/>
            <w:bottom w:val="none" w:sz="0" w:space="0" w:color="auto"/>
            <w:right w:val="none" w:sz="0" w:space="0" w:color="auto"/>
          </w:divBdr>
          <w:divsChild>
            <w:div w:id="23874859">
              <w:marLeft w:val="0"/>
              <w:marRight w:val="0"/>
              <w:marTop w:val="0"/>
              <w:marBottom w:val="0"/>
              <w:divBdr>
                <w:top w:val="none" w:sz="0" w:space="0" w:color="auto"/>
                <w:left w:val="none" w:sz="0" w:space="0" w:color="auto"/>
                <w:bottom w:val="none" w:sz="0" w:space="0" w:color="auto"/>
                <w:right w:val="none" w:sz="0" w:space="0" w:color="auto"/>
              </w:divBdr>
              <w:divsChild>
                <w:div w:id="2909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4464">
      <w:bodyDiv w:val="1"/>
      <w:marLeft w:val="0"/>
      <w:marRight w:val="0"/>
      <w:marTop w:val="0"/>
      <w:marBottom w:val="0"/>
      <w:divBdr>
        <w:top w:val="none" w:sz="0" w:space="0" w:color="auto"/>
        <w:left w:val="none" w:sz="0" w:space="0" w:color="auto"/>
        <w:bottom w:val="none" w:sz="0" w:space="0" w:color="auto"/>
        <w:right w:val="none" w:sz="0" w:space="0" w:color="auto"/>
      </w:divBdr>
    </w:div>
    <w:div w:id="1567718707">
      <w:bodyDiv w:val="1"/>
      <w:marLeft w:val="0"/>
      <w:marRight w:val="0"/>
      <w:marTop w:val="0"/>
      <w:marBottom w:val="0"/>
      <w:divBdr>
        <w:top w:val="none" w:sz="0" w:space="0" w:color="auto"/>
        <w:left w:val="none" w:sz="0" w:space="0" w:color="auto"/>
        <w:bottom w:val="none" w:sz="0" w:space="0" w:color="auto"/>
        <w:right w:val="none" w:sz="0" w:space="0" w:color="auto"/>
      </w:divBdr>
    </w:div>
    <w:div w:id="1573588043">
      <w:bodyDiv w:val="1"/>
      <w:marLeft w:val="0"/>
      <w:marRight w:val="0"/>
      <w:marTop w:val="0"/>
      <w:marBottom w:val="0"/>
      <w:divBdr>
        <w:top w:val="none" w:sz="0" w:space="0" w:color="auto"/>
        <w:left w:val="none" w:sz="0" w:space="0" w:color="auto"/>
        <w:bottom w:val="none" w:sz="0" w:space="0" w:color="auto"/>
        <w:right w:val="none" w:sz="0" w:space="0" w:color="auto"/>
      </w:divBdr>
      <w:divsChild>
        <w:div w:id="1851289750">
          <w:marLeft w:val="0"/>
          <w:marRight w:val="0"/>
          <w:marTop w:val="0"/>
          <w:marBottom w:val="0"/>
          <w:divBdr>
            <w:top w:val="none" w:sz="0" w:space="0" w:color="auto"/>
            <w:left w:val="none" w:sz="0" w:space="0" w:color="auto"/>
            <w:bottom w:val="none" w:sz="0" w:space="0" w:color="auto"/>
            <w:right w:val="none" w:sz="0" w:space="0" w:color="auto"/>
          </w:divBdr>
          <w:divsChild>
            <w:div w:id="338389075">
              <w:marLeft w:val="0"/>
              <w:marRight w:val="0"/>
              <w:marTop w:val="0"/>
              <w:marBottom w:val="0"/>
              <w:divBdr>
                <w:top w:val="none" w:sz="0" w:space="0" w:color="auto"/>
                <w:left w:val="none" w:sz="0" w:space="0" w:color="auto"/>
                <w:bottom w:val="none" w:sz="0" w:space="0" w:color="auto"/>
                <w:right w:val="none" w:sz="0" w:space="0" w:color="auto"/>
              </w:divBdr>
              <w:divsChild>
                <w:div w:id="1232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3863">
      <w:bodyDiv w:val="1"/>
      <w:marLeft w:val="0"/>
      <w:marRight w:val="0"/>
      <w:marTop w:val="0"/>
      <w:marBottom w:val="0"/>
      <w:divBdr>
        <w:top w:val="none" w:sz="0" w:space="0" w:color="auto"/>
        <w:left w:val="none" w:sz="0" w:space="0" w:color="auto"/>
        <w:bottom w:val="none" w:sz="0" w:space="0" w:color="auto"/>
        <w:right w:val="none" w:sz="0" w:space="0" w:color="auto"/>
      </w:divBdr>
    </w:div>
    <w:div w:id="1634091593">
      <w:bodyDiv w:val="1"/>
      <w:marLeft w:val="0"/>
      <w:marRight w:val="0"/>
      <w:marTop w:val="0"/>
      <w:marBottom w:val="0"/>
      <w:divBdr>
        <w:top w:val="none" w:sz="0" w:space="0" w:color="auto"/>
        <w:left w:val="none" w:sz="0" w:space="0" w:color="auto"/>
        <w:bottom w:val="none" w:sz="0" w:space="0" w:color="auto"/>
        <w:right w:val="none" w:sz="0" w:space="0" w:color="auto"/>
      </w:divBdr>
      <w:divsChild>
        <w:div w:id="151223094">
          <w:marLeft w:val="274"/>
          <w:marRight w:val="0"/>
          <w:marTop w:val="0"/>
          <w:marBottom w:val="0"/>
          <w:divBdr>
            <w:top w:val="none" w:sz="0" w:space="0" w:color="auto"/>
            <w:left w:val="none" w:sz="0" w:space="0" w:color="auto"/>
            <w:bottom w:val="none" w:sz="0" w:space="0" w:color="auto"/>
            <w:right w:val="none" w:sz="0" w:space="0" w:color="auto"/>
          </w:divBdr>
        </w:div>
        <w:div w:id="274673238">
          <w:marLeft w:val="274"/>
          <w:marRight w:val="0"/>
          <w:marTop w:val="0"/>
          <w:marBottom w:val="0"/>
          <w:divBdr>
            <w:top w:val="none" w:sz="0" w:space="0" w:color="auto"/>
            <w:left w:val="none" w:sz="0" w:space="0" w:color="auto"/>
            <w:bottom w:val="none" w:sz="0" w:space="0" w:color="auto"/>
            <w:right w:val="none" w:sz="0" w:space="0" w:color="auto"/>
          </w:divBdr>
        </w:div>
        <w:div w:id="653294543">
          <w:marLeft w:val="274"/>
          <w:marRight w:val="0"/>
          <w:marTop w:val="0"/>
          <w:marBottom w:val="0"/>
          <w:divBdr>
            <w:top w:val="none" w:sz="0" w:space="0" w:color="auto"/>
            <w:left w:val="none" w:sz="0" w:space="0" w:color="auto"/>
            <w:bottom w:val="none" w:sz="0" w:space="0" w:color="auto"/>
            <w:right w:val="none" w:sz="0" w:space="0" w:color="auto"/>
          </w:divBdr>
        </w:div>
        <w:div w:id="1343557056">
          <w:marLeft w:val="274"/>
          <w:marRight w:val="0"/>
          <w:marTop w:val="0"/>
          <w:marBottom w:val="0"/>
          <w:divBdr>
            <w:top w:val="none" w:sz="0" w:space="0" w:color="auto"/>
            <w:left w:val="none" w:sz="0" w:space="0" w:color="auto"/>
            <w:bottom w:val="none" w:sz="0" w:space="0" w:color="auto"/>
            <w:right w:val="none" w:sz="0" w:space="0" w:color="auto"/>
          </w:divBdr>
        </w:div>
        <w:div w:id="1371295913">
          <w:marLeft w:val="274"/>
          <w:marRight w:val="0"/>
          <w:marTop w:val="0"/>
          <w:marBottom w:val="0"/>
          <w:divBdr>
            <w:top w:val="none" w:sz="0" w:space="0" w:color="auto"/>
            <w:left w:val="none" w:sz="0" w:space="0" w:color="auto"/>
            <w:bottom w:val="none" w:sz="0" w:space="0" w:color="auto"/>
            <w:right w:val="none" w:sz="0" w:space="0" w:color="auto"/>
          </w:divBdr>
        </w:div>
        <w:div w:id="1472214361">
          <w:marLeft w:val="274"/>
          <w:marRight w:val="0"/>
          <w:marTop w:val="0"/>
          <w:marBottom w:val="0"/>
          <w:divBdr>
            <w:top w:val="none" w:sz="0" w:space="0" w:color="auto"/>
            <w:left w:val="none" w:sz="0" w:space="0" w:color="auto"/>
            <w:bottom w:val="none" w:sz="0" w:space="0" w:color="auto"/>
            <w:right w:val="none" w:sz="0" w:space="0" w:color="auto"/>
          </w:divBdr>
        </w:div>
        <w:div w:id="1864585611">
          <w:marLeft w:val="274"/>
          <w:marRight w:val="0"/>
          <w:marTop w:val="0"/>
          <w:marBottom w:val="0"/>
          <w:divBdr>
            <w:top w:val="none" w:sz="0" w:space="0" w:color="auto"/>
            <w:left w:val="none" w:sz="0" w:space="0" w:color="auto"/>
            <w:bottom w:val="none" w:sz="0" w:space="0" w:color="auto"/>
            <w:right w:val="none" w:sz="0" w:space="0" w:color="auto"/>
          </w:divBdr>
        </w:div>
      </w:divsChild>
    </w:div>
    <w:div w:id="1636447911">
      <w:bodyDiv w:val="1"/>
      <w:marLeft w:val="0"/>
      <w:marRight w:val="0"/>
      <w:marTop w:val="0"/>
      <w:marBottom w:val="0"/>
      <w:divBdr>
        <w:top w:val="none" w:sz="0" w:space="0" w:color="auto"/>
        <w:left w:val="none" w:sz="0" w:space="0" w:color="auto"/>
        <w:bottom w:val="none" w:sz="0" w:space="0" w:color="auto"/>
        <w:right w:val="none" w:sz="0" w:space="0" w:color="auto"/>
      </w:divBdr>
    </w:div>
    <w:div w:id="1639912728">
      <w:bodyDiv w:val="1"/>
      <w:marLeft w:val="0"/>
      <w:marRight w:val="0"/>
      <w:marTop w:val="0"/>
      <w:marBottom w:val="0"/>
      <w:divBdr>
        <w:top w:val="none" w:sz="0" w:space="0" w:color="auto"/>
        <w:left w:val="none" w:sz="0" w:space="0" w:color="auto"/>
        <w:bottom w:val="none" w:sz="0" w:space="0" w:color="auto"/>
        <w:right w:val="none" w:sz="0" w:space="0" w:color="auto"/>
      </w:divBdr>
    </w:div>
    <w:div w:id="1650936987">
      <w:bodyDiv w:val="1"/>
      <w:marLeft w:val="0"/>
      <w:marRight w:val="0"/>
      <w:marTop w:val="0"/>
      <w:marBottom w:val="0"/>
      <w:divBdr>
        <w:top w:val="none" w:sz="0" w:space="0" w:color="auto"/>
        <w:left w:val="none" w:sz="0" w:space="0" w:color="auto"/>
        <w:bottom w:val="none" w:sz="0" w:space="0" w:color="auto"/>
        <w:right w:val="none" w:sz="0" w:space="0" w:color="auto"/>
      </w:divBdr>
    </w:div>
    <w:div w:id="1657027793">
      <w:bodyDiv w:val="1"/>
      <w:marLeft w:val="0"/>
      <w:marRight w:val="0"/>
      <w:marTop w:val="0"/>
      <w:marBottom w:val="0"/>
      <w:divBdr>
        <w:top w:val="none" w:sz="0" w:space="0" w:color="auto"/>
        <w:left w:val="none" w:sz="0" w:space="0" w:color="auto"/>
        <w:bottom w:val="none" w:sz="0" w:space="0" w:color="auto"/>
        <w:right w:val="none" w:sz="0" w:space="0" w:color="auto"/>
      </w:divBdr>
    </w:div>
    <w:div w:id="1673223184">
      <w:bodyDiv w:val="1"/>
      <w:marLeft w:val="0"/>
      <w:marRight w:val="0"/>
      <w:marTop w:val="0"/>
      <w:marBottom w:val="0"/>
      <w:divBdr>
        <w:top w:val="none" w:sz="0" w:space="0" w:color="auto"/>
        <w:left w:val="none" w:sz="0" w:space="0" w:color="auto"/>
        <w:bottom w:val="none" w:sz="0" w:space="0" w:color="auto"/>
        <w:right w:val="none" w:sz="0" w:space="0" w:color="auto"/>
      </w:divBdr>
    </w:div>
    <w:div w:id="1712610150">
      <w:bodyDiv w:val="1"/>
      <w:marLeft w:val="0"/>
      <w:marRight w:val="0"/>
      <w:marTop w:val="0"/>
      <w:marBottom w:val="0"/>
      <w:divBdr>
        <w:top w:val="none" w:sz="0" w:space="0" w:color="auto"/>
        <w:left w:val="none" w:sz="0" w:space="0" w:color="auto"/>
        <w:bottom w:val="none" w:sz="0" w:space="0" w:color="auto"/>
        <w:right w:val="none" w:sz="0" w:space="0" w:color="auto"/>
      </w:divBdr>
      <w:divsChild>
        <w:div w:id="157312447">
          <w:marLeft w:val="0"/>
          <w:marRight w:val="0"/>
          <w:marTop w:val="0"/>
          <w:marBottom w:val="0"/>
          <w:divBdr>
            <w:top w:val="none" w:sz="0" w:space="0" w:color="auto"/>
            <w:left w:val="none" w:sz="0" w:space="0" w:color="auto"/>
            <w:bottom w:val="none" w:sz="0" w:space="0" w:color="auto"/>
            <w:right w:val="none" w:sz="0" w:space="0" w:color="auto"/>
          </w:divBdr>
          <w:divsChild>
            <w:div w:id="650447095">
              <w:marLeft w:val="0"/>
              <w:marRight w:val="0"/>
              <w:marTop w:val="0"/>
              <w:marBottom w:val="0"/>
              <w:divBdr>
                <w:top w:val="none" w:sz="0" w:space="0" w:color="auto"/>
                <w:left w:val="none" w:sz="0" w:space="0" w:color="auto"/>
                <w:bottom w:val="none" w:sz="0" w:space="0" w:color="auto"/>
                <w:right w:val="none" w:sz="0" w:space="0" w:color="auto"/>
              </w:divBdr>
              <w:divsChild>
                <w:div w:id="8468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008">
      <w:bodyDiv w:val="1"/>
      <w:marLeft w:val="0"/>
      <w:marRight w:val="0"/>
      <w:marTop w:val="0"/>
      <w:marBottom w:val="0"/>
      <w:divBdr>
        <w:top w:val="none" w:sz="0" w:space="0" w:color="auto"/>
        <w:left w:val="none" w:sz="0" w:space="0" w:color="auto"/>
        <w:bottom w:val="none" w:sz="0" w:space="0" w:color="auto"/>
        <w:right w:val="none" w:sz="0" w:space="0" w:color="auto"/>
      </w:divBdr>
      <w:divsChild>
        <w:div w:id="1390181975">
          <w:marLeft w:val="0"/>
          <w:marRight w:val="0"/>
          <w:marTop w:val="0"/>
          <w:marBottom w:val="0"/>
          <w:divBdr>
            <w:top w:val="none" w:sz="0" w:space="0" w:color="auto"/>
            <w:left w:val="none" w:sz="0" w:space="0" w:color="auto"/>
            <w:bottom w:val="none" w:sz="0" w:space="0" w:color="auto"/>
            <w:right w:val="none" w:sz="0" w:space="0" w:color="auto"/>
          </w:divBdr>
          <w:divsChild>
            <w:div w:id="656307007">
              <w:marLeft w:val="0"/>
              <w:marRight w:val="0"/>
              <w:marTop w:val="0"/>
              <w:marBottom w:val="0"/>
              <w:divBdr>
                <w:top w:val="none" w:sz="0" w:space="0" w:color="auto"/>
                <w:left w:val="none" w:sz="0" w:space="0" w:color="auto"/>
                <w:bottom w:val="none" w:sz="0" w:space="0" w:color="auto"/>
                <w:right w:val="none" w:sz="0" w:space="0" w:color="auto"/>
              </w:divBdr>
              <w:divsChild>
                <w:div w:id="5247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5878">
      <w:bodyDiv w:val="1"/>
      <w:marLeft w:val="0"/>
      <w:marRight w:val="0"/>
      <w:marTop w:val="0"/>
      <w:marBottom w:val="0"/>
      <w:divBdr>
        <w:top w:val="none" w:sz="0" w:space="0" w:color="auto"/>
        <w:left w:val="none" w:sz="0" w:space="0" w:color="auto"/>
        <w:bottom w:val="none" w:sz="0" w:space="0" w:color="auto"/>
        <w:right w:val="none" w:sz="0" w:space="0" w:color="auto"/>
      </w:divBdr>
    </w:div>
    <w:div w:id="1857966371">
      <w:bodyDiv w:val="1"/>
      <w:marLeft w:val="0"/>
      <w:marRight w:val="0"/>
      <w:marTop w:val="0"/>
      <w:marBottom w:val="0"/>
      <w:divBdr>
        <w:top w:val="none" w:sz="0" w:space="0" w:color="auto"/>
        <w:left w:val="none" w:sz="0" w:space="0" w:color="auto"/>
        <w:bottom w:val="none" w:sz="0" w:space="0" w:color="auto"/>
        <w:right w:val="none" w:sz="0" w:space="0" w:color="auto"/>
      </w:divBdr>
    </w:div>
    <w:div w:id="1881670329">
      <w:bodyDiv w:val="1"/>
      <w:marLeft w:val="0"/>
      <w:marRight w:val="0"/>
      <w:marTop w:val="0"/>
      <w:marBottom w:val="0"/>
      <w:divBdr>
        <w:top w:val="none" w:sz="0" w:space="0" w:color="auto"/>
        <w:left w:val="none" w:sz="0" w:space="0" w:color="auto"/>
        <w:bottom w:val="none" w:sz="0" w:space="0" w:color="auto"/>
        <w:right w:val="none" w:sz="0" w:space="0" w:color="auto"/>
      </w:divBdr>
    </w:div>
    <w:div w:id="1895963990">
      <w:bodyDiv w:val="1"/>
      <w:marLeft w:val="0"/>
      <w:marRight w:val="0"/>
      <w:marTop w:val="0"/>
      <w:marBottom w:val="0"/>
      <w:divBdr>
        <w:top w:val="none" w:sz="0" w:space="0" w:color="auto"/>
        <w:left w:val="none" w:sz="0" w:space="0" w:color="auto"/>
        <w:bottom w:val="none" w:sz="0" w:space="0" w:color="auto"/>
        <w:right w:val="none" w:sz="0" w:space="0" w:color="auto"/>
      </w:divBdr>
      <w:divsChild>
        <w:div w:id="130709218">
          <w:marLeft w:val="0"/>
          <w:marRight w:val="0"/>
          <w:marTop w:val="0"/>
          <w:marBottom w:val="0"/>
          <w:divBdr>
            <w:top w:val="none" w:sz="0" w:space="0" w:color="auto"/>
            <w:left w:val="none" w:sz="0" w:space="0" w:color="auto"/>
            <w:bottom w:val="none" w:sz="0" w:space="0" w:color="auto"/>
            <w:right w:val="none" w:sz="0" w:space="0" w:color="auto"/>
          </w:divBdr>
          <w:divsChild>
            <w:div w:id="1025398380">
              <w:marLeft w:val="0"/>
              <w:marRight w:val="0"/>
              <w:marTop w:val="0"/>
              <w:marBottom w:val="0"/>
              <w:divBdr>
                <w:top w:val="none" w:sz="0" w:space="0" w:color="auto"/>
                <w:left w:val="none" w:sz="0" w:space="0" w:color="auto"/>
                <w:bottom w:val="none" w:sz="0" w:space="0" w:color="auto"/>
                <w:right w:val="none" w:sz="0" w:space="0" w:color="auto"/>
              </w:divBdr>
              <w:divsChild>
                <w:div w:id="538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2753">
      <w:bodyDiv w:val="1"/>
      <w:marLeft w:val="0"/>
      <w:marRight w:val="0"/>
      <w:marTop w:val="0"/>
      <w:marBottom w:val="0"/>
      <w:divBdr>
        <w:top w:val="none" w:sz="0" w:space="0" w:color="auto"/>
        <w:left w:val="none" w:sz="0" w:space="0" w:color="auto"/>
        <w:bottom w:val="none" w:sz="0" w:space="0" w:color="auto"/>
        <w:right w:val="none" w:sz="0" w:space="0" w:color="auto"/>
      </w:divBdr>
    </w:div>
    <w:div w:id="1950700496">
      <w:bodyDiv w:val="1"/>
      <w:marLeft w:val="0"/>
      <w:marRight w:val="0"/>
      <w:marTop w:val="0"/>
      <w:marBottom w:val="0"/>
      <w:divBdr>
        <w:top w:val="none" w:sz="0" w:space="0" w:color="auto"/>
        <w:left w:val="none" w:sz="0" w:space="0" w:color="auto"/>
        <w:bottom w:val="none" w:sz="0" w:space="0" w:color="auto"/>
        <w:right w:val="none" w:sz="0" w:space="0" w:color="auto"/>
      </w:divBdr>
    </w:div>
    <w:div w:id="1963416483">
      <w:bodyDiv w:val="1"/>
      <w:marLeft w:val="0"/>
      <w:marRight w:val="0"/>
      <w:marTop w:val="0"/>
      <w:marBottom w:val="0"/>
      <w:divBdr>
        <w:top w:val="none" w:sz="0" w:space="0" w:color="auto"/>
        <w:left w:val="none" w:sz="0" w:space="0" w:color="auto"/>
        <w:bottom w:val="none" w:sz="0" w:space="0" w:color="auto"/>
        <w:right w:val="none" w:sz="0" w:space="0" w:color="auto"/>
      </w:divBdr>
      <w:divsChild>
        <w:div w:id="913662148">
          <w:marLeft w:val="0"/>
          <w:marRight w:val="0"/>
          <w:marTop w:val="0"/>
          <w:marBottom w:val="0"/>
          <w:divBdr>
            <w:top w:val="none" w:sz="0" w:space="0" w:color="auto"/>
            <w:left w:val="none" w:sz="0" w:space="0" w:color="auto"/>
            <w:bottom w:val="none" w:sz="0" w:space="0" w:color="auto"/>
            <w:right w:val="none" w:sz="0" w:space="0" w:color="auto"/>
          </w:divBdr>
          <w:divsChild>
            <w:div w:id="1690981226">
              <w:marLeft w:val="0"/>
              <w:marRight w:val="0"/>
              <w:marTop w:val="0"/>
              <w:marBottom w:val="0"/>
              <w:divBdr>
                <w:top w:val="none" w:sz="0" w:space="0" w:color="auto"/>
                <w:left w:val="none" w:sz="0" w:space="0" w:color="auto"/>
                <w:bottom w:val="none" w:sz="0" w:space="0" w:color="auto"/>
                <w:right w:val="none" w:sz="0" w:space="0" w:color="auto"/>
              </w:divBdr>
              <w:divsChild>
                <w:div w:id="2326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2842">
      <w:bodyDiv w:val="1"/>
      <w:marLeft w:val="0"/>
      <w:marRight w:val="0"/>
      <w:marTop w:val="0"/>
      <w:marBottom w:val="0"/>
      <w:divBdr>
        <w:top w:val="none" w:sz="0" w:space="0" w:color="auto"/>
        <w:left w:val="none" w:sz="0" w:space="0" w:color="auto"/>
        <w:bottom w:val="none" w:sz="0" w:space="0" w:color="auto"/>
        <w:right w:val="none" w:sz="0" w:space="0" w:color="auto"/>
      </w:divBdr>
    </w:div>
    <w:div w:id="2001081061">
      <w:bodyDiv w:val="1"/>
      <w:marLeft w:val="0"/>
      <w:marRight w:val="0"/>
      <w:marTop w:val="0"/>
      <w:marBottom w:val="0"/>
      <w:divBdr>
        <w:top w:val="none" w:sz="0" w:space="0" w:color="auto"/>
        <w:left w:val="none" w:sz="0" w:space="0" w:color="auto"/>
        <w:bottom w:val="none" w:sz="0" w:space="0" w:color="auto"/>
        <w:right w:val="none" w:sz="0" w:space="0" w:color="auto"/>
      </w:divBdr>
    </w:div>
    <w:div w:id="2070375360">
      <w:bodyDiv w:val="1"/>
      <w:marLeft w:val="0"/>
      <w:marRight w:val="0"/>
      <w:marTop w:val="0"/>
      <w:marBottom w:val="0"/>
      <w:divBdr>
        <w:top w:val="none" w:sz="0" w:space="0" w:color="auto"/>
        <w:left w:val="none" w:sz="0" w:space="0" w:color="auto"/>
        <w:bottom w:val="none" w:sz="0" w:space="0" w:color="auto"/>
        <w:right w:val="none" w:sz="0" w:space="0" w:color="auto"/>
      </w:divBdr>
    </w:div>
    <w:div w:id="2128574412">
      <w:bodyDiv w:val="1"/>
      <w:marLeft w:val="0"/>
      <w:marRight w:val="0"/>
      <w:marTop w:val="0"/>
      <w:marBottom w:val="0"/>
      <w:divBdr>
        <w:top w:val="none" w:sz="0" w:space="0" w:color="auto"/>
        <w:left w:val="none" w:sz="0" w:space="0" w:color="auto"/>
        <w:bottom w:val="none" w:sz="0" w:space="0" w:color="auto"/>
        <w:right w:val="none" w:sz="0" w:space="0" w:color="auto"/>
      </w:divBdr>
      <w:divsChild>
        <w:div w:id="52117548">
          <w:marLeft w:val="274"/>
          <w:marRight w:val="0"/>
          <w:marTop w:val="0"/>
          <w:marBottom w:val="0"/>
          <w:divBdr>
            <w:top w:val="none" w:sz="0" w:space="0" w:color="auto"/>
            <w:left w:val="none" w:sz="0" w:space="0" w:color="auto"/>
            <w:bottom w:val="none" w:sz="0" w:space="0" w:color="auto"/>
            <w:right w:val="none" w:sz="0" w:space="0" w:color="auto"/>
          </w:divBdr>
        </w:div>
        <w:div w:id="104663172">
          <w:marLeft w:val="274"/>
          <w:marRight w:val="0"/>
          <w:marTop w:val="0"/>
          <w:marBottom w:val="0"/>
          <w:divBdr>
            <w:top w:val="none" w:sz="0" w:space="0" w:color="auto"/>
            <w:left w:val="none" w:sz="0" w:space="0" w:color="auto"/>
            <w:bottom w:val="none" w:sz="0" w:space="0" w:color="auto"/>
            <w:right w:val="none" w:sz="0" w:space="0" w:color="auto"/>
          </w:divBdr>
        </w:div>
        <w:div w:id="1182548059">
          <w:marLeft w:val="274"/>
          <w:marRight w:val="0"/>
          <w:marTop w:val="0"/>
          <w:marBottom w:val="0"/>
          <w:divBdr>
            <w:top w:val="none" w:sz="0" w:space="0" w:color="auto"/>
            <w:left w:val="none" w:sz="0" w:space="0" w:color="auto"/>
            <w:bottom w:val="none" w:sz="0" w:space="0" w:color="auto"/>
            <w:right w:val="none" w:sz="0" w:space="0" w:color="auto"/>
          </w:divBdr>
        </w:div>
        <w:div w:id="1358653121">
          <w:marLeft w:val="274"/>
          <w:marRight w:val="0"/>
          <w:marTop w:val="0"/>
          <w:marBottom w:val="0"/>
          <w:divBdr>
            <w:top w:val="none" w:sz="0" w:space="0" w:color="auto"/>
            <w:left w:val="none" w:sz="0" w:space="0" w:color="auto"/>
            <w:bottom w:val="none" w:sz="0" w:space="0" w:color="auto"/>
            <w:right w:val="none" w:sz="0" w:space="0" w:color="auto"/>
          </w:divBdr>
        </w:div>
        <w:div w:id="1903787807">
          <w:marLeft w:val="274"/>
          <w:marRight w:val="0"/>
          <w:marTop w:val="0"/>
          <w:marBottom w:val="0"/>
          <w:divBdr>
            <w:top w:val="none" w:sz="0" w:space="0" w:color="auto"/>
            <w:left w:val="none" w:sz="0" w:space="0" w:color="auto"/>
            <w:bottom w:val="none" w:sz="0" w:space="0" w:color="auto"/>
            <w:right w:val="none" w:sz="0" w:space="0" w:color="auto"/>
          </w:divBdr>
        </w:div>
        <w:div w:id="2079356703">
          <w:marLeft w:val="274"/>
          <w:marRight w:val="0"/>
          <w:marTop w:val="0"/>
          <w:marBottom w:val="0"/>
          <w:divBdr>
            <w:top w:val="none" w:sz="0" w:space="0" w:color="auto"/>
            <w:left w:val="none" w:sz="0" w:space="0" w:color="auto"/>
            <w:bottom w:val="none" w:sz="0" w:space="0" w:color="auto"/>
            <w:right w:val="none" w:sz="0" w:space="0" w:color="auto"/>
          </w:divBdr>
        </w:div>
      </w:divsChild>
    </w:div>
    <w:div w:id="2146388441">
      <w:bodyDiv w:val="1"/>
      <w:marLeft w:val="0"/>
      <w:marRight w:val="0"/>
      <w:marTop w:val="0"/>
      <w:marBottom w:val="0"/>
      <w:divBdr>
        <w:top w:val="none" w:sz="0" w:space="0" w:color="auto"/>
        <w:left w:val="none" w:sz="0" w:space="0" w:color="auto"/>
        <w:bottom w:val="none" w:sz="0" w:space="0" w:color="auto"/>
        <w:right w:val="none" w:sz="0" w:space="0" w:color="auto"/>
      </w:divBdr>
      <w:divsChild>
        <w:div w:id="202522438">
          <w:marLeft w:val="0"/>
          <w:marRight w:val="0"/>
          <w:marTop w:val="0"/>
          <w:marBottom w:val="0"/>
          <w:divBdr>
            <w:top w:val="none" w:sz="0" w:space="0" w:color="auto"/>
            <w:left w:val="none" w:sz="0" w:space="0" w:color="auto"/>
            <w:bottom w:val="none" w:sz="0" w:space="0" w:color="auto"/>
            <w:right w:val="none" w:sz="0" w:space="0" w:color="auto"/>
          </w:divBdr>
          <w:divsChild>
            <w:div w:id="1312909943">
              <w:marLeft w:val="0"/>
              <w:marRight w:val="0"/>
              <w:marTop w:val="0"/>
              <w:marBottom w:val="0"/>
              <w:divBdr>
                <w:top w:val="none" w:sz="0" w:space="0" w:color="auto"/>
                <w:left w:val="none" w:sz="0" w:space="0" w:color="auto"/>
                <w:bottom w:val="none" w:sz="0" w:space="0" w:color="auto"/>
                <w:right w:val="none" w:sz="0" w:space="0" w:color="auto"/>
              </w:divBdr>
              <w:divsChild>
                <w:div w:id="1851605856">
                  <w:marLeft w:val="0"/>
                  <w:marRight w:val="0"/>
                  <w:marTop w:val="0"/>
                  <w:marBottom w:val="0"/>
                  <w:divBdr>
                    <w:top w:val="none" w:sz="0" w:space="0" w:color="auto"/>
                    <w:left w:val="none" w:sz="0" w:space="0" w:color="auto"/>
                    <w:bottom w:val="none" w:sz="0" w:space="0" w:color="auto"/>
                    <w:right w:val="none" w:sz="0" w:space="0" w:color="auto"/>
                  </w:divBdr>
                  <w:divsChild>
                    <w:div w:id="1068653891">
                      <w:marLeft w:val="-225"/>
                      <w:marRight w:val="-225"/>
                      <w:marTop w:val="0"/>
                      <w:marBottom w:val="0"/>
                      <w:divBdr>
                        <w:top w:val="none" w:sz="0" w:space="0" w:color="auto"/>
                        <w:left w:val="none" w:sz="0" w:space="0" w:color="auto"/>
                        <w:bottom w:val="none" w:sz="0" w:space="0" w:color="auto"/>
                        <w:right w:val="none" w:sz="0" w:space="0" w:color="auto"/>
                      </w:divBdr>
                      <w:divsChild>
                        <w:div w:id="770589926">
                          <w:marLeft w:val="0"/>
                          <w:marRight w:val="0"/>
                          <w:marTop w:val="0"/>
                          <w:marBottom w:val="0"/>
                          <w:divBdr>
                            <w:top w:val="none" w:sz="0" w:space="0" w:color="auto"/>
                            <w:left w:val="none" w:sz="0" w:space="0" w:color="auto"/>
                            <w:bottom w:val="none" w:sz="0" w:space="0" w:color="auto"/>
                            <w:right w:val="none" w:sz="0" w:space="0" w:color="auto"/>
                          </w:divBdr>
                          <w:divsChild>
                            <w:div w:id="1189832312">
                              <w:marLeft w:val="0"/>
                              <w:marRight w:val="0"/>
                              <w:marTop w:val="0"/>
                              <w:marBottom w:val="0"/>
                              <w:divBdr>
                                <w:top w:val="none" w:sz="0" w:space="0" w:color="auto"/>
                                <w:left w:val="none" w:sz="0" w:space="0" w:color="auto"/>
                                <w:bottom w:val="none" w:sz="0" w:space="0" w:color="auto"/>
                                <w:right w:val="none" w:sz="0" w:space="0" w:color="auto"/>
                              </w:divBdr>
                              <w:divsChild>
                                <w:div w:id="198393238">
                                  <w:marLeft w:val="0"/>
                                  <w:marRight w:val="0"/>
                                  <w:marTop w:val="0"/>
                                  <w:marBottom w:val="0"/>
                                  <w:divBdr>
                                    <w:top w:val="none" w:sz="0" w:space="0" w:color="auto"/>
                                    <w:left w:val="none" w:sz="0" w:space="0" w:color="auto"/>
                                    <w:bottom w:val="none" w:sz="0" w:space="0" w:color="auto"/>
                                    <w:right w:val="none" w:sz="0" w:space="0" w:color="auto"/>
                                  </w:divBdr>
                                  <w:divsChild>
                                    <w:div w:id="1661276758">
                                      <w:marLeft w:val="-225"/>
                                      <w:marRight w:val="-225"/>
                                      <w:marTop w:val="0"/>
                                      <w:marBottom w:val="0"/>
                                      <w:divBdr>
                                        <w:top w:val="none" w:sz="0" w:space="0" w:color="auto"/>
                                        <w:left w:val="none" w:sz="0" w:space="0" w:color="auto"/>
                                        <w:bottom w:val="none" w:sz="0" w:space="0" w:color="auto"/>
                                        <w:right w:val="none" w:sz="0" w:space="0" w:color="auto"/>
                                      </w:divBdr>
                                      <w:divsChild>
                                        <w:div w:id="43725249">
                                          <w:marLeft w:val="0"/>
                                          <w:marRight w:val="0"/>
                                          <w:marTop w:val="0"/>
                                          <w:marBottom w:val="0"/>
                                          <w:divBdr>
                                            <w:top w:val="none" w:sz="0" w:space="0" w:color="auto"/>
                                            <w:left w:val="none" w:sz="0" w:space="0" w:color="auto"/>
                                            <w:bottom w:val="none" w:sz="0" w:space="0" w:color="auto"/>
                                            <w:right w:val="none" w:sz="0" w:space="0" w:color="auto"/>
                                          </w:divBdr>
                                          <w:divsChild>
                                            <w:div w:id="2145852568">
                                              <w:marLeft w:val="0"/>
                                              <w:marRight w:val="0"/>
                                              <w:marTop w:val="0"/>
                                              <w:marBottom w:val="0"/>
                                              <w:divBdr>
                                                <w:top w:val="none" w:sz="0" w:space="0" w:color="auto"/>
                                                <w:left w:val="none" w:sz="0" w:space="0" w:color="auto"/>
                                                <w:bottom w:val="none" w:sz="0" w:space="0" w:color="auto"/>
                                                <w:right w:val="none" w:sz="0" w:space="0" w:color="auto"/>
                                              </w:divBdr>
                                              <w:divsChild>
                                                <w:div w:id="8755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525690">
          <w:marLeft w:val="0"/>
          <w:marRight w:val="0"/>
          <w:marTop w:val="0"/>
          <w:marBottom w:val="0"/>
          <w:divBdr>
            <w:top w:val="none" w:sz="0" w:space="0" w:color="auto"/>
            <w:left w:val="none" w:sz="0" w:space="0" w:color="auto"/>
            <w:bottom w:val="none" w:sz="0" w:space="0" w:color="auto"/>
            <w:right w:val="none" w:sz="0" w:space="0" w:color="auto"/>
          </w:divBdr>
          <w:divsChild>
            <w:div w:id="1364675015">
              <w:marLeft w:val="-225"/>
              <w:marRight w:val="-225"/>
              <w:marTop w:val="0"/>
              <w:marBottom w:val="0"/>
              <w:divBdr>
                <w:top w:val="none" w:sz="0" w:space="0" w:color="auto"/>
                <w:left w:val="none" w:sz="0" w:space="0" w:color="auto"/>
                <w:bottom w:val="none" w:sz="0" w:space="0" w:color="auto"/>
                <w:right w:val="none" w:sz="0" w:space="0" w:color="auto"/>
              </w:divBdr>
              <w:divsChild>
                <w:div w:id="136455903">
                  <w:marLeft w:val="0"/>
                  <w:marRight w:val="0"/>
                  <w:marTop w:val="0"/>
                  <w:marBottom w:val="0"/>
                  <w:divBdr>
                    <w:top w:val="none" w:sz="0" w:space="0" w:color="auto"/>
                    <w:left w:val="none" w:sz="0" w:space="0" w:color="auto"/>
                    <w:bottom w:val="none" w:sz="0" w:space="0" w:color="auto"/>
                    <w:right w:val="none" w:sz="0" w:space="0" w:color="auto"/>
                  </w:divBdr>
                  <w:divsChild>
                    <w:div w:id="2048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footer" Target="footer2.xml"/><Relationship Id="rId39" Type="http://schemas.openxmlformats.org/officeDocument/2006/relationships/hyperlink" Target="https://www.jtsi.wa.gov.au/what-we-do/science-and-innovation/science-and-innovation-overview/future-jobs-future-skills" TargetMode="External"/><Relationship Id="rId21" Type="http://schemas.openxmlformats.org/officeDocument/2006/relationships/chart" Target="charts/chart10.xml"/><Relationship Id="rId34" Type="http://schemas.openxmlformats.org/officeDocument/2006/relationships/hyperlink" Target="https://aca.edu.au/resources/" TargetMode="External"/><Relationship Id="rId42" Type="http://schemas.openxmlformats.org/officeDocument/2006/relationships/hyperlink" Target="https://education.nt.gov.au/education/support-for-teachers/stem-in-the-territory-strategy-2018-2022"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hyperlink" Target="https://docs.education.gov.au/system/files/doc/other/list_of_schools_02031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footer" Target="footer1.xml"/><Relationship Id="rId32" Type="http://schemas.openxmlformats.org/officeDocument/2006/relationships/chart" Target="charts/chart14.xml"/><Relationship Id="rId37" Type="http://schemas.openxmlformats.org/officeDocument/2006/relationships/hyperlink" Target="https://www.education.vic.gov.au/about/programs/learningdev/vicstem/Pages/about.aspx" TargetMode="External"/><Relationship Id="rId40" Type="http://schemas.openxmlformats.org/officeDocument/2006/relationships/hyperlink" Target="https://www.education.sa.gov.au/sites/g/files/net691/f/decd-stem-strategy-2016.pdf"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hyperlink" Target="https://docs.education.gov.au/system/files/doc/other/digital_literacy_school_grants_round_1_-_successful_projects_alphabetical_order.pdf" TargetMode="External"/><Relationship Id="rId36" Type="http://schemas.openxmlformats.org/officeDocument/2006/relationships/hyperlink" Target="https://education.nsw.gov.au/teaching-and-learning/curriculum/learning-for-the-future" TargetMode="External"/><Relationship Id="rId10" Type="http://schemas.openxmlformats.org/officeDocument/2006/relationships/image" Target="media/image1.emf"/><Relationship Id="rId19" Type="http://schemas.openxmlformats.org/officeDocument/2006/relationships/chart" Target="charts/chart8.xml"/><Relationship Id="rId31" Type="http://schemas.openxmlformats.org/officeDocument/2006/relationships/chart" Target="charts/chart13.xml"/><Relationship Id="rId44"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hyperlink" Target="https://www.education.gov.au/support-science-technology-engineering-and-mathematics" TargetMode="External"/><Relationship Id="rId30" Type="http://schemas.openxmlformats.org/officeDocument/2006/relationships/chart" Target="charts/chart12.xml"/><Relationship Id="rId35" Type="http://schemas.openxmlformats.org/officeDocument/2006/relationships/hyperlink" Target="https://assist.asta.edu.au"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hyperlink" Target="http://www.stem-nsw.com.au/" TargetMode="External"/><Relationship Id="rId25" Type="http://schemas.openxmlformats.org/officeDocument/2006/relationships/header" Target="header2.xml"/><Relationship Id="rId33" Type="http://schemas.openxmlformats.org/officeDocument/2006/relationships/hyperlink" Target="https://aca.edu.au/projects/dt-challenges/" TargetMode="External"/><Relationship Id="rId38" Type="http://schemas.openxmlformats.org/officeDocument/2006/relationships/hyperlink" Target="http://advancingeducation.qld.gov.au/SiteCollectionDocuments/schools-of-the-future-stem-strategy.pdf" TargetMode="External"/><Relationship Id="rId20" Type="http://schemas.openxmlformats.org/officeDocument/2006/relationships/chart" Target="charts/chart9.xml"/><Relationship Id="rId41" Type="http://schemas.openxmlformats.org/officeDocument/2006/relationships/hyperlink" Target="https://stem.education.tas.gov.au/framewor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dandolo.com.au" TargetMode="External"/><Relationship Id="rId2" Type="http://schemas.openxmlformats.org/officeDocument/2006/relationships/hyperlink" Target="mailto:enquiries@dandolo.com.au"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ocs.education.gov.au/system/files/doc/other/action_now_classroom_ready_teachers_accessible.pdf" TargetMode="External"/><Relationship Id="rId2" Type="http://schemas.openxmlformats.org/officeDocument/2006/relationships/hyperlink" Target="https://www.parliament.vic.gov.au/archive/etc/Submissions/prof_learn/australiancouncilforeducationalresearch280607.pdf" TargetMode="External"/><Relationship Id="rId1" Type="http://schemas.openxmlformats.org/officeDocument/2006/relationships/hyperlink" Target="http://www.industry.gov.au/data-and-publications/australias-national-science-statement" TargetMode="External"/><Relationship Id="rId6" Type="http://schemas.openxmlformats.org/officeDocument/2006/relationships/hyperlink" Target="https://docs.education.gov.au/documents/quality-schools-quality-outcomes" TargetMode="External"/><Relationship Id="rId5" Type="http://schemas.openxmlformats.org/officeDocument/2006/relationships/hyperlink" Target="http://www.educationcouncil.edu.au/site/DefaultSite/filesystem/documents/National%20STEM%20School%20Education%20Strategy.pdf" TargetMode="External"/><Relationship Id="rId4" Type="http://schemas.openxmlformats.org/officeDocument/2006/relationships/hyperlink" Target="http://www.educationcouncil.edu.au/EC-Reports-and-Publications.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simoneeckardt\Library\Application%20Support\Box\Box%20Edit\Documents\510436463043\Digital%20Literacy%20School%20Grants%20-%20UPDATED.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simoneeckardt\Library\Application%20Support\Box\Box%20Edit\Documents\510436463043\Digital%20Literacy%20School%20Grants%20-%20UPDATED.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simoneeckardt\Library\Application%20Support\Box\Box%20Edit\Documents\510436463043\Digital%20Literacy%20School%20Grants%20-%20UPDATED.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Jade\Box\JP%20NIS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Initiatives by equity, excellence or universal focus </a:t>
            </a:r>
          </a:p>
          <a:p>
            <a:pPr>
              <a:defRPr/>
            </a:pPr>
            <a:r>
              <a:rPr lang="en-US" sz="1100" b="0" i="0" baseline="0">
                <a:effectLst/>
              </a:rPr>
              <a:t>(n=15)</a:t>
            </a:r>
            <a:endParaRPr lang="en-AU"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Funding!$B$11</c:f>
              <c:strCache>
                <c:ptCount val="1"/>
                <c:pt idx="0">
                  <c:v>Equity</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Funding!$C$10:$D$10</c:f>
              <c:strCache>
                <c:ptCount val="2"/>
                <c:pt idx="0">
                  <c:v>Total funding</c:v>
                </c:pt>
                <c:pt idx="1">
                  <c:v>Number of initiatives</c:v>
                </c:pt>
              </c:strCache>
            </c:strRef>
          </c:cat>
          <c:val>
            <c:numRef>
              <c:f>Funding!$C$11:$D$11</c:f>
              <c:numCache>
                <c:formatCode>0%</c:formatCode>
                <c:ptCount val="2"/>
                <c:pt idx="0">
                  <c:v>0.32</c:v>
                </c:pt>
                <c:pt idx="1">
                  <c:v>0.27</c:v>
                </c:pt>
              </c:numCache>
            </c:numRef>
          </c:val>
          <c:extLst>
            <c:ext xmlns:c16="http://schemas.microsoft.com/office/drawing/2014/chart" uri="{C3380CC4-5D6E-409C-BE32-E72D297353CC}">
              <c16:uniqueId val="{00000000-6533-B14C-AD12-1F2D726F72B6}"/>
            </c:ext>
          </c:extLst>
        </c:ser>
        <c:ser>
          <c:idx val="1"/>
          <c:order val="1"/>
          <c:tx>
            <c:strRef>
              <c:f>Funding!$B$12</c:f>
              <c:strCache>
                <c:ptCount val="1"/>
                <c:pt idx="0">
                  <c:v>Excellence</c:v>
                </c:pt>
              </c:strCache>
            </c:strRef>
          </c:tx>
          <c:spPr>
            <a:solidFill>
              <a:schemeClr val="accent2"/>
            </a:solidFill>
            <a:ln>
              <a:noFill/>
            </a:ln>
            <a:effectLst/>
          </c:spPr>
          <c:invertIfNegative val="0"/>
          <c:cat>
            <c:strRef>
              <c:f>Funding!$C$10:$D$10</c:f>
              <c:strCache>
                <c:ptCount val="2"/>
                <c:pt idx="0">
                  <c:v>Total funding</c:v>
                </c:pt>
                <c:pt idx="1">
                  <c:v>Number of initiatives</c:v>
                </c:pt>
              </c:strCache>
            </c:strRef>
          </c:cat>
          <c:val>
            <c:numRef>
              <c:f>Funding!$C$12:$D$12</c:f>
              <c:numCache>
                <c:formatCode>0%</c:formatCode>
                <c:ptCount val="2"/>
                <c:pt idx="0">
                  <c:v>0</c:v>
                </c:pt>
                <c:pt idx="1">
                  <c:v>0</c:v>
                </c:pt>
              </c:numCache>
            </c:numRef>
          </c:val>
          <c:extLst>
            <c:ext xmlns:c16="http://schemas.microsoft.com/office/drawing/2014/chart" uri="{C3380CC4-5D6E-409C-BE32-E72D297353CC}">
              <c16:uniqueId val="{00000001-6533-B14C-AD12-1F2D726F72B6}"/>
            </c:ext>
          </c:extLst>
        </c:ser>
        <c:ser>
          <c:idx val="2"/>
          <c:order val="2"/>
          <c:tx>
            <c:strRef>
              <c:f>Funding!$B$13</c:f>
              <c:strCache>
                <c:ptCount val="1"/>
                <c:pt idx="0">
                  <c:v>Universal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Funding!$C$10:$D$10</c:f>
              <c:strCache>
                <c:ptCount val="2"/>
                <c:pt idx="0">
                  <c:v>Total funding</c:v>
                </c:pt>
                <c:pt idx="1">
                  <c:v>Number of initiatives</c:v>
                </c:pt>
              </c:strCache>
            </c:strRef>
          </c:cat>
          <c:val>
            <c:numRef>
              <c:f>Funding!$C$13:$D$13</c:f>
              <c:numCache>
                <c:formatCode>0%</c:formatCode>
                <c:ptCount val="2"/>
                <c:pt idx="0">
                  <c:v>0.67</c:v>
                </c:pt>
                <c:pt idx="1">
                  <c:v>0.67</c:v>
                </c:pt>
              </c:numCache>
            </c:numRef>
          </c:val>
          <c:extLst>
            <c:ext xmlns:c16="http://schemas.microsoft.com/office/drawing/2014/chart" uri="{C3380CC4-5D6E-409C-BE32-E72D297353CC}">
              <c16:uniqueId val="{00000002-6533-B14C-AD12-1F2D726F72B6}"/>
            </c:ext>
          </c:extLst>
        </c:ser>
        <c:ser>
          <c:idx val="3"/>
          <c:order val="3"/>
          <c:tx>
            <c:strRef>
              <c:f>Funding!$B$14</c:f>
              <c:strCache>
                <c:ptCount val="1"/>
                <c:pt idx="0">
                  <c:v>Equity and excellence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Funding!$C$10:$D$10</c:f>
              <c:strCache>
                <c:ptCount val="2"/>
                <c:pt idx="0">
                  <c:v>Total funding</c:v>
                </c:pt>
                <c:pt idx="1">
                  <c:v>Number of initiatives</c:v>
                </c:pt>
              </c:strCache>
            </c:strRef>
          </c:cat>
          <c:val>
            <c:numRef>
              <c:f>Funding!$C$14:$D$14</c:f>
              <c:numCache>
                <c:formatCode>0%</c:formatCode>
                <c:ptCount val="2"/>
                <c:pt idx="0">
                  <c:v>0.01</c:v>
                </c:pt>
                <c:pt idx="1">
                  <c:v>7.0000000000000007E-2</c:v>
                </c:pt>
              </c:numCache>
            </c:numRef>
          </c:val>
          <c:extLst>
            <c:ext xmlns:c16="http://schemas.microsoft.com/office/drawing/2014/chart" uri="{C3380CC4-5D6E-409C-BE32-E72D297353CC}">
              <c16:uniqueId val="{00000003-6533-B14C-AD12-1F2D726F72B6}"/>
            </c:ext>
          </c:extLst>
        </c:ser>
        <c:dLbls>
          <c:showLegendKey val="0"/>
          <c:showVal val="0"/>
          <c:showCatName val="0"/>
          <c:showSerName val="0"/>
          <c:showPercent val="0"/>
          <c:showBubbleSize val="0"/>
        </c:dLbls>
        <c:gapWidth val="150"/>
        <c:overlap val="100"/>
        <c:axId val="1701714191"/>
        <c:axId val="1755018223"/>
      </c:barChart>
      <c:catAx>
        <c:axId val="1701714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018223"/>
        <c:crosses val="autoZero"/>
        <c:auto val="1"/>
        <c:lblAlgn val="ctr"/>
        <c:lblOffset val="100"/>
        <c:noMultiLvlLbl val="0"/>
      </c:catAx>
      <c:valAx>
        <c:axId val="1755018223"/>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714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 by education level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'States and territories'!$B$65</c:f>
              <c:strCache>
                <c:ptCount val="1"/>
                <c:pt idx="0">
                  <c:v>Primary / secondary</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C6-9A4B-A638-C01E9A2DC310}"/>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C6-9A4B-A638-C01E9A2DC3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territories'!$C$64:$D$64</c:f>
              <c:strCache>
                <c:ptCount val="2"/>
                <c:pt idx="0">
                  <c:v>NISA</c:v>
                </c:pt>
                <c:pt idx="1">
                  <c:v>States and territories</c:v>
                </c:pt>
              </c:strCache>
            </c:strRef>
          </c:cat>
          <c:val>
            <c:numRef>
              <c:f>'States and territories'!$C$65:$D$65</c:f>
              <c:numCache>
                <c:formatCode>0%</c:formatCode>
                <c:ptCount val="2"/>
                <c:pt idx="0">
                  <c:v>0.46666666666666667</c:v>
                </c:pt>
                <c:pt idx="1">
                  <c:v>0.58620689655172409</c:v>
                </c:pt>
              </c:numCache>
            </c:numRef>
          </c:val>
          <c:extLst>
            <c:ext xmlns:c16="http://schemas.microsoft.com/office/drawing/2014/chart" uri="{C3380CC4-5D6E-409C-BE32-E72D297353CC}">
              <c16:uniqueId val="{00000000-DAC6-9A4B-A638-C01E9A2DC310}"/>
            </c:ext>
          </c:extLst>
        </c:ser>
        <c:ser>
          <c:idx val="1"/>
          <c:order val="1"/>
          <c:tx>
            <c:strRef>
              <c:f>'States and territories'!$B$66</c:f>
              <c:strCache>
                <c:ptCount val="1"/>
                <c:pt idx="0">
                  <c:v>Secondary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territories'!$C$64:$D$64</c:f>
              <c:strCache>
                <c:ptCount val="2"/>
                <c:pt idx="0">
                  <c:v>NISA</c:v>
                </c:pt>
                <c:pt idx="1">
                  <c:v>States and territories</c:v>
                </c:pt>
              </c:strCache>
            </c:strRef>
          </c:cat>
          <c:val>
            <c:numRef>
              <c:f>'States and territories'!$C$66:$D$66</c:f>
              <c:numCache>
                <c:formatCode>0%</c:formatCode>
                <c:ptCount val="2"/>
                <c:pt idx="0">
                  <c:v>0.26666666666666666</c:v>
                </c:pt>
                <c:pt idx="1">
                  <c:v>0.20689655172413793</c:v>
                </c:pt>
              </c:numCache>
            </c:numRef>
          </c:val>
          <c:extLst>
            <c:ext xmlns:c16="http://schemas.microsoft.com/office/drawing/2014/chart" uri="{C3380CC4-5D6E-409C-BE32-E72D297353CC}">
              <c16:uniqueId val="{00000001-DAC6-9A4B-A638-C01E9A2DC310}"/>
            </c:ext>
          </c:extLst>
        </c:ser>
        <c:ser>
          <c:idx val="2"/>
          <c:order val="2"/>
          <c:tx>
            <c:strRef>
              <c:f>'States and territories'!$B$67</c:f>
              <c:strCache>
                <c:ptCount val="1"/>
                <c:pt idx="0">
                  <c:v>Other (tertiary qualified adults)</c:v>
                </c:pt>
              </c:strCache>
            </c:strRef>
          </c:tx>
          <c:spPr>
            <a:solidFill>
              <a:schemeClr val="accent3"/>
            </a:solidFill>
            <a:ln>
              <a:noFill/>
            </a:ln>
            <a:effectLst/>
          </c:spPr>
          <c:invertIfNegative val="0"/>
          <c:cat>
            <c:strRef>
              <c:f>'States and territories'!$C$64:$D$64</c:f>
              <c:strCache>
                <c:ptCount val="2"/>
                <c:pt idx="0">
                  <c:v>NISA</c:v>
                </c:pt>
                <c:pt idx="1">
                  <c:v>States and territories</c:v>
                </c:pt>
              </c:strCache>
            </c:strRef>
          </c:cat>
          <c:val>
            <c:numRef>
              <c:f>'States and territories'!$C$67:$D$67</c:f>
              <c:numCache>
                <c:formatCode>0%</c:formatCode>
                <c:ptCount val="2"/>
                <c:pt idx="0">
                  <c:v>0</c:v>
                </c:pt>
                <c:pt idx="1">
                  <c:v>3.4482758620689655E-2</c:v>
                </c:pt>
              </c:numCache>
            </c:numRef>
          </c:val>
          <c:extLst>
            <c:ext xmlns:c16="http://schemas.microsoft.com/office/drawing/2014/chart" uri="{C3380CC4-5D6E-409C-BE32-E72D297353CC}">
              <c16:uniqueId val="{00000002-DAC6-9A4B-A638-C01E9A2DC310}"/>
            </c:ext>
          </c:extLst>
        </c:ser>
        <c:ser>
          <c:idx val="3"/>
          <c:order val="3"/>
          <c:tx>
            <c:strRef>
              <c:f>'States and territories'!$B$68</c:f>
              <c:strCache>
                <c:ptCount val="1"/>
                <c:pt idx="0">
                  <c:v>Primary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territories'!$C$64:$D$64</c:f>
              <c:strCache>
                <c:ptCount val="2"/>
                <c:pt idx="0">
                  <c:v>NISA</c:v>
                </c:pt>
                <c:pt idx="1">
                  <c:v>States and territories</c:v>
                </c:pt>
              </c:strCache>
            </c:strRef>
          </c:cat>
          <c:val>
            <c:numRef>
              <c:f>'States and territories'!$C$68:$D$68</c:f>
              <c:numCache>
                <c:formatCode>0%</c:formatCode>
                <c:ptCount val="2"/>
                <c:pt idx="0">
                  <c:v>6.6666666666666666E-2</c:v>
                </c:pt>
                <c:pt idx="1">
                  <c:v>0.13793103448275862</c:v>
                </c:pt>
              </c:numCache>
            </c:numRef>
          </c:val>
          <c:extLst>
            <c:ext xmlns:c16="http://schemas.microsoft.com/office/drawing/2014/chart" uri="{C3380CC4-5D6E-409C-BE32-E72D297353CC}">
              <c16:uniqueId val="{00000003-DAC6-9A4B-A638-C01E9A2DC310}"/>
            </c:ext>
          </c:extLst>
        </c:ser>
        <c:ser>
          <c:idx val="4"/>
          <c:order val="4"/>
          <c:tx>
            <c:strRef>
              <c:f>'States and territories'!$B$69</c:f>
              <c:strCache>
                <c:ptCount val="1"/>
                <c:pt idx="0">
                  <c:v>Early childhood / primary / secondary</c:v>
                </c:pt>
              </c:strCache>
            </c:strRef>
          </c:tx>
          <c:spPr>
            <a:solidFill>
              <a:schemeClr val="accent5"/>
            </a:solidFill>
            <a:ln>
              <a:noFill/>
            </a:ln>
            <a:effectLst/>
          </c:spPr>
          <c:invertIfNegative val="0"/>
          <c:cat>
            <c:strRef>
              <c:f>'States and territories'!$C$64:$D$64</c:f>
              <c:strCache>
                <c:ptCount val="2"/>
                <c:pt idx="0">
                  <c:v>NISA</c:v>
                </c:pt>
                <c:pt idx="1">
                  <c:v>States and territories</c:v>
                </c:pt>
              </c:strCache>
            </c:strRef>
          </c:cat>
          <c:val>
            <c:numRef>
              <c:f>'States and territories'!$C$69:$D$69</c:f>
              <c:numCache>
                <c:formatCode>0%</c:formatCode>
                <c:ptCount val="2"/>
                <c:pt idx="0">
                  <c:v>0</c:v>
                </c:pt>
                <c:pt idx="1">
                  <c:v>1.7241379310344827E-2</c:v>
                </c:pt>
              </c:numCache>
            </c:numRef>
          </c:val>
          <c:extLst>
            <c:ext xmlns:c16="http://schemas.microsoft.com/office/drawing/2014/chart" uri="{C3380CC4-5D6E-409C-BE32-E72D297353CC}">
              <c16:uniqueId val="{00000004-DAC6-9A4B-A638-C01E9A2DC310}"/>
            </c:ext>
          </c:extLst>
        </c:ser>
        <c:ser>
          <c:idx val="5"/>
          <c:order val="5"/>
          <c:tx>
            <c:strRef>
              <c:f>'States and territories'!$B$70</c:f>
              <c:strCache>
                <c:ptCount val="1"/>
                <c:pt idx="0">
                  <c:v>Primary / secondary / training and university</c:v>
                </c:pt>
              </c:strCache>
            </c:strRef>
          </c:tx>
          <c:spPr>
            <a:solidFill>
              <a:schemeClr val="accent6"/>
            </a:solidFill>
            <a:ln>
              <a:noFill/>
            </a:ln>
            <a:effectLst/>
          </c:spPr>
          <c:invertIfNegative val="0"/>
          <c:cat>
            <c:strRef>
              <c:f>'States and territories'!$C$64:$D$64</c:f>
              <c:strCache>
                <c:ptCount val="2"/>
                <c:pt idx="0">
                  <c:v>NISA</c:v>
                </c:pt>
                <c:pt idx="1">
                  <c:v>States and territories</c:v>
                </c:pt>
              </c:strCache>
            </c:strRef>
          </c:cat>
          <c:val>
            <c:numRef>
              <c:f>'States and territories'!$C$70:$D$70</c:f>
              <c:numCache>
                <c:formatCode>0%</c:formatCode>
                <c:ptCount val="2"/>
                <c:pt idx="0">
                  <c:v>0</c:v>
                </c:pt>
                <c:pt idx="1">
                  <c:v>1.7241379310344827E-2</c:v>
                </c:pt>
              </c:numCache>
            </c:numRef>
          </c:val>
          <c:extLst>
            <c:ext xmlns:c16="http://schemas.microsoft.com/office/drawing/2014/chart" uri="{C3380CC4-5D6E-409C-BE32-E72D297353CC}">
              <c16:uniqueId val="{00000005-DAC6-9A4B-A638-C01E9A2DC310}"/>
            </c:ext>
          </c:extLst>
        </c:ser>
        <c:ser>
          <c:idx val="6"/>
          <c:order val="6"/>
          <c:tx>
            <c:strRef>
              <c:f>'States and territories'!$B$71</c:f>
              <c:strCache>
                <c:ptCount val="1"/>
                <c:pt idx="0">
                  <c:v>Early years</c:v>
                </c:pt>
              </c:strCache>
            </c:strRef>
          </c:tx>
          <c:spPr>
            <a:solidFill>
              <a:schemeClr val="accent1">
                <a:lumMod val="60000"/>
              </a:schemeClr>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9-DAC6-9A4B-A638-C01E9A2DC3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territories'!$C$64:$D$64</c:f>
              <c:strCache>
                <c:ptCount val="2"/>
                <c:pt idx="0">
                  <c:v>NISA</c:v>
                </c:pt>
                <c:pt idx="1">
                  <c:v>States and territories</c:v>
                </c:pt>
              </c:strCache>
            </c:strRef>
          </c:cat>
          <c:val>
            <c:numRef>
              <c:f>'States and territories'!$C$71:$D$71</c:f>
              <c:numCache>
                <c:formatCode>0%</c:formatCode>
                <c:ptCount val="2"/>
                <c:pt idx="0">
                  <c:v>0.2</c:v>
                </c:pt>
                <c:pt idx="1">
                  <c:v>0</c:v>
                </c:pt>
              </c:numCache>
            </c:numRef>
          </c:val>
          <c:extLst>
            <c:ext xmlns:c16="http://schemas.microsoft.com/office/drawing/2014/chart" uri="{C3380CC4-5D6E-409C-BE32-E72D297353CC}">
              <c16:uniqueId val="{00000006-DAC6-9A4B-A638-C01E9A2DC310}"/>
            </c:ext>
          </c:extLst>
        </c:ser>
        <c:dLbls>
          <c:showLegendKey val="0"/>
          <c:showVal val="0"/>
          <c:showCatName val="0"/>
          <c:showSerName val="0"/>
          <c:showPercent val="0"/>
          <c:showBubbleSize val="0"/>
        </c:dLbls>
        <c:gapWidth val="150"/>
        <c:overlap val="100"/>
        <c:axId val="1769049071"/>
        <c:axId val="1755439055"/>
      </c:barChart>
      <c:catAx>
        <c:axId val="1769049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439055"/>
        <c:crosses val="autoZero"/>
        <c:auto val="1"/>
        <c:lblAlgn val="ctr"/>
        <c:lblOffset val="100"/>
        <c:noMultiLvlLbl val="0"/>
      </c:catAx>
      <c:valAx>
        <c:axId val="1755439055"/>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9049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 by curriculum area</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'States and territories'!$B$83</c:f>
              <c:strCache>
                <c:ptCount val="1"/>
                <c:pt idx="0">
                  <c:v>General STEM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territories'!$C$82:$D$82</c:f>
              <c:strCache>
                <c:ptCount val="2"/>
                <c:pt idx="0">
                  <c:v>NISA</c:v>
                </c:pt>
                <c:pt idx="1">
                  <c:v>States and territories</c:v>
                </c:pt>
              </c:strCache>
            </c:strRef>
          </c:cat>
          <c:val>
            <c:numRef>
              <c:f>'States and territories'!$C$83:$D$83</c:f>
              <c:numCache>
                <c:formatCode>0%</c:formatCode>
                <c:ptCount val="2"/>
                <c:pt idx="0">
                  <c:v>0.33333333333333331</c:v>
                </c:pt>
                <c:pt idx="1">
                  <c:v>0.62068965517241381</c:v>
                </c:pt>
              </c:numCache>
            </c:numRef>
          </c:val>
          <c:extLst>
            <c:ext xmlns:c16="http://schemas.microsoft.com/office/drawing/2014/chart" uri="{C3380CC4-5D6E-409C-BE32-E72D297353CC}">
              <c16:uniqueId val="{00000000-135F-614F-B13B-00238BEB0110}"/>
            </c:ext>
          </c:extLst>
        </c:ser>
        <c:ser>
          <c:idx val="1"/>
          <c:order val="1"/>
          <c:tx>
            <c:strRef>
              <c:f>'States and territories'!$B$84</c:f>
              <c:strCache>
                <c:ptCount val="1"/>
                <c:pt idx="0">
                  <c:v>Mathematics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territories'!$C$82:$D$82</c:f>
              <c:strCache>
                <c:ptCount val="2"/>
                <c:pt idx="0">
                  <c:v>NISA</c:v>
                </c:pt>
                <c:pt idx="1">
                  <c:v>States and territories</c:v>
                </c:pt>
              </c:strCache>
            </c:strRef>
          </c:cat>
          <c:val>
            <c:numRef>
              <c:f>'States and territories'!$C$84:$D$84</c:f>
              <c:numCache>
                <c:formatCode>0%</c:formatCode>
                <c:ptCount val="2"/>
                <c:pt idx="0">
                  <c:v>0.13333333333333333</c:v>
                </c:pt>
                <c:pt idx="1">
                  <c:v>0.13793103448275862</c:v>
                </c:pt>
              </c:numCache>
            </c:numRef>
          </c:val>
          <c:extLst>
            <c:ext xmlns:c16="http://schemas.microsoft.com/office/drawing/2014/chart" uri="{C3380CC4-5D6E-409C-BE32-E72D297353CC}">
              <c16:uniqueId val="{00000001-135F-614F-B13B-00238BEB0110}"/>
            </c:ext>
          </c:extLst>
        </c:ser>
        <c:ser>
          <c:idx val="2"/>
          <c:order val="2"/>
          <c:tx>
            <c:strRef>
              <c:f>'States and territories'!$B$85</c:f>
              <c:strCache>
                <c:ptCount val="1"/>
                <c:pt idx="0">
                  <c:v>Technology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territories'!$C$82:$D$82</c:f>
              <c:strCache>
                <c:ptCount val="2"/>
                <c:pt idx="0">
                  <c:v>NISA</c:v>
                </c:pt>
                <c:pt idx="1">
                  <c:v>States and territories</c:v>
                </c:pt>
              </c:strCache>
            </c:strRef>
          </c:cat>
          <c:val>
            <c:numRef>
              <c:f>'States and territories'!$C$85:$D$85</c:f>
              <c:numCache>
                <c:formatCode>0%</c:formatCode>
                <c:ptCount val="2"/>
                <c:pt idx="0">
                  <c:v>0.33333333333333331</c:v>
                </c:pt>
                <c:pt idx="1">
                  <c:v>0.18965517241379309</c:v>
                </c:pt>
              </c:numCache>
            </c:numRef>
          </c:val>
          <c:extLst>
            <c:ext xmlns:c16="http://schemas.microsoft.com/office/drawing/2014/chart" uri="{C3380CC4-5D6E-409C-BE32-E72D297353CC}">
              <c16:uniqueId val="{00000002-135F-614F-B13B-00238BEB0110}"/>
            </c:ext>
          </c:extLst>
        </c:ser>
        <c:ser>
          <c:idx val="3"/>
          <c:order val="3"/>
          <c:tx>
            <c:strRef>
              <c:f>'States and territories'!$B$86</c:f>
              <c:strCache>
                <c:ptCount val="1"/>
                <c:pt idx="0">
                  <c:v>Science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territories'!$C$82:$D$82</c:f>
              <c:strCache>
                <c:ptCount val="2"/>
                <c:pt idx="0">
                  <c:v>NISA</c:v>
                </c:pt>
                <c:pt idx="1">
                  <c:v>States and territories</c:v>
                </c:pt>
              </c:strCache>
            </c:strRef>
          </c:cat>
          <c:val>
            <c:numRef>
              <c:f>'States and territories'!$C$86:$D$86</c:f>
              <c:numCache>
                <c:formatCode>0%</c:formatCode>
                <c:ptCount val="2"/>
                <c:pt idx="0">
                  <c:v>0.2</c:v>
                </c:pt>
                <c:pt idx="1">
                  <c:v>5.1724137931034482E-2</c:v>
                </c:pt>
              </c:numCache>
            </c:numRef>
          </c:val>
          <c:extLst>
            <c:ext xmlns:c16="http://schemas.microsoft.com/office/drawing/2014/chart" uri="{C3380CC4-5D6E-409C-BE32-E72D297353CC}">
              <c16:uniqueId val="{00000003-135F-614F-B13B-00238BEB0110}"/>
            </c:ext>
          </c:extLst>
        </c:ser>
        <c:dLbls>
          <c:showLegendKey val="0"/>
          <c:showVal val="0"/>
          <c:showCatName val="0"/>
          <c:showSerName val="0"/>
          <c:showPercent val="0"/>
          <c:showBubbleSize val="0"/>
        </c:dLbls>
        <c:gapWidth val="150"/>
        <c:overlap val="100"/>
        <c:axId val="1762316575"/>
        <c:axId val="1701982591"/>
      </c:barChart>
      <c:catAx>
        <c:axId val="1762316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982591"/>
        <c:crosses val="autoZero"/>
        <c:auto val="1"/>
        <c:lblAlgn val="ctr"/>
        <c:lblOffset val="100"/>
        <c:noMultiLvlLbl val="0"/>
      </c:catAx>
      <c:valAx>
        <c:axId val="1701982591"/>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316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909466633412902E-2"/>
          <c:y val="0.11120355677973713"/>
          <c:w val="0.93202722057932808"/>
          <c:h val="0.67483020569565377"/>
        </c:manualLayout>
      </c:layout>
      <c:barChart>
        <c:barDir val="bar"/>
        <c:grouping val="percentStacked"/>
        <c:varyColors val="0"/>
        <c:ser>
          <c:idx val="2"/>
          <c:order val="0"/>
          <c:tx>
            <c:strRef>
              <c:f>Sheet4!$A$67</c:f>
              <c:strCache>
                <c:ptCount val="1"/>
                <c:pt idx="0">
                  <c:v>QLD</c:v>
                </c:pt>
              </c:strCache>
            </c:strRef>
          </c:tx>
          <c:spPr>
            <a:solidFill>
              <a:schemeClr val="accent3"/>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46-4B4F-B942-866A42DA26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Sheet4!$B$67</c:f>
              <c:numCache>
                <c:formatCode>General</c:formatCode>
                <c:ptCount val="1"/>
                <c:pt idx="0">
                  <c:v>13</c:v>
                </c:pt>
              </c:numCache>
            </c:numRef>
          </c:val>
          <c:extLst>
            <c:ext xmlns:c16="http://schemas.microsoft.com/office/drawing/2014/chart" uri="{C3380CC4-5D6E-409C-BE32-E72D297353CC}">
              <c16:uniqueId val="{00000001-BB46-4B4F-B942-866A42DA26F6}"/>
            </c:ext>
          </c:extLst>
        </c:ser>
        <c:ser>
          <c:idx val="0"/>
          <c:order val="1"/>
          <c:tx>
            <c:strRef>
              <c:f>Sheet4!$A$65</c:f>
              <c:strCache>
                <c:ptCount val="1"/>
                <c:pt idx="0">
                  <c:v>NSW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Sheet4!$B$65</c:f>
              <c:numCache>
                <c:formatCode>General</c:formatCode>
                <c:ptCount val="1"/>
                <c:pt idx="0">
                  <c:v>13</c:v>
                </c:pt>
              </c:numCache>
            </c:numRef>
          </c:val>
          <c:extLst>
            <c:ext xmlns:c16="http://schemas.microsoft.com/office/drawing/2014/chart" uri="{C3380CC4-5D6E-409C-BE32-E72D297353CC}">
              <c16:uniqueId val="{00000002-BB46-4B4F-B942-866A42DA26F6}"/>
            </c:ext>
          </c:extLst>
        </c:ser>
        <c:ser>
          <c:idx val="1"/>
          <c:order val="2"/>
          <c:tx>
            <c:strRef>
              <c:f>Sheet4!$A$66</c:f>
              <c:strCache>
                <c:ptCount val="1"/>
                <c:pt idx="0">
                  <c:v>VIC</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Sheet4!$B$66</c:f>
              <c:numCache>
                <c:formatCode>General</c:formatCode>
                <c:ptCount val="1"/>
                <c:pt idx="0">
                  <c:v>11</c:v>
                </c:pt>
              </c:numCache>
            </c:numRef>
          </c:val>
          <c:extLst>
            <c:ext xmlns:c16="http://schemas.microsoft.com/office/drawing/2014/chart" uri="{C3380CC4-5D6E-409C-BE32-E72D297353CC}">
              <c16:uniqueId val="{00000003-BB46-4B4F-B942-866A42DA26F6}"/>
            </c:ext>
          </c:extLst>
        </c:ser>
        <c:ser>
          <c:idx val="6"/>
          <c:order val="3"/>
          <c:tx>
            <c:strRef>
              <c:f>Sheet4!$A$71</c:f>
              <c:strCache>
                <c:ptCount val="1"/>
                <c:pt idx="0">
                  <c:v>SA</c:v>
                </c:pt>
              </c:strCache>
            </c:strRef>
          </c:tx>
          <c:spPr>
            <a:solidFill>
              <a:schemeClr val="accent1">
                <a:lumMod val="60000"/>
              </a:schemeClr>
            </a:solidFill>
            <a:ln>
              <a:noFill/>
            </a:ln>
            <a:effectLst/>
          </c:spPr>
          <c:invertIfNegative val="0"/>
          <c:dPt>
            <c:idx val="0"/>
            <c:invertIfNegative val="0"/>
            <c:bubble3D val="0"/>
            <c:spPr>
              <a:solidFill>
                <a:sysClr val="windowText" lastClr="000000">
                  <a:lumMod val="65000"/>
                  <a:lumOff val="35000"/>
                </a:sysClr>
              </a:solidFill>
              <a:ln>
                <a:noFill/>
              </a:ln>
              <a:effectLst/>
            </c:spPr>
            <c:extLst>
              <c:ext xmlns:c16="http://schemas.microsoft.com/office/drawing/2014/chart" uri="{C3380CC4-5D6E-409C-BE32-E72D297353CC}">
                <c16:uniqueId val="{00000005-BB46-4B4F-B942-866A42DA26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Sheet4!$B$71</c:f>
              <c:numCache>
                <c:formatCode>General</c:formatCode>
                <c:ptCount val="1"/>
                <c:pt idx="0">
                  <c:v>7</c:v>
                </c:pt>
              </c:numCache>
            </c:numRef>
          </c:val>
          <c:extLst>
            <c:ext xmlns:c16="http://schemas.microsoft.com/office/drawing/2014/chart" uri="{C3380CC4-5D6E-409C-BE32-E72D297353CC}">
              <c16:uniqueId val="{00000006-BB46-4B4F-B942-866A42DA26F6}"/>
            </c:ext>
          </c:extLst>
        </c:ser>
        <c:ser>
          <c:idx val="5"/>
          <c:order val="4"/>
          <c:tx>
            <c:strRef>
              <c:f>Sheet4!$A$70</c:f>
              <c:strCache>
                <c:ptCount val="1"/>
                <c:pt idx="0">
                  <c:v>WA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Sheet4!$B$70</c:f>
              <c:numCache>
                <c:formatCode>General</c:formatCode>
                <c:ptCount val="1"/>
                <c:pt idx="0">
                  <c:v>6</c:v>
                </c:pt>
              </c:numCache>
            </c:numRef>
          </c:val>
          <c:extLst>
            <c:ext xmlns:c16="http://schemas.microsoft.com/office/drawing/2014/chart" uri="{C3380CC4-5D6E-409C-BE32-E72D297353CC}">
              <c16:uniqueId val="{00000007-BB46-4B4F-B942-866A42DA26F6}"/>
            </c:ext>
          </c:extLst>
        </c:ser>
        <c:ser>
          <c:idx val="7"/>
          <c:order val="5"/>
          <c:tx>
            <c:strRef>
              <c:f>Sheet4!$A$72</c:f>
              <c:strCache>
                <c:ptCount val="1"/>
                <c:pt idx="0">
                  <c:v>TAS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Sheet4!$B$72</c:f>
              <c:numCache>
                <c:formatCode>General</c:formatCode>
                <c:ptCount val="1"/>
                <c:pt idx="0">
                  <c:v>3</c:v>
                </c:pt>
              </c:numCache>
            </c:numRef>
          </c:val>
          <c:extLst>
            <c:ext xmlns:c16="http://schemas.microsoft.com/office/drawing/2014/chart" uri="{C3380CC4-5D6E-409C-BE32-E72D297353CC}">
              <c16:uniqueId val="{00000008-BB46-4B4F-B942-866A42DA26F6}"/>
            </c:ext>
          </c:extLst>
        </c:ser>
        <c:ser>
          <c:idx val="3"/>
          <c:order val="6"/>
          <c:tx>
            <c:strRef>
              <c:f>Sheet4!$A$68</c:f>
              <c:strCache>
                <c:ptCount val="1"/>
                <c:pt idx="0">
                  <c:v>ACT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Sheet4!$B$68</c:f>
              <c:numCache>
                <c:formatCode>General</c:formatCode>
                <c:ptCount val="1"/>
                <c:pt idx="0">
                  <c:v>2</c:v>
                </c:pt>
              </c:numCache>
            </c:numRef>
          </c:val>
          <c:extLst>
            <c:ext xmlns:c16="http://schemas.microsoft.com/office/drawing/2014/chart" uri="{C3380CC4-5D6E-409C-BE32-E72D297353CC}">
              <c16:uniqueId val="{00000009-BB46-4B4F-B942-866A42DA26F6}"/>
            </c:ext>
          </c:extLst>
        </c:ser>
        <c:ser>
          <c:idx val="4"/>
          <c:order val="7"/>
          <c:tx>
            <c:strRef>
              <c:f>Sheet4!$A$69</c:f>
              <c:strCache>
                <c:ptCount val="1"/>
                <c:pt idx="0">
                  <c:v>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Sheet4!$B$69</c:f>
              <c:numCache>
                <c:formatCode>General</c:formatCode>
                <c:ptCount val="1"/>
                <c:pt idx="0">
                  <c:v>1</c:v>
                </c:pt>
              </c:numCache>
            </c:numRef>
          </c:val>
          <c:extLst>
            <c:ext xmlns:c16="http://schemas.microsoft.com/office/drawing/2014/chart" uri="{C3380CC4-5D6E-409C-BE32-E72D297353CC}">
              <c16:uniqueId val="{0000000A-BB46-4B4F-B942-866A42DA26F6}"/>
            </c:ext>
          </c:extLst>
        </c:ser>
        <c:dLbls>
          <c:showLegendKey val="0"/>
          <c:showVal val="0"/>
          <c:showCatName val="0"/>
          <c:showSerName val="0"/>
          <c:showPercent val="0"/>
          <c:showBubbleSize val="0"/>
        </c:dLbls>
        <c:gapWidth val="150"/>
        <c:overlap val="100"/>
        <c:axId val="1112362991"/>
        <c:axId val="1115234975"/>
      </c:barChart>
      <c:catAx>
        <c:axId val="1112362991"/>
        <c:scaling>
          <c:orientation val="minMax"/>
        </c:scaling>
        <c:delete val="1"/>
        <c:axPos val="l"/>
        <c:numFmt formatCode="General" sourceLinked="1"/>
        <c:majorTickMark val="none"/>
        <c:minorTickMark val="none"/>
        <c:tickLblPos val="nextTo"/>
        <c:crossAx val="1115234975"/>
        <c:crosses val="autoZero"/>
        <c:auto val="1"/>
        <c:lblAlgn val="ctr"/>
        <c:lblOffset val="100"/>
        <c:noMultiLvlLbl val="0"/>
      </c:catAx>
      <c:valAx>
        <c:axId val="111523497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362991"/>
        <c:crosses val="autoZero"/>
        <c:crossBetween val="between"/>
      </c:valAx>
      <c:spPr>
        <a:noFill/>
        <a:ln>
          <a:noFill/>
        </a:ln>
        <a:effectLst/>
      </c:spPr>
    </c:plotArea>
    <c:legend>
      <c:legendPos val="b"/>
      <c:layout>
        <c:manualLayout>
          <c:xMode val="edge"/>
          <c:yMode val="edge"/>
          <c:x val="0.22079253215520009"/>
          <c:y val="0.90029414825349474"/>
          <c:w val="0.58556411444044598"/>
          <c:h val="7.93545103440016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v>Teachers</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Sheet4!$B$4</c:f>
              <c:numCache>
                <c:formatCode>General</c:formatCode>
                <c:ptCount val="1"/>
                <c:pt idx="0">
                  <c:v>30</c:v>
                </c:pt>
              </c:numCache>
            </c:numRef>
          </c:val>
          <c:extLst>
            <c:ext xmlns:c16="http://schemas.microsoft.com/office/drawing/2014/chart" uri="{C3380CC4-5D6E-409C-BE32-E72D297353CC}">
              <c16:uniqueId val="{00000000-B814-234F-9846-FCAF785CB498}"/>
            </c:ext>
          </c:extLst>
        </c:ser>
        <c:ser>
          <c:idx val="2"/>
          <c:order val="1"/>
          <c:tx>
            <c:v>Students</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Sheet4!$B$5</c:f>
              <c:numCache>
                <c:formatCode>General</c:formatCode>
                <c:ptCount val="1"/>
                <c:pt idx="0">
                  <c:v>14</c:v>
                </c:pt>
              </c:numCache>
            </c:numRef>
          </c:val>
          <c:extLst>
            <c:ext xmlns:c16="http://schemas.microsoft.com/office/drawing/2014/chart" uri="{C3380CC4-5D6E-409C-BE32-E72D297353CC}">
              <c16:uniqueId val="{00000001-B814-234F-9846-FCAF785CB498}"/>
            </c:ext>
          </c:extLst>
        </c:ser>
        <c:ser>
          <c:idx val="3"/>
          <c:order val="2"/>
          <c:tx>
            <c:v>School network</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Sheet4!$B$6</c:f>
              <c:numCache>
                <c:formatCode>General</c:formatCode>
                <c:ptCount val="1"/>
                <c:pt idx="0">
                  <c:v>3</c:v>
                </c:pt>
              </c:numCache>
            </c:numRef>
          </c:val>
          <c:extLst>
            <c:ext xmlns:c16="http://schemas.microsoft.com/office/drawing/2014/chart" uri="{C3380CC4-5D6E-409C-BE32-E72D297353CC}">
              <c16:uniqueId val="{00000002-B814-234F-9846-FCAF785CB498}"/>
            </c:ext>
          </c:extLst>
        </c:ser>
        <c:ser>
          <c:idx val="0"/>
          <c:order val="3"/>
          <c:tx>
            <c:strRef>
              <c:f>Sheet4!$A$3</c:f>
              <c:strCache>
                <c:ptCount val="1"/>
                <c:pt idx="0">
                  <c:v>No information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Sheet4!$B$3</c:f>
              <c:numCache>
                <c:formatCode>General</c:formatCode>
                <c:ptCount val="1"/>
                <c:pt idx="0">
                  <c:v>8</c:v>
                </c:pt>
              </c:numCache>
            </c:numRef>
          </c:val>
          <c:extLst>
            <c:ext xmlns:c16="http://schemas.microsoft.com/office/drawing/2014/chart" uri="{C3380CC4-5D6E-409C-BE32-E72D297353CC}">
              <c16:uniqueId val="{00000003-B814-234F-9846-FCAF785CB498}"/>
            </c:ext>
          </c:extLst>
        </c:ser>
        <c:dLbls>
          <c:showLegendKey val="0"/>
          <c:showVal val="0"/>
          <c:showCatName val="0"/>
          <c:showSerName val="0"/>
          <c:showPercent val="0"/>
          <c:showBubbleSize val="0"/>
        </c:dLbls>
        <c:gapWidth val="150"/>
        <c:overlap val="100"/>
        <c:axId val="395896735"/>
        <c:axId val="396038351"/>
      </c:barChart>
      <c:catAx>
        <c:axId val="395896735"/>
        <c:scaling>
          <c:orientation val="minMax"/>
        </c:scaling>
        <c:delete val="1"/>
        <c:axPos val="l"/>
        <c:numFmt formatCode="General" sourceLinked="1"/>
        <c:majorTickMark val="none"/>
        <c:minorTickMark val="none"/>
        <c:tickLblPos val="nextTo"/>
        <c:crossAx val="396038351"/>
        <c:crosses val="autoZero"/>
        <c:auto val="1"/>
        <c:lblAlgn val="ctr"/>
        <c:lblOffset val="100"/>
        <c:noMultiLvlLbl val="0"/>
      </c:catAx>
      <c:valAx>
        <c:axId val="39603835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89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v>Professional learning</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Sheet4!$B$10</c:f>
              <c:numCache>
                <c:formatCode>General</c:formatCode>
                <c:ptCount val="1"/>
                <c:pt idx="0">
                  <c:v>22</c:v>
                </c:pt>
              </c:numCache>
            </c:numRef>
          </c:val>
          <c:extLst>
            <c:ext xmlns:c16="http://schemas.microsoft.com/office/drawing/2014/chart" uri="{C3380CC4-5D6E-409C-BE32-E72D297353CC}">
              <c16:uniqueId val="{00000000-51E0-C646-9464-FCF92F6F2EC4}"/>
            </c:ext>
          </c:extLst>
        </c:ser>
        <c:ser>
          <c:idx val="3"/>
          <c:order val="1"/>
          <c:tx>
            <c:strRef>
              <c:f>Sheet4!$A$12</c:f>
              <c:strCache>
                <c:ptCount val="1"/>
                <c:pt idx="0">
                  <c:v>Resources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Sheet4!$B$12</c:f>
              <c:numCache>
                <c:formatCode>General</c:formatCode>
                <c:ptCount val="1"/>
                <c:pt idx="0">
                  <c:v>12</c:v>
                </c:pt>
              </c:numCache>
            </c:numRef>
          </c:val>
          <c:extLst>
            <c:ext xmlns:c16="http://schemas.microsoft.com/office/drawing/2014/chart" uri="{C3380CC4-5D6E-409C-BE32-E72D297353CC}">
              <c16:uniqueId val="{00000001-51E0-C646-9464-FCF92F6F2EC4}"/>
            </c:ext>
          </c:extLst>
        </c:ser>
        <c:ser>
          <c:idx val="4"/>
          <c:order val="2"/>
          <c:tx>
            <c:strRef>
              <c:f>Sheet4!$A$13</c:f>
              <c:strCache>
                <c:ptCount val="1"/>
                <c:pt idx="0">
                  <c:v>Networking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Sheet4!$B$13</c:f>
              <c:numCache>
                <c:formatCode>General</c:formatCode>
                <c:ptCount val="1"/>
                <c:pt idx="0">
                  <c:v>7</c:v>
                </c:pt>
              </c:numCache>
            </c:numRef>
          </c:val>
          <c:extLst>
            <c:ext xmlns:c16="http://schemas.microsoft.com/office/drawing/2014/chart" uri="{C3380CC4-5D6E-409C-BE32-E72D297353CC}">
              <c16:uniqueId val="{00000002-51E0-C646-9464-FCF92F6F2EC4}"/>
            </c:ext>
          </c:extLst>
        </c:ser>
        <c:ser>
          <c:idx val="2"/>
          <c:order val="3"/>
          <c:tx>
            <c:v>PL and resources</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Sheet4!$B$11</c:f>
              <c:numCache>
                <c:formatCode>General</c:formatCode>
                <c:ptCount val="1"/>
                <c:pt idx="0">
                  <c:v>6</c:v>
                </c:pt>
              </c:numCache>
            </c:numRef>
          </c:val>
          <c:extLst>
            <c:ext xmlns:c16="http://schemas.microsoft.com/office/drawing/2014/chart" uri="{C3380CC4-5D6E-409C-BE32-E72D297353CC}">
              <c16:uniqueId val="{00000003-51E0-C646-9464-FCF92F6F2EC4}"/>
            </c:ext>
          </c:extLst>
        </c:ser>
        <c:ser>
          <c:idx val="0"/>
          <c:order val="4"/>
          <c:tx>
            <c:strRef>
              <c:f>Sheet4!$A$9</c:f>
              <c:strCache>
                <c:ptCount val="1"/>
                <c:pt idx="0">
                  <c:v>No information</c:v>
                </c:pt>
              </c:strCache>
            </c:strRef>
          </c:tx>
          <c:spPr>
            <a:solidFill>
              <a:schemeClr val="accent1"/>
            </a:solidFill>
            <a:ln>
              <a:noFill/>
            </a:ln>
            <a:effectLst/>
          </c:spPr>
          <c:invertIfNegative val="0"/>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4025FC2F-3E23-D24C-B8C8-C9E2E12FDBCA}" type="VALUE">
                      <a:rPr lang="en-US"/>
                      <a:pPr>
                        <a:defRPr>
                          <a:solidFill>
                            <a:schemeClr val="bg1"/>
                          </a:solidFill>
                        </a:defRPr>
                      </a:pPr>
                      <a:t>[VALUE]</a:t>
                    </a:fld>
                    <a:endParaRPr lang="en-AU"/>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1E0-C646-9464-FCF92F6F2E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Sheet4!$B$9</c:f>
              <c:numCache>
                <c:formatCode>General</c:formatCode>
                <c:ptCount val="1"/>
                <c:pt idx="0">
                  <c:v>8</c:v>
                </c:pt>
              </c:numCache>
            </c:numRef>
          </c:val>
          <c:extLst>
            <c:ext xmlns:c16="http://schemas.microsoft.com/office/drawing/2014/chart" uri="{C3380CC4-5D6E-409C-BE32-E72D297353CC}">
              <c16:uniqueId val="{00000005-51E0-C646-9464-FCF92F6F2EC4}"/>
            </c:ext>
          </c:extLst>
        </c:ser>
        <c:dLbls>
          <c:showLegendKey val="0"/>
          <c:showVal val="0"/>
          <c:showCatName val="0"/>
          <c:showSerName val="0"/>
          <c:showPercent val="0"/>
          <c:showBubbleSize val="0"/>
        </c:dLbls>
        <c:gapWidth val="150"/>
        <c:overlap val="100"/>
        <c:axId val="392633951"/>
        <c:axId val="332865759"/>
      </c:barChart>
      <c:catAx>
        <c:axId val="392633951"/>
        <c:scaling>
          <c:orientation val="minMax"/>
        </c:scaling>
        <c:delete val="1"/>
        <c:axPos val="l"/>
        <c:numFmt formatCode="General" sourceLinked="1"/>
        <c:majorTickMark val="none"/>
        <c:minorTickMark val="none"/>
        <c:tickLblPos val="nextTo"/>
        <c:crossAx val="332865759"/>
        <c:crosses val="autoZero"/>
        <c:auto val="1"/>
        <c:lblAlgn val="ctr"/>
        <c:lblOffset val="100"/>
        <c:noMultiLvlLbl val="0"/>
      </c:catAx>
      <c:valAx>
        <c:axId val="33286575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633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 by equity area (n=5)</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Funding!$B$19</c:f>
              <c:strCache>
                <c:ptCount val="1"/>
                <c:pt idx="0">
                  <c:v>Low socio-economic</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Funding!$C$18</c:f>
              <c:strCache>
                <c:ptCount val="1"/>
                <c:pt idx="0">
                  <c:v>Number of initiatives</c:v>
                </c:pt>
              </c:strCache>
            </c:strRef>
          </c:cat>
          <c:val>
            <c:numRef>
              <c:f>Funding!$C$19</c:f>
              <c:numCache>
                <c:formatCode>0%</c:formatCode>
                <c:ptCount val="1"/>
                <c:pt idx="0">
                  <c:v>0.56000000000000005</c:v>
                </c:pt>
              </c:numCache>
            </c:numRef>
          </c:val>
          <c:extLst>
            <c:ext xmlns:c16="http://schemas.microsoft.com/office/drawing/2014/chart" uri="{C3380CC4-5D6E-409C-BE32-E72D297353CC}">
              <c16:uniqueId val="{00000000-502D-EA40-BBAC-E18BD4572C43}"/>
            </c:ext>
          </c:extLst>
        </c:ser>
        <c:ser>
          <c:idx val="1"/>
          <c:order val="1"/>
          <c:tx>
            <c:strRef>
              <c:f>Funding!$B$20</c:f>
              <c:strCache>
                <c:ptCount val="1"/>
                <c:pt idx="0">
                  <c:v>Indigenous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Funding!$C$18</c:f>
              <c:strCache>
                <c:ptCount val="1"/>
                <c:pt idx="0">
                  <c:v>Number of initiatives</c:v>
                </c:pt>
              </c:strCache>
            </c:strRef>
          </c:cat>
          <c:val>
            <c:numRef>
              <c:f>Funding!$C$20</c:f>
              <c:numCache>
                <c:formatCode>0%</c:formatCode>
                <c:ptCount val="1"/>
                <c:pt idx="0">
                  <c:v>0.22</c:v>
                </c:pt>
              </c:numCache>
            </c:numRef>
          </c:val>
          <c:extLst>
            <c:ext xmlns:c16="http://schemas.microsoft.com/office/drawing/2014/chart" uri="{C3380CC4-5D6E-409C-BE32-E72D297353CC}">
              <c16:uniqueId val="{00000001-502D-EA40-BBAC-E18BD4572C43}"/>
            </c:ext>
          </c:extLst>
        </c:ser>
        <c:ser>
          <c:idx val="2"/>
          <c:order val="2"/>
          <c:tx>
            <c:strRef>
              <c:f>Funding!$B$21</c:f>
              <c:strCache>
                <c:ptCount val="1"/>
                <c:pt idx="0">
                  <c:v>Female</c:v>
                </c:pt>
              </c:strCache>
            </c:strRef>
          </c:tx>
          <c:spPr>
            <a:solidFill>
              <a:schemeClr val="accent3"/>
            </a:solidFill>
            <a:ln>
              <a:no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4-502D-EA40-BBAC-E18BD4572C4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Funding!$C$18</c:f>
              <c:strCache>
                <c:ptCount val="1"/>
                <c:pt idx="0">
                  <c:v>Number of initiatives</c:v>
                </c:pt>
              </c:strCache>
            </c:strRef>
          </c:cat>
          <c:val>
            <c:numRef>
              <c:f>Funding!$C$21</c:f>
              <c:numCache>
                <c:formatCode>0%</c:formatCode>
                <c:ptCount val="1"/>
                <c:pt idx="0">
                  <c:v>0.11</c:v>
                </c:pt>
              </c:numCache>
            </c:numRef>
          </c:val>
          <c:extLst>
            <c:ext xmlns:c16="http://schemas.microsoft.com/office/drawing/2014/chart" uri="{C3380CC4-5D6E-409C-BE32-E72D297353CC}">
              <c16:uniqueId val="{00000002-502D-EA40-BBAC-E18BD4572C43}"/>
            </c:ext>
          </c:extLst>
        </c:ser>
        <c:ser>
          <c:idx val="3"/>
          <c:order val="3"/>
          <c:tx>
            <c:strRef>
              <c:f>Funding!$B$22</c:f>
              <c:strCache>
                <c:ptCount val="1"/>
                <c:pt idx="0">
                  <c:v>Rural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Funding!$C$18</c:f>
              <c:strCache>
                <c:ptCount val="1"/>
                <c:pt idx="0">
                  <c:v>Number of initiatives</c:v>
                </c:pt>
              </c:strCache>
            </c:strRef>
          </c:cat>
          <c:val>
            <c:numRef>
              <c:f>Funding!$C$22</c:f>
              <c:numCache>
                <c:formatCode>0%</c:formatCode>
                <c:ptCount val="1"/>
                <c:pt idx="0">
                  <c:v>0.11</c:v>
                </c:pt>
              </c:numCache>
            </c:numRef>
          </c:val>
          <c:extLst>
            <c:ext xmlns:c16="http://schemas.microsoft.com/office/drawing/2014/chart" uri="{C3380CC4-5D6E-409C-BE32-E72D297353CC}">
              <c16:uniqueId val="{00000003-502D-EA40-BBAC-E18BD4572C43}"/>
            </c:ext>
          </c:extLst>
        </c:ser>
        <c:dLbls>
          <c:showLegendKey val="0"/>
          <c:showVal val="0"/>
          <c:showCatName val="0"/>
          <c:showSerName val="0"/>
          <c:showPercent val="0"/>
          <c:showBubbleSize val="0"/>
        </c:dLbls>
        <c:gapWidth val="150"/>
        <c:overlap val="100"/>
        <c:axId val="1700097263"/>
        <c:axId val="1755915679"/>
      </c:barChart>
      <c:catAx>
        <c:axId val="1700097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915679"/>
        <c:crosses val="autoZero"/>
        <c:auto val="1"/>
        <c:lblAlgn val="ctr"/>
        <c:lblOffset val="100"/>
        <c:noMultiLvlLbl val="0"/>
      </c:catAx>
      <c:valAx>
        <c:axId val="1755915679"/>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097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by target audience (n=15)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Funding!$B$29</c:f>
              <c:strCache>
                <c:ptCount val="1"/>
                <c:pt idx="0">
                  <c:v>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Funding!$C$28:$D$28</c:f>
              <c:strCache>
                <c:ptCount val="2"/>
                <c:pt idx="0">
                  <c:v>Total funding</c:v>
                </c:pt>
                <c:pt idx="1">
                  <c:v>Number of initiatives</c:v>
                </c:pt>
              </c:strCache>
            </c:strRef>
          </c:cat>
          <c:val>
            <c:numRef>
              <c:f>Funding!$C$29:$D$29</c:f>
              <c:numCache>
                <c:formatCode>0%</c:formatCode>
                <c:ptCount val="2"/>
                <c:pt idx="0">
                  <c:v>0.03</c:v>
                </c:pt>
                <c:pt idx="1">
                  <c:v>0.13</c:v>
                </c:pt>
              </c:numCache>
            </c:numRef>
          </c:val>
          <c:extLst>
            <c:ext xmlns:c16="http://schemas.microsoft.com/office/drawing/2014/chart" uri="{C3380CC4-5D6E-409C-BE32-E72D297353CC}">
              <c16:uniqueId val="{00000000-8380-5D43-953F-3F1352E0EFF8}"/>
            </c:ext>
          </c:extLst>
        </c:ser>
        <c:ser>
          <c:idx val="1"/>
          <c:order val="1"/>
          <c:tx>
            <c:strRef>
              <c:f>Funding!$B$30</c:f>
              <c:strCache>
                <c:ptCount val="1"/>
                <c:pt idx="0">
                  <c:v>Early Childhood Educators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Funding!$C$28:$D$28</c:f>
              <c:strCache>
                <c:ptCount val="2"/>
                <c:pt idx="0">
                  <c:v>Total funding</c:v>
                </c:pt>
                <c:pt idx="1">
                  <c:v>Number of initiatives</c:v>
                </c:pt>
              </c:strCache>
            </c:strRef>
          </c:cat>
          <c:val>
            <c:numRef>
              <c:f>Funding!$C$30:$D$30</c:f>
              <c:numCache>
                <c:formatCode>0%</c:formatCode>
                <c:ptCount val="2"/>
                <c:pt idx="0">
                  <c:v>0.26</c:v>
                </c:pt>
                <c:pt idx="1">
                  <c:v>0.2</c:v>
                </c:pt>
              </c:numCache>
            </c:numRef>
          </c:val>
          <c:extLst>
            <c:ext xmlns:c16="http://schemas.microsoft.com/office/drawing/2014/chart" uri="{C3380CC4-5D6E-409C-BE32-E72D297353CC}">
              <c16:uniqueId val="{00000001-8380-5D43-953F-3F1352E0EFF8}"/>
            </c:ext>
          </c:extLst>
        </c:ser>
        <c:ser>
          <c:idx val="2"/>
          <c:order val="2"/>
          <c:tx>
            <c:strRef>
              <c:f>Funding!$B$31</c:f>
              <c:strCache>
                <c:ptCount val="1"/>
                <c:pt idx="0">
                  <c:v>Teachers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Funding!$C$28:$D$28</c:f>
              <c:strCache>
                <c:ptCount val="2"/>
                <c:pt idx="0">
                  <c:v>Total funding</c:v>
                </c:pt>
                <c:pt idx="1">
                  <c:v>Number of initiatives</c:v>
                </c:pt>
              </c:strCache>
            </c:strRef>
          </c:cat>
          <c:val>
            <c:numRef>
              <c:f>Funding!$C$31:$D$31</c:f>
              <c:numCache>
                <c:formatCode>0%</c:formatCode>
                <c:ptCount val="2"/>
                <c:pt idx="0">
                  <c:v>0.7</c:v>
                </c:pt>
                <c:pt idx="1">
                  <c:v>0.6</c:v>
                </c:pt>
              </c:numCache>
            </c:numRef>
          </c:val>
          <c:extLst>
            <c:ext xmlns:c16="http://schemas.microsoft.com/office/drawing/2014/chart" uri="{C3380CC4-5D6E-409C-BE32-E72D297353CC}">
              <c16:uniqueId val="{00000002-8380-5D43-953F-3F1352E0EFF8}"/>
            </c:ext>
          </c:extLst>
        </c:ser>
        <c:ser>
          <c:idx val="3"/>
          <c:order val="3"/>
          <c:tx>
            <c:strRef>
              <c:f>Funding!$B$32</c:f>
              <c:strCache>
                <c:ptCount val="1"/>
                <c:pt idx="0">
                  <c:v>Principals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Funding!$C$28:$D$28</c:f>
              <c:strCache>
                <c:ptCount val="2"/>
                <c:pt idx="0">
                  <c:v>Total funding</c:v>
                </c:pt>
                <c:pt idx="1">
                  <c:v>Number of initiatives</c:v>
                </c:pt>
              </c:strCache>
            </c:strRef>
          </c:cat>
          <c:val>
            <c:numRef>
              <c:f>Funding!$C$32:$D$32</c:f>
              <c:numCache>
                <c:formatCode>0%</c:formatCode>
                <c:ptCount val="2"/>
                <c:pt idx="0">
                  <c:v>0.04</c:v>
                </c:pt>
                <c:pt idx="1">
                  <c:v>7.0000000000000007E-2</c:v>
                </c:pt>
              </c:numCache>
            </c:numRef>
          </c:val>
          <c:extLst>
            <c:ext xmlns:c16="http://schemas.microsoft.com/office/drawing/2014/chart" uri="{C3380CC4-5D6E-409C-BE32-E72D297353CC}">
              <c16:uniqueId val="{00000003-8380-5D43-953F-3F1352E0EFF8}"/>
            </c:ext>
          </c:extLst>
        </c:ser>
        <c:dLbls>
          <c:showLegendKey val="0"/>
          <c:showVal val="0"/>
          <c:showCatName val="0"/>
          <c:showSerName val="0"/>
          <c:showPercent val="0"/>
          <c:showBubbleSize val="0"/>
        </c:dLbls>
        <c:gapWidth val="150"/>
        <c:overlap val="100"/>
        <c:axId val="1755584623"/>
        <c:axId val="1759845263"/>
      </c:barChart>
      <c:catAx>
        <c:axId val="1755584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845263"/>
        <c:crosses val="autoZero"/>
        <c:auto val="1"/>
        <c:lblAlgn val="ctr"/>
        <c:lblOffset val="100"/>
        <c:noMultiLvlLbl val="0"/>
      </c:catAx>
      <c:valAx>
        <c:axId val="1759845263"/>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584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by education level (n=15)</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Funding!$B$36</c:f>
              <c:strCache>
                <c:ptCount val="1"/>
                <c:pt idx="0">
                  <c:v>Early years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Funding!$C$35:$D$35</c:f>
              <c:strCache>
                <c:ptCount val="2"/>
                <c:pt idx="0">
                  <c:v>Total funding</c:v>
                </c:pt>
                <c:pt idx="1">
                  <c:v>Number of initiatives</c:v>
                </c:pt>
              </c:strCache>
            </c:strRef>
          </c:cat>
          <c:val>
            <c:numRef>
              <c:f>Funding!$C$36:$D$36</c:f>
              <c:numCache>
                <c:formatCode>0%</c:formatCode>
                <c:ptCount val="2"/>
                <c:pt idx="0">
                  <c:v>0.26</c:v>
                </c:pt>
                <c:pt idx="1">
                  <c:v>0.2</c:v>
                </c:pt>
              </c:numCache>
            </c:numRef>
          </c:val>
          <c:extLst>
            <c:ext xmlns:c16="http://schemas.microsoft.com/office/drawing/2014/chart" uri="{C3380CC4-5D6E-409C-BE32-E72D297353CC}">
              <c16:uniqueId val="{00000000-A5CC-284A-9243-D624043AF6E5}"/>
            </c:ext>
          </c:extLst>
        </c:ser>
        <c:ser>
          <c:idx val="1"/>
          <c:order val="1"/>
          <c:tx>
            <c:strRef>
              <c:f>Funding!$B$37</c:f>
              <c:strCache>
                <c:ptCount val="1"/>
                <c:pt idx="0">
                  <c:v>Primary</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A5CC-284A-9243-D624043AF6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Funding!$C$35:$D$35</c:f>
              <c:strCache>
                <c:ptCount val="2"/>
                <c:pt idx="0">
                  <c:v>Total funding</c:v>
                </c:pt>
                <c:pt idx="1">
                  <c:v>Number of initiatives</c:v>
                </c:pt>
              </c:strCache>
            </c:strRef>
          </c:cat>
          <c:val>
            <c:numRef>
              <c:f>Funding!$C$37:$D$37</c:f>
              <c:numCache>
                <c:formatCode>0%</c:formatCode>
                <c:ptCount val="2"/>
                <c:pt idx="0">
                  <c:v>0.02</c:v>
                </c:pt>
                <c:pt idx="1">
                  <c:v>7.0000000000000007E-2</c:v>
                </c:pt>
              </c:numCache>
            </c:numRef>
          </c:val>
          <c:extLst>
            <c:ext xmlns:c16="http://schemas.microsoft.com/office/drawing/2014/chart" uri="{C3380CC4-5D6E-409C-BE32-E72D297353CC}">
              <c16:uniqueId val="{00000001-A5CC-284A-9243-D624043AF6E5}"/>
            </c:ext>
          </c:extLst>
        </c:ser>
        <c:ser>
          <c:idx val="2"/>
          <c:order val="2"/>
          <c:tx>
            <c:strRef>
              <c:f>Funding!$B$38</c:f>
              <c:strCache>
                <c:ptCount val="1"/>
                <c:pt idx="0">
                  <c:v>Primary and secondary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Funding!$C$35:$D$35</c:f>
              <c:strCache>
                <c:ptCount val="2"/>
                <c:pt idx="0">
                  <c:v>Total funding</c:v>
                </c:pt>
                <c:pt idx="1">
                  <c:v>Number of initiatives</c:v>
                </c:pt>
              </c:strCache>
            </c:strRef>
          </c:cat>
          <c:val>
            <c:numRef>
              <c:f>Funding!$C$38:$D$38</c:f>
              <c:numCache>
                <c:formatCode>0%</c:formatCode>
                <c:ptCount val="2"/>
                <c:pt idx="0">
                  <c:v>0.56000000000000005</c:v>
                </c:pt>
                <c:pt idx="1">
                  <c:v>0.47</c:v>
                </c:pt>
              </c:numCache>
            </c:numRef>
          </c:val>
          <c:extLst>
            <c:ext xmlns:c16="http://schemas.microsoft.com/office/drawing/2014/chart" uri="{C3380CC4-5D6E-409C-BE32-E72D297353CC}">
              <c16:uniqueId val="{00000002-A5CC-284A-9243-D624043AF6E5}"/>
            </c:ext>
          </c:extLst>
        </c:ser>
        <c:ser>
          <c:idx val="3"/>
          <c:order val="3"/>
          <c:tx>
            <c:strRef>
              <c:f>Funding!$B$39</c:f>
              <c:strCache>
                <c:ptCount val="1"/>
                <c:pt idx="0">
                  <c:v>Secondary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Funding!$C$35:$D$35</c:f>
              <c:strCache>
                <c:ptCount val="2"/>
                <c:pt idx="0">
                  <c:v>Total funding</c:v>
                </c:pt>
                <c:pt idx="1">
                  <c:v>Number of initiatives</c:v>
                </c:pt>
              </c:strCache>
            </c:strRef>
          </c:cat>
          <c:val>
            <c:numRef>
              <c:f>Funding!$C$39:$D$39</c:f>
              <c:numCache>
                <c:formatCode>0%</c:formatCode>
                <c:ptCount val="2"/>
                <c:pt idx="0">
                  <c:v>0.16</c:v>
                </c:pt>
                <c:pt idx="1">
                  <c:v>0.27</c:v>
                </c:pt>
              </c:numCache>
            </c:numRef>
          </c:val>
          <c:extLst>
            <c:ext xmlns:c16="http://schemas.microsoft.com/office/drawing/2014/chart" uri="{C3380CC4-5D6E-409C-BE32-E72D297353CC}">
              <c16:uniqueId val="{00000003-A5CC-284A-9243-D624043AF6E5}"/>
            </c:ext>
          </c:extLst>
        </c:ser>
        <c:dLbls>
          <c:showLegendKey val="0"/>
          <c:showVal val="0"/>
          <c:showCatName val="0"/>
          <c:showSerName val="0"/>
          <c:showPercent val="0"/>
          <c:showBubbleSize val="0"/>
        </c:dLbls>
        <c:gapWidth val="150"/>
        <c:overlap val="100"/>
        <c:axId val="1755460623"/>
        <c:axId val="1755720607"/>
      </c:barChart>
      <c:catAx>
        <c:axId val="17554606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720607"/>
        <c:crosses val="autoZero"/>
        <c:auto val="1"/>
        <c:lblAlgn val="ctr"/>
        <c:lblOffset val="100"/>
        <c:noMultiLvlLbl val="0"/>
      </c:catAx>
      <c:valAx>
        <c:axId val="1755720607"/>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460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by STEM area</a:t>
            </a:r>
            <a:r>
              <a:rPr lang="en-US" sz="1100" baseline="0"/>
              <a:t> (n=15)</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Funding!$B$45</c:f>
              <c:strCache>
                <c:ptCount val="1"/>
                <c:pt idx="0">
                  <c:v>General STEM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Funding!$C$44:$D$44</c:f>
              <c:strCache>
                <c:ptCount val="2"/>
                <c:pt idx="0">
                  <c:v>Total funding</c:v>
                </c:pt>
                <c:pt idx="1">
                  <c:v>Number of initiatives</c:v>
                </c:pt>
              </c:strCache>
            </c:strRef>
          </c:cat>
          <c:val>
            <c:numRef>
              <c:f>Funding!$C$45:$D$45</c:f>
              <c:numCache>
                <c:formatCode>0%</c:formatCode>
                <c:ptCount val="2"/>
                <c:pt idx="0">
                  <c:v>0.42</c:v>
                </c:pt>
                <c:pt idx="1">
                  <c:v>0.33</c:v>
                </c:pt>
              </c:numCache>
            </c:numRef>
          </c:val>
          <c:extLst>
            <c:ext xmlns:c16="http://schemas.microsoft.com/office/drawing/2014/chart" uri="{C3380CC4-5D6E-409C-BE32-E72D297353CC}">
              <c16:uniqueId val="{00000000-3A2D-D649-8602-0D15A1AB0463}"/>
            </c:ext>
          </c:extLst>
        </c:ser>
        <c:ser>
          <c:idx val="1"/>
          <c:order val="1"/>
          <c:tx>
            <c:strRef>
              <c:f>Funding!$B$46</c:f>
              <c:strCache>
                <c:ptCount val="1"/>
                <c:pt idx="0">
                  <c:v>Technology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Funding!$C$44:$D$44</c:f>
              <c:strCache>
                <c:ptCount val="2"/>
                <c:pt idx="0">
                  <c:v>Total funding</c:v>
                </c:pt>
                <c:pt idx="1">
                  <c:v>Number of initiatives</c:v>
                </c:pt>
              </c:strCache>
            </c:strRef>
          </c:cat>
          <c:val>
            <c:numRef>
              <c:f>Funding!$C$46:$D$46</c:f>
              <c:numCache>
                <c:formatCode>0%</c:formatCode>
                <c:ptCount val="2"/>
                <c:pt idx="0">
                  <c:v>0.47</c:v>
                </c:pt>
                <c:pt idx="1">
                  <c:v>0.33</c:v>
                </c:pt>
              </c:numCache>
            </c:numRef>
          </c:val>
          <c:extLst>
            <c:ext xmlns:c16="http://schemas.microsoft.com/office/drawing/2014/chart" uri="{C3380CC4-5D6E-409C-BE32-E72D297353CC}">
              <c16:uniqueId val="{00000001-3A2D-D649-8602-0D15A1AB0463}"/>
            </c:ext>
          </c:extLst>
        </c:ser>
        <c:ser>
          <c:idx val="2"/>
          <c:order val="2"/>
          <c:tx>
            <c:strRef>
              <c:f>Funding!$B$47</c:f>
              <c:strCache>
                <c:ptCount val="1"/>
                <c:pt idx="0">
                  <c:v>Mathematics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Funding!$C$44:$D$44</c:f>
              <c:strCache>
                <c:ptCount val="2"/>
                <c:pt idx="0">
                  <c:v>Total funding</c:v>
                </c:pt>
                <c:pt idx="1">
                  <c:v>Number of initiatives</c:v>
                </c:pt>
              </c:strCache>
            </c:strRef>
          </c:cat>
          <c:val>
            <c:numRef>
              <c:f>Funding!$C$47:$D$47</c:f>
              <c:numCache>
                <c:formatCode>0%</c:formatCode>
                <c:ptCount val="2"/>
                <c:pt idx="0">
                  <c:v>0.08</c:v>
                </c:pt>
                <c:pt idx="1">
                  <c:v>0.13</c:v>
                </c:pt>
              </c:numCache>
            </c:numRef>
          </c:val>
          <c:extLst>
            <c:ext xmlns:c16="http://schemas.microsoft.com/office/drawing/2014/chart" uri="{C3380CC4-5D6E-409C-BE32-E72D297353CC}">
              <c16:uniqueId val="{00000002-3A2D-D649-8602-0D15A1AB0463}"/>
            </c:ext>
          </c:extLst>
        </c:ser>
        <c:ser>
          <c:idx val="3"/>
          <c:order val="3"/>
          <c:tx>
            <c:strRef>
              <c:f>Funding!$B$48</c:f>
              <c:strCache>
                <c:ptCount val="1"/>
                <c:pt idx="0">
                  <c:v>Science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Funding!$C$44:$D$44</c:f>
              <c:strCache>
                <c:ptCount val="2"/>
                <c:pt idx="0">
                  <c:v>Total funding</c:v>
                </c:pt>
                <c:pt idx="1">
                  <c:v>Number of initiatives</c:v>
                </c:pt>
              </c:strCache>
            </c:strRef>
          </c:cat>
          <c:val>
            <c:numRef>
              <c:f>Funding!$C$48:$D$48</c:f>
              <c:numCache>
                <c:formatCode>0%</c:formatCode>
                <c:ptCount val="2"/>
                <c:pt idx="0">
                  <c:v>0.03</c:v>
                </c:pt>
                <c:pt idx="1">
                  <c:v>0.2</c:v>
                </c:pt>
              </c:numCache>
            </c:numRef>
          </c:val>
          <c:extLst>
            <c:ext xmlns:c16="http://schemas.microsoft.com/office/drawing/2014/chart" uri="{C3380CC4-5D6E-409C-BE32-E72D297353CC}">
              <c16:uniqueId val="{00000003-3A2D-D649-8602-0D15A1AB0463}"/>
            </c:ext>
          </c:extLst>
        </c:ser>
        <c:ser>
          <c:idx val="4"/>
          <c:order val="4"/>
          <c:tx>
            <c:strRef>
              <c:f>Funding!$B$49</c:f>
              <c:strCache>
                <c:ptCount val="1"/>
                <c:pt idx="0">
                  <c:v>Engineering</c:v>
                </c:pt>
              </c:strCache>
            </c:strRef>
          </c:tx>
          <c:spPr>
            <a:solidFill>
              <a:schemeClr val="accent5"/>
            </a:solidFill>
            <a:ln>
              <a:noFill/>
            </a:ln>
            <a:effectLst/>
          </c:spPr>
          <c:invertIfNegative val="0"/>
          <c:cat>
            <c:strRef>
              <c:f>Funding!$C$44:$D$44</c:f>
              <c:strCache>
                <c:ptCount val="2"/>
                <c:pt idx="0">
                  <c:v>Total funding</c:v>
                </c:pt>
                <c:pt idx="1">
                  <c:v>Number of initiatives</c:v>
                </c:pt>
              </c:strCache>
            </c:strRef>
          </c:cat>
          <c:val>
            <c:numRef>
              <c:f>Funding!$C$49:$D$49</c:f>
              <c:numCache>
                <c:formatCode>0%</c:formatCode>
                <c:ptCount val="2"/>
                <c:pt idx="0">
                  <c:v>0</c:v>
                </c:pt>
                <c:pt idx="1">
                  <c:v>0</c:v>
                </c:pt>
              </c:numCache>
            </c:numRef>
          </c:val>
          <c:extLst>
            <c:ext xmlns:c16="http://schemas.microsoft.com/office/drawing/2014/chart" uri="{C3380CC4-5D6E-409C-BE32-E72D297353CC}">
              <c16:uniqueId val="{00000004-3A2D-D649-8602-0D15A1AB0463}"/>
            </c:ext>
          </c:extLst>
        </c:ser>
        <c:dLbls>
          <c:showLegendKey val="0"/>
          <c:showVal val="0"/>
          <c:showCatName val="0"/>
          <c:showSerName val="0"/>
          <c:showPercent val="0"/>
          <c:showBubbleSize val="0"/>
        </c:dLbls>
        <c:gapWidth val="150"/>
        <c:overlap val="100"/>
        <c:axId val="1759921375"/>
        <c:axId val="1755002239"/>
      </c:barChart>
      <c:catAx>
        <c:axId val="1759921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002239"/>
        <c:crosses val="autoZero"/>
        <c:auto val="1"/>
        <c:lblAlgn val="ctr"/>
        <c:lblOffset val="100"/>
        <c:noMultiLvlLbl val="0"/>
      </c:catAx>
      <c:valAx>
        <c:axId val="1755002239"/>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921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by main output (n=15)</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Funding!$B$54</c:f>
              <c:strCache>
                <c:ptCount val="1"/>
                <c:pt idx="0">
                  <c:v>Professional learning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Funding!$C$53:$D$53</c:f>
              <c:strCache>
                <c:ptCount val="2"/>
                <c:pt idx="0">
                  <c:v>Total funding</c:v>
                </c:pt>
                <c:pt idx="1">
                  <c:v>Number of initiatives</c:v>
                </c:pt>
              </c:strCache>
            </c:strRef>
          </c:cat>
          <c:val>
            <c:numRef>
              <c:f>Funding!$C$54:$D$54</c:f>
              <c:numCache>
                <c:formatCode>0%</c:formatCode>
                <c:ptCount val="2"/>
                <c:pt idx="0">
                  <c:v>0.6</c:v>
                </c:pt>
                <c:pt idx="1">
                  <c:v>0.4</c:v>
                </c:pt>
              </c:numCache>
            </c:numRef>
          </c:val>
          <c:extLst>
            <c:ext xmlns:c16="http://schemas.microsoft.com/office/drawing/2014/chart" uri="{C3380CC4-5D6E-409C-BE32-E72D297353CC}">
              <c16:uniqueId val="{00000000-46B9-0843-A249-99973CDA8FB9}"/>
            </c:ext>
          </c:extLst>
        </c:ser>
        <c:ser>
          <c:idx val="1"/>
          <c:order val="1"/>
          <c:tx>
            <c:strRef>
              <c:f>Funding!$B$55</c:f>
              <c:strCache>
                <c:ptCount val="1"/>
                <c:pt idx="0">
                  <c:v>Professional learning / resources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Funding!$C$53:$D$53</c:f>
              <c:strCache>
                <c:ptCount val="2"/>
                <c:pt idx="0">
                  <c:v>Total funding</c:v>
                </c:pt>
                <c:pt idx="1">
                  <c:v>Number of initiatives</c:v>
                </c:pt>
              </c:strCache>
            </c:strRef>
          </c:cat>
          <c:val>
            <c:numRef>
              <c:f>Funding!$C$55:$D$55</c:f>
              <c:numCache>
                <c:formatCode>0%</c:formatCode>
                <c:ptCount val="2"/>
                <c:pt idx="0">
                  <c:v>0.23</c:v>
                </c:pt>
                <c:pt idx="1">
                  <c:v>0.33</c:v>
                </c:pt>
              </c:numCache>
            </c:numRef>
          </c:val>
          <c:extLst>
            <c:ext xmlns:c16="http://schemas.microsoft.com/office/drawing/2014/chart" uri="{C3380CC4-5D6E-409C-BE32-E72D297353CC}">
              <c16:uniqueId val="{00000001-46B9-0843-A249-99973CDA8FB9}"/>
            </c:ext>
          </c:extLst>
        </c:ser>
        <c:ser>
          <c:idx val="2"/>
          <c:order val="2"/>
          <c:tx>
            <c:strRef>
              <c:f>Funding!$B$56</c:f>
              <c:strCache>
                <c:ptCount val="1"/>
                <c:pt idx="0">
                  <c:v>Student mentoring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Funding!$C$53:$D$53</c:f>
              <c:strCache>
                <c:ptCount val="2"/>
                <c:pt idx="0">
                  <c:v>Total funding</c:v>
                </c:pt>
                <c:pt idx="1">
                  <c:v>Number of initiatives</c:v>
                </c:pt>
              </c:strCache>
            </c:strRef>
          </c:cat>
          <c:val>
            <c:numRef>
              <c:f>Funding!$C$56:$D$56</c:f>
              <c:numCache>
                <c:formatCode>0%</c:formatCode>
                <c:ptCount val="2"/>
                <c:pt idx="0">
                  <c:v>0.03</c:v>
                </c:pt>
                <c:pt idx="1">
                  <c:v>0.13</c:v>
                </c:pt>
              </c:numCache>
            </c:numRef>
          </c:val>
          <c:extLst>
            <c:ext xmlns:c16="http://schemas.microsoft.com/office/drawing/2014/chart" uri="{C3380CC4-5D6E-409C-BE32-E72D297353CC}">
              <c16:uniqueId val="{00000002-46B9-0843-A249-99973CDA8FB9}"/>
            </c:ext>
          </c:extLst>
        </c:ser>
        <c:ser>
          <c:idx val="3"/>
          <c:order val="3"/>
          <c:tx>
            <c:strRef>
              <c:f>Funding!$B$57</c:f>
              <c:strCache>
                <c:ptCount val="1"/>
                <c:pt idx="0">
                  <c:v>Resources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Funding!$C$53:$D$53</c:f>
              <c:strCache>
                <c:ptCount val="2"/>
                <c:pt idx="0">
                  <c:v>Total funding</c:v>
                </c:pt>
                <c:pt idx="1">
                  <c:v>Number of initiatives</c:v>
                </c:pt>
              </c:strCache>
            </c:strRef>
          </c:cat>
          <c:val>
            <c:numRef>
              <c:f>Funding!$C$57:$D$57</c:f>
              <c:numCache>
                <c:formatCode>0%</c:formatCode>
                <c:ptCount val="2"/>
                <c:pt idx="0">
                  <c:v>0.15</c:v>
                </c:pt>
                <c:pt idx="1">
                  <c:v>0.13</c:v>
                </c:pt>
              </c:numCache>
            </c:numRef>
          </c:val>
          <c:extLst>
            <c:ext xmlns:c16="http://schemas.microsoft.com/office/drawing/2014/chart" uri="{C3380CC4-5D6E-409C-BE32-E72D297353CC}">
              <c16:uniqueId val="{00000003-46B9-0843-A249-99973CDA8FB9}"/>
            </c:ext>
          </c:extLst>
        </c:ser>
        <c:dLbls>
          <c:showLegendKey val="0"/>
          <c:showVal val="0"/>
          <c:showCatName val="0"/>
          <c:showSerName val="0"/>
          <c:showPercent val="0"/>
          <c:showBubbleSize val="0"/>
        </c:dLbls>
        <c:gapWidth val="150"/>
        <c:overlap val="100"/>
        <c:axId val="1755355999"/>
        <c:axId val="1702209519"/>
      </c:barChart>
      <c:catAx>
        <c:axId val="17553559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209519"/>
        <c:crosses val="autoZero"/>
        <c:auto val="1"/>
        <c:lblAlgn val="ctr"/>
        <c:lblOffset val="100"/>
        <c:noMultiLvlLbl val="0"/>
      </c:catAx>
      <c:valAx>
        <c:axId val="1702209519"/>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5355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focused on student engagement or achievement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'States and territories'!$B$9</c:f>
              <c:strCache>
                <c:ptCount val="1"/>
                <c:pt idx="0">
                  <c:v>Student engagement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territories'!$C$8:$D$8</c:f>
              <c:strCache>
                <c:ptCount val="2"/>
                <c:pt idx="0">
                  <c:v>NISA</c:v>
                </c:pt>
                <c:pt idx="1">
                  <c:v>States and territories</c:v>
                </c:pt>
              </c:strCache>
            </c:strRef>
          </c:cat>
          <c:val>
            <c:numRef>
              <c:f>'States and territories'!$C$9:$D$9</c:f>
              <c:numCache>
                <c:formatCode>0%</c:formatCode>
                <c:ptCount val="2"/>
                <c:pt idx="0">
                  <c:v>0.8666666666666667</c:v>
                </c:pt>
                <c:pt idx="1">
                  <c:v>0.96551724137931039</c:v>
                </c:pt>
              </c:numCache>
            </c:numRef>
          </c:val>
          <c:extLst>
            <c:ext xmlns:c16="http://schemas.microsoft.com/office/drawing/2014/chart" uri="{C3380CC4-5D6E-409C-BE32-E72D297353CC}">
              <c16:uniqueId val="{00000000-AE29-8F4C-8AE3-99CA663B43CB}"/>
            </c:ext>
          </c:extLst>
        </c:ser>
        <c:ser>
          <c:idx val="1"/>
          <c:order val="1"/>
          <c:tx>
            <c:strRef>
              <c:f>'States and territories'!$B$10</c:f>
              <c:strCache>
                <c:ptCount val="1"/>
                <c:pt idx="0">
                  <c:v>Student achievement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territories'!$C$8:$D$8</c:f>
              <c:strCache>
                <c:ptCount val="2"/>
                <c:pt idx="0">
                  <c:v>NISA</c:v>
                </c:pt>
                <c:pt idx="1">
                  <c:v>States and territories</c:v>
                </c:pt>
              </c:strCache>
            </c:strRef>
          </c:cat>
          <c:val>
            <c:numRef>
              <c:f>'States and territories'!$C$10:$D$10</c:f>
              <c:numCache>
                <c:formatCode>0%</c:formatCode>
                <c:ptCount val="2"/>
                <c:pt idx="0">
                  <c:v>0.13333333333333333</c:v>
                </c:pt>
                <c:pt idx="1">
                  <c:v>3.4482758620689655E-2</c:v>
                </c:pt>
              </c:numCache>
            </c:numRef>
          </c:val>
          <c:extLst>
            <c:ext xmlns:c16="http://schemas.microsoft.com/office/drawing/2014/chart" uri="{C3380CC4-5D6E-409C-BE32-E72D297353CC}">
              <c16:uniqueId val="{00000001-AE29-8F4C-8AE3-99CA663B43CB}"/>
            </c:ext>
          </c:extLst>
        </c:ser>
        <c:dLbls>
          <c:showLegendKey val="0"/>
          <c:showVal val="0"/>
          <c:showCatName val="0"/>
          <c:showSerName val="0"/>
          <c:showPercent val="0"/>
          <c:showBubbleSize val="0"/>
        </c:dLbls>
        <c:gapWidth val="150"/>
        <c:overlap val="100"/>
        <c:axId val="1768057807"/>
        <c:axId val="1766002111"/>
      </c:barChart>
      <c:catAx>
        <c:axId val="1768057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6002111"/>
        <c:crosses val="autoZero"/>
        <c:auto val="1"/>
        <c:lblAlgn val="ctr"/>
        <c:lblOffset val="100"/>
        <c:noMultiLvlLbl val="0"/>
      </c:catAx>
      <c:valAx>
        <c:axId val="1766002111"/>
        <c:scaling>
          <c:orientation val="minMax"/>
          <c:max val="1"/>
          <c:min val="0.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8057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Initiatives by focus area</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'States and territories'!$B$29</c:f>
              <c:strCache>
                <c:ptCount val="1"/>
                <c:pt idx="0">
                  <c:v>Universal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territories'!$C$28:$D$28</c:f>
              <c:strCache>
                <c:ptCount val="2"/>
                <c:pt idx="0">
                  <c:v>NISA</c:v>
                </c:pt>
                <c:pt idx="1">
                  <c:v>States and territories</c:v>
                </c:pt>
              </c:strCache>
            </c:strRef>
          </c:cat>
          <c:val>
            <c:numRef>
              <c:f>'States and territories'!$C$29:$D$29</c:f>
              <c:numCache>
                <c:formatCode>0%</c:formatCode>
                <c:ptCount val="2"/>
                <c:pt idx="0">
                  <c:v>0.66666666666666663</c:v>
                </c:pt>
                <c:pt idx="1">
                  <c:v>0.70175438596491224</c:v>
                </c:pt>
              </c:numCache>
            </c:numRef>
          </c:val>
          <c:extLst>
            <c:ext xmlns:c16="http://schemas.microsoft.com/office/drawing/2014/chart" uri="{C3380CC4-5D6E-409C-BE32-E72D297353CC}">
              <c16:uniqueId val="{00000000-169F-7640-B748-CB9FBD624CE9}"/>
            </c:ext>
          </c:extLst>
        </c:ser>
        <c:ser>
          <c:idx val="1"/>
          <c:order val="1"/>
          <c:tx>
            <c:strRef>
              <c:f>'States and territories'!$B$30</c:f>
              <c:strCache>
                <c:ptCount val="1"/>
                <c:pt idx="0">
                  <c:v>Equity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territories'!$C$28:$D$28</c:f>
              <c:strCache>
                <c:ptCount val="2"/>
                <c:pt idx="0">
                  <c:v>NISA</c:v>
                </c:pt>
                <c:pt idx="1">
                  <c:v>States and territories</c:v>
                </c:pt>
              </c:strCache>
            </c:strRef>
          </c:cat>
          <c:val>
            <c:numRef>
              <c:f>'States and territories'!$C$30:$D$30</c:f>
              <c:numCache>
                <c:formatCode>0%</c:formatCode>
                <c:ptCount val="2"/>
                <c:pt idx="0">
                  <c:v>0.33333333333333331</c:v>
                </c:pt>
                <c:pt idx="1">
                  <c:v>0.26315789473684209</c:v>
                </c:pt>
              </c:numCache>
            </c:numRef>
          </c:val>
          <c:extLst>
            <c:ext xmlns:c16="http://schemas.microsoft.com/office/drawing/2014/chart" uri="{C3380CC4-5D6E-409C-BE32-E72D297353CC}">
              <c16:uniqueId val="{00000001-169F-7640-B748-CB9FBD624CE9}"/>
            </c:ext>
          </c:extLst>
        </c:ser>
        <c:ser>
          <c:idx val="2"/>
          <c:order val="2"/>
          <c:tx>
            <c:strRef>
              <c:f>'States and territories'!$B$31</c:f>
              <c:strCache>
                <c:ptCount val="1"/>
                <c:pt idx="0">
                  <c:v>Excellence</c:v>
                </c:pt>
              </c:strCache>
            </c:strRef>
          </c:tx>
          <c:spPr>
            <a:solidFill>
              <a:schemeClr val="accent3"/>
            </a:solidFill>
            <a:ln>
              <a:noFill/>
            </a:ln>
            <a:effectLst/>
          </c:spPr>
          <c:invertIfNegative val="0"/>
          <c:cat>
            <c:strRef>
              <c:f>'States and territories'!$C$28:$D$28</c:f>
              <c:strCache>
                <c:ptCount val="2"/>
                <c:pt idx="0">
                  <c:v>NISA</c:v>
                </c:pt>
                <c:pt idx="1">
                  <c:v>States and territories</c:v>
                </c:pt>
              </c:strCache>
            </c:strRef>
          </c:cat>
          <c:val>
            <c:numRef>
              <c:f>'States and territories'!$C$31:$D$31</c:f>
              <c:numCache>
                <c:formatCode>0%</c:formatCode>
                <c:ptCount val="2"/>
                <c:pt idx="0">
                  <c:v>0</c:v>
                </c:pt>
                <c:pt idx="1">
                  <c:v>3.5087719298245612E-2</c:v>
                </c:pt>
              </c:numCache>
            </c:numRef>
          </c:val>
          <c:extLst>
            <c:ext xmlns:c16="http://schemas.microsoft.com/office/drawing/2014/chart" uri="{C3380CC4-5D6E-409C-BE32-E72D297353CC}">
              <c16:uniqueId val="{00000002-169F-7640-B748-CB9FBD624CE9}"/>
            </c:ext>
          </c:extLst>
        </c:ser>
        <c:dLbls>
          <c:showLegendKey val="0"/>
          <c:showVal val="0"/>
          <c:showCatName val="0"/>
          <c:showSerName val="0"/>
          <c:showPercent val="0"/>
          <c:showBubbleSize val="0"/>
        </c:dLbls>
        <c:gapWidth val="150"/>
        <c:overlap val="100"/>
        <c:axId val="1700419887"/>
        <c:axId val="1767311071"/>
      </c:barChart>
      <c:catAx>
        <c:axId val="17004198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7311071"/>
        <c:crosses val="autoZero"/>
        <c:auto val="1"/>
        <c:lblAlgn val="ctr"/>
        <c:lblOffset val="100"/>
        <c:noMultiLvlLbl val="0"/>
      </c:catAx>
      <c:valAx>
        <c:axId val="1767311071"/>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419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Initiative by target participant</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'States and territories'!$B$46</c:f>
              <c:strCache>
                <c:ptCount val="1"/>
                <c:pt idx="0">
                  <c:v>Teachers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territories'!$C$45:$D$45</c:f>
              <c:strCache>
                <c:ptCount val="2"/>
                <c:pt idx="0">
                  <c:v>NISA</c:v>
                </c:pt>
                <c:pt idx="1">
                  <c:v>States and territories</c:v>
                </c:pt>
              </c:strCache>
            </c:strRef>
          </c:cat>
          <c:val>
            <c:numRef>
              <c:f>'States and territories'!$C$46:$D$46</c:f>
              <c:numCache>
                <c:formatCode>0%</c:formatCode>
                <c:ptCount val="2"/>
                <c:pt idx="0">
                  <c:v>0.75</c:v>
                </c:pt>
                <c:pt idx="1">
                  <c:v>0.55172413793103448</c:v>
                </c:pt>
              </c:numCache>
            </c:numRef>
          </c:val>
          <c:extLst>
            <c:ext xmlns:c16="http://schemas.microsoft.com/office/drawing/2014/chart" uri="{C3380CC4-5D6E-409C-BE32-E72D297353CC}">
              <c16:uniqueId val="{00000000-8416-1748-BA8C-380F140895DA}"/>
            </c:ext>
          </c:extLst>
        </c:ser>
        <c:ser>
          <c:idx val="1"/>
          <c:order val="1"/>
          <c:tx>
            <c:strRef>
              <c:f>'States and territories'!$B$47</c:f>
              <c:strCache>
                <c:ptCount val="1"/>
                <c:pt idx="0">
                  <c:v>Students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territories'!$C$45:$D$45</c:f>
              <c:strCache>
                <c:ptCount val="2"/>
                <c:pt idx="0">
                  <c:v>NISA</c:v>
                </c:pt>
                <c:pt idx="1">
                  <c:v>States and territories</c:v>
                </c:pt>
              </c:strCache>
            </c:strRef>
          </c:cat>
          <c:val>
            <c:numRef>
              <c:f>'States and territories'!$C$47:$D$47</c:f>
              <c:numCache>
                <c:formatCode>0%</c:formatCode>
                <c:ptCount val="2"/>
                <c:pt idx="0">
                  <c:v>0.16666666666666666</c:v>
                </c:pt>
                <c:pt idx="1">
                  <c:v>0.37931034482758619</c:v>
                </c:pt>
              </c:numCache>
            </c:numRef>
          </c:val>
          <c:extLst>
            <c:ext xmlns:c16="http://schemas.microsoft.com/office/drawing/2014/chart" uri="{C3380CC4-5D6E-409C-BE32-E72D297353CC}">
              <c16:uniqueId val="{00000001-8416-1748-BA8C-380F140895DA}"/>
            </c:ext>
          </c:extLst>
        </c:ser>
        <c:ser>
          <c:idx val="2"/>
          <c:order val="2"/>
          <c:tx>
            <c:strRef>
              <c:f>'States and territories'!$B$48</c:f>
              <c:strCache>
                <c:ptCount val="1"/>
                <c:pt idx="0">
                  <c:v>School leaders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'States and territories'!$C$45:$D$45</c:f>
              <c:strCache>
                <c:ptCount val="2"/>
                <c:pt idx="0">
                  <c:v>NISA</c:v>
                </c:pt>
                <c:pt idx="1">
                  <c:v>States and territories</c:v>
                </c:pt>
              </c:strCache>
            </c:strRef>
          </c:cat>
          <c:val>
            <c:numRef>
              <c:f>'States and territories'!$C$48:$D$48</c:f>
              <c:numCache>
                <c:formatCode>0%</c:formatCode>
                <c:ptCount val="2"/>
                <c:pt idx="0">
                  <c:v>8.3333333333333329E-2</c:v>
                </c:pt>
                <c:pt idx="1">
                  <c:v>3.4482758620689655E-2</c:v>
                </c:pt>
              </c:numCache>
            </c:numRef>
          </c:val>
          <c:extLst>
            <c:ext xmlns:c16="http://schemas.microsoft.com/office/drawing/2014/chart" uri="{C3380CC4-5D6E-409C-BE32-E72D297353CC}">
              <c16:uniqueId val="{00000002-8416-1748-BA8C-380F140895DA}"/>
            </c:ext>
          </c:extLst>
        </c:ser>
        <c:ser>
          <c:idx val="3"/>
          <c:order val="3"/>
          <c:tx>
            <c:strRef>
              <c:f>'States and territories'!$B$49</c:f>
              <c:strCache>
                <c:ptCount val="1"/>
                <c:pt idx="0">
                  <c:v>Industry / community</c:v>
                </c:pt>
              </c:strCache>
            </c:strRef>
          </c:tx>
          <c:spPr>
            <a:solidFill>
              <a:schemeClr val="accent4"/>
            </a:solidFill>
            <a:ln>
              <a:noFill/>
            </a:ln>
            <a:effectLst/>
          </c:spPr>
          <c:invertIfNegative val="0"/>
          <c:cat>
            <c:strRef>
              <c:f>'States and territories'!$C$45:$D$45</c:f>
              <c:strCache>
                <c:ptCount val="2"/>
                <c:pt idx="0">
                  <c:v>NISA</c:v>
                </c:pt>
                <c:pt idx="1">
                  <c:v>States and territories</c:v>
                </c:pt>
              </c:strCache>
            </c:strRef>
          </c:cat>
          <c:val>
            <c:numRef>
              <c:f>'States and territories'!$C$49:$D$49</c:f>
              <c:numCache>
                <c:formatCode>0%</c:formatCode>
                <c:ptCount val="2"/>
                <c:pt idx="0">
                  <c:v>0</c:v>
                </c:pt>
                <c:pt idx="1">
                  <c:v>1.7241379310344827E-2</c:v>
                </c:pt>
              </c:numCache>
            </c:numRef>
          </c:val>
          <c:extLst>
            <c:ext xmlns:c16="http://schemas.microsoft.com/office/drawing/2014/chart" uri="{C3380CC4-5D6E-409C-BE32-E72D297353CC}">
              <c16:uniqueId val="{00000003-8416-1748-BA8C-380F140895DA}"/>
            </c:ext>
          </c:extLst>
        </c:ser>
        <c:ser>
          <c:idx val="4"/>
          <c:order val="4"/>
          <c:tx>
            <c:strRef>
              <c:f>'States and territories'!$B$50</c:f>
              <c:strCache>
                <c:ptCount val="1"/>
                <c:pt idx="0">
                  <c:v>Pre-service teachers</c:v>
                </c:pt>
              </c:strCache>
            </c:strRef>
          </c:tx>
          <c:spPr>
            <a:solidFill>
              <a:schemeClr val="accent5"/>
            </a:solidFill>
            <a:ln>
              <a:noFill/>
            </a:ln>
            <a:effectLst/>
          </c:spPr>
          <c:invertIfNegative val="0"/>
          <c:cat>
            <c:strRef>
              <c:f>'States and territories'!$C$45:$D$45</c:f>
              <c:strCache>
                <c:ptCount val="2"/>
                <c:pt idx="0">
                  <c:v>NISA</c:v>
                </c:pt>
                <c:pt idx="1">
                  <c:v>States and territories</c:v>
                </c:pt>
              </c:strCache>
            </c:strRef>
          </c:cat>
          <c:val>
            <c:numRef>
              <c:f>'States and territories'!$C$50:$D$50</c:f>
              <c:numCache>
                <c:formatCode>0%</c:formatCode>
                <c:ptCount val="2"/>
                <c:pt idx="0">
                  <c:v>0</c:v>
                </c:pt>
                <c:pt idx="1">
                  <c:v>1.7241379310344827E-2</c:v>
                </c:pt>
              </c:numCache>
            </c:numRef>
          </c:val>
          <c:extLst>
            <c:ext xmlns:c16="http://schemas.microsoft.com/office/drawing/2014/chart" uri="{C3380CC4-5D6E-409C-BE32-E72D297353CC}">
              <c16:uniqueId val="{00000004-8416-1748-BA8C-380F140895DA}"/>
            </c:ext>
          </c:extLst>
        </c:ser>
        <c:dLbls>
          <c:showLegendKey val="0"/>
          <c:showVal val="0"/>
          <c:showCatName val="0"/>
          <c:showSerName val="0"/>
          <c:showPercent val="0"/>
          <c:showBubbleSize val="0"/>
        </c:dLbls>
        <c:gapWidth val="150"/>
        <c:overlap val="100"/>
        <c:axId val="1702428527"/>
        <c:axId val="1765434271"/>
      </c:barChart>
      <c:catAx>
        <c:axId val="17024285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5434271"/>
        <c:crosses val="autoZero"/>
        <c:auto val="1"/>
        <c:lblAlgn val="ctr"/>
        <c:lblOffset val="100"/>
        <c:noMultiLvlLbl val="0"/>
      </c:catAx>
      <c:valAx>
        <c:axId val="1765434271"/>
        <c:scaling>
          <c:orientation val="minMax"/>
          <c:max val="1"/>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428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CD1B3847469F4081F69837C58E57ED"/>
        <w:category>
          <w:name w:val="General"/>
          <w:gallery w:val="placeholder"/>
        </w:category>
        <w:types>
          <w:type w:val="bbPlcHdr"/>
        </w:types>
        <w:behaviors>
          <w:behavior w:val="content"/>
        </w:behaviors>
        <w:guid w:val="{9EF98FA8-B2A7-9A46-B8F6-255873F0E6B5}"/>
      </w:docPartPr>
      <w:docPartBody>
        <w:p w:rsidR="00D252B4" w:rsidRDefault="00D252B4" w:rsidP="00D252B4">
          <w:pPr>
            <w:pStyle w:val="57CD1B3847469F4081F69837C58E57ED"/>
          </w:pPr>
          <w:r w:rsidRPr="00D70F4A">
            <w:rPr>
              <w:rStyle w:val="PlaceholderText"/>
            </w:rPr>
            <w:t>[Title]</w:t>
          </w:r>
        </w:p>
      </w:docPartBody>
    </w:docPart>
    <w:docPart>
      <w:docPartPr>
        <w:name w:val="2A0AC8A2FB1D7744812344AB2B592BCD"/>
        <w:category>
          <w:name w:val="General"/>
          <w:gallery w:val="placeholder"/>
        </w:category>
        <w:types>
          <w:type w:val="bbPlcHdr"/>
        </w:types>
        <w:behaviors>
          <w:behavior w:val="content"/>
        </w:behaviors>
        <w:guid w:val="{29B18978-5F4F-3D42-8A21-B43547810FCE}"/>
      </w:docPartPr>
      <w:docPartBody>
        <w:p w:rsidR="00D252B4" w:rsidRDefault="00D252B4" w:rsidP="00D252B4">
          <w:pPr>
            <w:pStyle w:val="2A0AC8A2FB1D7744812344AB2B592BCD"/>
          </w:pPr>
          <w:r w:rsidRPr="00D70F4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2B4"/>
    <w:rsid w:val="00003BF3"/>
    <w:rsid w:val="000119F5"/>
    <w:rsid w:val="000449C5"/>
    <w:rsid w:val="0004632B"/>
    <w:rsid w:val="0005188C"/>
    <w:rsid w:val="0008584A"/>
    <w:rsid w:val="000C694E"/>
    <w:rsid w:val="00123F0F"/>
    <w:rsid w:val="001260B7"/>
    <w:rsid w:val="001273BB"/>
    <w:rsid w:val="00127664"/>
    <w:rsid w:val="00132F43"/>
    <w:rsid w:val="00145E4A"/>
    <w:rsid w:val="00146E20"/>
    <w:rsid w:val="00185593"/>
    <w:rsid w:val="00190270"/>
    <w:rsid w:val="001D5C5F"/>
    <w:rsid w:val="0022113B"/>
    <w:rsid w:val="00221517"/>
    <w:rsid w:val="00254515"/>
    <w:rsid w:val="002B6A0A"/>
    <w:rsid w:val="002C3E82"/>
    <w:rsid w:val="002E32DA"/>
    <w:rsid w:val="002F134A"/>
    <w:rsid w:val="0032081B"/>
    <w:rsid w:val="00340B7C"/>
    <w:rsid w:val="0035738E"/>
    <w:rsid w:val="00371CDD"/>
    <w:rsid w:val="00380EB6"/>
    <w:rsid w:val="003875A0"/>
    <w:rsid w:val="00453ABE"/>
    <w:rsid w:val="004A25D2"/>
    <w:rsid w:val="00500A38"/>
    <w:rsid w:val="005140D9"/>
    <w:rsid w:val="00563DBD"/>
    <w:rsid w:val="0057324D"/>
    <w:rsid w:val="005916DE"/>
    <w:rsid w:val="005B01DE"/>
    <w:rsid w:val="00632C2C"/>
    <w:rsid w:val="00662250"/>
    <w:rsid w:val="006D3AE4"/>
    <w:rsid w:val="006D635A"/>
    <w:rsid w:val="006E108D"/>
    <w:rsid w:val="006E41AD"/>
    <w:rsid w:val="006F6A8C"/>
    <w:rsid w:val="007337D4"/>
    <w:rsid w:val="0073608B"/>
    <w:rsid w:val="007B1A0C"/>
    <w:rsid w:val="007C38C8"/>
    <w:rsid w:val="007C4189"/>
    <w:rsid w:val="00872292"/>
    <w:rsid w:val="0088651B"/>
    <w:rsid w:val="00887D13"/>
    <w:rsid w:val="0089779A"/>
    <w:rsid w:val="008B679C"/>
    <w:rsid w:val="008E5E12"/>
    <w:rsid w:val="008E6F03"/>
    <w:rsid w:val="0091051F"/>
    <w:rsid w:val="00916341"/>
    <w:rsid w:val="009253E6"/>
    <w:rsid w:val="00936E1A"/>
    <w:rsid w:val="00937551"/>
    <w:rsid w:val="0096319E"/>
    <w:rsid w:val="00972AB7"/>
    <w:rsid w:val="009740DA"/>
    <w:rsid w:val="00996B91"/>
    <w:rsid w:val="009A0B33"/>
    <w:rsid w:val="009A486F"/>
    <w:rsid w:val="009B3EE4"/>
    <w:rsid w:val="009C03D6"/>
    <w:rsid w:val="009D0F89"/>
    <w:rsid w:val="00A13185"/>
    <w:rsid w:val="00A222FE"/>
    <w:rsid w:val="00AE3812"/>
    <w:rsid w:val="00B008A5"/>
    <w:rsid w:val="00B35B62"/>
    <w:rsid w:val="00BA75D4"/>
    <w:rsid w:val="00BD57C6"/>
    <w:rsid w:val="00D252B4"/>
    <w:rsid w:val="00D27F9E"/>
    <w:rsid w:val="00D8625B"/>
    <w:rsid w:val="00D94A05"/>
    <w:rsid w:val="00D966B8"/>
    <w:rsid w:val="00DB6AB9"/>
    <w:rsid w:val="00E1106B"/>
    <w:rsid w:val="00E11719"/>
    <w:rsid w:val="00E6417C"/>
    <w:rsid w:val="00E74632"/>
    <w:rsid w:val="00E80711"/>
    <w:rsid w:val="00EF0673"/>
    <w:rsid w:val="00F03416"/>
    <w:rsid w:val="00F50683"/>
    <w:rsid w:val="00F5181E"/>
    <w:rsid w:val="00FB3188"/>
    <w:rsid w:val="00FB4CC7"/>
    <w:rsid w:val="00FB4E2E"/>
    <w:rsid w:val="00FC283E"/>
    <w:rsid w:val="00FE4E40"/>
    <w:rsid w:val="00FE76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2B4"/>
    <w:rPr>
      <w:color w:val="FF0000"/>
    </w:rPr>
  </w:style>
  <w:style w:type="paragraph" w:customStyle="1" w:styleId="57CD1B3847469F4081F69837C58E57ED">
    <w:name w:val="57CD1B3847469F4081F69837C58E57ED"/>
    <w:rsid w:val="00D252B4"/>
  </w:style>
  <w:style w:type="paragraph" w:customStyle="1" w:styleId="2A0AC8A2FB1D7744812344AB2B592BCD">
    <w:name w:val="2A0AC8A2FB1D7744812344AB2B592BCD"/>
    <w:rsid w:val="00D25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4D4D4D"/>
      </a:dk2>
      <a:lt2>
        <a:srgbClr val="931B2F"/>
      </a:lt2>
      <a:accent1>
        <a:srgbClr val="931B2F"/>
      </a:accent1>
      <a:accent2>
        <a:srgbClr val="B35F6D"/>
      </a:accent2>
      <a:accent3>
        <a:srgbClr val="E8E7E7"/>
      </a:accent3>
      <a:accent4>
        <a:srgbClr val="8C8686"/>
      </a:accent4>
      <a:accent5>
        <a:srgbClr val="2C2A2A"/>
      </a:accent5>
      <a:accent6>
        <a:srgbClr val="4A0E18"/>
      </a:accent6>
      <a:hlink>
        <a:srgbClr val="4D4D4D"/>
      </a:hlink>
      <a:folHlink>
        <a:srgbClr val="4D4D4D"/>
      </a:folHlink>
    </a:clrScheme>
    <a:fontScheme name="Custom 2">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lIns="72000" tIns="72000" rIns="72000" bIns="72000" rtlCol="0" anchor="t"/>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bg2"/>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42237-CF7A-43B0-BB24-E7849F62613B}">
  <ds:schemaRefs>
    <ds:schemaRef ds:uri="http://schemas.microsoft.com/sharepoint/v3/contenttype/forms"/>
  </ds:schemaRefs>
</ds:datastoreItem>
</file>

<file path=customXml/itemProps2.xml><?xml version="1.0" encoding="utf-8"?>
<ds:datastoreItem xmlns:ds="http://schemas.openxmlformats.org/officeDocument/2006/customXml" ds:itemID="{CF04F3DC-2F8A-42D5-B4AF-5D4E5C2A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3C8DD1-3D5B-44B1-92AB-6F3646FAB4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142</Pages>
  <Words>33615</Words>
  <Characters>191608</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EVALUATION OF EARLY LEARNING AND SCHOOLS INITIATIVES IN THE NATIONAL INNOVATION AND SCIENCE AGENDA</vt:lpstr>
    </vt:vector>
  </TitlesOfParts>
  <Manager/>
  <Company/>
  <LinksUpToDate>false</LinksUpToDate>
  <CharactersWithSpaces>224774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EARLY LEARNING AND SCHOOLS INITIATIVES IN THE NATIONAL INNOVATION AND SCIENCE AGENDA</dc:title>
  <dc:subject>REPORT TO THE DEPARTMENT OF EDUCATION
JANUARY 2020</dc:subject>
  <dc:creator>dandolopartners</dc:creator>
  <cp:keywords/>
  <dc:description/>
  <cp:lastModifiedBy>BERNAL,Chanel</cp:lastModifiedBy>
  <cp:revision>6</cp:revision>
  <cp:lastPrinted>2024-10-25T03:36:00Z</cp:lastPrinted>
  <dcterms:created xsi:type="dcterms:W3CDTF">2024-10-25T02:49:00Z</dcterms:created>
  <dcterms:modified xsi:type="dcterms:W3CDTF">2024-10-25T03:37:00Z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2024-10-25T02:51:12Z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23f3beb1-21f6-4172-8f5e-510c7498132b</vt:lpwstr>
  </property>
  <property fmtid="{D5CDD505-2E9C-101B-9397-08002B2CF9AE}" pid="8" name="MSIP_Label_79d889eb-932f-4752-8739-64d25806ef64_ContentBits">
    <vt:lpwstr>0</vt:lpwstr>
  </property>
</Properties>
</file>