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C9A80" w14:textId="64BBDE49" w:rsidR="00F24031" w:rsidRPr="00202E76" w:rsidRDefault="00F24031" w:rsidP="1373F54B">
      <w:pPr>
        <w:keepNext/>
        <w:spacing w:before="480" w:after="180" w:line="240" w:lineRule="auto"/>
        <w:outlineLvl w:val="0"/>
        <w:rPr>
          <w:rFonts w:ascii="Corbel" w:eastAsia="Times New Roman" w:hAnsi="Corbel" w:cs="Consolas"/>
          <w:b/>
          <w:bCs/>
          <w:caps/>
          <w:color w:val="316F72"/>
          <w:kern w:val="32"/>
          <w:sz w:val="32"/>
          <w:szCs w:val="32"/>
          <w:lang w:eastAsia="en-AU"/>
        </w:rPr>
      </w:pPr>
      <w:r w:rsidRPr="68114DC7">
        <w:rPr>
          <w:rFonts w:ascii="Corbel" w:eastAsia="Times New Roman" w:hAnsi="Corbel" w:cs="Consolas"/>
          <w:b/>
          <w:bCs/>
          <w:caps/>
          <w:color w:val="316F72"/>
          <w:kern w:val="32"/>
          <w:sz w:val="32"/>
          <w:szCs w:val="32"/>
          <w:lang w:eastAsia="en-AU"/>
        </w:rPr>
        <w:t xml:space="preserve">Appendix </w:t>
      </w:r>
      <w:r w:rsidR="00882876">
        <w:rPr>
          <w:rFonts w:ascii="Corbel" w:eastAsia="Times New Roman" w:hAnsi="Corbel" w:cs="Consolas"/>
          <w:b/>
          <w:bCs/>
          <w:caps/>
          <w:color w:val="316F72"/>
          <w:kern w:val="32"/>
          <w:sz w:val="32"/>
          <w:szCs w:val="32"/>
          <w:lang w:eastAsia="en-AU"/>
        </w:rPr>
        <w:t>3</w:t>
      </w:r>
      <w:r w:rsidRPr="68114DC7">
        <w:rPr>
          <w:rFonts w:ascii="Corbel" w:eastAsia="Times New Roman" w:hAnsi="Corbel" w:cs="Consolas"/>
          <w:b/>
          <w:bCs/>
          <w:caps/>
          <w:color w:val="316F72"/>
          <w:kern w:val="32"/>
          <w:sz w:val="32"/>
          <w:szCs w:val="32"/>
          <w:lang w:eastAsia="en-AU"/>
        </w:rPr>
        <w:t xml:space="preserve">: Bilateral agreement between </w:t>
      </w:r>
      <w:r w:rsidR="00B61BB7" w:rsidRPr="68114DC7">
        <w:rPr>
          <w:rFonts w:ascii="Corbel" w:eastAsia="Times New Roman" w:hAnsi="Corbel" w:cs="Consolas"/>
          <w:b/>
          <w:bCs/>
          <w:caps/>
          <w:color w:val="316F72"/>
          <w:kern w:val="32"/>
          <w:sz w:val="32"/>
          <w:szCs w:val="32"/>
          <w:lang w:eastAsia="en-AU"/>
        </w:rPr>
        <w:t>Tasmania</w:t>
      </w:r>
      <w:r w:rsidR="00EF0562" w:rsidRPr="68114DC7">
        <w:rPr>
          <w:rFonts w:ascii="Corbel" w:eastAsia="Times New Roman" w:hAnsi="Corbel" w:cs="Consolas"/>
          <w:b/>
          <w:bCs/>
          <w:caps/>
          <w:color w:val="316F72"/>
          <w:kern w:val="32"/>
          <w:sz w:val="32"/>
          <w:szCs w:val="32"/>
          <w:lang w:eastAsia="en-AU"/>
        </w:rPr>
        <w:t xml:space="preserve"> </w:t>
      </w:r>
      <w:r w:rsidRPr="68114DC7">
        <w:rPr>
          <w:rFonts w:ascii="Corbel" w:eastAsia="Times New Roman" w:hAnsi="Corbel" w:cs="Consolas"/>
          <w:b/>
          <w:bCs/>
          <w:caps/>
          <w:color w:val="316F72"/>
          <w:kern w:val="32"/>
          <w:sz w:val="32"/>
          <w:szCs w:val="32"/>
          <w:lang w:eastAsia="en-AU"/>
        </w:rPr>
        <w:t>and the Commonwealth on schools reform</w:t>
      </w:r>
    </w:p>
    <w:p w14:paraId="086998D7" w14:textId="7C8EA938" w:rsidR="00A94D69" w:rsidRPr="00E41BFF" w:rsidRDefault="00F24031" w:rsidP="00E41BFF">
      <w:pPr>
        <w:keepNext/>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Preliminaries</w:t>
      </w:r>
    </w:p>
    <w:p w14:paraId="2FE5B0A8" w14:textId="62B783F0" w:rsidR="00A94D69" w:rsidRPr="002F3FDF" w:rsidRDefault="00A94D69" w:rsidP="00A94D6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2F3FDF">
        <w:rPr>
          <w:rFonts w:ascii="Corbel" w:eastAsia="Times New Roman" w:hAnsi="Corbel" w:cs="Calibri"/>
          <w:color w:val="000000"/>
          <w:sz w:val="23"/>
          <w:szCs w:val="23"/>
          <w:lang w:eastAsia="en-AU"/>
        </w:rPr>
        <w:t xml:space="preserve">The State of Tasmania (Tasmania) and the Commonwealth acknowledge </w:t>
      </w:r>
      <w:r w:rsidR="008725C8" w:rsidRPr="002F3FDF">
        <w:rPr>
          <w:rFonts w:ascii="Corbel" w:eastAsia="Times New Roman" w:hAnsi="Corbel" w:cs="Calibri"/>
          <w:color w:val="000000"/>
          <w:sz w:val="23"/>
          <w:szCs w:val="23"/>
          <w:lang w:eastAsia="en-AU"/>
        </w:rPr>
        <w:t>the Traditional Owners of the lands and waters on which Australians live, learn and work, and pay respects to their Elders past</w:t>
      </w:r>
      <w:r w:rsidR="00EA16AC">
        <w:rPr>
          <w:rFonts w:ascii="Corbel" w:eastAsia="Times New Roman" w:hAnsi="Corbel" w:cs="Calibri"/>
          <w:color w:val="000000"/>
          <w:sz w:val="23"/>
          <w:szCs w:val="23"/>
          <w:lang w:eastAsia="en-AU"/>
        </w:rPr>
        <w:t xml:space="preserve"> and present</w:t>
      </w:r>
      <w:r w:rsidR="008725C8" w:rsidRPr="002F3FDF">
        <w:rPr>
          <w:rFonts w:ascii="Corbel" w:eastAsia="Times New Roman" w:hAnsi="Corbel" w:cs="Calibri"/>
          <w:color w:val="000000"/>
          <w:sz w:val="23"/>
          <w:szCs w:val="23"/>
          <w:lang w:eastAsia="en-AU"/>
        </w:rPr>
        <w:t>.</w:t>
      </w:r>
    </w:p>
    <w:p w14:paraId="19B6FC58" w14:textId="04926498" w:rsidR="00A94D69" w:rsidRPr="00A94D69" w:rsidRDefault="00A94D69" w:rsidP="00A94D6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94D69">
        <w:rPr>
          <w:rFonts w:ascii="Corbel" w:eastAsia="Times New Roman" w:hAnsi="Corbel" w:cs="Calibri"/>
          <w:color w:val="000000"/>
          <w:sz w:val="23"/>
          <w:szCs w:val="23"/>
          <w:lang w:eastAsia="en-AU"/>
        </w:rPr>
        <w:t xml:space="preserve">This </w:t>
      </w:r>
      <w:r w:rsidR="00BA6748">
        <w:rPr>
          <w:rFonts w:ascii="Corbel" w:eastAsia="Times New Roman" w:hAnsi="Corbel" w:cs="Calibri"/>
          <w:color w:val="000000"/>
          <w:sz w:val="23"/>
          <w:szCs w:val="23"/>
          <w:lang w:eastAsia="en-AU"/>
        </w:rPr>
        <w:t>A</w:t>
      </w:r>
      <w:r w:rsidRPr="00A94D69">
        <w:rPr>
          <w:rFonts w:ascii="Corbel" w:eastAsia="Times New Roman" w:hAnsi="Corbel" w:cs="Calibri"/>
          <w:color w:val="000000"/>
          <w:sz w:val="23"/>
          <w:szCs w:val="23"/>
          <w:lang w:eastAsia="en-AU"/>
        </w:rPr>
        <w:t xml:space="preserve">greement satisfies the condition in paragraph 22(2)(b) of the </w:t>
      </w:r>
      <w:r w:rsidRPr="008647AB">
        <w:rPr>
          <w:rFonts w:ascii="Corbel" w:eastAsia="Times New Roman" w:hAnsi="Corbel" w:cs="Calibri"/>
          <w:i/>
          <w:iCs/>
          <w:color w:val="000000"/>
          <w:sz w:val="23"/>
          <w:szCs w:val="23"/>
          <w:lang w:eastAsia="en-AU"/>
        </w:rPr>
        <w:t>Australian Education Act 2013</w:t>
      </w:r>
      <w:r w:rsidRPr="00A94D69">
        <w:rPr>
          <w:rFonts w:ascii="Corbel" w:eastAsia="Times New Roman" w:hAnsi="Corbel" w:cs="Calibri"/>
          <w:color w:val="000000"/>
          <w:sz w:val="23"/>
          <w:szCs w:val="23"/>
          <w:lang w:eastAsia="en-AU"/>
        </w:rPr>
        <w:t xml:space="preserve"> (the Act) requiring each </w:t>
      </w:r>
      <w:r w:rsidR="00DE388C">
        <w:rPr>
          <w:rFonts w:ascii="Corbel" w:eastAsia="Times New Roman" w:hAnsi="Corbel" w:cs="Calibri"/>
          <w:color w:val="000000"/>
          <w:sz w:val="23"/>
          <w:szCs w:val="23"/>
          <w:lang w:eastAsia="en-AU"/>
        </w:rPr>
        <w:t>s</w:t>
      </w:r>
      <w:r w:rsidRPr="00A94D69">
        <w:rPr>
          <w:rFonts w:ascii="Corbel" w:eastAsia="Times New Roman" w:hAnsi="Corbel" w:cs="Calibri"/>
          <w:color w:val="000000"/>
          <w:sz w:val="23"/>
          <w:szCs w:val="23"/>
          <w:lang w:eastAsia="en-AU"/>
        </w:rPr>
        <w:t xml:space="preserve">tate and </w:t>
      </w:r>
      <w:r w:rsidR="00DE388C">
        <w:rPr>
          <w:rFonts w:ascii="Corbel" w:eastAsia="Times New Roman" w:hAnsi="Corbel" w:cs="Calibri"/>
          <w:color w:val="000000"/>
          <w:sz w:val="23"/>
          <w:szCs w:val="23"/>
          <w:lang w:eastAsia="en-AU"/>
        </w:rPr>
        <w:t>t</w:t>
      </w:r>
      <w:r w:rsidRPr="00A94D69">
        <w:rPr>
          <w:rFonts w:ascii="Corbel" w:eastAsia="Times New Roman" w:hAnsi="Corbel" w:cs="Calibri"/>
          <w:color w:val="000000"/>
          <w:sz w:val="23"/>
          <w:szCs w:val="23"/>
          <w:lang w:eastAsia="en-AU"/>
        </w:rPr>
        <w:t>erritory to be party to an agreement with the Commonwealth relating to the implementation of school education reform.</w:t>
      </w:r>
    </w:p>
    <w:p w14:paraId="1BFB713F" w14:textId="4BED6378" w:rsidR="00A94D69" w:rsidRPr="00A94D69" w:rsidRDefault="00A94D69" w:rsidP="00A94D6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94D69">
        <w:rPr>
          <w:rFonts w:ascii="Corbel" w:eastAsia="Times New Roman" w:hAnsi="Corbel" w:cs="Calibri"/>
          <w:color w:val="000000"/>
          <w:sz w:val="23"/>
          <w:szCs w:val="23"/>
          <w:lang w:eastAsia="en-AU"/>
        </w:rPr>
        <w:t xml:space="preserve">Aboriginal and Torres Strait Islander cultures and knowledges are fundamental to shaping and improving education systems and outcomes for Tasmania’s Aboriginal and Torres Strait Islander children and students. Tasmania and the Commonwealth commit to ensuring that the implementation of this Bilateral Agreement is undertaken in a way that will enliven the priority reforms of the </w:t>
      </w:r>
      <w:r w:rsidRPr="008647AB">
        <w:rPr>
          <w:rFonts w:ascii="Corbel" w:eastAsia="Times New Roman" w:hAnsi="Corbel" w:cs="Calibri"/>
          <w:i/>
          <w:iCs/>
          <w:color w:val="000000"/>
          <w:sz w:val="23"/>
          <w:szCs w:val="23"/>
          <w:lang w:eastAsia="en-AU"/>
        </w:rPr>
        <w:t>National Agreement on Closing the Gap</w:t>
      </w:r>
      <w:r w:rsidRPr="00A94D69">
        <w:rPr>
          <w:rFonts w:ascii="Corbel" w:eastAsia="Times New Roman" w:hAnsi="Corbel" w:cs="Calibri"/>
          <w:color w:val="000000"/>
          <w:sz w:val="23"/>
          <w:szCs w:val="23"/>
          <w:lang w:eastAsia="en-AU"/>
        </w:rPr>
        <w:t xml:space="preserve"> (Closing the Gap Agreement).</w:t>
      </w:r>
    </w:p>
    <w:p w14:paraId="183436FC" w14:textId="77777777" w:rsidR="00A94D69" w:rsidRPr="00A94D69" w:rsidRDefault="00A94D69" w:rsidP="00A94D6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94D69">
        <w:rPr>
          <w:rFonts w:ascii="Corbel" w:eastAsia="Times New Roman" w:hAnsi="Corbel" w:cs="Calibri"/>
          <w:color w:val="000000"/>
          <w:sz w:val="23"/>
          <w:szCs w:val="23"/>
          <w:lang w:eastAsia="en-AU"/>
        </w:rPr>
        <w:t>Tasmania and the Commonwealth acknowledge that Australia has a strong education system, but it can be better and fairer. To do that, governments and school systems need to ensure every student is supported to succeed so that no one is held back or left behind.</w:t>
      </w:r>
    </w:p>
    <w:p w14:paraId="262E24C2" w14:textId="77777777" w:rsidR="00A94D69" w:rsidRPr="00A94D69" w:rsidRDefault="00A94D69" w:rsidP="00A94D6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94D69">
        <w:rPr>
          <w:rFonts w:ascii="Corbel" w:eastAsia="Times New Roman" w:hAnsi="Corbel" w:cs="Calibri"/>
          <w:color w:val="000000"/>
          <w:sz w:val="23"/>
          <w:szCs w:val="23"/>
          <w:lang w:eastAsia="en-AU"/>
        </w:rPr>
        <w:t xml:space="preserve">Tasmania and the Commonwealth reaffirm their commitment to the vision for Australian schooling outlined in the </w:t>
      </w:r>
      <w:r w:rsidRPr="008647AB">
        <w:rPr>
          <w:rFonts w:ascii="Corbel" w:eastAsia="Times New Roman" w:hAnsi="Corbel" w:cs="Calibri"/>
          <w:i/>
          <w:iCs/>
          <w:color w:val="000000"/>
          <w:sz w:val="23"/>
          <w:szCs w:val="23"/>
          <w:lang w:eastAsia="en-AU"/>
        </w:rPr>
        <w:t>Alice Springs (Mparntwe) Education Declaration</w:t>
      </w:r>
      <w:r w:rsidRPr="00A94D69">
        <w:rPr>
          <w:rFonts w:ascii="Corbel" w:eastAsia="Times New Roman" w:hAnsi="Corbel" w:cs="Calibri"/>
          <w:color w:val="000000"/>
          <w:sz w:val="23"/>
          <w:szCs w:val="23"/>
          <w:lang w:eastAsia="en-AU"/>
        </w:rPr>
        <w:t xml:space="preserve"> (the Mparntwe Education Declaration) for a world class education system that encourages and supports every student to be the very best they can be, no matter where they live or what kind of learning challenges they may face.</w:t>
      </w:r>
    </w:p>
    <w:p w14:paraId="5344FDB1" w14:textId="00AEBA68" w:rsidR="00A94D69" w:rsidRPr="002C2338" w:rsidRDefault="00E33B39" w:rsidP="00A94D6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2C2338">
        <w:rPr>
          <w:rFonts w:ascii="Corbel" w:eastAsia="Times New Roman" w:hAnsi="Corbel" w:cs="Calibri"/>
          <w:color w:val="000000"/>
          <w:sz w:val="23"/>
          <w:szCs w:val="23"/>
          <w:lang w:eastAsia="en-AU"/>
        </w:rPr>
        <w:t>The Tasmanian Government and the Commonwealth signed a Statement of Intent on 25</w:t>
      </w:r>
      <w:r w:rsidR="00747CDB">
        <w:rPr>
          <w:rFonts w:ascii="Corbel" w:eastAsia="Times New Roman" w:hAnsi="Corbel" w:cs="Calibri"/>
          <w:color w:val="000000"/>
          <w:sz w:val="23"/>
          <w:szCs w:val="23"/>
          <w:lang w:eastAsia="en-AU"/>
        </w:rPr>
        <w:t> </w:t>
      </w:r>
      <w:r w:rsidRPr="002C2338">
        <w:rPr>
          <w:rFonts w:ascii="Corbel" w:eastAsia="Times New Roman" w:hAnsi="Corbel" w:cs="Calibri"/>
          <w:color w:val="000000"/>
          <w:sz w:val="23"/>
          <w:szCs w:val="23"/>
          <w:lang w:eastAsia="en-AU"/>
        </w:rPr>
        <w:t xml:space="preserve">September 2024. </w:t>
      </w:r>
      <w:r w:rsidR="00A94D69" w:rsidRPr="002C2338">
        <w:rPr>
          <w:rFonts w:ascii="Corbel" w:eastAsia="Times New Roman" w:hAnsi="Corbel" w:cs="Calibri"/>
          <w:color w:val="000000"/>
          <w:sz w:val="23"/>
          <w:szCs w:val="23"/>
          <w:lang w:eastAsia="en-AU"/>
        </w:rPr>
        <w:t>This Bilateral Agreement reflects the</w:t>
      </w:r>
      <w:r w:rsidRPr="002C2338">
        <w:rPr>
          <w:rFonts w:ascii="Corbel" w:eastAsia="Times New Roman" w:hAnsi="Corbel" w:cs="Calibri"/>
          <w:color w:val="000000"/>
          <w:sz w:val="23"/>
          <w:szCs w:val="23"/>
          <w:lang w:eastAsia="en-AU"/>
        </w:rPr>
        <w:t xml:space="preserve"> </w:t>
      </w:r>
      <w:r w:rsidR="00B25C6E" w:rsidRPr="002C2338">
        <w:rPr>
          <w:rFonts w:ascii="Corbel" w:eastAsia="Times New Roman" w:hAnsi="Corbel" w:cs="Calibri"/>
          <w:color w:val="000000"/>
          <w:sz w:val="23"/>
          <w:szCs w:val="23"/>
          <w:lang w:eastAsia="en-AU"/>
        </w:rPr>
        <w:t>S</w:t>
      </w:r>
      <w:r w:rsidRPr="002C2338">
        <w:rPr>
          <w:rFonts w:ascii="Corbel" w:eastAsia="Times New Roman" w:hAnsi="Corbel" w:cs="Calibri"/>
          <w:color w:val="000000"/>
          <w:sz w:val="23"/>
          <w:szCs w:val="23"/>
          <w:lang w:eastAsia="en-AU"/>
        </w:rPr>
        <w:t xml:space="preserve">tatement of </w:t>
      </w:r>
      <w:r w:rsidR="00B25C6E" w:rsidRPr="002C2338">
        <w:rPr>
          <w:rFonts w:ascii="Corbel" w:eastAsia="Times New Roman" w:hAnsi="Corbel" w:cs="Calibri"/>
          <w:color w:val="000000"/>
          <w:sz w:val="23"/>
          <w:szCs w:val="23"/>
          <w:lang w:eastAsia="en-AU"/>
        </w:rPr>
        <w:t>I</w:t>
      </w:r>
      <w:r w:rsidRPr="002C2338">
        <w:rPr>
          <w:rFonts w:ascii="Corbel" w:eastAsia="Times New Roman" w:hAnsi="Corbel" w:cs="Calibri"/>
          <w:color w:val="000000"/>
          <w:sz w:val="23"/>
          <w:szCs w:val="23"/>
          <w:lang w:eastAsia="en-AU"/>
        </w:rPr>
        <w:t>ntent and other</w:t>
      </w:r>
      <w:r w:rsidR="00A94D69" w:rsidRPr="002C2338">
        <w:rPr>
          <w:rFonts w:ascii="Corbel" w:eastAsia="Times New Roman" w:hAnsi="Corbel" w:cs="Calibri"/>
          <w:color w:val="000000"/>
          <w:sz w:val="23"/>
          <w:szCs w:val="23"/>
          <w:lang w:eastAsia="en-AU"/>
        </w:rPr>
        <w:t xml:space="preserve"> commitments negotiated between Tasmania and the Commonwealth.</w:t>
      </w:r>
    </w:p>
    <w:p w14:paraId="18C559A0" w14:textId="6D0DDAD1" w:rsidR="00A94D69" w:rsidRPr="00A94D69" w:rsidRDefault="00A94D69" w:rsidP="00A94D6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2C2338">
        <w:rPr>
          <w:rFonts w:ascii="Corbel" w:eastAsia="Times New Roman" w:hAnsi="Corbel" w:cs="Calibri"/>
          <w:color w:val="000000"/>
          <w:sz w:val="23"/>
          <w:szCs w:val="23"/>
          <w:lang w:eastAsia="en-AU"/>
        </w:rPr>
        <w:t xml:space="preserve">The Heads of Agreement sets out the shared </w:t>
      </w:r>
      <w:r w:rsidR="00D31A58" w:rsidRPr="002C2338">
        <w:rPr>
          <w:rFonts w:ascii="Corbel" w:eastAsia="Times New Roman" w:hAnsi="Corbel" w:cs="Calibri"/>
          <w:color w:val="000000"/>
          <w:sz w:val="23"/>
          <w:szCs w:val="23"/>
          <w:lang w:eastAsia="en-AU"/>
        </w:rPr>
        <w:t xml:space="preserve">intention of the Parties to that Agreement to work in partnership to improve education outcomes for all Australian students and </w:t>
      </w:r>
      <w:r w:rsidR="00B24117" w:rsidRPr="002C2338">
        <w:rPr>
          <w:rFonts w:ascii="Corbel" w:eastAsia="Times New Roman" w:hAnsi="Corbel" w:cs="Calibri"/>
          <w:color w:val="000000"/>
          <w:sz w:val="23"/>
          <w:szCs w:val="23"/>
          <w:lang w:eastAsia="en-AU"/>
        </w:rPr>
        <w:t>continue to strengthen</w:t>
      </w:r>
      <w:r w:rsidR="00D31A58" w:rsidRPr="002C2338">
        <w:rPr>
          <w:rFonts w:ascii="Corbel" w:eastAsia="Times New Roman" w:hAnsi="Corbel" w:cs="Calibri"/>
          <w:color w:val="000000"/>
          <w:sz w:val="23"/>
          <w:szCs w:val="23"/>
          <w:lang w:eastAsia="en-AU"/>
        </w:rPr>
        <w:t xml:space="preserve"> the</w:t>
      </w:r>
      <w:r w:rsidR="00D31A58" w:rsidRPr="00B65BB0">
        <w:rPr>
          <w:rFonts w:ascii="Corbel" w:eastAsia="Times New Roman" w:hAnsi="Corbel" w:cs="Calibri"/>
          <w:color w:val="000000"/>
          <w:sz w:val="23"/>
          <w:szCs w:val="23"/>
          <w:lang w:eastAsia="en-AU"/>
        </w:rPr>
        <w:t xml:space="preserve"> capability and capacity of the education workforce</w:t>
      </w:r>
      <w:r w:rsidRPr="00B65BB0">
        <w:rPr>
          <w:rFonts w:ascii="Corbel" w:eastAsia="Times New Roman" w:hAnsi="Corbel" w:cs="Calibri"/>
          <w:color w:val="000000"/>
          <w:sz w:val="23"/>
          <w:szCs w:val="23"/>
          <w:lang w:eastAsia="en-AU"/>
        </w:rPr>
        <w:t>.</w:t>
      </w:r>
      <w:r w:rsidRPr="00A94D69">
        <w:rPr>
          <w:rFonts w:ascii="Corbel" w:eastAsia="Times New Roman" w:hAnsi="Corbel" w:cs="Calibri"/>
          <w:color w:val="000000"/>
          <w:sz w:val="23"/>
          <w:szCs w:val="23"/>
          <w:lang w:eastAsia="en-AU"/>
        </w:rPr>
        <w:t xml:space="preserve"> This Bilateral Agreement outlines the actions and activities Tasmania will undertake to achieve these shared objectives.</w:t>
      </w:r>
    </w:p>
    <w:p w14:paraId="660C1F4C" w14:textId="3CC71115" w:rsidR="00A94D69" w:rsidRPr="00A94D69" w:rsidRDefault="00A94D69" w:rsidP="00A94D6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94D69">
        <w:rPr>
          <w:rFonts w:ascii="Corbel" w:eastAsia="Times New Roman" w:hAnsi="Corbel" w:cs="Calibri"/>
          <w:color w:val="000000"/>
          <w:sz w:val="23"/>
          <w:szCs w:val="23"/>
          <w:lang w:eastAsia="en-AU"/>
        </w:rPr>
        <w:t>This Bilateral Agreement between Tasmania and the Commonwealth will commence on 1 January 2025 and expire on 31 December 2</w:t>
      </w:r>
      <w:r w:rsidRPr="00B65BB0">
        <w:rPr>
          <w:rFonts w:ascii="Corbel" w:eastAsia="Times New Roman" w:hAnsi="Corbel" w:cs="Calibri"/>
          <w:color w:val="000000"/>
          <w:sz w:val="23"/>
          <w:szCs w:val="23"/>
          <w:lang w:eastAsia="en-AU"/>
        </w:rPr>
        <w:t>029</w:t>
      </w:r>
      <w:r w:rsidR="00BB2572" w:rsidRPr="00B65BB0">
        <w:rPr>
          <w:rFonts w:ascii="Corbel" w:eastAsia="Times New Roman" w:hAnsi="Corbel" w:cs="Calibri"/>
          <w:color w:val="000000"/>
          <w:sz w:val="23"/>
          <w:szCs w:val="23"/>
          <w:lang w:eastAsia="en-AU"/>
        </w:rPr>
        <w:t>, unless a variation is agreed in accordance with clause 28 of the Heads of Agreement</w:t>
      </w:r>
      <w:r w:rsidRPr="00B65BB0">
        <w:rPr>
          <w:rFonts w:ascii="Corbel" w:eastAsia="Times New Roman" w:hAnsi="Corbel" w:cs="Calibri"/>
          <w:color w:val="000000"/>
          <w:sz w:val="23"/>
          <w:szCs w:val="23"/>
          <w:lang w:eastAsia="en-AU"/>
        </w:rPr>
        <w:t>.</w:t>
      </w:r>
    </w:p>
    <w:p w14:paraId="7A198E15" w14:textId="2F3C8830" w:rsidR="00A94D69" w:rsidRPr="00A94D69" w:rsidRDefault="00A94D69" w:rsidP="00A94D6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94D69">
        <w:rPr>
          <w:rFonts w:ascii="Corbel" w:eastAsia="Times New Roman" w:hAnsi="Corbel" w:cs="Calibri"/>
          <w:color w:val="000000"/>
          <w:sz w:val="23"/>
          <w:szCs w:val="23"/>
          <w:lang w:eastAsia="en-AU"/>
        </w:rPr>
        <w:t xml:space="preserve">Clause 25 of the Heads of Agreement </w:t>
      </w:r>
      <w:r w:rsidR="00E83346" w:rsidRPr="00B65BB0">
        <w:rPr>
          <w:rFonts w:ascii="Corbel" w:eastAsia="Times New Roman" w:hAnsi="Corbel" w:cs="Calibri"/>
          <w:color w:val="000000"/>
          <w:sz w:val="23"/>
          <w:szCs w:val="23"/>
          <w:lang w:eastAsia="en-AU"/>
        </w:rPr>
        <w:t>states</w:t>
      </w:r>
      <w:r w:rsidR="00E83346" w:rsidRPr="00A94D69">
        <w:rPr>
          <w:rFonts w:ascii="Corbel" w:eastAsia="Times New Roman" w:hAnsi="Corbel" w:cs="Calibri"/>
          <w:color w:val="000000"/>
          <w:sz w:val="23"/>
          <w:szCs w:val="23"/>
          <w:lang w:eastAsia="en-AU"/>
        </w:rPr>
        <w:t xml:space="preserve"> </w:t>
      </w:r>
      <w:r w:rsidRPr="00A94D69">
        <w:rPr>
          <w:rFonts w:ascii="Corbel" w:eastAsia="Times New Roman" w:hAnsi="Corbel" w:cs="Calibri"/>
          <w:color w:val="000000"/>
          <w:sz w:val="23"/>
          <w:szCs w:val="23"/>
          <w:lang w:eastAsia="en-AU"/>
        </w:rPr>
        <w:t>that, following the expiry of this Bilateral Agreement</w:t>
      </w:r>
      <w:r w:rsidRPr="00A94D69" w:rsidDel="0065664F">
        <w:rPr>
          <w:rFonts w:ascii="Corbel" w:eastAsia="Times New Roman" w:hAnsi="Corbel" w:cs="Calibri"/>
          <w:color w:val="000000"/>
          <w:sz w:val="23"/>
          <w:szCs w:val="23"/>
          <w:lang w:eastAsia="en-AU"/>
        </w:rPr>
        <w:t>,</w:t>
      </w:r>
      <w:r w:rsidRPr="00A94D69">
        <w:rPr>
          <w:rFonts w:ascii="Corbel" w:eastAsia="Times New Roman" w:hAnsi="Corbel" w:cs="Calibri"/>
          <w:color w:val="000000"/>
          <w:sz w:val="23"/>
          <w:szCs w:val="23"/>
          <w:lang w:eastAsia="en-AU"/>
        </w:rPr>
        <w:t xml:space="preserve"> a new bilateral agreement will commence from 1 January 2030.</w:t>
      </w:r>
    </w:p>
    <w:p w14:paraId="2980804B" w14:textId="77777777" w:rsidR="007908C0" w:rsidRDefault="00A94D69" w:rsidP="00A94D6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94D69">
        <w:rPr>
          <w:rFonts w:ascii="Corbel" w:eastAsia="Times New Roman" w:hAnsi="Corbel" w:cs="Calibri"/>
          <w:color w:val="000000"/>
          <w:sz w:val="23"/>
          <w:szCs w:val="23"/>
          <w:lang w:eastAsia="en-AU"/>
        </w:rPr>
        <w:t>The terms of this Bilateral Agreement do not limit Tasmania’s and the Commonwealth’s ability to agree different terms as part of a future bilateral agreement.</w:t>
      </w:r>
    </w:p>
    <w:p w14:paraId="416CB5EA" w14:textId="3B7114AE" w:rsidR="00A94D69" w:rsidRDefault="00A94D69" w:rsidP="00D91FFB">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486EA84F">
        <w:rPr>
          <w:rFonts w:ascii="Corbel" w:eastAsia="Times New Roman" w:hAnsi="Corbel" w:cs="Calibri"/>
          <w:color w:val="000000" w:themeColor="text1"/>
          <w:sz w:val="23"/>
          <w:szCs w:val="23"/>
          <w:lang w:eastAsia="en-AU"/>
        </w:rPr>
        <w:t>Any variations to this Bilateral Agreement will be in accordance with clause 28 of the Heads of Agreement</w:t>
      </w:r>
      <w:r w:rsidR="00B75E5F" w:rsidRPr="486EA84F">
        <w:rPr>
          <w:rFonts w:ascii="Corbel" w:eastAsia="Times New Roman" w:hAnsi="Corbel" w:cs="Calibri"/>
          <w:color w:val="000000" w:themeColor="text1"/>
          <w:sz w:val="23"/>
          <w:szCs w:val="23"/>
          <w:lang w:eastAsia="en-AU"/>
        </w:rPr>
        <w:t>.</w:t>
      </w:r>
    </w:p>
    <w:p w14:paraId="47FD8813" w14:textId="4790772A" w:rsidR="00823A2D" w:rsidRPr="00C804A9" w:rsidRDefault="00FB5F2F" w:rsidP="00D91FFB">
      <w:pPr>
        <w:pStyle w:val="ListParagraph"/>
        <w:keepNext/>
        <w:numPr>
          <w:ilvl w:val="0"/>
          <w:numId w:val="1"/>
        </w:numPr>
        <w:tabs>
          <w:tab w:val="left" w:pos="426"/>
        </w:tabs>
        <w:spacing w:after="240" w:line="240" w:lineRule="auto"/>
        <w:ind w:left="425" w:hanging="425"/>
        <w:contextualSpacing w:val="0"/>
        <w:jc w:val="both"/>
        <w:outlineLvl w:val="1"/>
        <w:rPr>
          <w:rFonts w:ascii="Corbel" w:hAnsi="Corbel"/>
          <w:sz w:val="23"/>
          <w:szCs w:val="23"/>
        </w:rPr>
      </w:pPr>
      <w:r>
        <w:rPr>
          <w:rFonts w:ascii="Corbel" w:hAnsi="Corbel"/>
          <w:sz w:val="23"/>
          <w:szCs w:val="23"/>
        </w:rPr>
        <w:lastRenderedPageBreak/>
        <w:t xml:space="preserve">Should the Commonwealth provide more favourable terms to another state or territory (with the exception of the Northern Territory) as part of the Better and Fairer Schools Heads of Agreement or Bilateral Agreement, then the Commonwealth will offer Tasmania those terms as well and, if agreed by Tasmania, this Bilateral Agreement will be updated accordingly. For the avoidance of doubt, Tasmania will receive an equivalent Commonwealth SRS funding percentage point uplift </w:t>
      </w:r>
      <w:r w:rsidR="00EF00B6">
        <w:rPr>
          <w:rFonts w:ascii="Corbel" w:hAnsi="Corbel"/>
          <w:sz w:val="23"/>
          <w:szCs w:val="23"/>
        </w:rPr>
        <w:t>at least equal to that negotiated with other jurisdictions (with the exception of the Northern Territory).</w:t>
      </w:r>
    </w:p>
    <w:p w14:paraId="1CB95BCE" w14:textId="0C386E30" w:rsidR="006E157B" w:rsidRPr="00B65BB0" w:rsidRDefault="006E157B" w:rsidP="00D91FFB">
      <w:pPr>
        <w:pStyle w:val="ListParagraph"/>
        <w:keepNext/>
        <w:numPr>
          <w:ilvl w:val="0"/>
          <w:numId w:val="1"/>
        </w:numPr>
        <w:tabs>
          <w:tab w:val="left" w:pos="426"/>
        </w:tabs>
        <w:spacing w:after="240" w:line="240" w:lineRule="auto"/>
        <w:ind w:left="425" w:hanging="425"/>
        <w:contextualSpacing w:val="0"/>
        <w:jc w:val="both"/>
        <w:outlineLvl w:val="1"/>
        <w:rPr>
          <w:rFonts w:ascii="Corbel" w:hAnsi="Corbel"/>
          <w:sz w:val="23"/>
          <w:szCs w:val="23"/>
        </w:rPr>
      </w:pPr>
      <w:r w:rsidRPr="00B65BB0">
        <w:rPr>
          <w:rFonts w:ascii="Corbel" w:hAnsi="Corbel"/>
          <w:sz w:val="23"/>
          <w:szCs w:val="23"/>
        </w:rPr>
        <w:t>Clause 12 above also includes but is not limited to:</w:t>
      </w:r>
    </w:p>
    <w:p w14:paraId="0E039CBF" w14:textId="6BE7D870" w:rsidR="006E157B" w:rsidRPr="00B65BB0" w:rsidRDefault="006E157B" w:rsidP="007449B2">
      <w:pPr>
        <w:pStyle w:val="ListParagraph"/>
        <w:numPr>
          <w:ilvl w:val="1"/>
          <w:numId w:val="1"/>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B65BB0">
        <w:rPr>
          <w:rFonts w:ascii="Corbel" w:eastAsia="Times New Roman" w:hAnsi="Corbel" w:cs="Calibri"/>
          <w:color w:val="000000"/>
          <w:sz w:val="23"/>
          <w:szCs w:val="23"/>
          <w:lang w:eastAsia="en-AU"/>
        </w:rPr>
        <w:t>an adjustment to the measurement of state funding contribution included in another jurisdiction’s Bilateral Agreement (with the exception of the Northern Territory);</w:t>
      </w:r>
    </w:p>
    <w:p w14:paraId="3BA0F3A0" w14:textId="2874C3C8" w:rsidR="006E157B" w:rsidRPr="00B65BB0" w:rsidRDefault="006E157B" w:rsidP="007449B2">
      <w:pPr>
        <w:pStyle w:val="ListParagraph"/>
        <w:numPr>
          <w:ilvl w:val="1"/>
          <w:numId w:val="1"/>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B65BB0">
        <w:rPr>
          <w:rFonts w:ascii="Corbel" w:eastAsia="Times New Roman" w:hAnsi="Corbel" w:cs="Calibri"/>
          <w:color w:val="000000"/>
          <w:sz w:val="23"/>
          <w:szCs w:val="23"/>
          <w:lang w:eastAsia="en-AU"/>
        </w:rPr>
        <w:t>any agreement the Commonwealth makes with any other state or territory which favourably impacts on that jurisdiction’s financial contributions (with the exception of the Northern Territory), reporting arrangements or risk sharing arrangements under the Agreement</w:t>
      </w:r>
      <w:r w:rsidR="00581F00">
        <w:rPr>
          <w:rFonts w:ascii="Corbel" w:eastAsia="Times New Roman" w:hAnsi="Corbel" w:cs="Calibri"/>
          <w:color w:val="000000"/>
          <w:sz w:val="23"/>
          <w:szCs w:val="23"/>
          <w:lang w:eastAsia="en-AU"/>
        </w:rPr>
        <w:t>.</w:t>
      </w:r>
    </w:p>
    <w:p w14:paraId="56A32475" w14:textId="386738F3" w:rsidR="0047580C" w:rsidRDefault="006E157B" w:rsidP="00D91FFB">
      <w:pPr>
        <w:pStyle w:val="ListParagraph"/>
        <w:keepNext/>
        <w:numPr>
          <w:ilvl w:val="0"/>
          <w:numId w:val="1"/>
        </w:numPr>
        <w:tabs>
          <w:tab w:val="left" w:pos="426"/>
        </w:tabs>
        <w:spacing w:after="240" w:line="240" w:lineRule="auto"/>
        <w:ind w:left="425" w:hanging="425"/>
        <w:contextualSpacing w:val="0"/>
        <w:jc w:val="both"/>
        <w:outlineLvl w:val="1"/>
        <w:rPr>
          <w:rFonts w:ascii="Corbel" w:hAnsi="Corbel"/>
          <w:sz w:val="23"/>
          <w:szCs w:val="23"/>
        </w:rPr>
      </w:pPr>
      <w:r w:rsidRPr="00B65BB0">
        <w:rPr>
          <w:rFonts w:ascii="Corbel" w:hAnsi="Corbel"/>
          <w:sz w:val="23"/>
          <w:szCs w:val="23"/>
        </w:rPr>
        <w:t>In these cases, these terms will also be made available to Tasmania, and this Bilateral Agreement will be updated to take into account the adjustment or material change to circumstance.</w:t>
      </w:r>
    </w:p>
    <w:p w14:paraId="1B630A6D" w14:textId="4D552617" w:rsidR="00EB41DF" w:rsidRDefault="006E157B" w:rsidP="00D91FFB">
      <w:pPr>
        <w:pStyle w:val="ListParagraph"/>
        <w:keepNext/>
        <w:numPr>
          <w:ilvl w:val="0"/>
          <w:numId w:val="1"/>
        </w:numPr>
        <w:tabs>
          <w:tab w:val="left" w:pos="426"/>
        </w:tabs>
        <w:spacing w:after="240" w:line="240" w:lineRule="auto"/>
        <w:ind w:left="425" w:hanging="425"/>
        <w:contextualSpacing w:val="0"/>
        <w:jc w:val="both"/>
        <w:outlineLvl w:val="1"/>
        <w:rPr>
          <w:rFonts w:ascii="Corbel" w:hAnsi="Corbel"/>
          <w:sz w:val="23"/>
          <w:szCs w:val="23"/>
        </w:rPr>
      </w:pPr>
      <w:r w:rsidRPr="00B65BB0">
        <w:rPr>
          <w:rFonts w:ascii="Corbel" w:hAnsi="Corbel"/>
          <w:sz w:val="23"/>
          <w:szCs w:val="23"/>
        </w:rPr>
        <w:t>This Bilateral Agreement may also be updated through agreement with the Commonwealth if there is a material change in Tasmania’s circumstances, beyond its reasonable control, which will affect Tasmania’s fiscal position or the recognition of the State’s funding contr</w:t>
      </w:r>
      <w:r w:rsidRPr="004207CF">
        <w:rPr>
          <w:rFonts w:ascii="Corbel" w:hAnsi="Corbel"/>
          <w:sz w:val="23"/>
          <w:szCs w:val="23"/>
        </w:rPr>
        <w:t>ibution</w:t>
      </w:r>
      <w:r w:rsidR="00576EA9" w:rsidRPr="004207CF">
        <w:rPr>
          <w:rFonts w:ascii="Corbel" w:hAnsi="Corbel"/>
          <w:sz w:val="23"/>
          <w:szCs w:val="23"/>
        </w:rPr>
        <w:t>, in accordance with the process in clause 28 of the Heads of Agreement</w:t>
      </w:r>
      <w:r w:rsidRPr="004207CF">
        <w:rPr>
          <w:rFonts w:ascii="Corbel" w:hAnsi="Corbel"/>
          <w:sz w:val="23"/>
          <w:szCs w:val="23"/>
        </w:rPr>
        <w:t>.</w:t>
      </w:r>
    </w:p>
    <w:p w14:paraId="13526ADD" w14:textId="0039281A" w:rsidR="002659F4" w:rsidRPr="002659F4" w:rsidRDefault="00CE0B6B" w:rsidP="002659F4">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 xml:space="preserve">State Reform </w:t>
      </w:r>
      <w:r w:rsidR="002659F4" w:rsidRPr="002659F4">
        <w:rPr>
          <w:rFonts w:ascii="Corbel" w:eastAsia="Times New Roman" w:hAnsi="Corbel" w:cs="Corbel"/>
          <w:b/>
          <w:bCs/>
          <w:color w:val="316F72"/>
          <w:sz w:val="28"/>
          <w:szCs w:val="28"/>
          <w:lang w:eastAsia="en-AU"/>
        </w:rPr>
        <w:t>context</w:t>
      </w:r>
    </w:p>
    <w:p w14:paraId="59EF4C2A" w14:textId="50DCCA64" w:rsidR="00CE0B6B" w:rsidRDefault="00D34A69" w:rsidP="00D34A69">
      <w:pPr>
        <w:pStyle w:val="ListParagraph"/>
        <w:numPr>
          <w:ilvl w:val="0"/>
          <w:numId w:val="1"/>
        </w:numPr>
        <w:tabs>
          <w:tab w:val="left" w:pos="426"/>
        </w:tabs>
        <w:spacing w:after="240" w:line="260" w:lineRule="exact"/>
        <w:ind w:left="425" w:hanging="425"/>
        <w:jc w:val="both"/>
        <w:rPr>
          <w:rFonts w:ascii="Corbel" w:eastAsia="Times New Roman" w:hAnsi="Corbel" w:cs="Calibri"/>
          <w:color w:val="000000"/>
          <w:sz w:val="23"/>
          <w:szCs w:val="23"/>
          <w:u w:val="single"/>
          <w:lang w:eastAsia="en-AU"/>
        </w:rPr>
      </w:pPr>
      <w:r w:rsidRPr="00234A7E">
        <w:rPr>
          <w:rFonts w:ascii="Corbel" w:eastAsia="Times New Roman" w:hAnsi="Corbel" w:cs="Calibri"/>
          <w:color w:val="000000"/>
          <w:sz w:val="23"/>
          <w:szCs w:val="23"/>
          <w:lang w:eastAsia="en-AU"/>
        </w:rPr>
        <w:t xml:space="preserve">This Bilateral Agreement sets out the activities to be undertaken during its term to give effect to </w:t>
      </w:r>
      <w:r>
        <w:rPr>
          <w:rFonts w:ascii="Corbel" w:eastAsia="Times New Roman" w:hAnsi="Corbel" w:cs="Calibri"/>
          <w:color w:val="000000"/>
          <w:sz w:val="23"/>
          <w:szCs w:val="23"/>
          <w:lang w:eastAsia="en-AU"/>
        </w:rPr>
        <w:t>N</w:t>
      </w:r>
      <w:r w:rsidRPr="00234A7E">
        <w:rPr>
          <w:rFonts w:ascii="Corbel" w:eastAsia="Times New Roman" w:hAnsi="Corbel" w:cs="Calibri"/>
          <w:color w:val="000000"/>
          <w:sz w:val="23"/>
          <w:szCs w:val="23"/>
          <w:lang w:eastAsia="en-AU"/>
        </w:rPr>
        <w:t>ational</w:t>
      </w:r>
      <w:r>
        <w:rPr>
          <w:rFonts w:ascii="Corbel" w:eastAsia="Times New Roman" w:hAnsi="Corbel" w:cs="Calibri"/>
          <w:color w:val="000000"/>
          <w:sz w:val="23"/>
          <w:szCs w:val="23"/>
          <w:lang w:eastAsia="en-AU"/>
        </w:rPr>
        <w:t xml:space="preserve"> Reform Directions</w:t>
      </w:r>
      <w:r w:rsidRPr="00234A7E">
        <w:rPr>
          <w:rFonts w:ascii="Corbel" w:eastAsia="Times New Roman" w:hAnsi="Corbel" w:cs="Calibri"/>
          <w:color w:val="000000"/>
          <w:sz w:val="23"/>
          <w:szCs w:val="23"/>
          <w:lang w:eastAsia="en-AU"/>
        </w:rPr>
        <w:t xml:space="preserve"> outlined in the Heads of Agreement.</w:t>
      </w:r>
    </w:p>
    <w:p w14:paraId="5BDA6E82" w14:textId="3F166A0D" w:rsidR="002659F4" w:rsidRDefault="002659F4" w:rsidP="002659F4">
      <w:pPr>
        <w:spacing w:after="240" w:line="260" w:lineRule="exact"/>
        <w:jc w:val="both"/>
        <w:rPr>
          <w:rFonts w:ascii="Corbel" w:eastAsia="Times New Roman" w:hAnsi="Corbel" w:cs="Calibri"/>
          <w:color w:val="000000"/>
          <w:sz w:val="23"/>
          <w:szCs w:val="23"/>
          <w:u w:val="single"/>
          <w:lang w:eastAsia="en-AU"/>
        </w:rPr>
      </w:pPr>
      <w:r w:rsidRPr="002659F4">
        <w:rPr>
          <w:rFonts w:ascii="Corbel" w:eastAsia="Times New Roman" w:hAnsi="Corbel" w:cs="Calibri"/>
          <w:color w:val="000000"/>
          <w:sz w:val="23"/>
          <w:szCs w:val="23"/>
          <w:u w:val="single"/>
          <w:lang w:eastAsia="en-AU"/>
        </w:rPr>
        <w:t>Government sector</w:t>
      </w:r>
    </w:p>
    <w:p w14:paraId="12EF0490" w14:textId="77777777" w:rsidR="00957899" w:rsidRPr="00DE5846" w:rsidRDefault="00957899" w:rsidP="00957899">
      <w:pPr>
        <w:numPr>
          <w:ilvl w:val="0"/>
          <w:numId w:val="1"/>
        </w:numPr>
        <w:spacing w:after="240" w:line="260" w:lineRule="exact"/>
        <w:ind w:left="360"/>
        <w:jc w:val="both"/>
        <w:rPr>
          <w:rFonts w:ascii="Corbel" w:eastAsia="Times New Roman" w:hAnsi="Corbel" w:cs="Calibri"/>
          <w:color w:val="000000"/>
          <w:sz w:val="23"/>
          <w:szCs w:val="23"/>
          <w:lang w:eastAsia="en-AU"/>
        </w:rPr>
      </w:pPr>
      <w:r w:rsidRPr="00DE5846">
        <w:rPr>
          <w:rFonts w:ascii="Corbel" w:eastAsia="Times New Roman" w:hAnsi="Corbel" w:cs="Calibri"/>
          <w:color w:val="000000"/>
          <w:sz w:val="23"/>
          <w:szCs w:val="23"/>
          <w:lang w:eastAsia="en-AU"/>
        </w:rPr>
        <w:t>Government schooling in Tasmania comprises 190 schools</w:t>
      </w:r>
      <w:r w:rsidRPr="00DE5846">
        <w:rPr>
          <w:rStyle w:val="CommentReference"/>
        </w:rPr>
        <w:t xml:space="preserve"> </w:t>
      </w:r>
      <w:r w:rsidRPr="00DE5846">
        <w:rPr>
          <w:rStyle w:val="CommentReference"/>
          <w:rFonts w:ascii="Corbel" w:hAnsi="Corbel"/>
          <w:sz w:val="23"/>
          <w:szCs w:val="23"/>
        </w:rPr>
        <w:t>including</w:t>
      </w:r>
      <w:r w:rsidRPr="00DE5846">
        <w:rPr>
          <w:rFonts w:ascii="Corbel" w:eastAsia="Times New Roman" w:hAnsi="Corbel" w:cs="Calibri"/>
          <w:color w:val="000000"/>
          <w:sz w:val="23"/>
          <w:szCs w:val="23"/>
          <w:lang w:eastAsia="en-AU"/>
        </w:rPr>
        <w:t xml:space="preserve"> three support schools, eight colleges for Years 11 and 12 and the Tasmanian eSchool, together serving the needs of almost 60,000 children and young people.</w:t>
      </w:r>
    </w:p>
    <w:p w14:paraId="768EC05B" w14:textId="05A57CE4" w:rsidR="00957899" w:rsidRDefault="00957899" w:rsidP="00D91FFB">
      <w:pPr>
        <w:numPr>
          <w:ilvl w:val="0"/>
          <w:numId w:val="1"/>
        </w:numPr>
        <w:spacing w:after="240" w:line="260" w:lineRule="exact"/>
        <w:ind w:left="360"/>
        <w:jc w:val="both"/>
        <w:rPr>
          <w:rFonts w:ascii="Corbel" w:eastAsia="Times New Roman" w:hAnsi="Corbel" w:cs="Calibri"/>
          <w:color w:val="000000"/>
          <w:sz w:val="23"/>
          <w:szCs w:val="23"/>
          <w:lang w:eastAsia="en-AU"/>
        </w:rPr>
      </w:pPr>
      <w:r w:rsidRPr="0155CF0B">
        <w:rPr>
          <w:rFonts w:ascii="Corbel" w:eastAsia="Times New Roman" w:hAnsi="Corbel" w:cs="Calibri"/>
          <w:color w:val="000000" w:themeColor="text1"/>
          <w:sz w:val="23"/>
          <w:szCs w:val="23"/>
          <w:lang w:eastAsia="en-AU"/>
        </w:rPr>
        <w:t xml:space="preserve">Tasmania’s relative isolation, both geographically and economically, and the dispersed communities living outside </w:t>
      </w:r>
      <w:r w:rsidR="00574625">
        <w:rPr>
          <w:rFonts w:ascii="Corbel" w:eastAsia="Times New Roman" w:hAnsi="Corbel" w:cs="Calibri"/>
          <w:color w:val="000000" w:themeColor="text1"/>
          <w:sz w:val="23"/>
          <w:szCs w:val="23"/>
          <w:lang w:eastAsia="en-AU"/>
        </w:rPr>
        <w:t>the</w:t>
      </w:r>
      <w:r w:rsidR="00574625" w:rsidRPr="0155CF0B">
        <w:rPr>
          <w:rFonts w:ascii="Corbel" w:eastAsia="Times New Roman" w:hAnsi="Corbel" w:cs="Calibri"/>
          <w:color w:val="000000" w:themeColor="text1"/>
          <w:sz w:val="23"/>
          <w:szCs w:val="23"/>
          <w:lang w:eastAsia="en-AU"/>
        </w:rPr>
        <w:t xml:space="preserve"> </w:t>
      </w:r>
      <w:r w:rsidRPr="0155CF0B">
        <w:rPr>
          <w:rFonts w:ascii="Corbel" w:eastAsia="Times New Roman" w:hAnsi="Corbel" w:cs="Calibri"/>
          <w:color w:val="000000" w:themeColor="text1"/>
          <w:sz w:val="23"/>
          <w:szCs w:val="23"/>
          <w:lang w:eastAsia="en-AU"/>
        </w:rPr>
        <w:t>major population areas, all combine to create a range of social, economic, and logistical difficulties for many students in the Tasmanian education system. These challenges create an effect of compound disadvantage, which is greater than the sum of its parts.</w:t>
      </w:r>
    </w:p>
    <w:p w14:paraId="5D765E2A" w14:textId="185D1912" w:rsidR="00957899" w:rsidRPr="00610EDD" w:rsidRDefault="00957899" w:rsidP="00D91FFB">
      <w:pPr>
        <w:numPr>
          <w:ilvl w:val="0"/>
          <w:numId w:val="1"/>
        </w:numPr>
        <w:spacing w:after="240" w:line="260" w:lineRule="exact"/>
        <w:ind w:left="360"/>
        <w:jc w:val="both"/>
        <w:rPr>
          <w:rFonts w:ascii="Corbel" w:eastAsia="Times New Roman" w:hAnsi="Corbel" w:cs="Calibri"/>
          <w:color w:val="000000"/>
          <w:sz w:val="23"/>
          <w:szCs w:val="23"/>
          <w:lang w:eastAsia="en-AU"/>
        </w:rPr>
      </w:pPr>
      <w:r w:rsidRPr="00610EDD">
        <w:rPr>
          <w:rFonts w:ascii="Corbel" w:eastAsia="Times New Roman" w:hAnsi="Corbel" w:cs="Calibri"/>
          <w:color w:val="000000"/>
          <w:sz w:val="23"/>
          <w:szCs w:val="23"/>
          <w:lang w:eastAsia="en-AU"/>
        </w:rPr>
        <w:t xml:space="preserve">In 2022, 43.2 per cent of Tasmanian Government school students were in the bottom </w:t>
      </w:r>
      <w:r w:rsidR="00EE507C" w:rsidRPr="00FA650D">
        <w:rPr>
          <w:rFonts w:ascii="Corbel" w:eastAsia="Times New Roman" w:hAnsi="Corbel" w:cs="Calibri"/>
          <w:color w:val="000000"/>
          <w:sz w:val="23"/>
          <w:szCs w:val="23"/>
          <w:lang w:eastAsia="en-AU"/>
        </w:rPr>
        <w:t>s</w:t>
      </w:r>
      <w:r w:rsidR="00A54FDB" w:rsidRPr="00FA650D">
        <w:rPr>
          <w:rFonts w:ascii="Corbel" w:eastAsia="Times New Roman" w:hAnsi="Corbel" w:cs="Calibri"/>
          <w:color w:val="000000"/>
          <w:sz w:val="23"/>
          <w:szCs w:val="23"/>
          <w:lang w:eastAsia="en-AU"/>
        </w:rPr>
        <w:t>ocio</w:t>
      </w:r>
      <w:r w:rsidR="00475B30">
        <w:rPr>
          <w:rFonts w:ascii="Corbel" w:eastAsia="Times New Roman" w:hAnsi="Corbel" w:cs="Calibri"/>
          <w:color w:val="000000"/>
          <w:sz w:val="23"/>
          <w:szCs w:val="23"/>
          <w:lang w:eastAsia="en-AU"/>
        </w:rPr>
        <w:noBreakHyphen/>
      </w:r>
      <w:r w:rsidR="00A54FDB" w:rsidRPr="00FA650D">
        <w:rPr>
          <w:rFonts w:ascii="Corbel" w:eastAsia="Times New Roman" w:hAnsi="Corbel" w:cs="Calibri"/>
          <w:color w:val="000000"/>
          <w:sz w:val="23"/>
          <w:szCs w:val="23"/>
          <w:lang w:eastAsia="en-AU"/>
        </w:rPr>
        <w:t>educational</w:t>
      </w:r>
      <w:r w:rsidR="00A54FDB">
        <w:rPr>
          <w:rFonts w:ascii="Corbel" w:eastAsia="Times New Roman" w:hAnsi="Corbel" w:cs="Calibri"/>
          <w:color w:val="000000"/>
          <w:sz w:val="23"/>
          <w:szCs w:val="23"/>
          <w:lang w:eastAsia="en-AU"/>
        </w:rPr>
        <w:t xml:space="preserve"> </w:t>
      </w:r>
      <w:r w:rsidR="00FA650D">
        <w:rPr>
          <w:rFonts w:ascii="Corbel" w:eastAsia="Times New Roman" w:hAnsi="Corbel" w:cs="Calibri"/>
          <w:color w:val="000000"/>
          <w:sz w:val="23"/>
          <w:szCs w:val="23"/>
          <w:lang w:eastAsia="en-AU"/>
        </w:rPr>
        <w:t>a</w:t>
      </w:r>
      <w:r w:rsidR="00A54FDB">
        <w:rPr>
          <w:rFonts w:ascii="Corbel" w:eastAsia="Times New Roman" w:hAnsi="Corbel" w:cs="Calibri"/>
          <w:color w:val="000000"/>
          <w:sz w:val="23"/>
          <w:szCs w:val="23"/>
          <w:lang w:eastAsia="en-AU"/>
        </w:rPr>
        <w:t>dvantage</w:t>
      </w:r>
      <w:r w:rsidR="00475B30">
        <w:rPr>
          <w:rFonts w:ascii="Corbel" w:eastAsia="Times New Roman" w:hAnsi="Corbel" w:cs="Calibri"/>
          <w:color w:val="000000"/>
          <w:sz w:val="23"/>
          <w:szCs w:val="23"/>
          <w:lang w:eastAsia="en-AU"/>
        </w:rPr>
        <w:t xml:space="preserve"> </w:t>
      </w:r>
      <w:r w:rsidRPr="00610EDD">
        <w:rPr>
          <w:rFonts w:ascii="Corbel" w:eastAsia="Times New Roman" w:hAnsi="Corbel" w:cs="Calibri"/>
          <w:color w:val="000000"/>
          <w:sz w:val="23"/>
          <w:szCs w:val="23"/>
          <w:lang w:eastAsia="en-AU"/>
        </w:rPr>
        <w:t>quartile for Australia, as reported in the Productivity Commission Report on Government Services.</w:t>
      </w:r>
    </w:p>
    <w:p w14:paraId="21075BE2" w14:textId="2AB324E5" w:rsidR="00957899" w:rsidRPr="001371B0" w:rsidRDefault="00957899" w:rsidP="00D91FFB">
      <w:pPr>
        <w:keepNext/>
        <w:numPr>
          <w:ilvl w:val="0"/>
          <w:numId w:val="1"/>
        </w:numPr>
        <w:spacing w:after="240" w:line="260" w:lineRule="exact"/>
        <w:ind w:left="357" w:hanging="357"/>
        <w:jc w:val="both"/>
        <w:rPr>
          <w:rFonts w:ascii="Corbel" w:eastAsia="Times New Roman" w:hAnsi="Corbel" w:cs="Calibri"/>
          <w:color w:val="000000"/>
          <w:sz w:val="23"/>
          <w:szCs w:val="23"/>
          <w:lang w:eastAsia="en-AU"/>
        </w:rPr>
      </w:pPr>
      <w:r w:rsidRPr="001371B0">
        <w:rPr>
          <w:rFonts w:ascii="Corbel" w:eastAsia="Times New Roman" w:hAnsi="Corbel" w:cs="Calibri"/>
          <w:color w:val="000000"/>
          <w:sz w:val="23"/>
          <w:szCs w:val="23"/>
          <w:lang w:eastAsia="en-AU"/>
        </w:rPr>
        <w:lastRenderedPageBreak/>
        <w:t>As of March 2024, there are approximately 58,300 students enrolled across government schools in Tasmania.</w:t>
      </w:r>
      <w:r w:rsidRPr="001371B0">
        <w:rPr>
          <w:rStyle w:val="FootnoteReference"/>
          <w:rFonts w:ascii="Corbel" w:hAnsi="Corbel" w:cs="Calibri"/>
          <w:color w:val="000000"/>
          <w:sz w:val="23"/>
          <w:szCs w:val="23"/>
        </w:rPr>
        <w:footnoteReference w:id="2"/>
      </w:r>
    </w:p>
    <w:p w14:paraId="325CB2C9" w14:textId="516057A2" w:rsidR="00957899" w:rsidRPr="004207CF" w:rsidRDefault="00957899" w:rsidP="00D91FFB">
      <w:pPr>
        <w:numPr>
          <w:ilvl w:val="1"/>
          <w:numId w:val="25"/>
        </w:numPr>
        <w:spacing w:after="240" w:line="260" w:lineRule="exact"/>
        <w:jc w:val="both"/>
        <w:rPr>
          <w:rFonts w:ascii="Corbel" w:eastAsia="Times New Roman" w:hAnsi="Corbel" w:cs="Calibri"/>
          <w:color w:val="000000"/>
          <w:sz w:val="23"/>
          <w:szCs w:val="23"/>
          <w:lang w:eastAsia="en-AU"/>
        </w:rPr>
      </w:pPr>
      <w:r w:rsidRPr="001371B0">
        <w:rPr>
          <w:rFonts w:ascii="Corbel" w:eastAsia="Times New Roman" w:hAnsi="Corbel" w:cs="Calibri"/>
          <w:color w:val="000000"/>
          <w:sz w:val="23"/>
          <w:szCs w:val="23"/>
          <w:lang w:eastAsia="en-AU"/>
        </w:rPr>
        <w:t xml:space="preserve">6.9 per cent of </w:t>
      </w:r>
      <w:r w:rsidRPr="004207CF">
        <w:rPr>
          <w:rFonts w:ascii="Corbel" w:eastAsia="Times New Roman" w:hAnsi="Corbel" w:cs="Calibri"/>
          <w:color w:val="000000"/>
          <w:sz w:val="23"/>
          <w:szCs w:val="23"/>
          <w:lang w:eastAsia="en-AU"/>
        </w:rPr>
        <w:t xml:space="preserve">students </w:t>
      </w:r>
      <w:r w:rsidR="00CD2D99">
        <w:rPr>
          <w:rFonts w:ascii="Corbel" w:eastAsia="Times New Roman" w:hAnsi="Corbel" w:cs="Calibri"/>
          <w:color w:val="000000"/>
          <w:sz w:val="23"/>
          <w:szCs w:val="23"/>
          <w:lang w:eastAsia="en-AU"/>
        </w:rPr>
        <w:t>have</w:t>
      </w:r>
      <w:r w:rsidRPr="004207CF">
        <w:rPr>
          <w:rFonts w:ascii="Corbel" w:eastAsia="Times New Roman" w:hAnsi="Corbel" w:cs="Calibri"/>
          <w:color w:val="000000"/>
          <w:sz w:val="23"/>
          <w:szCs w:val="23"/>
          <w:lang w:eastAsia="en-AU"/>
        </w:rPr>
        <w:t xml:space="preserve"> a </w:t>
      </w:r>
      <w:r w:rsidR="006F25ED" w:rsidRPr="004207CF">
        <w:rPr>
          <w:rFonts w:ascii="Corbel" w:eastAsia="Times New Roman" w:hAnsi="Corbel" w:cs="Calibri"/>
          <w:color w:val="000000"/>
          <w:sz w:val="23"/>
          <w:szCs w:val="23"/>
          <w:lang w:eastAsia="en-AU"/>
        </w:rPr>
        <w:t xml:space="preserve">language </w:t>
      </w:r>
      <w:r w:rsidRPr="004207CF">
        <w:rPr>
          <w:rFonts w:ascii="Corbel" w:eastAsia="Times New Roman" w:hAnsi="Corbel" w:cs="Calibri"/>
          <w:color w:val="000000"/>
          <w:sz w:val="23"/>
          <w:szCs w:val="23"/>
          <w:lang w:eastAsia="en-AU"/>
        </w:rPr>
        <w:t>background other than English;</w:t>
      </w:r>
    </w:p>
    <w:p w14:paraId="2943A003" w14:textId="4B12FE02" w:rsidR="00957899" w:rsidRPr="004207CF" w:rsidRDefault="00957899" w:rsidP="00D91FFB">
      <w:pPr>
        <w:numPr>
          <w:ilvl w:val="1"/>
          <w:numId w:val="25"/>
        </w:numPr>
        <w:spacing w:after="240" w:line="260" w:lineRule="exact"/>
        <w:jc w:val="both"/>
        <w:rPr>
          <w:rFonts w:ascii="Corbel" w:eastAsia="Times New Roman" w:hAnsi="Corbel" w:cs="Calibri"/>
          <w:color w:val="000000"/>
          <w:sz w:val="23"/>
          <w:szCs w:val="23"/>
          <w:lang w:eastAsia="en-AU"/>
        </w:rPr>
      </w:pPr>
      <w:r w:rsidRPr="004207CF">
        <w:rPr>
          <w:rFonts w:ascii="Corbel" w:eastAsia="Times New Roman" w:hAnsi="Corbel" w:cs="Calibri"/>
          <w:color w:val="000000"/>
          <w:sz w:val="23"/>
          <w:szCs w:val="23"/>
          <w:lang w:eastAsia="en-AU"/>
        </w:rPr>
        <w:t xml:space="preserve">13.0 per cent of students </w:t>
      </w:r>
      <w:r w:rsidR="00B70650" w:rsidRPr="004207CF">
        <w:rPr>
          <w:rFonts w:ascii="Corbel" w:eastAsia="Times New Roman" w:hAnsi="Corbel" w:cs="Calibri"/>
          <w:color w:val="000000"/>
          <w:sz w:val="23"/>
          <w:szCs w:val="23"/>
          <w:lang w:eastAsia="en-AU"/>
        </w:rPr>
        <w:t>identify as</w:t>
      </w:r>
      <w:r w:rsidRPr="004207CF">
        <w:rPr>
          <w:rFonts w:ascii="Corbel" w:eastAsia="Times New Roman" w:hAnsi="Corbel" w:cs="Calibri"/>
          <w:color w:val="000000"/>
          <w:sz w:val="23"/>
          <w:szCs w:val="23"/>
          <w:lang w:eastAsia="en-AU"/>
        </w:rPr>
        <w:t xml:space="preserve"> First Nations;</w:t>
      </w:r>
    </w:p>
    <w:p w14:paraId="225E6883" w14:textId="77777777" w:rsidR="00957899" w:rsidRPr="001371B0" w:rsidRDefault="00957899" w:rsidP="00D91FFB">
      <w:pPr>
        <w:numPr>
          <w:ilvl w:val="1"/>
          <w:numId w:val="25"/>
        </w:numPr>
        <w:spacing w:after="240" w:line="260" w:lineRule="exact"/>
        <w:jc w:val="both"/>
        <w:rPr>
          <w:rFonts w:ascii="Corbel" w:eastAsia="Times New Roman" w:hAnsi="Corbel" w:cs="Calibri"/>
          <w:color w:val="000000"/>
          <w:sz w:val="23"/>
          <w:szCs w:val="23"/>
          <w:lang w:eastAsia="en-AU"/>
        </w:rPr>
      </w:pPr>
      <w:r w:rsidRPr="001371B0">
        <w:rPr>
          <w:rFonts w:ascii="Corbel" w:eastAsia="Times New Roman" w:hAnsi="Corbel" w:cs="Calibri"/>
          <w:color w:val="000000"/>
          <w:sz w:val="23"/>
          <w:szCs w:val="23"/>
          <w:lang w:eastAsia="en-AU"/>
        </w:rPr>
        <w:t>15.6 per cent of students are living with disability.</w:t>
      </w:r>
    </w:p>
    <w:p w14:paraId="1ADC1FC4" w14:textId="77777777" w:rsidR="00957899" w:rsidRPr="001371B0" w:rsidRDefault="00957899" w:rsidP="00D91FFB">
      <w:pPr>
        <w:numPr>
          <w:ilvl w:val="0"/>
          <w:numId w:val="1"/>
        </w:numPr>
        <w:spacing w:after="240" w:line="260" w:lineRule="exact"/>
        <w:ind w:left="357" w:hanging="357"/>
        <w:jc w:val="both"/>
        <w:rPr>
          <w:rFonts w:ascii="Corbel" w:hAnsi="Corbel"/>
          <w:sz w:val="23"/>
          <w:szCs w:val="23"/>
        </w:rPr>
      </w:pPr>
      <w:r w:rsidRPr="001371B0">
        <w:rPr>
          <w:rFonts w:ascii="Corbel" w:hAnsi="Corbel"/>
          <w:sz w:val="23"/>
          <w:szCs w:val="23"/>
        </w:rPr>
        <w:t>The delivery of education and outcomes for every learner in Tasmanian Government schools is provided by approximately 5,196 quality, passionate teachers and 529 school leaders.</w:t>
      </w:r>
    </w:p>
    <w:p w14:paraId="74B2D048" w14:textId="5E59E7F4" w:rsidR="00957899" w:rsidRPr="00D93C27" w:rsidRDefault="00957899" w:rsidP="00F10938">
      <w:pPr>
        <w:numPr>
          <w:ilvl w:val="0"/>
          <w:numId w:val="1"/>
        </w:numPr>
        <w:spacing w:after="240" w:line="260" w:lineRule="exact"/>
        <w:ind w:left="357" w:hanging="357"/>
        <w:jc w:val="both"/>
        <w:rPr>
          <w:rFonts w:ascii="Corbel" w:hAnsi="Corbel"/>
          <w:sz w:val="23"/>
          <w:szCs w:val="23"/>
        </w:rPr>
      </w:pPr>
      <w:r>
        <w:rPr>
          <w:rFonts w:ascii="Corbel" w:hAnsi="Corbel"/>
          <w:sz w:val="23"/>
          <w:szCs w:val="23"/>
        </w:rPr>
        <w:t>T</w:t>
      </w:r>
      <w:r w:rsidRPr="00BC43B3">
        <w:rPr>
          <w:rFonts w:ascii="Corbel" w:hAnsi="Corbel"/>
          <w:sz w:val="23"/>
          <w:szCs w:val="23"/>
        </w:rPr>
        <w:t xml:space="preserve">he </w:t>
      </w:r>
      <w:r>
        <w:rPr>
          <w:rFonts w:ascii="Corbel" w:hAnsi="Corbel"/>
          <w:sz w:val="23"/>
          <w:szCs w:val="23"/>
        </w:rPr>
        <w:t xml:space="preserve">Tasmanian Department </w:t>
      </w:r>
      <w:r w:rsidR="002619FF">
        <w:rPr>
          <w:rFonts w:ascii="Corbel" w:hAnsi="Corbel"/>
          <w:sz w:val="23"/>
          <w:szCs w:val="23"/>
        </w:rPr>
        <w:t>for</w:t>
      </w:r>
      <w:r>
        <w:rPr>
          <w:rFonts w:ascii="Corbel" w:hAnsi="Corbel"/>
          <w:sz w:val="23"/>
          <w:szCs w:val="23"/>
        </w:rPr>
        <w:t xml:space="preserve"> Education, Children and Young People’s (DECYP) </w:t>
      </w:r>
      <w:r w:rsidRPr="00BC43B3">
        <w:rPr>
          <w:rFonts w:ascii="Corbel" w:hAnsi="Corbel"/>
          <w:sz w:val="23"/>
          <w:szCs w:val="23"/>
        </w:rPr>
        <w:t>20</w:t>
      </w:r>
      <w:r>
        <w:rPr>
          <w:rFonts w:ascii="Corbel" w:hAnsi="Corbel"/>
          <w:sz w:val="23"/>
          <w:szCs w:val="23"/>
        </w:rPr>
        <w:t>24</w:t>
      </w:r>
      <w:r w:rsidRPr="00BC43B3">
        <w:rPr>
          <w:rFonts w:ascii="Corbel" w:hAnsi="Corbel"/>
          <w:sz w:val="23"/>
          <w:szCs w:val="23"/>
        </w:rPr>
        <w:t>-20</w:t>
      </w:r>
      <w:r>
        <w:rPr>
          <w:rFonts w:ascii="Corbel" w:hAnsi="Corbel"/>
          <w:sz w:val="23"/>
          <w:szCs w:val="23"/>
        </w:rPr>
        <w:t>30</w:t>
      </w:r>
      <w:r w:rsidRPr="00BC43B3">
        <w:rPr>
          <w:rFonts w:ascii="Corbel" w:hAnsi="Corbel"/>
          <w:sz w:val="23"/>
          <w:szCs w:val="23"/>
        </w:rPr>
        <w:t xml:space="preserve"> Strategic Plan </w:t>
      </w:r>
      <w:r>
        <w:rPr>
          <w:rFonts w:ascii="Corbel" w:hAnsi="Corbel"/>
          <w:i/>
          <w:sz w:val="23"/>
          <w:szCs w:val="23"/>
        </w:rPr>
        <w:t>Bright Lives. Positive Futures</w:t>
      </w:r>
      <w:r w:rsidRPr="00BC43B3">
        <w:rPr>
          <w:rFonts w:ascii="Corbel" w:hAnsi="Corbel"/>
          <w:i/>
          <w:sz w:val="23"/>
          <w:szCs w:val="23"/>
        </w:rPr>
        <w:t xml:space="preserve"> </w:t>
      </w:r>
      <w:r w:rsidRPr="00BC43B3">
        <w:rPr>
          <w:rFonts w:ascii="Corbel" w:hAnsi="Corbel"/>
          <w:sz w:val="23"/>
          <w:szCs w:val="23"/>
        </w:rPr>
        <w:t xml:space="preserve">supports a culture of continuous improvement </w:t>
      </w:r>
      <w:r>
        <w:rPr>
          <w:rFonts w:ascii="Corbel" w:hAnsi="Corbel"/>
          <w:sz w:val="23"/>
          <w:szCs w:val="23"/>
        </w:rPr>
        <w:t xml:space="preserve">informed by inquiry and evidence, </w:t>
      </w:r>
      <w:r w:rsidRPr="00BC43B3">
        <w:rPr>
          <w:rFonts w:ascii="Corbel" w:hAnsi="Corbel"/>
          <w:sz w:val="23"/>
          <w:szCs w:val="23"/>
        </w:rPr>
        <w:t xml:space="preserve">through a shared commitment to our </w:t>
      </w:r>
      <w:r>
        <w:rPr>
          <w:rFonts w:ascii="Corbel" w:hAnsi="Corbel"/>
          <w:sz w:val="23"/>
          <w:szCs w:val="23"/>
        </w:rPr>
        <w:t>children and young people, including recognising the right to an education, to be safe from harm, and to have their voices heard in decisions that affect them</w:t>
      </w:r>
      <w:r w:rsidR="00B53D2B" w:rsidRPr="00CD2D99">
        <w:rPr>
          <w:rFonts w:ascii="Corbel" w:hAnsi="Corbel"/>
          <w:sz w:val="23"/>
          <w:szCs w:val="23"/>
        </w:rPr>
        <w:t>:</w:t>
      </w:r>
      <w:r w:rsidR="00D93C27" w:rsidRPr="00CD2D99">
        <w:rPr>
          <w:rFonts w:ascii="Corbel" w:hAnsi="Corbel"/>
          <w:sz w:val="23"/>
          <w:szCs w:val="23"/>
        </w:rPr>
        <w:t xml:space="preserve"> </w:t>
      </w:r>
      <w:hyperlink r:id="rId11">
        <w:r w:rsidRPr="59105A76">
          <w:rPr>
            <w:rStyle w:val="Hyperlink"/>
            <w:rFonts w:ascii="Corbel" w:hAnsi="Corbel"/>
          </w:rPr>
          <w:t>Our Strategic Plan - Department for Education, Children and Young People (decyp.tas.gov.au)</w:t>
        </w:r>
      </w:hyperlink>
      <w:r w:rsidRPr="00CD2D99">
        <w:rPr>
          <w:rFonts w:ascii="Corbel" w:hAnsi="Corbel"/>
          <w:sz w:val="23"/>
          <w:szCs w:val="23"/>
        </w:rPr>
        <w:t>.</w:t>
      </w:r>
    </w:p>
    <w:p w14:paraId="0AED5C3C" w14:textId="359B3D88" w:rsidR="00957899" w:rsidRDefault="00957899" w:rsidP="00957899">
      <w:pPr>
        <w:numPr>
          <w:ilvl w:val="0"/>
          <w:numId w:val="1"/>
        </w:numPr>
        <w:spacing w:after="240" w:line="260" w:lineRule="exact"/>
        <w:ind w:left="36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The Tasmanian Government is pursuing an innovative, evidence-led reform agenda </w:t>
      </w:r>
      <w:r w:rsidRPr="00BC43B3">
        <w:rPr>
          <w:rFonts w:ascii="Corbel" w:eastAsia="Times New Roman" w:hAnsi="Corbel" w:cs="Calibri"/>
          <w:color w:val="000000"/>
          <w:sz w:val="23"/>
          <w:szCs w:val="23"/>
          <w:lang w:eastAsia="en-AU"/>
        </w:rPr>
        <w:t xml:space="preserve">to </w:t>
      </w:r>
      <w:r>
        <w:rPr>
          <w:rFonts w:ascii="Corbel" w:eastAsia="Times New Roman" w:hAnsi="Corbel" w:cs="Calibri"/>
          <w:color w:val="000000"/>
          <w:sz w:val="23"/>
          <w:szCs w:val="23"/>
          <w:lang w:eastAsia="en-AU"/>
        </w:rPr>
        <w:t>lift</w:t>
      </w:r>
      <w:r w:rsidRPr="00BC43B3">
        <w:rPr>
          <w:rFonts w:ascii="Corbel" w:eastAsia="Times New Roman" w:hAnsi="Corbel" w:cs="Calibri"/>
          <w:color w:val="000000"/>
          <w:sz w:val="23"/>
          <w:szCs w:val="23"/>
          <w:lang w:eastAsia="en-AU"/>
        </w:rPr>
        <w:t xml:space="preserve"> education outcomes for all Tasmanian </w:t>
      </w:r>
      <w:r>
        <w:rPr>
          <w:rFonts w:ascii="Corbel" w:eastAsia="Times New Roman" w:hAnsi="Corbel" w:cs="Calibri"/>
          <w:color w:val="000000"/>
          <w:sz w:val="23"/>
          <w:szCs w:val="23"/>
          <w:lang w:eastAsia="en-AU"/>
        </w:rPr>
        <w:t>children and young people</w:t>
      </w:r>
      <w:r w:rsidRPr="00BC43B3">
        <w:rPr>
          <w:rFonts w:ascii="Corbel" w:eastAsia="Times New Roman" w:hAnsi="Corbel" w:cs="Calibri"/>
          <w:color w:val="000000"/>
          <w:sz w:val="23"/>
          <w:szCs w:val="23"/>
          <w:lang w:eastAsia="en-AU"/>
        </w:rPr>
        <w:t xml:space="preserve"> </w:t>
      </w:r>
      <w:r>
        <w:rPr>
          <w:rFonts w:ascii="Corbel" w:eastAsia="Times New Roman" w:hAnsi="Corbel" w:cs="Calibri"/>
          <w:color w:val="000000"/>
          <w:sz w:val="23"/>
          <w:szCs w:val="23"/>
          <w:lang w:eastAsia="en-AU"/>
        </w:rPr>
        <w:t xml:space="preserve">in government schools </w:t>
      </w:r>
      <w:r w:rsidRPr="00BC43B3">
        <w:rPr>
          <w:rFonts w:ascii="Corbel" w:eastAsia="Times New Roman" w:hAnsi="Corbel" w:cs="Calibri"/>
          <w:color w:val="000000"/>
          <w:sz w:val="23"/>
          <w:szCs w:val="23"/>
          <w:lang w:eastAsia="en-AU"/>
        </w:rPr>
        <w:t>and in doing so, realise</w:t>
      </w:r>
      <w:r>
        <w:rPr>
          <w:rFonts w:ascii="Corbel" w:eastAsia="Times New Roman" w:hAnsi="Corbel" w:cs="Calibri"/>
          <w:color w:val="000000"/>
          <w:sz w:val="23"/>
          <w:szCs w:val="23"/>
          <w:lang w:eastAsia="en-AU"/>
        </w:rPr>
        <w:t xml:space="preserve"> the</w:t>
      </w:r>
      <w:r w:rsidRPr="00BC43B3">
        <w:rPr>
          <w:rFonts w:ascii="Corbel" w:eastAsia="Times New Roman" w:hAnsi="Corbel" w:cs="Calibri"/>
          <w:color w:val="000000"/>
          <w:sz w:val="23"/>
          <w:szCs w:val="23"/>
          <w:lang w:eastAsia="en-AU"/>
        </w:rPr>
        <w:t xml:space="preserve"> significant social and economic benefits for </w:t>
      </w:r>
      <w:r>
        <w:rPr>
          <w:rFonts w:ascii="Corbel" w:eastAsia="Times New Roman" w:hAnsi="Corbel" w:cs="Calibri"/>
          <w:color w:val="000000"/>
          <w:sz w:val="23"/>
          <w:szCs w:val="23"/>
          <w:lang w:eastAsia="en-AU"/>
        </w:rPr>
        <w:t>individuals and the</w:t>
      </w:r>
      <w:r w:rsidRPr="00BC43B3">
        <w:rPr>
          <w:rFonts w:ascii="Corbel" w:eastAsia="Times New Roman" w:hAnsi="Corbel" w:cs="Calibri"/>
          <w:color w:val="000000"/>
          <w:sz w:val="23"/>
          <w:szCs w:val="23"/>
          <w:lang w:eastAsia="en-AU"/>
        </w:rPr>
        <w:t xml:space="preserve"> Tasmanian</w:t>
      </w:r>
      <w:r>
        <w:rPr>
          <w:rFonts w:ascii="Corbel" w:eastAsia="Times New Roman" w:hAnsi="Corbel" w:cs="Calibri"/>
          <w:color w:val="000000"/>
          <w:sz w:val="23"/>
          <w:szCs w:val="23"/>
          <w:lang w:eastAsia="en-AU"/>
        </w:rPr>
        <w:t xml:space="preserve"> community</w:t>
      </w:r>
      <w:r w:rsidRPr="00BC43B3">
        <w:rPr>
          <w:rFonts w:ascii="Corbel" w:eastAsia="Times New Roman" w:hAnsi="Corbel" w:cs="Calibri"/>
          <w:color w:val="000000"/>
          <w:sz w:val="23"/>
          <w:szCs w:val="23"/>
          <w:lang w:eastAsia="en-AU"/>
        </w:rPr>
        <w:t>.</w:t>
      </w:r>
    </w:p>
    <w:p w14:paraId="4EF829DC" w14:textId="77777777" w:rsidR="00957899" w:rsidRDefault="00957899" w:rsidP="00957899">
      <w:pPr>
        <w:numPr>
          <w:ilvl w:val="0"/>
          <w:numId w:val="1"/>
        </w:numPr>
        <w:spacing w:after="240" w:line="260" w:lineRule="exact"/>
        <w:ind w:left="36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In 2024, the Tasmanian Government commissioned a review into education in Tasmania to determine where effort should be directed to ensure all Tasmanian children and young people have the bright lives and positive futures they deserve.</w:t>
      </w:r>
    </w:p>
    <w:p w14:paraId="216AC261" w14:textId="77777777" w:rsidR="00957899" w:rsidRDefault="00957899" w:rsidP="00957899">
      <w:pPr>
        <w:numPr>
          <w:ilvl w:val="0"/>
          <w:numId w:val="1"/>
        </w:numPr>
        <w:spacing w:after="240" w:line="260" w:lineRule="exact"/>
        <w:ind w:left="36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review considers the Tasmanian demographic profile, socio-economic characteristics, and the relationship between all levels of education. The intent of the review is to improve Tasmania’s education system, and the outcomes delivered through it over the next decade.</w:t>
      </w:r>
    </w:p>
    <w:p w14:paraId="17AFB478" w14:textId="77777777" w:rsidR="00957899" w:rsidRDefault="00957899" w:rsidP="00957899">
      <w:pPr>
        <w:numPr>
          <w:ilvl w:val="0"/>
          <w:numId w:val="1"/>
        </w:numPr>
        <w:spacing w:after="240" w:line="260" w:lineRule="exact"/>
        <w:ind w:left="36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Improving literacy outcomes for Tasmanians is a whole-of-community issue that has a direct impact on individuals’ success in life, health and wellbeing as well as being crucial to economic growth and productivity.</w:t>
      </w:r>
    </w:p>
    <w:p w14:paraId="4AAB2008" w14:textId="77777777" w:rsidR="00957899" w:rsidRDefault="00957899" w:rsidP="00957899">
      <w:pPr>
        <w:numPr>
          <w:ilvl w:val="0"/>
          <w:numId w:val="1"/>
        </w:numPr>
        <w:spacing w:after="240" w:line="260" w:lineRule="exact"/>
        <w:ind w:left="36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The Tasmanian Government commissioned a panel of experts to provide advice and has committed to implementing recommendations of the panel’s </w:t>
      </w:r>
      <w:r>
        <w:rPr>
          <w:rFonts w:ascii="Corbel" w:eastAsia="Times New Roman" w:hAnsi="Corbel" w:cs="Calibri"/>
          <w:i/>
          <w:iCs/>
          <w:color w:val="000000"/>
          <w:sz w:val="23"/>
          <w:szCs w:val="23"/>
          <w:lang w:eastAsia="en-AU"/>
        </w:rPr>
        <w:t>Lifting Literacy</w:t>
      </w:r>
      <w:r>
        <w:rPr>
          <w:rFonts w:ascii="Corbel" w:eastAsia="Times New Roman" w:hAnsi="Corbel" w:cs="Calibri"/>
          <w:color w:val="000000"/>
          <w:sz w:val="23"/>
          <w:szCs w:val="23"/>
          <w:lang w:eastAsia="en-AU"/>
        </w:rPr>
        <w:t xml:space="preserve"> report and Community-wide Framework to achieve the aspirational goal of 100 per cent functional literacy in Tasmania.</w:t>
      </w:r>
    </w:p>
    <w:p w14:paraId="21F8B4D7" w14:textId="77777777" w:rsidR="00957899" w:rsidRDefault="00957899" w:rsidP="00957899">
      <w:pPr>
        <w:numPr>
          <w:ilvl w:val="0"/>
          <w:numId w:val="1"/>
        </w:numPr>
        <w:spacing w:after="240" w:line="260" w:lineRule="exact"/>
        <w:ind w:left="36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As part of its </w:t>
      </w:r>
      <w:r>
        <w:rPr>
          <w:rFonts w:ascii="Corbel" w:eastAsia="Times New Roman" w:hAnsi="Corbel" w:cs="Calibri"/>
          <w:i/>
          <w:iCs/>
          <w:color w:val="000000"/>
          <w:sz w:val="23"/>
          <w:szCs w:val="23"/>
          <w:lang w:eastAsia="en-AU"/>
        </w:rPr>
        <w:t>Lifting Literacy</w:t>
      </w:r>
      <w:r>
        <w:rPr>
          <w:rFonts w:ascii="Corbel" w:eastAsia="Times New Roman" w:hAnsi="Corbel" w:cs="Calibri"/>
          <w:color w:val="000000"/>
          <w:sz w:val="23"/>
          <w:szCs w:val="23"/>
          <w:lang w:eastAsia="en-AU"/>
        </w:rPr>
        <w:t xml:space="preserve"> reforms, the Tasmanian Government has commenced implementing a minimum schooling guarantee to ensure that wherever a child attends school, they will receive a consistent, evidence-based approach to literacy instruction. Tasmania was the first jurisdiction in Australia to require that all education sectors undertake evidence-based literacy instruction aligned to the science of reading.</w:t>
      </w:r>
    </w:p>
    <w:p w14:paraId="5D3E5F17" w14:textId="77777777" w:rsidR="00957899" w:rsidRDefault="00957899" w:rsidP="00957899">
      <w:pPr>
        <w:numPr>
          <w:ilvl w:val="0"/>
          <w:numId w:val="1"/>
        </w:numPr>
        <w:spacing w:after="240" w:line="260" w:lineRule="exact"/>
        <w:ind w:left="36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The Tasmanian Government’s </w:t>
      </w:r>
      <w:r>
        <w:rPr>
          <w:rFonts w:ascii="Corbel" w:eastAsia="Times New Roman" w:hAnsi="Corbel" w:cs="Calibri"/>
          <w:i/>
          <w:iCs/>
          <w:color w:val="000000"/>
          <w:sz w:val="23"/>
          <w:szCs w:val="23"/>
          <w:lang w:eastAsia="en-AU"/>
        </w:rPr>
        <w:t>Lifting Literacy</w:t>
      </w:r>
      <w:r>
        <w:rPr>
          <w:rFonts w:ascii="Corbel" w:eastAsia="Times New Roman" w:hAnsi="Corbel" w:cs="Calibri"/>
          <w:color w:val="000000"/>
          <w:sz w:val="23"/>
          <w:szCs w:val="23"/>
          <w:lang w:eastAsia="en-AU"/>
        </w:rPr>
        <w:t xml:space="preserve"> reforms will directly support the education outcomes sought through this Agreement.</w:t>
      </w:r>
    </w:p>
    <w:p w14:paraId="3CD2DE08" w14:textId="77777777" w:rsidR="00957899" w:rsidRPr="00211343" w:rsidRDefault="00957899" w:rsidP="00957899">
      <w:pPr>
        <w:numPr>
          <w:ilvl w:val="0"/>
          <w:numId w:val="1"/>
        </w:numPr>
        <w:spacing w:after="240" w:line="260" w:lineRule="exact"/>
        <w:ind w:left="360"/>
        <w:jc w:val="both"/>
        <w:rPr>
          <w:rFonts w:ascii="Corbel" w:eastAsia="Times New Roman" w:hAnsi="Corbel" w:cs="Calibri"/>
          <w:color w:val="000000"/>
          <w:sz w:val="23"/>
          <w:szCs w:val="23"/>
          <w:lang w:eastAsia="en-AU"/>
        </w:rPr>
      </w:pPr>
      <w:r w:rsidRPr="00211343">
        <w:rPr>
          <w:rFonts w:ascii="Corbel" w:eastAsia="Times New Roman" w:hAnsi="Corbel" w:cs="Calibri"/>
          <w:color w:val="000000"/>
          <w:sz w:val="23"/>
          <w:szCs w:val="23"/>
          <w:lang w:eastAsia="en-AU"/>
        </w:rPr>
        <w:lastRenderedPageBreak/>
        <w:t xml:space="preserve">Tasmanians typically experience lower levels of digital literacy and digital inclusion compared to mainland counterparts. As essential services and information sources are </w:t>
      </w:r>
      <w:r>
        <w:rPr>
          <w:rFonts w:ascii="Corbel" w:eastAsia="Times New Roman" w:hAnsi="Corbel" w:cs="Calibri"/>
          <w:color w:val="000000"/>
          <w:sz w:val="23"/>
          <w:szCs w:val="23"/>
          <w:lang w:eastAsia="en-AU"/>
        </w:rPr>
        <w:t xml:space="preserve">increasingly </w:t>
      </w:r>
      <w:r w:rsidRPr="00211343">
        <w:rPr>
          <w:rFonts w:ascii="Corbel" w:eastAsia="Times New Roman" w:hAnsi="Corbel" w:cs="Calibri"/>
          <w:color w:val="000000"/>
          <w:sz w:val="23"/>
          <w:szCs w:val="23"/>
          <w:lang w:eastAsia="en-AU"/>
        </w:rPr>
        <w:t>delivered online, the Tasmanian Government is working collaboratively across government, industry, and the community to develop targeted initiatives for lifelong learning and digital inclusion.</w:t>
      </w:r>
    </w:p>
    <w:p w14:paraId="009CA93C" w14:textId="38AB03A4" w:rsidR="00957899" w:rsidRPr="001A51FC" w:rsidRDefault="00957899" w:rsidP="00957899">
      <w:pPr>
        <w:numPr>
          <w:ilvl w:val="0"/>
          <w:numId w:val="1"/>
        </w:numPr>
        <w:spacing w:after="240" w:line="260" w:lineRule="exact"/>
        <w:ind w:left="360"/>
        <w:jc w:val="both"/>
        <w:rPr>
          <w:rFonts w:ascii="Corbel" w:eastAsia="Times New Roman" w:hAnsi="Corbel" w:cs="Calibri"/>
          <w:color w:val="000000"/>
          <w:sz w:val="23"/>
          <w:szCs w:val="23"/>
          <w:lang w:eastAsia="en-AU"/>
        </w:rPr>
      </w:pPr>
      <w:r w:rsidRPr="00211343">
        <w:rPr>
          <w:rFonts w:ascii="Corbel" w:eastAsia="Times New Roman" w:hAnsi="Corbel" w:cs="Calibri"/>
          <w:color w:val="000000"/>
          <w:sz w:val="23"/>
          <w:szCs w:val="23"/>
          <w:lang w:eastAsia="en-AU"/>
        </w:rPr>
        <w:t xml:space="preserve">The COVID-19 pandemic highlighted that access to online learning may not be available to all families, and this became a focus for Tasmanian Government schools. DECYP’s </w:t>
      </w:r>
      <w:r w:rsidRPr="00211343">
        <w:rPr>
          <w:rFonts w:ascii="Corbel" w:eastAsia="Times New Roman" w:hAnsi="Corbel" w:cs="Calibri"/>
          <w:i/>
          <w:iCs/>
          <w:color w:val="000000"/>
          <w:sz w:val="23"/>
          <w:szCs w:val="23"/>
          <w:lang w:eastAsia="en-AU"/>
        </w:rPr>
        <w:t>Digital Inclusion for 21</w:t>
      </w:r>
      <w:r w:rsidRPr="00211343">
        <w:rPr>
          <w:rFonts w:ascii="Corbel" w:eastAsia="Times New Roman" w:hAnsi="Corbel" w:cs="Calibri"/>
          <w:i/>
          <w:iCs/>
          <w:color w:val="000000"/>
          <w:sz w:val="23"/>
          <w:szCs w:val="23"/>
          <w:vertAlign w:val="superscript"/>
          <w:lang w:eastAsia="en-AU"/>
        </w:rPr>
        <w:t>st</w:t>
      </w:r>
      <w:r w:rsidRPr="00211343">
        <w:rPr>
          <w:rFonts w:ascii="Corbel" w:eastAsia="Times New Roman" w:hAnsi="Corbel" w:cs="Calibri"/>
          <w:i/>
          <w:iCs/>
          <w:color w:val="000000"/>
          <w:sz w:val="23"/>
          <w:szCs w:val="23"/>
          <w:lang w:eastAsia="en-AU"/>
        </w:rPr>
        <w:t xml:space="preserve"> Century Learners </w:t>
      </w:r>
      <w:r w:rsidRPr="00211343">
        <w:rPr>
          <w:rFonts w:ascii="Corbel" w:eastAsia="Times New Roman" w:hAnsi="Corbel" w:cs="Calibri"/>
          <w:color w:val="000000"/>
          <w:sz w:val="23"/>
          <w:szCs w:val="23"/>
          <w:lang w:eastAsia="en-AU"/>
        </w:rPr>
        <w:t>framework sets clear goals to reduce the digital divide in Tasmania and ensuring every student is connected and engaged in learning</w:t>
      </w:r>
      <w:r w:rsidR="007C0C44">
        <w:rPr>
          <w:rFonts w:ascii="Corbel" w:eastAsia="Times New Roman" w:hAnsi="Corbel" w:cs="Calibri"/>
          <w:color w:val="000000"/>
          <w:sz w:val="23"/>
          <w:szCs w:val="23"/>
          <w:lang w:eastAsia="en-AU"/>
        </w:rPr>
        <w:t xml:space="preserve">. To this end, DECYP is producing a Blueprint for the Future of Virtual Learning Services, which will ensure young people have more flexibility and choice in accessing learning regardless of physical </w:t>
      </w:r>
      <w:r w:rsidR="00AA1E4B">
        <w:rPr>
          <w:rFonts w:ascii="Corbel" w:eastAsia="Times New Roman" w:hAnsi="Corbel" w:cs="Calibri"/>
          <w:color w:val="000000"/>
          <w:sz w:val="23"/>
          <w:szCs w:val="23"/>
          <w:lang w:eastAsia="en-AU"/>
        </w:rPr>
        <w:t>location</w:t>
      </w:r>
      <w:r w:rsidR="007C0C44">
        <w:rPr>
          <w:rFonts w:ascii="Corbel" w:eastAsia="Times New Roman" w:hAnsi="Corbel" w:cs="Calibri"/>
          <w:color w:val="000000"/>
          <w:sz w:val="23"/>
          <w:szCs w:val="23"/>
          <w:lang w:eastAsia="en-AU"/>
        </w:rPr>
        <w:t>.</w:t>
      </w:r>
    </w:p>
    <w:p w14:paraId="15150B7C" w14:textId="77777777" w:rsidR="00957899" w:rsidRDefault="00957899" w:rsidP="00957899">
      <w:pPr>
        <w:numPr>
          <w:ilvl w:val="0"/>
          <w:numId w:val="1"/>
        </w:numPr>
        <w:spacing w:after="240" w:line="260" w:lineRule="exact"/>
        <w:ind w:left="36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To address the many</w:t>
      </w:r>
      <w:r w:rsidRPr="00556015">
        <w:rPr>
          <w:rFonts w:ascii="Corbel" w:eastAsia="Times New Roman" w:hAnsi="Corbel" w:cs="Calibri"/>
          <w:color w:val="000000"/>
          <w:sz w:val="23"/>
          <w:szCs w:val="23"/>
          <w:lang w:eastAsia="en-AU"/>
        </w:rPr>
        <w:t xml:space="preserve"> challenges</w:t>
      </w:r>
      <w:r>
        <w:rPr>
          <w:rFonts w:ascii="Corbel" w:eastAsia="Times New Roman" w:hAnsi="Corbel" w:cs="Calibri"/>
          <w:color w:val="000000"/>
          <w:sz w:val="23"/>
          <w:szCs w:val="23"/>
          <w:lang w:eastAsia="en-AU"/>
        </w:rPr>
        <w:t xml:space="preserve"> described above</w:t>
      </w:r>
      <w:r w:rsidRPr="00556015">
        <w:rPr>
          <w:rFonts w:ascii="Corbel" w:eastAsia="Times New Roman" w:hAnsi="Corbel" w:cs="Calibri"/>
          <w:color w:val="000000"/>
          <w:sz w:val="23"/>
          <w:szCs w:val="23"/>
          <w:lang w:eastAsia="en-AU"/>
        </w:rPr>
        <w:t>, the strategic focus for education</w:t>
      </w:r>
      <w:r>
        <w:rPr>
          <w:rFonts w:ascii="Corbel" w:eastAsia="Times New Roman" w:hAnsi="Corbel" w:cs="Calibri"/>
          <w:color w:val="000000"/>
          <w:sz w:val="23"/>
          <w:szCs w:val="23"/>
          <w:lang w:eastAsia="en-AU"/>
        </w:rPr>
        <w:t xml:space="preserve"> in Tasmania</w:t>
      </w:r>
      <w:r w:rsidRPr="00556015">
        <w:rPr>
          <w:rFonts w:ascii="Corbel" w:eastAsia="Times New Roman" w:hAnsi="Corbel" w:cs="Calibri"/>
          <w:color w:val="000000"/>
          <w:sz w:val="23"/>
          <w:szCs w:val="23"/>
          <w:lang w:eastAsia="en-AU"/>
        </w:rPr>
        <w:t xml:space="preserve"> is to </w:t>
      </w:r>
      <w:r>
        <w:rPr>
          <w:rFonts w:ascii="Corbel" w:eastAsia="Times New Roman" w:hAnsi="Corbel" w:cs="Calibri"/>
          <w:color w:val="000000"/>
          <w:sz w:val="23"/>
          <w:szCs w:val="23"/>
          <w:lang w:eastAsia="en-AU"/>
        </w:rPr>
        <w:t xml:space="preserve">make the necessary reforms to </w:t>
      </w:r>
      <w:r w:rsidRPr="00556015">
        <w:rPr>
          <w:rFonts w:ascii="Corbel" w:eastAsia="Times New Roman" w:hAnsi="Corbel" w:cs="Calibri"/>
          <w:color w:val="000000"/>
          <w:sz w:val="23"/>
          <w:szCs w:val="23"/>
          <w:lang w:eastAsia="en-AU"/>
        </w:rPr>
        <w:t>improve the participation, retention</w:t>
      </w:r>
      <w:r>
        <w:rPr>
          <w:rFonts w:ascii="Corbel" w:eastAsia="Times New Roman" w:hAnsi="Corbel" w:cs="Calibri"/>
          <w:color w:val="000000"/>
          <w:sz w:val="23"/>
          <w:szCs w:val="23"/>
          <w:lang w:eastAsia="en-AU"/>
        </w:rPr>
        <w:t>,</w:t>
      </w:r>
      <w:r w:rsidRPr="00556015">
        <w:rPr>
          <w:rFonts w:ascii="Corbel" w:eastAsia="Times New Roman" w:hAnsi="Corbel" w:cs="Calibri"/>
          <w:color w:val="000000"/>
          <w:sz w:val="23"/>
          <w:szCs w:val="23"/>
          <w:lang w:eastAsia="en-AU"/>
        </w:rPr>
        <w:t xml:space="preserve"> engagement,</w:t>
      </w:r>
      <w:r>
        <w:rPr>
          <w:rFonts w:ascii="Corbel" w:eastAsia="Times New Roman" w:hAnsi="Corbel" w:cs="Calibri"/>
          <w:color w:val="000000"/>
          <w:sz w:val="23"/>
          <w:szCs w:val="23"/>
          <w:lang w:eastAsia="en-AU"/>
        </w:rPr>
        <w:t xml:space="preserve"> and attainment</w:t>
      </w:r>
      <w:r w:rsidRPr="00556015">
        <w:rPr>
          <w:rFonts w:ascii="Corbel" w:eastAsia="Times New Roman" w:hAnsi="Corbel" w:cs="Calibri"/>
          <w:color w:val="000000"/>
          <w:sz w:val="23"/>
          <w:szCs w:val="23"/>
          <w:lang w:eastAsia="en-AU"/>
        </w:rPr>
        <w:t xml:space="preserve"> of all young Tasmanians</w:t>
      </w:r>
      <w:r>
        <w:rPr>
          <w:rFonts w:ascii="Corbel" w:eastAsia="Times New Roman" w:hAnsi="Corbel" w:cs="Calibri"/>
          <w:color w:val="000000"/>
          <w:sz w:val="23"/>
          <w:szCs w:val="23"/>
          <w:lang w:eastAsia="en-AU"/>
        </w:rPr>
        <w:t xml:space="preserve"> and set them up for success.</w:t>
      </w:r>
    </w:p>
    <w:p w14:paraId="63665FB9" w14:textId="66B52425" w:rsidR="00957899" w:rsidRDefault="00957899" w:rsidP="00957899">
      <w:pPr>
        <w:numPr>
          <w:ilvl w:val="0"/>
          <w:numId w:val="1"/>
        </w:numPr>
        <w:spacing w:after="240" w:line="260" w:lineRule="exact"/>
        <w:ind w:left="360"/>
        <w:jc w:val="both"/>
        <w:rPr>
          <w:rFonts w:ascii="Corbel" w:eastAsia="Times New Roman" w:hAnsi="Corbel" w:cs="Calibri"/>
          <w:color w:val="000000"/>
          <w:sz w:val="23"/>
          <w:szCs w:val="23"/>
          <w:lang w:eastAsia="en-AU"/>
        </w:rPr>
      </w:pPr>
      <w:r w:rsidRPr="00900AB2">
        <w:rPr>
          <w:rFonts w:ascii="Corbel" w:eastAsia="Times New Roman" w:hAnsi="Corbel" w:cs="Calibri"/>
          <w:color w:val="000000"/>
          <w:sz w:val="23"/>
          <w:szCs w:val="23"/>
          <w:lang w:eastAsia="en-AU"/>
        </w:rPr>
        <w:t>The scope of the national and bilateral agreements, in relation to both funding and policy, is focused on the school setting, which reflects government models of service delivery, however it is important to note the comprehensive learning needs of young people are often broader than this.</w:t>
      </w:r>
      <w:r>
        <w:rPr>
          <w:rFonts w:ascii="Corbel" w:eastAsia="Times New Roman" w:hAnsi="Corbel" w:cs="Calibri"/>
          <w:color w:val="000000"/>
          <w:sz w:val="23"/>
          <w:szCs w:val="23"/>
          <w:lang w:eastAsia="en-AU"/>
        </w:rPr>
        <w:t xml:space="preserve"> The Tasmanian Government acknowledges that traditional schooling meets the needs of many learners, however different learning modes and locations will be better suited to some.</w:t>
      </w:r>
      <w:r w:rsidR="007C0C44">
        <w:rPr>
          <w:rFonts w:ascii="Corbel" w:eastAsia="Times New Roman" w:hAnsi="Corbel" w:cs="Calibri"/>
          <w:color w:val="000000"/>
          <w:sz w:val="23"/>
          <w:szCs w:val="23"/>
          <w:lang w:eastAsia="en-AU"/>
        </w:rPr>
        <w:t xml:space="preserve"> DECYP is committed to elevating and enhancing access to complementary learning programs that support engagement in pathways that lead to productivity and fulfilment for all young people, </w:t>
      </w:r>
      <w:r w:rsidR="00867ACD">
        <w:rPr>
          <w:rFonts w:ascii="Corbel" w:eastAsia="Times New Roman" w:hAnsi="Corbel" w:cs="Calibri"/>
          <w:color w:val="000000"/>
          <w:sz w:val="23"/>
          <w:szCs w:val="23"/>
          <w:lang w:eastAsia="en-AU"/>
        </w:rPr>
        <w:t xml:space="preserve">including </w:t>
      </w:r>
      <w:r w:rsidR="007C0C44">
        <w:rPr>
          <w:rFonts w:ascii="Corbel" w:eastAsia="Times New Roman" w:hAnsi="Corbel" w:cs="Calibri"/>
          <w:color w:val="000000"/>
          <w:sz w:val="23"/>
          <w:szCs w:val="23"/>
          <w:lang w:eastAsia="en-AU"/>
        </w:rPr>
        <w:t>in non-traditional</w:t>
      </w:r>
      <w:r w:rsidR="00867ACD">
        <w:rPr>
          <w:rFonts w:ascii="Corbel" w:eastAsia="Times New Roman" w:hAnsi="Corbel" w:cs="Calibri"/>
          <w:color w:val="000000"/>
          <w:sz w:val="23"/>
          <w:szCs w:val="23"/>
          <w:lang w:eastAsia="en-AU"/>
        </w:rPr>
        <w:t xml:space="preserve"> physical and virtual locations.</w:t>
      </w:r>
    </w:p>
    <w:p w14:paraId="69733314" w14:textId="1F4D4A6C" w:rsidR="00957899" w:rsidRPr="00211343" w:rsidRDefault="00957899" w:rsidP="00957899">
      <w:pPr>
        <w:numPr>
          <w:ilvl w:val="0"/>
          <w:numId w:val="1"/>
        </w:numPr>
        <w:spacing w:after="240" w:line="260" w:lineRule="exact"/>
        <w:ind w:left="360"/>
        <w:jc w:val="both"/>
        <w:rPr>
          <w:rFonts w:ascii="Corbel" w:eastAsia="Times New Roman" w:hAnsi="Corbel" w:cs="Calibri"/>
          <w:color w:val="000000"/>
          <w:sz w:val="23"/>
          <w:szCs w:val="23"/>
          <w:lang w:eastAsia="en-AU"/>
        </w:rPr>
      </w:pPr>
      <w:r>
        <w:rPr>
          <w:rFonts w:ascii="Corbel" w:hAnsi="Corbel"/>
          <w:sz w:val="23"/>
          <w:szCs w:val="23"/>
        </w:rPr>
        <w:t xml:space="preserve">Recognising the importance of early childhood to improve future outcomes for children and young people in formal education, and the vulnerability of young Tasmanians in many early childhood indicators, </w:t>
      </w:r>
      <w:r w:rsidRPr="003603DA">
        <w:rPr>
          <w:rFonts w:ascii="Corbel" w:hAnsi="Corbel"/>
          <w:sz w:val="23"/>
          <w:szCs w:val="23"/>
        </w:rPr>
        <w:t>Tasmania’s delivery of preschool (the year before compulsory schooling) is through schools</w:t>
      </w:r>
      <w:r>
        <w:rPr>
          <w:rFonts w:ascii="Corbel" w:hAnsi="Corbel"/>
          <w:sz w:val="23"/>
          <w:szCs w:val="23"/>
        </w:rPr>
        <w:t>.</w:t>
      </w:r>
      <w:r w:rsidRPr="003603DA">
        <w:rPr>
          <w:rFonts w:ascii="Corbel" w:hAnsi="Corbel"/>
          <w:sz w:val="23"/>
          <w:szCs w:val="23"/>
        </w:rPr>
        <w:t xml:space="preserve"> Tasmania’s </w:t>
      </w:r>
      <w:r w:rsidRPr="003603DA">
        <w:rPr>
          <w:rFonts w:ascii="Corbel" w:hAnsi="Corbel"/>
          <w:i/>
          <w:sz w:val="23"/>
          <w:szCs w:val="23"/>
        </w:rPr>
        <w:t xml:space="preserve">Education Act 2016 </w:t>
      </w:r>
      <w:r w:rsidRPr="003603DA">
        <w:rPr>
          <w:rFonts w:ascii="Corbel" w:hAnsi="Corbel"/>
          <w:sz w:val="23"/>
          <w:szCs w:val="23"/>
        </w:rPr>
        <w:t xml:space="preserve">provides every Tasmanian child with a legal entitlement to attend ‘Kindergarten’ at their local government school. </w:t>
      </w:r>
      <w:r>
        <w:rPr>
          <w:rFonts w:ascii="Corbel" w:eastAsia="Times New Roman" w:hAnsi="Corbel" w:cs="Calibri"/>
          <w:sz w:val="23"/>
          <w:szCs w:val="23"/>
          <w:lang w:eastAsia="en-AU"/>
        </w:rPr>
        <w:t xml:space="preserve">Kindergarten </w:t>
      </w:r>
      <w:r w:rsidRPr="003603DA">
        <w:rPr>
          <w:rFonts w:ascii="Corbel" w:eastAsia="Times New Roman" w:hAnsi="Corbel" w:cs="Calibri"/>
          <w:sz w:val="23"/>
          <w:szCs w:val="23"/>
          <w:lang w:eastAsia="en-AU"/>
        </w:rPr>
        <w:t xml:space="preserve">delivered within schools is perceived in the </w:t>
      </w:r>
      <w:r>
        <w:rPr>
          <w:rFonts w:ascii="Corbel" w:eastAsia="Times New Roman" w:hAnsi="Corbel" w:cs="Calibri"/>
          <w:sz w:val="23"/>
          <w:szCs w:val="23"/>
          <w:lang w:eastAsia="en-AU"/>
        </w:rPr>
        <w:t>S</w:t>
      </w:r>
      <w:r w:rsidRPr="003603DA">
        <w:rPr>
          <w:rFonts w:ascii="Corbel" w:eastAsia="Times New Roman" w:hAnsi="Corbel" w:cs="Calibri"/>
          <w:sz w:val="23"/>
          <w:szCs w:val="23"/>
          <w:lang w:eastAsia="en-AU"/>
        </w:rPr>
        <w:t>tate as the first year of schooling, with almost 100</w:t>
      </w:r>
      <w:r>
        <w:rPr>
          <w:rFonts w:ascii="Corbel" w:eastAsia="Times New Roman" w:hAnsi="Corbel" w:cs="Calibri"/>
          <w:sz w:val="23"/>
          <w:szCs w:val="23"/>
          <w:lang w:eastAsia="en-AU"/>
        </w:rPr>
        <w:t xml:space="preserve"> per cent</w:t>
      </w:r>
      <w:r w:rsidRPr="003603DA">
        <w:rPr>
          <w:rFonts w:ascii="Corbel" w:eastAsia="Times New Roman" w:hAnsi="Corbel" w:cs="Calibri"/>
          <w:sz w:val="23"/>
          <w:szCs w:val="23"/>
          <w:lang w:eastAsia="en-AU"/>
        </w:rPr>
        <w:t xml:space="preserve"> </w:t>
      </w:r>
      <w:r w:rsidR="00AA1E4B">
        <w:rPr>
          <w:rFonts w:ascii="Corbel" w:eastAsia="Times New Roman" w:hAnsi="Corbel" w:cs="Calibri"/>
          <w:sz w:val="23"/>
          <w:szCs w:val="23"/>
          <w:lang w:eastAsia="en-AU"/>
        </w:rPr>
        <w:t>participation</w:t>
      </w:r>
      <w:r w:rsidRPr="003603DA">
        <w:rPr>
          <w:rFonts w:ascii="Corbel" w:eastAsia="Times New Roman" w:hAnsi="Corbel" w:cs="Calibri"/>
          <w:sz w:val="23"/>
          <w:szCs w:val="23"/>
          <w:lang w:eastAsia="en-AU"/>
        </w:rPr>
        <w:t>.</w:t>
      </w:r>
    </w:p>
    <w:p w14:paraId="037B79F5" w14:textId="77777777" w:rsidR="00957899" w:rsidRPr="003603DA" w:rsidRDefault="00957899" w:rsidP="00957899">
      <w:pPr>
        <w:numPr>
          <w:ilvl w:val="0"/>
          <w:numId w:val="1"/>
        </w:numPr>
        <w:spacing w:after="240" w:line="260" w:lineRule="exact"/>
        <w:ind w:left="36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Tasmania recognises that further education is vital to contributing to a successful, skilled and innovative workforce post-schooling. To facilitate this pathway, DECYP delivers Vocational Education Training (VET) in Schools, with the Department’s Registered Training Organisation, along with TasTAFE and a small number of private providers, providing a broad range of nationally accredited VET qualifications to learners at Tasmanian high schools and colleges.</w:t>
      </w:r>
    </w:p>
    <w:p w14:paraId="330270DD" w14:textId="77777777" w:rsidR="00957899" w:rsidRPr="00E24B16" w:rsidRDefault="00957899" w:rsidP="00E24B16">
      <w:pPr>
        <w:numPr>
          <w:ilvl w:val="0"/>
          <w:numId w:val="1"/>
        </w:numPr>
        <w:spacing w:after="240" w:line="260" w:lineRule="exact"/>
        <w:ind w:left="360"/>
        <w:jc w:val="both"/>
        <w:rPr>
          <w:rFonts w:ascii="Corbel" w:eastAsia="Times New Roman" w:hAnsi="Corbel" w:cs="Calibri"/>
          <w:sz w:val="23"/>
          <w:szCs w:val="23"/>
          <w:lang w:eastAsia="en-AU"/>
        </w:rPr>
      </w:pPr>
      <w:r>
        <w:rPr>
          <w:rFonts w:ascii="Corbel" w:hAnsi="Corbel"/>
          <w:sz w:val="23"/>
          <w:szCs w:val="23"/>
        </w:rPr>
        <w:t>The Tasm</w:t>
      </w:r>
      <w:r w:rsidRPr="00E24B16">
        <w:rPr>
          <w:rFonts w:ascii="Corbel" w:eastAsia="Times New Roman" w:hAnsi="Corbel" w:cs="Calibri"/>
          <w:sz w:val="23"/>
          <w:szCs w:val="23"/>
          <w:lang w:eastAsia="en-AU"/>
        </w:rPr>
        <w:t>anian Government has a longstanding strong and clear focus on increasing the quantity and quality of our government school education workforce, recognising the value they bring to our schools, our learners and the broader community.</w:t>
      </w:r>
    </w:p>
    <w:p w14:paraId="7FB0A559" w14:textId="77777777" w:rsidR="00957899" w:rsidRPr="00E24B16" w:rsidRDefault="00957899" w:rsidP="00E24B16">
      <w:pPr>
        <w:numPr>
          <w:ilvl w:val="0"/>
          <w:numId w:val="1"/>
        </w:numPr>
        <w:spacing w:after="240" w:line="260" w:lineRule="exact"/>
        <w:ind w:left="360"/>
        <w:jc w:val="both"/>
        <w:rPr>
          <w:rFonts w:ascii="Corbel" w:eastAsia="Times New Roman" w:hAnsi="Corbel" w:cs="Calibri"/>
          <w:sz w:val="23"/>
          <w:szCs w:val="23"/>
          <w:lang w:eastAsia="en-AU"/>
        </w:rPr>
      </w:pPr>
      <w:r w:rsidRPr="00E24B16">
        <w:rPr>
          <w:rFonts w:ascii="Corbel" w:eastAsia="Times New Roman" w:hAnsi="Corbel" w:cs="Calibri"/>
          <w:sz w:val="23"/>
          <w:szCs w:val="23"/>
          <w:lang w:eastAsia="en-AU"/>
        </w:rPr>
        <w:t>Recognising these challenges, the Tasmanian Government works in strong partnership with key stakeholders such as the University of Tasmania and the Australian Education Union to attract and develop more local, quality teachers.</w:t>
      </w:r>
    </w:p>
    <w:p w14:paraId="36C44A15" w14:textId="77777777" w:rsidR="00957899" w:rsidRPr="00211343" w:rsidRDefault="00957899" w:rsidP="00E24B16">
      <w:pPr>
        <w:numPr>
          <w:ilvl w:val="0"/>
          <w:numId w:val="1"/>
        </w:numPr>
        <w:spacing w:after="240" w:line="260" w:lineRule="exact"/>
        <w:ind w:left="360"/>
        <w:jc w:val="both"/>
        <w:rPr>
          <w:rFonts w:ascii="Corbel" w:hAnsi="Corbel"/>
          <w:sz w:val="23"/>
          <w:szCs w:val="23"/>
        </w:rPr>
      </w:pPr>
      <w:r w:rsidRPr="00E24B16">
        <w:rPr>
          <w:rFonts w:ascii="Corbel" w:eastAsia="Times New Roman" w:hAnsi="Corbel" w:cs="Calibri"/>
          <w:sz w:val="23"/>
          <w:szCs w:val="23"/>
          <w:lang w:eastAsia="en-AU"/>
        </w:rPr>
        <w:t>These partnerships are helping</w:t>
      </w:r>
      <w:r w:rsidRPr="00211343">
        <w:rPr>
          <w:rFonts w:ascii="Corbel" w:hAnsi="Corbel"/>
          <w:sz w:val="23"/>
          <w:szCs w:val="23"/>
        </w:rPr>
        <w:t xml:space="preserve"> to inform </w:t>
      </w:r>
      <w:r>
        <w:rPr>
          <w:rFonts w:ascii="Corbel" w:hAnsi="Corbel"/>
          <w:sz w:val="23"/>
          <w:szCs w:val="23"/>
        </w:rPr>
        <w:t xml:space="preserve">innovative </w:t>
      </w:r>
      <w:r w:rsidRPr="00211343">
        <w:rPr>
          <w:rFonts w:ascii="Corbel" w:hAnsi="Corbel"/>
          <w:sz w:val="23"/>
          <w:szCs w:val="23"/>
        </w:rPr>
        <w:t xml:space="preserve">strategies to attract and retain teachers and help fill positions across the </w:t>
      </w:r>
      <w:r>
        <w:rPr>
          <w:rFonts w:ascii="Corbel" w:hAnsi="Corbel"/>
          <w:sz w:val="23"/>
          <w:szCs w:val="23"/>
        </w:rPr>
        <w:t>S</w:t>
      </w:r>
      <w:r w:rsidRPr="00211343">
        <w:rPr>
          <w:rFonts w:ascii="Corbel" w:hAnsi="Corbel"/>
          <w:sz w:val="23"/>
          <w:szCs w:val="23"/>
        </w:rPr>
        <w:t>tate.</w:t>
      </w:r>
    </w:p>
    <w:p w14:paraId="235AE01F" w14:textId="77777777" w:rsidR="00957899" w:rsidRPr="00211343" w:rsidRDefault="00957899" w:rsidP="002257C0">
      <w:pPr>
        <w:keepNext/>
        <w:spacing w:after="240" w:line="260" w:lineRule="exact"/>
        <w:ind w:left="-74"/>
        <w:jc w:val="both"/>
        <w:rPr>
          <w:rFonts w:ascii="Corbel" w:eastAsia="Times New Roman" w:hAnsi="Corbel" w:cs="Calibri"/>
          <w:color w:val="000000"/>
          <w:sz w:val="23"/>
          <w:szCs w:val="23"/>
          <w:u w:val="single"/>
          <w:lang w:eastAsia="en-AU"/>
        </w:rPr>
      </w:pPr>
      <w:r>
        <w:rPr>
          <w:rFonts w:ascii="Corbel" w:hAnsi="Corbel"/>
          <w:sz w:val="23"/>
          <w:szCs w:val="23"/>
          <w:u w:val="single"/>
        </w:rPr>
        <w:lastRenderedPageBreak/>
        <w:t>Non-government sector</w:t>
      </w:r>
    </w:p>
    <w:p w14:paraId="7054CC97" w14:textId="0DCA15D7" w:rsidR="00957899" w:rsidRDefault="00957899" w:rsidP="00957899">
      <w:pPr>
        <w:numPr>
          <w:ilvl w:val="0"/>
          <w:numId w:val="1"/>
        </w:numPr>
        <w:spacing w:after="240" w:line="260" w:lineRule="exact"/>
        <w:ind w:left="36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This Bilateral Agreement has been developed in consultation with Catholic Education Tasmania </w:t>
      </w:r>
      <w:r w:rsidR="0079290A">
        <w:rPr>
          <w:rFonts w:ascii="Corbel" w:eastAsia="Times New Roman" w:hAnsi="Corbel" w:cs="Calibri"/>
          <w:color w:val="000000"/>
          <w:sz w:val="23"/>
          <w:szCs w:val="23"/>
          <w:lang w:eastAsia="en-AU"/>
        </w:rPr>
        <w:t xml:space="preserve">(CET) </w:t>
      </w:r>
      <w:r>
        <w:rPr>
          <w:rFonts w:ascii="Corbel" w:eastAsia="Times New Roman" w:hAnsi="Corbel" w:cs="Calibri"/>
          <w:color w:val="000000"/>
          <w:sz w:val="23"/>
          <w:szCs w:val="23"/>
          <w:lang w:eastAsia="en-AU"/>
        </w:rPr>
        <w:t>and Independent Schools Tasmania</w:t>
      </w:r>
      <w:r w:rsidR="0079290A">
        <w:rPr>
          <w:rFonts w:ascii="Corbel" w:eastAsia="Times New Roman" w:hAnsi="Corbel" w:cs="Calibri"/>
          <w:color w:val="000000"/>
          <w:sz w:val="23"/>
          <w:szCs w:val="23"/>
          <w:lang w:eastAsia="en-AU"/>
        </w:rPr>
        <w:t xml:space="preserve"> (IST)</w:t>
      </w:r>
      <w:r>
        <w:rPr>
          <w:rFonts w:ascii="Corbel" w:eastAsia="Times New Roman" w:hAnsi="Corbel" w:cs="Calibri"/>
          <w:color w:val="000000"/>
          <w:sz w:val="23"/>
          <w:szCs w:val="23"/>
          <w:lang w:eastAsia="en-AU"/>
        </w:rPr>
        <w:t>.</w:t>
      </w:r>
    </w:p>
    <w:p w14:paraId="0039BA11" w14:textId="77777777" w:rsidR="00957899" w:rsidRDefault="00957899" w:rsidP="00957899">
      <w:pPr>
        <w:numPr>
          <w:ilvl w:val="0"/>
          <w:numId w:val="1"/>
        </w:numPr>
        <w:spacing w:after="240" w:line="260" w:lineRule="exact"/>
        <w:ind w:left="36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non-government education sector is an important part of Tasmania’s education system, representing diverse educational philosophies, and religious and other organisational affiliations.</w:t>
      </w:r>
    </w:p>
    <w:p w14:paraId="57C792B6" w14:textId="1F946A2B" w:rsidR="00957899" w:rsidRPr="00234A7E" w:rsidRDefault="00957899" w:rsidP="00436F87">
      <w:pPr>
        <w:numPr>
          <w:ilvl w:val="0"/>
          <w:numId w:val="1"/>
        </w:numPr>
        <w:spacing w:after="240" w:line="260" w:lineRule="exact"/>
        <w:ind w:left="360"/>
        <w:jc w:val="both"/>
        <w:rPr>
          <w:rFonts w:ascii="Corbel" w:eastAsia="Times New Roman" w:hAnsi="Corbel" w:cs="Calibri"/>
          <w:color w:val="000000"/>
          <w:sz w:val="23"/>
          <w:szCs w:val="23"/>
          <w:lang w:eastAsia="en-AU"/>
        </w:rPr>
      </w:pPr>
      <w:r w:rsidRPr="00234A7E">
        <w:rPr>
          <w:rFonts w:ascii="Corbel" w:eastAsia="Times New Roman" w:hAnsi="Corbel" w:cs="Calibri"/>
          <w:color w:val="000000"/>
          <w:sz w:val="23"/>
          <w:szCs w:val="23"/>
          <w:lang w:eastAsia="en-AU"/>
        </w:rPr>
        <w:t xml:space="preserve">The activities listed above are provided for context and are not considered part of this Bilateral Agreement for the purposes of </w:t>
      </w:r>
      <w:r>
        <w:rPr>
          <w:rFonts w:ascii="Corbel" w:eastAsia="Times New Roman" w:hAnsi="Corbel" w:cs="Calibri"/>
          <w:color w:val="000000"/>
          <w:sz w:val="23"/>
          <w:szCs w:val="23"/>
          <w:lang w:eastAsia="en-AU"/>
        </w:rPr>
        <w:t>section</w:t>
      </w:r>
      <w:r w:rsidRPr="00234A7E">
        <w:rPr>
          <w:rFonts w:ascii="Corbel" w:eastAsia="Times New Roman" w:hAnsi="Corbel" w:cs="Calibri"/>
          <w:color w:val="000000"/>
          <w:sz w:val="23"/>
          <w:szCs w:val="23"/>
          <w:lang w:eastAsia="en-AU"/>
        </w:rPr>
        <w:t xml:space="preserve"> 22(2)(b</w:t>
      </w:r>
      <w:r>
        <w:rPr>
          <w:rFonts w:ascii="Corbel" w:eastAsia="Times New Roman" w:hAnsi="Corbel" w:cs="Calibri"/>
          <w:color w:val="000000"/>
          <w:sz w:val="23"/>
          <w:szCs w:val="23"/>
          <w:lang w:eastAsia="en-AU"/>
        </w:rPr>
        <w:t xml:space="preserve">) </w:t>
      </w:r>
      <w:r w:rsidRPr="00234A7E">
        <w:rPr>
          <w:rFonts w:ascii="Corbel" w:eastAsia="Times New Roman" w:hAnsi="Corbel" w:cs="Calibri"/>
          <w:color w:val="000000"/>
          <w:sz w:val="23"/>
          <w:szCs w:val="23"/>
          <w:lang w:eastAsia="en-AU"/>
        </w:rPr>
        <w:t>of the Act.</w:t>
      </w:r>
    </w:p>
    <w:p w14:paraId="08F04D69" w14:textId="77777777" w:rsidR="00D27D5C" w:rsidRDefault="00D27D5C">
      <w:pPr>
        <w:spacing w:after="160" w:line="259" w:lineRule="auto"/>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br w:type="page"/>
      </w:r>
    </w:p>
    <w:p w14:paraId="6E748D8D" w14:textId="247FE021" w:rsidR="00EB1708" w:rsidRDefault="00EB1708">
      <w:pPr>
        <w:spacing w:after="160" w:line="259" w:lineRule="auto"/>
        <w:rPr>
          <w:rFonts w:ascii="Corbel" w:eastAsia="Times New Roman" w:hAnsi="Corbel" w:cs="Consolas"/>
          <w:b/>
          <w:caps/>
          <w:color w:val="316F72"/>
          <w:kern w:val="32"/>
          <w:sz w:val="32"/>
          <w:szCs w:val="32"/>
          <w:lang w:eastAsia="en-AU"/>
        </w:rPr>
      </w:pPr>
      <w:r w:rsidRPr="00BE36B9">
        <w:rPr>
          <w:rFonts w:ascii="Corbel" w:eastAsia="Times New Roman" w:hAnsi="Corbel" w:cs="Consolas"/>
          <w:b/>
          <w:caps/>
          <w:color w:val="316F72"/>
          <w:kern w:val="32"/>
          <w:sz w:val="32"/>
          <w:szCs w:val="32"/>
          <w:lang w:eastAsia="en-AU"/>
        </w:rPr>
        <w:lastRenderedPageBreak/>
        <w:t xml:space="preserve">Part 1 </w:t>
      </w:r>
      <w:r w:rsidR="00E32F4B" w:rsidRPr="7D2E62D3">
        <w:rPr>
          <w:rFonts w:ascii="Corbel" w:eastAsia="Times New Roman" w:hAnsi="Corbel" w:cs="Corbel"/>
          <w:b/>
          <w:bCs/>
          <w:color w:val="316F72"/>
          <w:sz w:val="32"/>
          <w:szCs w:val="32"/>
          <w:lang w:eastAsia="en-AU"/>
        </w:rPr>
        <w:t xml:space="preserve">— </w:t>
      </w:r>
      <w:r w:rsidRPr="00BE36B9">
        <w:rPr>
          <w:rFonts w:ascii="Corbel" w:eastAsia="Times New Roman" w:hAnsi="Corbel" w:cs="Consolas"/>
          <w:b/>
          <w:caps/>
          <w:color w:val="316F72"/>
          <w:kern w:val="32"/>
          <w:sz w:val="32"/>
          <w:szCs w:val="32"/>
          <w:lang w:eastAsia="en-AU"/>
        </w:rPr>
        <w:t>PURPOSE,</w:t>
      </w:r>
      <w:r w:rsidR="00E32F4B">
        <w:rPr>
          <w:rFonts w:ascii="Corbel" w:eastAsia="Times New Roman" w:hAnsi="Corbel" w:cs="Consolas"/>
          <w:b/>
          <w:caps/>
          <w:color w:val="316F72"/>
          <w:kern w:val="32"/>
          <w:sz w:val="32"/>
          <w:szCs w:val="32"/>
          <w:lang w:eastAsia="en-AU"/>
        </w:rPr>
        <w:t xml:space="preserve"> </w:t>
      </w:r>
      <w:r w:rsidRPr="00BE36B9">
        <w:rPr>
          <w:rFonts w:ascii="Corbel" w:eastAsia="Times New Roman" w:hAnsi="Corbel" w:cs="Consolas"/>
          <w:b/>
          <w:caps/>
          <w:color w:val="316F72"/>
          <w:kern w:val="32"/>
          <w:sz w:val="32"/>
          <w:szCs w:val="32"/>
          <w:lang w:eastAsia="en-AU"/>
        </w:rPr>
        <w:t>OBJECTIVES, OUTCOMES AND IMPROVEMENT MEASURES</w:t>
      </w:r>
    </w:p>
    <w:p w14:paraId="4C2719F3" w14:textId="562D2F60" w:rsidR="00B46EFC" w:rsidRPr="00F10938" w:rsidRDefault="00A13A4E" w:rsidP="00B46EFC">
      <w:pPr>
        <w:keepNext/>
        <w:spacing w:before="180" w:after="120" w:line="240" w:lineRule="auto"/>
        <w:outlineLvl w:val="1"/>
        <w:rPr>
          <w:rFonts w:ascii="Corbel" w:eastAsia="Times New Roman" w:hAnsi="Corbel" w:cs="Corbel"/>
          <w:b/>
          <w:bCs/>
          <w:color w:val="316F72"/>
          <w:sz w:val="28"/>
          <w:szCs w:val="28"/>
          <w:lang w:eastAsia="en-AU"/>
        </w:rPr>
      </w:pPr>
      <w:r w:rsidRPr="00F10938">
        <w:rPr>
          <w:rFonts w:ascii="Corbel" w:eastAsia="Times New Roman" w:hAnsi="Corbel" w:cs="Corbel"/>
          <w:b/>
          <w:bCs/>
          <w:color w:val="316F72"/>
          <w:sz w:val="28"/>
          <w:szCs w:val="28"/>
          <w:lang w:eastAsia="en-AU"/>
        </w:rPr>
        <w:t>Objectives</w:t>
      </w:r>
    </w:p>
    <w:p w14:paraId="08ABB261" w14:textId="1BB9AC58" w:rsidR="00701CE8" w:rsidRPr="00F10938" w:rsidDel="00DC752A" w:rsidRDefault="00701CE8" w:rsidP="00701CE8">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10938">
        <w:rPr>
          <w:rFonts w:ascii="Corbel" w:eastAsia="Times New Roman" w:hAnsi="Corbel" w:cs="Calibri"/>
          <w:color w:val="000000"/>
          <w:sz w:val="23"/>
          <w:szCs w:val="23"/>
          <w:lang w:eastAsia="en-AU"/>
        </w:rPr>
        <w:t>Tasmania and the Commonwealth acknowledge that a high-quality school education is critical to ensuring that Tasmania’s students will succeed in an increasingly complex world. Australia’s future stability and economic prosperity is reliant on a high-quality, equitable and inclusive school system.</w:t>
      </w:r>
    </w:p>
    <w:p w14:paraId="3DE6F926" w14:textId="7288FA56" w:rsidR="00701CE8" w:rsidRPr="00F10938" w:rsidRDefault="00701CE8" w:rsidP="00701CE8">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10938">
        <w:rPr>
          <w:rFonts w:ascii="Corbel" w:eastAsia="Times New Roman" w:hAnsi="Corbel" w:cs="Calibri"/>
          <w:color w:val="000000"/>
          <w:sz w:val="23"/>
          <w:szCs w:val="23"/>
          <w:lang w:eastAsia="en-AU"/>
        </w:rPr>
        <w:t>This Bilateral Agreement sets out the reform activities to be undertaken during its term to give effect to national Objectives, Outcomes and reforms outlined in the Heads of Agreement.</w:t>
      </w:r>
    </w:p>
    <w:p w14:paraId="182A950F" w14:textId="23C95796" w:rsidR="00985017" w:rsidRPr="00F10938" w:rsidRDefault="00985017" w:rsidP="0098501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10938">
        <w:rPr>
          <w:rFonts w:ascii="Corbel" w:eastAsia="Times New Roman" w:hAnsi="Corbel" w:cs="Calibri"/>
          <w:color w:val="000000"/>
          <w:sz w:val="23"/>
          <w:szCs w:val="23"/>
          <w:lang w:eastAsia="en-AU"/>
        </w:rPr>
        <w:t xml:space="preserve">As per </w:t>
      </w:r>
      <w:r w:rsidR="00EB1860" w:rsidRPr="00F10938">
        <w:rPr>
          <w:rFonts w:ascii="Corbel" w:eastAsia="Times New Roman" w:hAnsi="Corbel" w:cs="Calibri"/>
          <w:color w:val="000000"/>
          <w:sz w:val="23"/>
          <w:szCs w:val="23"/>
          <w:lang w:eastAsia="en-AU"/>
        </w:rPr>
        <w:t>c</w:t>
      </w:r>
      <w:r w:rsidRPr="00F10938">
        <w:rPr>
          <w:rFonts w:ascii="Corbel" w:eastAsia="Times New Roman" w:hAnsi="Corbel" w:cs="Calibri"/>
          <w:color w:val="000000"/>
          <w:sz w:val="23"/>
          <w:szCs w:val="23"/>
          <w:lang w:eastAsia="en-AU"/>
        </w:rPr>
        <w:t>lause 65 of the Heads of Agreement, the Parties seek to deliver upon the following objectives:</w:t>
      </w:r>
    </w:p>
    <w:p w14:paraId="34A52A1B" w14:textId="77777777" w:rsidR="00985017" w:rsidRPr="00F10938" w:rsidRDefault="00985017" w:rsidP="007449B2">
      <w:pPr>
        <w:pStyle w:val="ListParagraph"/>
        <w:numPr>
          <w:ilvl w:val="1"/>
          <w:numId w:val="1"/>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41615D">
        <w:rPr>
          <w:rFonts w:ascii="Corbel" w:eastAsia="Times New Roman" w:hAnsi="Corbel" w:cs="Calibri"/>
          <w:color w:val="000000"/>
          <w:sz w:val="23"/>
          <w:szCs w:val="23"/>
          <w:u w:val="single"/>
          <w:lang w:eastAsia="en-AU"/>
        </w:rPr>
        <w:t>Equity and excellence</w:t>
      </w:r>
      <w:r w:rsidRPr="00F10938">
        <w:rPr>
          <w:rFonts w:ascii="Corbel" w:eastAsia="Times New Roman" w:hAnsi="Corbel" w:cs="Calibri"/>
          <w:color w:val="000000"/>
          <w:sz w:val="23"/>
          <w:szCs w:val="23"/>
          <w:lang w:eastAsia="en-AU"/>
        </w:rPr>
        <w:t xml:space="preserve"> – schools and education systems are equipped to provide all students with highly effective evidence-based teaching and equitable learning opportunities and support them to maximise their learning.</w:t>
      </w:r>
    </w:p>
    <w:p w14:paraId="3F4D167D" w14:textId="77777777" w:rsidR="00985017" w:rsidRPr="00F10938" w:rsidRDefault="00985017" w:rsidP="007449B2">
      <w:pPr>
        <w:pStyle w:val="ListParagraph"/>
        <w:numPr>
          <w:ilvl w:val="1"/>
          <w:numId w:val="1"/>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41615D">
        <w:rPr>
          <w:rFonts w:ascii="Corbel" w:eastAsia="Times New Roman" w:hAnsi="Corbel" w:cs="Calibri"/>
          <w:color w:val="000000"/>
          <w:sz w:val="23"/>
          <w:szCs w:val="23"/>
          <w:u w:val="single"/>
          <w:lang w:eastAsia="en-AU"/>
        </w:rPr>
        <w:t>Wellbeing for learning and engagement</w:t>
      </w:r>
      <w:r w:rsidRPr="00F10938">
        <w:rPr>
          <w:rFonts w:ascii="Corbel" w:eastAsia="Times New Roman" w:hAnsi="Corbel" w:cs="Calibri"/>
          <w:color w:val="000000"/>
          <w:sz w:val="23"/>
          <w:szCs w:val="23"/>
          <w:lang w:eastAsia="en-AU"/>
        </w:rPr>
        <w:t xml:space="preserve"> – schools take a structured approach to wellbeing for learning in a way which reflects their school and learning environment, and students have a sense of belonging, safety and engagement with their learning.</w:t>
      </w:r>
    </w:p>
    <w:p w14:paraId="60F0EC56" w14:textId="55F03D34" w:rsidR="00701CE8" w:rsidRPr="00F10938" w:rsidRDefault="00985017" w:rsidP="007449B2">
      <w:pPr>
        <w:pStyle w:val="ListParagraph"/>
        <w:numPr>
          <w:ilvl w:val="1"/>
          <w:numId w:val="1"/>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41615D">
        <w:rPr>
          <w:rFonts w:ascii="Corbel" w:eastAsia="Times New Roman" w:hAnsi="Corbel" w:cs="Calibri"/>
          <w:color w:val="000000"/>
          <w:sz w:val="23"/>
          <w:szCs w:val="23"/>
          <w:u w:val="single"/>
          <w:lang w:eastAsia="en-AU"/>
        </w:rPr>
        <w:t>A strong and sustainable workforce</w:t>
      </w:r>
      <w:r w:rsidRPr="00F10938">
        <w:rPr>
          <w:rFonts w:ascii="Corbel" w:eastAsia="Times New Roman" w:hAnsi="Corbel" w:cs="Calibri"/>
          <w:color w:val="000000"/>
          <w:sz w:val="23"/>
          <w:szCs w:val="23"/>
          <w:lang w:eastAsia="en-AU"/>
        </w:rPr>
        <w:t xml:space="preserve"> – the workforce is respected and continues to grow, and teachers and non-teaching school staff are supported to innovate and be at their best to ensure young Australians thrive in their education. A sustainable workforce means that the Australian community recognises the value teachers and school leaders bring to students, communities and the economy.</w:t>
      </w:r>
    </w:p>
    <w:p w14:paraId="15A78EAA" w14:textId="1214EFED" w:rsidR="00701CE8" w:rsidRPr="00103B58" w:rsidDel="00DC752A" w:rsidRDefault="00701CE8" w:rsidP="00701CE8">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03B58">
        <w:rPr>
          <w:rFonts w:ascii="Corbel" w:eastAsia="Times New Roman" w:hAnsi="Corbel" w:cs="Calibri"/>
          <w:color w:val="000000"/>
          <w:sz w:val="23"/>
          <w:szCs w:val="23"/>
          <w:lang w:eastAsia="en-AU"/>
        </w:rPr>
        <w:t xml:space="preserve">Both Tasmania and the Commonwealth are responsible for working together to </w:t>
      </w:r>
      <w:r w:rsidR="008B0523" w:rsidRPr="00860034">
        <w:rPr>
          <w:rFonts w:ascii="Corbel" w:eastAsia="Times New Roman" w:hAnsi="Corbel" w:cs="Calibri"/>
          <w:color w:val="000000"/>
          <w:sz w:val="23"/>
          <w:szCs w:val="23"/>
          <w:lang w:eastAsia="en-AU"/>
        </w:rPr>
        <w:t xml:space="preserve">contribute, along with other states and territories, to the national achievement of </w:t>
      </w:r>
      <w:r w:rsidRPr="00103B58">
        <w:rPr>
          <w:rFonts w:ascii="Corbel" w:eastAsia="Times New Roman" w:hAnsi="Corbel" w:cs="Calibri"/>
          <w:color w:val="000000"/>
          <w:sz w:val="23"/>
          <w:szCs w:val="23"/>
          <w:lang w:eastAsia="en-AU"/>
        </w:rPr>
        <w:t xml:space="preserve">the Objectives, Outcomes and Improvement Measures of this Agreement. While Tasmania and the Commonwealth are committed to this, Commonwealth funding to Tasmania under the Act is not conditional on the achievement of these Objectives, Outcomes and Improvement </w:t>
      </w:r>
      <w:r w:rsidRPr="00241B5D">
        <w:rPr>
          <w:rFonts w:ascii="Corbel" w:eastAsia="Times New Roman" w:hAnsi="Corbel" w:cs="Calibri"/>
          <w:color w:val="000000"/>
          <w:sz w:val="23"/>
          <w:szCs w:val="23"/>
          <w:lang w:eastAsia="en-AU"/>
        </w:rPr>
        <w:t>Measures</w:t>
      </w:r>
      <w:r w:rsidR="0047740F" w:rsidRPr="00241B5D">
        <w:rPr>
          <w:rFonts w:ascii="Corbel" w:eastAsia="Times New Roman" w:hAnsi="Corbel" w:cs="Calibri"/>
          <w:color w:val="000000"/>
          <w:sz w:val="23"/>
          <w:szCs w:val="23"/>
          <w:lang w:eastAsia="en-AU"/>
        </w:rPr>
        <w:t xml:space="preserve"> in the Heads of Agreement or this Bilateral Agreement</w:t>
      </w:r>
      <w:r w:rsidRPr="00241B5D">
        <w:rPr>
          <w:rFonts w:ascii="Corbel" w:eastAsia="Times New Roman" w:hAnsi="Corbel" w:cs="Calibri"/>
          <w:color w:val="000000"/>
          <w:sz w:val="23"/>
          <w:szCs w:val="23"/>
          <w:lang w:eastAsia="en-AU"/>
        </w:rPr>
        <w:t>.</w:t>
      </w:r>
    </w:p>
    <w:p w14:paraId="2FA84645" w14:textId="5BB787B9" w:rsidR="006652DA" w:rsidRPr="006D5B30" w:rsidRDefault="006652DA" w:rsidP="006652DA">
      <w:pPr>
        <w:keepNext/>
        <w:spacing w:before="180" w:after="120" w:line="240" w:lineRule="auto"/>
        <w:outlineLvl w:val="1"/>
        <w:rPr>
          <w:rFonts w:ascii="Corbel" w:eastAsia="Times New Roman" w:hAnsi="Corbel" w:cs="Corbel"/>
          <w:b/>
          <w:bCs/>
          <w:color w:val="316F72"/>
          <w:sz w:val="28"/>
          <w:szCs w:val="28"/>
          <w:lang w:eastAsia="en-AU"/>
        </w:rPr>
      </w:pPr>
      <w:r w:rsidRPr="006D5B30">
        <w:rPr>
          <w:rFonts w:ascii="Corbel" w:eastAsia="Times New Roman" w:hAnsi="Corbel" w:cs="Corbel"/>
          <w:b/>
          <w:bCs/>
          <w:color w:val="316F72"/>
          <w:sz w:val="28"/>
          <w:szCs w:val="28"/>
          <w:lang w:eastAsia="en-AU"/>
        </w:rPr>
        <w:t>Improvement Measures</w:t>
      </w:r>
    </w:p>
    <w:p w14:paraId="2904D816" w14:textId="2F26084C" w:rsidR="00E108C4" w:rsidRPr="006D5B30" w:rsidRDefault="00E108C4" w:rsidP="002253A8">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6D5B30">
        <w:rPr>
          <w:rFonts w:ascii="Corbel" w:eastAsia="Times New Roman" w:hAnsi="Corbel" w:cs="Calibri"/>
          <w:color w:val="000000"/>
          <w:sz w:val="23"/>
          <w:szCs w:val="23"/>
          <w:lang w:eastAsia="en-AU"/>
        </w:rPr>
        <w:t>Tasmania commits to:</w:t>
      </w:r>
    </w:p>
    <w:p w14:paraId="39E2991D" w14:textId="0BF8AC3B" w:rsidR="00E108C4" w:rsidRPr="00E108C4" w:rsidRDefault="00E108C4" w:rsidP="007449B2">
      <w:pPr>
        <w:pStyle w:val="ListParagraph"/>
        <w:numPr>
          <w:ilvl w:val="1"/>
          <w:numId w:val="1"/>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6D5B30">
        <w:rPr>
          <w:rFonts w:ascii="Corbel" w:eastAsia="Times New Roman" w:hAnsi="Corbel" w:cs="Calibri"/>
          <w:color w:val="000000"/>
          <w:sz w:val="23"/>
          <w:szCs w:val="23"/>
          <w:lang w:eastAsia="en-AU"/>
        </w:rPr>
        <w:t>the national Improvement Measures outlined in the Heads of Agreement and to pursuing an upward</w:t>
      </w:r>
      <w:r w:rsidRPr="00857728">
        <w:rPr>
          <w:rFonts w:ascii="Corbel" w:eastAsia="Times New Roman" w:hAnsi="Corbel" w:cs="Calibri"/>
          <w:color w:val="000000"/>
          <w:sz w:val="23"/>
          <w:szCs w:val="23"/>
          <w:lang w:eastAsia="en-AU"/>
        </w:rPr>
        <w:t xml:space="preserve"> trend of improvement over the term of </w:t>
      </w:r>
      <w:r w:rsidR="00FA1F2C" w:rsidRPr="00857728">
        <w:rPr>
          <w:rFonts w:ascii="Corbel" w:eastAsia="Times New Roman" w:hAnsi="Corbel" w:cs="Calibri"/>
          <w:color w:val="000000"/>
          <w:sz w:val="23"/>
          <w:szCs w:val="23"/>
          <w:lang w:eastAsia="en-AU"/>
        </w:rPr>
        <w:t>this Bilateral</w:t>
      </w:r>
      <w:r w:rsidRPr="007449B2">
        <w:rPr>
          <w:rFonts w:ascii="Corbel" w:eastAsia="Times New Roman" w:hAnsi="Corbel" w:cs="Calibri"/>
          <w:color w:val="000000"/>
          <w:sz w:val="23"/>
          <w:szCs w:val="23"/>
          <w:lang w:eastAsia="en-AU"/>
        </w:rPr>
        <w:t xml:space="preserve"> Agreement in these measures in the Tasmanian context.</w:t>
      </w:r>
    </w:p>
    <w:p w14:paraId="4518AE33" w14:textId="115C4F0E" w:rsidR="00E108C4" w:rsidRDefault="0095111A" w:rsidP="007449B2">
      <w:pPr>
        <w:pStyle w:val="ListParagraph"/>
        <w:numPr>
          <w:ilvl w:val="1"/>
          <w:numId w:val="1"/>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1C1EEB">
        <w:rPr>
          <w:rFonts w:ascii="Corbel" w:eastAsia="Times New Roman" w:hAnsi="Corbel" w:cs="Calibri"/>
          <w:color w:val="000000"/>
          <w:sz w:val="23"/>
          <w:szCs w:val="23"/>
          <w:lang w:eastAsia="en-AU"/>
        </w:rPr>
        <w:t>t</w:t>
      </w:r>
      <w:r w:rsidR="00BE08B8" w:rsidRPr="001C1EEB">
        <w:rPr>
          <w:rFonts w:ascii="Corbel" w:eastAsia="Times New Roman" w:hAnsi="Corbel" w:cs="Calibri"/>
          <w:color w:val="000000"/>
          <w:sz w:val="23"/>
          <w:szCs w:val="23"/>
          <w:lang w:eastAsia="en-AU"/>
        </w:rPr>
        <w:t>racking and reporting its progress towards the Improvement Measures’ national targets in its Annual Implementation Report to the Commonwealth, where the Commonwealth does not separately have access to the data, consistent with reporting obligations in Part 5 of the Heads of Agreement</w:t>
      </w:r>
      <w:r w:rsidR="00F33E04" w:rsidRPr="001C1EEB">
        <w:rPr>
          <w:rFonts w:ascii="Corbel" w:eastAsia="Times New Roman" w:hAnsi="Corbel" w:cs="Calibri"/>
          <w:color w:val="000000"/>
          <w:sz w:val="23"/>
          <w:szCs w:val="23"/>
          <w:lang w:eastAsia="en-AU"/>
        </w:rPr>
        <w:t>.</w:t>
      </w:r>
    </w:p>
    <w:p w14:paraId="6078EB40" w14:textId="77777777" w:rsidR="00B133C5" w:rsidRPr="00B133C5" w:rsidRDefault="00B133C5" w:rsidP="00B133C5">
      <w:pPr>
        <w:tabs>
          <w:tab w:val="left" w:pos="426"/>
        </w:tabs>
        <w:spacing w:after="240" w:line="260" w:lineRule="exact"/>
        <w:ind w:left="153"/>
        <w:jc w:val="both"/>
        <w:rPr>
          <w:rFonts w:ascii="Corbel" w:eastAsia="Times New Roman" w:hAnsi="Corbel" w:cs="Calibri"/>
          <w:color w:val="000000"/>
          <w:sz w:val="23"/>
          <w:szCs w:val="23"/>
          <w:lang w:eastAsia="en-AU"/>
        </w:rPr>
      </w:pPr>
    </w:p>
    <w:p w14:paraId="2F1018DF" w14:textId="3B7EB115" w:rsidR="004D556E" w:rsidRPr="008A0A52" w:rsidRDefault="00E108C4" w:rsidP="002257C0">
      <w:pPr>
        <w:pStyle w:val="ListParagraph"/>
        <w:keepNext/>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8A0A52">
        <w:rPr>
          <w:rFonts w:ascii="Corbel" w:eastAsia="Times New Roman" w:hAnsi="Corbel" w:cs="Calibri"/>
          <w:color w:val="000000"/>
          <w:sz w:val="23"/>
          <w:szCs w:val="23"/>
          <w:lang w:eastAsia="en-AU"/>
        </w:rPr>
        <w:lastRenderedPageBreak/>
        <w:t xml:space="preserve">Unless otherwise indicated in any guidelines issued for Annual Implementation Reports (see Part 4 of this Bilateral Agreement), </w:t>
      </w:r>
      <w:r w:rsidR="006E5BB5" w:rsidRPr="008A0A52">
        <w:rPr>
          <w:rFonts w:ascii="Corbel" w:eastAsia="Times New Roman" w:hAnsi="Corbel" w:cs="Calibri"/>
          <w:color w:val="000000"/>
          <w:sz w:val="23"/>
          <w:szCs w:val="23"/>
          <w:lang w:eastAsia="en-AU"/>
        </w:rPr>
        <w:t>parties agree that, as far as practical, reporting requirements under this Agreement will leverage existing reporting processes and data sources. Unless explicitly stated otherwise, reporting under the Agreement will not impose any additional burden on schools. Requests to provide data and information to support public reporting will provide reasonable timeframes to respond and ensure the accuracy and integrity of data provided.</w:t>
      </w:r>
    </w:p>
    <w:p w14:paraId="4D0A8F33" w14:textId="4EA2918B" w:rsidR="00614FDB" w:rsidRPr="008A0A52" w:rsidRDefault="00E108C4" w:rsidP="00A4784B">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8A0A52">
        <w:rPr>
          <w:rFonts w:ascii="Corbel" w:eastAsia="Times New Roman" w:hAnsi="Corbel" w:cs="Calibri"/>
          <w:color w:val="000000"/>
          <w:sz w:val="23"/>
          <w:szCs w:val="23"/>
          <w:lang w:eastAsia="en-AU"/>
        </w:rPr>
        <w:t xml:space="preserve">As per </w:t>
      </w:r>
      <w:r w:rsidR="00091C7D" w:rsidRPr="008A0A52">
        <w:rPr>
          <w:rFonts w:ascii="Corbel" w:eastAsia="Times New Roman" w:hAnsi="Corbel" w:cs="Calibri"/>
          <w:color w:val="000000"/>
          <w:sz w:val="23"/>
          <w:szCs w:val="23"/>
          <w:lang w:eastAsia="en-AU"/>
        </w:rPr>
        <w:t>sub</w:t>
      </w:r>
      <w:r w:rsidRPr="008A0A52">
        <w:rPr>
          <w:rFonts w:ascii="Corbel" w:eastAsia="Times New Roman" w:hAnsi="Corbel" w:cs="Calibri"/>
          <w:color w:val="000000"/>
          <w:sz w:val="23"/>
          <w:szCs w:val="23"/>
          <w:lang w:eastAsia="en-AU"/>
        </w:rPr>
        <w:t>clause 101(</w:t>
      </w:r>
      <w:r w:rsidR="001A0964" w:rsidRPr="008A0A52">
        <w:rPr>
          <w:rFonts w:ascii="Corbel" w:eastAsia="Times New Roman" w:hAnsi="Corbel" w:cs="Calibri"/>
          <w:color w:val="000000"/>
          <w:sz w:val="23"/>
          <w:szCs w:val="23"/>
          <w:lang w:eastAsia="en-AU"/>
        </w:rPr>
        <w:t>c</w:t>
      </w:r>
      <w:r w:rsidRPr="008A0A52">
        <w:rPr>
          <w:rFonts w:ascii="Corbel" w:eastAsia="Times New Roman" w:hAnsi="Corbel" w:cs="Calibri"/>
          <w:color w:val="000000"/>
          <w:sz w:val="23"/>
          <w:szCs w:val="23"/>
          <w:lang w:eastAsia="en-AU"/>
        </w:rPr>
        <w:t>) of the Heads of Agreement, the Commonwealth will publicly report Tasmania’s progress on the national Improvement Measures in an education reporting dashboard</w:t>
      </w:r>
      <w:r w:rsidR="001E5C02" w:rsidRPr="008A0A52">
        <w:rPr>
          <w:rFonts w:ascii="Corbel" w:eastAsia="Times New Roman" w:hAnsi="Corbel" w:cs="Calibri"/>
          <w:color w:val="000000"/>
          <w:sz w:val="23"/>
          <w:szCs w:val="23"/>
          <w:lang w:eastAsia="en-AU"/>
        </w:rPr>
        <w:t xml:space="preserve"> (noting </w:t>
      </w:r>
      <w:r w:rsidR="00854334" w:rsidRPr="008A0A52">
        <w:rPr>
          <w:rFonts w:ascii="Corbel" w:eastAsia="Times New Roman" w:hAnsi="Corbel" w:cs="Calibri"/>
          <w:color w:val="000000"/>
          <w:sz w:val="23"/>
          <w:szCs w:val="23"/>
          <w:lang w:eastAsia="en-AU"/>
        </w:rPr>
        <w:t xml:space="preserve">that the Commonwealth will seek agreement on </w:t>
      </w:r>
      <w:r w:rsidR="001E5C02" w:rsidRPr="008A0A52">
        <w:rPr>
          <w:rFonts w:ascii="Corbel" w:eastAsia="Times New Roman" w:hAnsi="Corbel" w:cs="Calibri"/>
          <w:color w:val="000000"/>
          <w:sz w:val="23"/>
          <w:szCs w:val="23"/>
          <w:lang w:eastAsia="en-AU"/>
        </w:rPr>
        <w:t xml:space="preserve">the format and content of the dashboard </w:t>
      </w:r>
      <w:r w:rsidR="00854334" w:rsidRPr="008A0A52">
        <w:rPr>
          <w:rFonts w:ascii="Corbel" w:eastAsia="Times New Roman" w:hAnsi="Corbel" w:cs="Calibri"/>
          <w:color w:val="000000"/>
          <w:sz w:val="23"/>
          <w:szCs w:val="23"/>
          <w:lang w:eastAsia="en-AU"/>
        </w:rPr>
        <w:t xml:space="preserve">from </w:t>
      </w:r>
      <w:r w:rsidR="00CD4873" w:rsidRPr="008A0A52">
        <w:rPr>
          <w:rFonts w:ascii="Corbel" w:eastAsia="Times New Roman" w:hAnsi="Corbel" w:cs="Calibri"/>
          <w:color w:val="000000"/>
          <w:sz w:val="23"/>
          <w:szCs w:val="23"/>
          <w:lang w:eastAsia="en-AU"/>
        </w:rPr>
        <w:t>state and territory Education Ministers</w:t>
      </w:r>
      <w:r w:rsidR="00614FDB" w:rsidRPr="008A0A52">
        <w:rPr>
          <w:rFonts w:ascii="Corbel" w:eastAsia="Times New Roman" w:hAnsi="Corbel" w:cs="Calibri"/>
          <w:color w:val="000000"/>
          <w:sz w:val="23"/>
          <w:szCs w:val="23"/>
          <w:lang w:eastAsia="en-AU"/>
        </w:rPr>
        <w:t>).</w:t>
      </w:r>
    </w:p>
    <w:p w14:paraId="5A481262" w14:textId="1EC8DC54" w:rsidR="007A0B8A" w:rsidRPr="00BE36B9" w:rsidRDefault="00614FDB" w:rsidP="007A0B8A">
      <w:pPr>
        <w:spacing w:after="160" w:line="259" w:lineRule="auto"/>
        <w:rPr>
          <w:rFonts w:ascii="Corbel" w:eastAsia="Times New Roman" w:hAnsi="Corbel" w:cs="Consolas"/>
          <w:b/>
          <w:caps/>
          <w:color w:val="316F72"/>
          <w:kern w:val="32"/>
          <w:sz w:val="32"/>
          <w:szCs w:val="32"/>
          <w:lang w:eastAsia="en-AU"/>
        </w:rPr>
      </w:pPr>
      <w:r>
        <w:rPr>
          <w:rFonts w:ascii="Corbel" w:eastAsia="Times New Roman" w:hAnsi="Corbel" w:cs="Calibri"/>
          <w:color w:val="000000"/>
          <w:sz w:val="23"/>
          <w:szCs w:val="23"/>
          <w:lang w:eastAsia="en-AU"/>
        </w:rPr>
        <w:br w:type="page"/>
      </w:r>
      <w:r w:rsidR="00C16EA3">
        <w:rPr>
          <w:rFonts w:ascii="Corbel" w:eastAsia="Times New Roman" w:hAnsi="Corbel" w:cs="Consolas"/>
          <w:b/>
          <w:caps/>
          <w:color w:val="316F72"/>
          <w:kern w:val="32"/>
          <w:sz w:val="32"/>
          <w:szCs w:val="32"/>
          <w:lang w:eastAsia="en-AU"/>
        </w:rPr>
        <w:lastRenderedPageBreak/>
        <w:t>P</w:t>
      </w:r>
      <w:r w:rsidR="007A0B8A" w:rsidRPr="00BE36B9">
        <w:rPr>
          <w:rFonts w:ascii="Corbel" w:eastAsia="Times New Roman" w:hAnsi="Corbel" w:cs="Consolas"/>
          <w:b/>
          <w:caps/>
          <w:color w:val="316F72"/>
          <w:kern w:val="32"/>
          <w:sz w:val="32"/>
          <w:szCs w:val="32"/>
          <w:lang w:eastAsia="en-AU"/>
        </w:rPr>
        <w:t xml:space="preserve">art </w:t>
      </w:r>
      <w:r w:rsidR="007A0B8A">
        <w:rPr>
          <w:rFonts w:ascii="Corbel" w:eastAsia="Times New Roman" w:hAnsi="Corbel" w:cs="Consolas"/>
          <w:b/>
          <w:caps/>
          <w:color w:val="316F72"/>
          <w:kern w:val="32"/>
          <w:sz w:val="32"/>
          <w:szCs w:val="32"/>
          <w:lang w:eastAsia="en-AU"/>
        </w:rPr>
        <w:t>2</w:t>
      </w:r>
      <w:r w:rsidR="007A0B8A" w:rsidRPr="00BE36B9">
        <w:rPr>
          <w:rFonts w:ascii="Corbel" w:eastAsia="Times New Roman" w:hAnsi="Corbel" w:cs="Consolas"/>
          <w:b/>
          <w:caps/>
          <w:color w:val="316F72"/>
          <w:kern w:val="32"/>
          <w:sz w:val="32"/>
          <w:szCs w:val="32"/>
          <w:lang w:eastAsia="en-AU"/>
        </w:rPr>
        <w:t xml:space="preserve"> </w:t>
      </w:r>
      <w:r w:rsidR="007A0B8A" w:rsidRPr="7D2E62D3">
        <w:rPr>
          <w:rFonts w:ascii="Corbel" w:eastAsia="Times New Roman" w:hAnsi="Corbel" w:cs="Corbel"/>
          <w:b/>
          <w:bCs/>
          <w:color w:val="316F72"/>
          <w:sz w:val="32"/>
          <w:szCs w:val="32"/>
          <w:lang w:eastAsia="en-AU"/>
        </w:rPr>
        <w:t xml:space="preserve">— </w:t>
      </w:r>
      <w:r w:rsidR="007A0B8A">
        <w:rPr>
          <w:rFonts w:ascii="Corbel" w:eastAsia="Times New Roman" w:hAnsi="Corbel" w:cs="Consolas"/>
          <w:b/>
          <w:caps/>
          <w:color w:val="316F72"/>
          <w:kern w:val="32"/>
          <w:sz w:val="32"/>
          <w:szCs w:val="32"/>
          <w:lang w:eastAsia="en-AU"/>
        </w:rPr>
        <w:t>FUNDING</w:t>
      </w:r>
    </w:p>
    <w:p w14:paraId="06050AC9" w14:textId="5624D0B1" w:rsidR="00AB6C07" w:rsidRPr="00E41BFF" w:rsidRDefault="007A0B8A" w:rsidP="00E41BFF">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Required funding contributions</w:t>
      </w:r>
    </w:p>
    <w:p w14:paraId="543E3B34" w14:textId="77777777" w:rsidR="00701442" w:rsidRPr="00701442" w:rsidRDefault="00701442" w:rsidP="00701442">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01442">
        <w:rPr>
          <w:rFonts w:ascii="Corbel" w:eastAsia="Times New Roman" w:hAnsi="Corbel" w:cs="Calibri"/>
          <w:color w:val="000000"/>
          <w:sz w:val="23"/>
          <w:szCs w:val="23"/>
          <w:lang w:eastAsia="en-AU"/>
        </w:rPr>
        <w:t>Under section 22A of the Act, Tasmania must meet its funding contributions for the government and non-government sectors as a condition of receiving Commonwealth funding.</w:t>
      </w:r>
    </w:p>
    <w:p w14:paraId="72720976" w14:textId="77777777" w:rsidR="00701442" w:rsidRPr="00701442" w:rsidRDefault="00701442" w:rsidP="00701442">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01442">
        <w:rPr>
          <w:rFonts w:ascii="Corbel" w:eastAsia="Times New Roman" w:hAnsi="Corbel" w:cs="Calibri"/>
          <w:color w:val="000000"/>
          <w:sz w:val="23"/>
          <w:szCs w:val="23"/>
          <w:lang w:eastAsia="en-AU"/>
        </w:rPr>
        <w:t>Tasmania’s funding contributions for the government and non-government sectors for 2025 onwards must be in accordance with section 22A of the Act and will determine the default requirement if this Bilateral Agreement is terminated by either party.</w:t>
      </w:r>
    </w:p>
    <w:p w14:paraId="1BE1F053" w14:textId="5DF417FE" w:rsidR="00701442" w:rsidRPr="00701442" w:rsidRDefault="00701442" w:rsidP="00701442">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01442">
        <w:rPr>
          <w:rFonts w:ascii="Corbel" w:eastAsia="Times New Roman" w:hAnsi="Corbel" w:cs="Calibri"/>
          <w:color w:val="000000"/>
          <w:sz w:val="23"/>
          <w:szCs w:val="23"/>
          <w:lang w:eastAsia="en-AU"/>
        </w:rPr>
        <w:t xml:space="preserve">Tasmania’s funding contributions for the government and non-government sectors agreed in this Bilateral Agreement are outlined in </w:t>
      </w:r>
      <w:r w:rsidR="00E521C6">
        <w:rPr>
          <w:rFonts w:ascii="Corbel" w:eastAsia="Times New Roman" w:hAnsi="Corbel" w:cs="Calibri"/>
          <w:color w:val="000000"/>
          <w:sz w:val="23"/>
          <w:szCs w:val="23"/>
          <w:lang w:eastAsia="en-AU"/>
        </w:rPr>
        <w:t>T</w:t>
      </w:r>
      <w:r w:rsidRPr="00701442">
        <w:rPr>
          <w:rFonts w:ascii="Corbel" w:eastAsia="Times New Roman" w:hAnsi="Corbel" w:cs="Calibri"/>
          <w:color w:val="000000"/>
          <w:sz w:val="23"/>
          <w:szCs w:val="23"/>
          <w:lang w:eastAsia="en-AU"/>
        </w:rPr>
        <w:t xml:space="preserve">able </w:t>
      </w:r>
      <w:r w:rsidR="003F5470">
        <w:rPr>
          <w:rFonts w:ascii="Corbel" w:eastAsia="Times New Roman" w:hAnsi="Corbel" w:cs="Calibri"/>
          <w:color w:val="000000"/>
          <w:sz w:val="23"/>
          <w:szCs w:val="23"/>
          <w:lang w:eastAsia="en-AU"/>
        </w:rPr>
        <w:t>1</w:t>
      </w:r>
      <w:r w:rsidRPr="00701442">
        <w:rPr>
          <w:rFonts w:ascii="Corbel" w:eastAsia="Times New Roman" w:hAnsi="Corbel" w:cs="Calibri"/>
          <w:color w:val="000000"/>
          <w:sz w:val="23"/>
          <w:szCs w:val="23"/>
          <w:lang w:eastAsia="en-AU"/>
        </w:rPr>
        <w:t xml:space="preserve"> below for each year from 2025 to 2029.The minimum funding contributions are expressed as a percentage of the Schooling Resource Standard (SRS) as defined in Part 3 of the Act.</w:t>
      </w:r>
    </w:p>
    <w:p w14:paraId="45CD6EC1" w14:textId="2A7C32D0" w:rsidR="00701442" w:rsidRDefault="00701442" w:rsidP="00701442">
      <w:pPr>
        <w:spacing w:after="240" w:line="260" w:lineRule="exact"/>
        <w:jc w:val="both"/>
        <w:rPr>
          <w:rFonts w:ascii="Corbel" w:eastAsia="Times New Roman" w:hAnsi="Corbel" w:cs="Calibri"/>
          <w:i/>
          <w:iCs/>
          <w:sz w:val="23"/>
          <w:szCs w:val="23"/>
          <w:lang w:eastAsia="en-AU"/>
        </w:rPr>
      </w:pPr>
      <w:r w:rsidRPr="38554A21">
        <w:rPr>
          <w:rFonts w:ascii="Corbel" w:eastAsia="Times New Roman" w:hAnsi="Corbel" w:cs="Calibri"/>
          <w:i/>
          <w:iCs/>
          <w:sz w:val="23"/>
          <w:szCs w:val="23"/>
          <w:lang w:eastAsia="en-AU"/>
        </w:rPr>
        <w:t xml:space="preserve">Table </w:t>
      </w:r>
      <w:r w:rsidR="002A2AAD">
        <w:rPr>
          <w:rFonts w:ascii="Corbel" w:eastAsia="Times New Roman" w:hAnsi="Corbel" w:cs="Calibri"/>
          <w:i/>
          <w:iCs/>
          <w:sz w:val="23"/>
          <w:szCs w:val="23"/>
          <w:lang w:eastAsia="en-AU"/>
        </w:rPr>
        <w:t>1</w:t>
      </w:r>
      <w:r w:rsidRPr="38554A21">
        <w:rPr>
          <w:rFonts w:ascii="Corbel" w:eastAsia="Times New Roman" w:hAnsi="Corbel" w:cs="Calibri"/>
          <w:i/>
          <w:iCs/>
          <w:sz w:val="23"/>
          <w:szCs w:val="23"/>
          <w:lang w:eastAsia="en-AU"/>
        </w:rPr>
        <w:t>. Tasmania’s agreed funding shares for the government and non-government sectors, 2025 to 2029</w:t>
      </w:r>
    </w:p>
    <w:tbl>
      <w:tblPr>
        <w:tblStyle w:val="TableGrid1"/>
        <w:tblW w:w="5000" w:type="pct"/>
        <w:tblCellMar>
          <w:top w:w="57" w:type="dxa"/>
          <w:bottom w:w="57" w:type="dxa"/>
        </w:tblCellMar>
        <w:tblLook w:val="04A0" w:firstRow="1" w:lastRow="0" w:firstColumn="1" w:lastColumn="0" w:noHBand="0" w:noVBand="1"/>
      </w:tblPr>
      <w:tblGrid>
        <w:gridCol w:w="2889"/>
        <w:gridCol w:w="1267"/>
        <w:gridCol w:w="1267"/>
        <w:gridCol w:w="1267"/>
        <w:gridCol w:w="1267"/>
        <w:gridCol w:w="1069"/>
      </w:tblGrid>
      <w:tr w:rsidR="00307183" w:rsidRPr="00BE3E85" w14:paraId="03122CD1" w14:textId="77777777" w:rsidTr="00CC0D6A">
        <w:trPr>
          <w:trHeight w:val="238"/>
          <w:tblHeader/>
        </w:trPr>
        <w:tc>
          <w:tcPr>
            <w:tcW w:w="1600" w:type="pct"/>
            <w:tcBorders>
              <w:bottom w:val="single" w:sz="4" w:space="0" w:color="auto"/>
            </w:tcBorders>
            <w:shd w:val="clear" w:color="auto" w:fill="316F72"/>
            <w:vAlign w:val="center"/>
          </w:tcPr>
          <w:p w14:paraId="283DB96A" w14:textId="4F59B130" w:rsidR="00307183" w:rsidRPr="00BE3E85" w:rsidRDefault="00A970C2">
            <w:pPr>
              <w:spacing w:before="120"/>
              <w:contextualSpacing/>
              <w:jc w:val="center"/>
              <w:rPr>
                <w:b/>
                <w:color w:val="FFFFFF"/>
                <w:spacing w:val="20"/>
              </w:rPr>
            </w:pPr>
            <w:r>
              <w:rPr>
                <w:b/>
                <w:color w:val="FFFFFF"/>
                <w:spacing w:val="20"/>
              </w:rPr>
              <w:t>Sector</w:t>
            </w:r>
          </w:p>
        </w:tc>
        <w:tc>
          <w:tcPr>
            <w:tcW w:w="702" w:type="pct"/>
            <w:tcBorders>
              <w:bottom w:val="single" w:sz="4" w:space="0" w:color="auto"/>
            </w:tcBorders>
            <w:shd w:val="clear" w:color="auto" w:fill="316F72"/>
            <w:vAlign w:val="center"/>
          </w:tcPr>
          <w:p w14:paraId="62FEDB64" w14:textId="77777777" w:rsidR="00307183" w:rsidRPr="00BE3E85" w:rsidRDefault="00307183">
            <w:pPr>
              <w:spacing w:before="120"/>
              <w:contextualSpacing/>
              <w:jc w:val="center"/>
              <w:rPr>
                <w:b/>
                <w:color w:val="FFFFFF"/>
                <w:spacing w:val="20"/>
              </w:rPr>
            </w:pPr>
            <w:r w:rsidRPr="00BE3E85">
              <w:rPr>
                <w:b/>
                <w:color w:val="FFFFFF"/>
                <w:spacing w:val="20"/>
              </w:rPr>
              <w:t>2025</w:t>
            </w:r>
          </w:p>
        </w:tc>
        <w:tc>
          <w:tcPr>
            <w:tcW w:w="702" w:type="pct"/>
            <w:tcBorders>
              <w:bottom w:val="single" w:sz="4" w:space="0" w:color="auto"/>
            </w:tcBorders>
            <w:shd w:val="clear" w:color="auto" w:fill="316F72"/>
            <w:vAlign w:val="center"/>
          </w:tcPr>
          <w:p w14:paraId="66337AE5" w14:textId="77777777" w:rsidR="00307183" w:rsidRPr="00BE3E85" w:rsidRDefault="00307183">
            <w:pPr>
              <w:spacing w:before="120"/>
              <w:contextualSpacing/>
              <w:jc w:val="center"/>
              <w:rPr>
                <w:b/>
                <w:color w:val="FFFFFF"/>
                <w:spacing w:val="20"/>
              </w:rPr>
            </w:pPr>
            <w:r w:rsidRPr="00BE3E85">
              <w:rPr>
                <w:b/>
                <w:color w:val="FFFFFF"/>
                <w:spacing w:val="20"/>
              </w:rPr>
              <w:t>2026</w:t>
            </w:r>
          </w:p>
        </w:tc>
        <w:tc>
          <w:tcPr>
            <w:tcW w:w="702" w:type="pct"/>
            <w:tcBorders>
              <w:bottom w:val="single" w:sz="4" w:space="0" w:color="auto"/>
            </w:tcBorders>
            <w:shd w:val="clear" w:color="auto" w:fill="316F72"/>
            <w:vAlign w:val="center"/>
          </w:tcPr>
          <w:p w14:paraId="5FFE8EC9" w14:textId="77777777" w:rsidR="00307183" w:rsidRPr="00BE3E85" w:rsidRDefault="00307183">
            <w:pPr>
              <w:contextualSpacing/>
              <w:jc w:val="center"/>
              <w:rPr>
                <w:b/>
                <w:color w:val="FFFFFF"/>
                <w:spacing w:val="20"/>
              </w:rPr>
            </w:pPr>
            <w:r w:rsidRPr="00BE3E85">
              <w:rPr>
                <w:b/>
                <w:color w:val="FFFFFF"/>
                <w:spacing w:val="20"/>
              </w:rPr>
              <w:t>2027</w:t>
            </w:r>
          </w:p>
        </w:tc>
        <w:tc>
          <w:tcPr>
            <w:tcW w:w="702" w:type="pct"/>
            <w:tcBorders>
              <w:bottom w:val="single" w:sz="4" w:space="0" w:color="auto"/>
            </w:tcBorders>
            <w:shd w:val="clear" w:color="auto" w:fill="316F72"/>
            <w:vAlign w:val="center"/>
          </w:tcPr>
          <w:p w14:paraId="43B8AEEE" w14:textId="77777777" w:rsidR="00307183" w:rsidRPr="00BE3E85" w:rsidRDefault="00307183">
            <w:pPr>
              <w:contextualSpacing/>
              <w:jc w:val="center"/>
              <w:rPr>
                <w:b/>
                <w:color w:val="FFFFFF"/>
                <w:spacing w:val="20"/>
              </w:rPr>
            </w:pPr>
            <w:r w:rsidRPr="00BE3E85">
              <w:rPr>
                <w:b/>
                <w:color w:val="FFFFFF"/>
                <w:spacing w:val="20"/>
              </w:rPr>
              <w:t>2028</w:t>
            </w:r>
          </w:p>
        </w:tc>
        <w:tc>
          <w:tcPr>
            <w:tcW w:w="592" w:type="pct"/>
            <w:tcBorders>
              <w:bottom w:val="single" w:sz="4" w:space="0" w:color="auto"/>
            </w:tcBorders>
            <w:shd w:val="clear" w:color="auto" w:fill="316F72"/>
            <w:vAlign w:val="center"/>
          </w:tcPr>
          <w:p w14:paraId="1F1BA83F" w14:textId="77777777" w:rsidR="00307183" w:rsidRPr="00BE3E85" w:rsidRDefault="00307183">
            <w:pPr>
              <w:contextualSpacing/>
              <w:jc w:val="center"/>
              <w:rPr>
                <w:b/>
                <w:color w:val="FFFFFF"/>
                <w:spacing w:val="20"/>
              </w:rPr>
            </w:pPr>
            <w:r w:rsidRPr="00BE3E85">
              <w:rPr>
                <w:b/>
                <w:color w:val="FFFFFF"/>
                <w:spacing w:val="20"/>
              </w:rPr>
              <w:t>2029</w:t>
            </w:r>
          </w:p>
        </w:tc>
      </w:tr>
      <w:tr w:rsidR="00307183" w:rsidRPr="00BE3E85" w14:paraId="460BC1FA" w14:textId="77777777" w:rsidTr="00CC0D6A">
        <w:trPr>
          <w:trHeight w:val="359"/>
        </w:trPr>
        <w:tc>
          <w:tcPr>
            <w:tcW w:w="1600" w:type="pct"/>
            <w:tcBorders>
              <w:top w:val="single" w:sz="4" w:space="0" w:color="auto"/>
              <w:left w:val="single" w:sz="4" w:space="0" w:color="auto"/>
              <w:bottom w:val="single" w:sz="4" w:space="0" w:color="auto"/>
              <w:right w:val="single" w:sz="4" w:space="0" w:color="auto"/>
            </w:tcBorders>
            <w:vAlign w:val="center"/>
          </w:tcPr>
          <w:p w14:paraId="29E3863E" w14:textId="2C97EA4B" w:rsidR="00307183" w:rsidRPr="00BE3E85" w:rsidRDefault="00307183" w:rsidP="004A6121">
            <w:pPr>
              <w:rPr>
                <w:color w:val="000000"/>
              </w:rPr>
            </w:pPr>
            <w:r w:rsidRPr="00BE3E85">
              <w:rPr>
                <w:color w:val="000000"/>
              </w:rPr>
              <w:t>Government</w:t>
            </w:r>
            <w:r>
              <w:rPr>
                <w:color w:val="000000"/>
              </w:rPr>
              <w:t xml:space="preserve"> schools</w:t>
            </w:r>
          </w:p>
        </w:tc>
        <w:tc>
          <w:tcPr>
            <w:tcW w:w="702" w:type="pct"/>
            <w:tcBorders>
              <w:top w:val="single" w:sz="4" w:space="0" w:color="auto"/>
              <w:left w:val="single" w:sz="4" w:space="0" w:color="auto"/>
              <w:bottom w:val="single" w:sz="4" w:space="0" w:color="auto"/>
              <w:right w:val="single" w:sz="4" w:space="0" w:color="auto"/>
            </w:tcBorders>
            <w:vAlign w:val="center"/>
          </w:tcPr>
          <w:p w14:paraId="18A1B9A4" w14:textId="58FAA146" w:rsidR="00307183" w:rsidRPr="00C804A9" w:rsidRDefault="00B97683" w:rsidP="004A6121">
            <w:r w:rsidRPr="00C804A9">
              <w:t>75.</w:t>
            </w:r>
            <w:r w:rsidR="000F3D0E">
              <w:t>91</w:t>
            </w:r>
            <w:r w:rsidR="00307183" w:rsidRPr="00C804A9">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14:paraId="0F5B7623" w14:textId="09E4FBA5" w:rsidR="00307183" w:rsidRPr="00C804A9" w:rsidRDefault="00B97683" w:rsidP="004A6121">
            <w:r w:rsidRPr="00C804A9">
              <w:t>77.50</w:t>
            </w:r>
            <w:r w:rsidR="00307183" w:rsidRPr="00C804A9">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14:paraId="42CFE0FA" w14:textId="309690CE" w:rsidR="00307183" w:rsidRPr="00C804A9" w:rsidRDefault="00B97683" w:rsidP="004A6121">
            <w:r w:rsidRPr="00C804A9">
              <w:t>77.50</w:t>
            </w:r>
            <w:r w:rsidR="00307183" w:rsidRPr="00C804A9">
              <w:t>%</w:t>
            </w:r>
          </w:p>
        </w:tc>
        <w:tc>
          <w:tcPr>
            <w:tcW w:w="702" w:type="pct"/>
            <w:tcBorders>
              <w:top w:val="single" w:sz="4" w:space="0" w:color="auto"/>
              <w:left w:val="single" w:sz="4" w:space="0" w:color="auto"/>
              <w:bottom w:val="single" w:sz="4" w:space="0" w:color="auto"/>
              <w:right w:val="single" w:sz="4" w:space="0" w:color="auto"/>
            </w:tcBorders>
            <w:vAlign w:val="center"/>
          </w:tcPr>
          <w:p w14:paraId="3BF69C81" w14:textId="1B3DFA97" w:rsidR="00307183" w:rsidRPr="00C804A9" w:rsidRDefault="00B97683" w:rsidP="004A6121">
            <w:r w:rsidRPr="00C804A9">
              <w:t>77.50</w:t>
            </w:r>
            <w:r w:rsidR="00307183" w:rsidRPr="00C804A9">
              <w:t>%</w:t>
            </w:r>
          </w:p>
        </w:tc>
        <w:tc>
          <w:tcPr>
            <w:tcW w:w="592" w:type="pct"/>
            <w:tcBorders>
              <w:top w:val="single" w:sz="4" w:space="0" w:color="auto"/>
              <w:left w:val="single" w:sz="4" w:space="0" w:color="auto"/>
              <w:bottom w:val="single" w:sz="4" w:space="0" w:color="auto"/>
              <w:right w:val="single" w:sz="4" w:space="0" w:color="auto"/>
            </w:tcBorders>
            <w:vAlign w:val="center"/>
          </w:tcPr>
          <w:p w14:paraId="7EDED7DA" w14:textId="61C3C62A" w:rsidR="00307183" w:rsidRPr="00C804A9" w:rsidRDefault="00307183" w:rsidP="004A6121">
            <w:r w:rsidRPr="00C804A9">
              <w:t>77.5</w:t>
            </w:r>
            <w:r w:rsidR="00B97683" w:rsidRPr="00C804A9">
              <w:t>0</w:t>
            </w:r>
            <w:r w:rsidRPr="00C804A9">
              <w:t>%</w:t>
            </w:r>
          </w:p>
        </w:tc>
      </w:tr>
      <w:tr w:rsidR="00A970C2" w:rsidRPr="00BE3E85" w14:paraId="49000005" w14:textId="77777777" w:rsidTr="00CC0D6A">
        <w:trPr>
          <w:trHeight w:val="359"/>
        </w:trPr>
        <w:tc>
          <w:tcPr>
            <w:tcW w:w="1600" w:type="pct"/>
            <w:tcBorders>
              <w:top w:val="single" w:sz="4" w:space="0" w:color="auto"/>
              <w:left w:val="single" w:sz="4" w:space="0" w:color="auto"/>
              <w:bottom w:val="single" w:sz="4" w:space="0" w:color="auto"/>
              <w:right w:val="single" w:sz="4" w:space="0" w:color="auto"/>
            </w:tcBorders>
            <w:vAlign w:val="center"/>
          </w:tcPr>
          <w:p w14:paraId="68936B67" w14:textId="4FAE5D67" w:rsidR="00A970C2" w:rsidRPr="00BE3E85" w:rsidRDefault="00A970C2" w:rsidP="00A970C2">
            <w:pPr>
              <w:rPr>
                <w:color w:val="000000"/>
              </w:rPr>
            </w:pPr>
            <w:r>
              <w:rPr>
                <w:color w:val="000000"/>
              </w:rPr>
              <w:t>Non-Government</w:t>
            </w:r>
          </w:p>
        </w:tc>
        <w:tc>
          <w:tcPr>
            <w:tcW w:w="702" w:type="pct"/>
            <w:tcBorders>
              <w:top w:val="single" w:sz="4" w:space="0" w:color="auto"/>
              <w:left w:val="single" w:sz="4" w:space="0" w:color="auto"/>
              <w:bottom w:val="single" w:sz="4" w:space="0" w:color="auto"/>
              <w:right w:val="single" w:sz="4" w:space="0" w:color="auto"/>
            </w:tcBorders>
            <w:vAlign w:val="center"/>
          </w:tcPr>
          <w:p w14:paraId="7A8C379D" w14:textId="1FE5867F" w:rsidR="00A970C2" w:rsidRPr="00DD7FC8" w:rsidRDefault="00A970C2" w:rsidP="00A970C2">
            <w:r w:rsidRPr="00DD7FC8">
              <w:t>20.00%</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703E8322" w14:textId="66F43FFF" w:rsidR="00A970C2" w:rsidRPr="00DD7FC8" w:rsidRDefault="00A970C2" w:rsidP="00A970C2">
            <w:r w:rsidRPr="00DD7FC8">
              <w:t>20.00%</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2939AE5B" w14:textId="4347FDE4" w:rsidR="00A970C2" w:rsidRPr="00DD7FC8" w:rsidRDefault="00A970C2" w:rsidP="00A970C2">
            <w:r w:rsidRPr="00DD7FC8">
              <w:t>20.00%</w:t>
            </w:r>
          </w:p>
        </w:tc>
        <w:tc>
          <w:tcPr>
            <w:tcW w:w="702" w:type="pct"/>
            <w:tcBorders>
              <w:top w:val="single" w:sz="4" w:space="0" w:color="auto"/>
              <w:left w:val="single" w:sz="4" w:space="0" w:color="auto"/>
              <w:bottom w:val="single" w:sz="4" w:space="0" w:color="auto"/>
              <w:right w:val="single" w:sz="4" w:space="0" w:color="auto"/>
            </w:tcBorders>
          </w:tcPr>
          <w:p w14:paraId="24E2AE67" w14:textId="3BE3EF04" w:rsidR="00A970C2" w:rsidRPr="00DD7FC8" w:rsidRDefault="00A970C2" w:rsidP="00A970C2">
            <w:r w:rsidRPr="00DD7FC8">
              <w:t>20.00%</w:t>
            </w:r>
          </w:p>
        </w:tc>
        <w:tc>
          <w:tcPr>
            <w:tcW w:w="592" w:type="pct"/>
            <w:tcBorders>
              <w:top w:val="single" w:sz="4" w:space="0" w:color="auto"/>
              <w:left w:val="single" w:sz="4" w:space="0" w:color="auto"/>
              <w:bottom w:val="single" w:sz="4" w:space="0" w:color="auto"/>
              <w:right w:val="single" w:sz="4" w:space="0" w:color="auto"/>
            </w:tcBorders>
          </w:tcPr>
          <w:p w14:paraId="27497AFD" w14:textId="32554877" w:rsidR="00A970C2" w:rsidRPr="00DD7FC8" w:rsidRDefault="00A970C2" w:rsidP="00A970C2">
            <w:r w:rsidRPr="00DD7FC8">
              <w:t>20.00%</w:t>
            </w:r>
          </w:p>
        </w:tc>
      </w:tr>
    </w:tbl>
    <w:p w14:paraId="6C9CE7BA" w14:textId="77777777" w:rsidR="00651AEB" w:rsidRDefault="00651AEB" w:rsidP="00651AEB">
      <w:pPr>
        <w:tabs>
          <w:tab w:val="left" w:pos="426"/>
        </w:tabs>
        <w:spacing w:after="240" w:line="260" w:lineRule="exact"/>
        <w:jc w:val="both"/>
        <w:rPr>
          <w:rFonts w:ascii="Corbel" w:eastAsia="Times New Roman" w:hAnsi="Corbel" w:cs="Calibri"/>
          <w:color w:val="000000"/>
          <w:sz w:val="23"/>
          <w:szCs w:val="23"/>
          <w:lang w:eastAsia="en-AU"/>
        </w:rPr>
      </w:pPr>
    </w:p>
    <w:p w14:paraId="5786BD9D" w14:textId="1D07D32B" w:rsidR="00651AEB" w:rsidRPr="00CC0D6A" w:rsidRDefault="00651AEB" w:rsidP="00CC0D6A">
      <w:pPr>
        <w:spacing w:after="240" w:line="260" w:lineRule="exact"/>
        <w:jc w:val="both"/>
        <w:rPr>
          <w:rFonts w:ascii="Corbel" w:eastAsia="Times New Roman" w:hAnsi="Corbel" w:cs="Calibri"/>
          <w:i/>
          <w:iCs/>
          <w:sz w:val="23"/>
          <w:szCs w:val="23"/>
          <w:lang w:eastAsia="en-AU"/>
        </w:rPr>
      </w:pPr>
      <w:r w:rsidRPr="00CC0D6A">
        <w:rPr>
          <w:rFonts w:ascii="Corbel" w:eastAsia="Times New Roman" w:hAnsi="Corbel" w:cs="Calibri"/>
          <w:i/>
          <w:iCs/>
          <w:sz w:val="23"/>
          <w:szCs w:val="23"/>
          <w:lang w:eastAsia="en-AU"/>
        </w:rPr>
        <w:t xml:space="preserve">Table </w:t>
      </w:r>
      <w:r w:rsidR="002A2AAD">
        <w:rPr>
          <w:rFonts w:ascii="Corbel" w:eastAsia="Times New Roman" w:hAnsi="Corbel" w:cs="Calibri"/>
          <w:i/>
          <w:iCs/>
          <w:sz w:val="23"/>
          <w:szCs w:val="23"/>
          <w:lang w:eastAsia="en-AU"/>
        </w:rPr>
        <w:t>2</w:t>
      </w:r>
      <w:r w:rsidRPr="00CC0D6A">
        <w:rPr>
          <w:rFonts w:ascii="Corbel" w:eastAsia="Times New Roman" w:hAnsi="Corbel" w:cs="Calibri"/>
          <w:i/>
          <w:iCs/>
          <w:sz w:val="23"/>
          <w:szCs w:val="23"/>
          <w:lang w:eastAsia="en-AU"/>
        </w:rPr>
        <w:t>: the Commonwealth’s agreed funding shares for Tasmania’s government sector, 2025 to 2029</w:t>
      </w:r>
    </w:p>
    <w:tbl>
      <w:tblPr>
        <w:tblStyle w:val="TableGrid1"/>
        <w:tblW w:w="5000" w:type="pct"/>
        <w:tblCellMar>
          <w:top w:w="57" w:type="dxa"/>
          <w:bottom w:w="57" w:type="dxa"/>
        </w:tblCellMar>
        <w:tblLook w:val="04A0" w:firstRow="1" w:lastRow="0" w:firstColumn="1" w:lastColumn="0" w:noHBand="0" w:noVBand="1"/>
      </w:tblPr>
      <w:tblGrid>
        <w:gridCol w:w="2889"/>
        <w:gridCol w:w="1267"/>
        <w:gridCol w:w="1267"/>
        <w:gridCol w:w="1267"/>
        <w:gridCol w:w="1267"/>
        <w:gridCol w:w="1069"/>
      </w:tblGrid>
      <w:tr w:rsidR="00307183" w:rsidRPr="00BE3E85" w14:paraId="48368DF7" w14:textId="77777777">
        <w:trPr>
          <w:trHeight w:val="238"/>
          <w:tblHeader/>
        </w:trPr>
        <w:tc>
          <w:tcPr>
            <w:tcW w:w="1600" w:type="pct"/>
            <w:tcBorders>
              <w:bottom w:val="single" w:sz="4" w:space="0" w:color="auto"/>
            </w:tcBorders>
            <w:shd w:val="clear" w:color="auto" w:fill="316F72"/>
            <w:vAlign w:val="center"/>
          </w:tcPr>
          <w:p w14:paraId="13D5A1A4" w14:textId="77777777" w:rsidR="00307183" w:rsidRPr="00BE3E85" w:rsidRDefault="00307183">
            <w:pPr>
              <w:spacing w:before="120"/>
              <w:contextualSpacing/>
              <w:jc w:val="center"/>
              <w:rPr>
                <w:b/>
                <w:color w:val="FFFFFF"/>
                <w:spacing w:val="20"/>
              </w:rPr>
            </w:pPr>
          </w:p>
        </w:tc>
        <w:tc>
          <w:tcPr>
            <w:tcW w:w="702" w:type="pct"/>
            <w:tcBorders>
              <w:bottom w:val="single" w:sz="4" w:space="0" w:color="auto"/>
            </w:tcBorders>
            <w:shd w:val="clear" w:color="auto" w:fill="316F72"/>
            <w:vAlign w:val="center"/>
          </w:tcPr>
          <w:p w14:paraId="05A6DCB6" w14:textId="77777777" w:rsidR="00307183" w:rsidRPr="00BE3E85" w:rsidRDefault="00307183">
            <w:pPr>
              <w:spacing w:before="120"/>
              <w:contextualSpacing/>
              <w:jc w:val="center"/>
              <w:rPr>
                <w:b/>
                <w:color w:val="FFFFFF"/>
                <w:spacing w:val="20"/>
              </w:rPr>
            </w:pPr>
            <w:r w:rsidRPr="00BE3E85">
              <w:rPr>
                <w:b/>
                <w:color w:val="FFFFFF"/>
                <w:spacing w:val="20"/>
              </w:rPr>
              <w:t>2025</w:t>
            </w:r>
          </w:p>
        </w:tc>
        <w:tc>
          <w:tcPr>
            <w:tcW w:w="702" w:type="pct"/>
            <w:tcBorders>
              <w:bottom w:val="single" w:sz="4" w:space="0" w:color="auto"/>
            </w:tcBorders>
            <w:shd w:val="clear" w:color="auto" w:fill="316F72"/>
            <w:vAlign w:val="center"/>
          </w:tcPr>
          <w:p w14:paraId="6D6DD435" w14:textId="77777777" w:rsidR="00307183" w:rsidRPr="00BE3E85" w:rsidRDefault="00307183">
            <w:pPr>
              <w:spacing w:before="120"/>
              <w:contextualSpacing/>
              <w:jc w:val="center"/>
              <w:rPr>
                <w:b/>
                <w:color w:val="FFFFFF"/>
                <w:spacing w:val="20"/>
              </w:rPr>
            </w:pPr>
            <w:r w:rsidRPr="00BE3E85">
              <w:rPr>
                <w:b/>
                <w:color w:val="FFFFFF"/>
                <w:spacing w:val="20"/>
              </w:rPr>
              <w:t>2026</w:t>
            </w:r>
          </w:p>
        </w:tc>
        <w:tc>
          <w:tcPr>
            <w:tcW w:w="702" w:type="pct"/>
            <w:tcBorders>
              <w:bottom w:val="single" w:sz="4" w:space="0" w:color="auto"/>
            </w:tcBorders>
            <w:shd w:val="clear" w:color="auto" w:fill="316F72"/>
            <w:vAlign w:val="center"/>
          </w:tcPr>
          <w:p w14:paraId="2972E7E5" w14:textId="77777777" w:rsidR="00307183" w:rsidRPr="00BE3E85" w:rsidRDefault="00307183">
            <w:pPr>
              <w:contextualSpacing/>
              <w:jc w:val="center"/>
              <w:rPr>
                <w:b/>
                <w:color w:val="FFFFFF"/>
                <w:spacing w:val="20"/>
              </w:rPr>
            </w:pPr>
            <w:r w:rsidRPr="00BE3E85">
              <w:rPr>
                <w:b/>
                <w:color w:val="FFFFFF"/>
                <w:spacing w:val="20"/>
              </w:rPr>
              <w:t>2027</w:t>
            </w:r>
          </w:p>
        </w:tc>
        <w:tc>
          <w:tcPr>
            <w:tcW w:w="702" w:type="pct"/>
            <w:tcBorders>
              <w:bottom w:val="single" w:sz="4" w:space="0" w:color="auto"/>
            </w:tcBorders>
            <w:shd w:val="clear" w:color="auto" w:fill="316F72"/>
            <w:vAlign w:val="center"/>
          </w:tcPr>
          <w:p w14:paraId="383712BC" w14:textId="77777777" w:rsidR="00307183" w:rsidRPr="00BE3E85" w:rsidRDefault="00307183">
            <w:pPr>
              <w:contextualSpacing/>
              <w:jc w:val="center"/>
              <w:rPr>
                <w:b/>
                <w:color w:val="FFFFFF"/>
                <w:spacing w:val="20"/>
              </w:rPr>
            </w:pPr>
            <w:r w:rsidRPr="00BE3E85">
              <w:rPr>
                <w:b/>
                <w:color w:val="FFFFFF"/>
                <w:spacing w:val="20"/>
              </w:rPr>
              <w:t>2028</w:t>
            </w:r>
          </w:p>
        </w:tc>
        <w:tc>
          <w:tcPr>
            <w:tcW w:w="592" w:type="pct"/>
            <w:tcBorders>
              <w:bottom w:val="single" w:sz="4" w:space="0" w:color="auto"/>
            </w:tcBorders>
            <w:shd w:val="clear" w:color="auto" w:fill="316F72"/>
            <w:vAlign w:val="center"/>
          </w:tcPr>
          <w:p w14:paraId="33D68845" w14:textId="77777777" w:rsidR="00307183" w:rsidRPr="00BE3E85" w:rsidRDefault="00307183">
            <w:pPr>
              <w:contextualSpacing/>
              <w:jc w:val="center"/>
              <w:rPr>
                <w:b/>
                <w:color w:val="FFFFFF"/>
                <w:spacing w:val="20"/>
              </w:rPr>
            </w:pPr>
            <w:r w:rsidRPr="00BE3E85">
              <w:rPr>
                <w:b/>
                <w:color w:val="FFFFFF"/>
                <w:spacing w:val="20"/>
              </w:rPr>
              <w:t>2029</w:t>
            </w:r>
          </w:p>
        </w:tc>
      </w:tr>
      <w:tr w:rsidR="00307183" w:rsidRPr="00BE3E85" w14:paraId="4FD75CD0" w14:textId="77777777">
        <w:trPr>
          <w:trHeight w:val="359"/>
        </w:trPr>
        <w:tc>
          <w:tcPr>
            <w:tcW w:w="1600" w:type="pct"/>
            <w:tcBorders>
              <w:top w:val="single" w:sz="4" w:space="0" w:color="auto"/>
              <w:left w:val="single" w:sz="4" w:space="0" w:color="auto"/>
              <w:bottom w:val="single" w:sz="4" w:space="0" w:color="auto"/>
              <w:right w:val="single" w:sz="4" w:space="0" w:color="auto"/>
            </w:tcBorders>
            <w:vAlign w:val="center"/>
          </w:tcPr>
          <w:p w14:paraId="6FF120D5" w14:textId="77777777" w:rsidR="00307183" w:rsidRPr="00BE3E85" w:rsidRDefault="00307183">
            <w:pPr>
              <w:rPr>
                <w:color w:val="000000"/>
              </w:rPr>
            </w:pPr>
            <w:r w:rsidRPr="00BE3E85">
              <w:rPr>
                <w:color w:val="000000"/>
              </w:rPr>
              <w:t>Government</w:t>
            </w:r>
            <w:r>
              <w:rPr>
                <w:color w:val="000000"/>
              </w:rPr>
              <w:t xml:space="preserve"> schools</w:t>
            </w:r>
          </w:p>
        </w:tc>
        <w:tc>
          <w:tcPr>
            <w:tcW w:w="702" w:type="pct"/>
            <w:tcBorders>
              <w:top w:val="single" w:sz="4" w:space="0" w:color="auto"/>
              <w:left w:val="single" w:sz="4" w:space="0" w:color="auto"/>
              <w:bottom w:val="single" w:sz="4" w:space="0" w:color="auto"/>
              <w:right w:val="single" w:sz="4" w:space="0" w:color="auto"/>
            </w:tcBorders>
            <w:vAlign w:val="center"/>
          </w:tcPr>
          <w:p w14:paraId="10857EFF" w14:textId="33C33ED5" w:rsidR="00307183" w:rsidRPr="00C804A9" w:rsidRDefault="00B97683">
            <w:r w:rsidRPr="00C804A9">
              <w:t>21.25</w:t>
            </w:r>
            <w:r w:rsidR="00307183" w:rsidRPr="00C804A9">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14:paraId="6C65BA9A" w14:textId="644E5242" w:rsidR="00307183" w:rsidRPr="00C804A9" w:rsidRDefault="00B97683">
            <w:r w:rsidRPr="00C804A9">
              <w:t>22.50</w:t>
            </w:r>
            <w:r w:rsidR="00307183" w:rsidRPr="00C804A9">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14:paraId="15B4881B" w14:textId="2BB6A8DC" w:rsidR="00307183" w:rsidRPr="00C804A9" w:rsidRDefault="00B97683">
            <w:r w:rsidRPr="00C804A9">
              <w:t>22.50</w:t>
            </w:r>
            <w:r w:rsidR="00307183" w:rsidRPr="00C804A9">
              <w:t>%</w:t>
            </w:r>
          </w:p>
        </w:tc>
        <w:tc>
          <w:tcPr>
            <w:tcW w:w="702" w:type="pct"/>
            <w:tcBorders>
              <w:top w:val="single" w:sz="4" w:space="0" w:color="auto"/>
              <w:left w:val="single" w:sz="4" w:space="0" w:color="auto"/>
              <w:bottom w:val="single" w:sz="4" w:space="0" w:color="auto"/>
              <w:right w:val="single" w:sz="4" w:space="0" w:color="auto"/>
            </w:tcBorders>
            <w:vAlign w:val="center"/>
          </w:tcPr>
          <w:p w14:paraId="49D6257C" w14:textId="1978D591" w:rsidR="00307183" w:rsidRPr="00C804A9" w:rsidRDefault="00B97683">
            <w:r w:rsidRPr="00C804A9">
              <w:t>22.50</w:t>
            </w:r>
            <w:r w:rsidR="00307183" w:rsidRPr="00C804A9">
              <w:t>%</w:t>
            </w:r>
          </w:p>
        </w:tc>
        <w:tc>
          <w:tcPr>
            <w:tcW w:w="592" w:type="pct"/>
            <w:tcBorders>
              <w:top w:val="single" w:sz="4" w:space="0" w:color="auto"/>
              <w:left w:val="single" w:sz="4" w:space="0" w:color="auto"/>
              <w:bottom w:val="single" w:sz="4" w:space="0" w:color="auto"/>
              <w:right w:val="single" w:sz="4" w:space="0" w:color="auto"/>
            </w:tcBorders>
            <w:vAlign w:val="center"/>
          </w:tcPr>
          <w:p w14:paraId="3768F04C" w14:textId="78B1D9E6" w:rsidR="00307183" w:rsidRPr="00C804A9" w:rsidRDefault="004A6121">
            <w:r w:rsidRPr="00C804A9">
              <w:t>22</w:t>
            </w:r>
            <w:r w:rsidR="00307183" w:rsidRPr="00C804A9">
              <w:t>.5</w:t>
            </w:r>
            <w:r w:rsidR="00B97683" w:rsidRPr="00C804A9">
              <w:t>0</w:t>
            </w:r>
            <w:r w:rsidR="00307183" w:rsidRPr="00C804A9">
              <w:t>%</w:t>
            </w:r>
          </w:p>
        </w:tc>
      </w:tr>
    </w:tbl>
    <w:p w14:paraId="03CEFDF0" w14:textId="77777777" w:rsidR="00651AEB" w:rsidRPr="00A36C84" w:rsidRDefault="00651AEB" w:rsidP="00A36C84">
      <w:pPr>
        <w:tabs>
          <w:tab w:val="left" w:pos="426"/>
        </w:tabs>
        <w:spacing w:after="240" w:line="260" w:lineRule="exact"/>
        <w:jc w:val="both"/>
        <w:rPr>
          <w:rFonts w:ascii="Corbel" w:eastAsia="Times New Roman" w:hAnsi="Corbel" w:cs="Calibri"/>
          <w:color w:val="000000"/>
          <w:sz w:val="23"/>
          <w:szCs w:val="23"/>
          <w:lang w:eastAsia="en-AU"/>
        </w:rPr>
      </w:pPr>
    </w:p>
    <w:p w14:paraId="1769E83E" w14:textId="26B1490E" w:rsidR="00701442" w:rsidRPr="00701442" w:rsidRDefault="00701442" w:rsidP="00701442">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01442">
        <w:rPr>
          <w:rFonts w:ascii="Corbel" w:eastAsia="Times New Roman" w:hAnsi="Corbel" w:cs="Calibri"/>
          <w:color w:val="000000"/>
          <w:sz w:val="23"/>
          <w:szCs w:val="23"/>
          <w:lang w:eastAsia="en-AU"/>
        </w:rPr>
        <w:t xml:space="preserve">The funding contributions outlined above have </w:t>
      </w:r>
      <w:r w:rsidRPr="00F32E01">
        <w:rPr>
          <w:rFonts w:ascii="Corbel" w:eastAsia="Times New Roman" w:hAnsi="Corbel" w:cs="Calibri"/>
          <w:color w:val="000000"/>
          <w:sz w:val="23"/>
          <w:szCs w:val="23"/>
          <w:lang w:eastAsia="en-AU"/>
        </w:rPr>
        <w:t xml:space="preserve">been agreed </w:t>
      </w:r>
      <w:r w:rsidR="0025230D" w:rsidRPr="00F32E01">
        <w:rPr>
          <w:rFonts w:ascii="Corbel" w:eastAsia="Times New Roman" w:hAnsi="Corbel" w:cs="Calibri"/>
          <w:color w:val="000000"/>
          <w:sz w:val="23"/>
          <w:szCs w:val="23"/>
          <w:lang w:eastAsia="en-AU"/>
        </w:rPr>
        <w:t>having regard to clause</w:t>
      </w:r>
      <w:r w:rsidR="006D71A6">
        <w:rPr>
          <w:rFonts w:ascii="Corbel" w:eastAsia="Times New Roman" w:hAnsi="Corbel" w:cs="Calibri"/>
          <w:color w:val="000000"/>
          <w:sz w:val="23"/>
          <w:szCs w:val="23"/>
          <w:lang w:eastAsia="en-AU"/>
        </w:rPr>
        <w:t xml:space="preserve">s </w:t>
      </w:r>
      <w:r w:rsidR="00252237" w:rsidRPr="00F32E01">
        <w:rPr>
          <w:rFonts w:ascii="Corbel" w:eastAsia="Times New Roman" w:hAnsi="Corbel" w:cs="Calibri"/>
          <w:color w:val="000000"/>
          <w:sz w:val="23"/>
          <w:szCs w:val="23"/>
          <w:lang w:eastAsia="en-AU"/>
        </w:rPr>
        <w:t>5</w:t>
      </w:r>
      <w:r w:rsidR="00252237">
        <w:rPr>
          <w:rFonts w:ascii="Corbel" w:eastAsia="Times New Roman" w:hAnsi="Corbel" w:cs="Calibri"/>
          <w:color w:val="000000"/>
          <w:sz w:val="23"/>
          <w:szCs w:val="23"/>
          <w:lang w:eastAsia="en-AU"/>
        </w:rPr>
        <w:t>4</w:t>
      </w:r>
      <w:r w:rsidR="00252237" w:rsidRPr="00F32E01">
        <w:rPr>
          <w:rFonts w:ascii="Corbel" w:eastAsia="Times New Roman" w:hAnsi="Corbel" w:cs="Calibri"/>
          <w:color w:val="000000"/>
          <w:sz w:val="23"/>
          <w:szCs w:val="23"/>
          <w:lang w:eastAsia="en-AU"/>
        </w:rPr>
        <w:t xml:space="preserve"> </w:t>
      </w:r>
      <w:r w:rsidR="00F32E01" w:rsidRPr="00F32E01">
        <w:rPr>
          <w:rFonts w:ascii="Corbel" w:eastAsia="Times New Roman" w:hAnsi="Corbel" w:cs="Calibri"/>
          <w:color w:val="000000"/>
          <w:sz w:val="23"/>
          <w:szCs w:val="23"/>
          <w:lang w:eastAsia="en-AU"/>
        </w:rPr>
        <w:t>and</w:t>
      </w:r>
      <w:r w:rsidR="0025230D" w:rsidRPr="00F32E01">
        <w:rPr>
          <w:rFonts w:ascii="Corbel" w:eastAsia="Times New Roman" w:hAnsi="Corbel" w:cs="Calibri"/>
          <w:color w:val="000000"/>
          <w:sz w:val="23"/>
          <w:szCs w:val="23"/>
          <w:lang w:eastAsia="en-AU"/>
        </w:rPr>
        <w:t xml:space="preserve"> </w:t>
      </w:r>
      <w:r w:rsidR="00804800" w:rsidRPr="00F32E01">
        <w:rPr>
          <w:rFonts w:ascii="Corbel" w:eastAsia="Times New Roman" w:hAnsi="Corbel" w:cs="Calibri"/>
          <w:color w:val="000000"/>
          <w:sz w:val="23"/>
          <w:szCs w:val="23"/>
          <w:lang w:eastAsia="en-AU"/>
        </w:rPr>
        <w:t>9</w:t>
      </w:r>
      <w:r w:rsidR="00804800">
        <w:rPr>
          <w:rFonts w:ascii="Corbel" w:eastAsia="Times New Roman" w:hAnsi="Corbel" w:cs="Calibri"/>
          <w:color w:val="000000"/>
          <w:sz w:val="23"/>
          <w:szCs w:val="23"/>
          <w:lang w:eastAsia="en-AU"/>
        </w:rPr>
        <w:t>3</w:t>
      </w:r>
      <w:r w:rsidR="00804800" w:rsidRPr="00F32E01">
        <w:rPr>
          <w:rFonts w:ascii="Corbel" w:eastAsia="Times New Roman" w:hAnsi="Corbel" w:cs="Calibri"/>
          <w:color w:val="000000"/>
          <w:sz w:val="23"/>
          <w:szCs w:val="23"/>
          <w:lang w:eastAsia="en-AU"/>
        </w:rPr>
        <w:t xml:space="preserve"> </w:t>
      </w:r>
      <w:r w:rsidR="0025230D" w:rsidRPr="00F32E01">
        <w:rPr>
          <w:rFonts w:ascii="Corbel" w:eastAsia="Times New Roman" w:hAnsi="Corbel" w:cs="Calibri"/>
          <w:color w:val="000000"/>
          <w:sz w:val="23"/>
          <w:szCs w:val="23"/>
          <w:lang w:eastAsia="en-AU"/>
        </w:rPr>
        <w:t xml:space="preserve">of this Bilateral Agreement </w:t>
      </w:r>
      <w:r w:rsidRPr="00F32E01">
        <w:rPr>
          <w:rFonts w:ascii="Corbel" w:eastAsia="Times New Roman" w:hAnsi="Corbel" w:cs="Calibri"/>
          <w:color w:val="000000"/>
          <w:sz w:val="23"/>
          <w:szCs w:val="23"/>
          <w:lang w:eastAsia="en-AU"/>
        </w:rPr>
        <w:t>based on the following</w:t>
      </w:r>
      <w:r w:rsidRPr="00701442">
        <w:rPr>
          <w:rFonts w:ascii="Corbel" w:eastAsia="Times New Roman" w:hAnsi="Corbel" w:cs="Calibri"/>
          <w:color w:val="000000"/>
          <w:sz w:val="23"/>
          <w:szCs w:val="23"/>
          <w:lang w:eastAsia="en-AU"/>
        </w:rPr>
        <w:t xml:space="preserve"> rationale:</w:t>
      </w:r>
    </w:p>
    <w:p w14:paraId="54FF5C1A" w14:textId="53797721" w:rsidR="00701442" w:rsidRPr="0076458A" w:rsidRDefault="00FD02AB" w:rsidP="007449B2">
      <w:pPr>
        <w:pStyle w:val="ListParagraph"/>
        <w:numPr>
          <w:ilvl w:val="1"/>
          <w:numId w:val="1"/>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76458A">
        <w:rPr>
          <w:rFonts w:ascii="Corbel" w:eastAsia="Times New Roman" w:hAnsi="Corbel" w:cs="Calibri"/>
          <w:color w:val="000000"/>
          <w:sz w:val="23"/>
          <w:szCs w:val="23"/>
          <w:lang w:eastAsia="en-AU"/>
        </w:rPr>
        <w:t xml:space="preserve">Tasmania’s </w:t>
      </w:r>
      <w:r w:rsidR="00701442" w:rsidRPr="0076458A">
        <w:rPr>
          <w:rFonts w:ascii="Corbel" w:eastAsia="Times New Roman" w:hAnsi="Corbel" w:cs="Calibri"/>
          <w:color w:val="000000"/>
          <w:sz w:val="23"/>
          <w:szCs w:val="23"/>
          <w:lang w:eastAsia="en-AU"/>
        </w:rPr>
        <w:t xml:space="preserve">final share for government schools in Tasmania will be at least </w:t>
      </w:r>
      <w:r w:rsidRPr="0076458A">
        <w:rPr>
          <w:rFonts w:ascii="Corbel" w:eastAsia="Times New Roman" w:hAnsi="Corbel" w:cs="Calibri"/>
          <w:color w:val="000000"/>
          <w:sz w:val="23"/>
          <w:szCs w:val="23"/>
          <w:lang w:eastAsia="en-AU"/>
        </w:rPr>
        <w:t xml:space="preserve">77.5 </w:t>
      </w:r>
      <w:r w:rsidR="00701442" w:rsidRPr="0076458A">
        <w:rPr>
          <w:rFonts w:ascii="Corbel" w:eastAsia="Times New Roman" w:hAnsi="Corbel" w:cs="Calibri"/>
          <w:color w:val="000000"/>
          <w:sz w:val="23"/>
          <w:szCs w:val="23"/>
          <w:lang w:eastAsia="en-AU"/>
        </w:rPr>
        <w:t xml:space="preserve">per cent of the SRS by </w:t>
      </w:r>
      <w:r w:rsidR="00B618B5" w:rsidRPr="0076458A">
        <w:rPr>
          <w:rFonts w:ascii="Corbel" w:eastAsia="Times New Roman" w:hAnsi="Corbel" w:cs="Calibri"/>
          <w:color w:val="000000"/>
          <w:sz w:val="23"/>
          <w:szCs w:val="23"/>
          <w:lang w:eastAsia="en-AU"/>
        </w:rPr>
        <w:t>20</w:t>
      </w:r>
      <w:r w:rsidR="00B618B5" w:rsidRPr="00C804A9">
        <w:rPr>
          <w:rFonts w:ascii="Corbel" w:eastAsia="Times New Roman" w:hAnsi="Corbel" w:cs="Calibri"/>
          <w:color w:val="000000"/>
          <w:sz w:val="23"/>
          <w:szCs w:val="23"/>
          <w:lang w:eastAsia="en-AU"/>
        </w:rPr>
        <w:t>2</w:t>
      </w:r>
      <w:r w:rsidR="002554AC">
        <w:rPr>
          <w:rFonts w:ascii="Corbel" w:eastAsia="Times New Roman" w:hAnsi="Corbel" w:cs="Calibri"/>
          <w:color w:val="000000"/>
          <w:sz w:val="23"/>
          <w:szCs w:val="23"/>
          <w:lang w:eastAsia="en-AU"/>
        </w:rPr>
        <w:t>6</w:t>
      </w:r>
      <w:r w:rsidR="00701442" w:rsidRPr="0076458A">
        <w:rPr>
          <w:rFonts w:ascii="Corbel" w:eastAsia="Times New Roman" w:hAnsi="Corbel" w:cs="Calibri"/>
          <w:color w:val="000000"/>
          <w:sz w:val="23"/>
          <w:szCs w:val="23"/>
          <w:lang w:eastAsia="en-AU"/>
        </w:rPr>
        <w:t>.</w:t>
      </w:r>
    </w:p>
    <w:p w14:paraId="637D3985" w14:textId="3B4B599F" w:rsidR="00701442" w:rsidRPr="0076458A" w:rsidRDefault="00FD02AB" w:rsidP="007449B2">
      <w:pPr>
        <w:pStyle w:val="ListParagraph"/>
        <w:numPr>
          <w:ilvl w:val="1"/>
          <w:numId w:val="1"/>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76458A">
        <w:rPr>
          <w:rFonts w:ascii="Corbel" w:eastAsia="Times New Roman" w:hAnsi="Corbel" w:cs="Calibri"/>
          <w:color w:val="000000"/>
          <w:sz w:val="23"/>
          <w:szCs w:val="23"/>
          <w:lang w:eastAsia="en-AU"/>
        </w:rPr>
        <w:t xml:space="preserve">Tasmania’s </w:t>
      </w:r>
      <w:r w:rsidR="00701442" w:rsidRPr="0076458A">
        <w:rPr>
          <w:rFonts w:ascii="Corbel" w:eastAsia="Times New Roman" w:hAnsi="Corbel" w:cs="Calibri"/>
          <w:color w:val="000000"/>
          <w:sz w:val="23"/>
          <w:szCs w:val="23"/>
          <w:lang w:eastAsia="en-AU"/>
        </w:rPr>
        <w:t>final share for non-government schools in Tasmania will be at least 20 per cent of the SRS.</w:t>
      </w:r>
    </w:p>
    <w:p w14:paraId="1EB32324" w14:textId="0543F6A4" w:rsidR="00010B4E" w:rsidRPr="000E6A75" w:rsidRDefault="00701442" w:rsidP="00010B4E">
      <w:pPr>
        <w:pStyle w:val="ListParagraph"/>
        <w:numPr>
          <w:ilvl w:val="1"/>
          <w:numId w:val="1"/>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103B58">
        <w:rPr>
          <w:rFonts w:ascii="Corbel" w:eastAsia="Times New Roman" w:hAnsi="Corbel" w:cs="Calibri"/>
          <w:color w:val="000000"/>
          <w:sz w:val="23"/>
          <w:szCs w:val="23"/>
          <w:lang w:eastAsia="en-AU"/>
        </w:rPr>
        <w:t xml:space="preserve">Tasmania </w:t>
      </w:r>
      <w:r w:rsidR="002B015B" w:rsidRPr="00784645">
        <w:rPr>
          <w:rFonts w:ascii="Corbel" w:eastAsia="Times New Roman" w:hAnsi="Corbel" w:cs="Calibri"/>
          <w:color w:val="000000"/>
          <w:sz w:val="23"/>
          <w:szCs w:val="23"/>
          <w:lang w:eastAsia="en-AU"/>
        </w:rPr>
        <w:t xml:space="preserve">may </w:t>
      </w:r>
      <w:r w:rsidRPr="00784645">
        <w:rPr>
          <w:rFonts w:ascii="Corbel" w:eastAsia="Times New Roman" w:hAnsi="Corbel" w:cs="Calibri"/>
          <w:color w:val="000000"/>
          <w:sz w:val="23"/>
          <w:szCs w:val="23"/>
          <w:lang w:eastAsia="en-AU"/>
        </w:rPr>
        <w:t>use its needs-based funding model</w:t>
      </w:r>
      <w:r w:rsidR="002B015B" w:rsidRPr="00784645">
        <w:rPr>
          <w:rFonts w:ascii="Corbel" w:eastAsia="Times New Roman" w:hAnsi="Corbel" w:cs="Calibri"/>
          <w:color w:val="000000"/>
          <w:sz w:val="23"/>
          <w:szCs w:val="23"/>
          <w:lang w:eastAsia="en-AU"/>
        </w:rPr>
        <w:t xml:space="preserve"> for government schools</w:t>
      </w:r>
      <w:r w:rsidRPr="00784645">
        <w:rPr>
          <w:rFonts w:ascii="Corbel" w:eastAsia="Times New Roman" w:hAnsi="Corbel" w:cs="Calibri"/>
          <w:color w:val="000000"/>
          <w:sz w:val="23"/>
          <w:szCs w:val="23"/>
          <w:lang w:eastAsia="en-AU"/>
        </w:rPr>
        <w:t xml:space="preserve"> to direct additional funding towards the implementation of National Reform Directions</w:t>
      </w:r>
      <w:r w:rsidRPr="00103B58">
        <w:rPr>
          <w:rFonts w:ascii="Corbel" w:eastAsia="Times New Roman" w:hAnsi="Corbel" w:cs="Calibri"/>
          <w:color w:val="000000"/>
          <w:sz w:val="23"/>
          <w:szCs w:val="23"/>
          <w:lang w:eastAsia="en-AU"/>
        </w:rPr>
        <w:t xml:space="preserve"> and National Enabling Initiatives (as defined in Part 4 of the Heads of Agreement)</w:t>
      </w:r>
      <w:r w:rsidR="002B015B">
        <w:rPr>
          <w:rFonts w:ascii="Corbel" w:eastAsia="Times New Roman" w:hAnsi="Corbel" w:cs="Calibri"/>
          <w:color w:val="000000"/>
          <w:sz w:val="23"/>
          <w:szCs w:val="23"/>
          <w:lang w:eastAsia="en-AU"/>
        </w:rPr>
        <w:t>.</w:t>
      </w:r>
    </w:p>
    <w:p w14:paraId="6D125ACE" w14:textId="761A9EAD" w:rsidR="009510F5" w:rsidRPr="00B22DBB" w:rsidRDefault="00034DA5" w:rsidP="00EA1311">
      <w:pPr>
        <w:pStyle w:val="ListParagraph"/>
        <w:keepLines/>
        <w:numPr>
          <w:ilvl w:val="1"/>
          <w:numId w:val="1"/>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28EE9760">
        <w:rPr>
          <w:rFonts w:ascii="Corbel" w:eastAsia="Times New Roman" w:hAnsi="Corbel" w:cs="Calibri"/>
          <w:color w:val="000000" w:themeColor="text1"/>
          <w:sz w:val="23"/>
          <w:szCs w:val="23"/>
          <w:lang w:eastAsia="en-AU"/>
        </w:rPr>
        <w:lastRenderedPageBreak/>
        <w:t>Tasmania may direct the additional Commonwealth funding provided as part of the Head Agreement to schools with the highest levels of need according to Tasmania’s needs-based funding arrangements</w:t>
      </w:r>
      <w:r w:rsidR="003568EA" w:rsidRPr="28EE9760">
        <w:rPr>
          <w:rFonts w:ascii="Corbel" w:eastAsia="Times New Roman" w:hAnsi="Corbel" w:cs="Calibri"/>
          <w:color w:val="000000" w:themeColor="text1"/>
          <w:sz w:val="23"/>
          <w:szCs w:val="23"/>
          <w:lang w:eastAsia="en-AU"/>
        </w:rPr>
        <w:t xml:space="preserve"> (consistent with </w:t>
      </w:r>
      <w:r w:rsidR="00091C7D" w:rsidRPr="28EE9760">
        <w:rPr>
          <w:rFonts w:ascii="Corbel" w:eastAsia="Times New Roman" w:hAnsi="Corbel" w:cs="Calibri"/>
          <w:color w:val="000000" w:themeColor="text1"/>
          <w:sz w:val="23"/>
          <w:szCs w:val="23"/>
          <w:lang w:eastAsia="en-AU"/>
        </w:rPr>
        <w:t>sub</w:t>
      </w:r>
      <w:r w:rsidR="00916013" w:rsidRPr="28EE9760">
        <w:rPr>
          <w:rFonts w:ascii="Corbel" w:eastAsia="Times New Roman" w:hAnsi="Corbel" w:cs="Calibri"/>
          <w:color w:val="000000" w:themeColor="text1"/>
          <w:sz w:val="23"/>
          <w:szCs w:val="23"/>
          <w:lang w:eastAsia="en-AU"/>
        </w:rPr>
        <w:t>clause 78(b) of the Heads of Agreement)</w:t>
      </w:r>
      <w:r w:rsidRPr="28EE9760">
        <w:rPr>
          <w:rFonts w:ascii="Corbel" w:eastAsia="Times New Roman" w:hAnsi="Corbel" w:cs="Calibri"/>
          <w:color w:val="000000" w:themeColor="text1"/>
          <w:sz w:val="23"/>
          <w:szCs w:val="23"/>
          <w:lang w:eastAsia="en-AU"/>
        </w:rPr>
        <w:t>. This may include but is not limited to, allocation of funding or resources, or central or regional services or supports or resources provided to schools as part of its local needs-based funding arrangements consistent with the Act.</w:t>
      </w:r>
    </w:p>
    <w:p w14:paraId="6F94FB7C" w14:textId="6945C178" w:rsidR="00CA3FFB" w:rsidRPr="00B22DBB" w:rsidRDefault="00CA3FFB" w:rsidP="3B99C20F">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B22DBB">
        <w:rPr>
          <w:rFonts w:ascii="Corbel" w:eastAsia="Times New Roman" w:hAnsi="Corbel" w:cs="Calibri"/>
          <w:color w:val="000000"/>
          <w:sz w:val="23"/>
          <w:szCs w:val="23"/>
          <w:lang w:eastAsia="en-AU"/>
        </w:rPr>
        <w:t>Additional Commonwealth funding in this Bilateral Agreement (and in the Heads of Agreement as it applies to Tasmania) is to be interpreted as the additional Commonwealth funding share received by Tasmania under this Bilateral Agreement over and above the Commonwealth’s baseline share (20 per cent) of the SRS for public schools in 2024.</w:t>
      </w:r>
    </w:p>
    <w:p w14:paraId="05C9B2B6" w14:textId="2F154DE3" w:rsidR="00304AA5" w:rsidRPr="00405C5A" w:rsidRDefault="00304AA5" w:rsidP="3B99C20F">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B22DBB">
        <w:rPr>
          <w:rFonts w:ascii="Corbel" w:eastAsia="Times New Roman" w:hAnsi="Corbel" w:cs="Calibri"/>
          <w:color w:val="000000" w:themeColor="text1"/>
          <w:sz w:val="23"/>
          <w:szCs w:val="23"/>
          <w:lang w:eastAsia="en-AU"/>
        </w:rPr>
        <w:t xml:space="preserve">The Commonwealth’s additional funding for government schools will be provided through increasing the Commonwealth’s share from 20 per cent to 22.5 per cent of the SRS by </w:t>
      </w:r>
      <w:r w:rsidR="00C61049" w:rsidRPr="00B22DBB">
        <w:rPr>
          <w:rFonts w:ascii="Corbel" w:eastAsia="Times New Roman" w:hAnsi="Corbel" w:cs="Calibri"/>
          <w:color w:val="000000" w:themeColor="text1"/>
          <w:sz w:val="23"/>
          <w:szCs w:val="23"/>
          <w:lang w:eastAsia="en-AU"/>
        </w:rPr>
        <w:t>202</w:t>
      </w:r>
      <w:r w:rsidR="004903C0">
        <w:rPr>
          <w:rFonts w:ascii="Corbel" w:eastAsia="Times New Roman" w:hAnsi="Corbel" w:cs="Calibri"/>
          <w:color w:val="000000" w:themeColor="text1"/>
          <w:sz w:val="23"/>
          <w:szCs w:val="23"/>
          <w:lang w:eastAsia="en-AU"/>
        </w:rPr>
        <w:t>6</w:t>
      </w:r>
      <w:r w:rsidRPr="00C804A9">
        <w:rPr>
          <w:rFonts w:ascii="Corbel" w:eastAsia="Times New Roman" w:hAnsi="Corbel" w:cs="Calibri"/>
          <w:color w:val="000000" w:themeColor="text1"/>
          <w:sz w:val="23"/>
          <w:szCs w:val="23"/>
          <w:lang w:eastAsia="en-AU"/>
        </w:rPr>
        <w:t>,</w:t>
      </w:r>
      <w:r w:rsidRPr="00B22DBB">
        <w:rPr>
          <w:rFonts w:ascii="Corbel" w:eastAsia="Times New Roman" w:hAnsi="Corbel" w:cs="Calibri"/>
          <w:color w:val="000000" w:themeColor="text1"/>
          <w:sz w:val="23"/>
          <w:szCs w:val="23"/>
          <w:lang w:eastAsia="en-AU"/>
        </w:rPr>
        <w:t xml:space="preserve"> with the Commonwealth matching the time period and funding pathway of Tasmania’s transition to 77.5 per cent.</w:t>
      </w:r>
    </w:p>
    <w:p w14:paraId="05B1968D" w14:textId="77777777" w:rsidR="0019443F" w:rsidRPr="00A93588" w:rsidRDefault="0019443F" w:rsidP="0019443F">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93588">
        <w:rPr>
          <w:rFonts w:ascii="Corbel" w:eastAsia="Times New Roman" w:hAnsi="Corbel" w:cs="Calibri"/>
          <w:color w:val="000000" w:themeColor="text1"/>
          <w:sz w:val="23"/>
          <w:szCs w:val="23"/>
          <w:lang w:eastAsia="en-AU"/>
        </w:rPr>
        <w:t>Once reached, the Commonwealth’s share of 22.5 per cent of the SRS for Tasmanian Government schools will remain for the term of the Heads of Agreement, subject to clauses 12-14 of this Bilateral Agreement being enacted.</w:t>
      </w:r>
    </w:p>
    <w:p w14:paraId="48CBB1AE" w14:textId="3BB5274E" w:rsidR="003207F0" w:rsidRPr="004867E7" w:rsidRDefault="0019443F" w:rsidP="0019443F">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93588">
        <w:rPr>
          <w:rFonts w:ascii="Corbel" w:eastAsia="Times New Roman" w:hAnsi="Corbel" w:cs="Calibri"/>
          <w:color w:val="000000" w:themeColor="text1"/>
          <w:sz w:val="23"/>
          <w:szCs w:val="23"/>
          <w:lang w:eastAsia="en-AU"/>
        </w:rPr>
        <w:t>The Commonwealth’s share of the SRS for Tasmania</w:t>
      </w:r>
      <w:r w:rsidR="00235A89" w:rsidRPr="00A93588">
        <w:rPr>
          <w:rFonts w:ascii="Corbel" w:eastAsia="Times New Roman" w:hAnsi="Corbel" w:cs="Calibri"/>
          <w:color w:val="000000" w:themeColor="text1"/>
          <w:sz w:val="23"/>
          <w:szCs w:val="23"/>
          <w:lang w:eastAsia="en-AU"/>
        </w:rPr>
        <w:t>n</w:t>
      </w:r>
      <w:r w:rsidRPr="00A93588">
        <w:rPr>
          <w:rFonts w:ascii="Corbel" w:eastAsia="Times New Roman" w:hAnsi="Corbel" w:cs="Calibri"/>
          <w:color w:val="000000" w:themeColor="text1"/>
          <w:sz w:val="23"/>
          <w:szCs w:val="23"/>
          <w:lang w:eastAsia="en-AU"/>
        </w:rPr>
        <w:t xml:space="preserve"> government schools in any given year is to be reflected by the Commonweal</w:t>
      </w:r>
      <w:r w:rsidRPr="00EE3123">
        <w:rPr>
          <w:rFonts w:ascii="Corbel" w:eastAsia="Times New Roman" w:hAnsi="Corbel" w:cs="Calibri"/>
          <w:color w:val="000000" w:themeColor="text1"/>
          <w:sz w:val="23"/>
          <w:szCs w:val="23"/>
          <w:lang w:eastAsia="en-AU"/>
        </w:rPr>
        <w:t>th in</w:t>
      </w:r>
      <w:r w:rsidR="0073728A" w:rsidRPr="00EE3123">
        <w:rPr>
          <w:rFonts w:ascii="Corbel" w:eastAsia="Times New Roman" w:hAnsi="Corbel" w:cs="Calibri"/>
          <w:color w:val="000000" w:themeColor="text1"/>
          <w:sz w:val="23"/>
          <w:szCs w:val="23"/>
          <w:lang w:eastAsia="en-AU"/>
        </w:rPr>
        <w:t xml:space="preserve"> legislation.</w:t>
      </w:r>
    </w:p>
    <w:p w14:paraId="45338213" w14:textId="77777777" w:rsidR="004867E7" w:rsidRPr="00A93588" w:rsidRDefault="004867E7" w:rsidP="004867E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93588">
        <w:rPr>
          <w:rFonts w:ascii="Corbel" w:eastAsia="Times New Roman" w:hAnsi="Corbel" w:cs="Calibri"/>
          <w:color w:val="000000"/>
          <w:sz w:val="23"/>
          <w:szCs w:val="23"/>
          <w:lang w:eastAsia="en-AU"/>
        </w:rPr>
        <w:t>As per clause 41 of the Heads of Agreement, Tasmania and the Commonwealth acknowledge that there are a range of external factors and services that may impact schools, students and their learning.</w:t>
      </w:r>
    </w:p>
    <w:p w14:paraId="247BF0A3" w14:textId="77777777" w:rsidR="004867E7" w:rsidRPr="00A93588" w:rsidRDefault="004867E7" w:rsidP="004867E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93588">
        <w:rPr>
          <w:rFonts w:ascii="Corbel" w:eastAsia="Times New Roman" w:hAnsi="Corbel" w:cs="Calibri"/>
          <w:color w:val="000000"/>
          <w:sz w:val="23"/>
          <w:szCs w:val="23"/>
          <w:lang w:eastAsia="en-AU"/>
        </w:rPr>
        <w:t>In December 2023, National Cabinet agreed that funding for foundational supports for students with disability is to be agreed through new Federal Funding Agreements, with additional costs split between the Commonwealth, states and territories and final details to be settled through the Council of Federal Financial Relations.</w:t>
      </w:r>
    </w:p>
    <w:p w14:paraId="4EFE6C9A" w14:textId="0AC943EE" w:rsidR="004867E7" w:rsidRDefault="004867E7" w:rsidP="004867E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93588">
        <w:rPr>
          <w:rFonts w:ascii="Corbel" w:eastAsia="Times New Roman" w:hAnsi="Corbel" w:cs="Calibri"/>
          <w:color w:val="000000"/>
          <w:sz w:val="23"/>
          <w:szCs w:val="23"/>
          <w:lang w:eastAsia="en-AU"/>
        </w:rPr>
        <w:t>Disability reforms, including those related to changes to the National Disability Insurance Scheme (NDIS) including foundational supports, may impact Tasmania’s education services. Commonwealth funding under the Heads of Agreement and this Bilateral Agreement is not for those purposes.</w:t>
      </w:r>
    </w:p>
    <w:p w14:paraId="0418461A" w14:textId="25EDA8D7" w:rsidR="00B832A0" w:rsidRPr="00B832A0" w:rsidRDefault="00701442" w:rsidP="00E15004">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5D144295">
        <w:rPr>
          <w:rFonts w:ascii="Corbel" w:eastAsia="Times New Roman" w:hAnsi="Corbel" w:cs="Calibri"/>
          <w:color w:val="000000" w:themeColor="text1"/>
          <w:sz w:val="23"/>
          <w:szCs w:val="23"/>
          <w:lang w:eastAsia="en-AU"/>
        </w:rPr>
        <w:t xml:space="preserve">Consistent with clause 44 of the </w:t>
      </w:r>
      <w:r w:rsidR="00350B6E">
        <w:rPr>
          <w:rFonts w:ascii="Corbel" w:eastAsia="Times New Roman" w:hAnsi="Corbel" w:cs="Calibri"/>
          <w:color w:val="000000" w:themeColor="text1"/>
          <w:sz w:val="23"/>
          <w:szCs w:val="23"/>
          <w:lang w:eastAsia="en-AU"/>
        </w:rPr>
        <w:t xml:space="preserve">Heads of </w:t>
      </w:r>
      <w:r w:rsidRPr="5D144295">
        <w:rPr>
          <w:rFonts w:ascii="Corbel" w:eastAsia="Times New Roman" w:hAnsi="Corbel" w:cs="Calibri"/>
          <w:color w:val="000000" w:themeColor="text1"/>
          <w:sz w:val="23"/>
          <w:szCs w:val="23"/>
          <w:lang w:eastAsia="en-AU"/>
        </w:rPr>
        <w:t xml:space="preserve">Agreement and in the event of a change to the SRS that results in an impact on state contribution requirements, Ministers will agree to vary the contribution shares set out in clause </w:t>
      </w:r>
      <w:r w:rsidR="00E73B32" w:rsidRPr="5D144295">
        <w:rPr>
          <w:rFonts w:ascii="Corbel" w:eastAsia="Times New Roman" w:hAnsi="Corbel" w:cs="Calibri"/>
          <w:color w:val="000000" w:themeColor="text1"/>
          <w:sz w:val="23"/>
          <w:szCs w:val="23"/>
          <w:lang w:eastAsia="en-AU"/>
        </w:rPr>
        <w:t>5</w:t>
      </w:r>
      <w:r w:rsidR="00E73B32">
        <w:rPr>
          <w:rFonts w:ascii="Corbel" w:eastAsia="Times New Roman" w:hAnsi="Corbel" w:cs="Calibri"/>
          <w:color w:val="000000" w:themeColor="text1"/>
          <w:sz w:val="23"/>
          <w:szCs w:val="23"/>
          <w:lang w:eastAsia="en-AU"/>
        </w:rPr>
        <w:t>1</w:t>
      </w:r>
      <w:r w:rsidR="00E73B32" w:rsidRPr="5D144295">
        <w:rPr>
          <w:rFonts w:ascii="Corbel" w:eastAsia="Times New Roman" w:hAnsi="Corbel" w:cs="Calibri"/>
          <w:color w:val="000000" w:themeColor="text1"/>
          <w:sz w:val="23"/>
          <w:szCs w:val="23"/>
          <w:lang w:eastAsia="en-AU"/>
        </w:rPr>
        <w:t xml:space="preserve"> </w:t>
      </w:r>
      <w:r w:rsidRPr="5D144295">
        <w:rPr>
          <w:rFonts w:ascii="Corbel" w:eastAsia="Times New Roman" w:hAnsi="Corbel" w:cs="Calibri"/>
          <w:color w:val="000000" w:themeColor="text1"/>
          <w:sz w:val="23"/>
          <w:szCs w:val="23"/>
          <w:lang w:eastAsia="en-AU"/>
        </w:rPr>
        <w:t xml:space="preserve">above to ensure that the state contribution amount is not impacted. </w:t>
      </w:r>
      <w:r w:rsidR="00BD5EAE" w:rsidRPr="005346CF">
        <w:rPr>
          <w:rFonts w:ascii="Corbel" w:eastAsia="Times New Roman" w:hAnsi="Corbel" w:cs="Calibri"/>
          <w:color w:val="000000"/>
          <w:sz w:val="23"/>
          <w:szCs w:val="23"/>
          <w:lang w:eastAsia="en-AU"/>
        </w:rPr>
        <w:t xml:space="preserve">The amended </w:t>
      </w:r>
      <w:r w:rsidR="007D7870">
        <w:rPr>
          <w:rFonts w:ascii="Corbel" w:eastAsia="Times New Roman" w:hAnsi="Corbel" w:cs="Calibri"/>
          <w:color w:val="000000"/>
          <w:sz w:val="23"/>
          <w:szCs w:val="23"/>
          <w:lang w:eastAsia="en-AU"/>
        </w:rPr>
        <w:t>amount</w:t>
      </w:r>
      <w:r w:rsidR="00BD5EAE" w:rsidRPr="00A54003">
        <w:rPr>
          <w:rFonts w:ascii="Corbel" w:eastAsia="Times New Roman" w:hAnsi="Corbel" w:cs="Calibri"/>
          <w:color w:val="000000"/>
          <w:sz w:val="23"/>
          <w:szCs w:val="23"/>
          <w:lang w:eastAsia="en-AU"/>
        </w:rPr>
        <w:t xml:space="preserve"> should </w:t>
      </w:r>
      <w:r w:rsidR="007D7870">
        <w:rPr>
          <w:rFonts w:ascii="Corbel" w:eastAsia="Times New Roman" w:hAnsi="Corbel" w:cs="Calibri"/>
          <w:color w:val="000000"/>
          <w:sz w:val="23"/>
          <w:szCs w:val="23"/>
          <w:lang w:eastAsia="en-AU"/>
        </w:rPr>
        <w:t>represent the funding calculated as if the SRS settings are applied that were in operation at the time the agreement commenced. The Commonwealth will facilitate this process by providing the data required to enable Tasmania to calculate the amount of its contribution on an unchanged basis.</w:t>
      </w:r>
      <w:r w:rsidR="00E15004">
        <w:rPr>
          <w:rFonts w:ascii="Corbel" w:eastAsia="Times New Roman" w:hAnsi="Corbel" w:cs="Calibri"/>
          <w:color w:val="000000"/>
          <w:sz w:val="23"/>
          <w:szCs w:val="23"/>
          <w:lang w:eastAsia="en-AU"/>
        </w:rPr>
        <w:br w:type="page"/>
      </w:r>
    </w:p>
    <w:p w14:paraId="4E65F7AD" w14:textId="5B421F41" w:rsidR="00C355C5" w:rsidRPr="001C3E98" w:rsidRDefault="00644C7D" w:rsidP="001C3E98">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lastRenderedPageBreak/>
        <w:t>Measurement of contributions</w:t>
      </w:r>
    </w:p>
    <w:p w14:paraId="196AD764" w14:textId="57A5FD35" w:rsidR="001C3E98" w:rsidRPr="001C3E98" w:rsidRDefault="001C3E98" w:rsidP="001C3E98">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C3E98">
        <w:rPr>
          <w:rFonts w:ascii="Corbel" w:eastAsia="Times New Roman" w:hAnsi="Corbel" w:cs="Calibri"/>
          <w:color w:val="000000"/>
          <w:sz w:val="23"/>
          <w:szCs w:val="23"/>
          <w:lang w:eastAsia="en-AU"/>
        </w:rPr>
        <w:t xml:space="preserve">For the purpose of this Schedule, Tasmania and the Commonwealth have agreed the costs that are measured towards Tasmania’s funding contribution requirements for the government and non-government sectors. In assessing compliance with section 22A of the Act, the National School Resourcing Board's </w:t>
      </w:r>
      <w:r w:rsidR="00D51DA6">
        <w:rPr>
          <w:rFonts w:ascii="Corbel" w:eastAsia="Times New Roman" w:hAnsi="Corbel" w:cs="Calibri"/>
          <w:color w:val="000000"/>
          <w:sz w:val="23"/>
          <w:szCs w:val="23"/>
          <w:lang w:eastAsia="en-AU"/>
        </w:rPr>
        <w:t xml:space="preserve">(the Board) </w:t>
      </w:r>
      <w:r w:rsidRPr="001C3E98">
        <w:rPr>
          <w:rFonts w:ascii="Corbel" w:eastAsia="Times New Roman" w:hAnsi="Corbel" w:cs="Calibri"/>
          <w:color w:val="000000"/>
          <w:sz w:val="23"/>
          <w:szCs w:val="23"/>
          <w:lang w:eastAsia="en-AU"/>
        </w:rPr>
        <w:t xml:space="preserve">Terms of Reference will direct the Board to use this agreed methodology for measurement of the state's contribution, including as set out in clauses </w:t>
      </w:r>
      <w:r w:rsidR="00092BD4">
        <w:rPr>
          <w:rFonts w:ascii="Corbel" w:eastAsia="Times New Roman" w:hAnsi="Corbel" w:cs="Calibri"/>
          <w:color w:val="000000"/>
          <w:sz w:val="23"/>
          <w:szCs w:val="23"/>
          <w:lang w:eastAsia="en-AU"/>
        </w:rPr>
        <w:t>62</w:t>
      </w:r>
      <w:r w:rsidR="00092BD4" w:rsidRPr="001C3E98">
        <w:rPr>
          <w:rFonts w:ascii="Corbel" w:eastAsia="Times New Roman" w:hAnsi="Corbel" w:cs="Calibri"/>
          <w:color w:val="000000"/>
          <w:sz w:val="23"/>
          <w:szCs w:val="23"/>
          <w:lang w:eastAsia="en-AU"/>
        </w:rPr>
        <w:t xml:space="preserve"> </w:t>
      </w:r>
      <w:r w:rsidRPr="001C3E98">
        <w:rPr>
          <w:rFonts w:ascii="Corbel" w:eastAsia="Times New Roman" w:hAnsi="Corbel" w:cs="Calibri"/>
          <w:color w:val="000000"/>
          <w:sz w:val="23"/>
          <w:szCs w:val="23"/>
          <w:lang w:eastAsia="en-AU"/>
        </w:rPr>
        <w:t xml:space="preserve">and </w:t>
      </w:r>
      <w:r w:rsidR="00092BD4">
        <w:rPr>
          <w:rFonts w:ascii="Corbel" w:eastAsia="Times New Roman" w:hAnsi="Corbel" w:cs="Calibri"/>
          <w:color w:val="000000"/>
          <w:sz w:val="23"/>
          <w:szCs w:val="23"/>
          <w:lang w:eastAsia="en-AU"/>
        </w:rPr>
        <w:t>97</w:t>
      </w:r>
      <w:r w:rsidR="00092BD4" w:rsidRPr="001C3E98">
        <w:rPr>
          <w:rFonts w:ascii="Corbel" w:eastAsia="Times New Roman" w:hAnsi="Corbel" w:cs="Calibri"/>
          <w:color w:val="000000"/>
          <w:sz w:val="23"/>
          <w:szCs w:val="23"/>
          <w:lang w:eastAsia="en-AU"/>
        </w:rPr>
        <w:t xml:space="preserve"> </w:t>
      </w:r>
      <w:r w:rsidRPr="001C3E98">
        <w:rPr>
          <w:rFonts w:ascii="Corbel" w:eastAsia="Times New Roman" w:hAnsi="Corbel" w:cs="Calibri"/>
          <w:color w:val="000000"/>
          <w:sz w:val="23"/>
          <w:szCs w:val="23"/>
          <w:lang w:eastAsia="en-AU"/>
        </w:rPr>
        <w:t>of this Bilateral Agreement. </w:t>
      </w:r>
    </w:p>
    <w:p w14:paraId="32D5E255" w14:textId="77777777" w:rsidR="001C3E98" w:rsidRPr="001C3E98" w:rsidRDefault="001C3E98" w:rsidP="001C3E98">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C3E98">
        <w:rPr>
          <w:rFonts w:ascii="Corbel" w:eastAsia="Times New Roman" w:hAnsi="Corbel" w:cs="Calibri"/>
          <w:color w:val="000000"/>
          <w:sz w:val="23"/>
          <w:szCs w:val="23"/>
          <w:lang w:eastAsia="en-AU"/>
        </w:rPr>
        <w:t>Consistent with the calculation of the SRS, Tasmania’s funding contributions will be measured consistent with the existing Australian Curriculum, Assessment and Reporting Authority (ACARA) financial data reporting methodology for state Net Recurrent Income Per Student (NRIPS) for school years Year 1 minus 1 to Year 12, excluding funding for full fee-paying overseas students, along with the following additional funding types: </w:t>
      </w:r>
    </w:p>
    <w:p w14:paraId="5258A9E6" w14:textId="1AF35AA0" w:rsidR="001C3E98" w:rsidRPr="00E12267" w:rsidRDefault="001C3E98" w:rsidP="007449B2">
      <w:pPr>
        <w:pStyle w:val="ListParagraph"/>
        <w:numPr>
          <w:ilvl w:val="1"/>
          <w:numId w:val="1"/>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103B58">
        <w:rPr>
          <w:rFonts w:ascii="Corbel" w:eastAsia="Times New Roman" w:hAnsi="Corbel" w:cs="Calibri"/>
          <w:color w:val="000000"/>
          <w:sz w:val="23"/>
          <w:szCs w:val="23"/>
          <w:lang w:eastAsia="en-AU"/>
        </w:rPr>
        <w:t xml:space="preserve">Up to 4 per cent of the total SRS for the government sector each year for funding for costs contributing to the provision of education in schools, which may only include, at the State’s full discretion, </w:t>
      </w:r>
      <w:r w:rsidR="00E5200C" w:rsidRPr="00E12267">
        <w:rPr>
          <w:rFonts w:ascii="Corbel" w:eastAsia="Times New Roman" w:hAnsi="Corbel" w:cs="Calibri"/>
          <w:color w:val="000000"/>
          <w:sz w:val="23"/>
          <w:szCs w:val="23"/>
          <w:lang w:eastAsia="en-AU"/>
        </w:rPr>
        <w:t>depreciation of capital assets and direct school transport</w:t>
      </w:r>
      <w:r w:rsidRPr="00E12267">
        <w:rPr>
          <w:rFonts w:ascii="Corbel" w:eastAsia="Times New Roman" w:hAnsi="Corbel" w:cs="Calibri"/>
          <w:color w:val="000000"/>
          <w:sz w:val="23"/>
          <w:szCs w:val="23"/>
          <w:lang w:eastAsia="en-AU"/>
        </w:rPr>
        <w:t>. </w:t>
      </w:r>
    </w:p>
    <w:p w14:paraId="22242C82" w14:textId="4B40FABC" w:rsidR="00110949" w:rsidRDefault="001C3E98" w:rsidP="007449B2">
      <w:pPr>
        <w:pStyle w:val="ListParagraph"/>
        <w:numPr>
          <w:ilvl w:val="1"/>
          <w:numId w:val="1"/>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bookmarkStart w:id="0" w:name="_Hlk180063000"/>
      <w:r w:rsidRPr="00042751">
        <w:rPr>
          <w:rFonts w:ascii="Corbel" w:eastAsia="Times New Roman" w:hAnsi="Corbel" w:cs="Calibri"/>
          <w:color w:val="000000"/>
          <w:sz w:val="23"/>
          <w:szCs w:val="23"/>
          <w:lang w:eastAsia="en-AU"/>
        </w:rPr>
        <w:t>All regulatory funding provided by the government</w:t>
      </w:r>
      <w:r w:rsidR="00A22B92" w:rsidRPr="00C804A9">
        <w:rPr>
          <w:rFonts w:ascii="Corbel" w:eastAsia="Times New Roman" w:hAnsi="Corbel" w:cs="Calibri"/>
          <w:color w:val="000000"/>
          <w:sz w:val="23"/>
          <w:szCs w:val="23"/>
          <w:lang w:eastAsia="en-AU"/>
        </w:rPr>
        <w:t xml:space="preserve"> for the </w:t>
      </w:r>
      <w:r w:rsidR="00DA223E" w:rsidRPr="00042751">
        <w:rPr>
          <w:rFonts w:ascii="Corbel" w:eastAsia="Times New Roman" w:hAnsi="Corbel" w:cs="Calibri"/>
          <w:color w:val="000000"/>
          <w:sz w:val="23"/>
          <w:szCs w:val="23"/>
          <w:lang w:eastAsia="en-AU"/>
        </w:rPr>
        <w:t>purpose of</w:t>
      </w:r>
      <w:r w:rsidR="00033487" w:rsidRPr="009E31FE">
        <w:rPr>
          <w:rFonts w:ascii="Corbel" w:eastAsia="Times New Roman" w:hAnsi="Corbel" w:cs="Calibri"/>
          <w:color w:val="000000"/>
          <w:sz w:val="23"/>
          <w:szCs w:val="23"/>
          <w:lang w:eastAsia="en-AU"/>
        </w:rPr>
        <w:t>:</w:t>
      </w:r>
    </w:p>
    <w:p w14:paraId="2EEEAB34" w14:textId="54749B68" w:rsidR="00321BB9" w:rsidRPr="00042751" w:rsidRDefault="00321BB9" w:rsidP="00A82BCB">
      <w:pPr>
        <w:pStyle w:val="ListParagraph"/>
        <w:numPr>
          <w:ilvl w:val="2"/>
          <w:numId w:val="1"/>
        </w:numPr>
        <w:tabs>
          <w:tab w:val="left" w:pos="426"/>
        </w:tabs>
        <w:spacing w:after="240" w:line="240" w:lineRule="auto"/>
        <w:ind w:left="1236" w:hanging="181"/>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Office of Tasmanian Assessment, Standards and Certification</w:t>
      </w:r>
      <w:r w:rsidR="008A3D74">
        <w:rPr>
          <w:rFonts w:ascii="Corbel" w:eastAsia="Times New Roman" w:hAnsi="Corbel" w:cs="Calibri"/>
          <w:color w:val="000000"/>
          <w:sz w:val="23"/>
          <w:szCs w:val="23"/>
          <w:lang w:eastAsia="en-AU"/>
        </w:rPr>
        <w:t>;</w:t>
      </w:r>
    </w:p>
    <w:p w14:paraId="2D0123B3" w14:textId="38B042C5" w:rsidR="00033487" w:rsidRDefault="00033487" w:rsidP="00A82BCB">
      <w:pPr>
        <w:pStyle w:val="ListParagraph"/>
        <w:numPr>
          <w:ilvl w:val="2"/>
          <w:numId w:val="1"/>
        </w:numPr>
        <w:tabs>
          <w:tab w:val="left" w:pos="426"/>
        </w:tabs>
        <w:spacing w:after="240" w:line="240" w:lineRule="auto"/>
        <w:ind w:left="1236" w:hanging="181"/>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Tasmanian Teachers Registration Board</w:t>
      </w:r>
      <w:r w:rsidR="008A3D74">
        <w:rPr>
          <w:rFonts w:ascii="Corbel" w:eastAsia="Times New Roman" w:hAnsi="Corbel" w:cs="Calibri"/>
          <w:color w:val="000000"/>
          <w:sz w:val="23"/>
          <w:szCs w:val="23"/>
          <w:lang w:eastAsia="en-AU"/>
        </w:rPr>
        <w:t>.</w:t>
      </w:r>
    </w:p>
    <w:bookmarkEnd w:id="0"/>
    <w:p w14:paraId="61AA0E56" w14:textId="187F69FD" w:rsidR="001C3E98" w:rsidRPr="00103B58" w:rsidRDefault="001C3E98" w:rsidP="007449B2">
      <w:pPr>
        <w:pStyle w:val="ListParagraph"/>
        <w:numPr>
          <w:ilvl w:val="1"/>
          <w:numId w:val="1"/>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103B58">
        <w:rPr>
          <w:rFonts w:ascii="Corbel" w:eastAsia="Times New Roman" w:hAnsi="Corbel" w:cs="Calibri"/>
          <w:color w:val="000000"/>
          <w:sz w:val="23"/>
          <w:szCs w:val="23"/>
          <w:lang w:eastAsia="en-AU"/>
        </w:rPr>
        <w:t>All funding for the purpose of the National Reforms and National Enabling Initiatives outlined in Part 3 of this Bilateral Agreement or Part 4 of the Head</w:t>
      </w:r>
      <w:r w:rsidR="00287DF3">
        <w:rPr>
          <w:rFonts w:ascii="Corbel" w:eastAsia="Times New Roman" w:hAnsi="Corbel" w:cs="Calibri"/>
          <w:color w:val="000000"/>
          <w:sz w:val="23"/>
          <w:szCs w:val="23"/>
          <w:lang w:eastAsia="en-AU"/>
        </w:rPr>
        <w:t>s of</w:t>
      </w:r>
      <w:r w:rsidRPr="00103B58">
        <w:rPr>
          <w:rFonts w:ascii="Corbel" w:eastAsia="Times New Roman" w:hAnsi="Corbel" w:cs="Calibri"/>
          <w:color w:val="000000"/>
          <w:sz w:val="23"/>
          <w:szCs w:val="23"/>
          <w:lang w:eastAsia="en-AU"/>
        </w:rPr>
        <w:t xml:space="preserve"> Agreement (with the exception of any capital funding)</w:t>
      </w:r>
      <w:r w:rsidR="00112D9C">
        <w:rPr>
          <w:rFonts w:ascii="Corbel" w:eastAsia="Times New Roman" w:hAnsi="Corbel" w:cs="Calibri"/>
          <w:color w:val="000000"/>
          <w:sz w:val="23"/>
          <w:szCs w:val="23"/>
          <w:lang w:eastAsia="en-AU"/>
        </w:rPr>
        <w:t>.</w:t>
      </w:r>
      <w:r w:rsidR="00A31BD6">
        <w:rPr>
          <w:rFonts w:ascii="Corbel" w:eastAsia="Times New Roman" w:hAnsi="Corbel" w:cs="Calibri"/>
          <w:color w:val="000000"/>
          <w:sz w:val="23"/>
          <w:szCs w:val="23"/>
          <w:lang w:eastAsia="en-AU"/>
        </w:rPr>
        <w:t xml:space="preserve"> </w:t>
      </w:r>
    </w:p>
    <w:p w14:paraId="53F4E6DD" w14:textId="4F26B034" w:rsidR="001C3E98" w:rsidRDefault="001C3E98" w:rsidP="007449B2">
      <w:pPr>
        <w:pStyle w:val="ListParagraph"/>
        <w:numPr>
          <w:ilvl w:val="1"/>
          <w:numId w:val="1"/>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103B58">
        <w:rPr>
          <w:rFonts w:ascii="Corbel" w:eastAsia="Times New Roman" w:hAnsi="Corbel" w:cs="Calibri"/>
          <w:color w:val="000000"/>
          <w:sz w:val="23"/>
          <w:szCs w:val="23"/>
          <w:lang w:eastAsia="en-AU"/>
        </w:rPr>
        <w:t xml:space="preserve">Any accounting standard changes, as agreed between the Commonwealth and state and territory Ministers for Education, that affect the measurement of recurrent funding where the NRIPS methodology has not been adjusted to negate this impact </w:t>
      </w:r>
      <w:r w:rsidR="00192076">
        <w:rPr>
          <w:rFonts w:ascii="Corbel" w:eastAsia="Times New Roman" w:hAnsi="Corbel" w:cs="Calibri"/>
          <w:color w:val="000000"/>
          <w:sz w:val="23"/>
          <w:szCs w:val="23"/>
          <w:lang w:eastAsia="en-AU"/>
        </w:rPr>
        <w:t>(</w:t>
      </w:r>
      <w:r w:rsidRPr="00103B58">
        <w:rPr>
          <w:rFonts w:ascii="Corbel" w:eastAsia="Times New Roman" w:hAnsi="Corbel" w:cs="Calibri"/>
          <w:color w:val="000000"/>
          <w:sz w:val="23"/>
          <w:szCs w:val="23"/>
          <w:lang w:eastAsia="en-AU"/>
        </w:rPr>
        <w:t>e.g. AASB 16</w:t>
      </w:r>
      <w:r w:rsidR="00192076">
        <w:rPr>
          <w:rFonts w:ascii="Corbel" w:eastAsia="Times New Roman" w:hAnsi="Corbel" w:cs="Calibri"/>
          <w:color w:val="000000"/>
          <w:sz w:val="23"/>
          <w:szCs w:val="23"/>
          <w:lang w:eastAsia="en-AU"/>
        </w:rPr>
        <w:t>)</w:t>
      </w:r>
      <w:r w:rsidRPr="00103B58">
        <w:rPr>
          <w:rFonts w:ascii="Corbel" w:eastAsia="Times New Roman" w:hAnsi="Corbel" w:cs="Calibri"/>
          <w:color w:val="000000"/>
          <w:sz w:val="23"/>
          <w:szCs w:val="23"/>
          <w:lang w:eastAsia="en-AU"/>
        </w:rPr>
        <w:t>.</w:t>
      </w:r>
    </w:p>
    <w:p w14:paraId="578D2CC9" w14:textId="4A9E75EB" w:rsidR="00A31BD6" w:rsidRPr="00E12267" w:rsidRDefault="00A31BD6" w:rsidP="0038056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12267">
        <w:rPr>
          <w:rFonts w:ascii="Corbel" w:eastAsia="Times New Roman" w:hAnsi="Corbel" w:cs="Calibri"/>
          <w:color w:val="000000"/>
          <w:sz w:val="23"/>
          <w:szCs w:val="23"/>
          <w:lang w:eastAsia="en-AU"/>
        </w:rPr>
        <w:t xml:space="preserve">The Commonwealth will provide timely access to </w:t>
      </w:r>
      <w:r w:rsidR="00005719" w:rsidRPr="00E12267">
        <w:rPr>
          <w:rFonts w:ascii="Corbel" w:eastAsia="Times New Roman" w:hAnsi="Corbel" w:cs="Calibri"/>
          <w:color w:val="000000"/>
          <w:sz w:val="23"/>
          <w:szCs w:val="23"/>
          <w:lang w:eastAsia="en-AU"/>
        </w:rPr>
        <w:t>Commonwealth funding and SRS data to assist States and Territories in meeting the requirements of section 22A of the Act.</w:t>
      </w:r>
    </w:p>
    <w:p w14:paraId="75497C28" w14:textId="77777777" w:rsidR="001C3E98" w:rsidRPr="001C3E98" w:rsidRDefault="001C3E98" w:rsidP="001C3E98">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C3E98">
        <w:rPr>
          <w:rFonts w:ascii="Corbel" w:eastAsia="Times New Roman" w:hAnsi="Corbel" w:cs="Calibri"/>
          <w:color w:val="000000"/>
          <w:sz w:val="23"/>
          <w:szCs w:val="23"/>
          <w:lang w:eastAsia="en-AU"/>
        </w:rPr>
        <w:t>If the reported contribution for Tasmania for a year falls short of meeting the required contribution for a sector by an immaterial amount, this will not be considered non-compliant with section 22A of the Act. An immaterial amount is less than or equal to 0.6 per cent of the total SRS for the sector, or another immaterial amount agreed by the Commonwealth Minister for Education for a year, which accounts for the timing constraint of state budget processes being finalised in advance of the year and the required contribution for the year being finalised at the end of the year following the annual School Census. </w:t>
      </w:r>
    </w:p>
    <w:p w14:paraId="7D44D436" w14:textId="73C2E320" w:rsidR="00C355C5" w:rsidRPr="00121920" w:rsidRDefault="001C3E98" w:rsidP="00C804A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28D4EBAA">
        <w:rPr>
          <w:rFonts w:ascii="Corbel" w:eastAsia="Times New Roman" w:hAnsi="Corbel" w:cs="Calibri"/>
          <w:color w:val="000000" w:themeColor="text1"/>
          <w:sz w:val="23"/>
          <w:szCs w:val="23"/>
          <w:lang w:eastAsia="en-AU"/>
        </w:rPr>
        <w:t xml:space="preserve">In assessing compliance with this </w:t>
      </w:r>
      <w:r w:rsidR="00BA6748" w:rsidRPr="28D4EBAA">
        <w:rPr>
          <w:rFonts w:ascii="Corbel" w:eastAsia="Times New Roman" w:hAnsi="Corbel" w:cs="Calibri"/>
          <w:color w:val="000000" w:themeColor="text1"/>
          <w:sz w:val="23"/>
          <w:szCs w:val="23"/>
          <w:lang w:eastAsia="en-AU"/>
        </w:rPr>
        <w:t>Ag</w:t>
      </w:r>
      <w:r w:rsidRPr="28D4EBAA">
        <w:rPr>
          <w:rFonts w:ascii="Corbel" w:eastAsia="Times New Roman" w:hAnsi="Corbel" w:cs="Calibri"/>
          <w:color w:val="000000" w:themeColor="text1"/>
          <w:sz w:val="23"/>
          <w:szCs w:val="23"/>
          <w:lang w:eastAsia="en-AU"/>
        </w:rPr>
        <w:t>reement, the Commonwealth Minister will request the Board, through the Board's Terms of Reference for its review of section 22A of the Act, will take into account mitigating factors that have contributed to non-compliance. This may include, but is not limited to, fluctuations from year-to-year in funding which could be assessed through, for example, the application of a three year rolling average if funding has fallen below the required amount, unintended and unforeseeable budget pressures in the state budget process, financial accounting impacts (e.g. actuarial assessments and timing of expenditures due to reporting dates), and other unforeseeable circumstances (e.g. such as natural disasters).</w:t>
      </w:r>
      <w:r w:rsidR="00C355C5" w:rsidRPr="00121920">
        <w:rPr>
          <w:rFonts w:ascii="Corbel" w:eastAsia="Times New Roman" w:hAnsi="Corbel" w:cs="Calibri"/>
          <w:color w:val="000000"/>
          <w:sz w:val="23"/>
          <w:szCs w:val="23"/>
          <w:lang w:eastAsia="en-AU"/>
        </w:rPr>
        <w:br w:type="page"/>
      </w:r>
    </w:p>
    <w:p w14:paraId="1980AD30" w14:textId="3111E838" w:rsidR="001517ED" w:rsidRPr="00B84FD4" w:rsidRDefault="00106886" w:rsidP="00B84FD4">
      <w:pPr>
        <w:spacing w:after="160" w:line="259" w:lineRule="auto"/>
        <w:rPr>
          <w:rFonts w:ascii="Corbel" w:eastAsia="Times New Roman" w:hAnsi="Corbel" w:cs="Consolas"/>
          <w:b/>
          <w:caps/>
          <w:color w:val="316F72"/>
          <w:kern w:val="32"/>
          <w:sz w:val="32"/>
          <w:szCs w:val="32"/>
          <w:lang w:eastAsia="en-AU"/>
        </w:rPr>
      </w:pPr>
      <w:r w:rsidRPr="00BE36B9">
        <w:rPr>
          <w:rFonts w:ascii="Corbel" w:eastAsia="Times New Roman" w:hAnsi="Corbel" w:cs="Consolas"/>
          <w:b/>
          <w:caps/>
          <w:color w:val="316F72"/>
          <w:kern w:val="32"/>
          <w:sz w:val="32"/>
          <w:szCs w:val="32"/>
          <w:lang w:eastAsia="en-AU"/>
        </w:rPr>
        <w:lastRenderedPageBreak/>
        <w:t xml:space="preserve">Part </w:t>
      </w:r>
      <w:r>
        <w:rPr>
          <w:rFonts w:ascii="Corbel" w:eastAsia="Times New Roman" w:hAnsi="Corbel" w:cs="Consolas"/>
          <w:b/>
          <w:caps/>
          <w:color w:val="316F72"/>
          <w:kern w:val="32"/>
          <w:sz w:val="32"/>
          <w:szCs w:val="32"/>
          <w:lang w:eastAsia="en-AU"/>
        </w:rPr>
        <w:t>3</w:t>
      </w:r>
      <w:r w:rsidRPr="00BE36B9">
        <w:rPr>
          <w:rFonts w:ascii="Corbel" w:eastAsia="Times New Roman" w:hAnsi="Corbel" w:cs="Consolas"/>
          <w:b/>
          <w:caps/>
          <w:color w:val="316F72"/>
          <w:kern w:val="32"/>
          <w:sz w:val="32"/>
          <w:szCs w:val="32"/>
          <w:lang w:eastAsia="en-AU"/>
        </w:rPr>
        <w:t xml:space="preserve"> </w:t>
      </w:r>
      <w:r w:rsidRPr="7D2E62D3">
        <w:rPr>
          <w:rFonts w:ascii="Corbel" w:eastAsia="Times New Roman" w:hAnsi="Corbel" w:cs="Corbel"/>
          <w:b/>
          <w:bCs/>
          <w:color w:val="316F72"/>
          <w:sz w:val="32"/>
          <w:szCs w:val="32"/>
          <w:lang w:eastAsia="en-AU"/>
        </w:rPr>
        <w:t xml:space="preserve">— </w:t>
      </w:r>
      <w:r>
        <w:rPr>
          <w:rFonts w:ascii="Corbel" w:eastAsia="Times New Roman" w:hAnsi="Corbel" w:cs="Consolas"/>
          <w:b/>
          <w:caps/>
          <w:color w:val="316F72"/>
          <w:kern w:val="32"/>
          <w:sz w:val="32"/>
          <w:szCs w:val="32"/>
          <w:lang w:eastAsia="en-AU"/>
        </w:rPr>
        <w:t>NATIONAL REFORMS</w:t>
      </w:r>
    </w:p>
    <w:p w14:paraId="3AEB3DA7" w14:textId="48E0736F" w:rsidR="00B84FD4" w:rsidRPr="00705289" w:rsidRDefault="00B84FD4" w:rsidP="00B84FD4">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05289">
        <w:rPr>
          <w:rFonts w:ascii="Corbel" w:eastAsia="Times New Roman" w:hAnsi="Corbel" w:cs="Calibri"/>
          <w:color w:val="000000"/>
          <w:sz w:val="23"/>
          <w:szCs w:val="23"/>
          <w:lang w:eastAsia="en-AU"/>
        </w:rPr>
        <w:t xml:space="preserve">The </w:t>
      </w:r>
      <w:r w:rsidR="006737DD" w:rsidRPr="00705289">
        <w:rPr>
          <w:rFonts w:ascii="Corbel" w:eastAsia="Times New Roman" w:hAnsi="Corbel" w:cs="Calibri"/>
          <w:color w:val="000000"/>
          <w:sz w:val="23"/>
          <w:szCs w:val="23"/>
          <w:lang w:eastAsia="en-AU"/>
        </w:rPr>
        <w:t xml:space="preserve">National Reform Direction </w:t>
      </w:r>
      <w:r w:rsidRPr="00705289">
        <w:rPr>
          <w:rFonts w:ascii="Corbel" w:eastAsia="Times New Roman" w:hAnsi="Corbel" w:cs="Calibri"/>
          <w:color w:val="000000"/>
          <w:sz w:val="23"/>
          <w:szCs w:val="23"/>
          <w:lang w:eastAsia="en-AU"/>
        </w:rPr>
        <w:t>activities agreed in this Bilateral Agreement align with the National Reform Directions of the Heads of Agreement and Tasmania commits to supporting and advancing initiatives aligned to each of the National Reform Directions. </w:t>
      </w:r>
    </w:p>
    <w:p w14:paraId="41D59CC0" w14:textId="7AAA44CE" w:rsidR="00B84FD4" w:rsidRPr="00705289" w:rsidRDefault="00B84FD4" w:rsidP="00B84FD4">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B84FD4">
        <w:rPr>
          <w:rFonts w:ascii="Corbel" w:eastAsia="Times New Roman" w:hAnsi="Corbel" w:cs="Calibri"/>
          <w:color w:val="000000"/>
          <w:sz w:val="23"/>
          <w:szCs w:val="23"/>
          <w:lang w:eastAsia="en-AU"/>
        </w:rPr>
        <w:t xml:space="preserve">Approved </w:t>
      </w:r>
      <w:r w:rsidR="006313C0">
        <w:rPr>
          <w:rFonts w:ascii="Corbel" w:eastAsia="Times New Roman" w:hAnsi="Corbel" w:cs="Calibri"/>
          <w:color w:val="000000"/>
          <w:sz w:val="23"/>
          <w:szCs w:val="23"/>
          <w:lang w:eastAsia="en-AU"/>
        </w:rPr>
        <w:t>a</w:t>
      </w:r>
      <w:r w:rsidRPr="00B84FD4">
        <w:rPr>
          <w:rFonts w:ascii="Corbel" w:eastAsia="Times New Roman" w:hAnsi="Corbel" w:cs="Calibri"/>
          <w:color w:val="000000"/>
          <w:sz w:val="23"/>
          <w:szCs w:val="23"/>
          <w:lang w:eastAsia="en-AU"/>
        </w:rPr>
        <w:t xml:space="preserve">uthorities of non-government schools in Tasmania must adhere to their ongoing policy requirements (under subsections 77(2) and (2A) of the Act). As per clauses </w:t>
      </w:r>
      <w:r w:rsidR="005E701C">
        <w:rPr>
          <w:rFonts w:ascii="Corbel" w:eastAsia="Times New Roman" w:hAnsi="Corbel" w:cs="Calibri"/>
          <w:color w:val="000000"/>
          <w:sz w:val="23"/>
          <w:szCs w:val="23"/>
          <w:lang w:eastAsia="en-AU"/>
        </w:rPr>
        <w:t>56</w:t>
      </w:r>
      <w:r w:rsidRPr="00B84FD4">
        <w:rPr>
          <w:rFonts w:ascii="Corbel" w:eastAsia="Times New Roman" w:hAnsi="Corbel" w:cs="Calibri"/>
          <w:color w:val="000000"/>
          <w:sz w:val="23"/>
          <w:szCs w:val="23"/>
          <w:lang w:eastAsia="en-AU"/>
        </w:rPr>
        <w:t xml:space="preserve"> and </w:t>
      </w:r>
      <w:r w:rsidR="005E701C">
        <w:rPr>
          <w:rFonts w:ascii="Corbel" w:eastAsia="Times New Roman" w:hAnsi="Corbel" w:cs="Calibri"/>
          <w:color w:val="000000"/>
          <w:sz w:val="23"/>
          <w:szCs w:val="23"/>
          <w:lang w:eastAsia="en-AU"/>
        </w:rPr>
        <w:t>57</w:t>
      </w:r>
      <w:r w:rsidRPr="00B84FD4">
        <w:rPr>
          <w:rFonts w:ascii="Corbel" w:eastAsia="Times New Roman" w:hAnsi="Corbel" w:cs="Calibri"/>
          <w:color w:val="000000"/>
          <w:sz w:val="23"/>
          <w:szCs w:val="23"/>
          <w:lang w:eastAsia="en-AU"/>
        </w:rPr>
        <w:t xml:space="preserve"> of the Heads of Agreement, </w:t>
      </w:r>
      <w:r w:rsidR="006313C0">
        <w:rPr>
          <w:rFonts w:ascii="Corbel" w:eastAsia="Times New Roman" w:hAnsi="Corbel" w:cs="Calibri"/>
          <w:color w:val="000000"/>
          <w:sz w:val="23"/>
          <w:szCs w:val="23"/>
          <w:lang w:eastAsia="en-AU"/>
        </w:rPr>
        <w:t>a</w:t>
      </w:r>
      <w:r w:rsidRPr="00B84FD4">
        <w:rPr>
          <w:rFonts w:ascii="Corbel" w:eastAsia="Times New Roman" w:hAnsi="Corbel" w:cs="Calibri"/>
          <w:color w:val="000000"/>
          <w:sz w:val="23"/>
          <w:szCs w:val="23"/>
          <w:lang w:eastAsia="en-AU"/>
        </w:rPr>
        <w:t xml:space="preserve">pproved </w:t>
      </w:r>
      <w:r w:rsidR="006313C0">
        <w:rPr>
          <w:rFonts w:ascii="Corbel" w:eastAsia="Times New Roman" w:hAnsi="Corbel" w:cs="Calibri"/>
          <w:color w:val="000000"/>
          <w:sz w:val="23"/>
          <w:szCs w:val="23"/>
          <w:lang w:eastAsia="en-AU"/>
        </w:rPr>
        <w:t>a</w:t>
      </w:r>
      <w:r w:rsidRPr="00B84FD4">
        <w:rPr>
          <w:rFonts w:ascii="Corbel" w:eastAsia="Times New Roman" w:hAnsi="Corbel" w:cs="Calibri"/>
          <w:color w:val="000000"/>
          <w:sz w:val="23"/>
          <w:szCs w:val="23"/>
          <w:lang w:eastAsia="en-AU"/>
        </w:rPr>
        <w:t>uthorities of non-government schools in Tasmania are required to cooperate with the Tasmanian government in the implementation of this Bilateral Agreement</w:t>
      </w:r>
      <w:r w:rsidR="000F3CE2">
        <w:rPr>
          <w:rFonts w:ascii="Corbel" w:eastAsia="Times New Roman" w:hAnsi="Corbel" w:cs="Calibri"/>
          <w:color w:val="000000"/>
          <w:sz w:val="23"/>
          <w:szCs w:val="23"/>
          <w:lang w:eastAsia="en-AU"/>
        </w:rPr>
        <w:t xml:space="preserve">, </w:t>
      </w:r>
      <w:r w:rsidR="000F3CE2" w:rsidRPr="00705289">
        <w:rPr>
          <w:rFonts w:ascii="Corbel" w:eastAsia="Times New Roman" w:hAnsi="Corbel" w:cs="Calibri"/>
          <w:color w:val="000000"/>
          <w:sz w:val="23"/>
          <w:szCs w:val="23"/>
          <w:lang w:eastAsia="en-AU"/>
        </w:rPr>
        <w:t xml:space="preserve">which includes implementing the </w:t>
      </w:r>
      <w:r w:rsidR="001200AA" w:rsidRPr="00705289">
        <w:rPr>
          <w:rFonts w:ascii="Corbel" w:eastAsia="Times New Roman" w:hAnsi="Corbel" w:cs="Calibri"/>
          <w:color w:val="000000"/>
          <w:sz w:val="23"/>
          <w:szCs w:val="23"/>
          <w:lang w:eastAsia="en-AU"/>
        </w:rPr>
        <w:t>N</w:t>
      </w:r>
      <w:r w:rsidR="000F3CE2" w:rsidRPr="00705289">
        <w:rPr>
          <w:rFonts w:ascii="Corbel" w:eastAsia="Times New Roman" w:hAnsi="Corbel" w:cs="Calibri"/>
          <w:color w:val="000000"/>
          <w:sz w:val="23"/>
          <w:szCs w:val="23"/>
          <w:lang w:eastAsia="en-AU"/>
        </w:rPr>
        <w:t xml:space="preserve">ational </w:t>
      </w:r>
      <w:r w:rsidR="001200AA" w:rsidRPr="00705289">
        <w:rPr>
          <w:rFonts w:ascii="Corbel" w:eastAsia="Times New Roman" w:hAnsi="Corbel" w:cs="Calibri"/>
          <w:color w:val="000000"/>
          <w:sz w:val="23"/>
          <w:szCs w:val="23"/>
          <w:lang w:eastAsia="en-AU"/>
        </w:rPr>
        <w:t>R</w:t>
      </w:r>
      <w:r w:rsidR="000F3CE2" w:rsidRPr="00705289">
        <w:rPr>
          <w:rFonts w:ascii="Corbel" w:eastAsia="Times New Roman" w:hAnsi="Corbel" w:cs="Calibri"/>
          <w:color w:val="000000"/>
          <w:sz w:val="23"/>
          <w:szCs w:val="23"/>
          <w:lang w:eastAsia="en-AU"/>
        </w:rPr>
        <w:t>eform</w:t>
      </w:r>
      <w:r w:rsidR="001200AA" w:rsidRPr="00705289">
        <w:rPr>
          <w:rFonts w:ascii="Corbel" w:eastAsia="Times New Roman" w:hAnsi="Corbel" w:cs="Calibri"/>
          <w:color w:val="000000"/>
          <w:sz w:val="23"/>
          <w:szCs w:val="23"/>
          <w:lang w:eastAsia="en-AU"/>
        </w:rPr>
        <w:t xml:space="preserve"> Directions</w:t>
      </w:r>
      <w:r w:rsidRPr="00705289">
        <w:rPr>
          <w:rFonts w:ascii="Corbel" w:eastAsia="Times New Roman" w:hAnsi="Corbel" w:cs="Calibri"/>
          <w:color w:val="000000"/>
          <w:sz w:val="23"/>
          <w:szCs w:val="23"/>
          <w:lang w:eastAsia="en-AU"/>
        </w:rPr>
        <w:t>.</w:t>
      </w:r>
    </w:p>
    <w:p w14:paraId="1A7A727C" w14:textId="58F5159E" w:rsidR="3B99C20F" w:rsidRDefault="00C67A2F" w:rsidP="00C804A9">
      <w:pPr>
        <w:keepNext/>
        <w:spacing w:before="180" w:after="120" w:line="240" w:lineRule="auto"/>
        <w:outlineLvl w:val="1"/>
        <w:rPr>
          <w:rFonts w:ascii="Corbel" w:eastAsia="Times New Roman" w:hAnsi="Corbel" w:cs="Calibri"/>
          <w:b/>
          <w:bCs/>
          <w:color w:val="000000" w:themeColor="text1"/>
          <w:sz w:val="20"/>
          <w:szCs w:val="20"/>
          <w:lang w:eastAsia="en-AU"/>
        </w:rPr>
      </w:pPr>
      <w:r>
        <w:rPr>
          <w:rFonts w:ascii="Corbel" w:eastAsia="Times New Roman" w:hAnsi="Corbel" w:cs="Corbel"/>
          <w:b/>
          <w:bCs/>
          <w:color w:val="316F72"/>
          <w:sz w:val="28"/>
          <w:szCs w:val="28"/>
          <w:lang w:eastAsia="en-AU"/>
        </w:rPr>
        <w:t>National Reform Directions</w:t>
      </w:r>
    </w:p>
    <w:p w14:paraId="6C01D033" w14:textId="77777777" w:rsidR="00CF14B6" w:rsidRPr="00CF14B6" w:rsidRDefault="00CF14B6" w:rsidP="00CF14B6">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CF14B6">
        <w:rPr>
          <w:rFonts w:ascii="Corbel" w:eastAsia="Times New Roman" w:hAnsi="Corbel" w:cs="Calibri"/>
          <w:color w:val="000000"/>
          <w:sz w:val="23"/>
          <w:szCs w:val="23"/>
          <w:lang w:eastAsia="en-AU"/>
        </w:rPr>
        <w:t>Tasmania commits to the following actions to give effect to the National Reform Directions as outlined in the Heads of Agreement:</w:t>
      </w:r>
    </w:p>
    <w:p w14:paraId="1C9D19AF" w14:textId="77777777" w:rsidR="00CF14B6" w:rsidRPr="002155B0" w:rsidRDefault="00CF14B6" w:rsidP="002155B0">
      <w:pPr>
        <w:tabs>
          <w:tab w:val="left" w:pos="426"/>
        </w:tabs>
        <w:spacing w:after="240" w:line="260" w:lineRule="exact"/>
        <w:jc w:val="both"/>
        <w:rPr>
          <w:rFonts w:ascii="Corbel" w:eastAsia="Times New Roman" w:hAnsi="Corbel" w:cs="Calibri"/>
          <w:color w:val="000000"/>
          <w:sz w:val="23"/>
          <w:szCs w:val="23"/>
          <w:u w:val="single"/>
          <w:lang w:eastAsia="en-AU"/>
        </w:rPr>
      </w:pPr>
      <w:r w:rsidRPr="002155B0">
        <w:rPr>
          <w:rFonts w:ascii="Corbel" w:eastAsia="Times New Roman" w:hAnsi="Corbel" w:cs="Calibri"/>
          <w:color w:val="000000"/>
          <w:sz w:val="23"/>
          <w:szCs w:val="23"/>
          <w:u w:val="single"/>
          <w:lang w:eastAsia="en-AU"/>
        </w:rPr>
        <w:t>Equity and Excellence</w:t>
      </w:r>
    </w:p>
    <w:p w14:paraId="51EF0A71" w14:textId="77BD17B3" w:rsidR="00CF14B6" w:rsidRPr="00CD30A7" w:rsidRDefault="00CF14B6" w:rsidP="00CF14B6">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CF14B6">
        <w:rPr>
          <w:rFonts w:ascii="Corbel" w:eastAsia="Times New Roman" w:hAnsi="Corbel" w:cs="Calibri"/>
          <w:color w:val="000000"/>
          <w:sz w:val="23"/>
          <w:szCs w:val="23"/>
          <w:lang w:eastAsia="en-AU"/>
        </w:rPr>
        <w:t xml:space="preserve">Whole-of-system and/or whole-of-school approaches that identify student learning needs early and </w:t>
      </w:r>
      <w:r w:rsidRPr="00CD30A7">
        <w:rPr>
          <w:rFonts w:ascii="Corbel" w:eastAsia="Times New Roman" w:hAnsi="Corbel" w:cs="Calibri"/>
          <w:color w:val="000000"/>
          <w:sz w:val="23"/>
          <w:szCs w:val="23"/>
          <w:lang w:eastAsia="en-AU"/>
        </w:rPr>
        <w:t xml:space="preserve">provide tiered and targeted, intensive supports, in line with a ‘multi-tiered systems of support’ </w:t>
      </w:r>
      <w:r w:rsidR="00E30982" w:rsidRPr="00CD30A7">
        <w:rPr>
          <w:rFonts w:ascii="Corbel" w:eastAsia="Times New Roman" w:hAnsi="Corbel" w:cs="Calibri"/>
          <w:color w:val="000000"/>
          <w:sz w:val="23"/>
          <w:szCs w:val="23"/>
          <w:lang w:eastAsia="en-AU"/>
        </w:rPr>
        <w:t xml:space="preserve">(MTSS) </w:t>
      </w:r>
      <w:r w:rsidRPr="00CD30A7">
        <w:rPr>
          <w:rFonts w:ascii="Corbel" w:eastAsia="Times New Roman" w:hAnsi="Corbel" w:cs="Calibri"/>
          <w:color w:val="000000"/>
          <w:sz w:val="23"/>
          <w:szCs w:val="23"/>
          <w:lang w:eastAsia="en-AU"/>
        </w:rPr>
        <w:t>approach. This approach includes:</w:t>
      </w:r>
    </w:p>
    <w:p w14:paraId="5A706FE9" w14:textId="2F4F234D" w:rsidR="00CF14B6" w:rsidRPr="00CD30A7" w:rsidRDefault="00CF14B6" w:rsidP="002155B0">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CD30A7">
        <w:rPr>
          <w:rFonts w:ascii="Corbel" w:eastAsia="Times New Roman" w:hAnsi="Corbel" w:cs="Calibri"/>
          <w:color w:val="000000"/>
          <w:sz w:val="23"/>
          <w:szCs w:val="23"/>
          <w:lang w:eastAsia="en-AU"/>
        </w:rPr>
        <w:t>Continuing to</w:t>
      </w:r>
      <w:r w:rsidR="00E30982" w:rsidRPr="00CD30A7">
        <w:rPr>
          <w:rFonts w:ascii="Corbel" w:eastAsia="Times New Roman" w:hAnsi="Corbel" w:cs="Calibri"/>
          <w:color w:val="000000"/>
          <w:sz w:val="23"/>
          <w:szCs w:val="23"/>
          <w:lang w:eastAsia="en-AU"/>
        </w:rPr>
        <w:t xml:space="preserve"> strengthen our approach to and accountabilities </w:t>
      </w:r>
      <w:r w:rsidR="006F4080">
        <w:rPr>
          <w:rFonts w:ascii="Corbel" w:eastAsia="Times New Roman" w:hAnsi="Corbel" w:cs="Calibri"/>
          <w:color w:val="000000"/>
          <w:sz w:val="23"/>
          <w:szCs w:val="23"/>
          <w:lang w:eastAsia="en-AU"/>
        </w:rPr>
        <w:t>for</w:t>
      </w:r>
      <w:r w:rsidR="006F4080" w:rsidRPr="0068005F">
        <w:rPr>
          <w:rFonts w:ascii="Corbel" w:eastAsia="Times New Roman" w:hAnsi="Corbel" w:cs="Calibri"/>
          <w:color w:val="000000"/>
          <w:sz w:val="23"/>
          <w:szCs w:val="23"/>
          <w:lang w:eastAsia="en-AU"/>
        </w:rPr>
        <w:t>:</w:t>
      </w:r>
    </w:p>
    <w:p w14:paraId="40EFCF51" w14:textId="00BFE530" w:rsidR="00416E12" w:rsidRPr="00665A96" w:rsidRDefault="006F516A" w:rsidP="00416E12">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All </w:t>
      </w:r>
      <w:r w:rsidR="00A36293">
        <w:rPr>
          <w:rFonts w:ascii="Corbel" w:eastAsia="Times New Roman" w:hAnsi="Corbel" w:cs="Calibri"/>
          <w:color w:val="000000"/>
          <w:sz w:val="23"/>
          <w:szCs w:val="23"/>
          <w:lang w:eastAsia="en-AU"/>
        </w:rPr>
        <w:t xml:space="preserve">school </w:t>
      </w:r>
      <w:r>
        <w:rPr>
          <w:rFonts w:ascii="Corbel" w:eastAsia="Times New Roman" w:hAnsi="Corbel" w:cs="Calibri"/>
          <w:color w:val="000000"/>
          <w:sz w:val="23"/>
          <w:szCs w:val="23"/>
          <w:lang w:eastAsia="en-AU"/>
        </w:rPr>
        <w:t>sectors e</w:t>
      </w:r>
      <w:r w:rsidR="00416E12" w:rsidRPr="00665A96">
        <w:rPr>
          <w:rFonts w:ascii="Corbel" w:eastAsia="Times New Roman" w:hAnsi="Corbel" w:cs="Calibri"/>
          <w:color w:val="000000"/>
          <w:sz w:val="23"/>
          <w:szCs w:val="23"/>
          <w:lang w:eastAsia="en-AU"/>
        </w:rPr>
        <w:t xml:space="preserve">nsuring all learners have access to structured </w:t>
      </w:r>
      <w:r w:rsidR="00E676C2" w:rsidRPr="00665A96">
        <w:rPr>
          <w:rFonts w:ascii="Corbel" w:eastAsia="Times New Roman" w:hAnsi="Corbel" w:cs="Calibri"/>
          <w:color w:val="000000"/>
          <w:sz w:val="23"/>
          <w:szCs w:val="23"/>
          <w:lang w:eastAsia="en-AU"/>
        </w:rPr>
        <w:t>evidence-based literacy education that considers the learners’ individual needs</w:t>
      </w:r>
      <w:r w:rsidR="00416E12" w:rsidRPr="00665A96">
        <w:rPr>
          <w:rFonts w:ascii="Corbel" w:eastAsia="Times New Roman" w:hAnsi="Corbel" w:cs="Calibri"/>
          <w:color w:val="000000"/>
          <w:sz w:val="23"/>
          <w:szCs w:val="23"/>
          <w:lang w:eastAsia="en-AU"/>
        </w:rPr>
        <w:t>;</w:t>
      </w:r>
    </w:p>
    <w:p w14:paraId="4AF11D02" w14:textId="06005F1E" w:rsidR="00416E12" w:rsidRPr="00665A96" w:rsidRDefault="00416E12" w:rsidP="00416E12">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665A96">
        <w:rPr>
          <w:rFonts w:ascii="Corbel" w:eastAsia="Times New Roman" w:hAnsi="Corbel" w:cs="Calibri"/>
          <w:color w:val="000000"/>
          <w:sz w:val="23"/>
          <w:szCs w:val="23"/>
          <w:lang w:eastAsia="en-AU"/>
        </w:rPr>
        <w:t xml:space="preserve">Regularly screening </w:t>
      </w:r>
      <w:r w:rsidR="00457271">
        <w:rPr>
          <w:rFonts w:ascii="Corbel" w:eastAsia="Times New Roman" w:hAnsi="Corbel" w:cs="Calibri"/>
          <w:color w:val="000000"/>
          <w:sz w:val="23"/>
          <w:szCs w:val="23"/>
          <w:lang w:eastAsia="en-AU"/>
        </w:rPr>
        <w:t xml:space="preserve">Government school </w:t>
      </w:r>
      <w:r w:rsidRPr="00665A96">
        <w:rPr>
          <w:rFonts w:ascii="Corbel" w:eastAsia="Times New Roman" w:hAnsi="Corbel" w:cs="Calibri"/>
          <w:color w:val="000000"/>
          <w:sz w:val="23"/>
          <w:szCs w:val="23"/>
          <w:lang w:eastAsia="en-AU"/>
        </w:rPr>
        <w:t xml:space="preserve">students </w:t>
      </w:r>
      <w:r w:rsidR="00E676C2" w:rsidRPr="00665A96">
        <w:rPr>
          <w:rFonts w:ascii="Corbel" w:eastAsia="Times New Roman" w:hAnsi="Corbel" w:cs="Calibri"/>
          <w:color w:val="000000"/>
          <w:sz w:val="23"/>
          <w:szCs w:val="23"/>
          <w:lang w:eastAsia="en-AU"/>
        </w:rPr>
        <w:t>from Prep to Year 8</w:t>
      </w:r>
      <w:r w:rsidRPr="00665A96">
        <w:rPr>
          <w:rFonts w:ascii="Corbel" w:eastAsia="Times New Roman" w:hAnsi="Corbel" w:cs="Calibri"/>
          <w:color w:val="000000"/>
          <w:sz w:val="23"/>
          <w:szCs w:val="23"/>
          <w:lang w:eastAsia="en-AU"/>
        </w:rPr>
        <w:t xml:space="preserve"> in reading using </w:t>
      </w:r>
      <w:r w:rsidR="005035A7" w:rsidRPr="00665A96">
        <w:rPr>
          <w:rFonts w:ascii="Corbel" w:eastAsia="Times New Roman" w:hAnsi="Corbel" w:cs="Calibri"/>
          <w:color w:val="000000"/>
          <w:sz w:val="23"/>
          <w:szCs w:val="23"/>
          <w:lang w:eastAsia="en-AU"/>
        </w:rPr>
        <w:t>Dynamic Indicators of Basic Early Literacy Skills (DIBELS)</w:t>
      </w:r>
      <w:r w:rsidRPr="00665A96">
        <w:rPr>
          <w:rFonts w:ascii="Corbel" w:eastAsia="Times New Roman" w:hAnsi="Corbel" w:cs="Calibri"/>
          <w:color w:val="000000"/>
          <w:sz w:val="23"/>
          <w:szCs w:val="23"/>
          <w:lang w:eastAsia="en-AU"/>
        </w:rPr>
        <w:t>;</w:t>
      </w:r>
    </w:p>
    <w:p w14:paraId="1EF2B39D" w14:textId="5BD27B3E" w:rsidR="00416E12" w:rsidRPr="00665A96" w:rsidRDefault="00416E12" w:rsidP="00416E12">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665A96">
        <w:rPr>
          <w:rFonts w:ascii="Corbel" w:eastAsia="Times New Roman" w:hAnsi="Corbel" w:cs="Calibri"/>
          <w:color w:val="000000"/>
          <w:sz w:val="23"/>
          <w:szCs w:val="23"/>
          <w:lang w:eastAsia="en-AU"/>
        </w:rPr>
        <w:t>Annually assessing</w:t>
      </w:r>
      <w:r w:rsidR="00457271">
        <w:rPr>
          <w:rFonts w:ascii="Corbel" w:eastAsia="Times New Roman" w:hAnsi="Corbel" w:cs="Calibri"/>
          <w:color w:val="000000"/>
          <w:sz w:val="23"/>
          <w:szCs w:val="23"/>
          <w:lang w:eastAsia="en-AU"/>
        </w:rPr>
        <w:t xml:space="preserve"> Government school</w:t>
      </w:r>
      <w:r w:rsidRPr="00665A96">
        <w:rPr>
          <w:rFonts w:ascii="Corbel" w:eastAsia="Times New Roman" w:hAnsi="Corbel" w:cs="Calibri"/>
          <w:color w:val="000000"/>
          <w:sz w:val="23"/>
          <w:szCs w:val="23"/>
          <w:lang w:eastAsia="en-AU"/>
        </w:rPr>
        <w:t xml:space="preserve"> students </w:t>
      </w:r>
      <w:r w:rsidR="002253B3" w:rsidRPr="00665A96">
        <w:rPr>
          <w:rFonts w:ascii="Corbel" w:eastAsia="Times New Roman" w:hAnsi="Corbel" w:cs="Calibri"/>
          <w:color w:val="000000"/>
          <w:sz w:val="23"/>
          <w:szCs w:val="23"/>
          <w:lang w:eastAsia="en-AU"/>
        </w:rPr>
        <w:t xml:space="preserve">from Prep to </w:t>
      </w:r>
      <w:r w:rsidR="00FB2C6C" w:rsidRPr="00665A96">
        <w:rPr>
          <w:rFonts w:ascii="Corbel" w:eastAsia="Times New Roman" w:hAnsi="Corbel" w:cs="Calibri"/>
          <w:color w:val="000000"/>
          <w:sz w:val="23"/>
          <w:szCs w:val="23"/>
          <w:lang w:eastAsia="en-AU"/>
        </w:rPr>
        <w:t>Y</w:t>
      </w:r>
      <w:r w:rsidR="002253B3" w:rsidRPr="00665A96">
        <w:rPr>
          <w:rFonts w:ascii="Corbel" w:eastAsia="Times New Roman" w:hAnsi="Corbel" w:cs="Calibri"/>
          <w:color w:val="000000"/>
          <w:sz w:val="23"/>
          <w:szCs w:val="23"/>
          <w:lang w:eastAsia="en-AU"/>
        </w:rPr>
        <w:t xml:space="preserve">ear 10 </w:t>
      </w:r>
      <w:r w:rsidRPr="00665A96">
        <w:rPr>
          <w:rFonts w:ascii="Corbel" w:eastAsia="Times New Roman" w:hAnsi="Corbel" w:cs="Calibri"/>
          <w:color w:val="000000"/>
          <w:sz w:val="23"/>
          <w:szCs w:val="23"/>
          <w:lang w:eastAsia="en-AU"/>
        </w:rPr>
        <w:t>in reading and mathematics;</w:t>
      </w:r>
    </w:p>
    <w:p w14:paraId="59F76AA3" w14:textId="3F2CB978" w:rsidR="001D45FB" w:rsidRPr="00C804A9" w:rsidRDefault="00416E12" w:rsidP="002155B0">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C804A9">
        <w:rPr>
          <w:rFonts w:ascii="Corbel" w:eastAsia="Times New Roman" w:hAnsi="Corbel" w:cs="Calibri"/>
          <w:color w:val="000000"/>
          <w:sz w:val="23"/>
          <w:szCs w:val="23"/>
          <w:lang w:eastAsia="en-AU"/>
        </w:rPr>
        <w:t xml:space="preserve">Ensuring that </w:t>
      </w:r>
      <w:r w:rsidR="00457271">
        <w:rPr>
          <w:rFonts w:ascii="Corbel" w:eastAsia="Times New Roman" w:hAnsi="Corbel" w:cs="Calibri"/>
          <w:color w:val="000000"/>
          <w:sz w:val="23"/>
          <w:szCs w:val="23"/>
          <w:lang w:eastAsia="en-AU"/>
        </w:rPr>
        <w:t xml:space="preserve">all Tasmanian </w:t>
      </w:r>
      <w:r w:rsidRPr="00C804A9">
        <w:rPr>
          <w:rFonts w:ascii="Corbel" w:eastAsia="Times New Roman" w:hAnsi="Corbel" w:cs="Calibri"/>
          <w:color w:val="000000"/>
          <w:sz w:val="23"/>
          <w:szCs w:val="23"/>
          <w:lang w:eastAsia="en-AU"/>
        </w:rPr>
        <w:t>learners who identify as Aboriginal or Torres Strait Islander have access to the supports/opportunities they need to improve educational outcomes</w:t>
      </w:r>
      <w:r w:rsidR="005F519A" w:rsidRPr="00C804A9">
        <w:rPr>
          <w:rFonts w:ascii="Corbel" w:eastAsia="Times New Roman" w:hAnsi="Corbel" w:cs="Calibri"/>
          <w:color w:val="000000"/>
          <w:sz w:val="23"/>
          <w:szCs w:val="23"/>
          <w:lang w:eastAsia="en-AU"/>
        </w:rPr>
        <w:t xml:space="preserve"> in line with Closing the Gap</w:t>
      </w:r>
      <w:r w:rsidR="00505B52">
        <w:rPr>
          <w:rFonts w:ascii="Corbel" w:eastAsia="Times New Roman" w:hAnsi="Corbel" w:cs="Calibri"/>
          <w:color w:val="000000"/>
          <w:sz w:val="23"/>
          <w:szCs w:val="23"/>
          <w:lang w:eastAsia="en-AU"/>
        </w:rPr>
        <w:t xml:space="preserve"> including Learning Plans</w:t>
      </w:r>
      <w:r w:rsidR="00256D64">
        <w:rPr>
          <w:rFonts w:ascii="Corbel" w:eastAsia="Times New Roman" w:hAnsi="Corbel" w:cs="Calibri"/>
          <w:color w:val="000000"/>
          <w:sz w:val="23"/>
          <w:szCs w:val="23"/>
          <w:lang w:eastAsia="en-AU"/>
        </w:rPr>
        <w:t xml:space="preserve"> for every Aboriginal and Torres Strait Islander student</w:t>
      </w:r>
      <w:r w:rsidR="001B281C">
        <w:rPr>
          <w:rFonts w:ascii="Corbel" w:eastAsia="Times New Roman" w:hAnsi="Corbel" w:cs="Calibri"/>
          <w:color w:val="000000"/>
          <w:sz w:val="23"/>
          <w:szCs w:val="23"/>
          <w:lang w:eastAsia="en-AU"/>
        </w:rPr>
        <w:t xml:space="preserve"> and the Alma Lily Stackhouse Scholarship</w:t>
      </w:r>
      <w:r w:rsidR="001D45FB" w:rsidRPr="00C804A9">
        <w:rPr>
          <w:rFonts w:ascii="Corbel" w:eastAsia="Times New Roman" w:hAnsi="Corbel" w:cs="Calibri"/>
          <w:color w:val="000000"/>
          <w:sz w:val="23"/>
          <w:szCs w:val="23"/>
          <w:lang w:eastAsia="en-AU"/>
        </w:rPr>
        <w:t>;</w:t>
      </w:r>
    </w:p>
    <w:p w14:paraId="678C8490" w14:textId="00918C97" w:rsidR="00CF14B6" w:rsidRPr="00665A96" w:rsidRDefault="00457271" w:rsidP="002155B0">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All</w:t>
      </w:r>
      <w:r w:rsidR="00A36293">
        <w:rPr>
          <w:rFonts w:ascii="Corbel" w:eastAsia="Times New Roman" w:hAnsi="Corbel" w:cs="Calibri"/>
          <w:color w:val="000000"/>
          <w:sz w:val="23"/>
          <w:szCs w:val="23"/>
          <w:lang w:eastAsia="en-AU"/>
        </w:rPr>
        <w:t xml:space="preserve"> school</w:t>
      </w:r>
      <w:r>
        <w:rPr>
          <w:rFonts w:ascii="Corbel" w:eastAsia="Times New Roman" w:hAnsi="Corbel" w:cs="Calibri"/>
          <w:color w:val="000000"/>
          <w:sz w:val="23"/>
          <w:szCs w:val="23"/>
          <w:lang w:eastAsia="en-AU"/>
        </w:rPr>
        <w:t xml:space="preserve"> sectors p</w:t>
      </w:r>
      <w:r w:rsidR="001D45FB" w:rsidRPr="00665A96">
        <w:rPr>
          <w:rFonts w:ascii="Corbel" w:eastAsia="Times New Roman" w:hAnsi="Corbel" w:cs="Calibri"/>
          <w:color w:val="000000"/>
          <w:sz w:val="23"/>
          <w:szCs w:val="23"/>
          <w:lang w:eastAsia="en-AU"/>
        </w:rPr>
        <w:t>romoting the importance of mathematics and numeracy for learners</w:t>
      </w:r>
      <w:r w:rsidR="00321BB9">
        <w:rPr>
          <w:rFonts w:ascii="Corbel" w:eastAsia="Times New Roman" w:hAnsi="Corbel" w:cs="Calibri"/>
          <w:color w:val="000000"/>
          <w:sz w:val="23"/>
          <w:szCs w:val="23"/>
          <w:lang w:eastAsia="en-AU"/>
        </w:rPr>
        <w:t>. This will include</w:t>
      </w:r>
      <w:r w:rsidR="001D45FB" w:rsidRPr="00665A96">
        <w:rPr>
          <w:rFonts w:ascii="Corbel" w:eastAsia="Times New Roman" w:hAnsi="Corbel" w:cs="Calibri"/>
          <w:color w:val="000000"/>
          <w:sz w:val="23"/>
          <w:szCs w:val="23"/>
          <w:lang w:eastAsia="en-AU"/>
        </w:rPr>
        <w:t xml:space="preserve"> providing tools and supports to measure learner growth in numeracy and the impact of system-wide actions on our learners.</w:t>
      </w:r>
    </w:p>
    <w:p w14:paraId="14C66FA4" w14:textId="018520DD" w:rsidR="00CF14B6" w:rsidRPr="00103B58" w:rsidRDefault="00CF14B6" w:rsidP="002155B0">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103B58">
        <w:rPr>
          <w:rFonts w:ascii="Corbel" w:eastAsia="Times New Roman" w:hAnsi="Corbel" w:cs="Calibri"/>
          <w:color w:val="000000"/>
          <w:sz w:val="23"/>
          <w:szCs w:val="23"/>
          <w:lang w:eastAsia="en-AU"/>
        </w:rPr>
        <w:t xml:space="preserve">Undertaking the following additional effort: </w:t>
      </w:r>
    </w:p>
    <w:p w14:paraId="46B2D15D" w14:textId="75F592D0" w:rsidR="003C07CB" w:rsidRPr="00C804A9" w:rsidRDefault="0079290A" w:rsidP="006536B0">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All</w:t>
      </w:r>
      <w:r w:rsidR="00E41CB7">
        <w:rPr>
          <w:rFonts w:ascii="Corbel" w:eastAsia="Times New Roman" w:hAnsi="Corbel" w:cs="Calibri"/>
          <w:color w:val="000000"/>
          <w:sz w:val="23"/>
          <w:szCs w:val="23"/>
          <w:lang w:eastAsia="en-AU"/>
        </w:rPr>
        <w:t xml:space="preserve"> school</w:t>
      </w:r>
      <w:r>
        <w:rPr>
          <w:rFonts w:ascii="Corbel" w:eastAsia="Times New Roman" w:hAnsi="Corbel" w:cs="Calibri"/>
          <w:color w:val="000000"/>
          <w:sz w:val="23"/>
          <w:szCs w:val="23"/>
          <w:lang w:eastAsia="en-AU"/>
        </w:rPr>
        <w:t xml:space="preserve"> sectors to a</w:t>
      </w:r>
      <w:r w:rsidR="006B5564">
        <w:rPr>
          <w:rFonts w:ascii="Corbel" w:eastAsia="Times New Roman" w:hAnsi="Corbel" w:cs="Calibri"/>
          <w:color w:val="000000"/>
          <w:sz w:val="23"/>
          <w:szCs w:val="23"/>
          <w:lang w:eastAsia="en-AU"/>
        </w:rPr>
        <w:t>ccelerat</w:t>
      </w:r>
      <w:r>
        <w:rPr>
          <w:rFonts w:ascii="Corbel" w:eastAsia="Times New Roman" w:hAnsi="Corbel" w:cs="Calibri"/>
          <w:color w:val="000000"/>
          <w:sz w:val="23"/>
          <w:szCs w:val="23"/>
          <w:lang w:eastAsia="en-AU"/>
        </w:rPr>
        <w:t>e</w:t>
      </w:r>
      <w:r w:rsidR="006B5564">
        <w:rPr>
          <w:rFonts w:ascii="Corbel" w:eastAsia="Times New Roman" w:hAnsi="Corbel" w:cs="Calibri"/>
          <w:color w:val="000000"/>
          <w:sz w:val="23"/>
          <w:szCs w:val="23"/>
          <w:lang w:eastAsia="en-AU"/>
        </w:rPr>
        <w:t xml:space="preserve"> </w:t>
      </w:r>
      <w:r w:rsidR="007F70B0">
        <w:rPr>
          <w:rFonts w:ascii="Corbel" w:eastAsia="Times New Roman" w:hAnsi="Corbel" w:cs="Calibri"/>
          <w:color w:val="000000"/>
          <w:sz w:val="23"/>
          <w:szCs w:val="23"/>
          <w:lang w:eastAsia="en-AU"/>
        </w:rPr>
        <w:t>where possible the implementation of</w:t>
      </w:r>
      <w:r w:rsidR="006536B0" w:rsidRPr="00C804A9">
        <w:rPr>
          <w:rFonts w:ascii="Corbel" w:eastAsia="Times New Roman" w:hAnsi="Corbel" w:cs="Calibri"/>
          <w:color w:val="000000"/>
          <w:sz w:val="23"/>
          <w:szCs w:val="23"/>
          <w:lang w:eastAsia="en-AU"/>
        </w:rPr>
        <w:t xml:space="preserve"> the school</w:t>
      </w:r>
      <w:r w:rsidR="0052108A">
        <w:rPr>
          <w:rFonts w:ascii="Corbel" w:eastAsia="Times New Roman" w:hAnsi="Corbel" w:cs="Calibri"/>
          <w:color w:val="000000"/>
          <w:sz w:val="23"/>
          <w:szCs w:val="23"/>
          <w:lang w:eastAsia="en-AU"/>
        </w:rPr>
        <w:noBreakHyphen/>
      </w:r>
      <w:r w:rsidR="006536B0" w:rsidRPr="00C804A9">
        <w:rPr>
          <w:rFonts w:ascii="Corbel" w:eastAsia="Times New Roman" w:hAnsi="Corbel" w:cs="Calibri"/>
          <w:color w:val="000000"/>
          <w:sz w:val="23"/>
          <w:szCs w:val="23"/>
          <w:lang w:eastAsia="en-AU"/>
        </w:rPr>
        <w:t xml:space="preserve">based recommendations of the </w:t>
      </w:r>
      <w:r w:rsidR="006536B0" w:rsidRPr="00C804A9">
        <w:rPr>
          <w:rFonts w:ascii="Corbel" w:eastAsia="Times New Roman" w:hAnsi="Corbel" w:cs="Calibri"/>
          <w:i/>
          <w:color w:val="000000"/>
          <w:sz w:val="23"/>
          <w:szCs w:val="23"/>
          <w:lang w:eastAsia="en-AU"/>
        </w:rPr>
        <w:t xml:space="preserve">Lifting Literacy </w:t>
      </w:r>
      <w:r w:rsidR="006536B0" w:rsidRPr="00C804A9">
        <w:rPr>
          <w:rFonts w:ascii="Corbel" w:eastAsia="Times New Roman" w:hAnsi="Corbel" w:cs="Calibri"/>
          <w:color w:val="000000"/>
          <w:sz w:val="23"/>
          <w:szCs w:val="23"/>
          <w:lang w:eastAsia="en-AU"/>
        </w:rPr>
        <w:t>implementation plan</w:t>
      </w:r>
      <w:r w:rsidR="003C07CB" w:rsidRPr="00C804A9">
        <w:rPr>
          <w:rFonts w:ascii="Corbel" w:eastAsia="Times New Roman" w:hAnsi="Corbel" w:cs="Calibri"/>
          <w:color w:val="000000"/>
          <w:sz w:val="23"/>
          <w:szCs w:val="23"/>
          <w:lang w:eastAsia="en-AU"/>
        </w:rPr>
        <w:t xml:space="preserve">, </w:t>
      </w:r>
      <w:r w:rsidR="00527D09" w:rsidRPr="00C804A9">
        <w:rPr>
          <w:rFonts w:ascii="Corbel" w:eastAsia="Times New Roman" w:hAnsi="Corbel" w:cs="Calibri"/>
          <w:color w:val="000000"/>
          <w:sz w:val="23"/>
          <w:szCs w:val="23"/>
          <w:lang w:eastAsia="en-AU"/>
        </w:rPr>
        <w:t xml:space="preserve">namely </w:t>
      </w:r>
      <w:r w:rsidR="006400E5" w:rsidRPr="00C804A9">
        <w:rPr>
          <w:rFonts w:ascii="Corbel" w:eastAsia="Times New Roman" w:hAnsi="Corbel" w:cs="Calibri"/>
          <w:color w:val="000000"/>
          <w:sz w:val="23"/>
          <w:szCs w:val="23"/>
          <w:lang w:eastAsia="en-AU"/>
        </w:rPr>
        <w:t>the introduction of a minimum schooling guarantee for reading across all schools in Tasmania</w:t>
      </w:r>
      <w:r w:rsidR="00517B7E">
        <w:rPr>
          <w:rFonts w:ascii="Corbel" w:eastAsia="Times New Roman" w:hAnsi="Corbel" w:cs="Calibri"/>
          <w:color w:val="000000"/>
          <w:sz w:val="23"/>
          <w:szCs w:val="23"/>
          <w:lang w:eastAsia="en-AU"/>
        </w:rPr>
        <w:t xml:space="preserve">. </w:t>
      </w:r>
      <w:r w:rsidR="00855689">
        <w:rPr>
          <w:rFonts w:ascii="Corbel" w:eastAsia="Times New Roman" w:hAnsi="Corbel" w:cs="Calibri"/>
          <w:color w:val="000000"/>
          <w:sz w:val="23"/>
          <w:szCs w:val="23"/>
          <w:lang w:eastAsia="en-AU"/>
        </w:rPr>
        <w:t>If feasible, the following recommendations will</w:t>
      </w:r>
      <w:r w:rsidR="002C70CA">
        <w:rPr>
          <w:rFonts w:ascii="Corbel" w:eastAsia="Times New Roman" w:hAnsi="Corbel" w:cs="Calibri"/>
          <w:color w:val="000000"/>
          <w:sz w:val="23"/>
          <w:szCs w:val="23"/>
          <w:lang w:eastAsia="en-AU"/>
        </w:rPr>
        <w:t xml:space="preserve"> be accelerated</w:t>
      </w:r>
      <w:r w:rsidR="003C07CB" w:rsidRPr="00C804A9">
        <w:rPr>
          <w:rFonts w:ascii="Corbel" w:eastAsia="Times New Roman" w:hAnsi="Corbel" w:cs="Calibri"/>
          <w:color w:val="000000"/>
          <w:sz w:val="23"/>
          <w:szCs w:val="23"/>
          <w:lang w:eastAsia="en-AU"/>
        </w:rPr>
        <w:t>:</w:t>
      </w:r>
    </w:p>
    <w:p w14:paraId="7234139C" w14:textId="28785A3A" w:rsidR="003A7918" w:rsidRPr="00C804A9" w:rsidRDefault="006400E5" w:rsidP="00B67659">
      <w:pPr>
        <w:pStyle w:val="ListParagraph"/>
        <w:numPr>
          <w:ilvl w:val="3"/>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C804A9">
        <w:rPr>
          <w:rFonts w:ascii="Corbel" w:eastAsia="Times New Roman" w:hAnsi="Corbel" w:cs="Calibri"/>
          <w:color w:val="000000"/>
          <w:sz w:val="23"/>
          <w:szCs w:val="23"/>
          <w:lang w:eastAsia="en-AU"/>
        </w:rPr>
        <w:t>Extending structured literacy tuition in Years 3 to 6 in all Government primary schools by 2026;</w:t>
      </w:r>
    </w:p>
    <w:p w14:paraId="157CC8FB" w14:textId="0DE66C33" w:rsidR="006400E5" w:rsidRPr="00C804A9" w:rsidRDefault="006400E5" w:rsidP="00B67659">
      <w:pPr>
        <w:pStyle w:val="ListParagraph"/>
        <w:numPr>
          <w:ilvl w:val="3"/>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C804A9">
        <w:rPr>
          <w:rFonts w:ascii="Corbel" w:eastAsia="Times New Roman" w:hAnsi="Corbel" w:cs="Calibri"/>
          <w:color w:val="000000"/>
          <w:sz w:val="23"/>
          <w:szCs w:val="23"/>
          <w:lang w:eastAsia="en-AU"/>
        </w:rPr>
        <w:lastRenderedPageBreak/>
        <w:t>Providing decodable readers to primary schools and libraries;</w:t>
      </w:r>
    </w:p>
    <w:p w14:paraId="215C5447" w14:textId="2C2A38F1" w:rsidR="00D2324D" w:rsidRPr="00C804A9" w:rsidRDefault="003A7918" w:rsidP="00DE5CCD">
      <w:pPr>
        <w:pStyle w:val="ListParagraph"/>
        <w:numPr>
          <w:ilvl w:val="3"/>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C804A9">
        <w:rPr>
          <w:rFonts w:ascii="Corbel" w:eastAsia="Times New Roman" w:hAnsi="Corbel" w:cs="Calibri"/>
          <w:color w:val="000000"/>
          <w:sz w:val="23"/>
          <w:szCs w:val="23"/>
          <w:lang w:eastAsia="en-AU"/>
        </w:rPr>
        <w:t>Ensur</w:t>
      </w:r>
      <w:r w:rsidR="006400E5" w:rsidRPr="00C804A9">
        <w:rPr>
          <w:rFonts w:ascii="Corbel" w:eastAsia="Times New Roman" w:hAnsi="Corbel" w:cs="Calibri"/>
          <w:color w:val="000000"/>
          <w:sz w:val="23"/>
          <w:szCs w:val="23"/>
          <w:lang w:eastAsia="en-AU"/>
        </w:rPr>
        <w:t>ing</w:t>
      </w:r>
      <w:r w:rsidRPr="00C804A9">
        <w:rPr>
          <w:rFonts w:ascii="Corbel" w:eastAsia="Times New Roman" w:hAnsi="Corbel" w:cs="Calibri"/>
          <w:color w:val="000000"/>
          <w:sz w:val="23"/>
          <w:szCs w:val="23"/>
          <w:lang w:eastAsia="en-AU"/>
        </w:rPr>
        <w:t xml:space="preserve"> that students whose learning plans identify a need for literacy development have access to assessments for language</w:t>
      </w:r>
      <w:r w:rsidR="00D2324D" w:rsidRPr="00C804A9">
        <w:rPr>
          <w:rFonts w:ascii="Corbel" w:eastAsia="Times New Roman" w:hAnsi="Corbel" w:cs="Calibri"/>
          <w:color w:val="000000"/>
          <w:sz w:val="23"/>
          <w:szCs w:val="23"/>
          <w:lang w:eastAsia="en-AU"/>
        </w:rPr>
        <w:t xml:space="preserve"> and learning difficulties</w:t>
      </w:r>
      <w:r w:rsidR="00574E74" w:rsidRPr="00C804A9">
        <w:rPr>
          <w:rFonts w:ascii="Corbel" w:eastAsia="Times New Roman" w:hAnsi="Corbel" w:cs="Calibri"/>
          <w:color w:val="000000"/>
          <w:sz w:val="23"/>
          <w:szCs w:val="23"/>
          <w:lang w:eastAsia="en-AU"/>
        </w:rPr>
        <w:t>; and</w:t>
      </w:r>
    </w:p>
    <w:p w14:paraId="1E7469BB" w14:textId="5C39789C" w:rsidR="006536B0" w:rsidRDefault="00D2324D" w:rsidP="002B51F2">
      <w:pPr>
        <w:pStyle w:val="ListParagraph"/>
        <w:numPr>
          <w:ilvl w:val="3"/>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C804A9">
        <w:rPr>
          <w:rFonts w:ascii="Corbel" w:eastAsia="Times New Roman" w:hAnsi="Corbel" w:cs="Calibri"/>
          <w:color w:val="000000"/>
          <w:sz w:val="23"/>
          <w:szCs w:val="23"/>
          <w:lang w:eastAsia="en-AU"/>
        </w:rPr>
        <w:t>Provid</w:t>
      </w:r>
      <w:r w:rsidR="00574E74" w:rsidRPr="00C804A9">
        <w:rPr>
          <w:rFonts w:ascii="Corbel" w:eastAsia="Times New Roman" w:hAnsi="Corbel" w:cs="Calibri"/>
          <w:color w:val="000000"/>
          <w:sz w:val="23"/>
          <w:szCs w:val="23"/>
          <w:lang w:eastAsia="en-AU"/>
        </w:rPr>
        <w:t>ing</w:t>
      </w:r>
      <w:r w:rsidR="00973477">
        <w:rPr>
          <w:rFonts w:ascii="Corbel" w:eastAsia="Times New Roman" w:hAnsi="Corbel" w:cs="Calibri"/>
          <w:color w:val="000000"/>
          <w:sz w:val="23"/>
          <w:szCs w:val="23"/>
          <w:lang w:eastAsia="en-AU"/>
        </w:rPr>
        <w:t xml:space="preserve"> </w:t>
      </w:r>
      <w:r w:rsidRPr="00C804A9">
        <w:rPr>
          <w:rFonts w:ascii="Corbel" w:eastAsia="Times New Roman" w:hAnsi="Corbel" w:cs="Calibri"/>
          <w:color w:val="000000"/>
          <w:sz w:val="23"/>
          <w:szCs w:val="23"/>
          <w:lang w:eastAsia="en-AU"/>
        </w:rPr>
        <w:t xml:space="preserve">guidelines for education providers on how to support Culturally and Linguistically Diverse learners across all ages and provide resources for </w:t>
      </w:r>
      <w:r w:rsidR="000C4407" w:rsidRPr="00C804A9">
        <w:rPr>
          <w:rFonts w:ascii="Corbel" w:eastAsia="Times New Roman" w:hAnsi="Corbel" w:cs="Calibri"/>
          <w:color w:val="000000"/>
          <w:sz w:val="23"/>
          <w:szCs w:val="23"/>
          <w:lang w:eastAsia="en-AU"/>
        </w:rPr>
        <w:t xml:space="preserve">individuals and families. </w:t>
      </w:r>
    </w:p>
    <w:p w14:paraId="246EEE97" w14:textId="37A5315D" w:rsidR="00405868" w:rsidRPr="00C81095" w:rsidRDefault="00D1768F" w:rsidP="00405868">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DECYP and CET to i</w:t>
      </w:r>
      <w:r w:rsidR="00405868" w:rsidRPr="00974B34">
        <w:rPr>
          <w:rFonts w:ascii="Corbel" w:eastAsia="Times New Roman" w:hAnsi="Corbel" w:cs="Calibri"/>
          <w:color w:val="000000"/>
          <w:sz w:val="23"/>
          <w:szCs w:val="23"/>
          <w:lang w:eastAsia="en-AU"/>
        </w:rPr>
        <w:t>mprov</w:t>
      </w:r>
      <w:r>
        <w:rPr>
          <w:rFonts w:ascii="Corbel" w:eastAsia="Times New Roman" w:hAnsi="Corbel" w:cs="Calibri"/>
          <w:color w:val="000000"/>
          <w:sz w:val="23"/>
          <w:szCs w:val="23"/>
          <w:lang w:eastAsia="en-AU"/>
        </w:rPr>
        <w:t>e</w:t>
      </w:r>
      <w:r w:rsidR="00405868" w:rsidRPr="00974B34">
        <w:rPr>
          <w:rFonts w:ascii="Corbel" w:eastAsia="Times New Roman" w:hAnsi="Corbel" w:cs="Calibri"/>
          <w:color w:val="000000"/>
          <w:sz w:val="23"/>
          <w:szCs w:val="23"/>
          <w:lang w:eastAsia="en-AU"/>
        </w:rPr>
        <w:t xml:space="preserve"> pathways for post-school opportunities, including through VET in Schools, work-based learning, career education and apprenticeships;</w:t>
      </w:r>
    </w:p>
    <w:p w14:paraId="4DE95F0F" w14:textId="30C517AD" w:rsidR="00405868" w:rsidRPr="00C804A9" w:rsidRDefault="00D1768F" w:rsidP="00C804A9">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DECYP to p</w:t>
      </w:r>
      <w:r w:rsidR="00405868" w:rsidRPr="00C81095">
        <w:rPr>
          <w:rFonts w:ascii="Corbel" w:eastAsia="Times New Roman" w:hAnsi="Corbel" w:cs="Calibri"/>
          <w:color w:val="000000"/>
          <w:sz w:val="23"/>
          <w:szCs w:val="23"/>
          <w:lang w:eastAsia="en-AU"/>
        </w:rPr>
        <w:t>ilot</w:t>
      </w:r>
      <w:r>
        <w:rPr>
          <w:rFonts w:ascii="Corbel" w:eastAsia="Times New Roman" w:hAnsi="Corbel" w:cs="Calibri"/>
          <w:color w:val="000000"/>
          <w:sz w:val="23"/>
          <w:szCs w:val="23"/>
          <w:lang w:eastAsia="en-AU"/>
        </w:rPr>
        <w:t xml:space="preserve"> </w:t>
      </w:r>
      <w:r w:rsidR="00405868" w:rsidRPr="00C81095">
        <w:rPr>
          <w:rFonts w:ascii="Corbel" w:eastAsia="Times New Roman" w:hAnsi="Corbel" w:cs="Calibri"/>
          <w:color w:val="000000"/>
          <w:sz w:val="23"/>
          <w:szCs w:val="23"/>
          <w:lang w:eastAsia="en-AU"/>
        </w:rPr>
        <w:t>evidence-based t</w:t>
      </w:r>
      <w:r w:rsidR="00405868">
        <w:rPr>
          <w:rFonts w:ascii="Corbel" w:eastAsia="Times New Roman" w:hAnsi="Corbel" w:cs="Calibri"/>
          <w:color w:val="000000"/>
          <w:sz w:val="23"/>
          <w:szCs w:val="23"/>
          <w:lang w:eastAsia="en-AU"/>
        </w:rPr>
        <w:t>e</w:t>
      </w:r>
      <w:r w:rsidR="00405868" w:rsidRPr="00C81095">
        <w:rPr>
          <w:rFonts w:ascii="Corbel" w:eastAsia="Times New Roman" w:hAnsi="Corbel" w:cs="Calibri"/>
          <w:color w:val="000000"/>
          <w:sz w:val="23"/>
          <w:szCs w:val="23"/>
          <w:lang w:eastAsia="en-AU"/>
        </w:rPr>
        <w:t>aching and learning mathematics materials with a focus on number and algebra, to inform system-wide direction and expectations for the explicit teaching of mathematics in the primary years to strengthen numeracy outcomes</w:t>
      </w:r>
      <w:r w:rsidR="00405868">
        <w:rPr>
          <w:rFonts w:ascii="Corbel" w:eastAsia="Times New Roman" w:hAnsi="Corbel" w:cs="Calibri"/>
          <w:color w:val="000000"/>
          <w:sz w:val="23"/>
          <w:szCs w:val="23"/>
          <w:lang w:eastAsia="en-AU"/>
        </w:rPr>
        <w:t>.</w:t>
      </w:r>
    </w:p>
    <w:p w14:paraId="4E828245" w14:textId="77777777" w:rsidR="00CF14B6" w:rsidRPr="00CF14B6" w:rsidRDefault="00CF14B6" w:rsidP="00CF14B6">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CF14B6">
        <w:rPr>
          <w:rFonts w:ascii="Corbel" w:eastAsia="Times New Roman" w:hAnsi="Corbel" w:cs="Calibri"/>
          <w:color w:val="000000"/>
          <w:sz w:val="23"/>
          <w:szCs w:val="23"/>
          <w:lang w:eastAsia="en-AU"/>
        </w:rPr>
        <w:t>A Year 1 phonics check and an early years of schooling numeracy check (once available) is made available to schools in Australia to support teachers and school leaders to identify student learning needs early.</w:t>
      </w:r>
    </w:p>
    <w:p w14:paraId="33248B94" w14:textId="35DF09CF" w:rsidR="00A00B98" w:rsidRPr="00103B58" w:rsidRDefault="00CF14B6" w:rsidP="000F5A26">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103B58">
        <w:rPr>
          <w:rFonts w:ascii="Corbel" w:eastAsia="Times New Roman" w:hAnsi="Corbel" w:cs="Calibri"/>
          <w:color w:val="000000"/>
          <w:sz w:val="23"/>
          <w:szCs w:val="23"/>
          <w:lang w:eastAsia="en-AU"/>
        </w:rPr>
        <w:t>Continuing to:</w:t>
      </w:r>
    </w:p>
    <w:p w14:paraId="34276101" w14:textId="259D0A0D" w:rsidR="00974B34" w:rsidRDefault="00104072" w:rsidP="00A00B98">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4C6EAC">
        <w:rPr>
          <w:rFonts w:ascii="Corbel" w:eastAsia="Times New Roman" w:hAnsi="Corbel" w:cs="Calibri"/>
          <w:color w:val="000000"/>
          <w:sz w:val="23"/>
          <w:szCs w:val="23"/>
          <w:lang w:eastAsia="en-AU"/>
        </w:rPr>
        <w:t xml:space="preserve">Screen all eligible learners </w:t>
      </w:r>
      <w:r w:rsidR="000C1C55">
        <w:rPr>
          <w:rFonts w:ascii="Corbel" w:eastAsia="Times New Roman" w:hAnsi="Corbel" w:cs="Calibri"/>
          <w:color w:val="000000"/>
          <w:sz w:val="23"/>
          <w:szCs w:val="23"/>
          <w:lang w:eastAsia="en-AU"/>
        </w:rPr>
        <w:t>in all</w:t>
      </w:r>
      <w:r w:rsidR="00A36293">
        <w:rPr>
          <w:rFonts w:ascii="Corbel" w:eastAsia="Times New Roman" w:hAnsi="Corbel" w:cs="Calibri"/>
          <w:color w:val="000000"/>
          <w:sz w:val="23"/>
          <w:szCs w:val="23"/>
          <w:lang w:eastAsia="en-AU"/>
        </w:rPr>
        <w:t xml:space="preserve"> school</w:t>
      </w:r>
      <w:r w:rsidR="000C1C55">
        <w:rPr>
          <w:rFonts w:ascii="Corbel" w:eastAsia="Times New Roman" w:hAnsi="Corbel" w:cs="Calibri"/>
          <w:color w:val="000000"/>
          <w:sz w:val="23"/>
          <w:szCs w:val="23"/>
          <w:lang w:eastAsia="en-AU"/>
        </w:rPr>
        <w:t xml:space="preserve"> sectors </w:t>
      </w:r>
      <w:r w:rsidRPr="004C6EAC">
        <w:rPr>
          <w:rFonts w:ascii="Corbel" w:eastAsia="Times New Roman" w:hAnsi="Corbel" w:cs="Calibri"/>
          <w:color w:val="000000"/>
          <w:sz w:val="23"/>
          <w:szCs w:val="23"/>
          <w:lang w:eastAsia="en-AU"/>
        </w:rPr>
        <w:t>using the National Year 1 Phonics Check</w:t>
      </w:r>
      <w:r w:rsidR="005A247C" w:rsidRPr="004C6EAC">
        <w:rPr>
          <w:rFonts w:ascii="Corbel" w:eastAsia="Times New Roman" w:hAnsi="Corbel" w:cs="Calibri"/>
          <w:color w:val="000000"/>
          <w:sz w:val="23"/>
          <w:szCs w:val="23"/>
          <w:lang w:eastAsia="en-AU"/>
        </w:rPr>
        <w:t xml:space="preserve"> and report annually on participation rate</w:t>
      </w:r>
      <w:r w:rsidR="0076575A">
        <w:rPr>
          <w:rFonts w:ascii="Corbel" w:eastAsia="Times New Roman" w:hAnsi="Corbel" w:cs="Calibri"/>
          <w:color w:val="000000"/>
          <w:sz w:val="23"/>
          <w:szCs w:val="23"/>
          <w:lang w:eastAsia="en-AU"/>
        </w:rPr>
        <w:t>s</w:t>
      </w:r>
      <w:r w:rsidR="005A247C" w:rsidRPr="004C6EAC">
        <w:rPr>
          <w:rFonts w:ascii="Corbel" w:eastAsia="Times New Roman" w:hAnsi="Corbel" w:cs="Calibri"/>
          <w:color w:val="000000"/>
          <w:sz w:val="23"/>
          <w:szCs w:val="23"/>
          <w:lang w:eastAsia="en-AU"/>
        </w:rPr>
        <w:t xml:space="preserve"> for Government schools and student achievement levels</w:t>
      </w:r>
      <w:r w:rsidR="00974B34">
        <w:rPr>
          <w:rFonts w:ascii="Corbel" w:eastAsia="Times New Roman" w:hAnsi="Corbel" w:cs="Calibri"/>
          <w:color w:val="000000"/>
          <w:sz w:val="23"/>
          <w:szCs w:val="23"/>
          <w:lang w:eastAsia="en-AU"/>
        </w:rPr>
        <w:t>;</w:t>
      </w:r>
    </w:p>
    <w:p w14:paraId="6005D9C3" w14:textId="142A1540" w:rsidR="00CF14B6" w:rsidRPr="004C6EAC" w:rsidRDefault="00974B34" w:rsidP="00A00B98">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Make available the Year 1 Number Check as a screening tool </w:t>
      </w:r>
      <w:r w:rsidR="000C1C55">
        <w:rPr>
          <w:rFonts w:ascii="Corbel" w:eastAsia="Times New Roman" w:hAnsi="Corbel" w:cs="Calibri"/>
          <w:color w:val="000000"/>
          <w:sz w:val="23"/>
          <w:szCs w:val="23"/>
          <w:lang w:eastAsia="en-AU"/>
        </w:rPr>
        <w:t xml:space="preserve">in Government schools </w:t>
      </w:r>
      <w:r>
        <w:rPr>
          <w:rFonts w:ascii="Corbel" w:eastAsia="Times New Roman" w:hAnsi="Corbel" w:cs="Calibri"/>
          <w:color w:val="000000"/>
          <w:sz w:val="23"/>
          <w:szCs w:val="23"/>
          <w:lang w:eastAsia="en-AU"/>
        </w:rPr>
        <w:t>until a National Numeracy Check is developed.</w:t>
      </w:r>
    </w:p>
    <w:p w14:paraId="5B7FFA8F" w14:textId="7AC2A1A7" w:rsidR="00CF14B6" w:rsidRPr="004C6EAC" w:rsidRDefault="00CF14B6" w:rsidP="000F5A26">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4C6EAC">
        <w:rPr>
          <w:rFonts w:ascii="Corbel" w:eastAsia="Times New Roman" w:hAnsi="Corbel" w:cs="Calibri"/>
          <w:color w:val="000000"/>
          <w:sz w:val="23"/>
          <w:szCs w:val="23"/>
          <w:lang w:eastAsia="en-AU"/>
        </w:rPr>
        <w:t>Undertaking the following additional effort:</w:t>
      </w:r>
    </w:p>
    <w:p w14:paraId="57BC2F4B" w14:textId="2D7E0414" w:rsidR="00CF14B6" w:rsidRPr="004C6EAC" w:rsidRDefault="008C2B18" w:rsidP="000F5A26">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4C6EAC">
        <w:rPr>
          <w:rFonts w:ascii="Corbel" w:eastAsia="Times New Roman" w:hAnsi="Corbel" w:cs="Calibri"/>
          <w:color w:val="000000"/>
          <w:sz w:val="23"/>
          <w:szCs w:val="23"/>
          <w:lang w:eastAsia="en-AU"/>
        </w:rPr>
        <w:t>M</w:t>
      </w:r>
      <w:r w:rsidR="00CF14B6" w:rsidRPr="004C6EAC">
        <w:rPr>
          <w:rFonts w:ascii="Corbel" w:eastAsia="Times New Roman" w:hAnsi="Corbel" w:cs="Calibri"/>
          <w:color w:val="000000"/>
          <w:sz w:val="23"/>
          <w:szCs w:val="23"/>
          <w:lang w:eastAsia="en-AU"/>
        </w:rPr>
        <w:t>aking available to schools a Numeracy Check in the early years of schooling, once the national tool is available</w:t>
      </w:r>
      <w:r w:rsidR="002B7B9E">
        <w:rPr>
          <w:rFonts w:ascii="Corbel" w:eastAsia="Times New Roman" w:hAnsi="Corbel" w:cs="Calibri"/>
          <w:color w:val="000000"/>
          <w:sz w:val="23"/>
          <w:szCs w:val="23"/>
          <w:lang w:eastAsia="en-AU"/>
        </w:rPr>
        <w:t>;</w:t>
      </w:r>
    </w:p>
    <w:p w14:paraId="12000E17" w14:textId="566F4636" w:rsidR="00493E8C" w:rsidRPr="004C6EAC" w:rsidRDefault="00493E8C" w:rsidP="000F5A26">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4C6EAC">
        <w:rPr>
          <w:rFonts w:ascii="Corbel" w:eastAsia="Times New Roman" w:hAnsi="Corbel" w:cs="Calibri"/>
          <w:color w:val="000000"/>
          <w:sz w:val="23"/>
          <w:szCs w:val="23"/>
          <w:lang w:eastAsia="en-AU"/>
        </w:rPr>
        <w:t xml:space="preserve">Reporting annual </w:t>
      </w:r>
      <w:r w:rsidR="00B2088E" w:rsidRPr="004C6EAC">
        <w:rPr>
          <w:rFonts w:ascii="Corbel" w:eastAsia="Times New Roman" w:hAnsi="Corbel" w:cs="Calibri"/>
          <w:color w:val="000000"/>
          <w:sz w:val="23"/>
          <w:szCs w:val="23"/>
          <w:lang w:eastAsia="en-AU"/>
        </w:rPr>
        <w:t>participation</w:t>
      </w:r>
      <w:r w:rsidR="008A3A66" w:rsidRPr="004C6EAC">
        <w:rPr>
          <w:rFonts w:ascii="Corbel" w:eastAsia="Times New Roman" w:hAnsi="Corbel" w:cs="Calibri"/>
          <w:color w:val="000000"/>
          <w:sz w:val="23"/>
          <w:szCs w:val="23"/>
          <w:lang w:eastAsia="en-AU"/>
        </w:rPr>
        <w:t xml:space="preserve"> rates for </w:t>
      </w:r>
      <w:r w:rsidR="00246DD6" w:rsidRPr="004C6EAC">
        <w:rPr>
          <w:rFonts w:ascii="Corbel" w:eastAsia="Times New Roman" w:hAnsi="Corbel" w:cs="Calibri"/>
          <w:color w:val="000000"/>
          <w:sz w:val="23"/>
          <w:szCs w:val="23"/>
          <w:lang w:eastAsia="en-AU"/>
        </w:rPr>
        <w:t>Government schools</w:t>
      </w:r>
      <w:r w:rsidR="00187450">
        <w:rPr>
          <w:rFonts w:ascii="Corbel" w:eastAsia="Times New Roman" w:hAnsi="Corbel" w:cs="Calibri"/>
          <w:color w:val="000000"/>
          <w:sz w:val="23"/>
          <w:szCs w:val="23"/>
          <w:lang w:eastAsia="en-AU"/>
        </w:rPr>
        <w:t xml:space="preserve"> of</w:t>
      </w:r>
      <w:r w:rsidR="00246DD6" w:rsidRPr="004C6EAC">
        <w:rPr>
          <w:rFonts w:ascii="Corbel" w:eastAsia="Times New Roman" w:hAnsi="Corbel" w:cs="Calibri"/>
          <w:color w:val="000000"/>
          <w:sz w:val="23"/>
          <w:szCs w:val="23"/>
          <w:lang w:eastAsia="en-AU"/>
        </w:rPr>
        <w:t xml:space="preserve"> </w:t>
      </w:r>
      <w:r w:rsidR="008A3A66" w:rsidRPr="004C6EAC">
        <w:rPr>
          <w:rFonts w:ascii="Corbel" w:eastAsia="Times New Roman" w:hAnsi="Corbel" w:cs="Calibri"/>
          <w:color w:val="000000"/>
          <w:sz w:val="23"/>
          <w:szCs w:val="23"/>
          <w:lang w:eastAsia="en-AU"/>
        </w:rPr>
        <w:t>the early years of schooling numeracy check</w:t>
      </w:r>
      <w:r w:rsidR="004C7B52" w:rsidRPr="004C6EAC">
        <w:rPr>
          <w:rFonts w:ascii="Corbel" w:eastAsia="Times New Roman" w:hAnsi="Corbel" w:cs="Calibri"/>
          <w:color w:val="000000"/>
          <w:sz w:val="23"/>
          <w:szCs w:val="23"/>
          <w:lang w:eastAsia="en-AU"/>
        </w:rPr>
        <w:t xml:space="preserve"> (once available).</w:t>
      </w:r>
    </w:p>
    <w:p w14:paraId="696F26F0" w14:textId="77777777" w:rsidR="00CF14B6" w:rsidRPr="00CF14B6" w:rsidRDefault="00CF14B6" w:rsidP="00CF14B6">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CF14B6">
        <w:rPr>
          <w:rFonts w:ascii="Corbel" w:eastAsia="Times New Roman" w:hAnsi="Corbel" w:cs="Calibri"/>
          <w:color w:val="000000"/>
          <w:sz w:val="23"/>
          <w:szCs w:val="23"/>
          <w:lang w:eastAsia="en-AU"/>
        </w:rPr>
        <w:t>Initiatives that encourage student uptake of high-quality science, technology, engineering and mathematics (STEM) education opportunities.</w:t>
      </w:r>
    </w:p>
    <w:p w14:paraId="6835A518" w14:textId="77777777" w:rsidR="00CF14B6" w:rsidRPr="00CD30A7" w:rsidRDefault="00CF14B6" w:rsidP="000F5A26">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CD30A7">
        <w:rPr>
          <w:rFonts w:ascii="Corbel" w:eastAsia="Times New Roman" w:hAnsi="Corbel" w:cs="Calibri"/>
          <w:color w:val="000000"/>
          <w:sz w:val="23"/>
          <w:szCs w:val="23"/>
          <w:lang w:eastAsia="en-AU"/>
        </w:rPr>
        <w:t>Continuing to:</w:t>
      </w:r>
    </w:p>
    <w:p w14:paraId="09EE5164" w14:textId="05E56262" w:rsidR="00D44689" w:rsidRPr="00CD30A7" w:rsidRDefault="00D44689" w:rsidP="00D44689">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CD30A7">
        <w:rPr>
          <w:rFonts w:ascii="Corbel" w:eastAsia="Times New Roman" w:hAnsi="Corbel" w:cs="Calibri"/>
          <w:color w:val="000000"/>
          <w:sz w:val="23"/>
          <w:szCs w:val="23"/>
          <w:lang w:eastAsia="en-AU"/>
        </w:rPr>
        <w:t>Support digital literacy and accessibility to digital learning</w:t>
      </w:r>
      <w:r w:rsidR="004D2162">
        <w:rPr>
          <w:rFonts w:ascii="Corbel" w:eastAsia="Times New Roman" w:hAnsi="Corbel" w:cs="Calibri"/>
          <w:color w:val="000000"/>
          <w:sz w:val="23"/>
          <w:szCs w:val="23"/>
          <w:lang w:eastAsia="en-AU"/>
        </w:rPr>
        <w:t xml:space="preserve"> in all </w:t>
      </w:r>
      <w:r w:rsidR="00E41CB7">
        <w:rPr>
          <w:rFonts w:ascii="Corbel" w:eastAsia="Times New Roman" w:hAnsi="Corbel" w:cs="Calibri"/>
          <w:color w:val="000000"/>
          <w:sz w:val="23"/>
          <w:szCs w:val="23"/>
          <w:lang w:eastAsia="en-AU"/>
        </w:rPr>
        <w:t xml:space="preserve">school </w:t>
      </w:r>
      <w:r w:rsidR="004D2162">
        <w:rPr>
          <w:rFonts w:ascii="Corbel" w:eastAsia="Times New Roman" w:hAnsi="Corbel" w:cs="Calibri"/>
          <w:color w:val="000000"/>
          <w:sz w:val="23"/>
          <w:szCs w:val="23"/>
          <w:lang w:eastAsia="en-AU"/>
        </w:rPr>
        <w:t>sectors</w:t>
      </w:r>
      <w:r w:rsidRPr="00CD30A7">
        <w:rPr>
          <w:rFonts w:ascii="Corbel" w:eastAsia="Times New Roman" w:hAnsi="Corbel" w:cs="Calibri"/>
          <w:color w:val="000000"/>
          <w:sz w:val="23"/>
          <w:szCs w:val="23"/>
          <w:lang w:eastAsia="en-AU"/>
        </w:rPr>
        <w:t>, particularly for students with disability;</w:t>
      </w:r>
    </w:p>
    <w:p w14:paraId="6D0B76BD" w14:textId="62323CD6" w:rsidR="00CF14B6" w:rsidRPr="00CD30A7" w:rsidRDefault="00D44689" w:rsidP="00D44689">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CD30A7">
        <w:rPr>
          <w:rFonts w:ascii="Corbel" w:eastAsia="Times New Roman" w:hAnsi="Corbel" w:cs="Calibri"/>
          <w:color w:val="000000"/>
          <w:sz w:val="23"/>
          <w:szCs w:val="23"/>
          <w:lang w:eastAsia="en-AU"/>
        </w:rPr>
        <w:t>Promote contemporary senior secondary science, technology, engineering and mathematics learning and pathways</w:t>
      </w:r>
      <w:r w:rsidR="004D2162">
        <w:rPr>
          <w:rFonts w:ascii="Corbel" w:eastAsia="Times New Roman" w:hAnsi="Corbel" w:cs="Calibri"/>
          <w:color w:val="000000"/>
          <w:sz w:val="23"/>
          <w:szCs w:val="23"/>
          <w:lang w:eastAsia="en-AU"/>
        </w:rPr>
        <w:t xml:space="preserve"> in all </w:t>
      </w:r>
      <w:r w:rsidR="00E41CB7">
        <w:rPr>
          <w:rFonts w:ascii="Corbel" w:eastAsia="Times New Roman" w:hAnsi="Corbel" w:cs="Calibri"/>
          <w:color w:val="000000"/>
          <w:sz w:val="23"/>
          <w:szCs w:val="23"/>
          <w:lang w:eastAsia="en-AU"/>
        </w:rPr>
        <w:t xml:space="preserve">school </w:t>
      </w:r>
      <w:r w:rsidR="004D2162">
        <w:rPr>
          <w:rFonts w:ascii="Corbel" w:eastAsia="Times New Roman" w:hAnsi="Corbel" w:cs="Calibri"/>
          <w:color w:val="000000"/>
          <w:sz w:val="23"/>
          <w:szCs w:val="23"/>
          <w:lang w:eastAsia="en-AU"/>
        </w:rPr>
        <w:t>sectors</w:t>
      </w:r>
      <w:r w:rsidRPr="00CD30A7">
        <w:rPr>
          <w:rFonts w:ascii="Corbel" w:eastAsia="Times New Roman" w:hAnsi="Corbel" w:cs="Calibri"/>
          <w:color w:val="000000"/>
          <w:sz w:val="23"/>
          <w:szCs w:val="23"/>
          <w:lang w:eastAsia="en-AU"/>
        </w:rPr>
        <w:t>.</w:t>
      </w:r>
      <w:r w:rsidRPr="00CD30A7" w:rsidDel="00D44689">
        <w:rPr>
          <w:rFonts w:ascii="Corbel" w:eastAsia="Times New Roman" w:hAnsi="Corbel" w:cs="Calibri"/>
          <w:color w:val="000000"/>
          <w:sz w:val="23"/>
          <w:szCs w:val="23"/>
          <w:lang w:eastAsia="en-AU"/>
        </w:rPr>
        <w:t xml:space="preserve"> </w:t>
      </w:r>
    </w:p>
    <w:p w14:paraId="6C60D91D" w14:textId="77777777" w:rsidR="00CF14B6" w:rsidRPr="000F5A26" w:rsidRDefault="00CF14B6" w:rsidP="007449B2">
      <w:pPr>
        <w:keepNext/>
        <w:tabs>
          <w:tab w:val="left" w:pos="426"/>
        </w:tabs>
        <w:spacing w:after="240" w:line="260" w:lineRule="exact"/>
        <w:jc w:val="both"/>
        <w:rPr>
          <w:rFonts w:ascii="Corbel" w:eastAsia="Times New Roman" w:hAnsi="Corbel" w:cs="Calibri"/>
          <w:color w:val="000000"/>
          <w:sz w:val="23"/>
          <w:szCs w:val="23"/>
          <w:u w:val="single"/>
          <w:lang w:eastAsia="en-AU"/>
        </w:rPr>
      </w:pPr>
      <w:r w:rsidRPr="000F5A26">
        <w:rPr>
          <w:rFonts w:ascii="Corbel" w:eastAsia="Times New Roman" w:hAnsi="Corbel" w:cs="Calibri"/>
          <w:color w:val="000000"/>
          <w:sz w:val="23"/>
          <w:szCs w:val="23"/>
          <w:u w:val="single"/>
          <w:lang w:eastAsia="en-AU"/>
        </w:rPr>
        <w:lastRenderedPageBreak/>
        <w:t>Wellbeing for learning and engagement</w:t>
      </w:r>
    </w:p>
    <w:p w14:paraId="5A76318F" w14:textId="77777777" w:rsidR="00CF14B6" w:rsidRPr="00CF14B6" w:rsidRDefault="00CF14B6" w:rsidP="00CF14B6">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CF14B6">
        <w:rPr>
          <w:rFonts w:ascii="Corbel" w:eastAsia="Times New Roman" w:hAnsi="Corbel" w:cs="Calibri"/>
          <w:color w:val="000000"/>
          <w:sz w:val="23"/>
          <w:szCs w:val="23"/>
          <w:lang w:eastAsia="en-AU"/>
        </w:rPr>
        <w:t>Initiatives that support connections between schools and other non-school services to support students to come to school ready to learn, for example through full-service school models where appropriate.</w:t>
      </w:r>
    </w:p>
    <w:p w14:paraId="035816E4" w14:textId="77777777" w:rsidR="00CF14B6" w:rsidRPr="00CF14B6" w:rsidRDefault="00CF14B6" w:rsidP="000F5A26">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CF14B6">
        <w:rPr>
          <w:rFonts w:ascii="Corbel" w:eastAsia="Times New Roman" w:hAnsi="Corbel" w:cs="Calibri"/>
          <w:color w:val="000000"/>
          <w:sz w:val="23"/>
          <w:szCs w:val="23"/>
          <w:lang w:eastAsia="en-AU"/>
        </w:rPr>
        <w:t>Continuing to:</w:t>
      </w:r>
    </w:p>
    <w:p w14:paraId="1A5AA00C" w14:textId="2CDB21A3" w:rsidR="00AD0958" w:rsidRPr="00C804A9" w:rsidRDefault="004D7E3F" w:rsidP="000F5A26">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C804A9">
        <w:rPr>
          <w:rFonts w:ascii="Corbel" w:eastAsia="Times New Roman" w:hAnsi="Corbel" w:cs="Calibri"/>
          <w:color w:val="000000"/>
          <w:sz w:val="23"/>
          <w:szCs w:val="23"/>
          <w:lang w:eastAsia="en-AU"/>
        </w:rPr>
        <w:t>P</w:t>
      </w:r>
      <w:r w:rsidR="00663311" w:rsidRPr="00C804A9">
        <w:rPr>
          <w:rFonts w:ascii="Corbel" w:eastAsia="Times New Roman" w:hAnsi="Corbel" w:cs="Calibri"/>
          <w:color w:val="000000"/>
          <w:sz w:val="23"/>
          <w:szCs w:val="23"/>
          <w:lang w:eastAsia="en-AU"/>
        </w:rPr>
        <w:t xml:space="preserve">rogress the </w:t>
      </w:r>
      <w:r w:rsidR="00244E74" w:rsidRPr="00C804A9">
        <w:rPr>
          <w:rFonts w:ascii="Corbel" w:eastAsia="Times New Roman" w:hAnsi="Corbel" w:cs="Calibri"/>
          <w:color w:val="000000"/>
          <w:sz w:val="23"/>
          <w:szCs w:val="23"/>
          <w:lang w:eastAsia="en-AU"/>
        </w:rPr>
        <w:t>recommendations from the Royal Commission into Violence, Abuse, Neglect and Exploitation of People with Disability</w:t>
      </w:r>
      <w:r w:rsidR="0082187F">
        <w:rPr>
          <w:rFonts w:ascii="Corbel" w:eastAsia="Times New Roman" w:hAnsi="Corbel" w:cs="Calibri"/>
          <w:color w:val="000000"/>
          <w:sz w:val="23"/>
          <w:szCs w:val="23"/>
          <w:lang w:eastAsia="en-AU"/>
        </w:rPr>
        <w:t xml:space="preserve"> across all</w:t>
      </w:r>
      <w:r w:rsidR="00E41CB7">
        <w:rPr>
          <w:rFonts w:ascii="Corbel" w:eastAsia="Times New Roman" w:hAnsi="Corbel" w:cs="Calibri"/>
          <w:color w:val="000000"/>
          <w:sz w:val="23"/>
          <w:szCs w:val="23"/>
          <w:lang w:eastAsia="en-AU"/>
        </w:rPr>
        <w:t xml:space="preserve"> school</w:t>
      </w:r>
      <w:r w:rsidR="0082187F">
        <w:rPr>
          <w:rFonts w:ascii="Corbel" w:eastAsia="Times New Roman" w:hAnsi="Corbel" w:cs="Calibri"/>
          <w:color w:val="000000"/>
          <w:sz w:val="23"/>
          <w:szCs w:val="23"/>
          <w:lang w:eastAsia="en-AU"/>
        </w:rPr>
        <w:t xml:space="preserve"> sectors</w:t>
      </w:r>
      <w:r w:rsidR="00663311" w:rsidRPr="00C804A9">
        <w:rPr>
          <w:rFonts w:ascii="Corbel" w:eastAsia="Times New Roman" w:hAnsi="Corbel" w:cs="Calibri"/>
          <w:color w:val="000000"/>
          <w:sz w:val="23"/>
          <w:szCs w:val="23"/>
          <w:lang w:eastAsia="en-AU"/>
        </w:rPr>
        <w:t>,</w:t>
      </w:r>
      <w:r w:rsidR="00E2646E" w:rsidRPr="00C804A9">
        <w:rPr>
          <w:rFonts w:ascii="Corbel" w:eastAsia="Times New Roman" w:hAnsi="Corbel" w:cs="Calibri"/>
          <w:color w:val="000000"/>
          <w:sz w:val="23"/>
          <w:szCs w:val="23"/>
          <w:lang w:eastAsia="en-AU"/>
        </w:rPr>
        <w:t xml:space="preserve"> </w:t>
      </w:r>
      <w:r w:rsidR="00351C31" w:rsidRPr="00C804A9">
        <w:rPr>
          <w:rFonts w:ascii="Corbel" w:eastAsia="Times New Roman" w:hAnsi="Corbel" w:cs="Calibri"/>
          <w:color w:val="000000"/>
          <w:sz w:val="23"/>
          <w:szCs w:val="23"/>
          <w:lang w:eastAsia="en-AU"/>
        </w:rPr>
        <w:t>including preventing the inappropriate use of exclusionary discipline against students with disability;</w:t>
      </w:r>
    </w:p>
    <w:p w14:paraId="6572D76E" w14:textId="3AE68B01" w:rsidR="00CF14B6" w:rsidRPr="004C6EAC" w:rsidRDefault="00F97DDD" w:rsidP="000F5A26">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4C6EAC">
        <w:rPr>
          <w:rFonts w:ascii="Corbel" w:eastAsia="Times New Roman" w:hAnsi="Corbel" w:cs="Calibri"/>
          <w:color w:val="000000"/>
          <w:sz w:val="23"/>
          <w:szCs w:val="23"/>
          <w:lang w:eastAsia="en-AU"/>
        </w:rPr>
        <w:t>Provide each</w:t>
      </w:r>
      <w:r w:rsidR="0082187F">
        <w:rPr>
          <w:rFonts w:ascii="Corbel" w:eastAsia="Times New Roman" w:hAnsi="Corbel" w:cs="Calibri"/>
          <w:color w:val="000000"/>
          <w:sz w:val="23"/>
          <w:szCs w:val="23"/>
          <w:lang w:eastAsia="en-AU"/>
        </w:rPr>
        <w:t xml:space="preserve"> Government</w:t>
      </w:r>
      <w:r w:rsidRPr="004C6EAC">
        <w:rPr>
          <w:rFonts w:ascii="Corbel" w:eastAsia="Times New Roman" w:hAnsi="Corbel" w:cs="Calibri"/>
          <w:color w:val="000000"/>
          <w:sz w:val="23"/>
          <w:szCs w:val="23"/>
          <w:lang w:eastAsia="en-AU"/>
        </w:rPr>
        <w:t xml:space="preserve"> school with a Safeguarding Lead</w:t>
      </w:r>
      <w:r w:rsidR="00CC38C3" w:rsidRPr="004C6EAC">
        <w:rPr>
          <w:rFonts w:ascii="Corbel" w:eastAsia="Times New Roman" w:hAnsi="Corbel" w:cs="Calibri"/>
          <w:color w:val="000000"/>
          <w:sz w:val="23"/>
          <w:szCs w:val="23"/>
          <w:lang w:eastAsia="en-AU"/>
        </w:rPr>
        <w:t>.</w:t>
      </w:r>
      <w:r w:rsidR="00B9551E" w:rsidRPr="004C6EAC">
        <w:rPr>
          <w:rFonts w:ascii="Corbel" w:eastAsia="Times New Roman" w:hAnsi="Corbel" w:cs="Calibri"/>
          <w:color w:val="000000"/>
          <w:sz w:val="23"/>
          <w:szCs w:val="23"/>
          <w:lang w:eastAsia="en-AU"/>
        </w:rPr>
        <w:t xml:space="preserve"> Safeguarding Leads take on the responsibility of facilitating various safeguarding requirements and supports, assisting the principal to build and foster a culture of safety within the school</w:t>
      </w:r>
      <w:r w:rsidR="00CC38C3" w:rsidRPr="004C6EAC">
        <w:rPr>
          <w:rFonts w:ascii="Corbel" w:eastAsia="Times New Roman" w:hAnsi="Corbel" w:cs="Calibri"/>
          <w:color w:val="000000"/>
          <w:sz w:val="23"/>
          <w:szCs w:val="23"/>
          <w:lang w:eastAsia="en-AU"/>
        </w:rPr>
        <w:t>.</w:t>
      </w:r>
    </w:p>
    <w:p w14:paraId="01BF966B" w14:textId="350E4886" w:rsidR="00CF14B6" w:rsidRPr="006A3DB7" w:rsidRDefault="00CF14B6" w:rsidP="000F5A26">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6A3DB7">
        <w:rPr>
          <w:rFonts w:ascii="Corbel" w:eastAsia="Times New Roman" w:hAnsi="Corbel" w:cs="Calibri"/>
          <w:color w:val="000000"/>
          <w:sz w:val="23"/>
          <w:szCs w:val="23"/>
          <w:lang w:eastAsia="en-AU"/>
        </w:rPr>
        <w:t>Undertaking the following additional effort:</w:t>
      </w:r>
    </w:p>
    <w:p w14:paraId="30FC68B5" w14:textId="535AE288" w:rsidR="004D7E3F" w:rsidRPr="00C804A9" w:rsidRDefault="0082187F" w:rsidP="00203DA3">
      <w:pPr>
        <w:pStyle w:val="ListParagraph"/>
        <w:numPr>
          <w:ilvl w:val="2"/>
          <w:numId w:val="1"/>
        </w:numPr>
        <w:tabs>
          <w:tab w:val="left" w:pos="426"/>
        </w:tabs>
        <w:spacing w:after="240" w:line="260" w:lineRule="exact"/>
        <w:ind w:left="1236" w:hanging="181"/>
        <w:contextualSpacing w:val="0"/>
        <w:jc w:val="both"/>
        <w:rPr>
          <w:rFonts w:ascii="Corbel" w:eastAsia="Times New Roman" w:hAnsi="Corbel" w:cs="Calibri"/>
          <w:color w:val="000000"/>
          <w:sz w:val="23"/>
          <w:szCs w:val="23"/>
          <w:lang w:eastAsia="en-AU"/>
        </w:rPr>
      </w:pPr>
      <w:r w:rsidRPr="75E2BFC3">
        <w:rPr>
          <w:rFonts w:ascii="Corbel" w:eastAsia="Times New Roman" w:hAnsi="Corbel" w:cs="Calibri"/>
          <w:color w:val="000000" w:themeColor="text1"/>
          <w:sz w:val="23"/>
          <w:szCs w:val="23"/>
          <w:lang w:eastAsia="en-AU"/>
        </w:rPr>
        <w:t>DECYP to build</w:t>
      </w:r>
      <w:r w:rsidR="001A4D92" w:rsidRPr="75E2BFC3">
        <w:rPr>
          <w:rFonts w:ascii="Corbel" w:eastAsia="Times New Roman" w:hAnsi="Corbel" w:cs="Calibri"/>
          <w:color w:val="000000" w:themeColor="text1"/>
          <w:sz w:val="23"/>
          <w:szCs w:val="23"/>
          <w:lang w:eastAsia="en-AU"/>
        </w:rPr>
        <w:t xml:space="preserve"> on the</w:t>
      </w:r>
      <w:r w:rsidR="004D7E3F" w:rsidRPr="75E2BFC3">
        <w:rPr>
          <w:rFonts w:ascii="Corbel" w:eastAsia="Times New Roman" w:hAnsi="Corbel" w:cs="Calibri"/>
          <w:color w:val="000000" w:themeColor="text1"/>
          <w:sz w:val="23"/>
          <w:szCs w:val="23"/>
          <w:lang w:eastAsia="en-AU"/>
        </w:rPr>
        <w:t xml:space="preserve"> quality supports</w:t>
      </w:r>
      <w:r w:rsidR="007C4919" w:rsidRPr="75E2BFC3">
        <w:rPr>
          <w:rFonts w:ascii="Corbel" w:eastAsia="Times New Roman" w:hAnsi="Corbel" w:cs="Calibri"/>
          <w:color w:val="000000" w:themeColor="text1"/>
          <w:sz w:val="23"/>
          <w:szCs w:val="23"/>
          <w:lang w:eastAsia="en-AU"/>
        </w:rPr>
        <w:t xml:space="preserve"> at each layer of the </w:t>
      </w:r>
      <w:r w:rsidR="00C43F05" w:rsidRPr="75E2BFC3">
        <w:rPr>
          <w:rFonts w:ascii="Corbel" w:eastAsia="Times New Roman" w:hAnsi="Corbel" w:cs="Calibri"/>
          <w:color w:val="000000" w:themeColor="text1"/>
          <w:sz w:val="23"/>
          <w:szCs w:val="23"/>
          <w:lang w:eastAsia="en-AU"/>
        </w:rPr>
        <w:t>MTSS</w:t>
      </w:r>
      <w:r w:rsidR="004D7E3F" w:rsidRPr="75E2BFC3">
        <w:rPr>
          <w:rFonts w:ascii="Corbel" w:eastAsia="Times New Roman" w:hAnsi="Corbel" w:cs="Calibri"/>
          <w:color w:val="000000" w:themeColor="text1"/>
          <w:sz w:val="23"/>
          <w:szCs w:val="23"/>
          <w:lang w:eastAsia="en-AU"/>
        </w:rPr>
        <w:t xml:space="preserve"> for schools </w:t>
      </w:r>
      <w:r w:rsidR="002C625B" w:rsidRPr="75E2BFC3">
        <w:rPr>
          <w:rFonts w:ascii="Corbel" w:eastAsia="Times New Roman" w:hAnsi="Corbel" w:cs="Calibri"/>
          <w:color w:val="000000" w:themeColor="text1"/>
          <w:sz w:val="23"/>
          <w:szCs w:val="23"/>
          <w:lang w:eastAsia="en-AU"/>
        </w:rPr>
        <w:t xml:space="preserve">by drawing on the expertise of multidisciplinary teams </w:t>
      </w:r>
      <w:r w:rsidR="00652D97" w:rsidRPr="75E2BFC3">
        <w:rPr>
          <w:rFonts w:ascii="Corbel" w:eastAsia="Times New Roman" w:hAnsi="Corbel" w:cs="Calibri"/>
          <w:color w:val="000000" w:themeColor="text1"/>
          <w:sz w:val="23"/>
          <w:szCs w:val="23"/>
          <w:lang w:eastAsia="en-AU"/>
        </w:rPr>
        <w:t xml:space="preserve">(e.g. Accessibility Services; School Social Workers; School Psychologists; </w:t>
      </w:r>
      <w:r w:rsidR="00733D8D" w:rsidRPr="75E2BFC3">
        <w:rPr>
          <w:rFonts w:ascii="Corbel" w:eastAsia="Times New Roman" w:hAnsi="Corbel" w:cs="Calibri"/>
          <w:color w:val="000000" w:themeColor="text1"/>
          <w:sz w:val="23"/>
          <w:szCs w:val="23"/>
          <w:lang w:eastAsia="en-AU"/>
        </w:rPr>
        <w:t>Speech and Language Pathologists)</w:t>
      </w:r>
      <w:r w:rsidR="00652D97" w:rsidRPr="75E2BFC3">
        <w:rPr>
          <w:rFonts w:ascii="Corbel" w:eastAsia="Times New Roman" w:hAnsi="Corbel" w:cs="Calibri"/>
          <w:color w:val="000000" w:themeColor="text1"/>
          <w:sz w:val="23"/>
          <w:szCs w:val="23"/>
          <w:lang w:eastAsia="en-AU"/>
        </w:rPr>
        <w:t xml:space="preserve"> </w:t>
      </w:r>
      <w:r w:rsidR="006A3DB7" w:rsidRPr="75E2BFC3">
        <w:rPr>
          <w:rFonts w:ascii="Corbel" w:eastAsia="Times New Roman" w:hAnsi="Corbel" w:cs="Calibri"/>
          <w:color w:val="000000" w:themeColor="text1"/>
          <w:sz w:val="23"/>
          <w:szCs w:val="23"/>
          <w:lang w:eastAsia="en-AU"/>
        </w:rPr>
        <w:t>to improve universal</w:t>
      </w:r>
      <w:r w:rsidR="0098538D" w:rsidRPr="75E2BFC3">
        <w:rPr>
          <w:rFonts w:ascii="Corbel" w:eastAsia="Times New Roman" w:hAnsi="Corbel" w:cs="Calibri"/>
          <w:color w:val="000000" w:themeColor="text1"/>
          <w:sz w:val="23"/>
          <w:szCs w:val="23"/>
          <w:lang w:eastAsia="en-AU"/>
        </w:rPr>
        <w:t xml:space="preserve"> </w:t>
      </w:r>
      <w:r w:rsidR="00835FEF" w:rsidRPr="75E2BFC3">
        <w:rPr>
          <w:rFonts w:ascii="Corbel" w:eastAsia="Times New Roman" w:hAnsi="Corbel" w:cs="Calibri"/>
          <w:color w:val="000000" w:themeColor="text1"/>
          <w:sz w:val="23"/>
          <w:szCs w:val="23"/>
          <w:lang w:eastAsia="en-AU"/>
        </w:rPr>
        <w:t xml:space="preserve">supports </w:t>
      </w:r>
      <w:r w:rsidR="0098538D" w:rsidRPr="75E2BFC3">
        <w:rPr>
          <w:rFonts w:ascii="Corbel" w:eastAsia="Times New Roman" w:hAnsi="Corbel" w:cs="Calibri"/>
          <w:color w:val="000000" w:themeColor="text1"/>
          <w:sz w:val="23"/>
          <w:szCs w:val="23"/>
          <w:lang w:eastAsia="en-AU"/>
        </w:rPr>
        <w:t>through to</w:t>
      </w:r>
      <w:r w:rsidR="006A3DB7" w:rsidRPr="75E2BFC3">
        <w:rPr>
          <w:rFonts w:ascii="Corbel" w:eastAsia="Times New Roman" w:hAnsi="Corbel" w:cs="Calibri"/>
          <w:color w:val="000000" w:themeColor="text1"/>
          <w:sz w:val="23"/>
          <w:szCs w:val="23"/>
          <w:lang w:eastAsia="en-AU"/>
        </w:rPr>
        <w:t xml:space="preserve"> targeted</w:t>
      </w:r>
      <w:r w:rsidR="0098538D" w:rsidRPr="75E2BFC3">
        <w:rPr>
          <w:rFonts w:ascii="Corbel" w:eastAsia="Times New Roman" w:hAnsi="Corbel" w:cs="Calibri"/>
          <w:color w:val="000000" w:themeColor="text1"/>
          <w:sz w:val="23"/>
          <w:szCs w:val="23"/>
          <w:lang w:eastAsia="en-AU"/>
        </w:rPr>
        <w:t>, individualised</w:t>
      </w:r>
      <w:r w:rsidR="006A3DB7" w:rsidRPr="75E2BFC3">
        <w:rPr>
          <w:rFonts w:ascii="Corbel" w:eastAsia="Times New Roman" w:hAnsi="Corbel" w:cs="Calibri"/>
          <w:color w:val="000000" w:themeColor="text1"/>
          <w:sz w:val="23"/>
          <w:szCs w:val="23"/>
          <w:lang w:eastAsia="en-AU"/>
        </w:rPr>
        <w:t xml:space="preserve"> and intensive supports.</w:t>
      </w:r>
      <w:r w:rsidR="00F86164" w:rsidRPr="75E2BFC3">
        <w:rPr>
          <w:rFonts w:ascii="Corbel" w:eastAsia="Times New Roman" w:hAnsi="Corbel" w:cs="Calibri"/>
          <w:color w:val="000000" w:themeColor="text1"/>
          <w:sz w:val="23"/>
          <w:szCs w:val="23"/>
          <w:lang w:eastAsia="en-AU"/>
        </w:rPr>
        <w:t xml:space="preserve"> This will be prioritised in </w:t>
      </w:r>
      <w:r w:rsidR="005A19DA" w:rsidRPr="75E2BFC3">
        <w:rPr>
          <w:rFonts w:ascii="Corbel" w:eastAsia="Times New Roman" w:hAnsi="Corbel" w:cs="Calibri"/>
          <w:color w:val="000000" w:themeColor="text1"/>
          <w:sz w:val="23"/>
          <w:szCs w:val="23"/>
          <w:lang w:eastAsia="en-AU"/>
        </w:rPr>
        <w:t>schools identified as in most need.</w:t>
      </w:r>
    </w:p>
    <w:p w14:paraId="73721BF1" w14:textId="77777777" w:rsidR="00CF14B6" w:rsidRPr="00CF14B6" w:rsidRDefault="00CF14B6" w:rsidP="00CF14B6">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CF14B6">
        <w:rPr>
          <w:rFonts w:ascii="Corbel" w:eastAsia="Times New Roman" w:hAnsi="Corbel" w:cs="Calibri"/>
          <w:color w:val="000000"/>
          <w:sz w:val="23"/>
          <w:szCs w:val="23"/>
          <w:lang w:eastAsia="en-AU"/>
        </w:rPr>
        <w:t>Structured initiatives that support wellbeing for learning and engagement, for example in-school wellbeing coordinators or access to School Counsellors, psychologists, mental health workers and/or youth health nurses.</w:t>
      </w:r>
    </w:p>
    <w:p w14:paraId="01BEFE35" w14:textId="01E85F61" w:rsidR="00CF14B6" w:rsidRPr="00CF14B6" w:rsidRDefault="00CF14B6" w:rsidP="006F25B6">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CF14B6">
        <w:rPr>
          <w:rFonts w:ascii="Corbel" w:eastAsia="Times New Roman" w:hAnsi="Corbel" w:cs="Calibri"/>
          <w:color w:val="000000"/>
          <w:sz w:val="23"/>
          <w:szCs w:val="23"/>
          <w:lang w:eastAsia="en-AU"/>
        </w:rPr>
        <w:t>Undertaking the following additional effort:</w:t>
      </w:r>
    </w:p>
    <w:p w14:paraId="7B4DABEF" w14:textId="1D0AA571" w:rsidR="00EA0AC5" w:rsidRPr="00C804A9" w:rsidRDefault="00FE1E9F" w:rsidP="006F25B6">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DECYP to i</w:t>
      </w:r>
      <w:r w:rsidR="00EA0AC5" w:rsidRPr="00C804A9">
        <w:rPr>
          <w:rFonts w:ascii="Corbel" w:eastAsia="Times New Roman" w:hAnsi="Corbel" w:cs="Calibri"/>
          <w:color w:val="000000"/>
          <w:sz w:val="23"/>
          <w:szCs w:val="23"/>
          <w:lang w:eastAsia="en-AU"/>
        </w:rPr>
        <w:t xml:space="preserve">mplement additional supports to meet children’s and young people's wellbeing needs for learning, including the strengthening of wellbeing support teams in schools </w:t>
      </w:r>
      <w:r w:rsidR="00EA0AC5" w:rsidRPr="00DB7A86">
        <w:rPr>
          <w:rFonts w:ascii="Corbel" w:eastAsia="Times New Roman" w:hAnsi="Corbel" w:cs="Calibri"/>
          <w:color w:val="000000"/>
          <w:sz w:val="23"/>
          <w:szCs w:val="23"/>
          <w:lang w:eastAsia="en-AU"/>
        </w:rPr>
        <w:t>and greater access</w:t>
      </w:r>
      <w:r w:rsidR="00EA0AC5" w:rsidRPr="00C804A9">
        <w:rPr>
          <w:rFonts w:ascii="Corbel" w:eastAsia="Times New Roman" w:hAnsi="Corbel" w:cs="Calibri"/>
          <w:color w:val="000000"/>
          <w:sz w:val="23"/>
          <w:szCs w:val="23"/>
          <w:lang w:eastAsia="en-AU"/>
        </w:rPr>
        <w:t xml:space="preserve"> to school mental health </w:t>
      </w:r>
      <w:r w:rsidR="00AC4301" w:rsidRPr="00C804A9">
        <w:rPr>
          <w:rFonts w:ascii="Corbel" w:eastAsia="Times New Roman" w:hAnsi="Corbel" w:cs="Calibri"/>
          <w:color w:val="000000"/>
          <w:sz w:val="23"/>
          <w:szCs w:val="23"/>
          <w:lang w:eastAsia="en-AU"/>
        </w:rPr>
        <w:t>supports</w:t>
      </w:r>
      <w:r w:rsidR="00F140D3">
        <w:rPr>
          <w:rFonts w:ascii="Corbel" w:eastAsia="Times New Roman" w:hAnsi="Corbel" w:cs="Calibri"/>
          <w:color w:val="000000"/>
          <w:sz w:val="23"/>
          <w:szCs w:val="23"/>
          <w:lang w:eastAsia="en-AU"/>
        </w:rPr>
        <w:t>.</w:t>
      </w:r>
    </w:p>
    <w:p w14:paraId="6325C8FF" w14:textId="063197F6" w:rsidR="00CF14B6" w:rsidRPr="00CF14B6" w:rsidRDefault="00CF14B6" w:rsidP="00CF14B6">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CF14B6">
        <w:rPr>
          <w:rFonts w:ascii="Corbel" w:eastAsia="Times New Roman" w:hAnsi="Corbel" w:cs="Calibri"/>
          <w:color w:val="000000"/>
          <w:sz w:val="23"/>
          <w:szCs w:val="23"/>
          <w:lang w:eastAsia="en-AU"/>
        </w:rPr>
        <w:t xml:space="preserve">Initiatives which support student engagement in learning, for example </w:t>
      </w:r>
      <w:r w:rsidR="00BF3FD1" w:rsidRPr="008C6111">
        <w:rPr>
          <w:rFonts w:ascii="Corbel" w:eastAsia="Times New Roman" w:hAnsi="Corbel" w:cs="Calibri"/>
          <w:color w:val="000000"/>
          <w:sz w:val="23"/>
          <w:szCs w:val="23"/>
          <w:lang w:eastAsia="en-AU"/>
        </w:rPr>
        <w:t>through</w:t>
      </w:r>
      <w:r w:rsidR="00BF3FD1">
        <w:rPr>
          <w:rFonts w:ascii="Corbel" w:eastAsia="Times New Roman" w:hAnsi="Corbel" w:cs="Calibri"/>
          <w:color w:val="000000"/>
          <w:sz w:val="23"/>
          <w:szCs w:val="23"/>
          <w:lang w:eastAsia="en-AU"/>
        </w:rPr>
        <w:t xml:space="preserve"> </w:t>
      </w:r>
      <w:r w:rsidRPr="00CF14B6">
        <w:rPr>
          <w:rFonts w:ascii="Corbel" w:eastAsia="Times New Roman" w:hAnsi="Corbel" w:cs="Calibri"/>
          <w:color w:val="000000"/>
          <w:sz w:val="23"/>
          <w:szCs w:val="23"/>
          <w:lang w:eastAsia="en-AU"/>
        </w:rPr>
        <w:t xml:space="preserve">greater student participation, attendance, inclusion and/or enhanced school-family engagement.  </w:t>
      </w:r>
    </w:p>
    <w:p w14:paraId="3B9CC6B6" w14:textId="77777777" w:rsidR="00CF14B6" w:rsidRPr="00CF14B6" w:rsidRDefault="00CF14B6" w:rsidP="006F25B6">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CF14B6">
        <w:rPr>
          <w:rFonts w:ascii="Corbel" w:eastAsia="Times New Roman" w:hAnsi="Corbel" w:cs="Calibri"/>
          <w:color w:val="000000"/>
          <w:sz w:val="23"/>
          <w:szCs w:val="23"/>
          <w:lang w:eastAsia="en-AU"/>
        </w:rPr>
        <w:t>Continuing to:</w:t>
      </w:r>
    </w:p>
    <w:p w14:paraId="17048DBF" w14:textId="31D414D9" w:rsidR="00854291" w:rsidRPr="00883295" w:rsidRDefault="004A6116" w:rsidP="006F25B6">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I</w:t>
      </w:r>
      <w:r w:rsidR="00854291" w:rsidRPr="00883295">
        <w:rPr>
          <w:rFonts w:ascii="Corbel" w:eastAsia="Times New Roman" w:hAnsi="Corbel" w:cs="Calibri"/>
          <w:color w:val="000000"/>
          <w:sz w:val="23"/>
          <w:szCs w:val="23"/>
          <w:lang w:eastAsia="en-AU"/>
        </w:rPr>
        <w:t xml:space="preserve">mplement multi-layered approaches to better support engagement for learning, including attendance at </w:t>
      </w:r>
      <w:r w:rsidR="00693F09">
        <w:rPr>
          <w:rFonts w:ascii="Corbel" w:eastAsia="Times New Roman" w:hAnsi="Corbel" w:cs="Calibri"/>
          <w:color w:val="000000"/>
          <w:sz w:val="23"/>
          <w:szCs w:val="23"/>
          <w:lang w:eastAsia="en-AU"/>
        </w:rPr>
        <w:t xml:space="preserve">Government </w:t>
      </w:r>
      <w:r w:rsidR="00854291" w:rsidRPr="00883295">
        <w:rPr>
          <w:rFonts w:ascii="Corbel" w:eastAsia="Times New Roman" w:hAnsi="Corbel" w:cs="Calibri"/>
          <w:color w:val="000000"/>
          <w:sz w:val="23"/>
          <w:szCs w:val="23"/>
          <w:lang w:eastAsia="en-AU"/>
        </w:rPr>
        <w:t>school</w:t>
      </w:r>
      <w:r w:rsidR="00693F09">
        <w:rPr>
          <w:rFonts w:ascii="Corbel" w:eastAsia="Times New Roman" w:hAnsi="Corbel" w:cs="Calibri"/>
          <w:color w:val="000000"/>
          <w:sz w:val="23"/>
          <w:szCs w:val="23"/>
          <w:lang w:eastAsia="en-AU"/>
        </w:rPr>
        <w:t>s</w:t>
      </w:r>
      <w:r w:rsidR="00854291" w:rsidRPr="00883295">
        <w:rPr>
          <w:rFonts w:ascii="Corbel" w:eastAsia="Times New Roman" w:hAnsi="Corbel" w:cs="Calibri"/>
          <w:color w:val="000000"/>
          <w:sz w:val="23"/>
          <w:szCs w:val="23"/>
          <w:lang w:eastAsia="en-AU"/>
        </w:rPr>
        <w:t>, particularly in Tasmania’s rural and remote communities;</w:t>
      </w:r>
    </w:p>
    <w:p w14:paraId="0880196D" w14:textId="6BB78B16" w:rsidR="00CF14B6" w:rsidRPr="00883295" w:rsidRDefault="00604F4B" w:rsidP="006F25B6">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883295">
        <w:rPr>
          <w:rFonts w:ascii="Corbel" w:eastAsia="Times New Roman" w:hAnsi="Corbel" w:cs="Calibri"/>
          <w:color w:val="000000"/>
          <w:sz w:val="23"/>
          <w:szCs w:val="23"/>
          <w:lang w:eastAsia="en-AU"/>
        </w:rPr>
        <w:t xml:space="preserve">Implement </w:t>
      </w:r>
      <w:r w:rsidR="00051CCE" w:rsidRPr="00883295">
        <w:rPr>
          <w:rFonts w:ascii="Corbel" w:eastAsia="Times New Roman" w:hAnsi="Corbel" w:cs="Calibri"/>
          <w:color w:val="000000"/>
          <w:sz w:val="23"/>
          <w:szCs w:val="23"/>
          <w:lang w:eastAsia="en-AU"/>
        </w:rPr>
        <w:t>the annual Student Wellbeing and Engagement Survey and associated resources/professional learning</w:t>
      </w:r>
      <w:r w:rsidR="00693F09">
        <w:rPr>
          <w:rFonts w:ascii="Corbel" w:eastAsia="Times New Roman" w:hAnsi="Corbel" w:cs="Calibri"/>
          <w:color w:val="000000"/>
          <w:sz w:val="23"/>
          <w:szCs w:val="23"/>
          <w:lang w:eastAsia="en-AU"/>
        </w:rPr>
        <w:t xml:space="preserve"> in Government schools</w:t>
      </w:r>
      <w:r w:rsidR="00854291" w:rsidRPr="00883295">
        <w:rPr>
          <w:rFonts w:ascii="Corbel" w:eastAsia="Times New Roman" w:hAnsi="Corbel" w:cs="Calibri"/>
          <w:color w:val="000000"/>
          <w:sz w:val="23"/>
          <w:szCs w:val="23"/>
          <w:lang w:eastAsia="en-AU"/>
        </w:rPr>
        <w:t>.</w:t>
      </w:r>
    </w:p>
    <w:p w14:paraId="355C0DE4" w14:textId="77777777" w:rsidR="00CF14B6" w:rsidRPr="00600775" w:rsidRDefault="00CF14B6" w:rsidP="006F25B6">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600775">
        <w:rPr>
          <w:rFonts w:ascii="Corbel" w:eastAsia="Times New Roman" w:hAnsi="Corbel" w:cs="Calibri"/>
          <w:color w:val="000000"/>
          <w:sz w:val="23"/>
          <w:szCs w:val="23"/>
          <w:lang w:eastAsia="en-AU"/>
        </w:rPr>
        <w:t>Undertaking the following additional effort:</w:t>
      </w:r>
    </w:p>
    <w:p w14:paraId="24091CFF" w14:textId="6B8C63AF" w:rsidR="00410A30" w:rsidRDefault="004A6116" w:rsidP="00410A30">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DECYP to prioritise</w:t>
      </w:r>
      <w:r w:rsidR="00410A30">
        <w:rPr>
          <w:rFonts w:ascii="Corbel" w:eastAsia="Times New Roman" w:hAnsi="Corbel" w:cs="Calibri"/>
          <w:color w:val="000000"/>
          <w:sz w:val="23"/>
          <w:szCs w:val="23"/>
          <w:lang w:eastAsia="en-AU"/>
        </w:rPr>
        <w:t xml:space="preserve"> school improvement expectations to progress a whole-school approach to improve attendance and reduce absence in an evidence-based, structured and systematic way within the framework of a multi-tiered approach;</w:t>
      </w:r>
    </w:p>
    <w:p w14:paraId="0CAA173D" w14:textId="3B59DEE8" w:rsidR="00410A30" w:rsidRDefault="004A6116" w:rsidP="00410A30">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lastRenderedPageBreak/>
        <w:t>DECYP to provide</w:t>
      </w:r>
      <w:r w:rsidR="00410A30">
        <w:rPr>
          <w:rFonts w:ascii="Corbel" w:eastAsia="Times New Roman" w:hAnsi="Corbel" w:cs="Calibri"/>
          <w:color w:val="000000"/>
          <w:sz w:val="23"/>
          <w:szCs w:val="23"/>
          <w:lang w:eastAsia="en-AU"/>
        </w:rPr>
        <w:t xml:space="preserve"> a toolkit of evidence-based resources for school leaders to utilise when planning for improved attendance;</w:t>
      </w:r>
    </w:p>
    <w:p w14:paraId="744A4644" w14:textId="3790975E" w:rsidR="00410A30" w:rsidRDefault="004A6116" w:rsidP="00410A30">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DECYP to draw</w:t>
      </w:r>
      <w:r w:rsidR="00410A30">
        <w:rPr>
          <w:rFonts w:ascii="Corbel" w:eastAsia="Times New Roman" w:hAnsi="Corbel" w:cs="Calibri"/>
          <w:color w:val="000000"/>
          <w:sz w:val="23"/>
          <w:szCs w:val="23"/>
          <w:lang w:eastAsia="en-AU"/>
        </w:rPr>
        <w:t xml:space="preserve"> upon a national and local research and consultation to better understand the drivers for non-attendance in the Tasmanian context;</w:t>
      </w:r>
    </w:p>
    <w:p w14:paraId="5CC29A68" w14:textId="3509B73F" w:rsidR="00410A30" w:rsidRPr="00C804A9" w:rsidRDefault="004A6116" w:rsidP="00D679DE">
      <w:pPr>
        <w:pStyle w:val="ListParagraph"/>
        <w:numPr>
          <w:ilvl w:val="2"/>
          <w:numId w:val="1"/>
        </w:numPr>
        <w:tabs>
          <w:tab w:val="left" w:pos="426"/>
        </w:tabs>
        <w:spacing w:after="240" w:line="260" w:lineRule="exact"/>
        <w:ind w:left="1236" w:hanging="181"/>
        <w:contextualSpacing w:val="0"/>
        <w:jc w:val="both"/>
        <w:rPr>
          <w:rFonts w:ascii="Corbel" w:eastAsia="Times New Roman" w:hAnsi="Corbel" w:cs="Calibri"/>
          <w:color w:val="000000"/>
          <w:sz w:val="23"/>
          <w:szCs w:val="23"/>
          <w:lang w:eastAsia="en-AU"/>
        </w:rPr>
      </w:pPr>
      <w:r w:rsidRPr="75E2BFC3">
        <w:rPr>
          <w:rFonts w:ascii="Corbel" w:eastAsia="Times New Roman" w:hAnsi="Corbel" w:cs="Calibri"/>
          <w:color w:val="000000" w:themeColor="text1"/>
          <w:sz w:val="23"/>
          <w:szCs w:val="23"/>
          <w:lang w:eastAsia="en-AU"/>
        </w:rPr>
        <w:t>DECYP to strengthen</w:t>
      </w:r>
      <w:r w:rsidR="00410A30" w:rsidRPr="75E2BFC3">
        <w:rPr>
          <w:rFonts w:ascii="Corbel" w:eastAsia="Times New Roman" w:hAnsi="Corbel" w:cs="Calibri"/>
          <w:color w:val="000000" w:themeColor="text1"/>
          <w:sz w:val="23"/>
          <w:szCs w:val="23"/>
          <w:lang w:eastAsia="en-AU"/>
        </w:rPr>
        <w:t xml:space="preserve"> </w:t>
      </w:r>
      <w:r w:rsidR="00FF69DE" w:rsidRPr="75E2BFC3">
        <w:rPr>
          <w:rFonts w:ascii="Corbel" w:eastAsia="Times New Roman" w:hAnsi="Corbel" w:cs="Calibri"/>
          <w:color w:val="000000" w:themeColor="text1"/>
          <w:sz w:val="23"/>
          <w:szCs w:val="23"/>
          <w:lang w:eastAsia="en-AU"/>
        </w:rPr>
        <w:t>the tiered</w:t>
      </w:r>
      <w:r w:rsidR="00410A30" w:rsidRPr="75E2BFC3">
        <w:rPr>
          <w:rFonts w:ascii="Corbel" w:eastAsia="Times New Roman" w:hAnsi="Corbel" w:cs="Calibri"/>
          <w:color w:val="000000" w:themeColor="text1"/>
          <w:sz w:val="23"/>
          <w:szCs w:val="23"/>
          <w:lang w:eastAsia="en-AU"/>
        </w:rPr>
        <w:t xml:space="preserve"> re-engagement provision for Years 8-1</w:t>
      </w:r>
      <w:r w:rsidR="00FF69DE" w:rsidRPr="75E2BFC3">
        <w:rPr>
          <w:rFonts w:ascii="Corbel" w:eastAsia="Times New Roman" w:hAnsi="Corbel" w:cs="Calibri"/>
          <w:color w:val="000000" w:themeColor="text1"/>
          <w:sz w:val="23"/>
          <w:szCs w:val="23"/>
          <w:lang w:eastAsia="en-AU"/>
        </w:rPr>
        <w:t>2</w:t>
      </w:r>
      <w:r w:rsidR="00410A30" w:rsidRPr="75E2BFC3">
        <w:rPr>
          <w:rFonts w:ascii="Corbel" w:eastAsia="Times New Roman" w:hAnsi="Corbel" w:cs="Calibri"/>
          <w:color w:val="000000" w:themeColor="text1"/>
          <w:sz w:val="23"/>
          <w:szCs w:val="23"/>
          <w:lang w:eastAsia="en-AU"/>
        </w:rPr>
        <w:t xml:space="preserve">. This program aims to build the capacity of young people to re-engage back into the mainstream education </w:t>
      </w:r>
      <w:r w:rsidR="616381F4" w:rsidRPr="75E2BFC3">
        <w:rPr>
          <w:rFonts w:ascii="Corbel" w:eastAsia="Times New Roman" w:hAnsi="Corbel" w:cs="Calibri"/>
          <w:color w:val="000000" w:themeColor="text1"/>
          <w:sz w:val="23"/>
          <w:szCs w:val="23"/>
          <w:lang w:eastAsia="en-AU"/>
        </w:rPr>
        <w:t>and provide additional supports at a school and system level where required;</w:t>
      </w:r>
    </w:p>
    <w:p w14:paraId="4303F4FA" w14:textId="2E95F5EA" w:rsidR="00353F9D" w:rsidRPr="00531021" w:rsidRDefault="004A6116" w:rsidP="00353F9D">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DECYP and CET to design and implement</w:t>
      </w:r>
      <w:r w:rsidR="00D43295" w:rsidRPr="00531021">
        <w:rPr>
          <w:rFonts w:ascii="Corbel" w:eastAsia="Times New Roman" w:hAnsi="Corbel" w:cs="Calibri"/>
          <w:color w:val="000000"/>
          <w:sz w:val="23"/>
          <w:szCs w:val="23"/>
          <w:lang w:eastAsia="en-AU"/>
        </w:rPr>
        <w:t xml:space="preserve"> </w:t>
      </w:r>
      <w:r w:rsidR="002227F0" w:rsidRPr="00C804A9">
        <w:rPr>
          <w:rFonts w:ascii="Corbel" w:eastAsia="Times New Roman" w:hAnsi="Corbel" w:cs="Calibri"/>
          <w:color w:val="000000"/>
          <w:sz w:val="23"/>
          <w:szCs w:val="23"/>
          <w:lang w:eastAsia="en-AU"/>
        </w:rPr>
        <w:t>a contemporary evidence-based approach to learning at school</w:t>
      </w:r>
      <w:r w:rsidR="007B57FC" w:rsidRPr="00531021">
        <w:rPr>
          <w:rFonts w:ascii="Corbel" w:eastAsia="Times New Roman" w:hAnsi="Corbel" w:cs="Calibri"/>
          <w:color w:val="000000"/>
          <w:sz w:val="23"/>
          <w:szCs w:val="23"/>
          <w:lang w:eastAsia="en-AU"/>
        </w:rPr>
        <w:t xml:space="preserve">, with particular focus on </w:t>
      </w:r>
      <w:r w:rsidR="004F22C3" w:rsidRPr="00531021">
        <w:rPr>
          <w:rFonts w:ascii="Corbel" w:eastAsia="Times New Roman" w:hAnsi="Corbel" w:cs="Calibri"/>
          <w:color w:val="000000"/>
          <w:sz w:val="23"/>
          <w:szCs w:val="23"/>
          <w:lang w:eastAsia="en-AU"/>
        </w:rPr>
        <w:t>strengthening supports and engagement for all learners at all stages of their education</w:t>
      </w:r>
      <w:r w:rsidR="00353F9D" w:rsidRPr="00531021">
        <w:rPr>
          <w:rFonts w:ascii="Corbel" w:eastAsia="Times New Roman" w:hAnsi="Corbel" w:cs="Calibri"/>
          <w:color w:val="000000"/>
          <w:sz w:val="23"/>
          <w:szCs w:val="23"/>
          <w:lang w:eastAsia="en-AU"/>
        </w:rPr>
        <w:t>;</w:t>
      </w:r>
    </w:p>
    <w:p w14:paraId="278DAC83" w14:textId="3CAEE4DD" w:rsidR="00CF14B6" w:rsidRPr="00600775" w:rsidRDefault="004A6116" w:rsidP="00353F9D">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All </w:t>
      </w:r>
      <w:r w:rsidR="00CC4F84">
        <w:rPr>
          <w:rFonts w:ascii="Corbel" w:eastAsia="Times New Roman" w:hAnsi="Corbel" w:cs="Calibri"/>
          <w:color w:val="000000"/>
          <w:sz w:val="23"/>
          <w:szCs w:val="23"/>
          <w:lang w:eastAsia="en-AU"/>
        </w:rPr>
        <w:t xml:space="preserve">school </w:t>
      </w:r>
      <w:r>
        <w:rPr>
          <w:rFonts w:ascii="Corbel" w:eastAsia="Times New Roman" w:hAnsi="Corbel" w:cs="Calibri"/>
          <w:color w:val="000000"/>
          <w:sz w:val="23"/>
          <w:szCs w:val="23"/>
          <w:lang w:eastAsia="en-AU"/>
        </w:rPr>
        <w:t>sectors to develop</w:t>
      </w:r>
      <w:r w:rsidRPr="00600775">
        <w:rPr>
          <w:rFonts w:ascii="Corbel" w:eastAsia="Times New Roman" w:hAnsi="Corbel" w:cs="Calibri"/>
          <w:color w:val="000000"/>
          <w:sz w:val="23"/>
          <w:szCs w:val="23"/>
          <w:lang w:eastAsia="en-AU"/>
        </w:rPr>
        <w:t xml:space="preserve"> </w:t>
      </w:r>
      <w:r w:rsidR="00353F9D" w:rsidRPr="00600775">
        <w:rPr>
          <w:rFonts w:ascii="Corbel" w:eastAsia="Times New Roman" w:hAnsi="Corbel" w:cs="Calibri"/>
          <w:color w:val="000000"/>
          <w:sz w:val="23"/>
          <w:szCs w:val="23"/>
          <w:lang w:eastAsia="en-AU"/>
        </w:rPr>
        <w:t xml:space="preserve">a shared definition of </w:t>
      </w:r>
      <w:r w:rsidR="00FF69DE">
        <w:rPr>
          <w:rFonts w:ascii="Corbel" w:eastAsia="Times New Roman" w:hAnsi="Corbel" w:cs="Calibri"/>
          <w:color w:val="000000"/>
          <w:sz w:val="23"/>
          <w:szCs w:val="23"/>
          <w:lang w:eastAsia="en-AU"/>
        </w:rPr>
        <w:t xml:space="preserve">educational </w:t>
      </w:r>
      <w:r w:rsidR="00353F9D" w:rsidRPr="00600775">
        <w:rPr>
          <w:rFonts w:ascii="Corbel" w:eastAsia="Times New Roman" w:hAnsi="Corbel" w:cs="Calibri"/>
          <w:color w:val="000000"/>
          <w:sz w:val="23"/>
          <w:szCs w:val="23"/>
          <w:lang w:eastAsia="en-AU"/>
        </w:rPr>
        <w:t>success for young people (approx. aged 18) in Tasmania and work to operationalise mechanisms to ensure that success.</w:t>
      </w:r>
      <w:r w:rsidR="00353F9D" w:rsidRPr="00600775" w:rsidDel="00353F9D">
        <w:rPr>
          <w:rFonts w:ascii="Corbel" w:eastAsia="Times New Roman" w:hAnsi="Corbel" w:cs="Calibri"/>
          <w:color w:val="000000"/>
          <w:sz w:val="23"/>
          <w:szCs w:val="23"/>
          <w:lang w:eastAsia="en-AU"/>
        </w:rPr>
        <w:t xml:space="preserve"> </w:t>
      </w:r>
    </w:p>
    <w:p w14:paraId="011FD86A" w14:textId="77777777" w:rsidR="00CF14B6" w:rsidRPr="006F25B6" w:rsidRDefault="00CF14B6" w:rsidP="006F25B6">
      <w:pPr>
        <w:tabs>
          <w:tab w:val="left" w:pos="426"/>
        </w:tabs>
        <w:spacing w:after="240" w:line="260" w:lineRule="exact"/>
        <w:jc w:val="both"/>
        <w:rPr>
          <w:rFonts w:ascii="Corbel" w:eastAsia="Times New Roman" w:hAnsi="Corbel" w:cs="Calibri"/>
          <w:color w:val="000000"/>
          <w:sz w:val="23"/>
          <w:szCs w:val="23"/>
          <w:u w:val="single"/>
          <w:lang w:eastAsia="en-AU"/>
        </w:rPr>
      </w:pPr>
      <w:r w:rsidRPr="006F25B6">
        <w:rPr>
          <w:rFonts w:ascii="Corbel" w:eastAsia="Times New Roman" w:hAnsi="Corbel" w:cs="Calibri"/>
          <w:color w:val="000000"/>
          <w:sz w:val="23"/>
          <w:szCs w:val="23"/>
          <w:u w:val="single"/>
          <w:lang w:eastAsia="en-AU"/>
        </w:rPr>
        <w:t>A strong and sustainable workforce</w:t>
      </w:r>
    </w:p>
    <w:p w14:paraId="3DBDFE2D" w14:textId="741B8268" w:rsidR="00CF14B6" w:rsidRPr="00CF14B6" w:rsidRDefault="00CF14B6" w:rsidP="00CF14B6">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CF14B6">
        <w:rPr>
          <w:rFonts w:ascii="Corbel" w:eastAsia="Times New Roman" w:hAnsi="Corbel" w:cs="Calibri"/>
          <w:color w:val="000000"/>
          <w:sz w:val="23"/>
          <w:szCs w:val="23"/>
          <w:lang w:eastAsia="en-AU"/>
        </w:rPr>
        <w:t xml:space="preserve">Initiatives to develop, recognise, reward and/or deploy highly expert teachers, particularly in schools which need additional support, for example Highly Accomplished or Lead Teachers </w:t>
      </w:r>
      <w:r w:rsidR="002B7E2D">
        <w:rPr>
          <w:rFonts w:ascii="Corbel" w:eastAsia="Times New Roman" w:hAnsi="Corbel" w:cs="Calibri"/>
          <w:color w:val="000000"/>
          <w:sz w:val="23"/>
          <w:szCs w:val="23"/>
          <w:lang w:eastAsia="en-AU"/>
        </w:rPr>
        <w:t xml:space="preserve">(HALT) </w:t>
      </w:r>
      <w:r w:rsidRPr="00CF14B6">
        <w:rPr>
          <w:rFonts w:ascii="Corbel" w:eastAsia="Times New Roman" w:hAnsi="Corbel" w:cs="Calibri"/>
          <w:color w:val="000000"/>
          <w:sz w:val="23"/>
          <w:szCs w:val="23"/>
          <w:lang w:eastAsia="en-AU"/>
        </w:rPr>
        <w:t>or equivalents.</w:t>
      </w:r>
    </w:p>
    <w:p w14:paraId="3CCCC982" w14:textId="2D6B4FF2" w:rsidR="00CF14B6" w:rsidRPr="00CF14B6" w:rsidRDefault="00CF14B6" w:rsidP="006F25B6">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CF14B6">
        <w:rPr>
          <w:rFonts w:ascii="Corbel" w:eastAsia="Times New Roman" w:hAnsi="Corbel" w:cs="Calibri"/>
          <w:color w:val="000000"/>
          <w:sz w:val="23"/>
          <w:szCs w:val="23"/>
          <w:lang w:eastAsia="en-AU"/>
        </w:rPr>
        <w:t>Continuing</w:t>
      </w:r>
      <w:r w:rsidR="00600F7A">
        <w:rPr>
          <w:rFonts w:ascii="Corbel" w:eastAsia="Times New Roman" w:hAnsi="Corbel" w:cs="Calibri"/>
          <w:color w:val="000000"/>
          <w:sz w:val="23"/>
          <w:szCs w:val="23"/>
          <w:lang w:eastAsia="en-AU"/>
        </w:rPr>
        <w:t xml:space="preserve"> to</w:t>
      </w:r>
      <w:r w:rsidRPr="00CF14B6">
        <w:rPr>
          <w:rFonts w:ascii="Corbel" w:eastAsia="Times New Roman" w:hAnsi="Corbel" w:cs="Calibri"/>
          <w:color w:val="000000"/>
          <w:sz w:val="23"/>
          <w:szCs w:val="23"/>
          <w:lang w:eastAsia="en-AU"/>
        </w:rPr>
        <w:t>:</w:t>
      </w:r>
    </w:p>
    <w:p w14:paraId="671C9283" w14:textId="478FE5E0" w:rsidR="006D0F41" w:rsidRPr="0068005F" w:rsidRDefault="006D0F41" w:rsidP="006D0F41">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Develop, </w:t>
      </w:r>
      <w:r w:rsidRPr="00876B9F">
        <w:rPr>
          <w:rFonts w:ascii="Corbel" w:eastAsia="Times New Roman" w:hAnsi="Corbel" w:cs="Calibri"/>
          <w:color w:val="000000"/>
          <w:sz w:val="23"/>
          <w:szCs w:val="23"/>
          <w:lang w:eastAsia="en-AU"/>
        </w:rPr>
        <w:t xml:space="preserve">implement and further refine initiatives to respond to current workforce challenges </w:t>
      </w:r>
      <w:r w:rsidRPr="00B64EAE">
        <w:rPr>
          <w:rFonts w:ascii="Corbel" w:eastAsia="Times New Roman" w:hAnsi="Corbel" w:cs="Calibri"/>
          <w:color w:val="000000"/>
          <w:sz w:val="23"/>
          <w:szCs w:val="23"/>
          <w:lang w:eastAsia="en-AU"/>
        </w:rPr>
        <w:t>whilst</w:t>
      </w:r>
      <w:r>
        <w:rPr>
          <w:rFonts w:ascii="Corbel" w:eastAsia="Times New Roman" w:hAnsi="Corbel" w:cs="Calibri"/>
          <w:color w:val="000000"/>
          <w:sz w:val="23"/>
          <w:szCs w:val="23"/>
          <w:lang w:eastAsia="en-AU"/>
        </w:rPr>
        <w:t xml:space="preserve"> progressing </w:t>
      </w:r>
      <w:r w:rsidRPr="00B64EAE">
        <w:rPr>
          <w:rFonts w:ascii="Corbel" w:eastAsia="Times New Roman" w:hAnsi="Corbel" w:cs="Calibri"/>
          <w:color w:val="000000"/>
          <w:sz w:val="23"/>
          <w:szCs w:val="23"/>
          <w:lang w:eastAsia="en-AU"/>
        </w:rPr>
        <w:t xml:space="preserve">and implementing </w:t>
      </w:r>
      <w:r w:rsidRPr="00876B9F">
        <w:rPr>
          <w:rFonts w:ascii="Corbel" w:eastAsia="Times New Roman" w:hAnsi="Corbel" w:cs="Calibri"/>
          <w:color w:val="000000"/>
          <w:sz w:val="23"/>
          <w:szCs w:val="23"/>
          <w:lang w:eastAsia="en-AU"/>
        </w:rPr>
        <w:t>a long-term strategy for building a Tasmanian education workforce for the future</w:t>
      </w:r>
      <w:r w:rsidR="009336E7">
        <w:rPr>
          <w:rFonts w:ascii="Corbel" w:eastAsia="Times New Roman" w:hAnsi="Corbel" w:cs="Calibri"/>
          <w:color w:val="000000"/>
          <w:sz w:val="23"/>
          <w:szCs w:val="23"/>
          <w:lang w:eastAsia="en-AU"/>
        </w:rPr>
        <w:t xml:space="preserve"> including </w:t>
      </w:r>
      <w:r w:rsidR="005D0F05">
        <w:rPr>
          <w:rFonts w:ascii="Corbel" w:eastAsia="Times New Roman" w:hAnsi="Corbel" w:cs="Calibri"/>
          <w:color w:val="000000"/>
          <w:sz w:val="23"/>
          <w:szCs w:val="23"/>
          <w:lang w:eastAsia="en-AU"/>
        </w:rPr>
        <w:t>increasing the uptake of HALT accreditation in Tasmania</w:t>
      </w:r>
      <w:r w:rsidR="00BD4145">
        <w:rPr>
          <w:rFonts w:ascii="Corbel" w:eastAsia="Times New Roman" w:hAnsi="Corbel" w:cs="Calibri"/>
          <w:color w:val="000000"/>
          <w:sz w:val="23"/>
          <w:szCs w:val="23"/>
          <w:lang w:eastAsia="en-AU"/>
        </w:rPr>
        <w:t xml:space="preserve"> </w:t>
      </w:r>
      <w:r w:rsidR="00605EE1">
        <w:rPr>
          <w:rFonts w:ascii="Corbel" w:eastAsia="Times New Roman" w:hAnsi="Corbel" w:cs="Calibri"/>
          <w:color w:val="000000"/>
          <w:sz w:val="23"/>
          <w:szCs w:val="23"/>
          <w:lang w:eastAsia="en-AU"/>
        </w:rPr>
        <w:t xml:space="preserve">and implementing targeted strategies </w:t>
      </w:r>
      <w:r w:rsidR="00FB16C5">
        <w:rPr>
          <w:rFonts w:ascii="Corbel" w:eastAsia="Times New Roman" w:hAnsi="Corbel" w:cs="Calibri"/>
          <w:color w:val="000000"/>
          <w:sz w:val="23"/>
          <w:szCs w:val="23"/>
          <w:lang w:eastAsia="en-AU"/>
        </w:rPr>
        <w:t>to attract people considering a mid-career change to education.</w:t>
      </w:r>
    </w:p>
    <w:p w14:paraId="265612F4" w14:textId="77777777" w:rsidR="00CF14B6" w:rsidRPr="00531021" w:rsidRDefault="00CF14B6" w:rsidP="006F25B6">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531021">
        <w:rPr>
          <w:rFonts w:ascii="Corbel" w:eastAsia="Times New Roman" w:hAnsi="Corbel" w:cs="Calibri"/>
          <w:color w:val="000000"/>
          <w:sz w:val="23"/>
          <w:szCs w:val="23"/>
          <w:lang w:eastAsia="en-AU"/>
        </w:rPr>
        <w:t>Undertaking the following additional effort:</w:t>
      </w:r>
    </w:p>
    <w:p w14:paraId="54A2E70B" w14:textId="4C7A013C" w:rsidR="008166A5" w:rsidRDefault="00600F7A" w:rsidP="0016034C">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DECYP and CET to g</w:t>
      </w:r>
      <w:r w:rsidR="0016034C" w:rsidRPr="00531021">
        <w:rPr>
          <w:rFonts w:ascii="Corbel" w:eastAsia="Times New Roman" w:hAnsi="Corbel" w:cs="Calibri"/>
          <w:color w:val="000000"/>
          <w:sz w:val="23"/>
          <w:szCs w:val="23"/>
          <w:lang w:eastAsia="en-AU"/>
        </w:rPr>
        <w:t xml:space="preserve">row, </w:t>
      </w:r>
      <w:r w:rsidR="0016034C" w:rsidRPr="00C804A9">
        <w:rPr>
          <w:rFonts w:ascii="Corbel" w:eastAsia="Times New Roman" w:hAnsi="Corbel" w:cs="Calibri"/>
          <w:color w:val="000000"/>
          <w:sz w:val="23"/>
          <w:szCs w:val="23"/>
          <w:lang w:eastAsia="en-AU"/>
        </w:rPr>
        <w:t>expand and optimi</w:t>
      </w:r>
      <w:r>
        <w:rPr>
          <w:rFonts w:ascii="Corbel" w:eastAsia="Times New Roman" w:hAnsi="Corbel" w:cs="Calibri"/>
          <w:color w:val="000000"/>
          <w:sz w:val="23"/>
          <w:szCs w:val="23"/>
          <w:lang w:eastAsia="en-AU"/>
        </w:rPr>
        <w:t>se</w:t>
      </w:r>
      <w:r w:rsidR="0016034C" w:rsidRPr="00C804A9">
        <w:rPr>
          <w:rFonts w:ascii="Corbel" w:eastAsia="Times New Roman" w:hAnsi="Corbel" w:cs="Calibri"/>
          <w:color w:val="000000"/>
          <w:sz w:val="23"/>
          <w:szCs w:val="23"/>
          <w:lang w:eastAsia="en-AU"/>
        </w:rPr>
        <w:t xml:space="preserve"> workforce supply</w:t>
      </w:r>
      <w:r w:rsidR="008166A5" w:rsidRPr="00C804A9">
        <w:rPr>
          <w:rFonts w:ascii="Corbel" w:eastAsia="Times New Roman" w:hAnsi="Corbel" w:cs="Calibri"/>
          <w:color w:val="000000"/>
          <w:sz w:val="23"/>
          <w:szCs w:val="23"/>
          <w:lang w:eastAsia="en-AU"/>
        </w:rPr>
        <w:t xml:space="preserve"> including scoping, co</w:t>
      </w:r>
      <w:r w:rsidR="00AF4CD2" w:rsidRPr="00C804A9">
        <w:rPr>
          <w:rFonts w:ascii="Corbel" w:eastAsia="Times New Roman" w:hAnsi="Corbel" w:cs="Calibri"/>
          <w:color w:val="000000"/>
          <w:sz w:val="23"/>
          <w:szCs w:val="23"/>
          <w:lang w:eastAsia="en-AU"/>
        </w:rPr>
        <w:noBreakHyphen/>
      </w:r>
      <w:r w:rsidR="008166A5" w:rsidRPr="00C804A9">
        <w:rPr>
          <w:rFonts w:ascii="Corbel" w:eastAsia="Times New Roman" w:hAnsi="Corbel" w:cs="Calibri"/>
          <w:color w:val="000000"/>
          <w:sz w:val="23"/>
          <w:szCs w:val="23"/>
          <w:lang w:eastAsia="en-AU"/>
        </w:rPr>
        <w:t xml:space="preserve">designing and </w:t>
      </w:r>
      <w:r w:rsidR="008166A5" w:rsidRPr="00531021">
        <w:rPr>
          <w:rFonts w:ascii="Corbel" w:eastAsia="Times New Roman" w:hAnsi="Corbel" w:cs="Calibri"/>
          <w:color w:val="000000"/>
          <w:sz w:val="23"/>
          <w:szCs w:val="23"/>
          <w:lang w:eastAsia="en-AU"/>
        </w:rPr>
        <w:t xml:space="preserve">piloting incentive packages </w:t>
      </w:r>
      <w:r w:rsidR="008166A5" w:rsidRPr="00C804A9">
        <w:rPr>
          <w:rFonts w:ascii="Corbel" w:eastAsia="Times New Roman" w:hAnsi="Corbel" w:cs="Calibri"/>
          <w:color w:val="000000"/>
          <w:sz w:val="23"/>
          <w:szCs w:val="23"/>
          <w:lang w:eastAsia="en-AU"/>
        </w:rPr>
        <w:t xml:space="preserve">for attracting high quality </w:t>
      </w:r>
      <w:r w:rsidR="000F5312">
        <w:rPr>
          <w:rFonts w:ascii="Corbel" w:eastAsia="Times New Roman" w:hAnsi="Corbel" w:cs="Calibri"/>
          <w:color w:val="000000"/>
          <w:sz w:val="23"/>
          <w:szCs w:val="23"/>
          <w:lang w:eastAsia="en-AU"/>
        </w:rPr>
        <w:t xml:space="preserve">teaching </w:t>
      </w:r>
      <w:r w:rsidR="008166A5" w:rsidRPr="00C804A9">
        <w:rPr>
          <w:rFonts w:ascii="Corbel" w:eastAsia="Times New Roman" w:hAnsi="Corbel" w:cs="Calibri"/>
          <w:color w:val="000000"/>
          <w:sz w:val="23"/>
          <w:szCs w:val="23"/>
          <w:lang w:eastAsia="en-AU"/>
        </w:rPr>
        <w:t xml:space="preserve">staff into remote and regional areas, </w:t>
      </w:r>
      <w:r w:rsidR="008166A5" w:rsidRPr="00531021">
        <w:rPr>
          <w:rFonts w:ascii="Corbel" w:eastAsia="Times New Roman" w:hAnsi="Corbel" w:cs="Calibri"/>
          <w:color w:val="000000"/>
          <w:sz w:val="23"/>
          <w:szCs w:val="23"/>
          <w:lang w:eastAsia="en-AU"/>
        </w:rPr>
        <w:t>including specialist VET teachers and industry experts</w:t>
      </w:r>
      <w:r w:rsidR="00256A04" w:rsidRPr="00531021">
        <w:rPr>
          <w:rFonts w:ascii="Corbel" w:eastAsia="Times New Roman" w:hAnsi="Corbel" w:cs="Calibri"/>
          <w:color w:val="000000"/>
          <w:sz w:val="23"/>
          <w:szCs w:val="23"/>
          <w:lang w:eastAsia="en-AU"/>
        </w:rPr>
        <w:t>;</w:t>
      </w:r>
    </w:p>
    <w:p w14:paraId="5A082186" w14:textId="1495D7E2" w:rsidR="00D55E25" w:rsidRDefault="00A528CA" w:rsidP="0016034C">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DECYP to u</w:t>
      </w:r>
      <w:r w:rsidR="00D55E25" w:rsidRPr="00895AD7">
        <w:rPr>
          <w:rFonts w:ascii="Corbel" w:eastAsia="Times New Roman" w:hAnsi="Corbel" w:cs="Calibri"/>
          <w:color w:val="000000"/>
          <w:sz w:val="23"/>
          <w:szCs w:val="23"/>
          <w:lang w:eastAsia="en-AU"/>
        </w:rPr>
        <w:t>ndertake research and scope opportunities to review the schools staff distribution and deployment model</w:t>
      </w:r>
      <w:r w:rsidR="00D55E25">
        <w:rPr>
          <w:rFonts w:ascii="Corbel" w:eastAsia="Times New Roman" w:hAnsi="Corbel" w:cs="Calibri"/>
          <w:color w:val="000000"/>
          <w:sz w:val="23"/>
          <w:szCs w:val="23"/>
          <w:lang w:eastAsia="en-AU"/>
        </w:rPr>
        <w:t>;</w:t>
      </w:r>
    </w:p>
    <w:p w14:paraId="784B05FB" w14:textId="2307DB0C" w:rsidR="00D55E25" w:rsidRPr="00C804A9" w:rsidRDefault="00A528CA" w:rsidP="00C804A9">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DECYP to w</w:t>
      </w:r>
      <w:r w:rsidR="00733D8D">
        <w:rPr>
          <w:rFonts w:ascii="Corbel" w:eastAsia="Times New Roman" w:hAnsi="Corbel" w:cs="Calibri"/>
          <w:color w:val="000000"/>
          <w:sz w:val="23"/>
          <w:szCs w:val="23"/>
          <w:lang w:eastAsia="en-AU"/>
        </w:rPr>
        <w:t>ork with key stakeholders on</w:t>
      </w:r>
      <w:r w:rsidR="00D55E25" w:rsidRPr="00C804A9">
        <w:rPr>
          <w:rFonts w:ascii="Corbel" w:eastAsia="Times New Roman" w:hAnsi="Corbel" w:cs="Calibri"/>
          <w:color w:val="000000"/>
          <w:sz w:val="23"/>
          <w:szCs w:val="23"/>
          <w:lang w:eastAsia="en-AU"/>
        </w:rPr>
        <w:t xml:space="preserve"> new teacher transfer protocols to ensure the right people, with the right skills are in the right classrooms, balancing employee perspectives and system need;</w:t>
      </w:r>
    </w:p>
    <w:p w14:paraId="1638E4E6" w14:textId="432D131E" w:rsidR="009336E7" w:rsidRPr="00C804A9" w:rsidRDefault="00A528CA" w:rsidP="00C804A9">
      <w:pPr>
        <w:pStyle w:val="ListParagraph"/>
        <w:numPr>
          <w:ilvl w:val="2"/>
          <w:numId w:val="1"/>
        </w:numPr>
        <w:tabs>
          <w:tab w:val="left" w:pos="426"/>
        </w:tabs>
        <w:spacing w:after="240" w:line="260" w:lineRule="exact"/>
        <w:contextualSpacing w:val="0"/>
        <w:jc w:val="both"/>
        <w:rPr>
          <w:lang w:eastAsia="en-AU"/>
        </w:rPr>
      </w:pPr>
      <w:r>
        <w:rPr>
          <w:rFonts w:ascii="Corbel" w:eastAsia="Times New Roman" w:hAnsi="Corbel" w:cs="Calibri"/>
          <w:color w:val="000000"/>
          <w:sz w:val="23"/>
          <w:szCs w:val="23"/>
          <w:lang w:eastAsia="en-AU"/>
        </w:rPr>
        <w:t>DECYP to d</w:t>
      </w:r>
      <w:r w:rsidR="00D55E25" w:rsidRPr="00C804A9">
        <w:rPr>
          <w:rFonts w:ascii="Corbel" w:eastAsia="Times New Roman" w:hAnsi="Corbel" w:cs="Calibri"/>
          <w:color w:val="000000"/>
          <w:sz w:val="23"/>
          <w:szCs w:val="23"/>
          <w:lang w:eastAsia="en-AU"/>
        </w:rPr>
        <w:t>evelop a plan to improve identification of skill and specialisation gaps for schools, particularly for the medium and longer term, to better inform planning for pipeline strategies as well as address gaps as they emerge;</w:t>
      </w:r>
    </w:p>
    <w:p w14:paraId="622EC110" w14:textId="77777777" w:rsidR="00CF14B6" w:rsidRPr="00531021" w:rsidRDefault="00CF14B6" w:rsidP="00E7717F">
      <w:pPr>
        <w:pStyle w:val="ListParagraph"/>
        <w:keepNext/>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31021">
        <w:rPr>
          <w:rFonts w:ascii="Corbel" w:eastAsia="Times New Roman" w:hAnsi="Corbel" w:cs="Calibri"/>
          <w:color w:val="000000"/>
          <w:sz w:val="23"/>
          <w:szCs w:val="23"/>
          <w:lang w:eastAsia="en-AU"/>
        </w:rPr>
        <w:lastRenderedPageBreak/>
        <w:t>Access to high quality and evidence-based professional learning for teachers and school leaders and the provision of quality-assured curriculum resources that have been developed in partnership with the teaching profession.</w:t>
      </w:r>
    </w:p>
    <w:p w14:paraId="36B17CB9" w14:textId="18A0B98C" w:rsidR="00CF14B6" w:rsidRPr="00531021" w:rsidRDefault="00CF14B6" w:rsidP="00E7717F">
      <w:pPr>
        <w:pStyle w:val="ListParagraph"/>
        <w:keepNext/>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531021">
        <w:rPr>
          <w:rFonts w:ascii="Corbel" w:eastAsia="Times New Roman" w:hAnsi="Corbel" w:cs="Calibri"/>
          <w:color w:val="000000"/>
          <w:sz w:val="23"/>
          <w:szCs w:val="23"/>
          <w:lang w:eastAsia="en-AU"/>
        </w:rPr>
        <w:t>Continuing:</w:t>
      </w:r>
    </w:p>
    <w:p w14:paraId="6E2AA392" w14:textId="7D491C64" w:rsidR="009E59B0" w:rsidRDefault="008A728B" w:rsidP="009E59B0">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All school sectors to d</w:t>
      </w:r>
      <w:r w:rsidR="009E59B0" w:rsidRPr="00C804A9">
        <w:rPr>
          <w:rFonts w:ascii="Corbel" w:eastAsia="Times New Roman" w:hAnsi="Corbel" w:cs="Calibri"/>
          <w:color w:val="000000"/>
          <w:sz w:val="23"/>
          <w:szCs w:val="23"/>
          <w:lang w:eastAsia="en-AU"/>
        </w:rPr>
        <w:t>eliver evidence-based foundational learning to all educators</w:t>
      </w:r>
      <w:r w:rsidR="00930CD7">
        <w:rPr>
          <w:rFonts w:ascii="Corbel" w:eastAsia="Times New Roman" w:hAnsi="Corbel" w:cs="Calibri"/>
          <w:color w:val="000000"/>
          <w:sz w:val="23"/>
          <w:szCs w:val="23"/>
          <w:lang w:eastAsia="en-AU"/>
        </w:rPr>
        <w:t xml:space="preserve"> </w:t>
      </w:r>
      <w:r w:rsidR="00652F21" w:rsidRPr="00C804A9">
        <w:rPr>
          <w:rFonts w:ascii="Corbel" w:eastAsia="Times New Roman" w:hAnsi="Corbel" w:cs="Calibri"/>
          <w:color w:val="000000"/>
          <w:sz w:val="23"/>
          <w:szCs w:val="23"/>
          <w:lang w:eastAsia="en-AU"/>
        </w:rPr>
        <w:t>to ensure they have the knowledge and skills to support structured li</w:t>
      </w:r>
      <w:r w:rsidR="002E6E82" w:rsidRPr="00C804A9">
        <w:rPr>
          <w:rFonts w:ascii="Corbel" w:eastAsia="Times New Roman" w:hAnsi="Corbel" w:cs="Calibri"/>
          <w:color w:val="000000"/>
          <w:sz w:val="23"/>
          <w:szCs w:val="23"/>
          <w:lang w:eastAsia="en-AU"/>
        </w:rPr>
        <w:t>teracy instruction</w:t>
      </w:r>
      <w:r w:rsidR="009E59B0" w:rsidRPr="00C804A9">
        <w:rPr>
          <w:rFonts w:ascii="Corbel" w:eastAsia="Times New Roman" w:hAnsi="Corbel" w:cs="Calibri"/>
          <w:color w:val="000000"/>
          <w:sz w:val="23"/>
          <w:szCs w:val="23"/>
          <w:lang w:eastAsia="en-AU"/>
        </w:rPr>
        <w:t>;</w:t>
      </w:r>
    </w:p>
    <w:p w14:paraId="61E13DB4" w14:textId="3B5985C3" w:rsidR="00F77632" w:rsidRPr="00C804A9" w:rsidRDefault="00EA20F0" w:rsidP="00F77632">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DECYP to p</w:t>
      </w:r>
      <w:r w:rsidR="00F77632" w:rsidRPr="00883295">
        <w:rPr>
          <w:rFonts w:ascii="Corbel" w:eastAsia="Times New Roman" w:hAnsi="Corbel" w:cs="Calibri"/>
          <w:color w:val="000000"/>
          <w:sz w:val="23"/>
          <w:szCs w:val="23"/>
          <w:lang w:eastAsia="en-AU"/>
        </w:rPr>
        <w:t>rovide quality and targeted professional learning and support for mathematics through the implementation of a Numeracy Coaching Initiative</w:t>
      </w:r>
      <w:r w:rsidR="00F77632">
        <w:rPr>
          <w:rFonts w:ascii="Corbel" w:eastAsia="Times New Roman" w:hAnsi="Corbel" w:cs="Calibri"/>
          <w:color w:val="000000"/>
          <w:sz w:val="23"/>
          <w:szCs w:val="23"/>
          <w:lang w:eastAsia="en-AU"/>
        </w:rPr>
        <w:t>;</w:t>
      </w:r>
    </w:p>
    <w:p w14:paraId="74D21C5C" w14:textId="0CF293CF" w:rsidR="009E59B0" w:rsidRPr="00883295" w:rsidRDefault="00EA20F0" w:rsidP="009E59B0">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All school sectors to i</w:t>
      </w:r>
      <w:r w:rsidR="009E59B0" w:rsidRPr="00883295">
        <w:rPr>
          <w:rFonts w:ascii="Corbel" w:eastAsia="Times New Roman" w:hAnsi="Corbel" w:cs="Calibri"/>
          <w:color w:val="000000"/>
          <w:sz w:val="23"/>
          <w:szCs w:val="23"/>
          <w:lang w:eastAsia="en-AU"/>
        </w:rPr>
        <w:t>mplement professional learning activities to improve digital literacy for the teaching workforce;</w:t>
      </w:r>
    </w:p>
    <w:p w14:paraId="3B96ED3C" w14:textId="511D1F86" w:rsidR="009E59B0" w:rsidRPr="00883295" w:rsidRDefault="00EA20F0" w:rsidP="009E59B0">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All school sectors to d</w:t>
      </w:r>
      <w:r w:rsidR="009E59B0" w:rsidRPr="00883295">
        <w:rPr>
          <w:rFonts w:ascii="Corbel" w:eastAsia="Times New Roman" w:hAnsi="Corbel" w:cs="Calibri"/>
          <w:color w:val="000000"/>
          <w:sz w:val="23"/>
          <w:szCs w:val="23"/>
          <w:lang w:eastAsia="en-AU"/>
        </w:rPr>
        <w:t>evelop professional learning packs to support teachers and school leaders for utilisation by all senior secondary teachers</w:t>
      </w:r>
      <w:r w:rsidR="00462346" w:rsidRPr="00883295">
        <w:rPr>
          <w:rFonts w:ascii="Corbel" w:eastAsia="Times New Roman" w:hAnsi="Corbel" w:cs="Calibri"/>
          <w:color w:val="000000"/>
          <w:sz w:val="23"/>
          <w:szCs w:val="23"/>
          <w:lang w:eastAsia="en-AU"/>
        </w:rPr>
        <w:t xml:space="preserve"> and to support the delivery of specific courses</w:t>
      </w:r>
      <w:r w:rsidR="009E59B0" w:rsidRPr="00883295">
        <w:rPr>
          <w:rFonts w:ascii="Corbel" w:eastAsia="Times New Roman" w:hAnsi="Corbel" w:cs="Calibri"/>
          <w:color w:val="000000"/>
          <w:sz w:val="23"/>
          <w:szCs w:val="23"/>
          <w:lang w:eastAsia="en-AU"/>
        </w:rPr>
        <w:t>;</w:t>
      </w:r>
    </w:p>
    <w:p w14:paraId="2817DB5C" w14:textId="2C9B50ED" w:rsidR="009E59B0" w:rsidRPr="00883295" w:rsidRDefault="00EA20F0" w:rsidP="009E59B0">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DECYP to develop</w:t>
      </w:r>
      <w:r w:rsidRPr="00883295">
        <w:rPr>
          <w:rFonts w:ascii="Corbel" w:eastAsia="Times New Roman" w:hAnsi="Corbel" w:cs="Calibri"/>
          <w:color w:val="000000"/>
          <w:sz w:val="23"/>
          <w:szCs w:val="23"/>
          <w:lang w:eastAsia="en-AU"/>
        </w:rPr>
        <w:t xml:space="preserve"> </w:t>
      </w:r>
      <w:r w:rsidR="009E59B0" w:rsidRPr="00883295">
        <w:rPr>
          <w:rFonts w:ascii="Corbel" w:eastAsia="Times New Roman" w:hAnsi="Corbel" w:cs="Calibri"/>
          <w:color w:val="000000"/>
          <w:sz w:val="23"/>
          <w:szCs w:val="23"/>
          <w:lang w:eastAsia="en-AU"/>
        </w:rPr>
        <w:t>online Communities of Practice for senior secondary teachers</w:t>
      </w:r>
      <w:r w:rsidR="00BC36FD" w:rsidRPr="00883295">
        <w:rPr>
          <w:rFonts w:ascii="Corbel" w:eastAsia="Times New Roman" w:hAnsi="Corbel" w:cs="Calibri"/>
          <w:color w:val="000000"/>
          <w:sz w:val="23"/>
          <w:szCs w:val="23"/>
          <w:lang w:eastAsia="en-AU"/>
        </w:rPr>
        <w:t xml:space="preserve"> to foster collaboration with peers working in similar learning areas</w:t>
      </w:r>
      <w:r w:rsidR="009E59B0" w:rsidRPr="00883295">
        <w:rPr>
          <w:rFonts w:ascii="Corbel" w:eastAsia="Times New Roman" w:hAnsi="Corbel" w:cs="Calibri"/>
          <w:color w:val="000000"/>
          <w:sz w:val="23"/>
          <w:szCs w:val="23"/>
          <w:lang w:eastAsia="en-AU"/>
        </w:rPr>
        <w:t>;</w:t>
      </w:r>
    </w:p>
    <w:p w14:paraId="520A8CFD" w14:textId="5D7C6192" w:rsidR="00CF14B6" w:rsidRPr="00600775" w:rsidRDefault="00DE6720" w:rsidP="009E59B0">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DECYP to d</w:t>
      </w:r>
      <w:r w:rsidR="009E59B0" w:rsidRPr="00600775">
        <w:rPr>
          <w:rFonts w:ascii="Corbel" w:eastAsia="Times New Roman" w:hAnsi="Corbel" w:cs="Calibri"/>
          <w:color w:val="000000"/>
          <w:sz w:val="23"/>
          <w:szCs w:val="23"/>
          <w:lang w:eastAsia="en-AU"/>
        </w:rPr>
        <w:t>evelop additional supporting resources for courses to aid teacher delivery in an online environment.</w:t>
      </w:r>
      <w:r w:rsidR="009E59B0" w:rsidRPr="00600775" w:rsidDel="009E59B0">
        <w:rPr>
          <w:rFonts w:ascii="Corbel" w:eastAsia="Times New Roman" w:hAnsi="Corbel" w:cs="Calibri"/>
          <w:color w:val="000000"/>
          <w:sz w:val="23"/>
          <w:szCs w:val="23"/>
          <w:lang w:eastAsia="en-AU"/>
        </w:rPr>
        <w:t xml:space="preserve"> </w:t>
      </w:r>
    </w:p>
    <w:p w14:paraId="79CFA032" w14:textId="77777777" w:rsidR="00CF14B6" w:rsidRPr="00CF14B6" w:rsidRDefault="00CF14B6" w:rsidP="006F25B6">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CF14B6">
        <w:rPr>
          <w:rFonts w:ascii="Corbel" w:eastAsia="Times New Roman" w:hAnsi="Corbel" w:cs="Calibri"/>
          <w:color w:val="000000"/>
          <w:sz w:val="23"/>
          <w:szCs w:val="23"/>
          <w:lang w:eastAsia="en-AU"/>
        </w:rPr>
        <w:t>Undertaking the following additional effort:</w:t>
      </w:r>
    </w:p>
    <w:p w14:paraId="1A8598AC" w14:textId="3C5ECE5A" w:rsidR="001B2199" w:rsidRDefault="00DE6720" w:rsidP="006F25B6">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DECYP and CET to p</w:t>
      </w:r>
      <w:r w:rsidR="00BB3817">
        <w:rPr>
          <w:rFonts w:ascii="Corbel" w:eastAsia="Times New Roman" w:hAnsi="Corbel" w:cs="Calibri"/>
          <w:color w:val="000000"/>
          <w:sz w:val="23"/>
          <w:szCs w:val="23"/>
          <w:lang w:eastAsia="en-AU"/>
        </w:rPr>
        <w:t>rovid</w:t>
      </w:r>
      <w:r>
        <w:rPr>
          <w:rFonts w:ascii="Corbel" w:eastAsia="Times New Roman" w:hAnsi="Corbel" w:cs="Calibri"/>
          <w:color w:val="000000"/>
          <w:sz w:val="23"/>
          <w:szCs w:val="23"/>
          <w:lang w:eastAsia="en-AU"/>
        </w:rPr>
        <w:t>e</w:t>
      </w:r>
      <w:r w:rsidR="00BB3817">
        <w:rPr>
          <w:rFonts w:ascii="Corbel" w:eastAsia="Times New Roman" w:hAnsi="Corbel" w:cs="Calibri"/>
          <w:color w:val="000000"/>
          <w:sz w:val="23"/>
          <w:szCs w:val="23"/>
          <w:lang w:eastAsia="en-AU"/>
        </w:rPr>
        <w:t xml:space="preserve"> </w:t>
      </w:r>
      <w:r w:rsidR="00BB3817" w:rsidRPr="00D71EA8">
        <w:rPr>
          <w:rFonts w:ascii="Corbel" w:eastAsia="Times New Roman" w:hAnsi="Corbel" w:cs="Calibri"/>
          <w:color w:val="000000"/>
          <w:sz w:val="23"/>
          <w:szCs w:val="23"/>
          <w:lang w:eastAsia="en-AU"/>
        </w:rPr>
        <w:t xml:space="preserve">tools and resources for consistent screening </w:t>
      </w:r>
      <w:r w:rsidR="00BB3817" w:rsidRPr="001B2199">
        <w:rPr>
          <w:rFonts w:ascii="Corbel" w:eastAsia="Times New Roman" w:hAnsi="Corbel" w:cs="Calibri"/>
          <w:color w:val="000000"/>
          <w:sz w:val="23"/>
          <w:szCs w:val="23"/>
          <w:lang w:eastAsia="en-AU"/>
        </w:rPr>
        <w:t xml:space="preserve">and </w:t>
      </w:r>
      <w:r w:rsidR="00BB3817">
        <w:rPr>
          <w:rFonts w:ascii="Corbel" w:eastAsia="Times New Roman" w:hAnsi="Corbel" w:cs="Calibri"/>
          <w:color w:val="000000"/>
          <w:sz w:val="23"/>
          <w:szCs w:val="23"/>
          <w:lang w:eastAsia="en-AU"/>
        </w:rPr>
        <w:t>assessment</w:t>
      </w:r>
      <w:r w:rsidR="00BB3817" w:rsidRPr="001B2199">
        <w:rPr>
          <w:rFonts w:ascii="Corbel" w:eastAsia="Times New Roman" w:hAnsi="Corbel" w:cs="Calibri"/>
          <w:color w:val="000000"/>
          <w:sz w:val="23"/>
          <w:szCs w:val="23"/>
          <w:lang w:eastAsia="en-AU"/>
        </w:rPr>
        <w:t xml:space="preserve"> to enable full implementation of a system-wide approa</w:t>
      </w:r>
      <w:r w:rsidR="00BB3817" w:rsidRPr="00D71EA8">
        <w:rPr>
          <w:rFonts w:ascii="Corbel" w:eastAsia="Times New Roman" w:hAnsi="Corbel" w:cs="Calibri"/>
          <w:color w:val="000000"/>
          <w:sz w:val="23"/>
          <w:szCs w:val="23"/>
          <w:lang w:eastAsia="en-AU"/>
        </w:rPr>
        <w:t>ch to structured literacy instruction</w:t>
      </w:r>
      <w:r w:rsidR="001B2199">
        <w:rPr>
          <w:rFonts w:ascii="Corbel" w:eastAsia="Times New Roman" w:hAnsi="Corbel" w:cs="Calibri"/>
          <w:color w:val="000000"/>
          <w:sz w:val="23"/>
          <w:szCs w:val="23"/>
          <w:lang w:eastAsia="en-AU"/>
        </w:rPr>
        <w:t>;</w:t>
      </w:r>
    </w:p>
    <w:p w14:paraId="2D4199A6" w14:textId="77366C01" w:rsidR="00CF14B6" w:rsidRPr="00C804A9" w:rsidRDefault="000E30EA" w:rsidP="006F25B6">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DECYP to d</w:t>
      </w:r>
      <w:r w:rsidR="001316EA" w:rsidRPr="00D125D8">
        <w:rPr>
          <w:rFonts w:ascii="Corbel" w:eastAsia="Times New Roman" w:hAnsi="Corbel" w:cs="Calibri"/>
          <w:color w:val="000000"/>
          <w:sz w:val="23"/>
          <w:szCs w:val="23"/>
          <w:lang w:eastAsia="en-AU"/>
        </w:rPr>
        <w:t>evelop and implement a robust and formalised onboarding and retention program</w:t>
      </w:r>
      <w:r w:rsidR="005A3B98" w:rsidRPr="00D125D8">
        <w:rPr>
          <w:rFonts w:ascii="Corbel" w:eastAsia="Times New Roman" w:hAnsi="Corbel" w:cs="Calibri"/>
          <w:color w:val="000000"/>
          <w:sz w:val="23"/>
          <w:szCs w:val="23"/>
          <w:lang w:eastAsia="en-AU"/>
        </w:rPr>
        <w:t xml:space="preserve"> for VET specialist teachers, including support to transition from industry to ensure strategic outcomes for secondary students. </w:t>
      </w:r>
    </w:p>
    <w:p w14:paraId="48B035F8" w14:textId="310F037A" w:rsidR="00CF14B6" w:rsidRPr="00CF14B6" w:rsidRDefault="00CF14B6" w:rsidP="00CF14B6">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CF14B6">
        <w:rPr>
          <w:rFonts w:ascii="Corbel" w:eastAsia="Times New Roman" w:hAnsi="Corbel" w:cs="Calibri"/>
          <w:color w:val="000000"/>
          <w:sz w:val="23"/>
          <w:szCs w:val="23"/>
          <w:lang w:eastAsia="en-AU"/>
        </w:rPr>
        <w:t xml:space="preserve">Initiatives to strengthen teacher and school leader wellbeing, </w:t>
      </w:r>
      <w:r w:rsidR="005E0448" w:rsidRPr="00D71EA8">
        <w:rPr>
          <w:rFonts w:ascii="Corbel" w:eastAsia="Times New Roman" w:hAnsi="Corbel" w:cs="Calibri"/>
          <w:color w:val="000000"/>
          <w:sz w:val="23"/>
          <w:szCs w:val="23"/>
          <w:lang w:eastAsia="en-AU"/>
        </w:rPr>
        <w:t>for example</w:t>
      </w:r>
      <w:r w:rsidR="005E0448" w:rsidRPr="00CF14B6">
        <w:rPr>
          <w:rFonts w:ascii="Corbel" w:eastAsia="Times New Roman" w:hAnsi="Corbel" w:cs="Calibri"/>
          <w:color w:val="000000"/>
          <w:sz w:val="23"/>
          <w:szCs w:val="23"/>
          <w:lang w:eastAsia="en-AU"/>
        </w:rPr>
        <w:t xml:space="preserve"> </w:t>
      </w:r>
      <w:r w:rsidRPr="00CF14B6">
        <w:rPr>
          <w:rFonts w:ascii="Corbel" w:eastAsia="Times New Roman" w:hAnsi="Corbel" w:cs="Calibri"/>
          <w:color w:val="000000"/>
          <w:sz w:val="23"/>
          <w:szCs w:val="23"/>
          <w:lang w:eastAsia="en-AU"/>
        </w:rPr>
        <w:t xml:space="preserve">actions to </w:t>
      </w:r>
      <w:r w:rsidR="003D4C8C" w:rsidRPr="00627F73">
        <w:rPr>
          <w:rFonts w:ascii="Corbel" w:eastAsia="Times New Roman" w:hAnsi="Corbel" w:cs="Calibri"/>
          <w:color w:val="000000"/>
          <w:sz w:val="23"/>
          <w:szCs w:val="23"/>
          <w:lang w:eastAsia="en-AU"/>
        </w:rPr>
        <w:t>support</w:t>
      </w:r>
      <w:r w:rsidR="003D4C8C" w:rsidRPr="00CF14B6">
        <w:rPr>
          <w:rFonts w:ascii="Corbel" w:eastAsia="Times New Roman" w:hAnsi="Corbel" w:cs="Calibri"/>
          <w:color w:val="000000"/>
          <w:sz w:val="23"/>
          <w:szCs w:val="23"/>
          <w:lang w:eastAsia="en-AU"/>
        </w:rPr>
        <w:t xml:space="preserve"> </w:t>
      </w:r>
      <w:r w:rsidRPr="00CF14B6">
        <w:rPr>
          <w:rFonts w:ascii="Corbel" w:eastAsia="Times New Roman" w:hAnsi="Corbel" w:cs="Calibri"/>
          <w:color w:val="000000"/>
          <w:sz w:val="23"/>
          <w:szCs w:val="23"/>
          <w:lang w:eastAsia="en-AU"/>
        </w:rPr>
        <w:t>safe and respectful schools, strengthen Aboriginal and Torres Strait Islander cultural safety, and reduce teacher and school leader workload.</w:t>
      </w:r>
    </w:p>
    <w:p w14:paraId="2B133B91" w14:textId="77777777" w:rsidR="00CF14B6" w:rsidRPr="00CF14B6" w:rsidRDefault="00CF14B6" w:rsidP="006F25B6">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CF14B6">
        <w:rPr>
          <w:rFonts w:ascii="Corbel" w:eastAsia="Times New Roman" w:hAnsi="Corbel" w:cs="Calibri"/>
          <w:color w:val="000000"/>
          <w:sz w:val="23"/>
          <w:szCs w:val="23"/>
          <w:lang w:eastAsia="en-AU"/>
        </w:rPr>
        <w:t>Continuing to:</w:t>
      </w:r>
    </w:p>
    <w:p w14:paraId="604618C2" w14:textId="0A03B391" w:rsidR="00F70B9A" w:rsidRPr="00600775" w:rsidRDefault="00F70B9A" w:rsidP="00F70B9A">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600775">
        <w:rPr>
          <w:rFonts w:ascii="Corbel" w:eastAsia="Times New Roman" w:hAnsi="Corbel" w:cs="Calibri"/>
          <w:color w:val="000000"/>
          <w:sz w:val="23"/>
          <w:szCs w:val="23"/>
          <w:lang w:eastAsia="en-AU"/>
        </w:rPr>
        <w:t>Provide quality development opportunities that foster safe and respectful practices and strengthen cultural competency</w:t>
      </w:r>
      <w:r w:rsidR="000E30EA">
        <w:rPr>
          <w:rFonts w:ascii="Corbel" w:eastAsia="Times New Roman" w:hAnsi="Corbel" w:cs="Calibri"/>
          <w:color w:val="000000"/>
          <w:sz w:val="23"/>
          <w:szCs w:val="23"/>
          <w:lang w:eastAsia="en-AU"/>
        </w:rPr>
        <w:t xml:space="preserve"> </w:t>
      </w:r>
      <w:r w:rsidR="00AF3F19">
        <w:rPr>
          <w:rFonts w:ascii="Corbel" w:eastAsia="Times New Roman" w:hAnsi="Corbel" w:cs="Calibri"/>
          <w:color w:val="000000"/>
          <w:sz w:val="23"/>
          <w:szCs w:val="23"/>
          <w:lang w:eastAsia="en-AU"/>
        </w:rPr>
        <w:t>in all</w:t>
      </w:r>
      <w:r w:rsidR="000E30EA">
        <w:rPr>
          <w:rFonts w:ascii="Corbel" w:eastAsia="Times New Roman" w:hAnsi="Corbel" w:cs="Calibri"/>
          <w:color w:val="000000"/>
          <w:sz w:val="23"/>
          <w:szCs w:val="23"/>
          <w:lang w:eastAsia="en-AU"/>
        </w:rPr>
        <w:t xml:space="preserve"> school sectors</w:t>
      </w:r>
      <w:r w:rsidRPr="00600775">
        <w:rPr>
          <w:rFonts w:ascii="Corbel" w:eastAsia="Times New Roman" w:hAnsi="Corbel" w:cs="Calibri"/>
          <w:color w:val="000000"/>
          <w:sz w:val="23"/>
          <w:szCs w:val="23"/>
          <w:lang w:eastAsia="en-AU"/>
        </w:rPr>
        <w:t>.</w:t>
      </w:r>
    </w:p>
    <w:p w14:paraId="22C96B32" w14:textId="77777777" w:rsidR="00CF14B6" w:rsidRPr="00CF14B6" w:rsidRDefault="00CF14B6" w:rsidP="006F25B6">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CF14B6">
        <w:rPr>
          <w:rFonts w:ascii="Corbel" w:eastAsia="Times New Roman" w:hAnsi="Corbel" w:cs="Calibri"/>
          <w:color w:val="000000"/>
          <w:sz w:val="23"/>
          <w:szCs w:val="23"/>
          <w:lang w:eastAsia="en-AU"/>
        </w:rPr>
        <w:t>Undertaking the following additional effort:</w:t>
      </w:r>
    </w:p>
    <w:p w14:paraId="7B1A035C" w14:textId="519C00D1" w:rsidR="0093719E" w:rsidRPr="00883295" w:rsidRDefault="004E47AC" w:rsidP="0093719E">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DECYP and CET to u</w:t>
      </w:r>
      <w:r w:rsidR="0093719E" w:rsidRPr="00883295">
        <w:rPr>
          <w:rFonts w:ascii="Corbel" w:eastAsia="Times New Roman" w:hAnsi="Corbel" w:cs="Calibri"/>
          <w:color w:val="000000"/>
          <w:sz w:val="23"/>
          <w:szCs w:val="23"/>
          <w:lang w:eastAsia="en-AU"/>
        </w:rPr>
        <w:t>tilis</w:t>
      </w:r>
      <w:r>
        <w:rPr>
          <w:rFonts w:ascii="Corbel" w:eastAsia="Times New Roman" w:hAnsi="Corbel" w:cs="Calibri"/>
          <w:color w:val="000000"/>
          <w:sz w:val="23"/>
          <w:szCs w:val="23"/>
          <w:lang w:eastAsia="en-AU"/>
        </w:rPr>
        <w:t>e</w:t>
      </w:r>
      <w:r w:rsidR="0093719E" w:rsidRPr="00883295">
        <w:rPr>
          <w:rFonts w:ascii="Corbel" w:eastAsia="Times New Roman" w:hAnsi="Corbel" w:cs="Calibri"/>
          <w:color w:val="000000"/>
          <w:sz w:val="23"/>
          <w:szCs w:val="23"/>
          <w:lang w:eastAsia="en-AU"/>
        </w:rPr>
        <w:t xml:space="preserve"> system data from staff wellbeing surveys to understand and act on workforce access, inclusion and cultural safety needs</w:t>
      </w:r>
      <w:r w:rsidR="00C178DA" w:rsidRPr="00883295">
        <w:rPr>
          <w:rFonts w:ascii="Corbel" w:eastAsia="Times New Roman" w:hAnsi="Corbel" w:cs="Calibri"/>
          <w:color w:val="000000"/>
          <w:sz w:val="23"/>
          <w:szCs w:val="23"/>
          <w:lang w:eastAsia="en-AU"/>
        </w:rPr>
        <w:t xml:space="preserve"> and developing responses to these needs based on the data received</w:t>
      </w:r>
      <w:r w:rsidR="0093719E" w:rsidRPr="00883295">
        <w:rPr>
          <w:rFonts w:ascii="Corbel" w:eastAsia="Times New Roman" w:hAnsi="Corbel" w:cs="Calibri"/>
          <w:color w:val="000000"/>
          <w:sz w:val="23"/>
          <w:szCs w:val="23"/>
          <w:lang w:eastAsia="en-AU"/>
        </w:rPr>
        <w:t>;</w:t>
      </w:r>
    </w:p>
    <w:p w14:paraId="53E0B007" w14:textId="260F1867" w:rsidR="00CB0619" w:rsidRPr="00E7717F" w:rsidRDefault="004E47AC" w:rsidP="00E7717F">
      <w:pPr>
        <w:pStyle w:val="ListParagraph"/>
        <w:keepLines/>
        <w:numPr>
          <w:ilvl w:val="2"/>
          <w:numId w:val="1"/>
        </w:numPr>
        <w:tabs>
          <w:tab w:val="left" w:pos="426"/>
        </w:tabs>
        <w:spacing w:after="240" w:line="260" w:lineRule="exact"/>
        <w:ind w:left="1236" w:hanging="181"/>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lastRenderedPageBreak/>
        <w:t>DECYP and CET to r</w:t>
      </w:r>
      <w:r w:rsidR="00C178DA" w:rsidRPr="00883295">
        <w:rPr>
          <w:rFonts w:ascii="Corbel" w:eastAsia="Times New Roman" w:hAnsi="Corbel" w:cs="Calibri"/>
          <w:color w:val="000000"/>
          <w:sz w:val="23"/>
          <w:szCs w:val="23"/>
          <w:lang w:eastAsia="en-AU"/>
        </w:rPr>
        <w:t xml:space="preserve">esearch, identify and trial ways to re-design the role of teachers </w:t>
      </w:r>
      <w:r w:rsidR="00F52A4D">
        <w:rPr>
          <w:rFonts w:ascii="Corbel" w:eastAsia="Times New Roman" w:hAnsi="Corbel" w:cs="Calibri"/>
          <w:color w:val="000000"/>
          <w:sz w:val="23"/>
          <w:szCs w:val="23"/>
          <w:lang w:eastAsia="en-AU"/>
        </w:rPr>
        <w:t xml:space="preserve">and school leaders </w:t>
      </w:r>
      <w:r w:rsidR="00C178DA" w:rsidRPr="00883295">
        <w:rPr>
          <w:rFonts w:ascii="Corbel" w:eastAsia="Times New Roman" w:hAnsi="Corbel" w:cs="Calibri"/>
          <w:color w:val="000000"/>
          <w:sz w:val="23"/>
          <w:szCs w:val="23"/>
          <w:lang w:eastAsia="en-AU"/>
        </w:rPr>
        <w:t>and rationalise workload by implementing initiatives to create more teacher-student facetime and eliminating unnecessary tasks comprising current teacher workload, inc</w:t>
      </w:r>
      <w:r w:rsidR="00D94D1B" w:rsidRPr="00883295">
        <w:rPr>
          <w:rFonts w:ascii="Corbel" w:eastAsia="Times New Roman" w:hAnsi="Corbel" w:cs="Calibri"/>
          <w:color w:val="000000"/>
          <w:sz w:val="23"/>
          <w:szCs w:val="23"/>
          <w:lang w:eastAsia="en-AU"/>
        </w:rPr>
        <w:t>luding increased administrative burden.</w:t>
      </w:r>
    </w:p>
    <w:p w14:paraId="4CA295B2" w14:textId="37C42A2D" w:rsidR="00CF14B6" w:rsidRPr="00CF14B6" w:rsidRDefault="00CF14B6" w:rsidP="00CF14B6">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CF14B6">
        <w:rPr>
          <w:rFonts w:ascii="Corbel" w:eastAsia="Times New Roman" w:hAnsi="Corbel" w:cs="Calibri"/>
          <w:color w:val="000000"/>
          <w:sz w:val="23"/>
          <w:szCs w:val="23"/>
          <w:lang w:eastAsia="en-AU"/>
        </w:rPr>
        <w:t xml:space="preserve">Initiatives to increase teacher attraction and retention, including those that encourage students to take up a career in teaching and increase the diversity of the teacher workforce, </w:t>
      </w:r>
      <w:r w:rsidR="003E6DEE">
        <w:rPr>
          <w:rFonts w:ascii="Corbel" w:eastAsia="Times New Roman" w:hAnsi="Corbel" w:cs="Calibri"/>
          <w:color w:val="000000"/>
          <w:sz w:val="23"/>
          <w:szCs w:val="23"/>
          <w:lang w:eastAsia="en-AU"/>
        </w:rPr>
        <w:t xml:space="preserve">for example initiatives focused on </w:t>
      </w:r>
      <w:r w:rsidRPr="00CF14B6">
        <w:rPr>
          <w:rFonts w:ascii="Corbel" w:eastAsia="Times New Roman" w:hAnsi="Corbel" w:cs="Calibri"/>
          <w:color w:val="000000"/>
          <w:sz w:val="23"/>
          <w:szCs w:val="23"/>
          <w:lang w:eastAsia="en-AU"/>
        </w:rPr>
        <w:t xml:space="preserve">increasing the number of Aboriginal and Torres Strait Islander educators, or through implementing actions under the </w:t>
      </w:r>
      <w:r w:rsidRPr="00C7665F">
        <w:rPr>
          <w:rFonts w:ascii="Corbel" w:eastAsia="Times New Roman" w:hAnsi="Corbel" w:cs="Calibri"/>
          <w:i/>
          <w:color w:val="000000"/>
          <w:sz w:val="23"/>
          <w:szCs w:val="23"/>
          <w:lang w:eastAsia="en-AU"/>
        </w:rPr>
        <w:t>National Teacher Workforce Action Plan</w:t>
      </w:r>
      <w:r w:rsidRPr="00CF14B6">
        <w:rPr>
          <w:rFonts w:ascii="Corbel" w:eastAsia="Times New Roman" w:hAnsi="Corbel" w:cs="Calibri"/>
          <w:color w:val="000000"/>
          <w:sz w:val="23"/>
          <w:szCs w:val="23"/>
          <w:lang w:eastAsia="en-AU"/>
        </w:rPr>
        <w:t xml:space="preserve"> and/or recommendations of the Teacher Education Expert Panel report. This will include:</w:t>
      </w:r>
    </w:p>
    <w:p w14:paraId="14559EF7" w14:textId="77777777" w:rsidR="00CF14B6" w:rsidRPr="00883295" w:rsidRDefault="00CF14B6" w:rsidP="006F25B6">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883295">
        <w:rPr>
          <w:rFonts w:ascii="Corbel" w:eastAsia="Times New Roman" w:hAnsi="Corbel" w:cs="Calibri"/>
          <w:color w:val="000000"/>
          <w:sz w:val="23"/>
          <w:szCs w:val="23"/>
          <w:lang w:eastAsia="en-AU"/>
        </w:rPr>
        <w:t>Continuing to:</w:t>
      </w:r>
    </w:p>
    <w:p w14:paraId="33C02048" w14:textId="1E9AEBB6" w:rsidR="00CF14B6" w:rsidRPr="00600775" w:rsidRDefault="00AF4054" w:rsidP="00391BF8">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Develop and implement an attractive recruitment and retention program</w:t>
      </w:r>
      <w:r w:rsidR="00922D6B">
        <w:rPr>
          <w:rFonts w:ascii="Corbel" w:eastAsia="Times New Roman" w:hAnsi="Corbel" w:cs="Calibri"/>
          <w:color w:val="000000"/>
          <w:sz w:val="23"/>
          <w:szCs w:val="23"/>
          <w:lang w:eastAsia="en-AU"/>
        </w:rPr>
        <w:t xml:space="preserve"> in Government schools</w:t>
      </w:r>
      <w:r>
        <w:rPr>
          <w:rFonts w:ascii="Corbel" w:eastAsia="Times New Roman" w:hAnsi="Corbel" w:cs="Calibri"/>
          <w:color w:val="000000"/>
          <w:sz w:val="23"/>
          <w:szCs w:val="23"/>
          <w:lang w:eastAsia="en-AU"/>
        </w:rPr>
        <w:t xml:space="preserve"> to attract industry professionals into VET in Schools</w:t>
      </w:r>
      <w:r w:rsidR="009777D2">
        <w:rPr>
          <w:rFonts w:ascii="Corbel" w:eastAsia="Times New Roman" w:hAnsi="Corbel" w:cs="Calibri"/>
          <w:color w:val="000000"/>
          <w:sz w:val="23"/>
          <w:szCs w:val="23"/>
          <w:lang w:eastAsia="en-AU"/>
        </w:rPr>
        <w:t xml:space="preserve"> including through</w:t>
      </w:r>
      <w:r w:rsidR="006F4D5F">
        <w:rPr>
          <w:rFonts w:ascii="Corbel" w:eastAsia="Times New Roman" w:hAnsi="Corbel" w:cs="Calibri"/>
          <w:color w:val="000000"/>
          <w:sz w:val="23"/>
          <w:szCs w:val="23"/>
          <w:lang w:eastAsia="en-AU"/>
        </w:rPr>
        <w:t xml:space="preserve"> partnering with high demand industries to enable subject matter experts to teach their skills to the next generation of skilled workers. Teachers will be supported with centralised compli</w:t>
      </w:r>
      <w:r w:rsidR="009F42CB">
        <w:rPr>
          <w:rFonts w:ascii="Corbel" w:eastAsia="Times New Roman" w:hAnsi="Corbel" w:cs="Calibri"/>
          <w:color w:val="000000"/>
          <w:sz w:val="23"/>
          <w:szCs w:val="23"/>
          <w:lang w:eastAsia="en-AU"/>
        </w:rPr>
        <w:t>ance support, professional development needed to transition from industry to teaching young people and flexibility to commit to a full transition into teaching or options to teach casually</w:t>
      </w:r>
      <w:r w:rsidR="009777D2">
        <w:rPr>
          <w:rFonts w:ascii="Corbel" w:eastAsia="Times New Roman" w:hAnsi="Corbel" w:cs="Calibri"/>
          <w:color w:val="000000"/>
          <w:sz w:val="23"/>
          <w:szCs w:val="23"/>
          <w:lang w:eastAsia="en-AU"/>
        </w:rPr>
        <w:t>.</w:t>
      </w:r>
    </w:p>
    <w:p w14:paraId="6CA3269F" w14:textId="77777777" w:rsidR="00CF14B6" w:rsidRPr="005251A0" w:rsidRDefault="00CF14B6" w:rsidP="006F25B6">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5251A0">
        <w:rPr>
          <w:rFonts w:ascii="Corbel" w:eastAsia="Times New Roman" w:hAnsi="Corbel" w:cs="Calibri"/>
          <w:color w:val="000000"/>
          <w:sz w:val="23"/>
          <w:szCs w:val="23"/>
          <w:lang w:eastAsia="en-AU"/>
        </w:rPr>
        <w:t>Undertaking the following additional effort:</w:t>
      </w:r>
    </w:p>
    <w:p w14:paraId="41E92E6C" w14:textId="45FA9FE4" w:rsidR="00E841C2" w:rsidRPr="00C804A9" w:rsidRDefault="00922D6B" w:rsidP="00E841C2">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DECYP to i</w:t>
      </w:r>
      <w:r w:rsidR="00E841C2">
        <w:rPr>
          <w:rFonts w:ascii="Corbel" w:eastAsia="Times New Roman" w:hAnsi="Corbel" w:cs="Calibri"/>
          <w:color w:val="000000"/>
          <w:sz w:val="23"/>
          <w:szCs w:val="23"/>
          <w:lang w:eastAsia="en-AU"/>
        </w:rPr>
        <w:t>dentify and implement</w:t>
      </w:r>
      <w:r w:rsidR="00E841C2" w:rsidRPr="004B5AC6">
        <w:rPr>
          <w:rFonts w:ascii="Corbel" w:eastAsia="Times New Roman" w:hAnsi="Corbel" w:cs="Calibri"/>
          <w:color w:val="000000"/>
          <w:sz w:val="23"/>
          <w:szCs w:val="23"/>
          <w:lang w:eastAsia="en-AU"/>
        </w:rPr>
        <w:t xml:space="preserve"> actions to improve retention of the education workforce</w:t>
      </w:r>
      <w:r w:rsidR="00E841C2">
        <w:rPr>
          <w:rFonts w:ascii="Corbel" w:eastAsia="Times New Roman" w:hAnsi="Corbel" w:cs="Calibri"/>
          <w:color w:val="000000"/>
          <w:sz w:val="23"/>
          <w:szCs w:val="23"/>
          <w:lang w:eastAsia="en-AU"/>
        </w:rPr>
        <w:t>, particularly for early career teachers</w:t>
      </w:r>
      <w:r w:rsidR="00AF3F19">
        <w:rPr>
          <w:rFonts w:ascii="Corbel" w:eastAsia="Times New Roman" w:hAnsi="Corbel" w:cs="Calibri"/>
          <w:color w:val="000000"/>
          <w:sz w:val="23"/>
          <w:szCs w:val="23"/>
          <w:lang w:eastAsia="en-AU"/>
        </w:rPr>
        <w:t>;</w:t>
      </w:r>
    </w:p>
    <w:p w14:paraId="1CB98082" w14:textId="694D6260" w:rsidR="0020408F" w:rsidRPr="005251A0" w:rsidRDefault="00971A21" w:rsidP="0020408F">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971A21">
        <w:rPr>
          <w:rFonts w:ascii="Corbel" w:eastAsia="Times New Roman" w:hAnsi="Corbel" w:cs="Calibri"/>
          <w:color w:val="000000"/>
          <w:sz w:val="23"/>
          <w:szCs w:val="23"/>
          <w:lang w:eastAsia="en-AU"/>
        </w:rPr>
        <w:t>Establishing and strengthening the DECYP’s relationships and collaboration with Tasmanian Aboriginal people and Aboriginal Community Controlled Organisations, coordinated with whole-of-government efforts already in development, with the view to broker partnerships with key stakeholders that can support increased cultural safety and responsiveness in the Tasmanian education system</w:t>
      </w:r>
      <w:r w:rsidR="0020408F" w:rsidRPr="005251A0">
        <w:rPr>
          <w:rFonts w:ascii="Corbel" w:eastAsia="Times New Roman" w:hAnsi="Corbel" w:cs="Calibri"/>
          <w:color w:val="000000"/>
          <w:sz w:val="23"/>
          <w:szCs w:val="23"/>
          <w:lang w:eastAsia="en-AU"/>
        </w:rPr>
        <w:t>;</w:t>
      </w:r>
    </w:p>
    <w:p w14:paraId="4A0D9201" w14:textId="1E95D4F2" w:rsidR="00CF14B6" w:rsidRPr="005251A0" w:rsidRDefault="008257EE" w:rsidP="0020408F">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DECYP and CET </w:t>
      </w:r>
      <w:r w:rsidR="00CA2D6C">
        <w:rPr>
          <w:rFonts w:ascii="Corbel" w:eastAsia="Times New Roman" w:hAnsi="Corbel" w:cs="Calibri"/>
          <w:color w:val="000000"/>
          <w:sz w:val="23"/>
          <w:szCs w:val="23"/>
          <w:lang w:eastAsia="en-AU"/>
        </w:rPr>
        <w:t>to i</w:t>
      </w:r>
      <w:r w:rsidR="0020408F" w:rsidRPr="005251A0">
        <w:rPr>
          <w:rFonts w:ascii="Corbel" w:eastAsia="Times New Roman" w:hAnsi="Corbel" w:cs="Calibri"/>
          <w:color w:val="000000"/>
          <w:sz w:val="23"/>
          <w:szCs w:val="23"/>
          <w:lang w:eastAsia="en-AU"/>
        </w:rPr>
        <w:t>dentify and progress suitable initiatives to attract First Nations education workforce</w:t>
      </w:r>
      <w:r w:rsidR="00C54ED8" w:rsidRPr="005251A0">
        <w:rPr>
          <w:rFonts w:ascii="Corbel" w:eastAsia="Times New Roman" w:hAnsi="Corbel" w:cs="Calibri"/>
          <w:color w:val="000000"/>
          <w:sz w:val="23"/>
          <w:szCs w:val="23"/>
          <w:lang w:eastAsia="en-AU"/>
        </w:rPr>
        <w:t>s, including creating culturally safe workplaces and building culturally responsive teaching resources and building capability for all Tasmanian educators</w:t>
      </w:r>
      <w:r w:rsidR="0020408F" w:rsidRPr="005251A0">
        <w:rPr>
          <w:rFonts w:ascii="Corbel" w:eastAsia="Times New Roman" w:hAnsi="Corbel" w:cs="Calibri"/>
          <w:color w:val="000000"/>
          <w:sz w:val="23"/>
          <w:szCs w:val="23"/>
          <w:lang w:eastAsia="en-AU"/>
        </w:rPr>
        <w:t>.</w:t>
      </w:r>
    </w:p>
    <w:p w14:paraId="50D33AD2" w14:textId="0FB3136D" w:rsidR="00EC1DEA" w:rsidRPr="006F25B6" w:rsidRDefault="00CF14B6" w:rsidP="006F25B6">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CF14B6">
        <w:rPr>
          <w:rFonts w:ascii="Corbel" w:eastAsia="Times New Roman" w:hAnsi="Corbel" w:cs="Calibri"/>
          <w:color w:val="000000"/>
          <w:sz w:val="23"/>
          <w:szCs w:val="23"/>
          <w:lang w:eastAsia="en-AU"/>
        </w:rPr>
        <w:t xml:space="preserve">Reporting on the activities undertaken in respect of the above National Reform Directions </w:t>
      </w:r>
      <w:r w:rsidR="00466F0D" w:rsidRPr="00600775">
        <w:rPr>
          <w:rFonts w:ascii="Corbel" w:eastAsia="Times New Roman" w:hAnsi="Corbel" w:cs="Calibri"/>
          <w:color w:val="000000"/>
          <w:sz w:val="23"/>
          <w:szCs w:val="23"/>
          <w:lang w:eastAsia="en-AU"/>
        </w:rPr>
        <w:t xml:space="preserve">in Table </w:t>
      </w:r>
      <w:r w:rsidR="002A2AAD" w:rsidRPr="00600775">
        <w:rPr>
          <w:rFonts w:ascii="Corbel" w:eastAsia="Times New Roman" w:hAnsi="Corbel" w:cs="Calibri"/>
          <w:color w:val="000000"/>
          <w:sz w:val="23"/>
          <w:szCs w:val="23"/>
          <w:lang w:eastAsia="en-AU"/>
        </w:rPr>
        <w:t>3</w:t>
      </w:r>
      <w:r w:rsidR="00466F0D">
        <w:rPr>
          <w:rFonts w:ascii="Corbel" w:eastAsia="Times New Roman" w:hAnsi="Corbel" w:cs="Calibri"/>
          <w:color w:val="000000"/>
          <w:sz w:val="23"/>
          <w:szCs w:val="23"/>
          <w:lang w:eastAsia="en-AU"/>
        </w:rPr>
        <w:t xml:space="preserve"> </w:t>
      </w:r>
      <w:r w:rsidRPr="00CF14B6">
        <w:rPr>
          <w:rFonts w:ascii="Corbel" w:eastAsia="Times New Roman" w:hAnsi="Corbel" w:cs="Calibri"/>
          <w:color w:val="000000"/>
          <w:sz w:val="23"/>
          <w:szCs w:val="23"/>
          <w:lang w:eastAsia="en-AU"/>
        </w:rPr>
        <w:t>will be undertaken through an Annual Implementation Report, as outlined in Part</w:t>
      </w:r>
      <w:r w:rsidR="00457572">
        <w:rPr>
          <w:rFonts w:ascii="Corbel" w:eastAsia="Times New Roman" w:hAnsi="Corbel" w:cs="Calibri"/>
          <w:color w:val="000000"/>
          <w:sz w:val="23"/>
          <w:szCs w:val="23"/>
          <w:lang w:eastAsia="en-AU"/>
        </w:rPr>
        <w:t> </w:t>
      </w:r>
      <w:r w:rsidRPr="00CF14B6">
        <w:rPr>
          <w:rFonts w:ascii="Corbel" w:eastAsia="Times New Roman" w:hAnsi="Corbel" w:cs="Calibri"/>
          <w:color w:val="000000"/>
          <w:sz w:val="23"/>
          <w:szCs w:val="23"/>
          <w:lang w:eastAsia="en-AU"/>
        </w:rPr>
        <w:t>4. For the avoidance of doubt, reporting on reforms will be limited to the actions described as “additional effort” and will exclude those described as “continuing</w:t>
      </w:r>
      <w:r w:rsidR="00B72B78">
        <w:rPr>
          <w:rFonts w:ascii="Corbel" w:eastAsia="Times New Roman" w:hAnsi="Corbel" w:cs="Calibri"/>
          <w:color w:val="000000"/>
          <w:sz w:val="23"/>
          <w:szCs w:val="23"/>
          <w:lang w:eastAsia="en-AU"/>
        </w:rPr>
        <w:t>.</w:t>
      </w:r>
      <w:r w:rsidRPr="00CF14B6">
        <w:rPr>
          <w:rFonts w:ascii="Corbel" w:eastAsia="Times New Roman" w:hAnsi="Corbel" w:cs="Calibri"/>
          <w:color w:val="000000"/>
          <w:sz w:val="23"/>
          <w:szCs w:val="23"/>
          <w:lang w:eastAsia="en-AU"/>
        </w:rPr>
        <w:t>”</w:t>
      </w:r>
    </w:p>
    <w:p w14:paraId="01CA2AD9" w14:textId="5638920C" w:rsidR="008201F9" w:rsidRPr="00E41BFF" w:rsidRDefault="00EC1DEA" w:rsidP="00E41BFF">
      <w:pPr>
        <w:keepNext/>
        <w:spacing w:before="180" w:after="120" w:line="240" w:lineRule="auto"/>
        <w:outlineLvl w:val="1"/>
        <w:rPr>
          <w:rFonts w:ascii="Corbel" w:eastAsia="Times New Roman" w:hAnsi="Corbel" w:cs="Corbel"/>
          <w:b/>
          <w:bCs/>
          <w:color w:val="316F72"/>
          <w:sz w:val="28"/>
          <w:szCs w:val="28"/>
          <w:lang w:eastAsia="en-AU"/>
        </w:rPr>
      </w:pPr>
      <w:r w:rsidRPr="00EC1DEA">
        <w:rPr>
          <w:rFonts w:ascii="Corbel" w:eastAsia="Times New Roman" w:hAnsi="Corbel" w:cs="Corbel"/>
          <w:b/>
          <w:bCs/>
          <w:color w:val="316F72"/>
          <w:sz w:val="28"/>
          <w:szCs w:val="28"/>
          <w:lang w:eastAsia="en-AU"/>
        </w:rPr>
        <w:t xml:space="preserve">National </w:t>
      </w:r>
      <w:r>
        <w:rPr>
          <w:rFonts w:ascii="Corbel" w:eastAsia="Times New Roman" w:hAnsi="Corbel" w:cs="Corbel"/>
          <w:b/>
          <w:bCs/>
          <w:color w:val="316F72"/>
          <w:sz w:val="28"/>
          <w:szCs w:val="28"/>
          <w:lang w:eastAsia="en-AU"/>
        </w:rPr>
        <w:t>Enabling Initiatives</w:t>
      </w:r>
    </w:p>
    <w:p w14:paraId="064ED7A8" w14:textId="2EEFF60D" w:rsidR="00E41BFF" w:rsidRPr="00897156" w:rsidRDefault="00E41BFF" w:rsidP="00E41BFF">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897156">
        <w:rPr>
          <w:rFonts w:ascii="Corbel" w:eastAsia="Times New Roman" w:hAnsi="Corbel" w:cs="Calibri"/>
          <w:color w:val="000000"/>
          <w:sz w:val="23"/>
          <w:szCs w:val="23"/>
          <w:lang w:eastAsia="en-AU"/>
        </w:rPr>
        <w:t xml:space="preserve">Tasmania commits to the following actions to give effect to the National Enabling Initiatives </w:t>
      </w:r>
      <w:r w:rsidR="00053C63" w:rsidRPr="00897156">
        <w:rPr>
          <w:rFonts w:ascii="Corbel" w:eastAsia="Times New Roman" w:hAnsi="Corbel" w:cs="Calibri"/>
          <w:color w:val="000000"/>
          <w:sz w:val="23"/>
          <w:szCs w:val="23"/>
          <w:lang w:eastAsia="en-AU"/>
        </w:rPr>
        <w:t xml:space="preserve">set out in clauses 88 to 95 </w:t>
      </w:r>
      <w:r w:rsidR="003F4EB7" w:rsidRPr="00897156">
        <w:rPr>
          <w:rFonts w:ascii="Corbel" w:eastAsia="Times New Roman" w:hAnsi="Corbel" w:cs="Calibri"/>
          <w:color w:val="000000"/>
          <w:sz w:val="23"/>
          <w:szCs w:val="23"/>
          <w:lang w:eastAsia="en-AU"/>
        </w:rPr>
        <w:t xml:space="preserve">of the </w:t>
      </w:r>
      <w:r w:rsidRPr="00897156">
        <w:rPr>
          <w:rFonts w:ascii="Corbel" w:eastAsia="Times New Roman" w:hAnsi="Corbel" w:cs="Calibri"/>
          <w:color w:val="000000"/>
          <w:sz w:val="23"/>
          <w:szCs w:val="23"/>
          <w:lang w:eastAsia="en-AU"/>
        </w:rPr>
        <w:t xml:space="preserve">Heads of Agreement, and </w:t>
      </w:r>
      <w:r w:rsidR="003F4EB7" w:rsidRPr="00897156">
        <w:rPr>
          <w:rFonts w:ascii="Corbel" w:eastAsia="Times New Roman" w:hAnsi="Corbel" w:cs="Calibri"/>
          <w:color w:val="000000"/>
          <w:sz w:val="23"/>
          <w:szCs w:val="23"/>
          <w:lang w:eastAsia="en-AU"/>
        </w:rPr>
        <w:t xml:space="preserve">commits to </w:t>
      </w:r>
      <w:r w:rsidRPr="00897156">
        <w:rPr>
          <w:rFonts w:ascii="Corbel" w:eastAsia="Times New Roman" w:hAnsi="Corbel" w:cs="Calibri"/>
          <w:color w:val="000000"/>
          <w:sz w:val="23"/>
          <w:szCs w:val="23"/>
          <w:lang w:eastAsia="en-AU"/>
        </w:rPr>
        <w:t>fulfil commitments as per Schedules B and C of the Heads of Agreement:</w:t>
      </w:r>
    </w:p>
    <w:p w14:paraId="2413489F" w14:textId="16F1000F" w:rsidR="00640B70" w:rsidRPr="00897156" w:rsidRDefault="00640B70" w:rsidP="007449B2">
      <w:pPr>
        <w:pStyle w:val="ListParagraph"/>
        <w:numPr>
          <w:ilvl w:val="1"/>
          <w:numId w:val="1"/>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897156">
        <w:rPr>
          <w:rFonts w:ascii="Corbel" w:eastAsia="Times New Roman" w:hAnsi="Corbel" w:cs="Calibri"/>
          <w:color w:val="000000"/>
          <w:sz w:val="23"/>
          <w:szCs w:val="23"/>
          <w:lang w:eastAsia="en-AU"/>
        </w:rPr>
        <w:t>Contribute any required data and information to a Review of the SRS base and loadings calculation methodology</w:t>
      </w:r>
      <w:r w:rsidR="002408DF">
        <w:rPr>
          <w:rFonts w:ascii="Corbel" w:eastAsia="Times New Roman" w:hAnsi="Corbel" w:cs="Calibri"/>
          <w:color w:val="000000"/>
          <w:sz w:val="23"/>
          <w:szCs w:val="23"/>
          <w:lang w:eastAsia="en-AU"/>
        </w:rPr>
        <w:t>;</w:t>
      </w:r>
    </w:p>
    <w:p w14:paraId="12D5BED3" w14:textId="7F9D200D" w:rsidR="00640B70" w:rsidRPr="00897156" w:rsidRDefault="00640B70" w:rsidP="007449B2">
      <w:pPr>
        <w:pStyle w:val="ListParagraph"/>
        <w:numPr>
          <w:ilvl w:val="1"/>
          <w:numId w:val="1"/>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897156">
        <w:rPr>
          <w:rFonts w:ascii="Corbel" w:eastAsia="Times New Roman" w:hAnsi="Corbel" w:cs="Calibri"/>
          <w:color w:val="000000"/>
          <w:sz w:val="23"/>
          <w:szCs w:val="23"/>
          <w:lang w:eastAsia="en-AU"/>
        </w:rPr>
        <w:t>Contribute to the implementation of the Unique Student Identifier (USI) to ensure all Tasmanian school students receive a USI.</w:t>
      </w:r>
    </w:p>
    <w:p w14:paraId="2D066DEF" w14:textId="77777777" w:rsidR="00640B70" w:rsidRPr="00897156" w:rsidRDefault="00640B70" w:rsidP="007449B2">
      <w:pPr>
        <w:pStyle w:val="ListParagraph"/>
        <w:numPr>
          <w:ilvl w:val="1"/>
          <w:numId w:val="1"/>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897156">
        <w:rPr>
          <w:rFonts w:ascii="Corbel" w:eastAsia="Times New Roman" w:hAnsi="Corbel" w:cs="Calibri"/>
          <w:color w:val="000000"/>
          <w:sz w:val="23"/>
          <w:szCs w:val="23"/>
          <w:lang w:eastAsia="en-AU"/>
        </w:rPr>
        <w:lastRenderedPageBreak/>
        <w:t>Contribute to collective work to understand and provide policy and program advice to Education Ministers on:</w:t>
      </w:r>
    </w:p>
    <w:p w14:paraId="6AB43606" w14:textId="369C05A8" w:rsidR="00640B70" w:rsidRPr="00897156" w:rsidRDefault="00640B70" w:rsidP="00377948">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897156">
        <w:rPr>
          <w:rFonts w:ascii="Corbel" w:eastAsia="Times New Roman" w:hAnsi="Corbel" w:cs="Calibri"/>
          <w:color w:val="000000"/>
          <w:sz w:val="23"/>
          <w:szCs w:val="23"/>
          <w:lang w:eastAsia="en-AU"/>
        </w:rPr>
        <w:t>socioeconomic diversity, its impact on schools and student learning and best practice approaches to addressing these impacts</w:t>
      </w:r>
      <w:r w:rsidR="002408DF">
        <w:rPr>
          <w:rFonts w:ascii="Corbel" w:eastAsia="Times New Roman" w:hAnsi="Corbel" w:cs="Calibri"/>
          <w:color w:val="000000"/>
          <w:sz w:val="23"/>
          <w:szCs w:val="23"/>
          <w:lang w:eastAsia="en-AU"/>
        </w:rPr>
        <w:t>;</w:t>
      </w:r>
    </w:p>
    <w:p w14:paraId="1E8979F8" w14:textId="6AB0137C" w:rsidR="00640B70" w:rsidRPr="00897156" w:rsidRDefault="00640B70" w:rsidP="004F7ACF">
      <w:pPr>
        <w:pStyle w:val="ListParagraph"/>
        <w:numPr>
          <w:ilvl w:val="2"/>
          <w:numId w:val="1"/>
        </w:numPr>
        <w:tabs>
          <w:tab w:val="left" w:pos="426"/>
        </w:tabs>
        <w:spacing w:after="240" w:line="260" w:lineRule="exact"/>
        <w:ind w:left="1236" w:hanging="181"/>
        <w:contextualSpacing w:val="0"/>
        <w:jc w:val="both"/>
        <w:rPr>
          <w:rFonts w:ascii="Corbel" w:eastAsia="Times New Roman" w:hAnsi="Corbel" w:cs="Calibri"/>
          <w:color w:val="000000"/>
          <w:sz w:val="23"/>
          <w:szCs w:val="23"/>
          <w:lang w:eastAsia="en-AU"/>
        </w:rPr>
      </w:pPr>
      <w:r w:rsidRPr="00897156">
        <w:rPr>
          <w:rFonts w:ascii="Corbel" w:eastAsia="Times New Roman" w:hAnsi="Corbel" w:cs="Calibri"/>
          <w:color w:val="000000"/>
          <w:sz w:val="23"/>
          <w:szCs w:val="23"/>
          <w:lang w:eastAsia="en-AU"/>
        </w:rPr>
        <w:t>school attendance, its impact on learning and mechanisms to advance evidence</w:t>
      </w:r>
      <w:r w:rsidR="00F5400B" w:rsidRPr="00897156">
        <w:rPr>
          <w:rFonts w:ascii="Corbel" w:eastAsia="Times New Roman" w:hAnsi="Corbel" w:cs="Calibri"/>
          <w:color w:val="000000"/>
          <w:sz w:val="23"/>
          <w:szCs w:val="23"/>
          <w:lang w:eastAsia="en-AU"/>
        </w:rPr>
        <w:noBreakHyphen/>
      </w:r>
      <w:r w:rsidRPr="00897156">
        <w:rPr>
          <w:rFonts w:ascii="Corbel" w:eastAsia="Times New Roman" w:hAnsi="Corbel" w:cs="Calibri"/>
          <w:color w:val="000000"/>
          <w:sz w:val="23"/>
          <w:szCs w:val="23"/>
          <w:lang w:eastAsia="en-AU"/>
        </w:rPr>
        <w:t>based approaches to addressing non-attendance, including school refusal.</w:t>
      </w:r>
    </w:p>
    <w:p w14:paraId="28F29DAA" w14:textId="49E39D91" w:rsidR="00640B70" w:rsidRPr="00897156" w:rsidRDefault="00640B70" w:rsidP="007449B2">
      <w:pPr>
        <w:pStyle w:val="ListParagraph"/>
        <w:numPr>
          <w:ilvl w:val="1"/>
          <w:numId w:val="1"/>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897156">
        <w:rPr>
          <w:rFonts w:ascii="Corbel" w:eastAsia="Times New Roman" w:hAnsi="Corbel" w:cs="Calibri"/>
          <w:color w:val="000000" w:themeColor="text1"/>
          <w:sz w:val="23"/>
          <w:szCs w:val="23"/>
          <w:lang w:eastAsia="en-AU"/>
        </w:rPr>
        <w:t xml:space="preserve">Contribute data where available, and information and expertise to inform a Review of the Measurement Framework for Schooling in Australia to ensure it remains a relevant tool. This may include student level outcome data, appropriate disaggregated data, and information to inform possible new and updated measures. The Review’s Terms of Reference are to be agreed by Education Ministers Meeting </w:t>
      </w:r>
      <w:r w:rsidR="00B9796C">
        <w:rPr>
          <w:rFonts w:ascii="Corbel" w:eastAsia="Times New Roman" w:hAnsi="Corbel" w:cs="Calibri"/>
          <w:color w:val="000000" w:themeColor="text1"/>
          <w:sz w:val="23"/>
          <w:szCs w:val="23"/>
          <w:lang w:eastAsia="en-AU"/>
        </w:rPr>
        <w:t xml:space="preserve">(EMM) </w:t>
      </w:r>
      <w:r w:rsidRPr="00897156">
        <w:rPr>
          <w:rFonts w:ascii="Corbel" w:eastAsia="Times New Roman" w:hAnsi="Corbel" w:cs="Calibri"/>
          <w:color w:val="000000" w:themeColor="text1"/>
          <w:sz w:val="23"/>
          <w:szCs w:val="23"/>
          <w:lang w:eastAsia="en-AU"/>
        </w:rPr>
        <w:t>and will include consideration of the costs and benefits of:</w:t>
      </w:r>
    </w:p>
    <w:p w14:paraId="256C5905" w14:textId="1A91DF71" w:rsidR="00640B70" w:rsidRPr="00897156" w:rsidRDefault="00640B70" w:rsidP="00377948">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897156">
        <w:rPr>
          <w:rFonts w:ascii="Corbel" w:eastAsia="Times New Roman" w:hAnsi="Corbel" w:cs="Calibri"/>
          <w:color w:val="000000"/>
          <w:sz w:val="23"/>
          <w:szCs w:val="23"/>
          <w:lang w:eastAsia="en-AU"/>
        </w:rPr>
        <w:t>a new measure of student engagement</w:t>
      </w:r>
      <w:r w:rsidR="002408DF">
        <w:rPr>
          <w:rFonts w:ascii="Corbel" w:eastAsia="Times New Roman" w:hAnsi="Corbel" w:cs="Calibri"/>
          <w:color w:val="000000"/>
          <w:sz w:val="23"/>
          <w:szCs w:val="23"/>
          <w:lang w:eastAsia="en-AU"/>
        </w:rPr>
        <w:t>;</w:t>
      </w:r>
    </w:p>
    <w:p w14:paraId="489FD554" w14:textId="6935AA9F" w:rsidR="00640B70" w:rsidRPr="00897156" w:rsidRDefault="00640B70" w:rsidP="00377948">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897156">
        <w:rPr>
          <w:rFonts w:ascii="Corbel" w:eastAsia="Times New Roman" w:hAnsi="Corbel" w:cs="Calibri"/>
          <w:color w:val="000000"/>
          <w:sz w:val="23"/>
          <w:szCs w:val="23"/>
          <w:lang w:eastAsia="en-AU"/>
        </w:rPr>
        <w:t>a new equity in learning gain measure, to enable measurement of student learning growth</w:t>
      </w:r>
      <w:r w:rsidR="002408DF">
        <w:rPr>
          <w:rFonts w:ascii="Corbel" w:eastAsia="Times New Roman" w:hAnsi="Corbel" w:cs="Calibri"/>
          <w:color w:val="000000"/>
          <w:sz w:val="23"/>
          <w:szCs w:val="23"/>
          <w:lang w:eastAsia="en-AU"/>
        </w:rPr>
        <w:t>;</w:t>
      </w:r>
    </w:p>
    <w:p w14:paraId="36C7E06B" w14:textId="4ADF74EC" w:rsidR="00640B70" w:rsidRPr="00897156" w:rsidRDefault="00640B70" w:rsidP="00377948">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897156">
        <w:rPr>
          <w:rFonts w:ascii="Corbel" w:eastAsia="Times New Roman" w:hAnsi="Corbel" w:cs="Calibri"/>
          <w:color w:val="000000"/>
          <w:sz w:val="23"/>
          <w:szCs w:val="23"/>
          <w:lang w:eastAsia="en-AU"/>
        </w:rPr>
        <w:t>national measures of access, participation and outcomes for students with disability to establish a better understanding of the education experiences and outcomes of students with disability</w:t>
      </w:r>
      <w:r w:rsidR="002408DF">
        <w:rPr>
          <w:rFonts w:ascii="Corbel" w:eastAsia="Times New Roman" w:hAnsi="Corbel" w:cs="Calibri"/>
          <w:color w:val="000000"/>
          <w:sz w:val="23"/>
          <w:szCs w:val="23"/>
          <w:lang w:eastAsia="en-AU"/>
        </w:rPr>
        <w:t>;</w:t>
      </w:r>
    </w:p>
    <w:p w14:paraId="2CF927BD" w14:textId="4208EF8F" w:rsidR="00640B70" w:rsidRPr="00897156" w:rsidRDefault="00640B70" w:rsidP="00377948">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897156">
        <w:rPr>
          <w:rFonts w:ascii="Corbel" w:eastAsia="Times New Roman" w:hAnsi="Corbel" w:cs="Calibri"/>
          <w:color w:val="000000"/>
          <w:sz w:val="23"/>
          <w:szCs w:val="23"/>
          <w:lang w:eastAsia="en-AU"/>
        </w:rPr>
        <w:t>extending the Australian Teacher Workforce Dataset to ensure that comprehensive data, based on teacher registration, is collected to better understand workforce trends including on early career retention and diversity, and extending the Australian Teacher Workforce Survey to capture data on out-of-field teaching.</w:t>
      </w:r>
    </w:p>
    <w:p w14:paraId="6D764058" w14:textId="3C208D7B" w:rsidR="00640B70" w:rsidRPr="007449B2" w:rsidRDefault="00640B70" w:rsidP="007449B2">
      <w:pPr>
        <w:pStyle w:val="ListParagraph"/>
        <w:numPr>
          <w:ilvl w:val="1"/>
          <w:numId w:val="1"/>
        </w:numPr>
        <w:tabs>
          <w:tab w:val="left" w:pos="426"/>
        </w:tabs>
        <w:spacing w:after="240" w:line="260" w:lineRule="exact"/>
        <w:ind w:left="397" w:hanging="244"/>
        <w:contextualSpacing w:val="0"/>
        <w:jc w:val="both"/>
        <w:rPr>
          <w:rFonts w:ascii="Corbel" w:eastAsia="Times New Roman" w:hAnsi="Corbel" w:cs="Calibri"/>
          <w:color w:val="000000" w:themeColor="text1"/>
          <w:sz w:val="23"/>
          <w:szCs w:val="23"/>
          <w:lang w:eastAsia="en-AU"/>
        </w:rPr>
      </w:pPr>
      <w:r w:rsidRPr="007449B2">
        <w:rPr>
          <w:rFonts w:ascii="Corbel" w:eastAsia="Times New Roman" w:hAnsi="Corbel" w:cs="Calibri"/>
          <w:color w:val="000000" w:themeColor="text1"/>
          <w:sz w:val="23"/>
          <w:szCs w:val="23"/>
          <w:lang w:eastAsia="en-AU"/>
        </w:rPr>
        <w:t xml:space="preserve">Supporting development of an early years </w:t>
      </w:r>
      <w:r w:rsidR="00FA470A" w:rsidRPr="007449B2">
        <w:rPr>
          <w:rFonts w:ascii="Corbel" w:eastAsia="Times New Roman" w:hAnsi="Corbel" w:cs="Calibri"/>
          <w:color w:val="000000" w:themeColor="text1"/>
          <w:sz w:val="23"/>
          <w:szCs w:val="23"/>
          <w:lang w:eastAsia="en-AU"/>
        </w:rPr>
        <w:t xml:space="preserve">of schooling </w:t>
      </w:r>
      <w:r w:rsidRPr="007449B2">
        <w:rPr>
          <w:rFonts w:ascii="Corbel" w:eastAsia="Times New Roman" w:hAnsi="Corbel" w:cs="Calibri"/>
          <w:color w:val="000000" w:themeColor="text1"/>
          <w:sz w:val="23"/>
          <w:szCs w:val="23"/>
          <w:lang w:eastAsia="en-AU"/>
        </w:rPr>
        <w:t>numeracy check to support teachers to assess their students’ numeracy skills and identify and respond to students who need tailored support.</w:t>
      </w:r>
    </w:p>
    <w:p w14:paraId="1E267CCA" w14:textId="4A5EA303" w:rsidR="00640B70" w:rsidRPr="00897156" w:rsidRDefault="00640B70" w:rsidP="00640B70">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897156">
        <w:rPr>
          <w:rFonts w:ascii="Corbel" w:eastAsia="Times New Roman" w:hAnsi="Corbel" w:cs="Calibri"/>
          <w:color w:val="000000"/>
          <w:sz w:val="23"/>
          <w:szCs w:val="23"/>
          <w:lang w:eastAsia="en-AU"/>
        </w:rPr>
        <w:t>As per clause 89 of the Heads of Agreement, Tasmania will contribute to the development of a Project Plan for each of the National Enabling Initiatives in clause 88 of the Heads of Agreement and provide the Commonwealth with the data or information necessary for the Commonwealth to fulfil its annual reporting obligations on National Enabling Initiatives, as per clause 95 of the Heads of Agreement.</w:t>
      </w:r>
    </w:p>
    <w:p w14:paraId="3507ECBE" w14:textId="3FE063C9" w:rsidR="00606E1A" w:rsidRPr="00600775" w:rsidRDefault="00606E1A" w:rsidP="00606E1A">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897156">
        <w:rPr>
          <w:rFonts w:ascii="Corbel" w:eastAsia="Times New Roman" w:hAnsi="Corbel" w:cs="Calibri"/>
          <w:color w:val="000000"/>
          <w:sz w:val="23"/>
          <w:szCs w:val="23"/>
          <w:lang w:eastAsia="en-AU"/>
        </w:rPr>
        <w:t>The provision of any information by Tasmania as part of its contribution</w:t>
      </w:r>
      <w:r w:rsidRPr="00600775">
        <w:rPr>
          <w:rFonts w:ascii="Corbel" w:eastAsia="Times New Roman" w:hAnsi="Corbel" w:cs="Calibri"/>
          <w:color w:val="000000"/>
          <w:sz w:val="23"/>
          <w:szCs w:val="23"/>
          <w:lang w:eastAsia="en-AU"/>
        </w:rPr>
        <w:t xml:space="preserve"> to the delivery of the National Enabling Initiatives will be consistent with the Project Plans to be agreed by EMM, the Reporting Requirements in Part 4 of the Heads of Agreement and clause 98 of the Heads of Agreement, which stipulates that as far as practical, reporting requirements will leverage existing reporting processes and data sources and, unless explicitly stated otherwise, will not impose any additional burden on schools.</w:t>
      </w:r>
    </w:p>
    <w:p w14:paraId="5EE711D7" w14:textId="1E60FA80" w:rsidR="00606E1A" w:rsidRDefault="00606E1A" w:rsidP="00606E1A">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600775">
        <w:rPr>
          <w:rFonts w:ascii="Corbel" w:eastAsia="Times New Roman" w:hAnsi="Corbel" w:cs="Calibri"/>
          <w:color w:val="000000"/>
          <w:sz w:val="23"/>
          <w:szCs w:val="23"/>
          <w:lang w:eastAsia="en-AU"/>
        </w:rPr>
        <w:t>Tasmania will not be penalised in any way for failing to achieve milestone deadlines in relation to the National Enabling Initiatives in the Heads of Agreement or this Bilateral Agreement if such non-achievement was due to delayed or non-achievement of other milestones or dependencies outside of Tasmania’s control.</w:t>
      </w:r>
    </w:p>
    <w:p w14:paraId="511841C5" w14:textId="77777777" w:rsidR="00E462BC" w:rsidRPr="00E462BC" w:rsidRDefault="00E462BC" w:rsidP="00E462BC">
      <w:pPr>
        <w:tabs>
          <w:tab w:val="left" w:pos="426"/>
        </w:tabs>
        <w:spacing w:after="240" w:line="260" w:lineRule="exact"/>
        <w:jc w:val="both"/>
        <w:rPr>
          <w:rFonts w:ascii="Corbel" w:eastAsia="Times New Roman" w:hAnsi="Corbel" w:cs="Calibri"/>
          <w:color w:val="000000"/>
          <w:sz w:val="23"/>
          <w:szCs w:val="23"/>
          <w:lang w:eastAsia="en-AU"/>
        </w:rPr>
      </w:pPr>
    </w:p>
    <w:p w14:paraId="0C1206C6" w14:textId="0976CA3C" w:rsidR="00606E1A" w:rsidRPr="00600775" w:rsidRDefault="00606E1A" w:rsidP="00606E1A">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600775">
        <w:rPr>
          <w:rFonts w:ascii="Corbel" w:eastAsia="Times New Roman" w:hAnsi="Corbel" w:cs="Calibri"/>
          <w:color w:val="000000"/>
          <w:sz w:val="23"/>
          <w:szCs w:val="23"/>
          <w:lang w:eastAsia="en-AU"/>
        </w:rPr>
        <w:lastRenderedPageBreak/>
        <w:t>As set out in clause 92 of the Heads of Agreement, the cost of National Enabling Initiatives will be met by Parties according to the cost-sharing principles, unless otherwise agreed by Education Ministers. For joint projects, EMM typically utilises a population-based funding formula to determine jurisdictional funding propositions. For the avoidance of doubt, Tasmania will not need to contribute more towards jurisdictions’ share of the national cost of a National Enabling Initiative than is proportional to Tasmania’s share of the total national school student population, unless otherwise agreed by Tasmania’s Minister for Education.</w:t>
      </w:r>
    </w:p>
    <w:p w14:paraId="33E4E4C1" w14:textId="4CA45658" w:rsidR="00606E1A" w:rsidRPr="00600775" w:rsidRDefault="00606E1A" w:rsidP="00606E1A">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600775">
        <w:rPr>
          <w:rFonts w:ascii="Corbel" w:eastAsia="Times New Roman" w:hAnsi="Corbel" w:cs="Calibri"/>
          <w:color w:val="000000"/>
          <w:sz w:val="23"/>
          <w:szCs w:val="23"/>
          <w:lang w:eastAsia="en-AU"/>
        </w:rPr>
        <w:t>Tasmania’s obligations with regards to the National Reform Directions and National Enabling Initiatives specified in this Bilateral Agreement and the Heads of Agreement are fully dependent of Tasmania receiving the additional Commonwealth funding agreed with the Commonwealth under this Bilateral Agreement.</w:t>
      </w:r>
    </w:p>
    <w:p w14:paraId="005896B7" w14:textId="0AC493EB" w:rsidR="005566AC" w:rsidRPr="00DC2258" w:rsidRDefault="00C25DF6" w:rsidP="00790971">
      <w:pPr>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Implementation</w:t>
      </w:r>
    </w:p>
    <w:p w14:paraId="21B5D4A9" w14:textId="22D4F2FE" w:rsidR="00DC2258" w:rsidRPr="00600775" w:rsidRDefault="00DC2258" w:rsidP="00DC2258">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600775">
        <w:rPr>
          <w:rFonts w:ascii="Corbel" w:eastAsia="Times New Roman" w:hAnsi="Corbel" w:cs="Calibri"/>
          <w:color w:val="000000"/>
          <w:sz w:val="23"/>
          <w:szCs w:val="23"/>
          <w:lang w:eastAsia="en-AU"/>
        </w:rPr>
        <w:t>Tasmania commits to the actions and milestones set out in Table 3.</w:t>
      </w:r>
    </w:p>
    <w:p w14:paraId="729A53CA" w14:textId="28C0B1CA" w:rsidR="006D23F5" w:rsidRPr="00600775" w:rsidRDefault="006D23F5" w:rsidP="006D23F5">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600775">
        <w:rPr>
          <w:rFonts w:ascii="Corbel" w:eastAsia="Times New Roman" w:hAnsi="Corbel" w:cs="Calibri"/>
          <w:color w:val="000000"/>
          <w:sz w:val="23"/>
          <w:szCs w:val="23"/>
          <w:lang w:eastAsia="en-AU"/>
        </w:rPr>
        <w:t>Reporting on the activities undertaken in respect of the National Reform Directions in Table</w:t>
      </w:r>
      <w:r w:rsidR="002E53E8">
        <w:rPr>
          <w:rFonts w:ascii="Corbel" w:eastAsia="Times New Roman" w:hAnsi="Corbel" w:cs="Calibri"/>
          <w:color w:val="000000"/>
          <w:sz w:val="23"/>
          <w:szCs w:val="23"/>
          <w:lang w:eastAsia="en-AU"/>
        </w:rPr>
        <w:t> </w:t>
      </w:r>
      <w:r w:rsidR="00D87704" w:rsidRPr="00600775">
        <w:rPr>
          <w:rFonts w:ascii="Corbel" w:eastAsia="Times New Roman" w:hAnsi="Corbel" w:cs="Calibri"/>
          <w:color w:val="000000"/>
          <w:sz w:val="23"/>
          <w:szCs w:val="23"/>
          <w:lang w:eastAsia="en-AU"/>
        </w:rPr>
        <w:t>3</w:t>
      </w:r>
      <w:r w:rsidRPr="00600775">
        <w:rPr>
          <w:rFonts w:ascii="Corbel" w:eastAsia="Times New Roman" w:hAnsi="Corbel" w:cs="Calibri"/>
          <w:color w:val="000000"/>
          <w:sz w:val="23"/>
          <w:szCs w:val="23"/>
          <w:lang w:eastAsia="en-AU"/>
        </w:rPr>
        <w:t xml:space="preserve"> will be undertaken through an Annual Implementation Report, as outlined in Part 4. For the avoidance of doubt, reporting on reforms will be limited to the actions described as “additional effort” and will exclude those described as “continuing.”</w:t>
      </w:r>
    </w:p>
    <w:p w14:paraId="56E70C45" w14:textId="0371517A" w:rsidR="00F641F5" w:rsidRPr="00600775" w:rsidRDefault="006D23F5" w:rsidP="006D23F5">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600775">
        <w:rPr>
          <w:rFonts w:ascii="Corbel" w:eastAsia="Times New Roman" w:hAnsi="Corbel" w:cs="Calibri"/>
          <w:color w:val="000000"/>
          <w:sz w:val="23"/>
          <w:szCs w:val="23"/>
          <w:lang w:eastAsia="en-AU"/>
        </w:rPr>
        <w:t>The Tasmanian Government will continue to engage with the non-government sector in Tasmania in relation to school education in Tasmania.</w:t>
      </w:r>
    </w:p>
    <w:p w14:paraId="0FA421CB" w14:textId="2D4F668D" w:rsidR="00DC2258" w:rsidRPr="00DC2258" w:rsidRDefault="00DC2258" w:rsidP="00DC2258">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DC2258">
        <w:rPr>
          <w:rFonts w:ascii="Corbel" w:eastAsia="Times New Roman" w:hAnsi="Corbel" w:cs="Calibri"/>
          <w:color w:val="000000"/>
          <w:sz w:val="23"/>
          <w:szCs w:val="23"/>
          <w:lang w:eastAsia="en-AU"/>
        </w:rPr>
        <w:t>In accordance with section 77(2A) of the Act, non-government approved authorities are required to cooperate with their local State or Territory government in the implementation of this Agreement.</w:t>
      </w:r>
    </w:p>
    <w:p w14:paraId="26B11E19" w14:textId="44426148" w:rsidR="00DC2258" w:rsidRPr="00DC2258" w:rsidRDefault="00DC2258" w:rsidP="00DC2258">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DC2258">
        <w:rPr>
          <w:rFonts w:ascii="Corbel" w:eastAsia="Times New Roman" w:hAnsi="Corbel" w:cs="Calibri"/>
          <w:color w:val="000000"/>
          <w:sz w:val="23"/>
          <w:szCs w:val="23"/>
          <w:lang w:eastAsia="en-AU"/>
        </w:rPr>
        <w:t>The non-government sector in Tasmania, as per clause 57 in the Heads of Agreement, should cooperate with the Tasmanian Government to implement the National Reform Directions and National Enabling Initiatives. Activities against National Reform Directions undertaken by the Tasmania</w:t>
      </w:r>
      <w:r w:rsidR="00E92F8A">
        <w:rPr>
          <w:rFonts w:ascii="Corbel" w:eastAsia="Times New Roman" w:hAnsi="Corbel" w:cs="Calibri"/>
          <w:color w:val="000000"/>
          <w:sz w:val="23"/>
          <w:szCs w:val="23"/>
          <w:lang w:eastAsia="en-AU"/>
        </w:rPr>
        <w:t>n</w:t>
      </w:r>
      <w:r w:rsidRPr="00DC2258">
        <w:rPr>
          <w:rFonts w:ascii="Corbel" w:eastAsia="Times New Roman" w:hAnsi="Corbel" w:cs="Calibri"/>
          <w:color w:val="000000"/>
          <w:sz w:val="23"/>
          <w:szCs w:val="23"/>
          <w:lang w:eastAsia="en-AU"/>
        </w:rPr>
        <w:t xml:space="preserve"> non-government sector will be included in reports by the non</w:t>
      </w:r>
      <w:r w:rsidR="00C70A00">
        <w:rPr>
          <w:rFonts w:ascii="Corbel" w:eastAsia="Times New Roman" w:hAnsi="Corbel" w:cs="Calibri"/>
          <w:color w:val="000000"/>
          <w:sz w:val="23"/>
          <w:szCs w:val="23"/>
          <w:lang w:eastAsia="en-AU"/>
        </w:rPr>
        <w:noBreakHyphen/>
      </w:r>
      <w:r w:rsidRPr="00DC2258">
        <w:rPr>
          <w:rFonts w:ascii="Corbel" w:eastAsia="Times New Roman" w:hAnsi="Corbel" w:cs="Calibri"/>
          <w:color w:val="000000"/>
          <w:sz w:val="23"/>
          <w:szCs w:val="23"/>
          <w:lang w:eastAsia="en-AU"/>
        </w:rPr>
        <w:t>government representative bodies provided to the Australian Government as set out in Part</w:t>
      </w:r>
      <w:r w:rsidR="00DF0045">
        <w:rPr>
          <w:rFonts w:ascii="Corbel" w:eastAsia="Times New Roman" w:hAnsi="Corbel" w:cs="Calibri"/>
          <w:color w:val="000000"/>
          <w:sz w:val="23"/>
          <w:szCs w:val="23"/>
          <w:lang w:eastAsia="en-AU"/>
        </w:rPr>
        <w:t> </w:t>
      </w:r>
      <w:r w:rsidRPr="00DC2258">
        <w:rPr>
          <w:rFonts w:ascii="Corbel" w:eastAsia="Times New Roman" w:hAnsi="Corbel" w:cs="Calibri"/>
          <w:color w:val="000000"/>
          <w:sz w:val="23"/>
          <w:szCs w:val="23"/>
          <w:lang w:eastAsia="en-AU"/>
        </w:rPr>
        <w:t>5 in the Heads of Agreement.</w:t>
      </w:r>
    </w:p>
    <w:p w14:paraId="2604D03F" w14:textId="7AB7E74A" w:rsidR="00DC2258" w:rsidRPr="00673B39" w:rsidRDefault="00DC2258" w:rsidP="00673B3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DC2258">
        <w:rPr>
          <w:rFonts w:ascii="Corbel" w:eastAsia="Times New Roman" w:hAnsi="Corbel" w:cs="Calibri"/>
          <w:color w:val="000000"/>
          <w:sz w:val="23"/>
          <w:szCs w:val="23"/>
          <w:lang w:eastAsia="en-AU"/>
        </w:rPr>
        <w:t>The Commonwealth will not impose financial or other sanctions on Tasmania for a failure by Tasmania’s non-government school sector to cooperate with this Bilateral Agreement. Nor</w:t>
      </w:r>
      <w:r w:rsidR="00C70A00">
        <w:rPr>
          <w:rFonts w:ascii="Corbel" w:eastAsia="Times New Roman" w:hAnsi="Corbel" w:cs="Calibri"/>
          <w:color w:val="000000"/>
          <w:sz w:val="23"/>
          <w:szCs w:val="23"/>
          <w:lang w:eastAsia="en-AU"/>
        </w:rPr>
        <w:t> </w:t>
      </w:r>
      <w:r w:rsidRPr="00DC2258">
        <w:rPr>
          <w:rFonts w:ascii="Corbel" w:eastAsia="Times New Roman" w:hAnsi="Corbel" w:cs="Calibri"/>
          <w:color w:val="000000"/>
          <w:sz w:val="23"/>
          <w:szCs w:val="23"/>
          <w:lang w:eastAsia="en-AU"/>
        </w:rPr>
        <w:t>will the Commonwealth impose sanctions on the non-government school sector for a failure of Tasmania to cooperate with them in the implementation of this Bilateral Agreement.</w:t>
      </w:r>
    </w:p>
    <w:p w14:paraId="39C60D94" w14:textId="77777777" w:rsidR="00C43C7B" w:rsidRDefault="00C43C7B" w:rsidP="00C43C7B">
      <w:pPr>
        <w:rPr>
          <w:rFonts w:ascii="Corbel" w:eastAsia="Times New Roman" w:hAnsi="Corbel" w:cs="Calibri"/>
          <w:color w:val="000000"/>
          <w:sz w:val="23"/>
          <w:szCs w:val="23"/>
          <w:lang w:eastAsia="en-AU"/>
        </w:rPr>
      </w:pPr>
    </w:p>
    <w:p w14:paraId="00C60BC6" w14:textId="77777777" w:rsidR="00C43C7B" w:rsidRPr="00C43C7B" w:rsidRDefault="00C43C7B" w:rsidP="00C43C7B">
      <w:pPr>
        <w:rPr>
          <w:rFonts w:ascii="Corbel" w:eastAsia="Times New Roman" w:hAnsi="Corbel" w:cs="Calibri"/>
          <w:sz w:val="23"/>
          <w:szCs w:val="23"/>
          <w:lang w:eastAsia="en-AU"/>
        </w:rPr>
        <w:sectPr w:rsidR="00C43C7B" w:rsidRPr="00C43C7B" w:rsidSect="00D473E3">
          <w:footerReference w:type="default" r:id="rId12"/>
          <w:pgSz w:w="11906" w:h="16838"/>
          <w:pgMar w:top="1440" w:right="1440" w:bottom="1440" w:left="1440" w:header="708" w:footer="708" w:gutter="0"/>
          <w:cols w:space="708"/>
          <w:docGrid w:linePitch="360"/>
        </w:sectPr>
      </w:pPr>
    </w:p>
    <w:p w14:paraId="4C86630B" w14:textId="77777777" w:rsidR="00BD54A7" w:rsidRPr="00E9770F" w:rsidRDefault="00BD54A7" w:rsidP="00BD54A7">
      <w:pPr>
        <w:keepNext/>
        <w:keepLines/>
        <w:tabs>
          <w:tab w:val="left" w:pos="13041"/>
        </w:tabs>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lastRenderedPageBreak/>
        <w:t>National Reform Directions Implementation</w:t>
      </w:r>
      <w:r w:rsidRPr="00E9770F">
        <w:rPr>
          <w:rFonts w:ascii="Corbel" w:eastAsia="Times New Roman" w:hAnsi="Corbel" w:cs="Corbel"/>
          <w:b/>
          <w:bCs/>
          <w:color w:val="316F72"/>
          <w:sz w:val="28"/>
          <w:szCs w:val="28"/>
          <w:lang w:eastAsia="en-AU"/>
        </w:rPr>
        <w:t xml:space="preserve"> </w:t>
      </w:r>
      <w:r>
        <w:rPr>
          <w:rFonts w:ascii="Corbel" w:eastAsia="Times New Roman" w:hAnsi="Corbel" w:cs="Corbel"/>
          <w:b/>
          <w:bCs/>
          <w:color w:val="316F72"/>
          <w:sz w:val="28"/>
          <w:szCs w:val="28"/>
          <w:lang w:eastAsia="en-AU"/>
        </w:rPr>
        <w:t>M</w:t>
      </w:r>
      <w:r w:rsidRPr="00E9770F">
        <w:rPr>
          <w:rFonts w:ascii="Corbel" w:eastAsia="Times New Roman" w:hAnsi="Corbel" w:cs="Corbel"/>
          <w:b/>
          <w:bCs/>
          <w:color w:val="316F72"/>
          <w:sz w:val="28"/>
          <w:szCs w:val="28"/>
          <w:lang w:eastAsia="en-AU"/>
        </w:rPr>
        <w:t>ilestones</w:t>
      </w:r>
    </w:p>
    <w:p w14:paraId="78E2E1F4" w14:textId="17493678" w:rsidR="00563376" w:rsidRDefault="00A87778" w:rsidP="00563376">
      <w:pPr>
        <w:keepNext/>
        <w:keepLines/>
        <w:tabs>
          <w:tab w:val="left" w:pos="13041"/>
        </w:tabs>
        <w:spacing w:before="180" w:after="120" w:line="240" w:lineRule="auto"/>
        <w:outlineLvl w:val="1"/>
        <w:rPr>
          <w:rStyle w:val="eop"/>
          <w:rFonts w:ascii="Corbel" w:hAnsi="Corbel"/>
          <w:color w:val="806000"/>
          <w:sz w:val="28"/>
          <w:szCs w:val="28"/>
          <w:shd w:val="clear" w:color="auto" w:fill="FFFFFF"/>
        </w:rPr>
      </w:pPr>
      <w:r>
        <w:rPr>
          <w:rStyle w:val="eop"/>
          <w:rFonts w:ascii="Corbel" w:hAnsi="Corbel"/>
          <w:color w:val="806000"/>
          <w:sz w:val="28"/>
          <w:szCs w:val="28"/>
          <w:shd w:val="clear" w:color="auto" w:fill="FFFFFF"/>
        </w:rPr>
        <w:t>Note: T</w:t>
      </w:r>
      <w:r w:rsidR="00563376">
        <w:rPr>
          <w:rStyle w:val="eop"/>
          <w:rFonts w:ascii="Corbel" w:hAnsi="Corbel"/>
          <w:color w:val="806000"/>
          <w:sz w:val="28"/>
          <w:szCs w:val="28"/>
          <w:shd w:val="clear" w:color="auto" w:fill="FFFFFF"/>
        </w:rPr>
        <w:t xml:space="preserve">his Table only </w:t>
      </w:r>
      <w:r w:rsidR="0018303B">
        <w:rPr>
          <w:rStyle w:val="eop"/>
          <w:rFonts w:ascii="Corbel" w:hAnsi="Corbel"/>
          <w:color w:val="806000"/>
          <w:sz w:val="28"/>
          <w:szCs w:val="28"/>
          <w:shd w:val="clear" w:color="auto" w:fill="FFFFFF"/>
        </w:rPr>
        <w:t xml:space="preserve">includes </w:t>
      </w:r>
      <w:r w:rsidR="00563376">
        <w:rPr>
          <w:rStyle w:val="eop"/>
          <w:rFonts w:ascii="Corbel" w:hAnsi="Corbel"/>
          <w:color w:val="806000"/>
          <w:sz w:val="28"/>
          <w:szCs w:val="28"/>
          <w:shd w:val="clear" w:color="auto" w:fill="FFFFFF"/>
        </w:rPr>
        <w:t xml:space="preserve">the reforms listed as </w:t>
      </w:r>
      <w:r w:rsidR="005E45AB">
        <w:rPr>
          <w:rStyle w:val="eop"/>
          <w:rFonts w:ascii="Corbel" w:hAnsi="Corbel"/>
          <w:color w:val="806000"/>
          <w:sz w:val="28"/>
          <w:szCs w:val="28"/>
          <w:shd w:val="clear" w:color="auto" w:fill="FFFFFF"/>
        </w:rPr>
        <w:t>‘</w:t>
      </w:r>
      <w:r w:rsidR="00563376">
        <w:rPr>
          <w:rStyle w:val="eop"/>
          <w:rFonts w:ascii="Corbel" w:hAnsi="Corbel"/>
          <w:color w:val="806000"/>
          <w:sz w:val="28"/>
          <w:szCs w:val="28"/>
          <w:shd w:val="clear" w:color="auto" w:fill="FFFFFF"/>
        </w:rPr>
        <w:t>additional effort</w:t>
      </w:r>
      <w:r w:rsidR="005E45AB">
        <w:rPr>
          <w:rStyle w:val="eop"/>
          <w:rFonts w:ascii="Corbel" w:hAnsi="Corbel"/>
          <w:color w:val="806000"/>
          <w:sz w:val="28"/>
          <w:szCs w:val="28"/>
          <w:shd w:val="clear" w:color="auto" w:fill="FFFFFF"/>
        </w:rPr>
        <w:t>’</w:t>
      </w:r>
    </w:p>
    <w:p w14:paraId="6F63EEC8" w14:textId="6B6AFAF6" w:rsidR="001E2542" w:rsidRPr="001E3D26" w:rsidRDefault="001E2542" w:rsidP="00563376">
      <w:pPr>
        <w:keepNext/>
        <w:keepLines/>
        <w:tabs>
          <w:tab w:val="left" w:pos="13041"/>
        </w:tabs>
        <w:spacing w:before="180" w:after="120" w:line="240" w:lineRule="auto"/>
        <w:outlineLvl w:val="1"/>
        <w:rPr>
          <w:rFonts w:ascii="Corbel" w:eastAsia="Times New Roman" w:hAnsi="Corbel" w:cs="Calibri"/>
          <w:i/>
          <w:iCs/>
          <w:sz w:val="23"/>
          <w:szCs w:val="23"/>
          <w:lang w:eastAsia="en-AU"/>
        </w:rPr>
      </w:pPr>
      <w:r w:rsidRPr="001E3D26">
        <w:rPr>
          <w:rFonts w:ascii="Corbel" w:eastAsia="Times New Roman" w:hAnsi="Corbel" w:cs="Calibri"/>
          <w:i/>
          <w:iCs/>
          <w:sz w:val="23"/>
          <w:szCs w:val="23"/>
          <w:lang w:eastAsia="en-AU"/>
        </w:rPr>
        <w:t xml:space="preserve">Table </w:t>
      </w:r>
      <w:r w:rsidR="002A2AAD">
        <w:rPr>
          <w:rFonts w:ascii="Corbel" w:eastAsia="Times New Roman" w:hAnsi="Corbel" w:cs="Calibri"/>
          <w:i/>
          <w:iCs/>
          <w:sz w:val="23"/>
          <w:szCs w:val="23"/>
          <w:lang w:eastAsia="en-AU"/>
        </w:rPr>
        <w:t>3</w:t>
      </w:r>
      <w:r w:rsidR="003E458B">
        <w:rPr>
          <w:rFonts w:ascii="Corbel" w:eastAsia="Times New Roman" w:hAnsi="Corbel" w:cs="Calibri"/>
          <w:i/>
          <w:iCs/>
          <w:sz w:val="23"/>
          <w:szCs w:val="23"/>
          <w:lang w:eastAsia="en-AU"/>
        </w:rPr>
        <w:t xml:space="preserve"> – Tasmania </w:t>
      </w:r>
      <w:r w:rsidR="003E458B" w:rsidRPr="0594E11E">
        <w:rPr>
          <w:rFonts w:ascii="Corbel" w:eastAsia="Times New Roman" w:hAnsi="Corbel" w:cs="Calibri"/>
          <w:i/>
          <w:iCs/>
          <w:sz w:val="23"/>
          <w:szCs w:val="23"/>
          <w:lang w:eastAsia="en-AU"/>
        </w:rPr>
        <w:t>bilateral school reform implementation plan</w:t>
      </w:r>
    </w:p>
    <w:tbl>
      <w:tblPr>
        <w:tblW w:w="0" w:type="auto"/>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8764"/>
        <w:gridCol w:w="2283"/>
        <w:gridCol w:w="2891"/>
      </w:tblGrid>
      <w:tr w:rsidR="000C32E6" w14:paraId="007147B2" w14:textId="77777777" w:rsidTr="75E2BFC3">
        <w:trPr>
          <w:trHeight w:val="284"/>
        </w:trPr>
        <w:tc>
          <w:tcPr>
            <w:tcW w:w="8764" w:type="dxa"/>
            <w:tcBorders>
              <w:top w:val="single" w:sz="24" w:space="0" w:color="316F72"/>
              <w:bottom w:val="single" w:sz="24" w:space="0" w:color="316F72"/>
            </w:tcBorders>
            <w:shd w:val="clear" w:color="auto" w:fill="auto"/>
          </w:tcPr>
          <w:p w14:paraId="4B11F650" w14:textId="77777777" w:rsidR="000C32E6" w:rsidRDefault="000C32E6">
            <w:pPr>
              <w:spacing w:before="120" w:after="120" w:line="260" w:lineRule="exact"/>
              <w:rPr>
                <w:rFonts w:ascii="Corbel" w:eastAsia="Times New Roman" w:hAnsi="Corbel" w:cs="Arial"/>
                <w:b/>
                <w:bCs/>
                <w:color w:val="000000" w:themeColor="text1"/>
                <w:sz w:val="23"/>
                <w:szCs w:val="23"/>
                <w:lang w:eastAsia="en-AU"/>
              </w:rPr>
            </w:pPr>
            <w:r w:rsidRPr="7D2E62D3">
              <w:rPr>
                <w:rFonts w:ascii="Corbel" w:eastAsia="Times New Roman" w:hAnsi="Corbel" w:cs="Arial"/>
                <w:b/>
                <w:bCs/>
                <w:color w:val="000000" w:themeColor="text1"/>
                <w:sz w:val="23"/>
                <w:szCs w:val="23"/>
                <w:lang w:eastAsia="en-AU"/>
              </w:rPr>
              <w:t>Reform and Milestones</w:t>
            </w:r>
          </w:p>
        </w:tc>
        <w:tc>
          <w:tcPr>
            <w:tcW w:w="2283" w:type="dxa"/>
            <w:tcBorders>
              <w:top w:val="single" w:sz="24" w:space="0" w:color="316F72"/>
              <w:bottom w:val="single" w:sz="24" w:space="0" w:color="316F72"/>
            </w:tcBorders>
          </w:tcPr>
          <w:p w14:paraId="0B2326E5" w14:textId="77777777" w:rsidR="000C32E6" w:rsidRDefault="000C32E6">
            <w:pPr>
              <w:spacing w:before="120" w:after="120" w:line="260" w:lineRule="exact"/>
              <w:rPr>
                <w:rFonts w:ascii="Corbel" w:eastAsia="Times New Roman" w:hAnsi="Corbel" w:cs="Arial"/>
                <w:b/>
                <w:bCs/>
                <w:color w:val="000000" w:themeColor="text1"/>
                <w:sz w:val="23"/>
                <w:szCs w:val="23"/>
                <w:lang w:eastAsia="en-AU"/>
              </w:rPr>
            </w:pPr>
            <w:r>
              <w:rPr>
                <w:rFonts w:ascii="Corbel" w:eastAsia="Times New Roman" w:hAnsi="Corbel" w:cs="Arial"/>
                <w:b/>
                <w:bCs/>
                <w:color w:val="000000" w:themeColor="text1"/>
                <w:sz w:val="23"/>
                <w:szCs w:val="23"/>
                <w:lang w:eastAsia="en-AU"/>
              </w:rPr>
              <w:t>Sector</w:t>
            </w:r>
          </w:p>
        </w:tc>
        <w:tc>
          <w:tcPr>
            <w:tcW w:w="2891" w:type="dxa"/>
            <w:tcBorders>
              <w:top w:val="single" w:sz="24" w:space="0" w:color="316F72"/>
              <w:bottom w:val="single" w:sz="24" w:space="0" w:color="316F72"/>
            </w:tcBorders>
          </w:tcPr>
          <w:p w14:paraId="5E97CBC6" w14:textId="77777777" w:rsidR="000C32E6" w:rsidRDefault="000C32E6">
            <w:pPr>
              <w:spacing w:before="120" w:after="120" w:line="260" w:lineRule="exact"/>
              <w:rPr>
                <w:rFonts w:ascii="Corbel" w:eastAsia="Times New Roman" w:hAnsi="Corbel" w:cs="Arial"/>
                <w:b/>
                <w:bCs/>
                <w:color w:val="000000" w:themeColor="text1"/>
                <w:sz w:val="23"/>
                <w:szCs w:val="23"/>
                <w:lang w:eastAsia="en-AU"/>
              </w:rPr>
            </w:pPr>
            <w:r w:rsidRPr="7D2E62D3">
              <w:rPr>
                <w:rFonts w:ascii="Corbel" w:eastAsia="Times New Roman" w:hAnsi="Corbel" w:cs="Arial"/>
                <w:b/>
                <w:bCs/>
                <w:color w:val="000000" w:themeColor="text1"/>
                <w:sz w:val="23"/>
                <w:szCs w:val="23"/>
                <w:lang w:eastAsia="en-AU"/>
              </w:rPr>
              <w:t>Timing</w:t>
            </w:r>
          </w:p>
        </w:tc>
      </w:tr>
      <w:tr w:rsidR="000C32E6" w14:paraId="433E1E49" w14:textId="77777777" w:rsidTr="75E2BFC3">
        <w:trPr>
          <w:trHeight w:val="497"/>
        </w:trPr>
        <w:tc>
          <w:tcPr>
            <w:tcW w:w="13938" w:type="dxa"/>
            <w:gridSpan w:val="3"/>
            <w:tcBorders>
              <w:top w:val="single" w:sz="2" w:space="0" w:color="316F72"/>
              <w:bottom w:val="single" w:sz="4" w:space="0" w:color="auto"/>
            </w:tcBorders>
          </w:tcPr>
          <w:p w14:paraId="14D82633" w14:textId="77777777" w:rsidR="000C32E6" w:rsidRDefault="000C32E6">
            <w:pPr>
              <w:spacing w:before="120" w:after="120" w:line="260" w:lineRule="exact"/>
              <w:rPr>
                <w:rFonts w:ascii="Corbel" w:eastAsia="Times New Roman" w:hAnsi="Corbel" w:cs="Arial"/>
                <w:b/>
                <w:bCs/>
                <w:color w:val="000000" w:themeColor="text1"/>
                <w:sz w:val="23"/>
                <w:szCs w:val="23"/>
                <w:lang w:eastAsia="en-AU"/>
              </w:rPr>
            </w:pPr>
            <w:r w:rsidRPr="7D2E62D3">
              <w:rPr>
                <w:rFonts w:ascii="Corbel" w:eastAsia="Times New Roman" w:hAnsi="Corbel" w:cs="Arial"/>
                <w:b/>
                <w:bCs/>
                <w:color w:val="000000" w:themeColor="text1"/>
                <w:sz w:val="23"/>
                <w:szCs w:val="23"/>
                <w:lang w:eastAsia="en-AU"/>
              </w:rPr>
              <w:t xml:space="preserve">Reform A </w:t>
            </w:r>
            <w:r>
              <w:rPr>
                <w:rFonts w:ascii="Corbel" w:eastAsia="Times New Roman" w:hAnsi="Corbel" w:cs="Arial"/>
                <w:b/>
                <w:bCs/>
                <w:color w:val="000000" w:themeColor="text1"/>
                <w:sz w:val="23"/>
                <w:szCs w:val="23"/>
                <w:lang w:eastAsia="en-AU"/>
              </w:rPr>
              <w:t>– Equity and Excellence</w:t>
            </w:r>
          </w:p>
        </w:tc>
      </w:tr>
      <w:tr w:rsidR="000C32E6" w:rsidRPr="00643D08" w14:paraId="06D2C21C" w14:textId="77777777" w:rsidTr="75E2BFC3">
        <w:trPr>
          <w:trHeight w:val="461"/>
        </w:trPr>
        <w:tc>
          <w:tcPr>
            <w:tcW w:w="13938" w:type="dxa"/>
            <w:gridSpan w:val="3"/>
            <w:tcBorders>
              <w:top w:val="single" w:sz="4" w:space="0" w:color="auto"/>
              <w:left w:val="single" w:sz="4" w:space="0" w:color="auto"/>
              <w:bottom w:val="single" w:sz="4" w:space="0" w:color="auto"/>
              <w:right w:val="single" w:sz="4" w:space="0" w:color="auto"/>
            </w:tcBorders>
          </w:tcPr>
          <w:p w14:paraId="411CBEDC" w14:textId="77777777" w:rsidR="000C32E6" w:rsidRPr="00643D08" w:rsidRDefault="000C32E6">
            <w:pPr>
              <w:spacing w:before="120" w:after="120" w:line="260" w:lineRule="exact"/>
              <w:rPr>
                <w:rFonts w:ascii="Corbel" w:eastAsia="Times New Roman" w:hAnsi="Corbel" w:cs="Arial"/>
                <w:b/>
                <w:bCs/>
                <w:sz w:val="23"/>
                <w:szCs w:val="23"/>
                <w:u w:val="single"/>
                <w:lang w:eastAsia="en-AU"/>
              </w:rPr>
            </w:pPr>
            <w:r w:rsidRPr="00643D08">
              <w:rPr>
                <w:rFonts w:ascii="Corbel" w:eastAsia="Times New Roman" w:hAnsi="Corbel" w:cs="Arial"/>
                <w:b/>
                <w:bCs/>
                <w:sz w:val="23"/>
                <w:szCs w:val="23"/>
                <w:u w:val="single"/>
                <w:lang w:eastAsia="en-AU"/>
              </w:rPr>
              <w:t xml:space="preserve">Whole-of-system and/or whole-of-school approaches that identify student learning needs early and provide tiered and targeted, intensive supports, in line with a ‘multi-tiered systems of support’ (MTSS) approach. </w:t>
            </w:r>
          </w:p>
        </w:tc>
      </w:tr>
      <w:tr w:rsidR="000C32E6" w14:paraId="2D92C842" w14:textId="77777777" w:rsidTr="75E2BFC3">
        <w:trPr>
          <w:trHeight w:val="722"/>
        </w:trPr>
        <w:tc>
          <w:tcPr>
            <w:tcW w:w="8764" w:type="dxa"/>
            <w:tcBorders>
              <w:top w:val="single" w:sz="4" w:space="0" w:color="auto"/>
              <w:left w:val="single" w:sz="4" w:space="0" w:color="auto"/>
              <w:bottom w:val="dotted" w:sz="4" w:space="0" w:color="auto"/>
              <w:right w:val="single" w:sz="4" w:space="0" w:color="auto"/>
            </w:tcBorders>
            <w:shd w:val="clear" w:color="auto" w:fill="auto"/>
          </w:tcPr>
          <w:p w14:paraId="3F8B54E8" w14:textId="77777777" w:rsidR="00A01082" w:rsidRPr="007449B2" w:rsidRDefault="00A01082" w:rsidP="007449B2">
            <w:pPr>
              <w:pStyle w:val="ListParagraph"/>
              <w:numPr>
                <w:ilvl w:val="0"/>
                <w:numId w:val="51"/>
              </w:numPr>
              <w:tabs>
                <w:tab w:val="left" w:pos="426"/>
              </w:tabs>
              <w:spacing w:after="240" w:line="260" w:lineRule="exact"/>
              <w:jc w:val="both"/>
              <w:rPr>
                <w:rFonts w:ascii="Corbel" w:eastAsia="Times New Roman" w:hAnsi="Corbel" w:cs="Calibri"/>
                <w:color w:val="000000"/>
                <w:sz w:val="23"/>
                <w:szCs w:val="23"/>
                <w:lang w:eastAsia="en-AU"/>
              </w:rPr>
            </w:pPr>
            <w:r w:rsidRPr="007449B2">
              <w:rPr>
                <w:rFonts w:ascii="Corbel" w:eastAsia="Times New Roman" w:hAnsi="Corbel" w:cs="Calibri"/>
                <w:color w:val="000000"/>
                <w:sz w:val="23"/>
                <w:szCs w:val="23"/>
                <w:lang w:eastAsia="en-AU"/>
              </w:rPr>
              <w:t xml:space="preserve">Accelerating where possible the implementation of the school-based recommendations of the </w:t>
            </w:r>
            <w:r w:rsidRPr="007449B2">
              <w:rPr>
                <w:rFonts w:ascii="Corbel" w:eastAsia="Times New Roman" w:hAnsi="Corbel" w:cs="Calibri"/>
                <w:i/>
                <w:color w:val="000000"/>
                <w:sz w:val="23"/>
                <w:szCs w:val="23"/>
                <w:lang w:eastAsia="en-AU"/>
              </w:rPr>
              <w:t xml:space="preserve">Lifting Literacy </w:t>
            </w:r>
            <w:r w:rsidRPr="007449B2">
              <w:rPr>
                <w:rFonts w:ascii="Corbel" w:eastAsia="Times New Roman" w:hAnsi="Corbel" w:cs="Calibri"/>
                <w:color w:val="000000"/>
                <w:sz w:val="23"/>
                <w:szCs w:val="23"/>
                <w:lang w:eastAsia="en-AU"/>
              </w:rPr>
              <w:t>implementation plan, namely the introduction of a minimum schooling guarantee for reading across all schools in Tasmania. If feasible, the following recommendations will be accelerated:</w:t>
            </w:r>
          </w:p>
          <w:p w14:paraId="5F452005" w14:textId="77777777" w:rsidR="00A01082" w:rsidRPr="004B5AC6" w:rsidRDefault="00A01082" w:rsidP="007449B2">
            <w:pPr>
              <w:pStyle w:val="ListParagraph"/>
              <w:numPr>
                <w:ilvl w:val="0"/>
                <w:numId w:val="2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4B5AC6">
              <w:rPr>
                <w:rFonts w:ascii="Corbel" w:eastAsia="Times New Roman" w:hAnsi="Corbel" w:cs="Calibri"/>
                <w:color w:val="000000"/>
                <w:sz w:val="23"/>
                <w:szCs w:val="23"/>
                <w:lang w:eastAsia="en-AU"/>
              </w:rPr>
              <w:t>Extending structured literacy tuition in Years 3 to 6 in all Government primary schools by 2026;</w:t>
            </w:r>
          </w:p>
          <w:p w14:paraId="79EA548D" w14:textId="77777777" w:rsidR="00A01082" w:rsidRPr="004B5AC6" w:rsidRDefault="00A01082" w:rsidP="007449B2">
            <w:pPr>
              <w:pStyle w:val="ListParagraph"/>
              <w:numPr>
                <w:ilvl w:val="0"/>
                <w:numId w:val="2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4B5AC6">
              <w:rPr>
                <w:rFonts w:ascii="Corbel" w:eastAsia="Times New Roman" w:hAnsi="Corbel" w:cs="Calibri"/>
                <w:color w:val="000000"/>
                <w:sz w:val="23"/>
                <w:szCs w:val="23"/>
                <w:lang w:eastAsia="en-AU"/>
              </w:rPr>
              <w:t>Providing decodable readers to primary schools and libraries;</w:t>
            </w:r>
          </w:p>
          <w:p w14:paraId="2DBAA547" w14:textId="77777777" w:rsidR="00A01082" w:rsidRPr="004B5AC6" w:rsidRDefault="00A01082" w:rsidP="007449B2">
            <w:pPr>
              <w:pStyle w:val="ListParagraph"/>
              <w:numPr>
                <w:ilvl w:val="0"/>
                <w:numId w:val="2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4B5AC6">
              <w:rPr>
                <w:rFonts w:ascii="Corbel" w:eastAsia="Times New Roman" w:hAnsi="Corbel" w:cs="Calibri"/>
                <w:color w:val="000000"/>
                <w:sz w:val="23"/>
                <w:szCs w:val="23"/>
                <w:lang w:eastAsia="en-AU"/>
              </w:rPr>
              <w:t>Ensuring that students whose learning plans identify a need for literacy development have access to assessments for language and learning difficulties; and</w:t>
            </w:r>
          </w:p>
          <w:p w14:paraId="5E6D6AE3" w14:textId="75F29D27" w:rsidR="000C32E6" w:rsidRPr="00C804A9" w:rsidDel="002D2975" w:rsidRDefault="00A01082" w:rsidP="007449B2">
            <w:pPr>
              <w:pStyle w:val="ListParagraph"/>
              <w:numPr>
                <w:ilvl w:val="0"/>
                <w:numId w:val="2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4B5AC6">
              <w:rPr>
                <w:rFonts w:ascii="Corbel" w:eastAsia="Times New Roman" w:hAnsi="Corbel" w:cs="Calibri"/>
                <w:color w:val="000000"/>
                <w:sz w:val="23"/>
                <w:szCs w:val="23"/>
                <w:lang w:eastAsia="en-AU"/>
              </w:rPr>
              <w:t>Providing</w:t>
            </w:r>
            <w:r>
              <w:rPr>
                <w:rFonts w:ascii="Corbel" w:eastAsia="Times New Roman" w:hAnsi="Corbel" w:cs="Calibri"/>
                <w:color w:val="000000"/>
                <w:sz w:val="23"/>
                <w:szCs w:val="23"/>
                <w:lang w:eastAsia="en-AU"/>
              </w:rPr>
              <w:t xml:space="preserve"> </w:t>
            </w:r>
            <w:r w:rsidRPr="004B5AC6">
              <w:rPr>
                <w:rFonts w:ascii="Corbel" w:eastAsia="Times New Roman" w:hAnsi="Corbel" w:cs="Calibri"/>
                <w:color w:val="000000"/>
                <w:sz w:val="23"/>
                <w:szCs w:val="23"/>
                <w:lang w:eastAsia="en-AU"/>
              </w:rPr>
              <w:t xml:space="preserve">guidelines for education providers on how to support Culturally and Linguistically Diverse learners across all ages and provide resources for individuals and families. </w:t>
            </w:r>
          </w:p>
        </w:tc>
        <w:tc>
          <w:tcPr>
            <w:tcW w:w="2283" w:type="dxa"/>
            <w:tcBorders>
              <w:top w:val="single" w:sz="4" w:space="0" w:color="auto"/>
              <w:left w:val="single" w:sz="4" w:space="0" w:color="auto"/>
              <w:bottom w:val="dotted" w:sz="4" w:space="0" w:color="auto"/>
              <w:right w:val="single" w:sz="4" w:space="0" w:color="auto"/>
            </w:tcBorders>
          </w:tcPr>
          <w:p w14:paraId="26AA6194" w14:textId="0E51E788" w:rsidR="000C32E6" w:rsidRDefault="000C32E6">
            <w:pPr>
              <w:spacing w:before="120" w:after="120" w:line="260" w:lineRule="exact"/>
              <w:rPr>
                <w:rFonts w:ascii="Corbel" w:eastAsia="Times New Roman" w:hAnsi="Corbel" w:cs="Arial"/>
                <w:color w:val="000000" w:themeColor="text1"/>
                <w:sz w:val="23"/>
                <w:szCs w:val="23"/>
                <w:lang w:eastAsia="en-AU"/>
              </w:rPr>
            </w:pPr>
            <w:r>
              <w:rPr>
                <w:rFonts w:ascii="Corbel" w:eastAsia="Times New Roman" w:hAnsi="Corbel" w:cs="Arial"/>
                <w:color w:val="000000" w:themeColor="text1"/>
                <w:sz w:val="23"/>
                <w:szCs w:val="23"/>
                <w:lang w:eastAsia="en-AU"/>
              </w:rPr>
              <w:t xml:space="preserve">All </w:t>
            </w:r>
            <w:r w:rsidR="00F41FB5">
              <w:rPr>
                <w:rFonts w:ascii="Corbel" w:eastAsia="Times New Roman" w:hAnsi="Corbel" w:cs="Arial"/>
                <w:color w:val="000000" w:themeColor="text1"/>
                <w:sz w:val="23"/>
                <w:szCs w:val="23"/>
                <w:lang w:eastAsia="en-AU"/>
              </w:rPr>
              <w:t>s</w:t>
            </w:r>
            <w:r w:rsidR="00F41FB5">
              <w:rPr>
                <w:rFonts w:eastAsia="Times New Roman" w:cs="Arial"/>
                <w:color w:val="000000" w:themeColor="text1"/>
                <w:lang w:eastAsia="en-AU"/>
              </w:rPr>
              <w:t xml:space="preserve">chool </w:t>
            </w:r>
            <w:r>
              <w:rPr>
                <w:rFonts w:ascii="Corbel" w:eastAsia="Times New Roman" w:hAnsi="Corbel" w:cs="Arial"/>
                <w:color w:val="000000" w:themeColor="text1"/>
                <w:sz w:val="23"/>
                <w:szCs w:val="23"/>
                <w:lang w:eastAsia="en-AU"/>
              </w:rPr>
              <w:t>sectors</w:t>
            </w:r>
          </w:p>
        </w:tc>
        <w:tc>
          <w:tcPr>
            <w:tcW w:w="2891" w:type="dxa"/>
            <w:tcBorders>
              <w:top w:val="single" w:sz="4" w:space="0" w:color="auto"/>
              <w:left w:val="single" w:sz="4" w:space="0" w:color="auto"/>
              <w:bottom w:val="dotted" w:sz="4" w:space="0" w:color="auto"/>
              <w:right w:val="single" w:sz="4" w:space="0" w:color="auto"/>
            </w:tcBorders>
          </w:tcPr>
          <w:p w14:paraId="716E3FCE" w14:textId="77777777" w:rsidR="000C32E6" w:rsidRDefault="000C32E6">
            <w:pPr>
              <w:spacing w:before="120" w:after="120" w:line="260" w:lineRule="exact"/>
              <w:rPr>
                <w:rFonts w:ascii="Corbel" w:eastAsia="Times New Roman" w:hAnsi="Corbel" w:cs="Arial"/>
                <w:color w:val="000000" w:themeColor="text1"/>
                <w:sz w:val="23"/>
                <w:szCs w:val="23"/>
                <w:lang w:eastAsia="en-AU"/>
              </w:rPr>
            </w:pPr>
            <w:r>
              <w:rPr>
                <w:rFonts w:ascii="Corbel" w:eastAsia="Times New Roman" w:hAnsi="Corbel" w:cs="Arial"/>
                <w:color w:val="000000" w:themeColor="text1"/>
                <w:sz w:val="23"/>
                <w:szCs w:val="23"/>
                <w:lang w:eastAsia="en-AU"/>
              </w:rPr>
              <w:t>From 2025</w:t>
            </w:r>
          </w:p>
        </w:tc>
      </w:tr>
      <w:tr w:rsidR="000C32E6" w14:paraId="23939D98" w14:textId="77777777" w:rsidTr="75E2BFC3">
        <w:trPr>
          <w:trHeight w:val="545"/>
        </w:trPr>
        <w:tc>
          <w:tcPr>
            <w:tcW w:w="8764" w:type="dxa"/>
            <w:tcBorders>
              <w:top w:val="dotted" w:sz="4" w:space="0" w:color="auto"/>
              <w:left w:val="single" w:sz="4" w:space="0" w:color="auto"/>
              <w:bottom w:val="dotted" w:sz="4" w:space="0" w:color="auto"/>
              <w:right w:val="single" w:sz="4" w:space="0" w:color="auto"/>
            </w:tcBorders>
            <w:shd w:val="clear" w:color="auto" w:fill="auto"/>
          </w:tcPr>
          <w:p w14:paraId="247B2405" w14:textId="77777777" w:rsidR="000C32E6" w:rsidRPr="00F81B72" w:rsidDel="007D2E28" w:rsidRDefault="000C32E6" w:rsidP="007449B2">
            <w:pPr>
              <w:pStyle w:val="ListParagraph"/>
              <w:keepNext/>
              <w:keepLines/>
              <w:numPr>
                <w:ilvl w:val="0"/>
                <w:numId w:val="51"/>
              </w:numPr>
              <w:spacing w:before="120" w:after="120" w:line="260" w:lineRule="exact"/>
              <w:jc w:val="both"/>
              <w:rPr>
                <w:rStyle w:val="normaltextrun"/>
                <w:rFonts w:ascii="Corbel" w:hAnsi="Corbel" w:cs="Segoe UI"/>
                <w:sz w:val="23"/>
                <w:szCs w:val="23"/>
              </w:rPr>
            </w:pPr>
            <w:r w:rsidRPr="00F81B72">
              <w:rPr>
                <w:rStyle w:val="normaltextrun"/>
                <w:rFonts w:ascii="Corbel" w:hAnsi="Corbel" w:cs="Segoe UI"/>
                <w:sz w:val="23"/>
                <w:szCs w:val="23"/>
              </w:rPr>
              <w:lastRenderedPageBreak/>
              <w:t>Improving pathways for post-school opportunities, including through VET in Schools, work-based learning, career education and apprenticeships.</w:t>
            </w:r>
          </w:p>
        </w:tc>
        <w:tc>
          <w:tcPr>
            <w:tcW w:w="2283" w:type="dxa"/>
            <w:tcBorders>
              <w:top w:val="dotted" w:sz="4" w:space="0" w:color="auto"/>
              <w:left w:val="single" w:sz="4" w:space="0" w:color="auto"/>
              <w:bottom w:val="dotted" w:sz="4" w:space="0" w:color="auto"/>
              <w:right w:val="single" w:sz="4" w:space="0" w:color="auto"/>
            </w:tcBorders>
          </w:tcPr>
          <w:p w14:paraId="23218E43" w14:textId="77777777" w:rsidR="000C32E6" w:rsidRDefault="000C32E6">
            <w:pPr>
              <w:spacing w:before="120" w:after="120" w:line="260" w:lineRule="exact"/>
              <w:rPr>
                <w:rFonts w:ascii="Corbel" w:eastAsia="Times New Roman" w:hAnsi="Corbel" w:cs="Arial"/>
                <w:color w:val="000000" w:themeColor="text1"/>
                <w:sz w:val="23"/>
                <w:szCs w:val="23"/>
                <w:lang w:eastAsia="en-AU"/>
              </w:rPr>
            </w:pPr>
            <w:r>
              <w:rPr>
                <w:rFonts w:ascii="Corbel" w:eastAsia="Times New Roman" w:hAnsi="Corbel" w:cs="Arial"/>
                <w:color w:val="000000" w:themeColor="text1"/>
                <w:sz w:val="23"/>
                <w:szCs w:val="23"/>
                <w:lang w:eastAsia="en-AU"/>
              </w:rPr>
              <w:t>Government/Catholic</w:t>
            </w:r>
          </w:p>
        </w:tc>
        <w:tc>
          <w:tcPr>
            <w:tcW w:w="2891" w:type="dxa"/>
            <w:tcBorders>
              <w:top w:val="dotted" w:sz="4" w:space="0" w:color="auto"/>
              <w:left w:val="single" w:sz="4" w:space="0" w:color="auto"/>
              <w:bottom w:val="dotted" w:sz="4" w:space="0" w:color="auto"/>
              <w:right w:val="single" w:sz="4" w:space="0" w:color="auto"/>
            </w:tcBorders>
          </w:tcPr>
          <w:p w14:paraId="595B6DE4" w14:textId="268F6FBB" w:rsidR="000C32E6" w:rsidRDefault="00A805D4">
            <w:pPr>
              <w:spacing w:before="120" w:after="120" w:line="260" w:lineRule="exact"/>
              <w:rPr>
                <w:rFonts w:ascii="Corbel" w:eastAsia="Times New Roman" w:hAnsi="Corbel" w:cs="Arial"/>
                <w:color w:val="000000" w:themeColor="text1"/>
                <w:sz w:val="23"/>
                <w:szCs w:val="23"/>
                <w:lang w:eastAsia="en-AU"/>
              </w:rPr>
            </w:pPr>
            <w:r>
              <w:rPr>
                <w:rFonts w:ascii="Corbel" w:eastAsia="Times New Roman" w:hAnsi="Corbel" w:cs="Arial"/>
                <w:color w:val="000000" w:themeColor="text1"/>
                <w:sz w:val="23"/>
                <w:szCs w:val="23"/>
                <w:lang w:eastAsia="en-AU"/>
              </w:rPr>
              <w:t>From 2025</w:t>
            </w:r>
          </w:p>
        </w:tc>
      </w:tr>
      <w:tr w:rsidR="000C32E6" w14:paraId="40243483" w14:textId="77777777" w:rsidTr="75E2BFC3">
        <w:trPr>
          <w:trHeight w:val="545"/>
        </w:trPr>
        <w:tc>
          <w:tcPr>
            <w:tcW w:w="8764" w:type="dxa"/>
            <w:tcBorders>
              <w:top w:val="dotted" w:sz="4" w:space="0" w:color="auto"/>
              <w:left w:val="single" w:sz="4" w:space="0" w:color="auto"/>
              <w:bottom w:val="single" w:sz="4" w:space="0" w:color="auto"/>
              <w:right w:val="single" w:sz="4" w:space="0" w:color="auto"/>
            </w:tcBorders>
            <w:shd w:val="clear" w:color="auto" w:fill="auto"/>
          </w:tcPr>
          <w:p w14:paraId="1C86FCF0" w14:textId="7817C88A" w:rsidR="000C32E6" w:rsidRPr="00F81B72" w:rsidRDefault="00627061" w:rsidP="007449B2">
            <w:pPr>
              <w:pStyle w:val="ListParagraph"/>
              <w:numPr>
                <w:ilvl w:val="0"/>
                <w:numId w:val="51"/>
              </w:numPr>
              <w:rPr>
                <w:rStyle w:val="normaltextrun"/>
                <w:rFonts w:ascii="Corbel" w:hAnsi="Corbel" w:cs="Segoe UI"/>
                <w:sz w:val="23"/>
                <w:szCs w:val="23"/>
              </w:rPr>
            </w:pPr>
            <w:r w:rsidRPr="007449B2">
              <w:rPr>
                <w:rFonts w:ascii="Corbel" w:eastAsia="Times New Roman" w:hAnsi="Corbel" w:cs="Calibri"/>
                <w:color w:val="000000"/>
                <w:sz w:val="23"/>
                <w:szCs w:val="23"/>
                <w:lang w:eastAsia="en-AU"/>
              </w:rPr>
              <w:t>Piloting evidence-based teaching and learning mathematics materials with a focus on number and algebra, to inform system-wide direction and expectations for the explicit teaching of mathematics in the primary years to strengthen numeracy outcomes.</w:t>
            </w:r>
          </w:p>
        </w:tc>
        <w:tc>
          <w:tcPr>
            <w:tcW w:w="2283" w:type="dxa"/>
            <w:tcBorders>
              <w:top w:val="dotted" w:sz="4" w:space="0" w:color="auto"/>
              <w:left w:val="single" w:sz="4" w:space="0" w:color="auto"/>
              <w:bottom w:val="single" w:sz="4" w:space="0" w:color="auto"/>
              <w:right w:val="single" w:sz="4" w:space="0" w:color="auto"/>
            </w:tcBorders>
          </w:tcPr>
          <w:p w14:paraId="01A23D69" w14:textId="04A0F3E5" w:rsidR="000C32E6" w:rsidRDefault="00C84301">
            <w:pPr>
              <w:spacing w:before="120" w:after="120" w:line="260" w:lineRule="exact"/>
              <w:rPr>
                <w:rFonts w:ascii="Corbel" w:eastAsia="Times New Roman" w:hAnsi="Corbel" w:cs="Arial"/>
                <w:color w:val="000000" w:themeColor="text1"/>
                <w:sz w:val="23"/>
                <w:szCs w:val="23"/>
                <w:lang w:eastAsia="en-AU"/>
              </w:rPr>
            </w:pPr>
            <w:r>
              <w:rPr>
                <w:rFonts w:ascii="Corbel" w:eastAsia="Times New Roman" w:hAnsi="Corbel" w:cs="Arial"/>
                <w:color w:val="000000" w:themeColor="text1"/>
                <w:sz w:val="23"/>
                <w:szCs w:val="23"/>
                <w:lang w:eastAsia="en-AU"/>
              </w:rPr>
              <w:t>Government</w:t>
            </w:r>
          </w:p>
        </w:tc>
        <w:tc>
          <w:tcPr>
            <w:tcW w:w="2891" w:type="dxa"/>
            <w:tcBorders>
              <w:top w:val="dotted" w:sz="4" w:space="0" w:color="auto"/>
              <w:left w:val="single" w:sz="4" w:space="0" w:color="auto"/>
              <w:bottom w:val="single" w:sz="4" w:space="0" w:color="auto"/>
              <w:right w:val="single" w:sz="4" w:space="0" w:color="auto"/>
            </w:tcBorders>
          </w:tcPr>
          <w:p w14:paraId="481A9DCA" w14:textId="004157EF" w:rsidR="000C32E6" w:rsidRDefault="00A805D4">
            <w:pPr>
              <w:spacing w:before="120" w:after="120" w:line="260" w:lineRule="exact"/>
              <w:rPr>
                <w:rFonts w:ascii="Corbel" w:eastAsia="Times New Roman" w:hAnsi="Corbel" w:cs="Arial"/>
                <w:color w:val="000000" w:themeColor="text1"/>
                <w:sz w:val="23"/>
                <w:szCs w:val="23"/>
                <w:lang w:eastAsia="en-AU"/>
              </w:rPr>
            </w:pPr>
            <w:r>
              <w:rPr>
                <w:rFonts w:ascii="Corbel" w:eastAsia="Times New Roman" w:hAnsi="Corbel" w:cs="Arial"/>
                <w:color w:val="000000" w:themeColor="text1"/>
                <w:sz w:val="23"/>
                <w:szCs w:val="23"/>
                <w:lang w:eastAsia="en-AU"/>
              </w:rPr>
              <w:t>From 2025</w:t>
            </w:r>
          </w:p>
        </w:tc>
      </w:tr>
      <w:tr w:rsidR="000C32E6" w:rsidRPr="00643D08" w14:paraId="2A44D8E9" w14:textId="77777777" w:rsidTr="75E2BFC3">
        <w:trPr>
          <w:trHeight w:val="436"/>
        </w:trPr>
        <w:tc>
          <w:tcPr>
            <w:tcW w:w="13938" w:type="dxa"/>
            <w:gridSpan w:val="3"/>
            <w:tcBorders>
              <w:top w:val="single" w:sz="4" w:space="0" w:color="auto"/>
              <w:left w:val="single" w:sz="4" w:space="0" w:color="auto"/>
              <w:bottom w:val="single" w:sz="4" w:space="0" w:color="auto"/>
              <w:right w:val="single" w:sz="4" w:space="0" w:color="auto"/>
            </w:tcBorders>
            <w:shd w:val="clear" w:color="auto" w:fill="auto"/>
          </w:tcPr>
          <w:p w14:paraId="47FF5AA2" w14:textId="77777777" w:rsidR="000C32E6" w:rsidRPr="00643D08" w:rsidRDefault="000C32E6">
            <w:pPr>
              <w:spacing w:after="0" w:line="240" w:lineRule="auto"/>
              <w:rPr>
                <w:rFonts w:ascii="Corbel" w:hAnsi="Corbel"/>
                <w:u w:val="single"/>
              </w:rPr>
            </w:pPr>
            <w:r w:rsidRPr="00643D08">
              <w:rPr>
                <w:rFonts w:ascii="Corbel" w:eastAsia="Corbel" w:hAnsi="Corbel" w:cs="Corbel"/>
                <w:b/>
                <w:bCs/>
                <w:color w:val="000000" w:themeColor="text1"/>
                <w:sz w:val="23"/>
                <w:szCs w:val="23"/>
                <w:u w:val="single"/>
              </w:rPr>
              <w:t>A Year 1 phonics check and an early years of schooling numeracy check (once available) is made available to schools in Australia to support teachers and school leaders to identify student learning needs early.</w:t>
            </w:r>
          </w:p>
        </w:tc>
      </w:tr>
      <w:tr w:rsidR="000C32E6" w:rsidRPr="4909DECD" w14:paraId="400F5BD4" w14:textId="77777777" w:rsidTr="75E2BFC3">
        <w:trPr>
          <w:trHeight w:val="772"/>
        </w:trPr>
        <w:tc>
          <w:tcPr>
            <w:tcW w:w="8764" w:type="dxa"/>
            <w:tcBorders>
              <w:top w:val="single" w:sz="4" w:space="0" w:color="auto"/>
              <w:left w:val="single" w:sz="4" w:space="0" w:color="auto"/>
              <w:bottom w:val="dotted" w:sz="4" w:space="0" w:color="auto"/>
              <w:right w:val="single" w:sz="4" w:space="0" w:color="auto"/>
            </w:tcBorders>
            <w:shd w:val="clear" w:color="auto" w:fill="auto"/>
          </w:tcPr>
          <w:p w14:paraId="2E42373D" w14:textId="14434431" w:rsidR="000C32E6" w:rsidRPr="007449B2" w:rsidRDefault="000C32E6" w:rsidP="007449B2">
            <w:pPr>
              <w:pStyle w:val="ListParagraph"/>
              <w:keepNext/>
              <w:keepLines/>
              <w:numPr>
                <w:ilvl w:val="0"/>
                <w:numId w:val="51"/>
              </w:numPr>
              <w:spacing w:before="120" w:after="120" w:line="260" w:lineRule="exact"/>
              <w:jc w:val="both"/>
              <w:rPr>
                <w:rFonts w:ascii="Corbel" w:eastAsia="Corbel" w:hAnsi="Corbel" w:cs="Corbel"/>
                <w:sz w:val="23"/>
                <w:szCs w:val="23"/>
              </w:rPr>
            </w:pPr>
            <w:r w:rsidRPr="00F81B72">
              <w:rPr>
                <w:rStyle w:val="normaltextrun"/>
                <w:rFonts w:ascii="Corbel" w:hAnsi="Corbel" w:cs="Segoe UI"/>
                <w:sz w:val="23"/>
                <w:szCs w:val="23"/>
              </w:rPr>
              <w:t>Making available to schools a Numeracy Check in the early years of schooling, once the national tool is available</w:t>
            </w:r>
            <w:r w:rsidR="0054563C" w:rsidRPr="00F81B72">
              <w:rPr>
                <w:rStyle w:val="normaltextrun"/>
                <w:rFonts w:ascii="Corbel" w:hAnsi="Corbel" w:cs="Segoe UI"/>
                <w:sz w:val="23"/>
                <w:szCs w:val="23"/>
              </w:rPr>
              <w:t>.</w:t>
            </w:r>
          </w:p>
        </w:tc>
        <w:tc>
          <w:tcPr>
            <w:tcW w:w="2283" w:type="dxa"/>
            <w:tcBorders>
              <w:top w:val="single" w:sz="4" w:space="0" w:color="auto"/>
              <w:left w:val="single" w:sz="4" w:space="0" w:color="auto"/>
              <w:bottom w:val="dotted" w:sz="4" w:space="0" w:color="auto"/>
              <w:right w:val="single" w:sz="4" w:space="0" w:color="auto"/>
            </w:tcBorders>
          </w:tcPr>
          <w:p w14:paraId="3D4DFBC6" w14:textId="307223FA" w:rsidR="000C32E6" w:rsidRDefault="000C32E6">
            <w:pPr>
              <w:spacing w:before="120" w:after="120" w:line="260" w:lineRule="exact"/>
              <w:rPr>
                <w:rFonts w:ascii="Corbel" w:eastAsia="Times New Roman" w:hAnsi="Corbel" w:cs="Arial"/>
                <w:color w:val="000000" w:themeColor="text1"/>
                <w:sz w:val="23"/>
                <w:szCs w:val="23"/>
                <w:lang w:eastAsia="en-AU"/>
              </w:rPr>
            </w:pPr>
            <w:r>
              <w:rPr>
                <w:rFonts w:ascii="Corbel" w:eastAsia="Times New Roman" w:hAnsi="Corbel" w:cs="Arial"/>
                <w:color w:val="000000" w:themeColor="text1"/>
                <w:sz w:val="23"/>
                <w:szCs w:val="23"/>
                <w:lang w:eastAsia="en-AU"/>
              </w:rPr>
              <w:t>A</w:t>
            </w:r>
            <w:r w:rsidRPr="00BB654F">
              <w:rPr>
                <w:rFonts w:ascii="Corbel" w:eastAsia="Times New Roman" w:hAnsi="Corbel" w:cs="Arial"/>
                <w:color w:val="000000" w:themeColor="text1"/>
                <w:sz w:val="23"/>
                <w:szCs w:val="23"/>
                <w:lang w:eastAsia="en-AU"/>
              </w:rPr>
              <w:t>ll</w:t>
            </w:r>
            <w:r w:rsidR="00F41FB5">
              <w:rPr>
                <w:rFonts w:ascii="Corbel" w:eastAsia="Times New Roman" w:hAnsi="Corbel" w:cs="Arial"/>
                <w:color w:val="000000" w:themeColor="text1"/>
                <w:sz w:val="23"/>
                <w:szCs w:val="23"/>
                <w:lang w:eastAsia="en-AU"/>
              </w:rPr>
              <w:t xml:space="preserve"> </w:t>
            </w:r>
            <w:r w:rsidR="00F41FB5">
              <w:rPr>
                <w:rFonts w:eastAsia="Times New Roman" w:cs="Arial"/>
                <w:color w:val="000000" w:themeColor="text1"/>
                <w:lang w:eastAsia="en-AU"/>
              </w:rPr>
              <w:t>school</w:t>
            </w:r>
            <w:r w:rsidRPr="00BB654F">
              <w:rPr>
                <w:rFonts w:ascii="Corbel" w:eastAsia="Times New Roman" w:hAnsi="Corbel" w:cs="Arial"/>
                <w:color w:val="000000" w:themeColor="text1"/>
                <w:sz w:val="23"/>
                <w:szCs w:val="23"/>
                <w:lang w:eastAsia="en-AU"/>
              </w:rPr>
              <w:t xml:space="preserve"> sectors</w:t>
            </w:r>
          </w:p>
        </w:tc>
        <w:tc>
          <w:tcPr>
            <w:tcW w:w="2891" w:type="dxa"/>
            <w:tcBorders>
              <w:top w:val="single" w:sz="4" w:space="0" w:color="auto"/>
              <w:left w:val="single" w:sz="4" w:space="0" w:color="auto"/>
              <w:bottom w:val="dotted" w:sz="4" w:space="0" w:color="auto"/>
              <w:right w:val="single" w:sz="4" w:space="0" w:color="auto"/>
            </w:tcBorders>
          </w:tcPr>
          <w:p w14:paraId="73C0A1E2" w14:textId="3AC93793" w:rsidR="000C32E6" w:rsidRPr="4909DECD" w:rsidRDefault="00B04406">
            <w:pPr>
              <w:spacing w:before="120" w:after="120" w:line="260" w:lineRule="exact"/>
              <w:rPr>
                <w:rFonts w:ascii="Corbel" w:eastAsia="Times New Roman" w:hAnsi="Corbel" w:cs="Arial"/>
                <w:color w:val="000000" w:themeColor="text1"/>
                <w:sz w:val="23"/>
                <w:szCs w:val="23"/>
                <w:lang w:eastAsia="en-AU"/>
              </w:rPr>
            </w:pPr>
            <w:r>
              <w:rPr>
                <w:rFonts w:ascii="Corbel" w:eastAsia="Times New Roman" w:hAnsi="Corbel" w:cs="Arial"/>
                <w:color w:val="000000" w:themeColor="text1"/>
                <w:sz w:val="23"/>
                <w:szCs w:val="23"/>
                <w:lang w:eastAsia="en-AU"/>
              </w:rPr>
              <w:t>When the national tool is available</w:t>
            </w:r>
          </w:p>
        </w:tc>
      </w:tr>
      <w:tr w:rsidR="000C32E6" w14:paraId="3058BF5E" w14:textId="77777777" w:rsidTr="75E2BFC3">
        <w:trPr>
          <w:trHeight w:val="772"/>
        </w:trPr>
        <w:tc>
          <w:tcPr>
            <w:tcW w:w="8764" w:type="dxa"/>
            <w:tcBorders>
              <w:top w:val="dotted" w:sz="4" w:space="0" w:color="auto"/>
              <w:left w:val="single" w:sz="4" w:space="0" w:color="auto"/>
              <w:bottom w:val="single" w:sz="4" w:space="0" w:color="auto"/>
              <w:right w:val="single" w:sz="4" w:space="0" w:color="auto"/>
            </w:tcBorders>
            <w:shd w:val="clear" w:color="auto" w:fill="auto"/>
          </w:tcPr>
          <w:p w14:paraId="2842B041" w14:textId="77777777" w:rsidR="000C32E6" w:rsidRPr="00F81B72" w:rsidRDefault="000C32E6" w:rsidP="007449B2">
            <w:pPr>
              <w:pStyle w:val="ListParagraph"/>
              <w:numPr>
                <w:ilvl w:val="0"/>
                <w:numId w:val="51"/>
              </w:numPr>
              <w:rPr>
                <w:rStyle w:val="normaltextrun"/>
                <w:rFonts w:ascii="Corbel" w:hAnsi="Corbel" w:cs="Segoe UI"/>
                <w:sz w:val="23"/>
                <w:szCs w:val="23"/>
              </w:rPr>
            </w:pPr>
            <w:r w:rsidRPr="00F81B72">
              <w:rPr>
                <w:rStyle w:val="normaltextrun"/>
                <w:rFonts w:ascii="Corbel" w:hAnsi="Corbel" w:cs="Segoe UI"/>
                <w:sz w:val="23"/>
                <w:szCs w:val="23"/>
              </w:rPr>
              <w:t xml:space="preserve">Reporting annually participation rates for Government schools the early years of schooling Numeracy Check (once available). </w:t>
            </w:r>
          </w:p>
        </w:tc>
        <w:tc>
          <w:tcPr>
            <w:tcW w:w="2283" w:type="dxa"/>
            <w:tcBorders>
              <w:top w:val="dotted" w:sz="4" w:space="0" w:color="auto"/>
              <w:left w:val="single" w:sz="4" w:space="0" w:color="auto"/>
              <w:bottom w:val="single" w:sz="4" w:space="0" w:color="auto"/>
              <w:right w:val="single" w:sz="4" w:space="0" w:color="auto"/>
            </w:tcBorders>
          </w:tcPr>
          <w:p w14:paraId="21707818" w14:textId="77777777" w:rsidR="000C32E6" w:rsidRDefault="000C32E6">
            <w:pPr>
              <w:spacing w:before="120" w:after="120" w:line="260" w:lineRule="exact"/>
              <w:rPr>
                <w:rFonts w:ascii="Corbel" w:eastAsia="Times New Roman" w:hAnsi="Corbel" w:cs="Arial"/>
                <w:color w:val="000000" w:themeColor="text1"/>
                <w:sz w:val="23"/>
                <w:szCs w:val="23"/>
                <w:lang w:eastAsia="en-AU"/>
              </w:rPr>
            </w:pPr>
            <w:r>
              <w:rPr>
                <w:rFonts w:ascii="Corbel" w:eastAsia="Times New Roman" w:hAnsi="Corbel" w:cs="Arial"/>
                <w:color w:val="000000" w:themeColor="text1"/>
                <w:sz w:val="23"/>
                <w:szCs w:val="23"/>
                <w:lang w:eastAsia="en-AU"/>
              </w:rPr>
              <w:t>Government</w:t>
            </w:r>
          </w:p>
        </w:tc>
        <w:tc>
          <w:tcPr>
            <w:tcW w:w="2891" w:type="dxa"/>
            <w:tcBorders>
              <w:top w:val="dotted" w:sz="4" w:space="0" w:color="auto"/>
              <w:left w:val="single" w:sz="4" w:space="0" w:color="auto"/>
              <w:bottom w:val="single" w:sz="4" w:space="0" w:color="auto"/>
              <w:right w:val="single" w:sz="4" w:space="0" w:color="auto"/>
            </w:tcBorders>
          </w:tcPr>
          <w:p w14:paraId="72BBF952" w14:textId="22780EB9" w:rsidR="000C32E6" w:rsidRDefault="00385D9B">
            <w:pPr>
              <w:spacing w:before="120" w:after="120" w:line="260" w:lineRule="exact"/>
              <w:rPr>
                <w:rFonts w:ascii="Corbel" w:eastAsia="Times New Roman" w:hAnsi="Corbel" w:cs="Arial"/>
                <w:color w:val="000000" w:themeColor="text1"/>
                <w:sz w:val="23"/>
                <w:szCs w:val="23"/>
                <w:lang w:eastAsia="en-AU"/>
              </w:rPr>
            </w:pPr>
            <w:r>
              <w:rPr>
                <w:rFonts w:ascii="Corbel" w:eastAsia="Times New Roman" w:hAnsi="Corbel" w:cs="Arial"/>
                <w:color w:val="000000" w:themeColor="text1"/>
                <w:sz w:val="23"/>
                <w:szCs w:val="23"/>
                <w:lang w:eastAsia="en-AU"/>
              </w:rPr>
              <w:t>From 2025 for a phonics check. Numeracy check data to commence once the national tool is available.</w:t>
            </w:r>
          </w:p>
        </w:tc>
      </w:tr>
      <w:tr w:rsidR="000C32E6" w:rsidRPr="002C07AE" w14:paraId="6D6619C1" w14:textId="77777777" w:rsidTr="75E2BFC3">
        <w:trPr>
          <w:trHeight w:val="471"/>
        </w:trPr>
        <w:tc>
          <w:tcPr>
            <w:tcW w:w="13938" w:type="dxa"/>
            <w:gridSpan w:val="3"/>
            <w:tcBorders>
              <w:top w:val="single" w:sz="4" w:space="0" w:color="auto"/>
              <w:left w:val="single" w:sz="4" w:space="0" w:color="auto"/>
              <w:bottom w:val="single" w:sz="4" w:space="0" w:color="auto"/>
              <w:right w:val="single" w:sz="4" w:space="0" w:color="auto"/>
            </w:tcBorders>
          </w:tcPr>
          <w:p w14:paraId="57B2474C" w14:textId="77777777" w:rsidR="000C32E6" w:rsidRPr="002C07AE" w:rsidRDefault="000C32E6">
            <w:pPr>
              <w:keepNext/>
              <w:spacing w:before="120" w:after="120" w:line="260" w:lineRule="exact"/>
              <w:jc w:val="both"/>
              <w:rPr>
                <w:rFonts w:ascii="Corbel" w:eastAsia="Times New Roman" w:hAnsi="Corbel" w:cs="Corbel"/>
                <w:b/>
                <w:bCs/>
                <w:color w:val="000000" w:themeColor="text1"/>
                <w:sz w:val="23"/>
                <w:szCs w:val="23"/>
                <w:lang w:eastAsia="en-AU"/>
              </w:rPr>
            </w:pPr>
            <w:r w:rsidRPr="0D88B033">
              <w:rPr>
                <w:rFonts w:ascii="Corbel" w:eastAsia="Times New Roman" w:hAnsi="Corbel" w:cs="Corbel"/>
                <w:b/>
                <w:bCs/>
                <w:color w:val="000000" w:themeColor="text1"/>
                <w:sz w:val="23"/>
                <w:szCs w:val="23"/>
                <w:lang w:eastAsia="en-AU"/>
              </w:rPr>
              <w:t xml:space="preserve">Reform B – Wellbeing for Learning and Engagement </w:t>
            </w:r>
          </w:p>
        </w:tc>
      </w:tr>
      <w:tr w:rsidR="000C32E6" w:rsidRPr="00233EF3" w14:paraId="1D84A2FD" w14:textId="77777777" w:rsidTr="75E2BFC3">
        <w:trPr>
          <w:trHeight w:val="178"/>
        </w:trPr>
        <w:tc>
          <w:tcPr>
            <w:tcW w:w="13938" w:type="dxa"/>
            <w:gridSpan w:val="3"/>
            <w:tcBorders>
              <w:top w:val="single" w:sz="4" w:space="0" w:color="auto"/>
              <w:left w:val="single" w:sz="4" w:space="0" w:color="auto"/>
              <w:bottom w:val="single" w:sz="4" w:space="0" w:color="auto"/>
              <w:right w:val="single" w:sz="4" w:space="0" w:color="auto"/>
            </w:tcBorders>
          </w:tcPr>
          <w:p w14:paraId="00F6F794" w14:textId="77777777" w:rsidR="000C32E6" w:rsidRPr="00233EF3" w:rsidRDefault="000C32E6">
            <w:pPr>
              <w:pStyle w:val="paragraph"/>
              <w:spacing w:before="0" w:beforeAutospacing="0" w:after="0" w:afterAutospacing="0"/>
              <w:textAlignment w:val="baseline"/>
              <w:rPr>
                <w:rFonts w:ascii="Corbel" w:hAnsi="Corbel"/>
                <w:sz w:val="23"/>
                <w:szCs w:val="23"/>
                <w:u w:val="single"/>
              </w:rPr>
            </w:pPr>
            <w:r w:rsidRPr="00233EF3">
              <w:rPr>
                <w:rFonts w:ascii="Corbel" w:hAnsi="Corbel"/>
                <w:b/>
                <w:bCs/>
                <w:sz w:val="23"/>
                <w:szCs w:val="23"/>
                <w:u w:val="single"/>
              </w:rPr>
              <w:t>Initiatives that support connections between schools and other non-school services to support students to come to school ready to learn, for example through full-service school models where appropriate.</w:t>
            </w:r>
            <w:r w:rsidRPr="00233EF3">
              <w:rPr>
                <w:rStyle w:val="eop"/>
                <w:rFonts w:ascii="Corbel" w:hAnsi="Corbel"/>
                <w:sz w:val="23"/>
                <w:szCs w:val="23"/>
                <w:u w:val="single"/>
              </w:rPr>
              <w:t> </w:t>
            </w:r>
          </w:p>
        </w:tc>
      </w:tr>
      <w:tr w:rsidR="000C32E6" w14:paraId="7EF904C6" w14:textId="77777777" w:rsidTr="75E2BFC3">
        <w:trPr>
          <w:trHeight w:val="40"/>
        </w:trPr>
        <w:tc>
          <w:tcPr>
            <w:tcW w:w="8764" w:type="dxa"/>
            <w:tcBorders>
              <w:top w:val="single" w:sz="4" w:space="0" w:color="auto"/>
              <w:left w:val="single" w:sz="4" w:space="0" w:color="auto"/>
              <w:bottom w:val="single" w:sz="4" w:space="0" w:color="auto"/>
              <w:right w:val="single" w:sz="4" w:space="0" w:color="auto"/>
            </w:tcBorders>
            <w:shd w:val="clear" w:color="auto" w:fill="auto"/>
          </w:tcPr>
          <w:p w14:paraId="046D7C90" w14:textId="27F987C8" w:rsidR="000C32E6" w:rsidRPr="007449B2" w:rsidRDefault="68AFD7AC" w:rsidP="007449B2">
            <w:pPr>
              <w:pStyle w:val="ListParagraph"/>
              <w:numPr>
                <w:ilvl w:val="0"/>
                <w:numId w:val="51"/>
              </w:numPr>
              <w:tabs>
                <w:tab w:val="left" w:pos="426"/>
              </w:tabs>
              <w:spacing w:after="240" w:line="260" w:lineRule="exact"/>
              <w:jc w:val="both"/>
              <w:rPr>
                <w:rFonts w:ascii="Corbel" w:eastAsia="Times New Roman" w:hAnsi="Corbel" w:cs="Calibri"/>
                <w:color w:val="000000"/>
                <w:sz w:val="23"/>
                <w:szCs w:val="23"/>
                <w:lang w:eastAsia="en-AU"/>
              </w:rPr>
            </w:pPr>
            <w:r w:rsidRPr="75E2BFC3">
              <w:rPr>
                <w:rFonts w:ascii="Corbel" w:eastAsia="Times New Roman" w:hAnsi="Corbel" w:cs="Calibri"/>
                <w:color w:val="000000" w:themeColor="text1"/>
                <w:sz w:val="23"/>
                <w:szCs w:val="23"/>
                <w:lang w:eastAsia="en-AU"/>
              </w:rPr>
              <w:t xml:space="preserve">Building on the quality supports at each layer of the </w:t>
            </w:r>
            <w:r w:rsidR="75D5BFAA" w:rsidRPr="75E2BFC3">
              <w:rPr>
                <w:rFonts w:ascii="Corbel" w:eastAsia="Times New Roman" w:hAnsi="Corbel" w:cs="Calibri"/>
                <w:color w:val="000000" w:themeColor="text1"/>
                <w:sz w:val="23"/>
                <w:szCs w:val="23"/>
                <w:lang w:eastAsia="en-AU"/>
              </w:rPr>
              <w:t>MTSS</w:t>
            </w:r>
            <w:r w:rsidRPr="75E2BFC3">
              <w:rPr>
                <w:rFonts w:ascii="Corbel" w:eastAsia="Times New Roman" w:hAnsi="Corbel" w:cs="Calibri"/>
                <w:color w:val="000000" w:themeColor="text1"/>
                <w:sz w:val="23"/>
                <w:szCs w:val="23"/>
                <w:lang w:eastAsia="en-AU"/>
              </w:rPr>
              <w:t xml:space="preserve"> for schools by drawing on the expertise of multidisciplinary teams (e.g. Accessibility Services; School Social Workers; School Psychologists; Speech and Language Pathologists) to improve universal through to targeted, individualised and intensive supports. This will be prioritised in schools identified as in most need.</w:t>
            </w:r>
          </w:p>
        </w:tc>
        <w:tc>
          <w:tcPr>
            <w:tcW w:w="2283" w:type="dxa"/>
            <w:tcBorders>
              <w:top w:val="single" w:sz="4" w:space="0" w:color="auto"/>
              <w:left w:val="single" w:sz="4" w:space="0" w:color="auto"/>
              <w:bottom w:val="single" w:sz="4" w:space="0" w:color="auto"/>
              <w:right w:val="single" w:sz="4" w:space="0" w:color="auto"/>
            </w:tcBorders>
          </w:tcPr>
          <w:p w14:paraId="77504536" w14:textId="77777777" w:rsidR="000C32E6" w:rsidRDefault="000C32E6">
            <w:pPr>
              <w:spacing w:before="120" w:after="120" w:line="260" w:lineRule="exact"/>
              <w:rPr>
                <w:rFonts w:ascii="Corbel" w:hAnsi="Corbel"/>
                <w:sz w:val="23"/>
                <w:szCs w:val="23"/>
              </w:rPr>
            </w:pPr>
            <w:r>
              <w:rPr>
                <w:rFonts w:ascii="Corbel" w:hAnsi="Corbel"/>
                <w:sz w:val="23"/>
                <w:szCs w:val="23"/>
              </w:rPr>
              <w:t>Government</w:t>
            </w:r>
          </w:p>
        </w:tc>
        <w:tc>
          <w:tcPr>
            <w:tcW w:w="2891" w:type="dxa"/>
            <w:tcBorders>
              <w:top w:val="single" w:sz="4" w:space="0" w:color="auto"/>
              <w:left w:val="single" w:sz="4" w:space="0" w:color="auto"/>
              <w:bottom w:val="single" w:sz="4" w:space="0" w:color="auto"/>
              <w:right w:val="single" w:sz="4" w:space="0" w:color="auto"/>
            </w:tcBorders>
          </w:tcPr>
          <w:p w14:paraId="5D7C2735" w14:textId="3F507989" w:rsidR="000C32E6" w:rsidRDefault="00A805D4">
            <w:pPr>
              <w:spacing w:before="120" w:after="120" w:line="260" w:lineRule="exact"/>
              <w:rPr>
                <w:rFonts w:ascii="Corbel" w:hAnsi="Corbel"/>
                <w:sz w:val="23"/>
                <w:szCs w:val="23"/>
              </w:rPr>
            </w:pPr>
            <w:r>
              <w:rPr>
                <w:rFonts w:ascii="Corbel" w:hAnsi="Corbel"/>
                <w:sz w:val="23"/>
                <w:szCs w:val="23"/>
              </w:rPr>
              <w:t>From 2025</w:t>
            </w:r>
          </w:p>
        </w:tc>
      </w:tr>
      <w:tr w:rsidR="000C32E6" w:rsidRPr="00233EF3" w14:paraId="56CE9070" w14:textId="77777777" w:rsidTr="75E2BFC3">
        <w:trPr>
          <w:trHeight w:val="532"/>
        </w:trPr>
        <w:tc>
          <w:tcPr>
            <w:tcW w:w="13938" w:type="dxa"/>
            <w:gridSpan w:val="3"/>
            <w:tcBorders>
              <w:top w:val="single" w:sz="4" w:space="0" w:color="auto"/>
              <w:left w:val="single" w:sz="4" w:space="0" w:color="auto"/>
              <w:bottom w:val="single" w:sz="4" w:space="0" w:color="auto"/>
              <w:right w:val="single" w:sz="4" w:space="0" w:color="auto"/>
            </w:tcBorders>
            <w:shd w:val="clear" w:color="auto" w:fill="auto"/>
          </w:tcPr>
          <w:p w14:paraId="32392F0B" w14:textId="77777777" w:rsidR="000C32E6" w:rsidRPr="00233EF3" w:rsidRDefault="000C32E6">
            <w:pPr>
              <w:pStyle w:val="paragraph"/>
              <w:spacing w:before="0" w:beforeAutospacing="0" w:after="0" w:afterAutospacing="0"/>
              <w:textAlignment w:val="baseline"/>
              <w:rPr>
                <w:rFonts w:ascii="Corbel" w:hAnsi="Corbel"/>
                <w:sz w:val="23"/>
                <w:szCs w:val="23"/>
                <w:u w:val="single"/>
              </w:rPr>
            </w:pPr>
            <w:r w:rsidRPr="00233EF3">
              <w:rPr>
                <w:rFonts w:ascii="Corbel" w:hAnsi="Corbel"/>
                <w:b/>
                <w:bCs/>
                <w:sz w:val="23"/>
                <w:szCs w:val="23"/>
                <w:u w:val="single"/>
              </w:rPr>
              <w:t>Structured initiatives that support wellbeing for learning and engagement, for example in-school wellbeing coordinators or access to School Counsellors, psychologists, mental health workers and/or youth health nurses.</w:t>
            </w:r>
          </w:p>
        </w:tc>
      </w:tr>
      <w:tr w:rsidR="000C32E6" w14:paraId="1DB35D9A" w14:textId="77777777" w:rsidTr="75E2BFC3">
        <w:trPr>
          <w:trHeight w:val="40"/>
        </w:trPr>
        <w:tc>
          <w:tcPr>
            <w:tcW w:w="8764" w:type="dxa"/>
            <w:tcBorders>
              <w:top w:val="single" w:sz="4" w:space="0" w:color="auto"/>
              <w:left w:val="single" w:sz="4" w:space="0" w:color="auto"/>
              <w:bottom w:val="dotted" w:sz="4" w:space="0" w:color="auto"/>
              <w:right w:val="single" w:sz="4" w:space="0" w:color="auto"/>
            </w:tcBorders>
            <w:shd w:val="clear" w:color="auto" w:fill="auto"/>
          </w:tcPr>
          <w:p w14:paraId="4D87F18D" w14:textId="5611553B" w:rsidR="000C32E6" w:rsidRPr="007449B2" w:rsidRDefault="005E0AF9" w:rsidP="007449B2">
            <w:pPr>
              <w:pStyle w:val="ListParagraph"/>
              <w:numPr>
                <w:ilvl w:val="0"/>
                <w:numId w:val="51"/>
              </w:numPr>
              <w:spacing w:before="120" w:after="120" w:line="260" w:lineRule="exact"/>
              <w:jc w:val="both"/>
              <w:rPr>
                <w:rFonts w:ascii="Corbel" w:hAnsi="Corbel" w:cs="Segoe UI"/>
                <w:sz w:val="23"/>
                <w:szCs w:val="23"/>
              </w:rPr>
            </w:pPr>
            <w:r w:rsidRPr="007449B2">
              <w:rPr>
                <w:rFonts w:ascii="Corbel" w:eastAsia="Times New Roman" w:hAnsi="Corbel" w:cs="Calibri"/>
                <w:color w:val="000000"/>
                <w:sz w:val="23"/>
                <w:szCs w:val="23"/>
                <w:lang w:eastAsia="en-AU"/>
              </w:rPr>
              <w:t>Implement additional supports to meet children’s and young people's wellbeing needs for learning, including the strengthening of wellbeing support teams in schools and greater access to school mental health supports</w:t>
            </w:r>
            <w:r w:rsidR="00283C4D">
              <w:rPr>
                <w:rFonts w:ascii="Corbel" w:eastAsia="Times New Roman" w:hAnsi="Corbel" w:cs="Calibri"/>
                <w:color w:val="000000"/>
                <w:sz w:val="23"/>
                <w:szCs w:val="23"/>
                <w:lang w:eastAsia="en-AU"/>
              </w:rPr>
              <w:t>.</w:t>
            </w:r>
            <w:r w:rsidRPr="007449B2">
              <w:rPr>
                <w:rFonts w:ascii="Corbel" w:eastAsia="Times New Roman" w:hAnsi="Corbel" w:cs="Calibri"/>
                <w:color w:val="000000"/>
                <w:sz w:val="23"/>
                <w:szCs w:val="23"/>
                <w:lang w:eastAsia="en-AU"/>
              </w:rPr>
              <w:t xml:space="preserve"> </w:t>
            </w:r>
          </w:p>
        </w:tc>
        <w:tc>
          <w:tcPr>
            <w:tcW w:w="2283" w:type="dxa"/>
            <w:tcBorders>
              <w:top w:val="single" w:sz="4" w:space="0" w:color="auto"/>
              <w:left w:val="single" w:sz="4" w:space="0" w:color="auto"/>
              <w:bottom w:val="dotted" w:sz="4" w:space="0" w:color="auto"/>
              <w:right w:val="single" w:sz="4" w:space="0" w:color="auto"/>
            </w:tcBorders>
          </w:tcPr>
          <w:p w14:paraId="734A9865" w14:textId="77777777" w:rsidR="000C32E6" w:rsidRDefault="000C32E6">
            <w:pPr>
              <w:spacing w:before="120" w:after="120" w:line="260" w:lineRule="exact"/>
              <w:rPr>
                <w:rFonts w:ascii="Corbel" w:hAnsi="Corbel"/>
                <w:sz w:val="23"/>
                <w:szCs w:val="23"/>
              </w:rPr>
            </w:pPr>
            <w:r>
              <w:rPr>
                <w:rFonts w:ascii="Corbel" w:hAnsi="Corbel"/>
                <w:sz w:val="23"/>
                <w:szCs w:val="23"/>
              </w:rPr>
              <w:t>Government</w:t>
            </w:r>
          </w:p>
        </w:tc>
        <w:tc>
          <w:tcPr>
            <w:tcW w:w="2891" w:type="dxa"/>
            <w:tcBorders>
              <w:top w:val="single" w:sz="4" w:space="0" w:color="auto"/>
              <w:left w:val="single" w:sz="4" w:space="0" w:color="auto"/>
              <w:bottom w:val="dotted" w:sz="4" w:space="0" w:color="auto"/>
              <w:right w:val="single" w:sz="4" w:space="0" w:color="auto"/>
            </w:tcBorders>
          </w:tcPr>
          <w:p w14:paraId="0FC5434B" w14:textId="77777777" w:rsidR="000C32E6" w:rsidRDefault="000C32E6">
            <w:pPr>
              <w:spacing w:before="120" w:after="120" w:line="260" w:lineRule="exact"/>
              <w:rPr>
                <w:rFonts w:ascii="Corbel" w:hAnsi="Corbel"/>
                <w:sz w:val="23"/>
                <w:szCs w:val="23"/>
              </w:rPr>
            </w:pPr>
            <w:r>
              <w:rPr>
                <w:rFonts w:ascii="Corbel" w:hAnsi="Corbel"/>
                <w:sz w:val="23"/>
                <w:szCs w:val="23"/>
              </w:rPr>
              <w:t>From 2025</w:t>
            </w:r>
          </w:p>
        </w:tc>
      </w:tr>
      <w:tr w:rsidR="000C32E6" w:rsidRPr="009D721C" w14:paraId="4F63866A" w14:textId="77777777" w:rsidTr="75E2BFC3">
        <w:trPr>
          <w:trHeight w:val="40"/>
        </w:trPr>
        <w:tc>
          <w:tcPr>
            <w:tcW w:w="13938" w:type="dxa"/>
            <w:gridSpan w:val="3"/>
            <w:tcBorders>
              <w:top w:val="single" w:sz="4" w:space="0" w:color="auto"/>
              <w:left w:val="single" w:sz="4" w:space="0" w:color="auto"/>
              <w:bottom w:val="single" w:sz="4" w:space="0" w:color="auto"/>
              <w:right w:val="single" w:sz="4" w:space="0" w:color="auto"/>
            </w:tcBorders>
            <w:shd w:val="clear" w:color="auto" w:fill="auto"/>
          </w:tcPr>
          <w:p w14:paraId="526387F4" w14:textId="77777777" w:rsidR="000C32E6" w:rsidRPr="009D721C" w:rsidRDefault="000C32E6">
            <w:pPr>
              <w:spacing w:before="120" w:after="120" w:line="260" w:lineRule="exact"/>
              <w:rPr>
                <w:rFonts w:ascii="Corbel" w:eastAsia="Times New Roman" w:hAnsi="Corbel" w:cs="Corbel"/>
                <w:b/>
                <w:bCs/>
                <w:sz w:val="23"/>
                <w:szCs w:val="23"/>
                <w:u w:val="single"/>
                <w:lang w:eastAsia="en-AU"/>
              </w:rPr>
            </w:pPr>
            <w:r w:rsidRPr="009D721C">
              <w:rPr>
                <w:rFonts w:ascii="Corbel" w:eastAsia="Times New Roman" w:hAnsi="Corbel" w:cs="Corbel"/>
                <w:b/>
                <w:bCs/>
                <w:sz w:val="23"/>
                <w:szCs w:val="23"/>
                <w:u w:val="single"/>
                <w:lang w:eastAsia="en-AU"/>
              </w:rPr>
              <w:lastRenderedPageBreak/>
              <w:t xml:space="preserve">Initiatives which support student engagement in learning, for example </w:t>
            </w:r>
            <w:r>
              <w:rPr>
                <w:rFonts w:ascii="Corbel" w:eastAsia="Times New Roman" w:hAnsi="Corbel" w:cs="Corbel"/>
                <w:b/>
                <w:bCs/>
                <w:sz w:val="23"/>
                <w:szCs w:val="23"/>
                <w:u w:val="single"/>
                <w:lang w:eastAsia="en-AU"/>
              </w:rPr>
              <w:t xml:space="preserve">through </w:t>
            </w:r>
            <w:r w:rsidRPr="009D721C">
              <w:rPr>
                <w:rFonts w:ascii="Corbel" w:eastAsia="Times New Roman" w:hAnsi="Corbel" w:cs="Corbel"/>
                <w:b/>
                <w:bCs/>
                <w:sz w:val="23"/>
                <w:szCs w:val="23"/>
                <w:u w:val="single"/>
                <w:lang w:eastAsia="en-AU"/>
              </w:rPr>
              <w:t>greater student participation, attendance, inclusion and/or enhanced school-family engagement.</w:t>
            </w:r>
          </w:p>
        </w:tc>
      </w:tr>
      <w:tr w:rsidR="000C32E6" w:rsidRPr="00A059AF" w14:paraId="43A9D683" w14:textId="77777777" w:rsidTr="75E2BFC3">
        <w:trPr>
          <w:trHeight w:val="40"/>
        </w:trPr>
        <w:tc>
          <w:tcPr>
            <w:tcW w:w="8764" w:type="dxa"/>
            <w:tcBorders>
              <w:top w:val="single" w:sz="4" w:space="0" w:color="auto"/>
              <w:left w:val="single" w:sz="4" w:space="0" w:color="auto"/>
              <w:bottom w:val="dotted" w:sz="4" w:space="0" w:color="auto"/>
              <w:right w:val="single" w:sz="4" w:space="0" w:color="auto"/>
            </w:tcBorders>
            <w:shd w:val="clear" w:color="auto" w:fill="auto"/>
          </w:tcPr>
          <w:p w14:paraId="38286421" w14:textId="19A1AD8C" w:rsidR="000C32E6" w:rsidRPr="007449B2" w:rsidRDefault="004511F0" w:rsidP="007449B2">
            <w:pPr>
              <w:pStyle w:val="ListParagraph"/>
              <w:numPr>
                <w:ilvl w:val="0"/>
                <w:numId w:val="51"/>
              </w:numPr>
              <w:tabs>
                <w:tab w:val="left" w:pos="426"/>
              </w:tabs>
              <w:spacing w:after="240" w:line="260" w:lineRule="exact"/>
              <w:jc w:val="both"/>
              <w:rPr>
                <w:rFonts w:ascii="Corbel" w:eastAsia="Times New Roman" w:hAnsi="Corbel" w:cs="Calibri"/>
                <w:color w:val="000000"/>
                <w:sz w:val="23"/>
                <w:szCs w:val="23"/>
                <w:lang w:eastAsia="en-AU"/>
              </w:rPr>
            </w:pPr>
            <w:r w:rsidRPr="007449B2">
              <w:rPr>
                <w:rFonts w:ascii="Corbel" w:eastAsia="Times New Roman" w:hAnsi="Corbel" w:cs="Calibri"/>
                <w:color w:val="000000"/>
                <w:sz w:val="23"/>
                <w:szCs w:val="23"/>
                <w:lang w:eastAsia="en-AU"/>
              </w:rPr>
              <w:t>Prioritising school improvement expectations to progress a whole-school approach to improve attendance and reduce absence in an evidence-based, structured and systematic way within the framework of a multi-tiered approach.</w:t>
            </w:r>
          </w:p>
        </w:tc>
        <w:tc>
          <w:tcPr>
            <w:tcW w:w="2283" w:type="dxa"/>
            <w:tcBorders>
              <w:top w:val="single" w:sz="4" w:space="0" w:color="auto"/>
              <w:left w:val="single" w:sz="4" w:space="0" w:color="auto"/>
              <w:bottom w:val="dotted" w:sz="4" w:space="0" w:color="auto"/>
              <w:right w:val="single" w:sz="4" w:space="0" w:color="auto"/>
            </w:tcBorders>
          </w:tcPr>
          <w:p w14:paraId="009614BE" w14:textId="6A8B8FE0" w:rsidR="000C32E6" w:rsidRDefault="000C32E6">
            <w:pPr>
              <w:spacing w:before="120" w:after="120" w:line="260" w:lineRule="exact"/>
              <w:rPr>
                <w:rFonts w:ascii="Corbel" w:hAnsi="Corbel"/>
                <w:sz w:val="23"/>
                <w:szCs w:val="23"/>
              </w:rPr>
            </w:pPr>
            <w:r>
              <w:rPr>
                <w:rFonts w:ascii="Corbel" w:hAnsi="Corbel"/>
                <w:sz w:val="23"/>
                <w:szCs w:val="23"/>
              </w:rPr>
              <w:t>Government</w:t>
            </w:r>
          </w:p>
        </w:tc>
        <w:tc>
          <w:tcPr>
            <w:tcW w:w="2891" w:type="dxa"/>
            <w:tcBorders>
              <w:top w:val="single" w:sz="4" w:space="0" w:color="auto"/>
              <w:left w:val="single" w:sz="4" w:space="0" w:color="auto"/>
              <w:bottom w:val="dotted" w:sz="4" w:space="0" w:color="auto"/>
              <w:right w:val="single" w:sz="4" w:space="0" w:color="auto"/>
            </w:tcBorders>
          </w:tcPr>
          <w:p w14:paraId="18A66CD5" w14:textId="77777777" w:rsidR="000C32E6" w:rsidRPr="00A059AF" w:rsidRDefault="000C32E6">
            <w:pPr>
              <w:spacing w:before="120" w:after="120" w:line="260" w:lineRule="exact"/>
              <w:rPr>
                <w:rFonts w:ascii="Corbel" w:eastAsia="Times New Roman" w:hAnsi="Corbel" w:cs="Arial"/>
                <w:sz w:val="23"/>
                <w:szCs w:val="23"/>
                <w:lang w:eastAsia="en-AU"/>
              </w:rPr>
            </w:pPr>
            <w:r>
              <w:rPr>
                <w:rFonts w:ascii="Corbel" w:eastAsia="Times New Roman" w:hAnsi="Corbel" w:cs="Arial"/>
                <w:sz w:val="23"/>
                <w:szCs w:val="23"/>
                <w:lang w:eastAsia="en-AU"/>
              </w:rPr>
              <w:t>From 2025</w:t>
            </w:r>
          </w:p>
        </w:tc>
      </w:tr>
      <w:tr w:rsidR="000C32E6" w:rsidRPr="00A059AF" w14:paraId="089C2F59" w14:textId="77777777" w:rsidTr="75E2BFC3">
        <w:trPr>
          <w:trHeight w:val="632"/>
        </w:trPr>
        <w:tc>
          <w:tcPr>
            <w:tcW w:w="8764" w:type="dxa"/>
            <w:tcBorders>
              <w:top w:val="dotted" w:sz="4" w:space="0" w:color="auto"/>
              <w:left w:val="single" w:sz="4" w:space="0" w:color="auto"/>
              <w:bottom w:val="dotted" w:sz="4" w:space="0" w:color="auto"/>
              <w:right w:val="single" w:sz="4" w:space="0" w:color="auto"/>
            </w:tcBorders>
            <w:shd w:val="clear" w:color="auto" w:fill="auto"/>
          </w:tcPr>
          <w:p w14:paraId="6597283B" w14:textId="071B712D" w:rsidR="000C32E6" w:rsidRPr="0058778A" w:rsidDel="00D749B9" w:rsidRDefault="002C1F03" w:rsidP="007449B2">
            <w:pPr>
              <w:pStyle w:val="ListParagraph"/>
              <w:numPr>
                <w:ilvl w:val="0"/>
                <w:numId w:val="51"/>
              </w:numPr>
              <w:tabs>
                <w:tab w:val="left" w:pos="426"/>
              </w:tabs>
              <w:spacing w:after="240" w:line="260" w:lineRule="exact"/>
              <w:jc w:val="both"/>
              <w:rPr>
                <w:rStyle w:val="normaltextrun"/>
                <w:rFonts w:ascii="Corbel" w:eastAsia="Times New Roman" w:hAnsi="Corbel" w:cs="Calibri"/>
                <w:color w:val="000000"/>
                <w:sz w:val="23"/>
                <w:szCs w:val="23"/>
                <w:lang w:eastAsia="en-AU"/>
              </w:rPr>
            </w:pPr>
            <w:r w:rsidRPr="007449B2">
              <w:rPr>
                <w:rFonts w:ascii="Corbel" w:eastAsia="Times New Roman" w:hAnsi="Corbel" w:cs="Calibri"/>
                <w:color w:val="000000"/>
                <w:sz w:val="23"/>
                <w:szCs w:val="23"/>
                <w:lang w:eastAsia="en-AU"/>
              </w:rPr>
              <w:t>Providing a toolkit of evidence-based resources for school leaders to utilise when planning for improved attendance.</w:t>
            </w:r>
          </w:p>
        </w:tc>
        <w:tc>
          <w:tcPr>
            <w:tcW w:w="2283" w:type="dxa"/>
            <w:tcBorders>
              <w:top w:val="dotted" w:sz="4" w:space="0" w:color="auto"/>
              <w:left w:val="single" w:sz="4" w:space="0" w:color="auto"/>
              <w:bottom w:val="dotted" w:sz="4" w:space="0" w:color="auto"/>
              <w:right w:val="single" w:sz="4" w:space="0" w:color="auto"/>
            </w:tcBorders>
          </w:tcPr>
          <w:p w14:paraId="72EF5046" w14:textId="42D174EF" w:rsidR="000C32E6" w:rsidRDefault="00D62316">
            <w:pPr>
              <w:spacing w:before="120" w:after="120" w:line="260" w:lineRule="exact"/>
              <w:rPr>
                <w:rFonts w:ascii="Corbel" w:hAnsi="Corbel"/>
                <w:sz w:val="23"/>
                <w:szCs w:val="23"/>
              </w:rPr>
            </w:pPr>
            <w:r>
              <w:rPr>
                <w:rFonts w:ascii="Corbel" w:hAnsi="Corbel"/>
                <w:sz w:val="23"/>
                <w:szCs w:val="23"/>
              </w:rPr>
              <w:t>Government</w:t>
            </w:r>
          </w:p>
        </w:tc>
        <w:tc>
          <w:tcPr>
            <w:tcW w:w="2891" w:type="dxa"/>
            <w:tcBorders>
              <w:top w:val="dotted" w:sz="4" w:space="0" w:color="auto"/>
              <w:left w:val="single" w:sz="4" w:space="0" w:color="auto"/>
              <w:bottom w:val="dotted" w:sz="4" w:space="0" w:color="auto"/>
              <w:right w:val="single" w:sz="4" w:space="0" w:color="auto"/>
            </w:tcBorders>
          </w:tcPr>
          <w:p w14:paraId="61E77C66" w14:textId="50C923E4" w:rsidR="000C32E6" w:rsidRPr="00A059AF" w:rsidRDefault="00A805D4">
            <w:pPr>
              <w:spacing w:before="120" w:after="120" w:line="260" w:lineRule="exact"/>
              <w:rPr>
                <w:rFonts w:ascii="Corbel" w:eastAsia="Times New Roman" w:hAnsi="Corbel" w:cs="Arial"/>
                <w:sz w:val="23"/>
                <w:szCs w:val="23"/>
                <w:lang w:eastAsia="en-AU"/>
              </w:rPr>
            </w:pPr>
            <w:r>
              <w:rPr>
                <w:rFonts w:ascii="Corbel" w:eastAsia="Times New Roman" w:hAnsi="Corbel" w:cs="Arial"/>
                <w:sz w:val="23"/>
                <w:szCs w:val="23"/>
                <w:lang w:eastAsia="en-AU"/>
              </w:rPr>
              <w:t>From 2025</w:t>
            </w:r>
          </w:p>
        </w:tc>
      </w:tr>
      <w:tr w:rsidR="00DF4257" w:rsidRPr="00A059AF" w14:paraId="08B4FBE0" w14:textId="77777777" w:rsidTr="75E2BFC3">
        <w:trPr>
          <w:trHeight w:val="40"/>
        </w:trPr>
        <w:tc>
          <w:tcPr>
            <w:tcW w:w="8764" w:type="dxa"/>
            <w:tcBorders>
              <w:top w:val="dotted" w:sz="4" w:space="0" w:color="auto"/>
              <w:left w:val="single" w:sz="4" w:space="0" w:color="auto"/>
              <w:bottom w:val="dotted" w:sz="4" w:space="0" w:color="auto"/>
              <w:right w:val="single" w:sz="4" w:space="0" w:color="auto"/>
            </w:tcBorders>
            <w:shd w:val="clear" w:color="auto" w:fill="auto"/>
          </w:tcPr>
          <w:p w14:paraId="487E4882" w14:textId="0B1630EF" w:rsidR="00DF4257" w:rsidRPr="007449B2" w:rsidRDefault="00DF4257" w:rsidP="007449B2">
            <w:pPr>
              <w:pStyle w:val="ListParagraph"/>
              <w:numPr>
                <w:ilvl w:val="0"/>
                <w:numId w:val="51"/>
              </w:numPr>
              <w:tabs>
                <w:tab w:val="left" w:pos="426"/>
              </w:tabs>
              <w:spacing w:after="240" w:line="260" w:lineRule="exact"/>
              <w:jc w:val="both"/>
              <w:rPr>
                <w:rFonts w:ascii="Corbel" w:eastAsia="Times New Roman" w:hAnsi="Corbel" w:cs="Calibri"/>
                <w:color w:val="000000"/>
                <w:sz w:val="23"/>
                <w:szCs w:val="23"/>
                <w:lang w:eastAsia="en-AU"/>
              </w:rPr>
            </w:pPr>
            <w:r w:rsidRPr="007449B2">
              <w:rPr>
                <w:rFonts w:ascii="Corbel" w:eastAsia="Times New Roman" w:hAnsi="Corbel" w:cs="Calibri"/>
                <w:color w:val="000000"/>
                <w:sz w:val="23"/>
                <w:szCs w:val="23"/>
                <w:lang w:eastAsia="en-AU"/>
              </w:rPr>
              <w:t>Draw upon a national and local research and consultation to better understand the drivers for non-attendance in the Tasmanian context.</w:t>
            </w:r>
          </w:p>
        </w:tc>
        <w:tc>
          <w:tcPr>
            <w:tcW w:w="2283" w:type="dxa"/>
            <w:tcBorders>
              <w:top w:val="dotted" w:sz="4" w:space="0" w:color="auto"/>
              <w:left w:val="single" w:sz="4" w:space="0" w:color="auto"/>
              <w:bottom w:val="dotted" w:sz="4" w:space="0" w:color="auto"/>
              <w:right w:val="single" w:sz="4" w:space="0" w:color="auto"/>
            </w:tcBorders>
          </w:tcPr>
          <w:p w14:paraId="2FB08F20" w14:textId="7CE53A55" w:rsidR="00DF4257" w:rsidRDefault="00456D4A">
            <w:pPr>
              <w:spacing w:before="120" w:after="120" w:line="260" w:lineRule="exact"/>
              <w:rPr>
                <w:rFonts w:ascii="Corbel" w:hAnsi="Corbel"/>
                <w:sz w:val="23"/>
                <w:szCs w:val="23"/>
              </w:rPr>
            </w:pPr>
            <w:r>
              <w:rPr>
                <w:rFonts w:ascii="Corbel" w:hAnsi="Corbel"/>
                <w:sz w:val="23"/>
                <w:szCs w:val="23"/>
              </w:rPr>
              <w:t>Government</w:t>
            </w:r>
          </w:p>
        </w:tc>
        <w:tc>
          <w:tcPr>
            <w:tcW w:w="2891" w:type="dxa"/>
            <w:tcBorders>
              <w:top w:val="dotted" w:sz="4" w:space="0" w:color="auto"/>
              <w:left w:val="single" w:sz="4" w:space="0" w:color="auto"/>
              <w:bottom w:val="dotted" w:sz="4" w:space="0" w:color="auto"/>
              <w:right w:val="single" w:sz="4" w:space="0" w:color="auto"/>
            </w:tcBorders>
          </w:tcPr>
          <w:p w14:paraId="236F87AF" w14:textId="6342DD08" w:rsidR="00DF4257" w:rsidRPr="00A059AF" w:rsidRDefault="00A805D4">
            <w:pPr>
              <w:spacing w:before="120" w:after="120" w:line="260" w:lineRule="exact"/>
              <w:rPr>
                <w:rFonts w:ascii="Corbel" w:eastAsia="Times New Roman" w:hAnsi="Corbel" w:cs="Arial"/>
                <w:sz w:val="23"/>
                <w:szCs w:val="23"/>
                <w:lang w:eastAsia="en-AU"/>
              </w:rPr>
            </w:pPr>
            <w:r>
              <w:rPr>
                <w:rFonts w:ascii="Corbel" w:eastAsia="Times New Roman" w:hAnsi="Corbel" w:cs="Arial"/>
                <w:sz w:val="23"/>
                <w:szCs w:val="23"/>
                <w:lang w:eastAsia="en-AU"/>
              </w:rPr>
              <w:t>From 2025</w:t>
            </w:r>
          </w:p>
        </w:tc>
      </w:tr>
      <w:tr w:rsidR="00DF4257" w:rsidRPr="00A059AF" w14:paraId="64BD4C8C" w14:textId="77777777" w:rsidTr="75E2BFC3">
        <w:trPr>
          <w:trHeight w:val="626"/>
        </w:trPr>
        <w:tc>
          <w:tcPr>
            <w:tcW w:w="8764" w:type="dxa"/>
            <w:tcBorders>
              <w:top w:val="dotted" w:sz="4" w:space="0" w:color="auto"/>
              <w:left w:val="single" w:sz="4" w:space="0" w:color="auto"/>
              <w:bottom w:val="dotted" w:sz="4" w:space="0" w:color="auto"/>
              <w:right w:val="single" w:sz="4" w:space="0" w:color="auto"/>
            </w:tcBorders>
            <w:shd w:val="clear" w:color="auto" w:fill="auto"/>
          </w:tcPr>
          <w:p w14:paraId="3EF07C84" w14:textId="42376FFB" w:rsidR="00DF4257" w:rsidRPr="007449B2" w:rsidRDefault="555EE0D9" w:rsidP="007449B2">
            <w:pPr>
              <w:pStyle w:val="ListParagraph"/>
              <w:numPr>
                <w:ilvl w:val="0"/>
                <w:numId w:val="51"/>
              </w:numPr>
              <w:tabs>
                <w:tab w:val="left" w:pos="426"/>
              </w:tabs>
              <w:spacing w:after="240" w:line="260" w:lineRule="exact"/>
              <w:jc w:val="both"/>
              <w:rPr>
                <w:rFonts w:ascii="Corbel" w:eastAsia="Times New Roman" w:hAnsi="Corbel" w:cs="Calibri"/>
                <w:color w:val="000000"/>
                <w:sz w:val="23"/>
                <w:szCs w:val="23"/>
                <w:lang w:eastAsia="en-AU"/>
              </w:rPr>
            </w:pPr>
            <w:r w:rsidRPr="75E2BFC3">
              <w:rPr>
                <w:rFonts w:ascii="Corbel" w:eastAsia="Times New Roman" w:hAnsi="Corbel" w:cs="Calibri"/>
                <w:color w:val="000000" w:themeColor="text1"/>
                <w:sz w:val="23"/>
                <w:szCs w:val="23"/>
                <w:lang w:eastAsia="en-AU"/>
              </w:rPr>
              <w:t xml:space="preserve">Strengthening the </w:t>
            </w:r>
            <w:r w:rsidR="2F215AE9" w:rsidRPr="75E2BFC3">
              <w:rPr>
                <w:rFonts w:ascii="Corbel" w:eastAsia="Times New Roman" w:hAnsi="Corbel" w:cs="Calibri"/>
                <w:color w:val="000000" w:themeColor="text1"/>
                <w:sz w:val="23"/>
                <w:szCs w:val="23"/>
                <w:lang w:eastAsia="en-AU"/>
              </w:rPr>
              <w:t>tiered</w:t>
            </w:r>
            <w:r w:rsidRPr="75E2BFC3">
              <w:rPr>
                <w:rFonts w:ascii="Corbel" w:eastAsia="Times New Roman" w:hAnsi="Corbel" w:cs="Calibri"/>
                <w:color w:val="000000" w:themeColor="text1"/>
                <w:sz w:val="23"/>
                <w:szCs w:val="23"/>
                <w:lang w:eastAsia="en-AU"/>
              </w:rPr>
              <w:t xml:space="preserve"> re-engagement provision for Years 8-1</w:t>
            </w:r>
            <w:r w:rsidR="12856877" w:rsidRPr="75E2BFC3">
              <w:rPr>
                <w:rFonts w:ascii="Corbel" w:eastAsia="Times New Roman" w:hAnsi="Corbel" w:cs="Calibri"/>
                <w:color w:val="000000" w:themeColor="text1"/>
                <w:sz w:val="23"/>
                <w:szCs w:val="23"/>
                <w:lang w:eastAsia="en-AU"/>
              </w:rPr>
              <w:t>2</w:t>
            </w:r>
            <w:r w:rsidRPr="75E2BFC3">
              <w:rPr>
                <w:rFonts w:ascii="Corbel" w:eastAsia="Times New Roman" w:hAnsi="Corbel" w:cs="Calibri"/>
                <w:color w:val="000000" w:themeColor="text1"/>
                <w:sz w:val="23"/>
                <w:szCs w:val="23"/>
                <w:lang w:eastAsia="en-AU"/>
              </w:rPr>
              <w:t xml:space="preserve">. This program aims to build the capacity of young people to re-engage back into the mainstream education </w:t>
            </w:r>
            <w:r w:rsidR="0BACAE21" w:rsidRPr="75E2BFC3">
              <w:rPr>
                <w:rFonts w:ascii="Corbel" w:eastAsia="Times New Roman" w:hAnsi="Corbel" w:cs="Calibri"/>
                <w:color w:val="000000" w:themeColor="text1"/>
                <w:sz w:val="23"/>
                <w:szCs w:val="23"/>
                <w:lang w:eastAsia="en-AU"/>
              </w:rPr>
              <w:t>and provide additional supports at a school and system level where required.</w:t>
            </w:r>
          </w:p>
        </w:tc>
        <w:tc>
          <w:tcPr>
            <w:tcW w:w="2283" w:type="dxa"/>
            <w:tcBorders>
              <w:top w:val="dotted" w:sz="4" w:space="0" w:color="auto"/>
              <w:left w:val="single" w:sz="4" w:space="0" w:color="auto"/>
              <w:bottom w:val="dotted" w:sz="4" w:space="0" w:color="auto"/>
              <w:right w:val="single" w:sz="4" w:space="0" w:color="auto"/>
            </w:tcBorders>
          </w:tcPr>
          <w:p w14:paraId="2AE5990A" w14:textId="2434712B" w:rsidR="00DF4257" w:rsidRDefault="00B17FA2">
            <w:pPr>
              <w:spacing w:before="120" w:after="120" w:line="260" w:lineRule="exact"/>
              <w:rPr>
                <w:rFonts w:ascii="Corbel" w:hAnsi="Corbel"/>
                <w:sz w:val="23"/>
                <w:szCs w:val="23"/>
              </w:rPr>
            </w:pPr>
            <w:r>
              <w:rPr>
                <w:rFonts w:ascii="Corbel" w:hAnsi="Corbel"/>
                <w:sz w:val="23"/>
                <w:szCs w:val="23"/>
              </w:rPr>
              <w:t>Government</w:t>
            </w:r>
          </w:p>
        </w:tc>
        <w:tc>
          <w:tcPr>
            <w:tcW w:w="2891" w:type="dxa"/>
            <w:tcBorders>
              <w:top w:val="dotted" w:sz="4" w:space="0" w:color="auto"/>
              <w:left w:val="single" w:sz="4" w:space="0" w:color="auto"/>
              <w:bottom w:val="dotted" w:sz="4" w:space="0" w:color="auto"/>
              <w:right w:val="single" w:sz="4" w:space="0" w:color="auto"/>
            </w:tcBorders>
          </w:tcPr>
          <w:p w14:paraId="452CDA3E" w14:textId="780A9A81" w:rsidR="00DF4257" w:rsidRPr="00A059AF" w:rsidRDefault="00A805D4">
            <w:pPr>
              <w:spacing w:before="120" w:after="120" w:line="260" w:lineRule="exact"/>
              <w:rPr>
                <w:rFonts w:ascii="Corbel" w:eastAsia="Times New Roman" w:hAnsi="Corbel" w:cs="Arial"/>
                <w:sz w:val="23"/>
                <w:szCs w:val="23"/>
                <w:lang w:eastAsia="en-AU"/>
              </w:rPr>
            </w:pPr>
            <w:r>
              <w:rPr>
                <w:rFonts w:ascii="Corbel" w:eastAsia="Times New Roman" w:hAnsi="Corbel" w:cs="Arial"/>
                <w:sz w:val="23"/>
                <w:szCs w:val="23"/>
                <w:lang w:eastAsia="en-AU"/>
              </w:rPr>
              <w:t>From 2025</w:t>
            </w:r>
          </w:p>
        </w:tc>
      </w:tr>
      <w:tr w:rsidR="001F72A4" w:rsidRPr="00A059AF" w14:paraId="01146072" w14:textId="77777777" w:rsidTr="75E2BFC3">
        <w:trPr>
          <w:trHeight w:val="40"/>
        </w:trPr>
        <w:tc>
          <w:tcPr>
            <w:tcW w:w="8764" w:type="dxa"/>
            <w:tcBorders>
              <w:top w:val="dotted" w:sz="4" w:space="0" w:color="auto"/>
              <w:left w:val="single" w:sz="4" w:space="0" w:color="auto"/>
              <w:bottom w:val="dotted" w:sz="4" w:space="0" w:color="auto"/>
              <w:right w:val="single" w:sz="4" w:space="0" w:color="auto"/>
            </w:tcBorders>
            <w:shd w:val="clear" w:color="auto" w:fill="auto"/>
          </w:tcPr>
          <w:p w14:paraId="66E2AE40" w14:textId="38859B36" w:rsidR="001F72A4" w:rsidRPr="007449B2" w:rsidRDefault="00BE3CE0" w:rsidP="007449B2">
            <w:pPr>
              <w:pStyle w:val="ListParagraph"/>
              <w:numPr>
                <w:ilvl w:val="0"/>
                <w:numId w:val="51"/>
              </w:numPr>
              <w:tabs>
                <w:tab w:val="left" w:pos="426"/>
              </w:tabs>
              <w:spacing w:after="240" w:line="260" w:lineRule="exact"/>
              <w:jc w:val="both"/>
              <w:rPr>
                <w:rFonts w:ascii="Corbel" w:eastAsia="Times New Roman" w:hAnsi="Corbel" w:cs="Calibri"/>
                <w:color w:val="000000"/>
                <w:sz w:val="23"/>
                <w:szCs w:val="23"/>
                <w:lang w:eastAsia="en-AU"/>
              </w:rPr>
            </w:pPr>
            <w:r w:rsidRPr="007449B2">
              <w:rPr>
                <w:rFonts w:ascii="Corbel" w:eastAsia="Times New Roman" w:hAnsi="Corbel" w:cs="Calibri"/>
                <w:color w:val="000000"/>
                <w:sz w:val="23"/>
                <w:szCs w:val="23"/>
                <w:lang w:eastAsia="en-AU"/>
              </w:rPr>
              <w:t>Designing and implementing a contemporary evidence-based approach to learning at school, with particular focus on strengthening supports and engagement for all learners at all stages of their education.</w:t>
            </w:r>
          </w:p>
        </w:tc>
        <w:tc>
          <w:tcPr>
            <w:tcW w:w="2283" w:type="dxa"/>
            <w:tcBorders>
              <w:top w:val="dotted" w:sz="4" w:space="0" w:color="auto"/>
              <w:left w:val="single" w:sz="4" w:space="0" w:color="auto"/>
              <w:bottom w:val="dotted" w:sz="4" w:space="0" w:color="auto"/>
              <w:right w:val="single" w:sz="4" w:space="0" w:color="auto"/>
            </w:tcBorders>
          </w:tcPr>
          <w:p w14:paraId="2143B7E0" w14:textId="44AB4DEB" w:rsidR="001F72A4" w:rsidRDefault="00456D4A">
            <w:pPr>
              <w:spacing w:before="120" w:after="120" w:line="260" w:lineRule="exact"/>
              <w:rPr>
                <w:rFonts w:ascii="Corbel" w:hAnsi="Corbel"/>
                <w:sz w:val="23"/>
                <w:szCs w:val="23"/>
              </w:rPr>
            </w:pPr>
            <w:r>
              <w:rPr>
                <w:rFonts w:ascii="Corbel" w:hAnsi="Corbel"/>
                <w:sz w:val="23"/>
                <w:szCs w:val="23"/>
              </w:rPr>
              <w:t>Government/Catholic</w:t>
            </w:r>
          </w:p>
        </w:tc>
        <w:tc>
          <w:tcPr>
            <w:tcW w:w="2891" w:type="dxa"/>
            <w:tcBorders>
              <w:top w:val="dotted" w:sz="4" w:space="0" w:color="auto"/>
              <w:left w:val="single" w:sz="4" w:space="0" w:color="auto"/>
              <w:bottom w:val="dotted" w:sz="4" w:space="0" w:color="auto"/>
              <w:right w:val="single" w:sz="4" w:space="0" w:color="auto"/>
            </w:tcBorders>
          </w:tcPr>
          <w:p w14:paraId="3DF1D20F" w14:textId="756498F0" w:rsidR="001F72A4" w:rsidRPr="00A059AF" w:rsidRDefault="00A805D4">
            <w:pPr>
              <w:spacing w:before="120" w:after="120" w:line="260" w:lineRule="exact"/>
              <w:rPr>
                <w:rFonts w:ascii="Corbel" w:eastAsia="Times New Roman" w:hAnsi="Corbel" w:cs="Arial"/>
                <w:sz w:val="23"/>
                <w:szCs w:val="23"/>
                <w:lang w:eastAsia="en-AU"/>
              </w:rPr>
            </w:pPr>
            <w:r>
              <w:rPr>
                <w:rFonts w:ascii="Corbel" w:eastAsia="Times New Roman" w:hAnsi="Corbel" w:cs="Arial"/>
                <w:sz w:val="23"/>
                <w:szCs w:val="23"/>
                <w:lang w:eastAsia="en-AU"/>
              </w:rPr>
              <w:t>From 2025</w:t>
            </w:r>
          </w:p>
        </w:tc>
      </w:tr>
      <w:tr w:rsidR="00BE3CE0" w:rsidRPr="00A059AF" w14:paraId="2B3D909B" w14:textId="77777777" w:rsidTr="75E2BFC3">
        <w:trPr>
          <w:trHeight w:val="40"/>
        </w:trPr>
        <w:tc>
          <w:tcPr>
            <w:tcW w:w="8764" w:type="dxa"/>
            <w:tcBorders>
              <w:top w:val="dotted" w:sz="4" w:space="0" w:color="auto"/>
              <w:left w:val="single" w:sz="4" w:space="0" w:color="auto"/>
              <w:bottom w:val="single" w:sz="4" w:space="0" w:color="auto"/>
              <w:right w:val="single" w:sz="4" w:space="0" w:color="auto"/>
            </w:tcBorders>
            <w:shd w:val="clear" w:color="auto" w:fill="auto"/>
          </w:tcPr>
          <w:p w14:paraId="57DF3B57" w14:textId="73D97BF1" w:rsidR="00BE3CE0" w:rsidRPr="007449B2" w:rsidRDefault="00480005" w:rsidP="007449B2">
            <w:pPr>
              <w:pStyle w:val="ListParagraph"/>
              <w:numPr>
                <w:ilvl w:val="0"/>
                <w:numId w:val="51"/>
              </w:numPr>
              <w:tabs>
                <w:tab w:val="left" w:pos="426"/>
              </w:tabs>
              <w:spacing w:after="240" w:line="260" w:lineRule="exact"/>
              <w:jc w:val="both"/>
              <w:rPr>
                <w:rFonts w:ascii="Corbel" w:eastAsia="Times New Roman" w:hAnsi="Corbel" w:cs="Calibri"/>
                <w:color w:val="000000"/>
                <w:sz w:val="23"/>
                <w:szCs w:val="23"/>
                <w:lang w:eastAsia="en-AU"/>
              </w:rPr>
            </w:pPr>
            <w:r w:rsidRPr="007449B2">
              <w:rPr>
                <w:rFonts w:ascii="Corbel" w:eastAsia="Times New Roman" w:hAnsi="Corbel" w:cs="Calibri"/>
                <w:color w:val="000000"/>
                <w:sz w:val="23"/>
                <w:szCs w:val="23"/>
                <w:lang w:eastAsia="en-AU"/>
              </w:rPr>
              <w:t xml:space="preserve">Develop a shared definition of </w:t>
            </w:r>
            <w:r w:rsidR="00C56567">
              <w:rPr>
                <w:rFonts w:ascii="Corbel" w:eastAsia="Times New Roman" w:hAnsi="Corbel" w:cs="Calibri"/>
                <w:color w:val="000000"/>
                <w:sz w:val="23"/>
                <w:szCs w:val="23"/>
                <w:lang w:eastAsia="en-AU"/>
              </w:rPr>
              <w:t xml:space="preserve">educational </w:t>
            </w:r>
            <w:r w:rsidRPr="007449B2">
              <w:rPr>
                <w:rFonts w:ascii="Corbel" w:eastAsia="Times New Roman" w:hAnsi="Corbel" w:cs="Calibri"/>
                <w:color w:val="000000"/>
                <w:sz w:val="23"/>
                <w:szCs w:val="23"/>
                <w:lang w:eastAsia="en-AU"/>
              </w:rPr>
              <w:t>success for young people (approx. aged 18) in Tasmania and work to operationalise mechanisms to ensure that success.</w:t>
            </w:r>
          </w:p>
        </w:tc>
        <w:tc>
          <w:tcPr>
            <w:tcW w:w="2283" w:type="dxa"/>
            <w:tcBorders>
              <w:top w:val="dotted" w:sz="4" w:space="0" w:color="auto"/>
              <w:left w:val="single" w:sz="4" w:space="0" w:color="auto"/>
              <w:bottom w:val="single" w:sz="4" w:space="0" w:color="auto"/>
              <w:right w:val="single" w:sz="4" w:space="0" w:color="auto"/>
            </w:tcBorders>
          </w:tcPr>
          <w:p w14:paraId="29F45BE3" w14:textId="4C3B2B96" w:rsidR="00BE3CE0" w:rsidRDefault="00D62316">
            <w:pPr>
              <w:spacing w:before="120" w:after="120" w:line="260" w:lineRule="exact"/>
              <w:rPr>
                <w:rFonts w:ascii="Corbel" w:hAnsi="Corbel"/>
                <w:sz w:val="23"/>
                <w:szCs w:val="23"/>
              </w:rPr>
            </w:pPr>
            <w:r>
              <w:rPr>
                <w:rFonts w:ascii="Corbel" w:hAnsi="Corbel"/>
                <w:sz w:val="23"/>
                <w:szCs w:val="23"/>
              </w:rPr>
              <w:t>All</w:t>
            </w:r>
            <w:r w:rsidR="00F41FB5">
              <w:rPr>
                <w:rFonts w:ascii="Corbel" w:hAnsi="Corbel"/>
                <w:sz w:val="23"/>
                <w:szCs w:val="23"/>
              </w:rPr>
              <w:t xml:space="preserve"> </w:t>
            </w:r>
            <w:r w:rsidR="00F41FB5">
              <w:t>school</w:t>
            </w:r>
            <w:r>
              <w:rPr>
                <w:rFonts w:ascii="Corbel" w:hAnsi="Corbel"/>
                <w:sz w:val="23"/>
                <w:szCs w:val="23"/>
              </w:rPr>
              <w:t xml:space="preserve"> sectors</w:t>
            </w:r>
          </w:p>
        </w:tc>
        <w:tc>
          <w:tcPr>
            <w:tcW w:w="2891" w:type="dxa"/>
            <w:tcBorders>
              <w:top w:val="dotted" w:sz="4" w:space="0" w:color="auto"/>
              <w:left w:val="single" w:sz="4" w:space="0" w:color="auto"/>
              <w:bottom w:val="single" w:sz="4" w:space="0" w:color="auto"/>
              <w:right w:val="single" w:sz="4" w:space="0" w:color="auto"/>
            </w:tcBorders>
          </w:tcPr>
          <w:p w14:paraId="1E75E0CB" w14:textId="73FC42E7" w:rsidR="00BE3CE0" w:rsidRPr="00A059AF" w:rsidRDefault="00A805D4">
            <w:pPr>
              <w:spacing w:before="120" w:after="120" w:line="260" w:lineRule="exact"/>
              <w:rPr>
                <w:rFonts w:ascii="Corbel" w:eastAsia="Times New Roman" w:hAnsi="Corbel" w:cs="Arial"/>
                <w:sz w:val="23"/>
                <w:szCs w:val="23"/>
                <w:lang w:eastAsia="en-AU"/>
              </w:rPr>
            </w:pPr>
            <w:r>
              <w:rPr>
                <w:rFonts w:ascii="Corbel" w:eastAsia="Times New Roman" w:hAnsi="Corbel" w:cs="Arial"/>
                <w:sz w:val="23"/>
                <w:szCs w:val="23"/>
                <w:lang w:eastAsia="en-AU"/>
              </w:rPr>
              <w:t>From 2025</w:t>
            </w:r>
          </w:p>
        </w:tc>
      </w:tr>
      <w:tr w:rsidR="000C32E6" w:rsidRPr="7D2E62D3" w14:paraId="7295EB04" w14:textId="77777777" w:rsidTr="75E2BFC3">
        <w:trPr>
          <w:trHeight w:val="257"/>
        </w:trPr>
        <w:tc>
          <w:tcPr>
            <w:tcW w:w="13938" w:type="dxa"/>
            <w:gridSpan w:val="3"/>
            <w:tcBorders>
              <w:top w:val="single" w:sz="4" w:space="0" w:color="auto"/>
              <w:left w:val="single" w:sz="4" w:space="0" w:color="auto"/>
              <w:bottom w:val="single" w:sz="4" w:space="0" w:color="auto"/>
              <w:right w:val="single" w:sz="4" w:space="0" w:color="auto"/>
            </w:tcBorders>
            <w:shd w:val="clear" w:color="auto" w:fill="auto"/>
          </w:tcPr>
          <w:p w14:paraId="6AD11816" w14:textId="77777777" w:rsidR="000C32E6" w:rsidRPr="7D2E62D3" w:rsidRDefault="000C32E6">
            <w:pPr>
              <w:spacing w:before="120" w:after="120" w:line="260" w:lineRule="exact"/>
              <w:jc w:val="both"/>
              <w:rPr>
                <w:rFonts w:ascii="Corbel" w:eastAsia="Times New Roman" w:hAnsi="Corbel" w:cs="Arial"/>
                <w:color w:val="000000" w:themeColor="text1"/>
                <w:sz w:val="23"/>
                <w:szCs w:val="23"/>
                <w:lang w:eastAsia="en-AU"/>
              </w:rPr>
            </w:pPr>
            <w:r w:rsidRPr="7D2E62D3">
              <w:rPr>
                <w:rFonts w:ascii="Corbel" w:eastAsia="Times New Roman" w:hAnsi="Corbel" w:cs="Corbel"/>
                <w:b/>
                <w:bCs/>
                <w:color w:val="000000" w:themeColor="text1"/>
                <w:sz w:val="23"/>
                <w:szCs w:val="23"/>
                <w:lang w:eastAsia="en-AU"/>
              </w:rPr>
              <w:t xml:space="preserve">Reform </w:t>
            </w:r>
            <w:r>
              <w:rPr>
                <w:rFonts w:ascii="Corbel" w:eastAsia="Times New Roman" w:hAnsi="Corbel" w:cs="Corbel"/>
                <w:b/>
                <w:bCs/>
                <w:color w:val="000000" w:themeColor="text1"/>
                <w:sz w:val="23"/>
                <w:szCs w:val="23"/>
                <w:lang w:eastAsia="en-AU"/>
              </w:rPr>
              <w:t>C</w:t>
            </w:r>
            <w:r w:rsidRPr="7D2E62D3">
              <w:rPr>
                <w:rFonts w:ascii="Corbel" w:eastAsia="Times New Roman" w:hAnsi="Corbel" w:cs="Corbel"/>
                <w:b/>
                <w:bCs/>
                <w:color w:val="000000" w:themeColor="text1"/>
                <w:sz w:val="23"/>
                <w:szCs w:val="23"/>
                <w:lang w:eastAsia="en-AU"/>
              </w:rPr>
              <w:t xml:space="preserve"> </w:t>
            </w:r>
            <w:r>
              <w:rPr>
                <w:rFonts w:ascii="Corbel" w:eastAsia="Times New Roman" w:hAnsi="Corbel" w:cs="Corbel"/>
                <w:b/>
                <w:bCs/>
                <w:color w:val="000000" w:themeColor="text1"/>
                <w:sz w:val="23"/>
                <w:szCs w:val="23"/>
                <w:lang w:eastAsia="en-AU"/>
              </w:rPr>
              <w:t xml:space="preserve">– A Strong and Sustainable Workforce </w:t>
            </w:r>
          </w:p>
        </w:tc>
      </w:tr>
      <w:tr w:rsidR="000C32E6" w:rsidRPr="009D721C" w14:paraId="6D9CA6D0" w14:textId="77777777" w:rsidTr="75E2BFC3">
        <w:trPr>
          <w:trHeight w:val="257"/>
        </w:trPr>
        <w:tc>
          <w:tcPr>
            <w:tcW w:w="13938" w:type="dxa"/>
            <w:gridSpan w:val="3"/>
            <w:tcBorders>
              <w:top w:val="single" w:sz="4" w:space="0" w:color="auto"/>
              <w:left w:val="single" w:sz="4" w:space="0" w:color="auto"/>
              <w:bottom w:val="single" w:sz="4" w:space="0" w:color="auto"/>
              <w:right w:val="single" w:sz="4" w:space="0" w:color="auto"/>
            </w:tcBorders>
            <w:shd w:val="clear" w:color="auto" w:fill="auto"/>
          </w:tcPr>
          <w:p w14:paraId="7C65EF5C" w14:textId="77777777" w:rsidR="000C32E6" w:rsidRPr="009D721C" w:rsidRDefault="000C32E6">
            <w:pPr>
              <w:pStyle w:val="paragraph"/>
              <w:spacing w:before="0" w:beforeAutospacing="0" w:after="0" w:afterAutospacing="0"/>
              <w:textAlignment w:val="baseline"/>
              <w:rPr>
                <w:rFonts w:ascii="Segoe UI" w:hAnsi="Segoe UI" w:cs="Segoe UI"/>
                <w:sz w:val="18"/>
                <w:szCs w:val="18"/>
                <w:u w:val="single"/>
              </w:rPr>
            </w:pPr>
            <w:r w:rsidRPr="009D721C">
              <w:rPr>
                <w:rFonts w:ascii="Corbel" w:hAnsi="Corbel" w:cs="Segoe UI"/>
                <w:b/>
                <w:bCs/>
                <w:sz w:val="23"/>
                <w:szCs w:val="23"/>
                <w:u w:val="single"/>
              </w:rPr>
              <w:t>Initiatives to develop, recognise, reward and/or deploy highly expert teachers, especially in schools which need additional support, for example Highly Accomplished or Lead Teachers or equivalents.</w:t>
            </w:r>
          </w:p>
        </w:tc>
      </w:tr>
      <w:tr w:rsidR="000C32E6" w14:paraId="7B39B199" w14:textId="77777777" w:rsidTr="75E2BFC3">
        <w:trPr>
          <w:trHeight w:val="973"/>
        </w:trPr>
        <w:tc>
          <w:tcPr>
            <w:tcW w:w="8764" w:type="dxa"/>
            <w:tcBorders>
              <w:top w:val="single" w:sz="4" w:space="0" w:color="auto"/>
              <w:left w:val="single" w:sz="4" w:space="0" w:color="auto"/>
              <w:bottom w:val="dotted" w:sz="4" w:space="0" w:color="auto"/>
              <w:right w:val="single" w:sz="4" w:space="0" w:color="auto"/>
            </w:tcBorders>
            <w:shd w:val="clear" w:color="auto" w:fill="auto"/>
          </w:tcPr>
          <w:p w14:paraId="2DB86649" w14:textId="2E626704" w:rsidR="000C32E6" w:rsidRPr="007449B2" w:rsidDel="006D1E1B" w:rsidRDefault="000C32E6" w:rsidP="007449B2">
            <w:pPr>
              <w:pStyle w:val="ListParagraph"/>
              <w:numPr>
                <w:ilvl w:val="0"/>
                <w:numId w:val="51"/>
              </w:numPr>
              <w:spacing w:before="120" w:after="120" w:line="260" w:lineRule="exact"/>
              <w:jc w:val="both"/>
              <w:rPr>
                <w:rFonts w:ascii="Corbel" w:hAnsi="Corbel" w:cs="Segoe UI"/>
                <w:sz w:val="23"/>
                <w:szCs w:val="23"/>
              </w:rPr>
            </w:pPr>
            <w:r w:rsidRPr="00CE77B3">
              <w:rPr>
                <w:rStyle w:val="normaltextrun"/>
                <w:rFonts w:ascii="Corbel" w:hAnsi="Corbel" w:cs="Segoe UI"/>
                <w:sz w:val="23"/>
                <w:szCs w:val="23"/>
              </w:rPr>
              <w:t>Growing, expanding and optimising workforce supply including scoping, co-designing and piloting incentive packages for attracting high quality</w:t>
            </w:r>
            <w:r w:rsidR="00B810B4">
              <w:rPr>
                <w:rStyle w:val="normaltextrun"/>
                <w:rFonts w:ascii="Corbel" w:hAnsi="Corbel" w:cs="Segoe UI"/>
                <w:sz w:val="23"/>
                <w:szCs w:val="23"/>
              </w:rPr>
              <w:t xml:space="preserve"> teaching</w:t>
            </w:r>
            <w:r w:rsidRPr="00CE77B3">
              <w:rPr>
                <w:rStyle w:val="normaltextrun"/>
                <w:rFonts w:ascii="Corbel" w:hAnsi="Corbel" w:cs="Segoe UI"/>
                <w:sz w:val="23"/>
                <w:szCs w:val="23"/>
              </w:rPr>
              <w:t xml:space="preserve"> staff into remote and regional areas, including specialist VET teachers and industry experts.</w:t>
            </w:r>
          </w:p>
        </w:tc>
        <w:tc>
          <w:tcPr>
            <w:tcW w:w="2283" w:type="dxa"/>
            <w:tcBorders>
              <w:top w:val="single" w:sz="4" w:space="0" w:color="auto"/>
              <w:left w:val="single" w:sz="4" w:space="0" w:color="auto"/>
              <w:bottom w:val="dotted" w:sz="4" w:space="0" w:color="auto"/>
              <w:right w:val="single" w:sz="4" w:space="0" w:color="auto"/>
            </w:tcBorders>
          </w:tcPr>
          <w:p w14:paraId="1638C794" w14:textId="77777777" w:rsidR="000C32E6" w:rsidRDefault="000C32E6">
            <w:pPr>
              <w:spacing w:before="120" w:after="120" w:line="260" w:lineRule="exact"/>
              <w:rPr>
                <w:rFonts w:ascii="Corbel" w:hAnsi="Corbel"/>
                <w:sz w:val="23"/>
                <w:szCs w:val="23"/>
              </w:rPr>
            </w:pPr>
            <w:r>
              <w:rPr>
                <w:rFonts w:ascii="Corbel" w:hAnsi="Corbel"/>
                <w:sz w:val="23"/>
                <w:szCs w:val="23"/>
              </w:rPr>
              <w:t>Government/Catholic</w:t>
            </w:r>
          </w:p>
        </w:tc>
        <w:tc>
          <w:tcPr>
            <w:tcW w:w="2891" w:type="dxa"/>
            <w:tcBorders>
              <w:top w:val="single" w:sz="4" w:space="0" w:color="auto"/>
              <w:left w:val="single" w:sz="4" w:space="0" w:color="auto"/>
              <w:bottom w:val="dotted" w:sz="4" w:space="0" w:color="auto"/>
              <w:right w:val="single" w:sz="4" w:space="0" w:color="auto"/>
            </w:tcBorders>
          </w:tcPr>
          <w:p w14:paraId="1B4D3011" w14:textId="2320CB2D" w:rsidR="000C32E6" w:rsidRDefault="00A805D4">
            <w:pPr>
              <w:spacing w:before="120" w:after="120" w:line="260" w:lineRule="exact"/>
              <w:rPr>
                <w:rFonts w:ascii="Corbel" w:hAnsi="Corbel"/>
                <w:sz w:val="23"/>
                <w:szCs w:val="23"/>
              </w:rPr>
            </w:pPr>
            <w:r>
              <w:rPr>
                <w:rFonts w:ascii="Corbel" w:hAnsi="Corbel"/>
                <w:sz w:val="23"/>
                <w:szCs w:val="23"/>
              </w:rPr>
              <w:t>From 2025</w:t>
            </w:r>
          </w:p>
        </w:tc>
      </w:tr>
      <w:tr w:rsidR="000C32E6" w14:paraId="0CD1A681" w14:textId="77777777" w:rsidTr="75E2BFC3">
        <w:trPr>
          <w:trHeight w:val="677"/>
        </w:trPr>
        <w:tc>
          <w:tcPr>
            <w:tcW w:w="8764" w:type="dxa"/>
            <w:tcBorders>
              <w:top w:val="dotted" w:sz="4" w:space="0" w:color="auto"/>
              <w:left w:val="single" w:sz="4" w:space="0" w:color="auto"/>
              <w:bottom w:val="dotted" w:sz="4" w:space="0" w:color="auto"/>
              <w:right w:val="single" w:sz="4" w:space="0" w:color="auto"/>
            </w:tcBorders>
            <w:shd w:val="clear" w:color="auto" w:fill="auto"/>
          </w:tcPr>
          <w:p w14:paraId="6F5F27FA" w14:textId="77777777" w:rsidR="000C32E6" w:rsidRPr="00CE77B3" w:rsidRDefault="000C32E6" w:rsidP="007449B2">
            <w:pPr>
              <w:pStyle w:val="ListParagraph"/>
              <w:numPr>
                <w:ilvl w:val="0"/>
                <w:numId w:val="51"/>
              </w:numPr>
              <w:spacing w:before="120" w:after="120" w:line="260" w:lineRule="exact"/>
              <w:jc w:val="both"/>
              <w:rPr>
                <w:rStyle w:val="normaltextrun"/>
                <w:rFonts w:ascii="Corbel" w:hAnsi="Corbel" w:cs="Segoe UI"/>
                <w:sz w:val="23"/>
                <w:szCs w:val="23"/>
              </w:rPr>
            </w:pPr>
            <w:r w:rsidRPr="00CE77B3">
              <w:rPr>
                <w:rStyle w:val="normaltextrun"/>
                <w:rFonts w:ascii="Corbel" w:hAnsi="Corbel" w:cs="Segoe UI"/>
                <w:sz w:val="23"/>
                <w:szCs w:val="23"/>
              </w:rPr>
              <w:lastRenderedPageBreak/>
              <w:t>Undertake research and scope opportunities to review the schools staff distribution and deployment model.</w:t>
            </w:r>
          </w:p>
        </w:tc>
        <w:tc>
          <w:tcPr>
            <w:tcW w:w="2283" w:type="dxa"/>
            <w:tcBorders>
              <w:top w:val="dotted" w:sz="4" w:space="0" w:color="auto"/>
              <w:left w:val="single" w:sz="4" w:space="0" w:color="auto"/>
              <w:bottom w:val="dotted" w:sz="4" w:space="0" w:color="auto"/>
              <w:right w:val="single" w:sz="4" w:space="0" w:color="auto"/>
            </w:tcBorders>
          </w:tcPr>
          <w:p w14:paraId="308D8327" w14:textId="77777777" w:rsidR="000C32E6" w:rsidRDefault="000C32E6">
            <w:pPr>
              <w:spacing w:before="120" w:after="120" w:line="260" w:lineRule="exact"/>
              <w:rPr>
                <w:rFonts w:ascii="Corbel" w:hAnsi="Corbel"/>
                <w:sz w:val="23"/>
                <w:szCs w:val="23"/>
              </w:rPr>
            </w:pPr>
            <w:r>
              <w:rPr>
                <w:rFonts w:ascii="Corbel" w:hAnsi="Corbel"/>
                <w:sz w:val="23"/>
                <w:szCs w:val="23"/>
              </w:rPr>
              <w:t>G</w:t>
            </w:r>
            <w:r w:rsidRPr="00C804A9">
              <w:rPr>
                <w:rFonts w:ascii="Corbel" w:hAnsi="Corbel"/>
                <w:sz w:val="23"/>
                <w:szCs w:val="23"/>
              </w:rPr>
              <w:t>overnment</w:t>
            </w:r>
          </w:p>
        </w:tc>
        <w:tc>
          <w:tcPr>
            <w:tcW w:w="2891" w:type="dxa"/>
            <w:tcBorders>
              <w:top w:val="dotted" w:sz="4" w:space="0" w:color="auto"/>
              <w:left w:val="single" w:sz="4" w:space="0" w:color="auto"/>
              <w:bottom w:val="dotted" w:sz="4" w:space="0" w:color="auto"/>
              <w:right w:val="single" w:sz="4" w:space="0" w:color="auto"/>
            </w:tcBorders>
          </w:tcPr>
          <w:p w14:paraId="3FED4736" w14:textId="40BA4E9F" w:rsidR="000C32E6" w:rsidRDefault="00A805D4">
            <w:pPr>
              <w:spacing w:before="120" w:after="120" w:line="260" w:lineRule="exact"/>
              <w:rPr>
                <w:rFonts w:ascii="Corbel" w:hAnsi="Corbel"/>
                <w:sz w:val="23"/>
                <w:szCs w:val="23"/>
              </w:rPr>
            </w:pPr>
            <w:r>
              <w:rPr>
                <w:rFonts w:ascii="Corbel" w:hAnsi="Corbel"/>
                <w:sz w:val="23"/>
                <w:szCs w:val="23"/>
              </w:rPr>
              <w:t>From 2025</w:t>
            </w:r>
          </w:p>
        </w:tc>
      </w:tr>
      <w:tr w:rsidR="00E72E70" w14:paraId="308DF586" w14:textId="77777777" w:rsidTr="75E2BFC3">
        <w:trPr>
          <w:trHeight w:val="973"/>
        </w:trPr>
        <w:tc>
          <w:tcPr>
            <w:tcW w:w="8764" w:type="dxa"/>
            <w:tcBorders>
              <w:top w:val="dotted" w:sz="4" w:space="0" w:color="auto"/>
              <w:left w:val="single" w:sz="4" w:space="0" w:color="auto"/>
              <w:bottom w:val="dotted" w:sz="4" w:space="0" w:color="auto"/>
              <w:right w:val="single" w:sz="4" w:space="0" w:color="auto"/>
            </w:tcBorders>
            <w:shd w:val="clear" w:color="auto" w:fill="auto"/>
          </w:tcPr>
          <w:p w14:paraId="24BA85EE" w14:textId="6D47739F" w:rsidR="00E72E70" w:rsidRPr="00CE77B3" w:rsidRDefault="00331135" w:rsidP="007449B2">
            <w:pPr>
              <w:pStyle w:val="ListParagraph"/>
              <w:numPr>
                <w:ilvl w:val="0"/>
                <w:numId w:val="51"/>
              </w:numPr>
              <w:spacing w:before="120" w:after="120" w:line="260" w:lineRule="exact"/>
              <w:jc w:val="both"/>
              <w:rPr>
                <w:rStyle w:val="normaltextrun"/>
                <w:rFonts w:ascii="Corbel" w:hAnsi="Corbel" w:cs="Segoe UI"/>
                <w:sz w:val="23"/>
                <w:szCs w:val="23"/>
              </w:rPr>
            </w:pPr>
            <w:r w:rsidRPr="007449B2">
              <w:rPr>
                <w:rFonts w:ascii="Corbel" w:eastAsia="Times New Roman" w:hAnsi="Corbel" w:cs="Calibri"/>
                <w:color w:val="000000"/>
                <w:sz w:val="23"/>
                <w:szCs w:val="23"/>
                <w:lang w:eastAsia="en-AU"/>
              </w:rPr>
              <w:t>Work with key stakeholders on new teacher transfer protocols to ensure the right people, with the right skills are in the right classrooms, balancing employee perspectives and system need.</w:t>
            </w:r>
          </w:p>
        </w:tc>
        <w:tc>
          <w:tcPr>
            <w:tcW w:w="2283" w:type="dxa"/>
            <w:tcBorders>
              <w:top w:val="dotted" w:sz="4" w:space="0" w:color="auto"/>
              <w:left w:val="single" w:sz="4" w:space="0" w:color="auto"/>
              <w:bottom w:val="dotted" w:sz="4" w:space="0" w:color="auto"/>
              <w:right w:val="single" w:sz="4" w:space="0" w:color="auto"/>
            </w:tcBorders>
          </w:tcPr>
          <w:p w14:paraId="22B0BC80" w14:textId="5001B3D2" w:rsidR="00E72E70" w:rsidRDefault="00C166CF">
            <w:pPr>
              <w:spacing w:before="120" w:after="120" w:line="260" w:lineRule="exact"/>
              <w:rPr>
                <w:rFonts w:ascii="Corbel" w:hAnsi="Corbel"/>
                <w:sz w:val="23"/>
                <w:szCs w:val="23"/>
              </w:rPr>
            </w:pPr>
            <w:r>
              <w:rPr>
                <w:rFonts w:ascii="Corbel" w:hAnsi="Corbel"/>
                <w:sz w:val="23"/>
                <w:szCs w:val="23"/>
              </w:rPr>
              <w:t>Government</w:t>
            </w:r>
          </w:p>
        </w:tc>
        <w:tc>
          <w:tcPr>
            <w:tcW w:w="2891" w:type="dxa"/>
            <w:tcBorders>
              <w:top w:val="dotted" w:sz="4" w:space="0" w:color="auto"/>
              <w:left w:val="single" w:sz="4" w:space="0" w:color="auto"/>
              <w:bottom w:val="dotted" w:sz="4" w:space="0" w:color="auto"/>
              <w:right w:val="single" w:sz="4" w:space="0" w:color="auto"/>
            </w:tcBorders>
          </w:tcPr>
          <w:p w14:paraId="713C4773" w14:textId="184BDD6B" w:rsidR="00E72E70" w:rsidRDefault="00A805D4">
            <w:pPr>
              <w:spacing w:before="120" w:after="120" w:line="260" w:lineRule="exact"/>
              <w:rPr>
                <w:rFonts w:ascii="Corbel" w:hAnsi="Corbel"/>
                <w:sz w:val="23"/>
                <w:szCs w:val="23"/>
              </w:rPr>
            </w:pPr>
            <w:r>
              <w:rPr>
                <w:rFonts w:ascii="Corbel" w:hAnsi="Corbel"/>
                <w:sz w:val="23"/>
                <w:szCs w:val="23"/>
              </w:rPr>
              <w:t>From 2025</w:t>
            </w:r>
          </w:p>
        </w:tc>
      </w:tr>
      <w:tr w:rsidR="00331135" w14:paraId="4E5CB350" w14:textId="77777777" w:rsidTr="75E2BFC3">
        <w:trPr>
          <w:trHeight w:val="973"/>
        </w:trPr>
        <w:tc>
          <w:tcPr>
            <w:tcW w:w="8764" w:type="dxa"/>
            <w:tcBorders>
              <w:top w:val="dotted" w:sz="4" w:space="0" w:color="auto"/>
              <w:left w:val="single" w:sz="4" w:space="0" w:color="auto"/>
              <w:bottom w:val="single" w:sz="4" w:space="0" w:color="auto"/>
              <w:right w:val="single" w:sz="4" w:space="0" w:color="auto"/>
            </w:tcBorders>
            <w:shd w:val="clear" w:color="auto" w:fill="auto"/>
          </w:tcPr>
          <w:p w14:paraId="3DD70B85" w14:textId="3F3289C9" w:rsidR="00331135" w:rsidRPr="007449B2" w:rsidRDefault="00FA4544" w:rsidP="007449B2">
            <w:pPr>
              <w:pStyle w:val="ListParagraph"/>
              <w:numPr>
                <w:ilvl w:val="0"/>
                <w:numId w:val="51"/>
              </w:numPr>
              <w:spacing w:before="120" w:after="120" w:line="260" w:lineRule="exact"/>
              <w:jc w:val="both"/>
              <w:rPr>
                <w:rFonts w:ascii="Corbel" w:eastAsia="Times New Roman" w:hAnsi="Corbel" w:cs="Calibri"/>
                <w:color w:val="000000"/>
                <w:sz w:val="23"/>
                <w:szCs w:val="23"/>
                <w:lang w:eastAsia="en-AU"/>
              </w:rPr>
            </w:pPr>
            <w:r w:rsidRPr="007449B2">
              <w:rPr>
                <w:rFonts w:ascii="Corbel" w:eastAsia="Times New Roman" w:hAnsi="Corbel" w:cs="Calibri"/>
                <w:color w:val="000000"/>
                <w:sz w:val="23"/>
                <w:szCs w:val="23"/>
                <w:lang w:eastAsia="en-AU"/>
              </w:rPr>
              <w:t>Develop a plan to improve identification of skill and specialisation gaps for schools, particularly for the medium and longer term, to better inform planning for pipeline strategies as well as address gaps as they emerge.</w:t>
            </w:r>
          </w:p>
        </w:tc>
        <w:tc>
          <w:tcPr>
            <w:tcW w:w="2283" w:type="dxa"/>
            <w:tcBorders>
              <w:top w:val="dotted" w:sz="4" w:space="0" w:color="auto"/>
              <w:left w:val="single" w:sz="4" w:space="0" w:color="auto"/>
              <w:bottom w:val="single" w:sz="4" w:space="0" w:color="auto"/>
              <w:right w:val="single" w:sz="4" w:space="0" w:color="auto"/>
            </w:tcBorders>
          </w:tcPr>
          <w:p w14:paraId="7DE1D384" w14:textId="5AFE6FB8" w:rsidR="00331135" w:rsidRDefault="00C166CF">
            <w:pPr>
              <w:spacing w:before="120" w:after="120" w:line="260" w:lineRule="exact"/>
              <w:rPr>
                <w:rFonts w:ascii="Corbel" w:hAnsi="Corbel"/>
                <w:sz w:val="23"/>
                <w:szCs w:val="23"/>
              </w:rPr>
            </w:pPr>
            <w:r>
              <w:rPr>
                <w:rFonts w:ascii="Corbel" w:hAnsi="Corbel"/>
                <w:sz w:val="23"/>
                <w:szCs w:val="23"/>
              </w:rPr>
              <w:t>Government</w:t>
            </w:r>
          </w:p>
        </w:tc>
        <w:tc>
          <w:tcPr>
            <w:tcW w:w="2891" w:type="dxa"/>
            <w:tcBorders>
              <w:top w:val="dotted" w:sz="4" w:space="0" w:color="auto"/>
              <w:left w:val="single" w:sz="4" w:space="0" w:color="auto"/>
              <w:bottom w:val="single" w:sz="4" w:space="0" w:color="auto"/>
              <w:right w:val="single" w:sz="4" w:space="0" w:color="auto"/>
            </w:tcBorders>
          </w:tcPr>
          <w:p w14:paraId="5B7C65DD" w14:textId="0490D516" w:rsidR="00331135" w:rsidRDefault="00A805D4">
            <w:pPr>
              <w:spacing w:before="120" w:after="120" w:line="260" w:lineRule="exact"/>
              <w:rPr>
                <w:rFonts w:ascii="Corbel" w:hAnsi="Corbel"/>
                <w:sz w:val="23"/>
                <w:szCs w:val="23"/>
              </w:rPr>
            </w:pPr>
            <w:r>
              <w:rPr>
                <w:rFonts w:ascii="Corbel" w:hAnsi="Corbel"/>
                <w:sz w:val="23"/>
                <w:szCs w:val="23"/>
              </w:rPr>
              <w:t>From 2025</w:t>
            </w:r>
          </w:p>
        </w:tc>
      </w:tr>
      <w:tr w:rsidR="000C32E6" w:rsidRPr="004E70B1" w14:paraId="6C57B3C5" w14:textId="77777777" w:rsidTr="75E2BFC3">
        <w:trPr>
          <w:trHeight w:val="408"/>
        </w:trPr>
        <w:tc>
          <w:tcPr>
            <w:tcW w:w="13938" w:type="dxa"/>
            <w:gridSpan w:val="3"/>
            <w:tcBorders>
              <w:top w:val="single" w:sz="4" w:space="0" w:color="auto"/>
              <w:left w:val="single" w:sz="4" w:space="0" w:color="auto"/>
              <w:bottom w:val="single" w:sz="4" w:space="0" w:color="auto"/>
              <w:right w:val="single" w:sz="4" w:space="0" w:color="auto"/>
            </w:tcBorders>
            <w:shd w:val="clear" w:color="auto" w:fill="auto"/>
          </w:tcPr>
          <w:p w14:paraId="61ED6C11" w14:textId="77777777" w:rsidR="000C32E6" w:rsidRPr="004E70B1" w:rsidRDefault="000C32E6">
            <w:pPr>
              <w:pStyle w:val="paragraph"/>
              <w:spacing w:before="0" w:beforeAutospacing="0" w:after="0" w:afterAutospacing="0"/>
              <w:textAlignment w:val="baseline"/>
              <w:rPr>
                <w:rFonts w:ascii="Segoe UI" w:hAnsi="Segoe UI" w:cs="Segoe UI"/>
                <w:sz w:val="18"/>
                <w:szCs w:val="18"/>
                <w:u w:val="single"/>
              </w:rPr>
            </w:pPr>
            <w:r w:rsidRPr="004E70B1">
              <w:rPr>
                <w:rFonts w:ascii="Corbel" w:hAnsi="Corbel" w:cs="Segoe UI"/>
                <w:b/>
                <w:color w:val="000000" w:themeColor="text1"/>
                <w:sz w:val="23"/>
                <w:szCs w:val="23"/>
                <w:u w:val="single"/>
              </w:rPr>
              <w:t>Access to high quality and evidence-based professional learning for teachers and school leaders and the provision of quality-assured curriculum resources that have been developed in partnership with the teaching profession.</w:t>
            </w:r>
          </w:p>
        </w:tc>
      </w:tr>
      <w:tr w:rsidR="000C32E6" w14:paraId="09BFDC2E" w14:textId="77777777" w:rsidTr="75E2BFC3">
        <w:trPr>
          <w:trHeight w:val="558"/>
        </w:trPr>
        <w:tc>
          <w:tcPr>
            <w:tcW w:w="8764" w:type="dxa"/>
            <w:tcBorders>
              <w:top w:val="single" w:sz="4" w:space="0" w:color="auto"/>
              <w:left w:val="single" w:sz="4" w:space="0" w:color="auto"/>
              <w:bottom w:val="dotted" w:sz="4" w:space="0" w:color="auto"/>
              <w:right w:val="single" w:sz="4" w:space="0" w:color="auto"/>
            </w:tcBorders>
            <w:shd w:val="clear" w:color="auto" w:fill="auto"/>
          </w:tcPr>
          <w:p w14:paraId="7B988679" w14:textId="787FC764" w:rsidR="000C32E6" w:rsidRPr="007449B2" w:rsidDel="006D1E1B" w:rsidRDefault="00EF4106" w:rsidP="007449B2">
            <w:pPr>
              <w:pStyle w:val="ListParagraph"/>
              <w:numPr>
                <w:ilvl w:val="0"/>
                <w:numId w:val="51"/>
              </w:numPr>
              <w:tabs>
                <w:tab w:val="left" w:pos="426"/>
              </w:tabs>
              <w:spacing w:after="240" w:line="260" w:lineRule="exact"/>
              <w:jc w:val="both"/>
              <w:rPr>
                <w:rFonts w:ascii="Corbel" w:eastAsia="Times New Roman" w:hAnsi="Corbel" w:cs="Calibri"/>
                <w:color w:val="000000"/>
                <w:sz w:val="23"/>
                <w:szCs w:val="23"/>
                <w:lang w:eastAsia="en-AU"/>
              </w:rPr>
            </w:pPr>
            <w:r w:rsidRPr="007449B2">
              <w:rPr>
                <w:rFonts w:ascii="Corbel" w:eastAsia="Times New Roman" w:hAnsi="Corbel" w:cs="Calibri"/>
                <w:color w:val="000000"/>
                <w:sz w:val="23"/>
                <w:szCs w:val="23"/>
                <w:lang w:eastAsia="en-AU"/>
              </w:rPr>
              <w:t>Providing tools and resources for consistent screening and assessment to enable full implementation of a system-wide approach to structured literacy instruction.</w:t>
            </w:r>
          </w:p>
        </w:tc>
        <w:tc>
          <w:tcPr>
            <w:tcW w:w="2283" w:type="dxa"/>
            <w:tcBorders>
              <w:top w:val="single" w:sz="4" w:space="0" w:color="auto"/>
              <w:left w:val="single" w:sz="4" w:space="0" w:color="auto"/>
              <w:bottom w:val="dotted" w:sz="4" w:space="0" w:color="auto"/>
              <w:right w:val="single" w:sz="4" w:space="0" w:color="auto"/>
            </w:tcBorders>
          </w:tcPr>
          <w:p w14:paraId="256BBE2E" w14:textId="77777777" w:rsidR="000C32E6" w:rsidRDefault="000C32E6">
            <w:pPr>
              <w:spacing w:before="120" w:after="120" w:line="260" w:lineRule="exact"/>
              <w:rPr>
                <w:rFonts w:ascii="Corbel" w:hAnsi="Corbel"/>
                <w:sz w:val="23"/>
                <w:szCs w:val="23"/>
              </w:rPr>
            </w:pPr>
            <w:r>
              <w:rPr>
                <w:rFonts w:ascii="Corbel" w:hAnsi="Corbel"/>
                <w:sz w:val="23"/>
                <w:szCs w:val="23"/>
              </w:rPr>
              <w:t>Government/Catholic</w:t>
            </w:r>
          </w:p>
        </w:tc>
        <w:tc>
          <w:tcPr>
            <w:tcW w:w="2891" w:type="dxa"/>
            <w:tcBorders>
              <w:top w:val="single" w:sz="4" w:space="0" w:color="auto"/>
              <w:left w:val="single" w:sz="4" w:space="0" w:color="auto"/>
              <w:bottom w:val="dotted" w:sz="4" w:space="0" w:color="auto"/>
              <w:right w:val="single" w:sz="4" w:space="0" w:color="auto"/>
            </w:tcBorders>
          </w:tcPr>
          <w:p w14:paraId="316BA5AE" w14:textId="037F05BE" w:rsidR="000C32E6" w:rsidRDefault="00A805D4">
            <w:pPr>
              <w:spacing w:before="120" w:after="120" w:line="260" w:lineRule="exact"/>
              <w:rPr>
                <w:rFonts w:ascii="Corbel" w:hAnsi="Corbel"/>
                <w:sz w:val="23"/>
                <w:szCs w:val="23"/>
              </w:rPr>
            </w:pPr>
            <w:r>
              <w:rPr>
                <w:rFonts w:ascii="Corbel" w:hAnsi="Corbel"/>
                <w:sz w:val="23"/>
                <w:szCs w:val="23"/>
              </w:rPr>
              <w:t>From 2025</w:t>
            </w:r>
          </w:p>
        </w:tc>
      </w:tr>
      <w:tr w:rsidR="000C32E6" w14:paraId="22BACA17" w14:textId="77777777" w:rsidTr="75E2BFC3">
        <w:trPr>
          <w:trHeight w:val="980"/>
        </w:trPr>
        <w:tc>
          <w:tcPr>
            <w:tcW w:w="8764" w:type="dxa"/>
            <w:tcBorders>
              <w:top w:val="dotted" w:sz="4" w:space="0" w:color="auto"/>
              <w:left w:val="single" w:sz="4" w:space="0" w:color="auto"/>
              <w:bottom w:val="single" w:sz="4" w:space="0" w:color="auto"/>
              <w:right w:val="single" w:sz="4" w:space="0" w:color="auto"/>
            </w:tcBorders>
            <w:shd w:val="clear" w:color="auto" w:fill="auto"/>
          </w:tcPr>
          <w:p w14:paraId="206E8DA1" w14:textId="0D192EFC" w:rsidR="000C32E6" w:rsidRPr="00CE77B3" w:rsidRDefault="00AD6364" w:rsidP="007449B2">
            <w:pPr>
              <w:pStyle w:val="ListParagraph"/>
              <w:numPr>
                <w:ilvl w:val="0"/>
                <w:numId w:val="51"/>
              </w:numPr>
              <w:tabs>
                <w:tab w:val="left" w:pos="426"/>
              </w:tabs>
              <w:spacing w:after="240" w:line="260" w:lineRule="exact"/>
              <w:jc w:val="both"/>
              <w:rPr>
                <w:rStyle w:val="normaltextrun"/>
                <w:rFonts w:ascii="Corbel" w:eastAsia="Times New Roman" w:hAnsi="Corbel" w:cs="Calibri"/>
                <w:color w:val="000000"/>
                <w:sz w:val="23"/>
                <w:szCs w:val="23"/>
                <w:lang w:eastAsia="en-AU"/>
              </w:rPr>
            </w:pPr>
            <w:r w:rsidRPr="007449B2">
              <w:rPr>
                <w:rFonts w:ascii="Corbel" w:eastAsia="Times New Roman" w:hAnsi="Corbel" w:cs="Calibri"/>
                <w:color w:val="000000"/>
                <w:sz w:val="23"/>
                <w:szCs w:val="23"/>
                <w:lang w:eastAsia="en-AU"/>
              </w:rPr>
              <w:t xml:space="preserve">Developing and implementing a robust and formalised onboarding and retention program for VET specialist teachers, including support to transition from industry to ensure strategic outcomes for secondary students. </w:t>
            </w:r>
          </w:p>
        </w:tc>
        <w:tc>
          <w:tcPr>
            <w:tcW w:w="2283" w:type="dxa"/>
            <w:tcBorders>
              <w:top w:val="dotted" w:sz="4" w:space="0" w:color="auto"/>
              <w:left w:val="single" w:sz="4" w:space="0" w:color="auto"/>
              <w:bottom w:val="single" w:sz="4" w:space="0" w:color="auto"/>
              <w:right w:val="single" w:sz="4" w:space="0" w:color="auto"/>
            </w:tcBorders>
          </w:tcPr>
          <w:p w14:paraId="4C3C26D0" w14:textId="77777777" w:rsidR="000C32E6" w:rsidRPr="00BB654F" w:rsidRDefault="000C32E6">
            <w:pPr>
              <w:spacing w:before="120" w:after="120" w:line="260" w:lineRule="exact"/>
              <w:rPr>
                <w:rFonts w:ascii="Corbel" w:eastAsia="Times New Roman" w:hAnsi="Corbel" w:cs="Arial"/>
                <w:color w:val="000000" w:themeColor="text1"/>
                <w:sz w:val="23"/>
                <w:szCs w:val="23"/>
                <w:lang w:eastAsia="en-AU"/>
              </w:rPr>
            </w:pPr>
            <w:r w:rsidRPr="00BB654F">
              <w:rPr>
                <w:rFonts w:ascii="Corbel" w:eastAsia="Times New Roman" w:hAnsi="Corbel" w:cs="Arial"/>
                <w:color w:val="000000" w:themeColor="text1"/>
                <w:sz w:val="23"/>
                <w:szCs w:val="23"/>
                <w:lang w:eastAsia="en-AU"/>
              </w:rPr>
              <w:t>Government</w:t>
            </w:r>
          </w:p>
        </w:tc>
        <w:tc>
          <w:tcPr>
            <w:tcW w:w="2891" w:type="dxa"/>
            <w:tcBorders>
              <w:top w:val="dotted" w:sz="4" w:space="0" w:color="auto"/>
              <w:left w:val="single" w:sz="4" w:space="0" w:color="auto"/>
              <w:bottom w:val="single" w:sz="4" w:space="0" w:color="auto"/>
              <w:right w:val="single" w:sz="4" w:space="0" w:color="auto"/>
            </w:tcBorders>
          </w:tcPr>
          <w:p w14:paraId="3AA9E4C9" w14:textId="416C430A" w:rsidR="000C32E6" w:rsidRDefault="00A805D4">
            <w:pPr>
              <w:spacing w:before="120" w:after="120" w:line="260" w:lineRule="exact"/>
              <w:rPr>
                <w:rFonts w:ascii="Corbel" w:hAnsi="Corbel"/>
                <w:sz w:val="23"/>
                <w:szCs w:val="23"/>
              </w:rPr>
            </w:pPr>
            <w:r>
              <w:rPr>
                <w:rFonts w:ascii="Corbel" w:hAnsi="Corbel"/>
                <w:sz w:val="23"/>
                <w:szCs w:val="23"/>
              </w:rPr>
              <w:t>From 2025</w:t>
            </w:r>
          </w:p>
        </w:tc>
      </w:tr>
      <w:tr w:rsidR="000C32E6" w:rsidRPr="00C26EEC" w14:paraId="37B483A8" w14:textId="77777777" w:rsidTr="75E2BFC3">
        <w:trPr>
          <w:trHeight w:val="525"/>
        </w:trPr>
        <w:tc>
          <w:tcPr>
            <w:tcW w:w="13938" w:type="dxa"/>
            <w:gridSpan w:val="3"/>
            <w:tcBorders>
              <w:top w:val="single" w:sz="4" w:space="0" w:color="auto"/>
              <w:left w:val="single" w:sz="4" w:space="0" w:color="auto"/>
              <w:bottom w:val="single" w:sz="4" w:space="0" w:color="auto"/>
              <w:right w:val="single" w:sz="4" w:space="0" w:color="auto"/>
            </w:tcBorders>
            <w:shd w:val="clear" w:color="auto" w:fill="auto"/>
          </w:tcPr>
          <w:p w14:paraId="72E78A60" w14:textId="77777777" w:rsidR="000C32E6" w:rsidRPr="00C26EEC" w:rsidRDefault="000C32E6">
            <w:pPr>
              <w:pStyle w:val="paragraph"/>
              <w:spacing w:before="0" w:beforeAutospacing="0" w:after="0" w:afterAutospacing="0"/>
              <w:textAlignment w:val="baseline"/>
              <w:rPr>
                <w:rFonts w:ascii="Segoe UI" w:hAnsi="Segoe UI" w:cs="Segoe UI"/>
                <w:sz w:val="18"/>
                <w:szCs w:val="18"/>
                <w:u w:val="single"/>
              </w:rPr>
            </w:pPr>
            <w:r w:rsidRPr="00C26EEC">
              <w:rPr>
                <w:rFonts w:ascii="Corbel" w:hAnsi="Corbel" w:cs="Segoe UI"/>
                <w:b/>
                <w:color w:val="000000" w:themeColor="text1"/>
                <w:sz w:val="23"/>
                <w:szCs w:val="23"/>
                <w:u w:val="single"/>
              </w:rPr>
              <w:t xml:space="preserve">Initiatives to strengthen teacher and school leader wellbeing, for example actions to </w:t>
            </w:r>
            <w:r>
              <w:rPr>
                <w:rFonts w:ascii="Corbel" w:hAnsi="Corbel" w:cs="Segoe UI"/>
                <w:b/>
                <w:color w:val="000000" w:themeColor="text1"/>
                <w:sz w:val="23"/>
                <w:szCs w:val="23"/>
                <w:u w:val="single"/>
              </w:rPr>
              <w:t>support</w:t>
            </w:r>
            <w:r w:rsidRPr="00C26EEC">
              <w:rPr>
                <w:rFonts w:ascii="Corbel" w:hAnsi="Corbel" w:cs="Segoe UI"/>
                <w:b/>
                <w:color w:val="000000" w:themeColor="text1"/>
                <w:sz w:val="23"/>
                <w:szCs w:val="23"/>
                <w:u w:val="single"/>
              </w:rPr>
              <w:t xml:space="preserve"> safe and respectful schools, strengthen Aboriginal and Torres Strait Islander cultural safety, and reduce teacher and school leader workload.</w:t>
            </w:r>
          </w:p>
        </w:tc>
      </w:tr>
      <w:tr w:rsidR="000C32E6" w14:paraId="4AD00404" w14:textId="77777777" w:rsidTr="75E2BFC3">
        <w:trPr>
          <w:trHeight w:val="831"/>
        </w:trPr>
        <w:tc>
          <w:tcPr>
            <w:tcW w:w="8764" w:type="dxa"/>
            <w:tcBorders>
              <w:top w:val="single" w:sz="4" w:space="0" w:color="auto"/>
              <w:left w:val="single" w:sz="4" w:space="0" w:color="auto"/>
              <w:bottom w:val="dotted" w:sz="4" w:space="0" w:color="auto"/>
              <w:right w:val="single" w:sz="4" w:space="0" w:color="auto"/>
            </w:tcBorders>
            <w:shd w:val="clear" w:color="auto" w:fill="auto"/>
          </w:tcPr>
          <w:p w14:paraId="232B8466" w14:textId="72673C95" w:rsidR="000C32E6" w:rsidRPr="007449B2" w:rsidRDefault="00940B7C" w:rsidP="007449B2">
            <w:pPr>
              <w:pStyle w:val="ListParagraph"/>
              <w:numPr>
                <w:ilvl w:val="0"/>
                <w:numId w:val="51"/>
              </w:numPr>
              <w:spacing w:before="120" w:after="120" w:line="260" w:lineRule="exact"/>
              <w:jc w:val="both"/>
              <w:rPr>
                <w:rFonts w:ascii="Corbel" w:hAnsi="Corbel" w:cs="Segoe UI"/>
                <w:sz w:val="23"/>
                <w:szCs w:val="23"/>
              </w:rPr>
            </w:pPr>
            <w:r w:rsidRPr="007449B2">
              <w:rPr>
                <w:rFonts w:ascii="Corbel" w:eastAsia="Times New Roman" w:hAnsi="Corbel" w:cs="Calibri"/>
                <w:color w:val="000000"/>
                <w:sz w:val="23"/>
                <w:szCs w:val="23"/>
                <w:lang w:eastAsia="en-AU"/>
              </w:rPr>
              <w:t>Utilising system data from staff wellbeing surveys to understand and act on workforce access, inclusion and cultural safety needs and developing responses to these needs based on the data received.</w:t>
            </w:r>
          </w:p>
        </w:tc>
        <w:tc>
          <w:tcPr>
            <w:tcW w:w="2283" w:type="dxa"/>
            <w:tcBorders>
              <w:top w:val="single" w:sz="4" w:space="0" w:color="auto"/>
              <w:left w:val="single" w:sz="4" w:space="0" w:color="auto"/>
              <w:bottom w:val="dotted" w:sz="4" w:space="0" w:color="auto"/>
              <w:right w:val="single" w:sz="4" w:space="0" w:color="auto"/>
            </w:tcBorders>
          </w:tcPr>
          <w:p w14:paraId="5782F1A7" w14:textId="77777777" w:rsidR="000C32E6" w:rsidRDefault="000C32E6">
            <w:pPr>
              <w:spacing w:before="120" w:after="120" w:line="260" w:lineRule="exact"/>
              <w:rPr>
                <w:rFonts w:ascii="Corbel" w:hAnsi="Corbel"/>
                <w:sz w:val="23"/>
                <w:szCs w:val="23"/>
              </w:rPr>
            </w:pPr>
            <w:r>
              <w:rPr>
                <w:rFonts w:ascii="Corbel" w:hAnsi="Corbel"/>
                <w:sz w:val="23"/>
                <w:szCs w:val="23"/>
              </w:rPr>
              <w:t>Government/Catholic</w:t>
            </w:r>
          </w:p>
        </w:tc>
        <w:tc>
          <w:tcPr>
            <w:tcW w:w="2891" w:type="dxa"/>
            <w:tcBorders>
              <w:top w:val="single" w:sz="4" w:space="0" w:color="auto"/>
              <w:left w:val="single" w:sz="4" w:space="0" w:color="auto"/>
              <w:bottom w:val="dotted" w:sz="4" w:space="0" w:color="auto"/>
              <w:right w:val="single" w:sz="4" w:space="0" w:color="auto"/>
            </w:tcBorders>
          </w:tcPr>
          <w:p w14:paraId="557D8123" w14:textId="57C88828" w:rsidR="000C32E6" w:rsidRDefault="00A805D4">
            <w:pPr>
              <w:spacing w:before="120" w:after="120" w:line="260" w:lineRule="exact"/>
              <w:rPr>
                <w:rFonts w:ascii="Corbel" w:hAnsi="Corbel"/>
                <w:sz w:val="23"/>
                <w:szCs w:val="23"/>
              </w:rPr>
            </w:pPr>
            <w:r>
              <w:rPr>
                <w:rFonts w:ascii="Corbel" w:hAnsi="Corbel"/>
                <w:sz w:val="23"/>
                <w:szCs w:val="23"/>
              </w:rPr>
              <w:t>From 2025</w:t>
            </w:r>
          </w:p>
        </w:tc>
      </w:tr>
      <w:tr w:rsidR="000C32E6" w14:paraId="27EA47D8" w14:textId="77777777" w:rsidTr="75E2BFC3">
        <w:trPr>
          <w:trHeight w:val="1398"/>
        </w:trPr>
        <w:tc>
          <w:tcPr>
            <w:tcW w:w="8764" w:type="dxa"/>
            <w:tcBorders>
              <w:top w:val="dotted" w:sz="4" w:space="0" w:color="auto"/>
              <w:left w:val="single" w:sz="4" w:space="0" w:color="auto"/>
              <w:bottom w:val="single" w:sz="4" w:space="0" w:color="auto"/>
              <w:right w:val="single" w:sz="4" w:space="0" w:color="auto"/>
            </w:tcBorders>
            <w:shd w:val="clear" w:color="auto" w:fill="auto"/>
          </w:tcPr>
          <w:p w14:paraId="2936E14D" w14:textId="7D8C16A9" w:rsidR="000C32E6" w:rsidRPr="00CE77B3" w:rsidDel="00A137A0" w:rsidRDefault="00381784" w:rsidP="007449B2">
            <w:pPr>
              <w:pStyle w:val="ListParagraph"/>
              <w:numPr>
                <w:ilvl w:val="0"/>
                <w:numId w:val="51"/>
              </w:numPr>
              <w:spacing w:before="120" w:after="120" w:line="260" w:lineRule="exact"/>
              <w:jc w:val="both"/>
              <w:rPr>
                <w:rStyle w:val="normaltextrun"/>
                <w:rFonts w:ascii="Corbel" w:hAnsi="Corbel" w:cs="Segoe UI"/>
                <w:sz w:val="23"/>
                <w:szCs w:val="23"/>
              </w:rPr>
            </w:pPr>
            <w:r w:rsidRPr="007449B2">
              <w:rPr>
                <w:rFonts w:ascii="Corbel" w:eastAsia="Times New Roman" w:hAnsi="Corbel" w:cs="Calibri"/>
                <w:color w:val="000000"/>
                <w:sz w:val="23"/>
                <w:szCs w:val="23"/>
                <w:lang w:eastAsia="en-AU"/>
              </w:rPr>
              <w:t>Research, identify and trial ways to re-design the role of teachers and school leaders and rationalise workload by implementing initiatives to create more teacher-student facetime and eliminating unnecessary tasks comprising current teacher workload, including increased administrative burden</w:t>
            </w:r>
            <w:r w:rsidRPr="00CE77B3">
              <w:rPr>
                <w:rStyle w:val="normaltextrun"/>
                <w:rFonts w:ascii="Corbel" w:hAnsi="Corbel" w:cs="Segoe UI"/>
                <w:sz w:val="23"/>
                <w:szCs w:val="23"/>
              </w:rPr>
              <w:t>.</w:t>
            </w:r>
          </w:p>
        </w:tc>
        <w:tc>
          <w:tcPr>
            <w:tcW w:w="2283" w:type="dxa"/>
            <w:tcBorders>
              <w:top w:val="dotted" w:sz="4" w:space="0" w:color="auto"/>
              <w:left w:val="single" w:sz="4" w:space="0" w:color="auto"/>
              <w:bottom w:val="single" w:sz="4" w:space="0" w:color="auto"/>
              <w:right w:val="single" w:sz="4" w:space="0" w:color="auto"/>
            </w:tcBorders>
          </w:tcPr>
          <w:p w14:paraId="396E0444" w14:textId="77777777" w:rsidR="000C32E6" w:rsidRDefault="000C32E6">
            <w:pPr>
              <w:spacing w:before="120" w:after="120" w:line="260" w:lineRule="exact"/>
              <w:rPr>
                <w:rFonts w:ascii="Corbel" w:hAnsi="Corbel"/>
                <w:sz w:val="23"/>
                <w:szCs w:val="23"/>
              </w:rPr>
            </w:pPr>
            <w:r>
              <w:rPr>
                <w:rFonts w:ascii="Corbel" w:hAnsi="Corbel"/>
                <w:sz w:val="23"/>
                <w:szCs w:val="23"/>
              </w:rPr>
              <w:t>Government/Catholic</w:t>
            </w:r>
          </w:p>
        </w:tc>
        <w:tc>
          <w:tcPr>
            <w:tcW w:w="2891" w:type="dxa"/>
            <w:tcBorders>
              <w:top w:val="dotted" w:sz="4" w:space="0" w:color="auto"/>
              <w:left w:val="single" w:sz="4" w:space="0" w:color="auto"/>
              <w:bottom w:val="single" w:sz="4" w:space="0" w:color="auto"/>
              <w:right w:val="single" w:sz="4" w:space="0" w:color="auto"/>
            </w:tcBorders>
          </w:tcPr>
          <w:p w14:paraId="4CA66E82" w14:textId="634B6848" w:rsidR="000C32E6" w:rsidRDefault="00A805D4">
            <w:pPr>
              <w:spacing w:before="120" w:after="120" w:line="260" w:lineRule="exact"/>
              <w:rPr>
                <w:rFonts w:ascii="Corbel" w:hAnsi="Corbel"/>
                <w:sz w:val="23"/>
                <w:szCs w:val="23"/>
              </w:rPr>
            </w:pPr>
            <w:r>
              <w:rPr>
                <w:rFonts w:ascii="Corbel" w:hAnsi="Corbel"/>
                <w:sz w:val="23"/>
                <w:szCs w:val="23"/>
              </w:rPr>
              <w:t>From 2025</w:t>
            </w:r>
          </w:p>
        </w:tc>
      </w:tr>
      <w:tr w:rsidR="000C32E6" w:rsidRPr="00C26EEC" w14:paraId="771040EC" w14:textId="77777777" w:rsidTr="00046B01">
        <w:trPr>
          <w:cantSplit/>
          <w:trHeight w:val="514"/>
        </w:trPr>
        <w:tc>
          <w:tcPr>
            <w:tcW w:w="13938" w:type="dxa"/>
            <w:gridSpan w:val="3"/>
            <w:tcBorders>
              <w:top w:val="single" w:sz="4" w:space="0" w:color="auto"/>
              <w:left w:val="single" w:sz="4" w:space="0" w:color="auto"/>
              <w:bottom w:val="single" w:sz="4" w:space="0" w:color="auto"/>
              <w:right w:val="single" w:sz="4" w:space="0" w:color="auto"/>
            </w:tcBorders>
            <w:shd w:val="clear" w:color="auto" w:fill="auto"/>
          </w:tcPr>
          <w:p w14:paraId="61D30268" w14:textId="77777777" w:rsidR="000C32E6" w:rsidRPr="00C26EEC" w:rsidRDefault="000C32E6">
            <w:pPr>
              <w:spacing w:before="120" w:after="120" w:line="260" w:lineRule="exact"/>
              <w:rPr>
                <w:rFonts w:ascii="Corbel" w:eastAsia="Times New Roman" w:hAnsi="Corbel" w:cs="Corbel"/>
                <w:b/>
                <w:bCs/>
                <w:color w:val="000000" w:themeColor="text1"/>
                <w:sz w:val="23"/>
                <w:szCs w:val="23"/>
                <w:u w:val="single"/>
                <w:lang w:eastAsia="en-AU"/>
              </w:rPr>
            </w:pPr>
            <w:r w:rsidRPr="00C26EEC">
              <w:rPr>
                <w:rFonts w:ascii="Corbel" w:eastAsia="Times New Roman" w:hAnsi="Corbel" w:cs="Corbel"/>
                <w:b/>
                <w:bCs/>
                <w:color w:val="000000" w:themeColor="text1"/>
                <w:sz w:val="23"/>
                <w:szCs w:val="23"/>
                <w:u w:val="single"/>
                <w:lang w:eastAsia="en-AU"/>
              </w:rPr>
              <w:lastRenderedPageBreak/>
              <w:t xml:space="preserve">Initiatives to increase teacher attraction and retention, including those that encourage students to take up a career in teaching and increase the diversity of the teacher workforce, especially by increasing the number of First Nations educators, or through implementing actions under the </w:t>
            </w:r>
            <w:r w:rsidRPr="00593885">
              <w:rPr>
                <w:rFonts w:ascii="Corbel" w:eastAsia="Times New Roman" w:hAnsi="Corbel" w:cs="Corbel"/>
                <w:b/>
                <w:bCs/>
                <w:i/>
                <w:iCs/>
                <w:color w:val="000000" w:themeColor="text1"/>
                <w:sz w:val="23"/>
                <w:szCs w:val="23"/>
                <w:u w:val="single"/>
                <w:lang w:eastAsia="en-AU"/>
              </w:rPr>
              <w:t>National Teacher Workforce Action Plan</w:t>
            </w:r>
            <w:r w:rsidRPr="00C26EEC">
              <w:rPr>
                <w:rFonts w:ascii="Corbel" w:eastAsia="Times New Roman" w:hAnsi="Corbel" w:cs="Corbel"/>
                <w:b/>
                <w:bCs/>
                <w:color w:val="000000" w:themeColor="text1"/>
                <w:sz w:val="23"/>
                <w:szCs w:val="23"/>
                <w:u w:val="single"/>
                <w:lang w:eastAsia="en-AU"/>
              </w:rPr>
              <w:t xml:space="preserve"> and/or recommendations of the </w:t>
            </w:r>
            <w:r w:rsidRPr="00593885">
              <w:rPr>
                <w:rFonts w:ascii="Corbel" w:eastAsia="Times New Roman" w:hAnsi="Corbel" w:cs="Corbel"/>
                <w:b/>
                <w:bCs/>
                <w:i/>
                <w:iCs/>
                <w:color w:val="000000" w:themeColor="text1"/>
                <w:sz w:val="23"/>
                <w:szCs w:val="23"/>
                <w:u w:val="single"/>
                <w:lang w:eastAsia="en-AU"/>
              </w:rPr>
              <w:t>Strong Beginnings: Report of the Teacher Education Expert Panel</w:t>
            </w:r>
            <w:r w:rsidRPr="00C26EEC">
              <w:rPr>
                <w:rFonts w:ascii="Corbel" w:eastAsia="Times New Roman" w:hAnsi="Corbel" w:cs="Corbel"/>
                <w:b/>
                <w:bCs/>
                <w:color w:val="000000" w:themeColor="text1"/>
                <w:sz w:val="23"/>
                <w:szCs w:val="23"/>
                <w:u w:val="single"/>
                <w:lang w:eastAsia="en-AU"/>
              </w:rPr>
              <w:t>.</w:t>
            </w:r>
          </w:p>
        </w:tc>
      </w:tr>
      <w:tr w:rsidR="000C32E6" w14:paraId="3C515028" w14:textId="77777777" w:rsidTr="75E2BFC3">
        <w:trPr>
          <w:trHeight w:val="666"/>
        </w:trPr>
        <w:tc>
          <w:tcPr>
            <w:tcW w:w="8764" w:type="dxa"/>
            <w:tcBorders>
              <w:top w:val="single" w:sz="4" w:space="0" w:color="auto"/>
              <w:left w:val="single" w:sz="4" w:space="0" w:color="auto"/>
              <w:bottom w:val="dotted" w:sz="4" w:space="0" w:color="auto"/>
              <w:right w:val="single" w:sz="4" w:space="0" w:color="auto"/>
            </w:tcBorders>
            <w:shd w:val="clear" w:color="auto" w:fill="auto"/>
          </w:tcPr>
          <w:p w14:paraId="45978237" w14:textId="13AE1489" w:rsidR="000C32E6" w:rsidRPr="007449B2" w:rsidRDefault="003E2935" w:rsidP="009C6D83">
            <w:pPr>
              <w:pStyle w:val="ListParagraph"/>
              <w:numPr>
                <w:ilvl w:val="0"/>
                <w:numId w:val="51"/>
              </w:numPr>
              <w:tabs>
                <w:tab w:val="left" w:pos="426"/>
              </w:tabs>
              <w:spacing w:after="240" w:line="260" w:lineRule="exact"/>
              <w:jc w:val="both"/>
              <w:rPr>
                <w:rFonts w:ascii="Corbel" w:eastAsia="Times New Roman" w:hAnsi="Corbel" w:cs="Calibri"/>
                <w:color w:val="000000"/>
                <w:sz w:val="23"/>
                <w:szCs w:val="23"/>
                <w:lang w:eastAsia="en-AU"/>
              </w:rPr>
            </w:pPr>
            <w:r w:rsidRPr="007449B2">
              <w:rPr>
                <w:rFonts w:ascii="Corbel" w:eastAsia="Times New Roman" w:hAnsi="Corbel" w:cs="Calibri"/>
                <w:color w:val="000000"/>
                <w:sz w:val="23"/>
                <w:szCs w:val="23"/>
                <w:lang w:eastAsia="en-AU"/>
              </w:rPr>
              <w:t>Identify and implement actions to improve retention of the education workforce, particularly for early career teachers.</w:t>
            </w:r>
          </w:p>
        </w:tc>
        <w:tc>
          <w:tcPr>
            <w:tcW w:w="2283" w:type="dxa"/>
            <w:tcBorders>
              <w:top w:val="single" w:sz="4" w:space="0" w:color="auto"/>
              <w:left w:val="single" w:sz="4" w:space="0" w:color="auto"/>
              <w:bottom w:val="dotted" w:sz="4" w:space="0" w:color="auto"/>
              <w:right w:val="single" w:sz="4" w:space="0" w:color="auto"/>
            </w:tcBorders>
          </w:tcPr>
          <w:p w14:paraId="606B41C8" w14:textId="77777777" w:rsidR="000C32E6" w:rsidRDefault="000C32E6">
            <w:pPr>
              <w:spacing w:before="120" w:after="120" w:line="260" w:lineRule="exact"/>
              <w:rPr>
                <w:rFonts w:ascii="Corbel" w:hAnsi="Corbel"/>
                <w:sz w:val="23"/>
                <w:szCs w:val="23"/>
              </w:rPr>
            </w:pPr>
            <w:r w:rsidRPr="00BB654F">
              <w:rPr>
                <w:rFonts w:ascii="Corbel" w:eastAsia="Times New Roman" w:hAnsi="Corbel" w:cs="Arial"/>
                <w:color w:val="000000" w:themeColor="text1"/>
                <w:sz w:val="23"/>
                <w:szCs w:val="23"/>
                <w:lang w:eastAsia="en-AU"/>
              </w:rPr>
              <w:t>Government</w:t>
            </w:r>
          </w:p>
        </w:tc>
        <w:tc>
          <w:tcPr>
            <w:tcW w:w="2891" w:type="dxa"/>
            <w:tcBorders>
              <w:top w:val="single" w:sz="4" w:space="0" w:color="auto"/>
              <w:left w:val="single" w:sz="4" w:space="0" w:color="auto"/>
              <w:bottom w:val="dotted" w:sz="4" w:space="0" w:color="auto"/>
              <w:right w:val="single" w:sz="4" w:space="0" w:color="auto"/>
            </w:tcBorders>
          </w:tcPr>
          <w:p w14:paraId="0DC792A4" w14:textId="15477173" w:rsidR="000C32E6" w:rsidRDefault="00A805D4">
            <w:pPr>
              <w:spacing w:before="120" w:after="120" w:line="260" w:lineRule="exact"/>
              <w:rPr>
                <w:rFonts w:ascii="Corbel" w:hAnsi="Corbel"/>
                <w:sz w:val="23"/>
                <w:szCs w:val="23"/>
              </w:rPr>
            </w:pPr>
            <w:r>
              <w:rPr>
                <w:rFonts w:ascii="Corbel" w:hAnsi="Corbel"/>
                <w:sz w:val="23"/>
                <w:szCs w:val="23"/>
              </w:rPr>
              <w:t>From 2025</w:t>
            </w:r>
          </w:p>
        </w:tc>
      </w:tr>
      <w:tr w:rsidR="000C32E6" w14:paraId="3F8A04B3" w14:textId="77777777" w:rsidTr="75E2BFC3">
        <w:trPr>
          <w:trHeight w:val="571"/>
        </w:trPr>
        <w:tc>
          <w:tcPr>
            <w:tcW w:w="8764" w:type="dxa"/>
            <w:tcBorders>
              <w:top w:val="dotted" w:sz="4" w:space="0" w:color="auto"/>
              <w:left w:val="single" w:sz="4" w:space="0" w:color="auto"/>
              <w:bottom w:val="dotted" w:sz="4" w:space="0" w:color="auto"/>
              <w:right w:val="single" w:sz="4" w:space="0" w:color="auto"/>
            </w:tcBorders>
            <w:shd w:val="clear" w:color="auto" w:fill="auto"/>
          </w:tcPr>
          <w:p w14:paraId="167CD950" w14:textId="786FD39C" w:rsidR="000C32E6" w:rsidRPr="004B781D" w:rsidRDefault="00C765B8" w:rsidP="004B781D">
            <w:pPr>
              <w:pStyle w:val="ListParagraph"/>
              <w:numPr>
                <w:ilvl w:val="0"/>
                <w:numId w:val="51"/>
              </w:numPr>
              <w:tabs>
                <w:tab w:val="left" w:pos="426"/>
              </w:tabs>
              <w:spacing w:after="240" w:line="260" w:lineRule="exact"/>
              <w:jc w:val="both"/>
              <w:rPr>
                <w:rFonts w:eastAsia="Times New Roman" w:cs="Calibri"/>
                <w:color w:val="000000"/>
                <w:lang w:eastAsia="en-AU"/>
              </w:rPr>
            </w:pPr>
            <w:r w:rsidRPr="00971A21">
              <w:rPr>
                <w:rFonts w:ascii="Corbel" w:eastAsia="Times New Roman" w:hAnsi="Corbel" w:cs="Calibri"/>
                <w:color w:val="000000"/>
                <w:sz w:val="23"/>
                <w:szCs w:val="23"/>
                <w:lang w:eastAsia="en-AU"/>
              </w:rPr>
              <w:t>Establishing and strengthening the DECYP’s relationships and collaboration with Tasmanian Aboriginal people and Aboriginal Community Controlled Organisations, coordinated with whole-of-government efforts already in development, with the view to broker partnerships with key stakeholders that can support increased cultural safety and responsiveness in the Tasmanian education system</w:t>
            </w:r>
          </w:p>
        </w:tc>
        <w:tc>
          <w:tcPr>
            <w:tcW w:w="2283" w:type="dxa"/>
            <w:tcBorders>
              <w:top w:val="dotted" w:sz="4" w:space="0" w:color="auto"/>
              <w:left w:val="single" w:sz="4" w:space="0" w:color="auto"/>
              <w:bottom w:val="dotted" w:sz="4" w:space="0" w:color="auto"/>
              <w:right w:val="single" w:sz="4" w:space="0" w:color="auto"/>
            </w:tcBorders>
          </w:tcPr>
          <w:p w14:paraId="4EA9902D" w14:textId="4BAF81CA" w:rsidR="000C32E6" w:rsidRDefault="000C32E6">
            <w:pPr>
              <w:spacing w:before="120" w:after="120" w:line="260" w:lineRule="exact"/>
              <w:rPr>
                <w:rFonts w:ascii="Corbel" w:hAnsi="Corbel"/>
                <w:sz w:val="23"/>
                <w:szCs w:val="23"/>
              </w:rPr>
            </w:pPr>
            <w:r>
              <w:rPr>
                <w:rFonts w:ascii="Corbel" w:hAnsi="Corbel"/>
                <w:sz w:val="23"/>
                <w:szCs w:val="23"/>
              </w:rPr>
              <w:t>Government</w:t>
            </w:r>
          </w:p>
        </w:tc>
        <w:tc>
          <w:tcPr>
            <w:tcW w:w="2891" w:type="dxa"/>
            <w:tcBorders>
              <w:top w:val="dotted" w:sz="4" w:space="0" w:color="auto"/>
              <w:left w:val="single" w:sz="4" w:space="0" w:color="auto"/>
              <w:bottom w:val="dotted" w:sz="4" w:space="0" w:color="auto"/>
              <w:right w:val="single" w:sz="4" w:space="0" w:color="auto"/>
            </w:tcBorders>
          </w:tcPr>
          <w:p w14:paraId="5A0CFE70" w14:textId="1B8483DF" w:rsidR="000C32E6" w:rsidRDefault="00A805D4">
            <w:pPr>
              <w:spacing w:before="120" w:after="120" w:line="260" w:lineRule="exact"/>
              <w:rPr>
                <w:rFonts w:ascii="Corbel" w:hAnsi="Corbel"/>
                <w:sz w:val="23"/>
                <w:szCs w:val="23"/>
              </w:rPr>
            </w:pPr>
            <w:r>
              <w:rPr>
                <w:rFonts w:ascii="Corbel" w:hAnsi="Corbel"/>
                <w:sz w:val="23"/>
                <w:szCs w:val="23"/>
              </w:rPr>
              <w:t>From 2025</w:t>
            </w:r>
          </w:p>
        </w:tc>
      </w:tr>
      <w:tr w:rsidR="00B43083" w14:paraId="668D34E7" w14:textId="77777777" w:rsidTr="75E2BFC3">
        <w:trPr>
          <w:trHeight w:val="571"/>
        </w:trPr>
        <w:tc>
          <w:tcPr>
            <w:tcW w:w="8764" w:type="dxa"/>
            <w:tcBorders>
              <w:top w:val="dotted" w:sz="4" w:space="0" w:color="auto"/>
              <w:left w:val="single" w:sz="4" w:space="0" w:color="auto"/>
              <w:bottom w:val="single" w:sz="4" w:space="0" w:color="auto"/>
              <w:right w:val="single" w:sz="4" w:space="0" w:color="auto"/>
            </w:tcBorders>
            <w:shd w:val="clear" w:color="auto" w:fill="auto"/>
          </w:tcPr>
          <w:p w14:paraId="71C7BD55" w14:textId="314702BA" w:rsidR="00B43083" w:rsidRPr="007449B2" w:rsidRDefault="006D23B1" w:rsidP="00B83178">
            <w:pPr>
              <w:pStyle w:val="ListParagraph"/>
              <w:numPr>
                <w:ilvl w:val="0"/>
                <w:numId w:val="51"/>
              </w:numPr>
              <w:tabs>
                <w:tab w:val="left" w:pos="426"/>
              </w:tabs>
              <w:spacing w:after="240" w:line="260" w:lineRule="exact"/>
              <w:jc w:val="both"/>
              <w:rPr>
                <w:rFonts w:ascii="Corbel" w:eastAsia="Times New Roman" w:hAnsi="Corbel" w:cs="Calibri"/>
                <w:color w:val="000000"/>
                <w:sz w:val="23"/>
                <w:szCs w:val="23"/>
                <w:lang w:eastAsia="en-AU"/>
              </w:rPr>
            </w:pPr>
            <w:r w:rsidRPr="007449B2">
              <w:rPr>
                <w:rFonts w:ascii="Corbel" w:eastAsia="Times New Roman" w:hAnsi="Corbel" w:cs="Calibri"/>
                <w:color w:val="000000"/>
                <w:sz w:val="23"/>
                <w:szCs w:val="23"/>
                <w:lang w:eastAsia="en-AU"/>
              </w:rPr>
              <w:t>Identifying and progressing suitable initiatives to attract First Nations education workforces, including creating culturally safe workplaces and building culturally responsive teaching resources and building capability for all Tasmanian educators.</w:t>
            </w:r>
          </w:p>
        </w:tc>
        <w:tc>
          <w:tcPr>
            <w:tcW w:w="2283" w:type="dxa"/>
            <w:tcBorders>
              <w:top w:val="dotted" w:sz="4" w:space="0" w:color="auto"/>
              <w:left w:val="single" w:sz="4" w:space="0" w:color="auto"/>
              <w:bottom w:val="single" w:sz="4" w:space="0" w:color="auto"/>
              <w:right w:val="single" w:sz="4" w:space="0" w:color="auto"/>
            </w:tcBorders>
          </w:tcPr>
          <w:p w14:paraId="16B74A36" w14:textId="71E36A80" w:rsidR="00B43083" w:rsidRDefault="00FA4922">
            <w:pPr>
              <w:spacing w:before="120" w:after="120" w:line="260" w:lineRule="exact"/>
              <w:rPr>
                <w:rFonts w:ascii="Corbel" w:hAnsi="Corbel"/>
                <w:sz w:val="23"/>
                <w:szCs w:val="23"/>
              </w:rPr>
            </w:pPr>
            <w:r>
              <w:rPr>
                <w:rFonts w:ascii="Corbel" w:hAnsi="Corbel"/>
                <w:sz w:val="23"/>
                <w:szCs w:val="23"/>
              </w:rPr>
              <w:t>Government/Catholic</w:t>
            </w:r>
          </w:p>
        </w:tc>
        <w:tc>
          <w:tcPr>
            <w:tcW w:w="2891" w:type="dxa"/>
            <w:tcBorders>
              <w:top w:val="dotted" w:sz="4" w:space="0" w:color="auto"/>
              <w:left w:val="single" w:sz="4" w:space="0" w:color="auto"/>
              <w:bottom w:val="single" w:sz="4" w:space="0" w:color="auto"/>
              <w:right w:val="single" w:sz="4" w:space="0" w:color="auto"/>
            </w:tcBorders>
          </w:tcPr>
          <w:p w14:paraId="10A6B57D" w14:textId="57A824D0" w:rsidR="00B43083" w:rsidRDefault="00A805D4">
            <w:pPr>
              <w:spacing w:before="120" w:after="120" w:line="260" w:lineRule="exact"/>
              <w:rPr>
                <w:rFonts w:ascii="Corbel" w:hAnsi="Corbel"/>
                <w:sz w:val="23"/>
                <w:szCs w:val="23"/>
              </w:rPr>
            </w:pPr>
            <w:r>
              <w:rPr>
                <w:rFonts w:ascii="Corbel" w:hAnsi="Corbel"/>
                <w:sz w:val="23"/>
                <w:szCs w:val="23"/>
              </w:rPr>
              <w:t>From 2025</w:t>
            </w:r>
          </w:p>
        </w:tc>
      </w:tr>
    </w:tbl>
    <w:p w14:paraId="5243136D" w14:textId="77777777" w:rsidR="00300948" w:rsidRDefault="00300948" w:rsidP="00563376"/>
    <w:p w14:paraId="04E240DF" w14:textId="4F5C8172" w:rsidR="00563376" w:rsidRPr="00563376" w:rsidRDefault="00563376" w:rsidP="00C804A9">
      <w:pPr>
        <w:tabs>
          <w:tab w:val="left" w:pos="1267"/>
        </w:tabs>
        <w:rPr>
          <w:rFonts w:ascii="Corbel" w:eastAsia="Times New Roman" w:hAnsi="Corbel" w:cs="Calibri"/>
          <w:sz w:val="23"/>
          <w:szCs w:val="23"/>
          <w:lang w:eastAsia="en-AU"/>
        </w:rPr>
        <w:sectPr w:rsidR="00563376" w:rsidRPr="00563376" w:rsidSect="00C43C7B">
          <w:pgSz w:w="16838" w:h="11906" w:orient="landscape"/>
          <w:pgMar w:top="1440" w:right="1440" w:bottom="1440" w:left="1440" w:header="708" w:footer="708" w:gutter="0"/>
          <w:cols w:space="708"/>
          <w:docGrid w:linePitch="360"/>
        </w:sectPr>
      </w:pPr>
    </w:p>
    <w:p w14:paraId="3A7BCCEB" w14:textId="69F9B42C" w:rsidR="00FC2D96" w:rsidRPr="00BE36B9" w:rsidRDefault="00FC2D96" w:rsidP="00FC2D96">
      <w:pPr>
        <w:spacing w:after="160" w:line="259" w:lineRule="auto"/>
        <w:rPr>
          <w:rFonts w:ascii="Corbel" w:eastAsia="Times New Roman" w:hAnsi="Corbel" w:cs="Consolas"/>
          <w:b/>
          <w:caps/>
          <w:color w:val="316F72"/>
          <w:kern w:val="32"/>
          <w:sz w:val="32"/>
          <w:szCs w:val="32"/>
          <w:lang w:eastAsia="en-AU"/>
        </w:rPr>
      </w:pPr>
      <w:r w:rsidRPr="00BE36B9">
        <w:rPr>
          <w:rFonts w:ascii="Corbel" w:eastAsia="Times New Roman" w:hAnsi="Corbel" w:cs="Consolas"/>
          <w:b/>
          <w:caps/>
          <w:color w:val="316F72"/>
          <w:kern w:val="32"/>
          <w:sz w:val="32"/>
          <w:szCs w:val="32"/>
          <w:lang w:eastAsia="en-AU"/>
        </w:rPr>
        <w:lastRenderedPageBreak/>
        <w:t xml:space="preserve">Part </w:t>
      </w:r>
      <w:r>
        <w:rPr>
          <w:rFonts w:ascii="Corbel" w:eastAsia="Times New Roman" w:hAnsi="Corbel" w:cs="Consolas"/>
          <w:b/>
          <w:caps/>
          <w:color w:val="316F72"/>
          <w:kern w:val="32"/>
          <w:sz w:val="32"/>
          <w:szCs w:val="32"/>
          <w:lang w:eastAsia="en-AU"/>
        </w:rPr>
        <w:t>4</w:t>
      </w:r>
      <w:r w:rsidRPr="00BE36B9">
        <w:rPr>
          <w:rFonts w:ascii="Corbel" w:eastAsia="Times New Roman" w:hAnsi="Corbel" w:cs="Consolas"/>
          <w:b/>
          <w:caps/>
          <w:color w:val="316F72"/>
          <w:kern w:val="32"/>
          <w:sz w:val="32"/>
          <w:szCs w:val="32"/>
          <w:lang w:eastAsia="en-AU"/>
        </w:rPr>
        <w:t xml:space="preserve"> </w:t>
      </w:r>
      <w:r w:rsidRPr="7D2E62D3">
        <w:rPr>
          <w:rFonts w:ascii="Corbel" w:eastAsia="Times New Roman" w:hAnsi="Corbel" w:cs="Corbel"/>
          <w:b/>
          <w:bCs/>
          <w:color w:val="316F72"/>
          <w:sz w:val="32"/>
          <w:szCs w:val="32"/>
          <w:lang w:eastAsia="en-AU"/>
        </w:rPr>
        <w:t xml:space="preserve">— </w:t>
      </w:r>
      <w:r>
        <w:rPr>
          <w:rFonts w:ascii="Corbel" w:eastAsia="Times New Roman" w:hAnsi="Corbel" w:cs="Consolas"/>
          <w:b/>
          <w:caps/>
          <w:color w:val="316F72"/>
          <w:kern w:val="32"/>
          <w:sz w:val="32"/>
          <w:szCs w:val="32"/>
          <w:lang w:eastAsia="en-AU"/>
        </w:rPr>
        <w:t>R</w:t>
      </w:r>
      <w:r w:rsidR="006721DF">
        <w:rPr>
          <w:rFonts w:ascii="Corbel" w:eastAsia="Times New Roman" w:hAnsi="Corbel" w:cs="Consolas"/>
          <w:b/>
          <w:caps/>
          <w:color w:val="316F72"/>
          <w:kern w:val="32"/>
          <w:sz w:val="32"/>
          <w:szCs w:val="32"/>
          <w:lang w:eastAsia="en-AU"/>
        </w:rPr>
        <w:t>e</w:t>
      </w:r>
      <w:r>
        <w:rPr>
          <w:rFonts w:ascii="Corbel" w:eastAsia="Times New Roman" w:hAnsi="Corbel" w:cs="Consolas"/>
          <w:b/>
          <w:caps/>
          <w:color w:val="316F72"/>
          <w:kern w:val="32"/>
          <w:sz w:val="32"/>
          <w:szCs w:val="32"/>
          <w:lang w:eastAsia="en-AU"/>
        </w:rPr>
        <w:t>porting REquirements</w:t>
      </w:r>
    </w:p>
    <w:p w14:paraId="4F3D60C3" w14:textId="16303959" w:rsidR="00FD67ED" w:rsidRPr="00CD09B6" w:rsidRDefault="00FC2D96" w:rsidP="00CD09B6">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Requirements for annual reporting to the Commonwealth</w:t>
      </w:r>
    </w:p>
    <w:p w14:paraId="41CF099A" w14:textId="4A3EB1CA" w:rsidR="00CD09B6" w:rsidRPr="00CD09B6" w:rsidRDefault="00CD09B6" w:rsidP="00CD09B6">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CD09B6">
        <w:rPr>
          <w:rFonts w:ascii="Corbel" w:eastAsia="Times New Roman" w:hAnsi="Corbel" w:cs="Calibri"/>
          <w:color w:val="000000"/>
          <w:sz w:val="23"/>
          <w:szCs w:val="23"/>
          <w:lang w:eastAsia="en-AU"/>
        </w:rPr>
        <w:t>The following clauses set out the annual reporting arrangements for Tasmania for a year (Year T).</w:t>
      </w:r>
    </w:p>
    <w:p w14:paraId="00B5E80B" w14:textId="2B81F2AC" w:rsidR="00FD67ED" w:rsidRPr="00CD09B6" w:rsidRDefault="00CD09B6" w:rsidP="00CD09B6">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CE7F90">
        <w:rPr>
          <w:rFonts w:ascii="Corbel" w:eastAsia="Times New Roman" w:hAnsi="Corbel" w:cs="Calibri"/>
          <w:color w:val="000000"/>
          <w:sz w:val="23"/>
          <w:szCs w:val="23"/>
          <w:lang w:eastAsia="en-AU"/>
        </w:rPr>
        <w:t>As set out in clause 100 of the Heads of Agreement, Tasmania will also be required to ensure</w:t>
      </w:r>
      <w:r w:rsidR="006E34D5" w:rsidRPr="00CE7F90">
        <w:rPr>
          <w:rFonts w:ascii="Corbel" w:eastAsia="Times New Roman" w:hAnsi="Corbel" w:cs="Calibri"/>
          <w:color w:val="000000"/>
          <w:sz w:val="23"/>
          <w:szCs w:val="23"/>
          <w:lang w:eastAsia="en-AU"/>
        </w:rPr>
        <w:t xml:space="preserve"> </w:t>
      </w:r>
      <w:r w:rsidRPr="00CE7F90">
        <w:rPr>
          <w:rFonts w:ascii="Corbel" w:eastAsia="Times New Roman" w:hAnsi="Corbel" w:cs="Calibri"/>
          <w:color w:val="000000"/>
          <w:sz w:val="23"/>
          <w:szCs w:val="23"/>
          <w:lang w:eastAsia="en-AU"/>
        </w:rPr>
        <w:t>full and accessible information on</w:t>
      </w:r>
      <w:r w:rsidRPr="00CD09B6">
        <w:rPr>
          <w:rFonts w:ascii="Corbel" w:eastAsia="Times New Roman" w:hAnsi="Corbel" w:cs="Calibri"/>
          <w:color w:val="000000"/>
          <w:sz w:val="23"/>
          <w:szCs w:val="23"/>
          <w:lang w:eastAsia="en-AU"/>
        </w:rPr>
        <w:t xml:space="preserve"> their needs-based funding arrangement is publicly available, in line with subsection 78(5) of the Act.</w:t>
      </w:r>
    </w:p>
    <w:p w14:paraId="43E0C18F" w14:textId="3C307F3E" w:rsidR="00BC2CE4" w:rsidRPr="009431E3" w:rsidRDefault="0040706D" w:rsidP="009431E3">
      <w:pPr>
        <w:tabs>
          <w:tab w:val="left" w:pos="426"/>
        </w:tabs>
        <w:spacing w:after="240" w:line="260" w:lineRule="exact"/>
        <w:jc w:val="both"/>
        <w:rPr>
          <w:rFonts w:ascii="Corbel" w:eastAsia="Times New Roman" w:hAnsi="Corbel" w:cs="Calibri"/>
          <w:b/>
          <w:bCs/>
          <w:color w:val="000000"/>
          <w:sz w:val="23"/>
          <w:szCs w:val="23"/>
          <w:lang w:eastAsia="en-AU"/>
        </w:rPr>
      </w:pPr>
      <w:r>
        <w:rPr>
          <w:rFonts w:ascii="Corbel" w:eastAsia="Times New Roman" w:hAnsi="Corbel" w:cs="Calibri"/>
          <w:b/>
          <w:bCs/>
          <w:color w:val="000000"/>
          <w:sz w:val="23"/>
          <w:szCs w:val="23"/>
          <w:lang w:eastAsia="en-AU"/>
        </w:rPr>
        <w:t>Annual Funding Report</w:t>
      </w:r>
    </w:p>
    <w:p w14:paraId="57D1D1AE" w14:textId="58F47672" w:rsidR="009431E3" w:rsidRPr="009431E3" w:rsidRDefault="009431E3" w:rsidP="009431E3">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431E3">
        <w:rPr>
          <w:rFonts w:ascii="Corbel" w:eastAsia="Times New Roman" w:hAnsi="Corbel" w:cs="Calibri"/>
          <w:color w:val="000000"/>
          <w:sz w:val="23"/>
          <w:szCs w:val="23"/>
          <w:lang w:eastAsia="en-AU"/>
        </w:rPr>
        <w:t xml:space="preserve">The Commonwealth will provide Tasmania with a Funding Estimation Tool in January Year T+1 prior to Tasmania’s </w:t>
      </w:r>
      <w:r w:rsidRPr="00CE7F90">
        <w:rPr>
          <w:rFonts w:ascii="Corbel" w:eastAsia="Times New Roman" w:hAnsi="Corbel" w:cs="Calibri"/>
          <w:color w:val="000000"/>
          <w:sz w:val="23"/>
          <w:szCs w:val="23"/>
          <w:lang w:eastAsia="en-AU"/>
        </w:rPr>
        <w:t xml:space="preserve">annual report with the final SRS data for Year T for the purpose of </w:t>
      </w:r>
      <w:r w:rsidR="0045699B" w:rsidRPr="00CE7F90">
        <w:rPr>
          <w:rFonts w:ascii="Corbel" w:eastAsia="Times New Roman" w:hAnsi="Corbel" w:cs="Calibri"/>
          <w:color w:val="000000"/>
          <w:sz w:val="23"/>
          <w:szCs w:val="23"/>
          <w:lang w:eastAsia="en-AU"/>
        </w:rPr>
        <w:t>t</w:t>
      </w:r>
      <w:r w:rsidRPr="00CE7F90">
        <w:rPr>
          <w:rFonts w:ascii="Corbel" w:eastAsia="Times New Roman" w:hAnsi="Corbel" w:cs="Calibri"/>
          <w:color w:val="000000"/>
          <w:sz w:val="23"/>
          <w:szCs w:val="23"/>
          <w:lang w:eastAsia="en-AU"/>
        </w:rPr>
        <w:t>he Board</w:t>
      </w:r>
      <w:r w:rsidR="006860AF" w:rsidRPr="00CE7F90">
        <w:rPr>
          <w:rFonts w:ascii="Corbel" w:eastAsia="Times New Roman" w:hAnsi="Corbel" w:cs="Calibri"/>
          <w:color w:val="000000"/>
          <w:sz w:val="23"/>
          <w:szCs w:val="23"/>
          <w:lang w:eastAsia="en-AU"/>
        </w:rPr>
        <w:t>’s</w:t>
      </w:r>
      <w:r w:rsidRPr="00CE7F90">
        <w:rPr>
          <w:rFonts w:ascii="Corbel" w:eastAsia="Times New Roman" w:hAnsi="Corbel" w:cs="Calibri"/>
          <w:color w:val="000000"/>
          <w:sz w:val="23"/>
          <w:szCs w:val="23"/>
          <w:lang w:eastAsia="en-AU"/>
        </w:rPr>
        <w:t xml:space="preserve"> review of Tasmania’s compliance with section 22(A) of the Act.</w:t>
      </w:r>
    </w:p>
    <w:p w14:paraId="2765E3CB" w14:textId="7B61647E" w:rsidR="009431E3" w:rsidRPr="009431E3" w:rsidRDefault="009431E3" w:rsidP="009431E3">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431E3">
        <w:rPr>
          <w:rFonts w:ascii="Corbel" w:eastAsia="Times New Roman" w:hAnsi="Corbel" w:cs="Calibri"/>
          <w:color w:val="000000"/>
          <w:sz w:val="23"/>
          <w:szCs w:val="23"/>
          <w:lang w:eastAsia="en-AU"/>
        </w:rPr>
        <w:t xml:space="preserve">As outlined in </w:t>
      </w:r>
      <w:r w:rsidR="0045699B" w:rsidRPr="00C7665F">
        <w:rPr>
          <w:rFonts w:ascii="Corbel" w:eastAsia="Times New Roman" w:hAnsi="Corbel" w:cs="Calibri"/>
          <w:color w:val="000000"/>
          <w:sz w:val="23"/>
          <w:szCs w:val="23"/>
          <w:lang w:eastAsia="en-AU"/>
        </w:rPr>
        <w:t>subclause</w:t>
      </w:r>
      <w:r w:rsidRPr="009431E3">
        <w:rPr>
          <w:rFonts w:ascii="Corbel" w:eastAsia="Times New Roman" w:hAnsi="Corbel" w:cs="Calibri"/>
          <w:color w:val="000000"/>
          <w:sz w:val="23"/>
          <w:szCs w:val="23"/>
          <w:lang w:eastAsia="en-AU"/>
        </w:rPr>
        <w:t xml:space="preserve"> 101(e) of the Heads of Agreement, the Tasmanian </w:t>
      </w:r>
      <w:r w:rsidR="00B03325">
        <w:rPr>
          <w:rFonts w:ascii="Corbel" w:eastAsia="Times New Roman" w:hAnsi="Corbel" w:cs="Calibri"/>
          <w:color w:val="000000"/>
          <w:sz w:val="23"/>
          <w:szCs w:val="23"/>
          <w:lang w:eastAsia="en-AU"/>
        </w:rPr>
        <w:t>M</w:t>
      </w:r>
      <w:r w:rsidRPr="009431E3">
        <w:rPr>
          <w:rFonts w:ascii="Corbel" w:eastAsia="Times New Roman" w:hAnsi="Corbel" w:cs="Calibri"/>
          <w:color w:val="000000"/>
          <w:sz w:val="23"/>
          <w:szCs w:val="23"/>
          <w:lang w:eastAsia="en-AU"/>
        </w:rPr>
        <w:t xml:space="preserve">inister responsible for school education, or their delegate (i.e. the </w:t>
      </w:r>
      <w:r w:rsidR="00B03325">
        <w:rPr>
          <w:rFonts w:ascii="Corbel" w:eastAsia="Times New Roman" w:hAnsi="Corbel" w:cs="Calibri"/>
          <w:color w:val="000000"/>
          <w:sz w:val="23"/>
          <w:szCs w:val="23"/>
          <w:lang w:eastAsia="en-AU"/>
        </w:rPr>
        <w:t>Secretary</w:t>
      </w:r>
      <w:r w:rsidRPr="009431E3">
        <w:rPr>
          <w:rFonts w:ascii="Corbel" w:eastAsia="Times New Roman" w:hAnsi="Corbel" w:cs="Calibri"/>
          <w:color w:val="000000"/>
          <w:sz w:val="23"/>
          <w:szCs w:val="23"/>
          <w:lang w:eastAsia="en-AU"/>
        </w:rPr>
        <w:t xml:space="preserve"> (or equivalent) of the Department responsible for school education)</w:t>
      </w:r>
      <w:r w:rsidRPr="009431E3" w:rsidDel="00DD5B0E">
        <w:rPr>
          <w:rFonts w:ascii="Corbel" w:eastAsia="Times New Roman" w:hAnsi="Corbel" w:cs="Calibri"/>
          <w:color w:val="000000"/>
          <w:sz w:val="23"/>
          <w:szCs w:val="23"/>
          <w:lang w:eastAsia="en-AU"/>
        </w:rPr>
        <w:t xml:space="preserve"> </w:t>
      </w:r>
      <w:r w:rsidRPr="009431E3">
        <w:rPr>
          <w:rFonts w:ascii="Corbel" w:eastAsia="Times New Roman" w:hAnsi="Corbel" w:cs="Calibri"/>
          <w:color w:val="000000"/>
          <w:sz w:val="23"/>
          <w:szCs w:val="23"/>
          <w:lang w:eastAsia="en-AU"/>
        </w:rPr>
        <w:t>must provide an Annual Funding Report to the Commonwealth Education Minister, or their delegate such as the Departmental Secretary, for each calendar year of the Bilateral Agreement.</w:t>
      </w:r>
    </w:p>
    <w:p w14:paraId="0AE0A596" w14:textId="77777777" w:rsidR="009431E3" w:rsidRPr="009431E3" w:rsidRDefault="009431E3" w:rsidP="009431E3">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431E3">
        <w:rPr>
          <w:rFonts w:ascii="Corbel" w:eastAsia="Times New Roman" w:hAnsi="Corbel" w:cs="Calibri"/>
          <w:color w:val="000000"/>
          <w:sz w:val="23"/>
          <w:szCs w:val="23"/>
          <w:lang w:eastAsia="en-AU"/>
        </w:rPr>
        <w:t>Tasmania must provide its Annual Funding Report for Year T to the Commonwealth no later than 30 November Year T+1 (i.e. 30 November of the following year).</w:t>
      </w:r>
    </w:p>
    <w:p w14:paraId="673D1FDD" w14:textId="77777777" w:rsidR="009431E3" w:rsidRPr="009431E3" w:rsidRDefault="009431E3" w:rsidP="009431E3">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431E3">
        <w:rPr>
          <w:rFonts w:ascii="Corbel" w:eastAsia="Times New Roman" w:hAnsi="Corbel" w:cs="Calibri"/>
          <w:color w:val="000000"/>
          <w:sz w:val="23"/>
          <w:szCs w:val="23"/>
          <w:lang w:eastAsia="en-AU"/>
        </w:rPr>
        <w:t>The Annual Funding Report must set out the following:</w:t>
      </w:r>
    </w:p>
    <w:p w14:paraId="2EFC6037" w14:textId="461FAA06" w:rsidR="009431E3" w:rsidRPr="007449B2" w:rsidRDefault="009431E3" w:rsidP="007449B2">
      <w:pPr>
        <w:pStyle w:val="ListParagraph"/>
        <w:numPr>
          <w:ilvl w:val="1"/>
          <w:numId w:val="1"/>
        </w:numPr>
        <w:tabs>
          <w:tab w:val="left" w:pos="426"/>
        </w:tabs>
        <w:spacing w:after="240" w:line="260" w:lineRule="exact"/>
        <w:ind w:left="397" w:hanging="244"/>
        <w:contextualSpacing w:val="0"/>
        <w:jc w:val="both"/>
        <w:rPr>
          <w:rFonts w:ascii="Corbel" w:eastAsia="Times New Roman" w:hAnsi="Corbel" w:cs="Calibri"/>
          <w:color w:val="000000" w:themeColor="text1"/>
          <w:sz w:val="23"/>
          <w:szCs w:val="23"/>
          <w:lang w:eastAsia="en-AU"/>
        </w:rPr>
      </w:pPr>
      <w:r w:rsidRPr="007449B2">
        <w:rPr>
          <w:rFonts w:ascii="Corbel" w:eastAsia="Times New Roman" w:hAnsi="Corbel" w:cs="Calibri"/>
          <w:color w:val="000000" w:themeColor="text1"/>
          <w:sz w:val="23"/>
          <w:szCs w:val="23"/>
          <w:lang w:eastAsia="en-AU"/>
        </w:rPr>
        <w:t>The total amount of funding provided by Tasmania for government schools in Tasmania for</w:t>
      </w:r>
      <w:r w:rsidR="009B05A5" w:rsidRPr="007449B2">
        <w:rPr>
          <w:rFonts w:ascii="Corbel" w:eastAsia="Times New Roman" w:hAnsi="Corbel" w:cs="Calibri"/>
          <w:color w:val="000000" w:themeColor="text1"/>
          <w:sz w:val="23"/>
          <w:szCs w:val="23"/>
          <w:lang w:eastAsia="en-AU"/>
        </w:rPr>
        <w:t xml:space="preserve"> </w:t>
      </w:r>
      <w:r w:rsidRPr="007449B2">
        <w:rPr>
          <w:rFonts w:ascii="Corbel" w:eastAsia="Times New Roman" w:hAnsi="Corbel" w:cs="Calibri"/>
          <w:color w:val="000000" w:themeColor="text1"/>
          <w:sz w:val="23"/>
          <w:szCs w:val="23"/>
          <w:lang w:eastAsia="en-AU"/>
        </w:rPr>
        <w:t xml:space="preserve">Year T as measured in line with clause </w:t>
      </w:r>
      <w:r w:rsidR="0018162E" w:rsidRPr="007449B2">
        <w:rPr>
          <w:rFonts w:ascii="Corbel" w:eastAsia="Times New Roman" w:hAnsi="Corbel" w:cs="Calibri"/>
          <w:color w:val="000000" w:themeColor="text1"/>
          <w:sz w:val="23"/>
          <w:szCs w:val="23"/>
          <w:lang w:eastAsia="en-AU"/>
        </w:rPr>
        <w:t xml:space="preserve">62 </w:t>
      </w:r>
      <w:r w:rsidRPr="007449B2">
        <w:rPr>
          <w:rFonts w:ascii="Corbel" w:eastAsia="Times New Roman" w:hAnsi="Corbel" w:cs="Calibri"/>
          <w:color w:val="000000" w:themeColor="text1"/>
          <w:sz w:val="23"/>
          <w:szCs w:val="23"/>
          <w:lang w:eastAsia="en-AU"/>
        </w:rPr>
        <w:t>of this Bilateral Agreement.</w:t>
      </w:r>
    </w:p>
    <w:p w14:paraId="2303EC48" w14:textId="47CA7C53" w:rsidR="009431E3" w:rsidRPr="007449B2" w:rsidRDefault="009431E3" w:rsidP="007449B2">
      <w:pPr>
        <w:pStyle w:val="ListParagraph"/>
        <w:numPr>
          <w:ilvl w:val="1"/>
          <w:numId w:val="1"/>
        </w:numPr>
        <w:tabs>
          <w:tab w:val="left" w:pos="426"/>
        </w:tabs>
        <w:spacing w:after="240" w:line="260" w:lineRule="exact"/>
        <w:ind w:left="397" w:hanging="244"/>
        <w:contextualSpacing w:val="0"/>
        <w:jc w:val="both"/>
        <w:rPr>
          <w:rFonts w:ascii="Corbel" w:eastAsia="Times New Roman" w:hAnsi="Corbel" w:cs="Calibri"/>
          <w:color w:val="000000" w:themeColor="text1"/>
          <w:sz w:val="23"/>
          <w:szCs w:val="23"/>
          <w:lang w:eastAsia="en-AU"/>
        </w:rPr>
      </w:pPr>
      <w:r w:rsidRPr="007449B2">
        <w:rPr>
          <w:rFonts w:ascii="Corbel" w:eastAsia="Times New Roman" w:hAnsi="Corbel" w:cs="Calibri"/>
          <w:color w:val="000000" w:themeColor="text1"/>
          <w:sz w:val="23"/>
          <w:szCs w:val="23"/>
          <w:lang w:eastAsia="en-AU"/>
        </w:rPr>
        <w:t xml:space="preserve">The total amount of funding provided by Tasmania for non-government schools in Tasmania for Year T as measured in line with clause </w:t>
      </w:r>
      <w:r w:rsidR="0018162E" w:rsidRPr="007449B2">
        <w:rPr>
          <w:rFonts w:ascii="Corbel" w:eastAsia="Times New Roman" w:hAnsi="Corbel" w:cs="Calibri"/>
          <w:color w:val="000000" w:themeColor="text1"/>
          <w:sz w:val="23"/>
          <w:szCs w:val="23"/>
          <w:lang w:eastAsia="en-AU"/>
        </w:rPr>
        <w:t xml:space="preserve">62 </w:t>
      </w:r>
      <w:r w:rsidRPr="007449B2">
        <w:rPr>
          <w:rFonts w:ascii="Corbel" w:eastAsia="Times New Roman" w:hAnsi="Corbel" w:cs="Calibri"/>
          <w:color w:val="000000" w:themeColor="text1"/>
          <w:sz w:val="23"/>
          <w:szCs w:val="23"/>
          <w:lang w:eastAsia="en-AU"/>
        </w:rPr>
        <w:t>of this Bilateral Agreement.</w:t>
      </w:r>
    </w:p>
    <w:p w14:paraId="688C58E0" w14:textId="77777777" w:rsidR="009431E3" w:rsidRPr="007449B2" w:rsidRDefault="009431E3" w:rsidP="007449B2">
      <w:pPr>
        <w:pStyle w:val="ListParagraph"/>
        <w:numPr>
          <w:ilvl w:val="1"/>
          <w:numId w:val="1"/>
        </w:numPr>
        <w:tabs>
          <w:tab w:val="left" w:pos="426"/>
        </w:tabs>
        <w:spacing w:after="240" w:line="260" w:lineRule="exact"/>
        <w:ind w:left="397" w:hanging="244"/>
        <w:contextualSpacing w:val="0"/>
        <w:jc w:val="both"/>
        <w:rPr>
          <w:rFonts w:ascii="Corbel" w:eastAsia="Times New Roman" w:hAnsi="Corbel" w:cs="Calibri"/>
          <w:color w:val="000000" w:themeColor="text1"/>
          <w:sz w:val="23"/>
          <w:szCs w:val="23"/>
          <w:lang w:eastAsia="en-AU"/>
        </w:rPr>
      </w:pPr>
      <w:r w:rsidRPr="007449B2">
        <w:rPr>
          <w:rFonts w:ascii="Corbel" w:eastAsia="Times New Roman" w:hAnsi="Corbel" w:cs="Calibri"/>
          <w:color w:val="000000" w:themeColor="text1"/>
          <w:sz w:val="23"/>
          <w:szCs w:val="23"/>
          <w:lang w:eastAsia="en-AU"/>
        </w:rPr>
        <w:t>Total full time equivalent enrolments for Year T, relating to the amounts in (a) and (b) above.</w:t>
      </w:r>
    </w:p>
    <w:p w14:paraId="6B3A7798" w14:textId="3E105551" w:rsidR="009431E3" w:rsidRPr="007449B2" w:rsidRDefault="009431E3" w:rsidP="007449B2">
      <w:pPr>
        <w:pStyle w:val="ListParagraph"/>
        <w:numPr>
          <w:ilvl w:val="1"/>
          <w:numId w:val="1"/>
        </w:numPr>
        <w:tabs>
          <w:tab w:val="left" w:pos="426"/>
        </w:tabs>
        <w:spacing w:after="240" w:line="260" w:lineRule="exact"/>
        <w:ind w:left="397" w:hanging="244"/>
        <w:contextualSpacing w:val="0"/>
        <w:jc w:val="both"/>
        <w:rPr>
          <w:rFonts w:ascii="Corbel" w:eastAsia="Times New Roman" w:hAnsi="Corbel" w:cs="Calibri"/>
          <w:color w:val="000000" w:themeColor="text1"/>
          <w:sz w:val="23"/>
          <w:szCs w:val="23"/>
          <w:lang w:eastAsia="en-AU"/>
        </w:rPr>
      </w:pPr>
      <w:r w:rsidRPr="007449B2">
        <w:rPr>
          <w:rFonts w:ascii="Corbel" w:eastAsia="Times New Roman" w:hAnsi="Corbel" w:cs="Calibri"/>
          <w:color w:val="000000" w:themeColor="text1"/>
          <w:sz w:val="23"/>
          <w:szCs w:val="23"/>
          <w:lang w:eastAsia="en-AU"/>
        </w:rPr>
        <w:t xml:space="preserve">The amount for each funding type set out in clause </w:t>
      </w:r>
      <w:r w:rsidR="0018162E" w:rsidRPr="007449B2">
        <w:rPr>
          <w:rFonts w:ascii="Corbel" w:eastAsia="Times New Roman" w:hAnsi="Corbel" w:cs="Calibri"/>
          <w:color w:val="000000" w:themeColor="text1"/>
          <w:sz w:val="23"/>
          <w:szCs w:val="23"/>
          <w:lang w:eastAsia="en-AU"/>
        </w:rPr>
        <w:t xml:space="preserve">62 </w:t>
      </w:r>
      <w:r w:rsidRPr="007449B2">
        <w:rPr>
          <w:rFonts w:ascii="Corbel" w:eastAsia="Times New Roman" w:hAnsi="Corbel" w:cs="Calibri"/>
          <w:color w:val="000000" w:themeColor="text1"/>
          <w:sz w:val="23"/>
          <w:szCs w:val="23"/>
          <w:lang w:eastAsia="en-AU"/>
        </w:rPr>
        <w:t>of this Bilateral Agreement.</w:t>
      </w:r>
    </w:p>
    <w:p w14:paraId="3D0AE37A" w14:textId="4594B25F" w:rsidR="009431E3" w:rsidRPr="007449B2" w:rsidRDefault="009431E3" w:rsidP="007449B2">
      <w:pPr>
        <w:pStyle w:val="ListParagraph"/>
        <w:numPr>
          <w:ilvl w:val="1"/>
          <w:numId w:val="1"/>
        </w:numPr>
        <w:tabs>
          <w:tab w:val="left" w:pos="426"/>
        </w:tabs>
        <w:spacing w:after="240" w:line="260" w:lineRule="exact"/>
        <w:ind w:left="397" w:hanging="244"/>
        <w:contextualSpacing w:val="0"/>
        <w:jc w:val="both"/>
        <w:rPr>
          <w:rFonts w:ascii="Corbel" w:eastAsia="Times New Roman" w:hAnsi="Corbel" w:cs="Calibri"/>
          <w:color w:val="000000" w:themeColor="text1"/>
          <w:sz w:val="23"/>
          <w:szCs w:val="23"/>
          <w:lang w:eastAsia="en-AU"/>
        </w:rPr>
      </w:pPr>
      <w:r w:rsidRPr="007449B2">
        <w:rPr>
          <w:rFonts w:ascii="Corbel" w:eastAsia="Times New Roman" w:hAnsi="Corbel" w:cs="Calibri"/>
          <w:color w:val="000000" w:themeColor="text1"/>
          <w:sz w:val="23"/>
          <w:szCs w:val="23"/>
          <w:lang w:eastAsia="en-AU"/>
        </w:rPr>
        <w:t>The amount of funding consistent with the specified NRIPS methodology</w:t>
      </w:r>
      <w:r w:rsidR="00200CBF" w:rsidRPr="007449B2">
        <w:rPr>
          <w:rFonts w:ascii="Corbel" w:eastAsia="Times New Roman" w:hAnsi="Corbel" w:cs="Calibri"/>
          <w:color w:val="000000" w:themeColor="text1"/>
          <w:sz w:val="23"/>
          <w:szCs w:val="23"/>
          <w:lang w:eastAsia="en-AU"/>
        </w:rPr>
        <w:t>, at a sector level, not an individual school level</w:t>
      </w:r>
      <w:r w:rsidRPr="007449B2">
        <w:rPr>
          <w:rFonts w:ascii="Corbel" w:eastAsia="Times New Roman" w:hAnsi="Corbel" w:cs="Calibri"/>
          <w:color w:val="000000" w:themeColor="text1"/>
          <w:sz w:val="23"/>
          <w:szCs w:val="23"/>
          <w:lang w:eastAsia="en-AU"/>
        </w:rPr>
        <w:t>.</w:t>
      </w:r>
    </w:p>
    <w:p w14:paraId="65C59077" w14:textId="77777777" w:rsidR="009431E3" w:rsidRPr="009431E3" w:rsidRDefault="009431E3" w:rsidP="009431E3">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431E3">
        <w:rPr>
          <w:rFonts w:ascii="Corbel" w:eastAsia="Times New Roman" w:hAnsi="Corbel" w:cs="Calibri"/>
          <w:color w:val="000000"/>
          <w:sz w:val="23"/>
          <w:szCs w:val="23"/>
          <w:lang w:eastAsia="en-AU"/>
        </w:rPr>
        <w:t>For the avoidance of doubt, each amount included in the Annual Funding Report must have been:</w:t>
      </w:r>
    </w:p>
    <w:p w14:paraId="67441A91" w14:textId="4C265D3F" w:rsidR="009431E3" w:rsidRPr="009431E3" w:rsidRDefault="009431E3" w:rsidP="007449B2">
      <w:pPr>
        <w:pStyle w:val="ListParagraph"/>
        <w:numPr>
          <w:ilvl w:val="1"/>
          <w:numId w:val="1"/>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7449B2">
        <w:rPr>
          <w:rFonts w:ascii="Corbel" w:eastAsia="Times New Roman" w:hAnsi="Corbel" w:cs="Calibri"/>
          <w:color w:val="000000" w:themeColor="text1"/>
          <w:sz w:val="23"/>
          <w:szCs w:val="23"/>
          <w:lang w:eastAsia="en-AU"/>
        </w:rPr>
        <w:t>spent</w:t>
      </w:r>
      <w:r w:rsidRPr="004C7426">
        <w:rPr>
          <w:rFonts w:ascii="Corbel" w:eastAsia="Times New Roman" w:hAnsi="Corbel" w:cs="Calibri"/>
          <w:color w:val="000000"/>
          <w:sz w:val="23"/>
          <w:szCs w:val="23"/>
          <w:lang w:eastAsia="en-AU"/>
        </w:rPr>
        <w:t xml:space="preserve"> by the Tasmanian Government for schools for Year T (including centralised funds expended by the department for schools and funds allocated for schools that are not spent within Year T but are spent within remainder of the financial year or subsequent years by schools), or approved authorities,</w:t>
      </w:r>
    </w:p>
    <w:p w14:paraId="3ABC17C0" w14:textId="13A5E41D" w:rsidR="009431E3" w:rsidRPr="009431E3" w:rsidRDefault="003C2B04" w:rsidP="72FE8625">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or </w:t>
      </w:r>
      <w:r w:rsidR="009431E3" w:rsidRPr="005973B5">
        <w:rPr>
          <w:rFonts w:ascii="Corbel" w:eastAsia="Times New Roman" w:hAnsi="Corbel" w:cs="Calibri"/>
          <w:color w:val="000000"/>
          <w:sz w:val="23"/>
          <w:szCs w:val="23"/>
          <w:lang w:eastAsia="en-AU"/>
        </w:rPr>
        <w:t xml:space="preserve">spent by schools or approved authorities for </w:t>
      </w:r>
      <w:r w:rsidR="009431E3" w:rsidRPr="00CE7F90">
        <w:rPr>
          <w:rFonts w:ascii="Corbel" w:eastAsia="Times New Roman" w:hAnsi="Corbel" w:cs="Calibri"/>
          <w:color w:val="000000"/>
          <w:sz w:val="23"/>
          <w:szCs w:val="23"/>
          <w:lang w:eastAsia="en-AU"/>
        </w:rPr>
        <w:t>schools for Year T, a</w:t>
      </w:r>
      <w:r w:rsidR="009431E3" w:rsidRPr="005973B5">
        <w:rPr>
          <w:rFonts w:ascii="Corbel" w:eastAsia="Times New Roman" w:hAnsi="Corbel" w:cs="Calibri"/>
          <w:color w:val="000000"/>
          <w:sz w:val="23"/>
          <w:szCs w:val="23"/>
          <w:lang w:eastAsia="en-AU"/>
        </w:rPr>
        <w:t>nd</w:t>
      </w:r>
    </w:p>
    <w:p w14:paraId="5CE7E9E1" w14:textId="5E2CDE49" w:rsidR="009431E3" w:rsidRPr="009431E3" w:rsidRDefault="009431E3" w:rsidP="009431E3">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9431E3">
        <w:rPr>
          <w:rFonts w:ascii="Corbel" w:eastAsia="Times New Roman" w:hAnsi="Corbel" w:cs="Calibri"/>
          <w:color w:val="000000"/>
          <w:sz w:val="23"/>
          <w:szCs w:val="23"/>
          <w:lang w:eastAsia="en-AU"/>
        </w:rPr>
        <w:t xml:space="preserve">not counted towards another reporting year for the purposes of this </w:t>
      </w:r>
      <w:r w:rsidR="00BA6748">
        <w:rPr>
          <w:rFonts w:ascii="Corbel" w:eastAsia="Times New Roman" w:hAnsi="Corbel" w:cs="Calibri"/>
          <w:color w:val="000000"/>
          <w:sz w:val="23"/>
          <w:szCs w:val="23"/>
          <w:lang w:eastAsia="en-AU"/>
        </w:rPr>
        <w:t>A</w:t>
      </w:r>
      <w:r w:rsidRPr="009431E3">
        <w:rPr>
          <w:rFonts w:ascii="Corbel" w:eastAsia="Times New Roman" w:hAnsi="Corbel" w:cs="Calibri"/>
          <w:color w:val="000000"/>
          <w:sz w:val="23"/>
          <w:szCs w:val="23"/>
          <w:lang w:eastAsia="en-AU"/>
        </w:rPr>
        <w:t>greement, and</w:t>
      </w:r>
    </w:p>
    <w:p w14:paraId="0F52A3BF" w14:textId="77777777" w:rsidR="009431E3" w:rsidRPr="007449B2" w:rsidRDefault="009431E3" w:rsidP="007449B2">
      <w:pPr>
        <w:pStyle w:val="ListParagraph"/>
        <w:numPr>
          <w:ilvl w:val="1"/>
          <w:numId w:val="1"/>
        </w:numPr>
        <w:tabs>
          <w:tab w:val="left" w:pos="426"/>
        </w:tabs>
        <w:spacing w:after="240" w:line="260" w:lineRule="exact"/>
        <w:ind w:left="397" w:hanging="244"/>
        <w:contextualSpacing w:val="0"/>
        <w:jc w:val="both"/>
        <w:rPr>
          <w:rFonts w:ascii="Corbel" w:eastAsia="Times New Roman" w:hAnsi="Corbel" w:cs="Calibri"/>
          <w:color w:val="000000" w:themeColor="text1"/>
          <w:sz w:val="23"/>
          <w:szCs w:val="23"/>
          <w:lang w:eastAsia="en-AU"/>
        </w:rPr>
      </w:pPr>
      <w:r w:rsidRPr="007449B2">
        <w:rPr>
          <w:rFonts w:ascii="Corbel" w:eastAsia="Times New Roman" w:hAnsi="Corbel" w:cs="Calibri"/>
          <w:color w:val="000000" w:themeColor="text1"/>
          <w:sz w:val="23"/>
          <w:szCs w:val="23"/>
          <w:lang w:eastAsia="en-AU"/>
        </w:rPr>
        <w:lastRenderedPageBreak/>
        <w:t xml:space="preserve">not counted towards another Commonwealth-State agreement, without the explicit consent of the Commonwealth. </w:t>
      </w:r>
    </w:p>
    <w:p w14:paraId="664C8AD0" w14:textId="4C9F22BD" w:rsidR="009431E3" w:rsidRPr="009431E3" w:rsidRDefault="009431E3" w:rsidP="009431E3">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431E3">
        <w:rPr>
          <w:rFonts w:ascii="Corbel" w:eastAsia="Times New Roman" w:hAnsi="Corbel" w:cs="Calibri"/>
          <w:color w:val="000000"/>
          <w:sz w:val="23"/>
          <w:szCs w:val="23"/>
          <w:lang w:eastAsia="en-AU"/>
        </w:rPr>
        <w:t xml:space="preserve">It should be noted that clause </w:t>
      </w:r>
      <w:r w:rsidR="0018162E">
        <w:rPr>
          <w:rFonts w:ascii="Corbel" w:eastAsia="Times New Roman" w:hAnsi="Corbel" w:cs="Calibri"/>
          <w:color w:val="000000"/>
          <w:sz w:val="23"/>
          <w:szCs w:val="23"/>
          <w:lang w:eastAsia="en-AU"/>
        </w:rPr>
        <w:t>98</w:t>
      </w:r>
      <w:r w:rsidR="0018162E" w:rsidRPr="009431E3">
        <w:rPr>
          <w:rFonts w:ascii="Corbel" w:eastAsia="Times New Roman" w:hAnsi="Corbel" w:cs="Calibri"/>
          <w:color w:val="000000"/>
          <w:sz w:val="23"/>
          <w:szCs w:val="23"/>
          <w:lang w:eastAsia="en-AU"/>
        </w:rPr>
        <w:t xml:space="preserve"> </w:t>
      </w:r>
      <w:r w:rsidRPr="009431E3">
        <w:rPr>
          <w:rFonts w:ascii="Corbel" w:eastAsia="Times New Roman" w:hAnsi="Corbel" w:cs="Calibri"/>
          <w:color w:val="000000"/>
          <w:sz w:val="23"/>
          <w:szCs w:val="23"/>
          <w:lang w:eastAsia="en-AU"/>
        </w:rPr>
        <w:t>does not prevent Tasmania from reporting budgeted amounts in its report.</w:t>
      </w:r>
    </w:p>
    <w:p w14:paraId="21763B56" w14:textId="77777777" w:rsidR="009431E3" w:rsidRPr="009431E3" w:rsidRDefault="009431E3" w:rsidP="009431E3">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431E3">
        <w:rPr>
          <w:rFonts w:ascii="Corbel" w:eastAsia="Times New Roman" w:hAnsi="Corbel" w:cs="Calibri"/>
          <w:color w:val="000000"/>
          <w:sz w:val="23"/>
          <w:szCs w:val="23"/>
          <w:lang w:eastAsia="en-AU"/>
        </w:rPr>
        <w:t>Each amount included in the report for a sector must have been allocated or expended for that sector. Note: this means Tasmania cannot count funding allocated or expended for one sector against the allocation or expenditure of another sector.</w:t>
      </w:r>
    </w:p>
    <w:p w14:paraId="4FCF09B0" w14:textId="77777777" w:rsidR="009431E3" w:rsidRPr="009431E3" w:rsidRDefault="009431E3" w:rsidP="009431E3">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431E3">
        <w:rPr>
          <w:rFonts w:ascii="Corbel" w:eastAsia="Times New Roman" w:hAnsi="Corbel" w:cs="Calibri"/>
          <w:color w:val="000000"/>
          <w:sz w:val="23"/>
          <w:szCs w:val="23"/>
          <w:lang w:eastAsia="en-AU"/>
        </w:rPr>
        <w:t>Each amount included in the report must be net of any Australian Government funding.</w:t>
      </w:r>
    </w:p>
    <w:p w14:paraId="54B38EA9" w14:textId="77777777" w:rsidR="009431E3" w:rsidRPr="009431E3" w:rsidRDefault="009431E3" w:rsidP="009431E3">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431E3">
        <w:rPr>
          <w:rFonts w:ascii="Corbel" w:eastAsia="Times New Roman" w:hAnsi="Corbel" w:cs="Calibri"/>
          <w:color w:val="000000"/>
          <w:sz w:val="23"/>
          <w:szCs w:val="23"/>
          <w:lang w:eastAsia="en-AU"/>
        </w:rPr>
        <w:t>The Annual Funding Report provides the option for a statement explaining:</w:t>
      </w:r>
    </w:p>
    <w:p w14:paraId="0774CE8D" w14:textId="000A32BA" w:rsidR="009431E3" w:rsidRPr="007449B2" w:rsidRDefault="009431E3" w:rsidP="007449B2">
      <w:pPr>
        <w:pStyle w:val="ListParagraph"/>
        <w:numPr>
          <w:ilvl w:val="1"/>
          <w:numId w:val="1"/>
        </w:numPr>
        <w:tabs>
          <w:tab w:val="left" w:pos="426"/>
        </w:tabs>
        <w:spacing w:after="240" w:line="260" w:lineRule="exact"/>
        <w:ind w:left="397" w:hanging="244"/>
        <w:contextualSpacing w:val="0"/>
        <w:jc w:val="both"/>
        <w:rPr>
          <w:rFonts w:ascii="Corbel" w:eastAsia="Times New Roman" w:hAnsi="Corbel" w:cs="Calibri"/>
          <w:color w:val="000000" w:themeColor="text1"/>
          <w:sz w:val="23"/>
          <w:szCs w:val="23"/>
          <w:lang w:eastAsia="en-AU"/>
        </w:rPr>
      </w:pPr>
      <w:r w:rsidRPr="007449B2">
        <w:rPr>
          <w:rFonts w:ascii="Corbel" w:eastAsia="Times New Roman" w:hAnsi="Corbel" w:cs="Calibri"/>
          <w:color w:val="000000" w:themeColor="text1"/>
          <w:sz w:val="23"/>
          <w:szCs w:val="23"/>
          <w:lang w:eastAsia="en-AU"/>
        </w:rPr>
        <w:t>any material variances (positive or negative) in the total amount of Tasmania’s funding contribution that is between Year T and Year T-1 for:</w:t>
      </w:r>
    </w:p>
    <w:p w14:paraId="2724B2F1" w14:textId="315C22BF" w:rsidR="009431E3" w:rsidRPr="009431E3" w:rsidRDefault="009431E3" w:rsidP="006A38D6">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9431E3">
        <w:rPr>
          <w:rFonts w:ascii="Corbel" w:eastAsia="Times New Roman" w:hAnsi="Corbel" w:cs="Calibri"/>
          <w:color w:val="000000"/>
          <w:sz w:val="23"/>
          <w:szCs w:val="23"/>
          <w:lang w:eastAsia="en-AU"/>
        </w:rPr>
        <w:t>government schools in Tasmania and</w:t>
      </w:r>
    </w:p>
    <w:p w14:paraId="45F19879" w14:textId="77777777" w:rsidR="009431E3" w:rsidRPr="009431E3" w:rsidRDefault="009431E3" w:rsidP="006A38D6">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9431E3">
        <w:rPr>
          <w:rFonts w:ascii="Corbel" w:eastAsia="Times New Roman" w:hAnsi="Corbel" w:cs="Calibri"/>
          <w:color w:val="000000"/>
          <w:sz w:val="23"/>
          <w:szCs w:val="23"/>
          <w:lang w:eastAsia="en-AU"/>
        </w:rPr>
        <w:t>non-government schools in Tasmania</w:t>
      </w:r>
    </w:p>
    <w:p w14:paraId="60733A63" w14:textId="77777777" w:rsidR="009431E3" w:rsidRPr="007449B2" w:rsidRDefault="009431E3" w:rsidP="007449B2">
      <w:pPr>
        <w:pStyle w:val="ListParagraph"/>
        <w:numPr>
          <w:ilvl w:val="1"/>
          <w:numId w:val="1"/>
        </w:numPr>
        <w:tabs>
          <w:tab w:val="left" w:pos="426"/>
        </w:tabs>
        <w:spacing w:after="240" w:line="260" w:lineRule="exact"/>
        <w:ind w:left="397" w:hanging="244"/>
        <w:contextualSpacing w:val="0"/>
        <w:jc w:val="both"/>
        <w:rPr>
          <w:rFonts w:ascii="Corbel" w:eastAsia="Times New Roman" w:hAnsi="Corbel" w:cs="Calibri"/>
          <w:color w:val="000000" w:themeColor="text1"/>
          <w:sz w:val="23"/>
          <w:szCs w:val="23"/>
          <w:lang w:eastAsia="en-AU"/>
        </w:rPr>
      </w:pPr>
      <w:r w:rsidRPr="007449B2">
        <w:rPr>
          <w:rFonts w:ascii="Corbel" w:eastAsia="Times New Roman" w:hAnsi="Corbel" w:cs="Calibri"/>
          <w:color w:val="000000" w:themeColor="text1"/>
          <w:sz w:val="23"/>
          <w:szCs w:val="23"/>
          <w:lang w:eastAsia="en-AU"/>
        </w:rPr>
        <w:t>any adjustments to Tasmania’s funding contribution (i.e. timing adjustments) outside of the specified NRIPS methodology.</w:t>
      </w:r>
    </w:p>
    <w:p w14:paraId="3F93DF67" w14:textId="10048887" w:rsidR="009431E3" w:rsidRPr="009431E3" w:rsidRDefault="009431E3" w:rsidP="009431E3">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431E3">
        <w:rPr>
          <w:rFonts w:ascii="Corbel" w:eastAsia="Times New Roman" w:hAnsi="Corbel" w:cs="Calibri"/>
          <w:color w:val="000000"/>
          <w:sz w:val="23"/>
          <w:szCs w:val="23"/>
          <w:lang w:eastAsia="en-AU"/>
        </w:rPr>
        <w:t>For each amount, the report must include evidence that the amount has been certified and is consistent with the agreed methodology in clause </w:t>
      </w:r>
      <w:r w:rsidR="0018162E">
        <w:rPr>
          <w:rFonts w:ascii="Corbel" w:eastAsia="Times New Roman" w:hAnsi="Corbel" w:cs="Calibri"/>
          <w:color w:val="000000"/>
          <w:sz w:val="23"/>
          <w:szCs w:val="23"/>
          <w:lang w:eastAsia="en-AU"/>
        </w:rPr>
        <w:t>62</w:t>
      </w:r>
      <w:r w:rsidR="0018162E" w:rsidRPr="009431E3">
        <w:rPr>
          <w:rFonts w:ascii="Corbel" w:eastAsia="Times New Roman" w:hAnsi="Corbel" w:cs="Calibri"/>
          <w:color w:val="000000"/>
          <w:sz w:val="23"/>
          <w:szCs w:val="23"/>
          <w:lang w:eastAsia="en-AU"/>
        </w:rPr>
        <w:t xml:space="preserve"> </w:t>
      </w:r>
      <w:r w:rsidRPr="009431E3">
        <w:rPr>
          <w:rFonts w:ascii="Corbel" w:eastAsia="Times New Roman" w:hAnsi="Corbel" w:cs="Calibri"/>
          <w:color w:val="000000"/>
          <w:sz w:val="23"/>
          <w:szCs w:val="23"/>
          <w:lang w:eastAsia="en-AU"/>
        </w:rPr>
        <w:t>of this Bilateral Agreement by one of the following:  </w:t>
      </w:r>
    </w:p>
    <w:p w14:paraId="26EE3A6D" w14:textId="77777777" w:rsidR="009431E3" w:rsidRPr="009431E3" w:rsidRDefault="009431E3" w:rsidP="006A38D6">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9431E3">
        <w:rPr>
          <w:rFonts w:ascii="Corbel" w:eastAsia="Times New Roman" w:hAnsi="Corbel" w:cs="Calibri"/>
          <w:color w:val="000000"/>
          <w:sz w:val="23"/>
          <w:szCs w:val="23"/>
          <w:lang w:eastAsia="en-AU"/>
        </w:rPr>
        <w:t>the Auditor-General of Tasmania or</w:t>
      </w:r>
    </w:p>
    <w:p w14:paraId="1C44306E" w14:textId="36ADBF25" w:rsidR="009431E3" w:rsidRPr="009431E3" w:rsidRDefault="009431E3" w:rsidP="006A38D6">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9431E3">
        <w:rPr>
          <w:rFonts w:ascii="Corbel" w:eastAsia="Times New Roman" w:hAnsi="Corbel" w:cs="Calibri"/>
          <w:color w:val="000000"/>
          <w:sz w:val="23"/>
          <w:szCs w:val="23"/>
          <w:lang w:eastAsia="en-AU"/>
        </w:rPr>
        <w:t>an independent qualified accountant or</w:t>
      </w:r>
    </w:p>
    <w:p w14:paraId="7F02B4B6" w14:textId="77777777" w:rsidR="009431E3" w:rsidRPr="009431E3" w:rsidRDefault="009431E3" w:rsidP="006A38D6">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9431E3">
        <w:rPr>
          <w:rFonts w:ascii="Corbel" w:eastAsia="Times New Roman" w:hAnsi="Corbel" w:cs="Calibri"/>
          <w:color w:val="000000"/>
          <w:sz w:val="23"/>
          <w:szCs w:val="23"/>
          <w:lang w:eastAsia="en-AU"/>
        </w:rPr>
        <w:t>an independent qualified accountant engaged by ACARA for NRIPS funding or</w:t>
      </w:r>
    </w:p>
    <w:p w14:paraId="25DBB8A2" w14:textId="01227494" w:rsidR="009431E3" w:rsidRPr="007449B2" w:rsidRDefault="009431E3" w:rsidP="007449B2">
      <w:pPr>
        <w:pStyle w:val="ListParagraph"/>
        <w:numPr>
          <w:ilvl w:val="1"/>
          <w:numId w:val="1"/>
        </w:numPr>
        <w:tabs>
          <w:tab w:val="left" w:pos="426"/>
        </w:tabs>
        <w:spacing w:after="240" w:line="260" w:lineRule="exact"/>
        <w:ind w:left="397" w:hanging="244"/>
        <w:contextualSpacing w:val="0"/>
        <w:jc w:val="both"/>
        <w:rPr>
          <w:rFonts w:ascii="Corbel" w:eastAsia="Times New Roman" w:hAnsi="Corbel" w:cs="Calibri"/>
          <w:color w:val="000000" w:themeColor="text1"/>
          <w:sz w:val="23"/>
          <w:szCs w:val="23"/>
          <w:lang w:eastAsia="en-AU"/>
        </w:rPr>
      </w:pPr>
      <w:r w:rsidRPr="007449B2">
        <w:rPr>
          <w:rFonts w:ascii="Corbel" w:eastAsia="Times New Roman" w:hAnsi="Corbel" w:cs="Calibri"/>
          <w:color w:val="000000" w:themeColor="text1"/>
          <w:sz w:val="23"/>
          <w:szCs w:val="23"/>
          <w:lang w:eastAsia="en-AU"/>
        </w:rPr>
        <w:t xml:space="preserve">the </w:t>
      </w:r>
      <w:r w:rsidR="00AE36D8" w:rsidRPr="007449B2">
        <w:rPr>
          <w:rFonts w:ascii="Corbel" w:eastAsia="Times New Roman" w:hAnsi="Corbel" w:cs="Calibri"/>
          <w:color w:val="000000" w:themeColor="text1"/>
          <w:sz w:val="23"/>
          <w:szCs w:val="23"/>
          <w:lang w:eastAsia="en-AU"/>
        </w:rPr>
        <w:t>Secretary</w:t>
      </w:r>
      <w:r w:rsidRPr="007449B2">
        <w:rPr>
          <w:rFonts w:ascii="Corbel" w:eastAsia="Times New Roman" w:hAnsi="Corbel" w:cs="Calibri"/>
          <w:color w:val="000000" w:themeColor="text1"/>
          <w:sz w:val="23"/>
          <w:szCs w:val="23"/>
          <w:lang w:eastAsia="en-AU"/>
        </w:rPr>
        <w:t xml:space="preserve"> or equivalent of the education portfolio for the state or territory, but only up to 0.1 per cent of the SRS for Tasmania for all reported funding.</w:t>
      </w:r>
    </w:p>
    <w:p w14:paraId="7946E4E8" w14:textId="18F64AAF" w:rsidR="009431E3" w:rsidRPr="009431E3" w:rsidRDefault="009431E3" w:rsidP="009431E3">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431E3">
        <w:rPr>
          <w:rFonts w:ascii="Corbel" w:eastAsia="Times New Roman" w:hAnsi="Corbel" w:cs="Calibri"/>
          <w:color w:val="000000"/>
          <w:sz w:val="23"/>
          <w:szCs w:val="23"/>
          <w:lang w:eastAsia="en-AU"/>
        </w:rPr>
        <w:t>The Annual Funding Report may also provide an explanation and supporting evidence for the Board</w:t>
      </w:r>
      <w:r w:rsidR="00B45CD1">
        <w:rPr>
          <w:rFonts w:ascii="Corbel" w:eastAsia="Times New Roman" w:hAnsi="Corbel" w:cs="Calibri"/>
          <w:color w:val="000000"/>
          <w:sz w:val="23"/>
          <w:szCs w:val="23"/>
          <w:lang w:eastAsia="en-AU"/>
        </w:rPr>
        <w:t>’s</w:t>
      </w:r>
      <w:r w:rsidRPr="009431E3">
        <w:rPr>
          <w:rFonts w:ascii="Corbel" w:eastAsia="Times New Roman" w:hAnsi="Corbel" w:cs="Calibri"/>
          <w:color w:val="000000"/>
          <w:sz w:val="23"/>
          <w:szCs w:val="23"/>
          <w:lang w:eastAsia="en-AU"/>
        </w:rPr>
        <w:t xml:space="preserve"> consideration of any shortfall between the total amount reported for Year T and the agreed funding contributions for Year T in clause </w:t>
      </w:r>
      <w:r w:rsidR="00FF5644" w:rsidRPr="009431E3">
        <w:rPr>
          <w:rFonts w:ascii="Corbel" w:eastAsia="Times New Roman" w:hAnsi="Corbel" w:cs="Calibri"/>
          <w:color w:val="000000"/>
          <w:sz w:val="23"/>
          <w:szCs w:val="23"/>
          <w:lang w:eastAsia="en-AU"/>
        </w:rPr>
        <w:t>5</w:t>
      </w:r>
      <w:r w:rsidR="00FF5644">
        <w:rPr>
          <w:rFonts w:ascii="Corbel" w:eastAsia="Times New Roman" w:hAnsi="Corbel" w:cs="Calibri"/>
          <w:color w:val="000000"/>
          <w:sz w:val="23"/>
          <w:szCs w:val="23"/>
          <w:lang w:eastAsia="en-AU"/>
        </w:rPr>
        <w:t>1</w:t>
      </w:r>
      <w:r w:rsidR="00FF5644" w:rsidRPr="009431E3">
        <w:rPr>
          <w:rFonts w:ascii="Corbel" w:eastAsia="Times New Roman" w:hAnsi="Corbel" w:cs="Calibri"/>
          <w:color w:val="000000"/>
          <w:sz w:val="23"/>
          <w:szCs w:val="23"/>
          <w:lang w:eastAsia="en-AU"/>
        </w:rPr>
        <w:t xml:space="preserve"> </w:t>
      </w:r>
      <w:r w:rsidRPr="009431E3">
        <w:rPr>
          <w:rFonts w:ascii="Corbel" w:eastAsia="Times New Roman" w:hAnsi="Corbel" w:cs="Calibri"/>
          <w:color w:val="000000"/>
          <w:sz w:val="23"/>
          <w:szCs w:val="23"/>
          <w:lang w:eastAsia="en-AU"/>
        </w:rPr>
        <w:t>of this Bilateral Agreement.</w:t>
      </w:r>
    </w:p>
    <w:p w14:paraId="2FC8921E" w14:textId="77777777" w:rsidR="009431E3" w:rsidRPr="009431E3" w:rsidRDefault="009431E3" w:rsidP="009431E3">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431E3">
        <w:rPr>
          <w:rFonts w:ascii="Corbel" w:eastAsia="Times New Roman" w:hAnsi="Corbel" w:cs="Calibri"/>
          <w:color w:val="000000"/>
          <w:sz w:val="23"/>
          <w:szCs w:val="23"/>
          <w:lang w:eastAsia="en-AU"/>
        </w:rPr>
        <w:t>The Commonwealth will provide Tasmania’s Annual Funding Report to the Board for assessment of Tasmania’s compliance for Year T with section 22A of the Act, including any funding requirements specified in this Bilateral Agreement.</w:t>
      </w:r>
    </w:p>
    <w:p w14:paraId="3C9A49DD" w14:textId="428ACC67" w:rsidR="009431E3" w:rsidRPr="009431E3" w:rsidRDefault="009431E3" w:rsidP="009431E3">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431E3">
        <w:rPr>
          <w:rFonts w:ascii="Corbel" w:eastAsia="Times New Roman" w:hAnsi="Corbel" w:cs="Calibri"/>
          <w:color w:val="000000"/>
          <w:sz w:val="23"/>
          <w:szCs w:val="23"/>
          <w:lang w:eastAsia="en-AU"/>
        </w:rPr>
        <w:t xml:space="preserve">The Commonwealth may request additional information from Tasmania on behalf of the Board, to be provided within 21 days. If Tasmania does not provide information or advice in this </w:t>
      </w:r>
      <w:r w:rsidRPr="007E7574">
        <w:rPr>
          <w:rFonts w:ascii="Corbel" w:eastAsia="Times New Roman" w:hAnsi="Corbel" w:cs="Calibri"/>
          <w:color w:val="000000"/>
          <w:sz w:val="23"/>
          <w:szCs w:val="23"/>
          <w:lang w:eastAsia="en-AU"/>
        </w:rPr>
        <w:t>timeframe, the Board will make an assessment based on the information and evidence available. Such requests will be consistent with clause 98 of the Heads of Agreement which stipulates</w:t>
      </w:r>
      <w:r w:rsidRPr="009431E3">
        <w:rPr>
          <w:rFonts w:ascii="Corbel" w:eastAsia="Times New Roman" w:hAnsi="Corbel" w:cs="Calibri"/>
          <w:color w:val="000000"/>
          <w:sz w:val="23"/>
          <w:szCs w:val="23"/>
          <w:lang w:eastAsia="en-AU"/>
        </w:rPr>
        <w:t xml:space="preserve"> that as far as practical, reporting requirements will leverage existing reporting processes and data sources and unless explicitly stated otherwise, will not impose any additional burden on schools.</w:t>
      </w:r>
    </w:p>
    <w:p w14:paraId="2885580F" w14:textId="4535EA2F" w:rsidR="005566AC" w:rsidRPr="006A38D6" w:rsidRDefault="009431E3" w:rsidP="006A38D6">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431E3">
        <w:rPr>
          <w:rFonts w:ascii="Corbel" w:eastAsia="Times New Roman" w:hAnsi="Corbel" w:cs="Calibri"/>
          <w:color w:val="000000"/>
          <w:sz w:val="23"/>
          <w:szCs w:val="23"/>
          <w:lang w:eastAsia="en-AU"/>
        </w:rPr>
        <w:lastRenderedPageBreak/>
        <w:t>Tasmania will have an opportunity to provide further information for the Board’s consideration following their receipt of the Board’s draft findings.</w:t>
      </w:r>
    </w:p>
    <w:p w14:paraId="6209FBA5" w14:textId="42CC5CB2" w:rsidR="00FB7430" w:rsidRPr="00FB7430" w:rsidRDefault="00FB7430" w:rsidP="00FB7430">
      <w:pPr>
        <w:tabs>
          <w:tab w:val="left" w:pos="426"/>
        </w:tabs>
        <w:spacing w:after="240" w:line="260" w:lineRule="exact"/>
        <w:jc w:val="both"/>
        <w:rPr>
          <w:rFonts w:ascii="Corbel" w:eastAsia="Times New Roman" w:hAnsi="Corbel" w:cs="Calibri"/>
          <w:b/>
          <w:bCs/>
          <w:color w:val="000000"/>
          <w:sz w:val="23"/>
          <w:szCs w:val="23"/>
          <w:lang w:eastAsia="en-AU"/>
        </w:rPr>
      </w:pPr>
      <w:r>
        <w:rPr>
          <w:rFonts w:ascii="Corbel" w:eastAsia="Times New Roman" w:hAnsi="Corbel" w:cs="Calibri"/>
          <w:b/>
          <w:bCs/>
          <w:color w:val="000000"/>
          <w:sz w:val="23"/>
          <w:szCs w:val="23"/>
          <w:lang w:eastAsia="en-AU"/>
        </w:rPr>
        <w:t>Annual Implementation Report</w:t>
      </w:r>
    </w:p>
    <w:p w14:paraId="7BA0FE6B" w14:textId="5A8D89BC" w:rsidR="004F2BB5" w:rsidRPr="004F2BB5" w:rsidRDefault="004F2BB5" w:rsidP="004F2BB5">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4F2BB5">
        <w:rPr>
          <w:rFonts w:ascii="Corbel" w:eastAsia="Times New Roman" w:hAnsi="Corbel" w:cs="Calibri"/>
          <w:color w:val="000000"/>
          <w:sz w:val="23"/>
          <w:szCs w:val="23"/>
          <w:lang w:eastAsia="en-AU"/>
        </w:rPr>
        <w:t xml:space="preserve">As outlined in </w:t>
      </w:r>
      <w:r w:rsidR="009C3C7E">
        <w:rPr>
          <w:rFonts w:ascii="Corbel" w:eastAsia="Times New Roman" w:hAnsi="Corbel" w:cs="Calibri"/>
          <w:color w:val="000000"/>
          <w:sz w:val="23"/>
          <w:szCs w:val="23"/>
          <w:lang w:eastAsia="en-AU"/>
        </w:rPr>
        <w:t>sub</w:t>
      </w:r>
      <w:r w:rsidRPr="004F2BB5">
        <w:rPr>
          <w:rFonts w:ascii="Corbel" w:eastAsia="Times New Roman" w:hAnsi="Corbel" w:cs="Calibri"/>
          <w:color w:val="000000"/>
          <w:sz w:val="23"/>
          <w:szCs w:val="23"/>
          <w:lang w:eastAsia="en-AU"/>
        </w:rPr>
        <w:t xml:space="preserve">clause 101(a) of the Heads of Agreement, the </w:t>
      </w:r>
      <w:r w:rsidR="009C3C7E">
        <w:rPr>
          <w:rFonts w:ascii="Corbel" w:eastAsia="Times New Roman" w:hAnsi="Corbel" w:cs="Calibri"/>
          <w:color w:val="000000"/>
          <w:sz w:val="23"/>
          <w:szCs w:val="23"/>
          <w:lang w:eastAsia="en-AU"/>
        </w:rPr>
        <w:t>Secretary</w:t>
      </w:r>
      <w:r w:rsidRPr="004F2BB5">
        <w:rPr>
          <w:rFonts w:ascii="Corbel" w:eastAsia="Times New Roman" w:hAnsi="Corbel" w:cs="Calibri"/>
          <w:color w:val="000000"/>
          <w:sz w:val="23"/>
          <w:szCs w:val="23"/>
          <w:lang w:eastAsia="en-AU"/>
        </w:rPr>
        <w:t xml:space="preserve"> or equivalent of the education portfolio for the </w:t>
      </w:r>
      <w:r w:rsidR="009C3C7E">
        <w:rPr>
          <w:rFonts w:ascii="Corbel" w:eastAsia="Times New Roman" w:hAnsi="Corbel" w:cs="Calibri"/>
          <w:color w:val="000000"/>
          <w:sz w:val="23"/>
          <w:szCs w:val="23"/>
          <w:lang w:eastAsia="en-AU"/>
        </w:rPr>
        <w:t>Tasmanian Government</w:t>
      </w:r>
      <w:r w:rsidRPr="004F2BB5">
        <w:rPr>
          <w:rFonts w:ascii="Corbel" w:eastAsia="Times New Roman" w:hAnsi="Corbel" w:cs="Calibri"/>
          <w:color w:val="000000"/>
          <w:sz w:val="23"/>
          <w:szCs w:val="23"/>
          <w:lang w:eastAsia="en-AU"/>
        </w:rPr>
        <w:t xml:space="preserve"> must provide an Annual Implementation Report to the Secretary of the Australian Government’s Department of Education for each calendar year of this Bilateral Agreement, for the purpose of assessing compliance with paragraph 22(2)(c) of the Act</w:t>
      </w:r>
      <w:r w:rsidRPr="001A3743">
        <w:rPr>
          <w:rFonts w:ascii="Corbel" w:eastAsia="Times New Roman" w:hAnsi="Corbel" w:cs="Calibri"/>
          <w:color w:val="000000"/>
          <w:sz w:val="23"/>
          <w:szCs w:val="23"/>
          <w:lang w:eastAsia="en-AU"/>
        </w:rPr>
        <w:t>.</w:t>
      </w:r>
      <w:r w:rsidR="00A70AE9" w:rsidRPr="001A3743">
        <w:rPr>
          <w:rFonts w:ascii="Corbel" w:eastAsia="Times New Roman" w:hAnsi="Corbel" w:cs="Calibri"/>
          <w:color w:val="000000"/>
          <w:sz w:val="23"/>
          <w:szCs w:val="23"/>
          <w:lang w:eastAsia="en-AU"/>
        </w:rPr>
        <w:t xml:space="preserve"> The Annual Implementation Report will outline progress on National Reform Directions and Improvement Measures (where the Commonwealth does not separately have this data).</w:t>
      </w:r>
    </w:p>
    <w:p w14:paraId="6A4D4D7F" w14:textId="77777777" w:rsidR="004F2BB5" w:rsidRPr="004F2BB5" w:rsidRDefault="004F2BB5" w:rsidP="004F2BB5">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4F2BB5">
        <w:rPr>
          <w:rFonts w:ascii="Corbel" w:eastAsia="Times New Roman" w:hAnsi="Corbel" w:cs="Calibri"/>
          <w:color w:val="000000"/>
          <w:sz w:val="23"/>
          <w:szCs w:val="23"/>
          <w:lang w:eastAsia="en-AU"/>
        </w:rPr>
        <w:t xml:space="preserve">The template for the Annual Implementation Report is found at Attachment A of this Bilateral Agreement. </w:t>
      </w:r>
    </w:p>
    <w:p w14:paraId="32A30071" w14:textId="77777777" w:rsidR="004F2BB5" w:rsidRPr="004F2BB5" w:rsidRDefault="004F2BB5" w:rsidP="004F2BB5">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4F2BB5">
        <w:rPr>
          <w:rFonts w:ascii="Corbel" w:eastAsia="Times New Roman" w:hAnsi="Corbel" w:cs="Calibri"/>
          <w:color w:val="000000"/>
          <w:sz w:val="23"/>
          <w:szCs w:val="23"/>
          <w:lang w:eastAsia="en-AU"/>
        </w:rPr>
        <w:t xml:space="preserve">The Annual Implementation Report for a calendar year is required by 30 November Year T+1 (i.e. 30 November of the following year), or a date as agreed by the Commonwealth and Tasmania. </w:t>
      </w:r>
    </w:p>
    <w:p w14:paraId="3254B9D5" w14:textId="77777777" w:rsidR="004F2BB5" w:rsidRPr="004F2BB5" w:rsidRDefault="004F2BB5" w:rsidP="004F2BB5">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4F2BB5">
        <w:rPr>
          <w:rFonts w:ascii="Corbel" w:eastAsia="Times New Roman" w:hAnsi="Corbel" w:cs="Calibri"/>
          <w:color w:val="000000"/>
          <w:sz w:val="23"/>
          <w:szCs w:val="23"/>
          <w:lang w:eastAsia="en-AU"/>
        </w:rPr>
        <w:t>The Annual Implementation Report must include: </w:t>
      </w:r>
    </w:p>
    <w:p w14:paraId="7769DE7E" w14:textId="63E45193" w:rsidR="004F2BB5" w:rsidRPr="007449B2" w:rsidRDefault="7005B565" w:rsidP="007449B2">
      <w:pPr>
        <w:pStyle w:val="ListParagraph"/>
        <w:numPr>
          <w:ilvl w:val="1"/>
          <w:numId w:val="1"/>
        </w:numPr>
        <w:tabs>
          <w:tab w:val="left" w:pos="426"/>
        </w:tabs>
        <w:spacing w:after="240" w:line="260" w:lineRule="exact"/>
        <w:ind w:left="397" w:hanging="244"/>
        <w:contextualSpacing w:val="0"/>
        <w:jc w:val="both"/>
        <w:rPr>
          <w:rFonts w:ascii="Corbel" w:eastAsia="Times New Roman" w:hAnsi="Corbel" w:cs="Calibri"/>
          <w:color w:val="000000" w:themeColor="text1"/>
          <w:sz w:val="23"/>
          <w:szCs w:val="23"/>
          <w:lang w:eastAsia="en-AU"/>
        </w:rPr>
      </w:pPr>
      <w:r w:rsidRPr="72FE8625">
        <w:rPr>
          <w:rFonts w:ascii="Corbel" w:eastAsia="Times New Roman" w:hAnsi="Corbel" w:cs="Calibri"/>
          <w:color w:val="000000" w:themeColor="text1"/>
          <w:sz w:val="23"/>
          <w:szCs w:val="23"/>
          <w:lang w:eastAsia="en-AU"/>
        </w:rPr>
        <w:t>p</w:t>
      </w:r>
      <w:r w:rsidR="004F2BB5" w:rsidRPr="72FE8625">
        <w:rPr>
          <w:rFonts w:ascii="Corbel" w:eastAsia="Times New Roman" w:hAnsi="Corbel" w:cs="Calibri"/>
          <w:color w:val="000000" w:themeColor="text1"/>
          <w:sz w:val="23"/>
          <w:szCs w:val="23"/>
          <w:lang w:eastAsia="en-AU"/>
        </w:rPr>
        <w:t>rogress towards agreed reform activity as outlined in Table 3 of this Bilateral Agreement for the National Reform Directions  </w:t>
      </w:r>
    </w:p>
    <w:p w14:paraId="338977DE" w14:textId="0C73CCC2" w:rsidR="004F2BB5" w:rsidRPr="00A67191" w:rsidRDefault="41F33803" w:rsidP="007449B2">
      <w:pPr>
        <w:pStyle w:val="ListParagraph"/>
        <w:numPr>
          <w:ilvl w:val="1"/>
          <w:numId w:val="1"/>
        </w:numPr>
        <w:tabs>
          <w:tab w:val="left" w:pos="426"/>
        </w:tabs>
        <w:spacing w:after="240" w:line="260" w:lineRule="exact"/>
        <w:ind w:left="397" w:hanging="244"/>
        <w:contextualSpacing w:val="0"/>
        <w:jc w:val="both"/>
        <w:rPr>
          <w:rFonts w:ascii="Corbel" w:eastAsia="Times New Roman" w:hAnsi="Corbel" w:cs="Calibri"/>
          <w:color w:val="000000" w:themeColor="text1"/>
          <w:sz w:val="23"/>
          <w:szCs w:val="23"/>
          <w:lang w:eastAsia="en-AU"/>
        </w:rPr>
      </w:pPr>
      <w:r w:rsidRPr="00A67191">
        <w:rPr>
          <w:rFonts w:ascii="Corbel" w:eastAsia="Times New Roman" w:hAnsi="Corbel" w:cs="Calibri"/>
          <w:color w:val="000000" w:themeColor="text1"/>
          <w:sz w:val="23"/>
          <w:szCs w:val="23"/>
          <w:lang w:eastAsia="en-AU"/>
        </w:rPr>
        <w:t>h</w:t>
      </w:r>
      <w:r w:rsidR="004F2BB5" w:rsidRPr="00A67191">
        <w:rPr>
          <w:rFonts w:ascii="Corbel" w:eastAsia="Times New Roman" w:hAnsi="Corbel" w:cs="Calibri"/>
          <w:color w:val="000000" w:themeColor="text1"/>
          <w:sz w:val="23"/>
          <w:szCs w:val="23"/>
          <w:lang w:eastAsia="en-AU"/>
        </w:rPr>
        <w:t xml:space="preserve">ow much additional funding from the Commonwealth is to be directed to implement or augment the National Reform Directions </w:t>
      </w:r>
    </w:p>
    <w:p w14:paraId="3BC84F4C" w14:textId="23A7B063" w:rsidR="004F2BB5" w:rsidRPr="00A67191" w:rsidRDefault="7AB8556A" w:rsidP="007449B2">
      <w:pPr>
        <w:pStyle w:val="ListParagraph"/>
        <w:numPr>
          <w:ilvl w:val="1"/>
          <w:numId w:val="1"/>
        </w:numPr>
        <w:tabs>
          <w:tab w:val="left" w:pos="426"/>
        </w:tabs>
        <w:spacing w:after="240" w:line="260" w:lineRule="exact"/>
        <w:ind w:left="397" w:hanging="244"/>
        <w:contextualSpacing w:val="0"/>
        <w:jc w:val="both"/>
        <w:rPr>
          <w:rFonts w:ascii="Corbel" w:eastAsia="Times New Roman" w:hAnsi="Corbel" w:cs="Calibri"/>
          <w:color w:val="000000" w:themeColor="text1"/>
          <w:sz w:val="23"/>
          <w:szCs w:val="23"/>
          <w:lang w:eastAsia="en-AU"/>
        </w:rPr>
      </w:pPr>
      <w:r w:rsidRPr="72FE8625">
        <w:rPr>
          <w:rFonts w:ascii="Corbel" w:eastAsia="Times New Roman" w:hAnsi="Corbel" w:cs="Calibri"/>
          <w:color w:val="000000" w:themeColor="text1"/>
          <w:sz w:val="23"/>
          <w:szCs w:val="23"/>
          <w:lang w:eastAsia="en-AU"/>
        </w:rPr>
        <w:t>i</w:t>
      </w:r>
      <w:r w:rsidR="004F2BB5" w:rsidRPr="72FE8625">
        <w:rPr>
          <w:rFonts w:ascii="Corbel" w:eastAsia="Times New Roman" w:hAnsi="Corbel" w:cs="Calibri"/>
          <w:color w:val="000000" w:themeColor="text1"/>
          <w:sz w:val="23"/>
          <w:szCs w:val="23"/>
          <w:lang w:eastAsia="en-AU"/>
        </w:rPr>
        <w:t>nformation on how the implementation of each of the National Reform Directions has been targeted to priority equity cohorts (as defined in the Heads of Agreement) and, where relevant, to schools which need additional support</w:t>
      </w:r>
      <w:r w:rsidR="004F2BB5" w:rsidRPr="00A67191">
        <w:rPr>
          <w:rFonts w:ascii="Corbel" w:eastAsia="Times New Roman" w:hAnsi="Corbel" w:cs="Calibri"/>
          <w:color w:val="000000" w:themeColor="text1"/>
          <w:sz w:val="23"/>
          <w:szCs w:val="23"/>
          <w:lang w:eastAsia="en-AU"/>
        </w:rPr>
        <w:t> </w:t>
      </w:r>
    </w:p>
    <w:p w14:paraId="0E96F3AC" w14:textId="73267FE2" w:rsidR="004F2BB5" w:rsidRPr="00A67191" w:rsidRDefault="0DA9EFF9" w:rsidP="007449B2">
      <w:pPr>
        <w:pStyle w:val="ListParagraph"/>
        <w:numPr>
          <w:ilvl w:val="1"/>
          <w:numId w:val="1"/>
        </w:numPr>
        <w:tabs>
          <w:tab w:val="left" w:pos="426"/>
        </w:tabs>
        <w:spacing w:after="240" w:line="260" w:lineRule="exact"/>
        <w:ind w:left="397" w:hanging="244"/>
        <w:contextualSpacing w:val="0"/>
        <w:jc w:val="both"/>
        <w:rPr>
          <w:rFonts w:ascii="Corbel" w:eastAsia="Times New Roman" w:hAnsi="Corbel" w:cs="Calibri"/>
          <w:color w:val="000000" w:themeColor="text1"/>
          <w:sz w:val="23"/>
          <w:szCs w:val="23"/>
          <w:lang w:eastAsia="en-AU"/>
        </w:rPr>
      </w:pPr>
      <w:r w:rsidRPr="72FE8625">
        <w:rPr>
          <w:rFonts w:ascii="Corbel" w:eastAsia="Times New Roman" w:hAnsi="Corbel" w:cs="Calibri"/>
          <w:color w:val="000000" w:themeColor="text1"/>
          <w:sz w:val="23"/>
          <w:szCs w:val="23"/>
          <w:lang w:eastAsia="en-AU"/>
        </w:rPr>
        <w:t>p</w:t>
      </w:r>
      <w:r w:rsidR="004F2BB5" w:rsidRPr="72FE8625">
        <w:rPr>
          <w:rFonts w:ascii="Corbel" w:eastAsia="Times New Roman" w:hAnsi="Corbel" w:cs="Calibri"/>
          <w:color w:val="000000" w:themeColor="text1"/>
          <w:sz w:val="23"/>
          <w:szCs w:val="23"/>
          <w:lang w:eastAsia="en-AU"/>
        </w:rPr>
        <w:t>rogress towards improvement measures specified, only where not currently reported to the Commonwealth. </w:t>
      </w:r>
    </w:p>
    <w:p w14:paraId="500ED7E3" w14:textId="4B775A2F" w:rsidR="004F2BB5" w:rsidRPr="004F2BB5" w:rsidRDefault="004F2BB5" w:rsidP="004F2BB5">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4F2BB5">
        <w:rPr>
          <w:rFonts w:ascii="Corbel" w:eastAsia="Times New Roman" w:hAnsi="Corbel" w:cs="Calibri"/>
          <w:color w:val="000000"/>
          <w:sz w:val="23"/>
          <w:szCs w:val="23"/>
          <w:lang w:eastAsia="en-AU"/>
        </w:rPr>
        <w:t>For the avoidance of doubt, Tasmania’s Annual Implementation Report should focus on government school implementation and improvement measures, noting that as per clause 104 in the Heads of Agreement, non-government representative bodies will be required to provide an Annual Implementation Report for Year T to the Commonwealth for each calendar year</w:t>
      </w:r>
      <w:r w:rsidR="00021DDB" w:rsidRPr="00D95DFF">
        <w:rPr>
          <w:rFonts w:ascii="Corbel" w:eastAsia="Times New Roman" w:hAnsi="Corbel" w:cs="Calibri"/>
          <w:color w:val="000000"/>
          <w:sz w:val="23"/>
          <w:szCs w:val="23"/>
          <w:lang w:eastAsia="en-AU"/>
        </w:rPr>
        <w:t>. This report will be provided for Year T by</w:t>
      </w:r>
      <w:r w:rsidR="00021DDB">
        <w:rPr>
          <w:rFonts w:ascii="Corbel" w:eastAsia="Times New Roman" w:hAnsi="Corbel" w:cs="Calibri"/>
          <w:color w:val="000000"/>
          <w:sz w:val="23"/>
          <w:szCs w:val="23"/>
          <w:lang w:eastAsia="en-AU"/>
        </w:rPr>
        <w:t xml:space="preserve"> </w:t>
      </w:r>
      <w:r w:rsidRPr="004F2BB5">
        <w:rPr>
          <w:rFonts w:ascii="Corbel" w:eastAsia="Times New Roman" w:hAnsi="Corbel" w:cs="Calibri"/>
          <w:color w:val="000000"/>
          <w:sz w:val="23"/>
          <w:szCs w:val="23"/>
          <w:lang w:eastAsia="en-AU"/>
        </w:rPr>
        <w:t>30 November Year T + 1.</w:t>
      </w:r>
    </w:p>
    <w:p w14:paraId="7E96412F" w14:textId="5DBB75BF" w:rsidR="00FC2D96" w:rsidRPr="004F2BB5" w:rsidRDefault="00FC2D96" w:rsidP="004F2BB5">
      <w:pPr>
        <w:tabs>
          <w:tab w:val="left" w:pos="426"/>
        </w:tabs>
        <w:spacing w:after="240" w:line="260" w:lineRule="exact"/>
        <w:jc w:val="both"/>
        <w:rPr>
          <w:rFonts w:ascii="Corbel" w:eastAsia="Times New Roman" w:hAnsi="Corbel" w:cs="Calibri"/>
          <w:color w:val="000000"/>
          <w:sz w:val="23"/>
          <w:szCs w:val="23"/>
          <w:lang w:eastAsia="en-AU"/>
        </w:rPr>
      </w:pPr>
    </w:p>
    <w:p w14:paraId="6181EE6E" w14:textId="74BDDE83" w:rsidR="006C362E" w:rsidRDefault="006C362E">
      <w:pPr>
        <w:spacing w:after="160" w:line="259" w:lineRule="auto"/>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br w:type="page"/>
      </w:r>
    </w:p>
    <w:p w14:paraId="711C0EA1" w14:textId="77777777" w:rsidR="00101260" w:rsidRDefault="00101260" w:rsidP="004F780B">
      <w:pPr>
        <w:keepNext/>
        <w:keepLines/>
        <w:tabs>
          <w:tab w:val="left" w:pos="3569"/>
        </w:tabs>
        <w:spacing w:before="480" w:after="180" w:line="240" w:lineRule="auto"/>
        <w:outlineLvl w:val="0"/>
        <w:rPr>
          <w:rFonts w:ascii="Corbel" w:eastAsia="Times New Roman" w:hAnsi="Corbel" w:cs="Consolas"/>
          <w:b/>
          <w:caps/>
          <w:color w:val="316F72"/>
          <w:kern w:val="32"/>
          <w:sz w:val="32"/>
          <w:szCs w:val="32"/>
          <w:lang w:eastAsia="en-AU"/>
        </w:rPr>
      </w:pPr>
      <w:r w:rsidRPr="0043438C">
        <w:rPr>
          <w:rFonts w:ascii="Corbel" w:eastAsia="Times New Roman" w:hAnsi="Corbel" w:cs="Consolas"/>
          <w:b/>
          <w:caps/>
          <w:color w:val="316F72"/>
          <w:kern w:val="32"/>
          <w:sz w:val="32"/>
          <w:szCs w:val="32"/>
          <w:lang w:eastAsia="en-AU"/>
        </w:rPr>
        <w:lastRenderedPageBreak/>
        <w:t xml:space="preserve">SIGNATURES </w:t>
      </w:r>
    </w:p>
    <w:tbl>
      <w:tblPr>
        <w:tblW w:w="9781" w:type="dxa"/>
        <w:jc w:val="center"/>
        <w:tblLayout w:type="fixed"/>
        <w:tblLook w:val="01E0" w:firstRow="1" w:lastRow="1" w:firstColumn="1" w:lastColumn="1" w:noHBand="0" w:noVBand="0"/>
      </w:tblPr>
      <w:tblGrid>
        <w:gridCol w:w="4679"/>
        <w:gridCol w:w="283"/>
        <w:gridCol w:w="4819"/>
      </w:tblGrid>
      <w:tr w:rsidR="00CB156A" w14:paraId="420B40D1" w14:textId="77777777" w:rsidTr="0065018D">
        <w:trPr>
          <w:cantSplit/>
          <w:jc w:val="center"/>
        </w:trPr>
        <w:tc>
          <w:tcPr>
            <w:tcW w:w="4679" w:type="dxa"/>
          </w:tcPr>
          <w:p w14:paraId="443C29CF" w14:textId="3079A34E" w:rsidR="00CB156A" w:rsidRDefault="00CB156A" w:rsidP="0065018D">
            <w:pPr>
              <w:keepNext/>
              <w:keepLines/>
              <w:spacing w:after="120" w:line="240" w:lineRule="auto"/>
              <w:rPr>
                <w:rFonts w:ascii="Corbel" w:eastAsia="Times New Roman" w:hAnsi="Corbel" w:cs="Book Antiqua"/>
                <w:i/>
                <w:iCs/>
                <w:lang w:eastAsia="en-AU"/>
              </w:rPr>
            </w:pPr>
            <w:r>
              <w:rPr>
                <w:rFonts w:ascii="Corbel" w:eastAsia="Times New Roman" w:hAnsi="Corbel" w:cs="Times New Roman"/>
                <w:b/>
                <w:bCs/>
                <w:lang w:eastAsia="en-AU"/>
              </w:rPr>
              <w:t>Signed</w:t>
            </w:r>
            <w:r>
              <w:rPr>
                <w:rFonts w:ascii="Corbel" w:eastAsia="Times New Roman" w:hAnsi="Corbel" w:cs="Book Antiqua"/>
                <w:i/>
                <w:iCs/>
                <w:lang w:eastAsia="en-AU"/>
              </w:rPr>
              <w:t xml:space="preserve"> for and on behalf of the Commonwealth</w:t>
            </w:r>
            <w:r w:rsidR="00B5348D">
              <w:rPr>
                <w:rFonts w:ascii="Corbel" w:eastAsia="Times New Roman" w:hAnsi="Corbel" w:cs="Book Antiqua"/>
                <w:i/>
                <w:iCs/>
                <w:lang w:eastAsia="en-AU"/>
              </w:rPr>
              <w:t> </w:t>
            </w:r>
            <w:r>
              <w:rPr>
                <w:rFonts w:ascii="Corbel" w:eastAsia="Times New Roman" w:hAnsi="Corbel" w:cs="Book Antiqua"/>
                <w:i/>
                <w:iCs/>
                <w:lang w:eastAsia="en-AU"/>
              </w:rPr>
              <w:t>of</w:t>
            </w:r>
            <w:r w:rsidR="00B5348D">
              <w:rPr>
                <w:rFonts w:ascii="Corbel" w:eastAsia="Times New Roman" w:hAnsi="Corbel" w:cs="Book Antiqua"/>
                <w:i/>
                <w:iCs/>
                <w:lang w:eastAsia="en-AU"/>
              </w:rPr>
              <w:t> </w:t>
            </w:r>
            <w:r>
              <w:rPr>
                <w:rFonts w:ascii="Corbel" w:eastAsia="Times New Roman" w:hAnsi="Corbel" w:cs="Book Antiqua"/>
                <w:i/>
                <w:iCs/>
                <w:lang w:eastAsia="en-AU"/>
              </w:rPr>
              <w:t>Australia by</w:t>
            </w:r>
          </w:p>
          <w:p w14:paraId="13D9D8DA" w14:textId="6DE49F43" w:rsidR="00CB156A" w:rsidRDefault="00CB156A" w:rsidP="0065018D">
            <w:pPr>
              <w:keepNext/>
              <w:keepLines/>
              <w:spacing w:after="240" w:line="260" w:lineRule="exact"/>
              <w:ind w:left="605" w:hanging="567"/>
              <w:rPr>
                <w:rFonts w:ascii="Corbel" w:eastAsia="Times New Roman" w:hAnsi="Corbel" w:cs="Corbel"/>
                <w:b/>
                <w:sz w:val="23"/>
                <w:szCs w:val="23"/>
                <w:lang w:eastAsia="en-AU"/>
              </w:rPr>
            </w:pPr>
          </w:p>
          <w:p w14:paraId="4C51510A" w14:textId="2297762A" w:rsidR="0086457E" w:rsidRDefault="0086457E" w:rsidP="0065018D">
            <w:pPr>
              <w:keepNext/>
              <w:keepLines/>
              <w:spacing w:after="240" w:line="260" w:lineRule="exact"/>
              <w:ind w:left="605" w:hanging="567"/>
              <w:rPr>
                <w:rFonts w:ascii="Corbel" w:eastAsia="Times New Roman" w:hAnsi="Corbel" w:cs="Corbel"/>
                <w:b/>
                <w:sz w:val="23"/>
                <w:szCs w:val="23"/>
                <w:lang w:eastAsia="en-AU"/>
              </w:rPr>
            </w:pPr>
          </w:p>
          <w:p w14:paraId="531CD473" w14:textId="506BA38D" w:rsidR="0086457E" w:rsidRDefault="0086457E" w:rsidP="001754A4">
            <w:pPr>
              <w:keepNext/>
              <w:keepLines/>
              <w:spacing w:after="240" w:line="260" w:lineRule="exact"/>
              <w:rPr>
                <w:rFonts w:ascii="Corbel" w:eastAsia="Times New Roman" w:hAnsi="Corbel" w:cs="Corbel"/>
                <w:b/>
                <w:sz w:val="23"/>
                <w:szCs w:val="23"/>
                <w:lang w:eastAsia="en-AU"/>
              </w:rPr>
            </w:pPr>
            <w:r w:rsidRPr="0086457E">
              <w:rPr>
                <w:rFonts w:ascii="Corbel" w:eastAsia="Times New Roman" w:hAnsi="Corbel" w:cs="Corbel"/>
                <w:b/>
                <w:sz w:val="23"/>
                <w:szCs w:val="23"/>
                <w:lang w:eastAsia="en-AU"/>
              </w:rPr>
              <w:drawing>
                <wp:anchor distT="0" distB="0" distL="114300" distR="114300" simplePos="0" relativeHeight="251658240" behindDoc="0" locked="0" layoutInCell="1" allowOverlap="1" wp14:anchorId="633EC153" wp14:editId="63E5D475">
                  <wp:simplePos x="0" y="0"/>
                  <wp:positionH relativeFrom="column">
                    <wp:posOffset>-16510</wp:posOffset>
                  </wp:positionH>
                  <wp:positionV relativeFrom="paragraph">
                    <wp:posOffset>614045</wp:posOffset>
                  </wp:positionV>
                  <wp:extent cx="2372360" cy="2133600"/>
                  <wp:effectExtent l="0" t="0" r="8890" b="0"/>
                  <wp:wrapTopAndBottom/>
                  <wp:docPr id="864878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87885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72360" cy="2133600"/>
                          </a:xfrm>
                          <a:prstGeom prst="rect">
                            <a:avLst/>
                          </a:prstGeom>
                        </pic:spPr>
                      </pic:pic>
                    </a:graphicData>
                  </a:graphic>
                  <wp14:sizeRelH relativeFrom="margin">
                    <wp14:pctWidth>0</wp14:pctWidth>
                  </wp14:sizeRelH>
                  <wp14:sizeRelV relativeFrom="margin">
                    <wp14:pctHeight>0</wp14:pctHeight>
                  </wp14:sizeRelV>
                </wp:anchor>
              </w:drawing>
            </w:r>
          </w:p>
        </w:tc>
        <w:tc>
          <w:tcPr>
            <w:tcW w:w="283" w:type="dxa"/>
            <w:tcMar>
              <w:top w:w="0" w:type="dxa"/>
              <w:left w:w="0" w:type="dxa"/>
              <w:bottom w:w="0" w:type="dxa"/>
              <w:right w:w="0" w:type="dxa"/>
            </w:tcMar>
          </w:tcPr>
          <w:p w14:paraId="140F1473" w14:textId="77777777" w:rsidR="00CB156A" w:rsidRDefault="00CB156A" w:rsidP="0065018D">
            <w:pPr>
              <w:keepNext/>
              <w:keepLines/>
              <w:spacing w:after="240" w:line="260" w:lineRule="exact"/>
              <w:rPr>
                <w:rFonts w:ascii="Corbel" w:eastAsia="Times New Roman" w:hAnsi="Corbel" w:cs="Corbel"/>
                <w:sz w:val="23"/>
                <w:szCs w:val="23"/>
                <w:lang w:eastAsia="en-AU"/>
              </w:rPr>
            </w:pPr>
          </w:p>
        </w:tc>
        <w:tc>
          <w:tcPr>
            <w:tcW w:w="4819" w:type="dxa"/>
          </w:tcPr>
          <w:p w14:paraId="21903CFF" w14:textId="474DA96B" w:rsidR="00CB156A" w:rsidRDefault="00CB156A" w:rsidP="0065018D">
            <w:pPr>
              <w:keepNext/>
              <w:keepLines/>
              <w:spacing w:after="120" w:line="240" w:lineRule="auto"/>
              <w:rPr>
                <w:rFonts w:ascii="Corbel" w:eastAsia="Times New Roman" w:hAnsi="Corbel" w:cs="Book Antiqua"/>
                <w:i/>
                <w:iCs/>
                <w:lang w:eastAsia="en-AU"/>
              </w:rPr>
            </w:pPr>
            <w:r>
              <w:rPr>
                <w:rFonts w:ascii="Corbel" w:eastAsia="Times New Roman" w:hAnsi="Corbel" w:cs="Times New Roman"/>
                <w:b/>
                <w:bCs/>
                <w:lang w:eastAsia="en-AU"/>
              </w:rPr>
              <w:t>Signed</w:t>
            </w:r>
            <w:r>
              <w:rPr>
                <w:rFonts w:ascii="Corbel" w:eastAsia="Times New Roman" w:hAnsi="Corbel" w:cs="Book Antiqua"/>
                <w:i/>
                <w:iCs/>
                <w:lang w:eastAsia="en-AU"/>
              </w:rPr>
              <w:t xml:space="preserve"> for and on behalf of </w:t>
            </w:r>
            <w:r w:rsidR="00B5348D">
              <w:rPr>
                <w:rFonts w:ascii="Corbel" w:eastAsia="Times New Roman" w:hAnsi="Corbel" w:cs="Book Antiqua"/>
                <w:i/>
                <w:iCs/>
                <w:lang w:eastAsia="en-AU"/>
              </w:rPr>
              <w:t xml:space="preserve">                        </w:t>
            </w:r>
            <w:r>
              <w:rPr>
                <w:rFonts w:ascii="Corbel" w:eastAsia="Times New Roman" w:hAnsi="Corbel" w:cs="Book Antiqua"/>
                <w:i/>
                <w:iCs/>
                <w:lang w:eastAsia="en-AU"/>
              </w:rPr>
              <w:t>Tasmania</w:t>
            </w:r>
            <w:r w:rsidR="00B5348D">
              <w:rPr>
                <w:rFonts w:ascii="Corbel" w:eastAsia="Times New Roman" w:hAnsi="Corbel" w:cs="Book Antiqua"/>
                <w:i/>
                <w:iCs/>
                <w:lang w:eastAsia="en-AU"/>
              </w:rPr>
              <w:t> </w:t>
            </w:r>
            <w:r>
              <w:rPr>
                <w:rFonts w:ascii="Corbel" w:eastAsia="Times New Roman" w:hAnsi="Corbel" w:cs="Book Antiqua"/>
                <w:i/>
                <w:iCs/>
                <w:lang w:eastAsia="en-AU"/>
              </w:rPr>
              <w:t>by</w:t>
            </w:r>
          </w:p>
          <w:p w14:paraId="3580C579" w14:textId="089F77D1" w:rsidR="00CB156A" w:rsidRDefault="00CB156A" w:rsidP="0065018D">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28248DB2" w14:textId="0B1492B7" w:rsidR="00CB156A" w:rsidRDefault="00CB156A" w:rsidP="0065018D">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1D5CBE3B" w14:textId="0A472EAF" w:rsidR="00CB156A" w:rsidRDefault="00330A1C" w:rsidP="0065018D">
            <w:pPr>
              <w:keepNext/>
              <w:keepLines/>
              <w:tabs>
                <w:tab w:val="left" w:leader="underscore" w:pos="3686"/>
              </w:tabs>
              <w:spacing w:before="360" w:after="60" w:line="260" w:lineRule="exact"/>
              <w:rPr>
                <w:rFonts w:ascii="Corbel" w:eastAsia="Times New Roman" w:hAnsi="Corbel" w:cs="Book Antiqua"/>
                <w:sz w:val="23"/>
                <w:szCs w:val="23"/>
                <w:lang w:eastAsia="en-AU"/>
              </w:rPr>
            </w:pPr>
            <w:r w:rsidRPr="00330A1C">
              <w:rPr>
                <w:rFonts w:ascii="Corbel" w:eastAsia="Times New Roman" w:hAnsi="Corbel" w:cs="Book Antiqua"/>
                <w:sz w:val="23"/>
                <w:szCs w:val="23"/>
                <w:lang w:eastAsia="en-AU"/>
              </w:rPr>
              <w:drawing>
                <wp:anchor distT="0" distB="0" distL="114300" distR="114300" simplePos="0" relativeHeight="251659264" behindDoc="0" locked="0" layoutInCell="1" allowOverlap="1" wp14:anchorId="25E861D8" wp14:editId="5E1B17C4">
                  <wp:simplePos x="0" y="0"/>
                  <wp:positionH relativeFrom="column">
                    <wp:posOffset>41275</wp:posOffset>
                  </wp:positionH>
                  <wp:positionV relativeFrom="paragraph">
                    <wp:posOffset>509905</wp:posOffset>
                  </wp:positionV>
                  <wp:extent cx="2525395" cy="2097405"/>
                  <wp:effectExtent l="0" t="0" r="8255" b="0"/>
                  <wp:wrapTopAndBottom/>
                  <wp:docPr id="1087972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97291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5395" cy="2097405"/>
                          </a:xfrm>
                          <a:prstGeom prst="rect">
                            <a:avLst/>
                          </a:prstGeom>
                        </pic:spPr>
                      </pic:pic>
                    </a:graphicData>
                  </a:graphic>
                  <wp14:sizeRelH relativeFrom="margin">
                    <wp14:pctWidth>0</wp14:pctWidth>
                  </wp14:sizeRelH>
                  <wp14:sizeRelV relativeFrom="margin">
                    <wp14:pctHeight>0</wp14:pctHeight>
                  </wp14:sizeRelV>
                </wp:anchor>
              </w:drawing>
            </w:r>
          </w:p>
          <w:p w14:paraId="09FAABBD" w14:textId="3B42BC86" w:rsidR="00CB156A" w:rsidRDefault="00CB156A" w:rsidP="0065018D">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709B1E04" w14:textId="77777777" w:rsidR="00CB156A" w:rsidRDefault="00CB156A" w:rsidP="0065018D">
            <w:pPr>
              <w:keepNext/>
              <w:keepLines/>
              <w:tabs>
                <w:tab w:val="left" w:leader="underscore" w:pos="3686"/>
              </w:tabs>
              <w:spacing w:before="360" w:after="60" w:line="260" w:lineRule="exact"/>
              <w:rPr>
                <w:rFonts w:ascii="Corbel" w:eastAsia="Times New Roman" w:hAnsi="Corbel" w:cs="Corbel"/>
                <w:sz w:val="23"/>
                <w:szCs w:val="23"/>
                <w:lang w:eastAsia="en-AU"/>
              </w:rPr>
            </w:pPr>
          </w:p>
          <w:p w14:paraId="09DB6DAD" w14:textId="77777777" w:rsidR="00CB156A" w:rsidRDefault="00CB156A" w:rsidP="0065018D">
            <w:pPr>
              <w:keepNext/>
              <w:keepLines/>
              <w:spacing w:after="240" w:line="260" w:lineRule="exact"/>
              <w:rPr>
                <w:rFonts w:ascii="Corbel" w:eastAsia="Times New Roman" w:hAnsi="Corbel" w:cs="Corbel"/>
                <w:sz w:val="23"/>
                <w:szCs w:val="23"/>
                <w:lang w:eastAsia="en-AU"/>
              </w:rPr>
            </w:pPr>
          </w:p>
        </w:tc>
      </w:tr>
    </w:tbl>
    <w:p w14:paraId="6D4EA942" w14:textId="51453CE1" w:rsidR="00C43C7B" w:rsidRDefault="00C43C7B" w:rsidP="0013152A">
      <w:pPr>
        <w:spacing w:after="240" w:line="260" w:lineRule="exact"/>
        <w:jc w:val="both"/>
        <w:rPr>
          <w:rFonts w:ascii="Corbel" w:eastAsia="Times New Roman" w:hAnsi="Corbel" w:cs="Consolas"/>
          <w:b/>
          <w:caps/>
          <w:color w:val="316F72"/>
          <w:kern w:val="32"/>
          <w:sz w:val="32"/>
          <w:szCs w:val="32"/>
          <w:lang w:eastAsia="en-AU"/>
        </w:rPr>
      </w:pPr>
    </w:p>
    <w:p w14:paraId="5317EECD" w14:textId="77777777" w:rsidR="00C43C7B" w:rsidRDefault="00C43C7B" w:rsidP="004F780B">
      <w:pPr>
        <w:keepNext/>
        <w:keepLines/>
        <w:tabs>
          <w:tab w:val="left" w:pos="3569"/>
        </w:tabs>
        <w:spacing w:before="480" w:after="180" w:line="240" w:lineRule="auto"/>
        <w:outlineLvl w:val="0"/>
        <w:rPr>
          <w:rFonts w:ascii="Corbel" w:eastAsia="Times New Roman" w:hAnsi="Corbel" w:cs="Consolas"/>
          <w:b/>
          <w:caps/>
          <w:color w:val="316F72"/>
          <w:kern w:val="32"/>
          <w:sz w:val="32"/>
          <w:szCs w:val="32"/>
          <w:lang w:eastAsia="en-AU"/>
        </w:rPr>
      </w:pPr>
    </w:p>
    <w:p w14:paraId="6E299EF0" w14:textId="77777777" w:rsidR="00C43C7B" w:rsidRDefault="00C43C7B" w:rsidP="004F780B">
      <w:pPr>
        <w:keepNext/>
        <w:keepLines/>
        <w:tabs>
          <w:tab w:val="left" w:pos="3569"/>
        </w:tabs>
        <w:spacing w:before="480" w:after="180" w:line="240" w:lineRule="auto"/>
        <w:outlineLvl w:val="0"/>
        <w:rPr>
          <w:rFonts w:ascii="Corbel" w:eastAsia="Times New Roman" w:hAnsi="Corbel" w:cs="Consolas"/>
          <w:b/>
          <w:caps/>
          <w:color w:val="316F72"/>
          <w:kern w:val="32"/>
          <w:sz w:val="32"/>
          <w:szCs w:val="32"/>
          <w:lang w:eastAsia="en-AU"/>
        </w:rPr>
      </w:pPr>
    </w:p>
    <w:p w14:paraId="0CA0A465" w14:textId="7041DE1B" w:rsidR="00C43C7B" w:rsidRPr="004F780B" w:rsidRDefault="00C43C7B" w:rsidP="004F780B">
      <w:pPr>
        <w:keepNext/>
        <w:keepLines/>
        <w:tabs>
          <w:tab w:val="left" w:pos="3569"/>
        </w:tabs>
        <w:spacing w:before="480" w:after="180" w:line="240" w:lineRule="auto"/>
        <w:outlineLvl w:val="0"/>
        <w:rPr>
          <w:rFonts w:ascii="Corbel" w:eastAsia="Times New Roman" w:hAnsi="Corbel" w:cs="Consolas"/>
          <w:b/>
          <w:caps/>
          <w:color w:val="316F72"/>
          <w:kern w:val="32"/>
          <w:sz w:val="32"/>
          <w:szCs w:val="32"/>
          <w:lang w:eastAsia="en-AU"/>
        </w:rPr>
        <w:sectPr w:rsidR="00C43C7B" w:rsidRPr="004F780B">
          <w:pgSz w:w="11906" w:h="16838"/>
          <w:pgMar w:top="1440" w:right="1440" w:bottom="1440" w:left="1440" w:header="708" w:footer="708" w:gutter="0"/>
          <w:cols w:space="708"/>
          <w:docGrid w:linePitch="360"/>
        </w:sectPr>
      </w:pPr>
    </w:p>
    <w:p w14:paraId="610CA41B" w14:textId="77777777" w:rsidR="00210941" w:rsidRPr="005362CB" w:rsidRDefault="00210941" w:rsidP="00210941">
      <w:pPr>
        <w:keepNext/>
        <w:keepLines/>
        <w:tabs>
          <w:tab w:val="left" w:pos="3569"/>
        </w:tabs>
        <w:spacing w:before="480" w:after="180" w:line="240" w:lineRule="auto"/>
        <w:outlineLvl w:val="0"/>
        <w:rPr>
          <w:highlight w:val="yellow"/>
        </w:rPr>
      </w:pPr>
      <w:bookmarkStart w:id="1" w:name="_Toc169597011"/>
      <w:r w:rsidRPr="38554A21">
        <w:rPr>
          <w:rFonts w:ascii="Corbel" w:eastAsia="Times New Roman" w:hAnsi="Corbel" w:cs="Consolas"/>
          <w:b/>
          <w:bCs/>
          <w:caps/>
          <w:color w:val="316F72"/>
          <w:kern w:val="32"/>
          <w:sz w:val="32"/>
          <w:szCs w:val="32"/>
          <w:lang w:eastAsia="en-AU"/>
        </w:rPr>
        <w:lastRenderedPageBreak/>
        <w:t>Attachment A:</w:t>
      </w:r>
      <w:r w:rsidRPr="38554A21" w:rsidDel="008E1DF1">
        <w:rPr>
          <w:rFonts w:ascii="Corbel" w:eastAsia="Times New Roman" w:hAnsi="Corbel" w:cs="Consolas"/>
          <w:b/>
          <w:bCs/>
          <w:caps/>
          <w:color w:val="316F72"/>
          <w:kern w:val="32"/>
          <w:sz w:val="32"/>
          <w:szCs w:val="32"/>
          <w:lang w:eastAsia="en-AU"/>
        </w:rPr>
        <w:t xml:space="preserve"> </w:t>
      </w:r>
      <w:r w:rsidRPr="38554A21">
        <w:rPr>
          <w:rFonts w:ascii="Corbel" w:eastAsia="Times New Roman" w:hAnsi="Corbel" w:cs="Consolas"/>
          <w:b/>
          <w:bCs/>
          <w:caps/>
          <w:color w:val="316F72"/>
          <w:kern w:val="32"/>
          <w:sz w:val="32"/>
          <w:szCs w:val="32"/>
          <w:lang w:eastAsia="en-AU"/>
        </w:rPr>
        <w:t>Annual Implementation Report template</w:t>
      </w:r>
      <w:bookmarkEnd w:id="1"/>
      <w:r w:rsidRPr="005C3680">
        <w:rPr>
          <w:sz w:val="32"/>
          <w:szCs w:val="32"/>
        </w:rPr>
        <w:t xml:space="preserve"> </w:t>
      </w:r>
      <w:r w:rsidRPr="38554A21">
        <w:rPr>
          <w:sz w:val="32"/>
          <w:szCs w:val="32"/>
        </w:rPr>
        <w:t xml:space="preserve"> </w:t>
      </w:r>
    </w:p>
    <w:p w14:paraId="3D008842" w14:textId="77777777" w:rsidR="00210941" w:rsidRPr="00CB12C2" w:rsidRDefault="00210941" w:rsidP="00210941">
      <w:pPr>
        <w:keepNext/>
        <w:keepLines/>
        <w:spacing w:after="240" w:line="260" w:lineRule="exact"/>
        <w:jc w:val="both"/>
      </w:pPr>
      <w:r w:rsidRPr="005C3680">
        <w:rPr>
          <w:rFonts w:ascii="Corbel" w:eastAsia="Times New Roman" w:hAnsi="Corbel" w:cs="Corbel"/>
          <w:b/>
          <w:bCs/>
          <w:color w:val="316F72"/>
          <w:sz w:val="28"/>
          <w:szCs w:val="28"/>
          <w:lang w:eastAsia="en-AU"/>
        </w:rPr>
        <w:t>Purpose of this reporting template</w:t>
      </w:r>
    </w:p>
    <w:p w14:paraId="58782DC2" w14:textId="7A643D6E" w:rsidR="00210941" w:rsidRPr="00297C56" w:rsidRDefault="00210941" w:rsidP="00210941">
      <w:pPr>
        <w:rPr>
          <w:rFonts w:eastAsiaTheme="minorEastAsia" w:cs="Calibri"/>
        </w:rPr>
      </w:pPr>
      <w:r w:rsidRPr="00CF7595">
        <w:rPr>
          <w:rFonts w:eastAsiaTheme="minorEastAsia" w:cs="Calibri"/>
          <w:color w:val="000000" w:themeColor="text1"/>
        </w:rPr>
        <w:t xml:space="preserve">This </w:t>
      </w:r>
      <w:r>
        <w:rPr>
          <w:rFonts w:eastAsiaTheme="minorEastAsia" w:cs="Calibri"/>
          <w:color w:val="000000" w:themeColor="text1"/>
        </w:rPr>
        <w:t>Annual Implementation Report</w:t>
      </w:r>
      <w:r w:rsidRPr="004E237C">
        <w:rPr>
          <w:rFonts w:eastAsiaTheme="minorEastAsia" w:cs="Calibri"/>
          <w:color w:val="000000" w:themeColor="text1"/>
        </w:rPr>
        <w:t xml:space="preserve"> reporting template contributes to achieving the transparency and accountability commitments under the </w:t>
      </w:r>
      <w:r w:rsidRPr="00755E57">
        <w:rPr>
          <w:rFonts w:eastAsiaTheme="minorEastAsia" w:cs="Calibri"/>
          <w:i/>
          <w:iCs/>
          <w:color w:val="000000" w:themeColor="text1"/>
        </w:rPr>
        <w:t>Better and Fairer Schools Agreement</w:t>
      </w:r>
      <w:r w:rsidRPr="004E237C">
        <w:rPr>
          <w:rFonts w:eastAsiaTheme="minorEastAsia" w:cs="Calibri"/>
          <w:color w:val="000000" w:themeColor="text1"/>
        </w:rPr>
        <w:t xml:space="preserve">. </w:t>
      </w:r>
      <w:r>
        <w:rPr>
          <w:rFonts w:eastAsiaTheme="minorEastAsia" w:cs="Calibri"/>
          <w:color w:val="000000" w:themeColor="text1"/>
        </w:rPr>
        <w:t xml:space="preserve">Tasmania will fill in the Annual Implementation Report annually and report it to the Australian Government </w:t>
      </w:r>
      <w:r w:rsidR="00D95D96">
        <w:rPr>
          <w:rFonts w:eastAsiaTheme="minorEastAsia" w:cs="Calibri"/>
          <w:color w:val="000000" w:themeColor="text1"/>
        </w:rPr>
        <w:t>f</w:t>
      </w:r>
      <w:r>
        <w:rPr>
          <w:rFonts w:eastAsiaTheme="minorEastAsia" w:cs="Calibri"/>
          <w:color w:val="000000" w:themeColor="text1"/>
        </w:rPr>
        <w:t xml:space="preserve"> Education; non-government representative bodies will also be required to fill in their own template (see Schedule E of the Heads of Agreement). </w:t>
      </w:r>
    </w:p>
    <w:p w14:paraId="158046E4" w14:textId="77777777" w:rsidR="00210941" w:rsidRPr="004E237C" w:rsidRDefault="00210941" w:rsidP="00210941">
      <w:pPr>
        <w:keepNext/>
        <w:keepLines/>
        <w:spacing w:after="240" w:line="260" w:lineRule="exact"/>
        <w:jc w:val="both"/>
        <w:rPr>
          <w:rFonts w:eastAsiaTheme="minorEastAsia"/>
        </w:rPr>
      </w:pPr>
      <w:r w:rsidRPr="005C3680">
        <w:rPr>
          <w:rFonts w:ascii="Corbel" w:eastAsia="Times New Roman" w:hAnsi="Corbel" w:cs="Corbel"/>
          <w:b/>
          <w:bCs/>
          <w:color w:val="316F72"/>
          <w:sz w:val="28"/>
          <w:szCs w:val="28"/>
          <w:lang w:eastAsia="en-AU"/>
        </w:rPr>
        <w:t>National Reform Directions</w:t>
      </w:r>
      <w:r>
        <w:rPr>
          <w:rFonts w:eastAsiaTheme="minorEastAsia"/>
        </w:rPr>
        <w:t xml:space="preserve"> </w:t>
      </w:r>
      <w:r>
        <w:rPr>
          <w:rFonts w:eastAsiaTheme="minorEastAsia"/>
        </w:rPr>
        <w:tab/>
      </w:r>
    </w:p>
    <w:p w14:paraId="752C6361" w14:textId="4E1C66EA" w:rsidR="00210941" w:rsidRPr="00955F8A" w:rsidRDefault="00210941" w:rsidP="00210941">
      <w:pPr>
        <w:keepNext/>
        <w:rPr>
          <w:rFonts w:eastAsiaTheme="minorEastAsia"/>
        </w:rPr>
      </w:pPr>
      <w:r>
        <w:rPr>
          <w:rFonts w:eastAsiaTheme="minorEastAsia" w:cs="Calibri"/>
        </w:rPr>
        <w:t>Tasmania is</w:t>
      </w:r>
      <w:r w:rsidRPr="1D916E64">
        <w:rPr>
          <w:rFonts w:eastAsiaTheme="minorEastAsia" w:cs="Calibri"/>
        </w:rPr>
        <w:t xml:space="preserve"> required to fill in the below table outlining their implementation of National Reform </w:t>
      </w:r>
      <w:r w:rsidRPr="1D916E64">
        <w:t>Directions</w:t>
      </w:r>
      <w:r>
        <w:t xml:space="preserve"> where there is allocation of additional Commonwealth investment</w:t>
      </w:r>
      <w:r w:rsidR="00B73328">
        <w:t xml:space="preserve"> for Tasmanian government schools</w:t>
      </w:r>
      <w:r w:rsidRPr="1D916E64">
        <w:rPr>
          <w:rFonts w:eastAsiaTheme="minorEastAsia" w:cs="Calibri"/>
        </w:rPr>
        <w:t xml:space="preserve">. If work is already underway in </w:t>
      </w:r>
      <w:r>
        <w:rPr>
          <w:rFonts w:eastAsiaTheme="minorEastAsia" w:cs="Calibri"/>
        </w:rPr>
        <w:t>Tasmania</w:t>
      </w:r>
      <w:r w:rsidRPr="1D916E64">
        <w:rPr>
          <w:rFonts w:eastAsiaTheme="minorEastAsia" w:cs="Calibri"/>
        </w:rPr>
        <w:t xml:space="preserve"> in relation to a National Reform Direction</w:t>
      </w:r>
      <w:r>
        <w:rPr>
          <w:rFonts w:eastAsiaTheme="minorEastAsia" w:cs="Calibri"/>
        </w:rPr>
        <w:t>,</w:t>
      </w:r>
      <w:r w:rsidRPr="1D916E64">
        <w:rPr>
          <w:rFonts w:eastAsiaTheme="minorEastAsia" w:cs="Calibri"/>
        </w:rPr>
        <w:t xml:space="preserve"> then </w:t>
      </w:r>
      <w:r>
        <w:rPr>
          <w:rFonts w:eastAsiaTheme="minorEastAsia" w:cs="Calibri"/>
        </w:rPr>
        <w:t>Tasmania</w:t>
      </w:r>
      <w:r w:rsidRPr="1D916E64">
        <w:rPr>
          <w:rFonts w:eastAsiaTheme="minorEastAsia" w:cs="Calibri"/>
        </w:rPr>
        <w:t xml:space="preserve"> can choose to report qualitative information on the progress of the National Reform Direction. </w:t>
      </w:r>
    </w:p>
    <w:tbl>
      <w:tblPr>
        <w:tblStyle w:val="TableGrid"/>
        <w:tblW w:w="13892" w:type="dxa"/>
        <w:tblInd w:w="-5" w:type="dxa"/>
        <w:tblLayout w:type="fixed"/>
        <w:tblLook w:val="04A0" w:firstRow="1" w:lastRow="0" w:firstColumn="1" w:lastColumn="0" w:noHBand="0" w:noVBand="1"/>
      </w:tblPr>
      <w:tblGrid>
        <w:gridCol w:w="3331"/>
        <w:gridCol w:w="4041"/>
        <w:gridCol w:w="2362"/>
        <w:gridCol w:w="2362"/>
        <w:gridCol w:w="1796"/>
      </w:tblGrid>
      <w:tr w:rsidR="007E7574" w:rsidRPr="004E237C" w14:paraId="09E4BA2D" w14:textId="77777777" w:rsidTr="0065018D">
        <w:tc>
          <w:tcPr>
            <w:tcW w:w="3331" w:type="dxa"/>
            <w:shd w:val="clear" w:color="auto" w:fill="D9D9D9" w:themeFill="background1" w:themeFillShade="D9"/>
          </w:tcPr>
          <w:p w14:paraId="42ED762D" w14:textId="77777777" w:rsidR="00210941" w:rsidRPr="004E237C" w:rsidRDefault="00210941" w:rsidP="0065018D">
            <w:pPr>
              <w:pStyle w:val="ListParagraph"/>
              <w:spacing w:before="120" w:after="120"/>
              <w:ind w:left="0"/>
              <w:jc w:val="center"/>
              <w:rPr>
                <w:rFonts w:cs="Calibri"/>
                <w:b/>
                <w:color w:val="000000" w:themeColor="text1"/>
              </w:rPr>
            </w:pPr>
            <w:r w:rsidRPr="004E237C">
              <w:rPr>
                <w:rFonts w:cs="Calibri"/>
                <w:b/>
                <w:color w:val="000000" w:themeColor="text1"/>
              </w:rPr>
              <w:t>National Reform</w:t>
            </w:r>
            <w:r>
              <w:rPr>
                <w:rFonts w:cs="Calibri"/>
                <w:b/>
                <w:color w:val="000000" w:themeColor="text1"/>
              </w:rPr>
              <w:t xml:space="preserve"> Directions</w:t>
            </w:r>
          </w:p>
        </w:tc>
        <w:tc>
          <w:tcPr>
            <w:tcW w:w="4041" w:type="dxa"/>
            <w:shd w:val="clear" w:color="auto" w:fill="D9D9D9" w:themeFill="background1" w:themeFillShade="D9"/>
          </w:tcPr>
          <w:p w14:paraId="2ADB7297" w14:textId="77777777" w:rsidR="00210941" w:rsidRPr="004E237C" w:rsidRDefault="00210941" w:rsidP="0065018D">
            <w:pPr>
              <w:pStyle w:val="ListParagraph"/>
              <w:spacing w:before="120" w:after="120"/>
              <w:ind w:left="0"/>
              <w:jc w:val="center"/>
              <w:rPr>
                <w:rFonts w:cs="Calibri"/>
                <w:b/>
                <w:bCs/>
                <w:color w:val="000000" w:themeColor="text1"/>
              </w:rPr>
            </w:pPr>
            <w:r>
              <w:rPr>
                <w:rFonts w:cs="Calibri"/>
                <w:b/>
                <w:bCs/>
                <w:color w:val="000000" w:themeColor="text1"/>
              </w:rPr>
              <w:t>Allocation of a</w:t>
            </w:r>
            <w:r w:rsidRPr="00390F5C">
              <w:rPr>
                <w:rFonts w:cs="Calibri"/>
                <w:b/>
                <w:bCs/>
                <w:color w:val="000000" w:themeColor="text1"/>
              </w:rPr>
              <w:t>dditional Commonwealth investment</w:t>
            </w:r>
          </w:p>
        </w:tc>
        <w:tc>
          <w:tcPr>
            <w:tcW w:w="2362" w:type="dxa"/>
            <w:shd w:val="clear" w:color="auto" w:fill="D9D9D9" w:themeFill="background1" w:themeFillShade="D9"/>
          </w:tcPr>
          <w:p w14:paraId="3FC7E751" w14:textId="77777777" w:rsidR="00210941" w:rsidRPr="004E237C" w:rsidRDefault="00210941" w:rsidP="0065018D">
            <w:pPr>
              <w:pStyle w:val="ListParagraph"/>
              <w:spacing w:before="120" w:after="120"/>
              <w:ind w:left="0"/>
              <w:jc w:val="center"/>
              <w:rPr>
                <w:rFonts w:cs="Calibri"/>
                <w:b/>
                <w:color w:val="000000" w:themeColor="text1"/>
              </w:rPr>
            </w:pPr>
            <w:r w:rsidRPr="004E237C">
              <w:rPr>
                <w:rFonts w:cs="Calibri"/>
                <w:b/>
                <w:color w:val="000000" w:themeColor="text1"/>
              </w:rPr>
              <w:t xml:space="preserve">Description of local implementation </w:t>
            </w:r>
          </w:p>
        </w:tc>
        <w:tc>
          <w:tcPr>
            <w:tcW w:w="2362" w:type="dxa"/>
            <w:shd w:val="clear" w:color="auto" w:fill="D9D9D9" w:themeFill="background1" w:themeFillShade="D9"/>
          </w:tcPr>
          <w:p w14:paraId="7301EDCF" w14:textId="77777777" w:rsidR="00210941" w:rsidRPr="004E237C" w:rsidRDefault="00210941" w:rsidP="0065018D">
            <w:pPr>
              <w:pStyle w:val="ListParagraph"/>
              <w:spacing w:before="120" w:after="120"/>
              <w:ind w:left="0"/>
              <w:jc w:val="center"/>
              <w:rPr>
                <w:rFonts w:cs="Calibri"/>
                <w:b/>
                <w:color w:val="000000" w:themeColor="text1"/>
              </w:rPr>
            </w:pPr>
            <w:r w:rsidRPr="0034590A">
              <w:rPr>
                <w:rFonts w:cs="Calibri"/>
                <w:b/>
                <w:color w:val="000000" w:themeColor="text1"/>
              </w:rPr>
              <w:t>Outline the focus on priority equity cohorts</w:t>
            </w:r>
            <w:r>
              <w:rPr>
                <w:rFonts w:cs="Calibri"/>
                <w:b/>
                <w:color w:val="000000" w:themeColor="text1"/>
              </w:rPr>
              <w:t xml:space="preserve"> and schools needing additional support (where applicable)</w:t>
            </w:r>
          </w:p>
        </w:tc>
        <w:tc>
          <w:tcPr>
            <w:tcW w:w="1796" w:type="dxa"/>
            <w:shd w:val="clear" w:color="auto" w:fill="D9D9D9" w:themeFill="background1" w:themeFillShade="D9"/>
          </w:tcPr>
          <w:p w14:paraId="2C0D00CE" w14:textId="77777777" w:rsidR="00210941" w:rsidRPr="004E237C" w:rsidRDefault="00210941" w:rsidP="0065018D">
            <w:pPr>
              <w:pStyle w:val="ListParagraph"/>
              <w:spacing w:before="120" w:after="120"/>
              <w:ind w:left="0"/>
              <w:jc w:val="center"/>
              <w:rPr>
                <w:rFonts w:cs="Calibri"/>
                <w:b/>
                <w:bCs/>
                <w:color w:val="000000" w:themeColor="text1"/>
              </w:rPr>
            </w:pPr>
            <w:r>
              <w:rPr>
                <w:rFonts w:cs="Calibri"/>
                <w:b/>
                <w:bCs/>
                <w:color w:val="000000" w:themeColor="text1"/>
              </w:rPr>
              <w:t>Details of qualitative or quantitative impact</w:t>
            </w:r>
            <w:r w:rsidRPr="004E237C">
              <w:rPr>
                <w:rFonts w:cs="Calibri"/>
                <w:b/>
                <w:bCs/>
                <w:color w:val="000000" w:themeColor="text1"/>
              </w:rPr>
              <w:t xml:space="preserve"> </w:t>
            </w:r>
          </w:p>
        </w:tc>
      </w:tr>
      <w:tr w:rsidR="00210941" w:rsidRPr="004E237C" w14:paraId="276A3910" w14:textId="77777777" w:rsidTr="0065018D">
        <w:tc>
          <w:tcPr>
            <w:tcW w:w="3331" w:type="dxa"/>
          </w:tcPr>
          <w:p w14:paraId="26C713EF" w14:textId="77777777" w:rsidR="00210941" w:rsidRPr="00181C52" w:rsidRDefault="00210941" w:rsidP="0065018D">
            <w:pPr>
              <w:pStyle w:val="ListParagraph"/>
              <w:ind w:left="0"/>
              <w:rPr>
                <w:sz w:val="23"/>
                <w:szCs w:val="23"/>
              </w:rPr>
            </w:pPr>
            <w:r w:rsidRPr="00181C52">
              <w:rPr>
                <w:sz w:val="23"/>
                <w:szCs w:val="23"/>
              </w:rPr>
              <w:t xml:space="preserve">[For example] </w:t>
            </w:r>
          </w:p>
          <w:p w14:paraId="3E548B85" w14:textId="77777777" w:rsidR="00210941" w:rsidRPr="00181C52" w:rsidRDefault="00210941" w:rsidP="0065018D">
            <w:pPr>
              <w:pStyle w:val="ListParagraph"/>
              <w:ind w:left="0"/>
              <w:rPr>
                <w:rFonts w:cs="Calibri"/>
                <w:color w:val="000000" w:themeColor="text1"/>
                <w:sz w:val="23"/>
                <w:szCs w:val="23"/>
              </w:rPr>
            </w:pPr>
            <w:r w:rsidRPr="00181C52">
              <w:rPr>
                <w:sz w:val="23"/>
                <w:szCs w:val="23"/>
              </w:rPr>
              <w:t>Structured initiatives that support wellbeing for learning and engagement, for example in-school wellbeing coordinators or access to School Counsellors, psychologists, mental health workers and</w:t>
            </w:r>
            <w:r>
              <w:rPr>
                <w:sz w:val="23"/>
                <w:szCs w:val="23"/>
              </w:rPr>
              <w:t>/or</w:t>
            </w:r>
            <w:r w:rsidRPr="00181C52">
              <w:rPr>
                <w:sz w:val="23"/>
                <w:szCs w:val="23"/>
              </w:rPr>
              <w:t xml:space="preserve"> youth health nurses.</w:t>
            </w:r>
          </w:p>
        </w:tc>
        <w:tc>
          <w:tcPr>
            <w:tcW w:w="4041" w:type="dxa"/>
          </w:tcPr>
          <w:p w14:paraId="4C794309" w14:textId="77777777" w:rsidR="00210941" w:rsidRPr="00181C52" w:rsidRDefault="00210941" w:rsidP="0065018D">
            <w:pPr>
              <w:rPr>
                <w:lang w:val="en-US"/>
              </w:rPr>
            </w:pPr>
            <w:r w:rsidRPr="2B40E6BD">
              <w:rPr>
                <w:rFonts w:cs="Calibri"/>
                <w:color w:val="000000" w:themeColor="text1"/>
                <w:lang w:val="en-US"/>
              </w:rPr>
              <w:t xml:space="preserve">How much of the Commonwealth additional investment is being targeted to this work. </w:t>
            </w:r>
          </w:p>
        </w:tc>
        <w:tc>
          <w:tcPr>
            <w:tcW w:w="2362" w:type="dxa"/>
          </w:tcPr>
          <w:p w14:paraId="630D8250" w14:textId="77777777" w:rsidR="00210941" w:rsidRPr="00181C52" w:rsidRDefault="00210941" w:rsidP="0065018D">
            <w:pPr>
              <w:pStyle w:val="ListParagraph"/>
              <w:ind w:left="0"/>
              <w:rPr>
                <w:rFonts w:cs="Calibri"/>
                <w:color w:val="000000" w:themeColor="text1"/>
                <w:sz w:val="23"/>
                <w:szCs w:val="23"/>
              </w:rPr>
            </w:pPr>
          </w:p>
        </w:tc>
        <w:tc>
          <w:tcPr>
            <w:tcW w:w="2362" w:type="dxa"/>
          </w:tcPr>
          <w:p w14:paraId="184D334C" w14:textId="77777777" w:rsidR="00210941" w:rsidRPr="00181C52" w:rsidRDefault="00210941" w:rsidP="0065018D">
            <w:pPr>
              <w:pStyle w:val="ListParagraph"/>
              <w:ind w:left="0"/>
              <w:rPr>
                <w:rFonts w:cs="Calibri"/>
                <w:color w:val="000000" w:themeColor="text1"/>
                <w:sz w:val="23"/>
                <w:szCs w:val="23"/>
              </w:rPr>
            </w:pPr>
          </w:p>
        </w:tc>
        <w:tc>
          <w:tcPr>
            <w:tcW w:w="1796" w:type="dxa"/>
          </w:tcPr>
          <w:p w14:paraId="64B5A43A" w14:textId="77777777" w:rsidR="00210941" w:rsidRPr="00181C52" w:rsidRDefault="00210941" w:rsidP="0065018D">
            <w:pPr>
              <w:pStyle w:val="ListParagraph"/>
              <w:ind w:left="0"/>
              <w:rPr>
                <w:rFonts w:cs="Calibri"/>
                <w:color w:val="000000" w:themeColor="text1"/>
                <w:sz w:val="23"/>
                <w:szCs w:val="23"/>
              </w:rPr>
            </w:pPr>
            <w:r w:rsidRPr="00181C52">
              <w:rPr>
                <w:rFonts w:cs="Calibri"/>
                <w:color w:val="000000" w:themeColor="text1"/>
                <w:sz w:val="23"/>
                <w:szCs w:val="23"/>
              </w:rPr>
              <w:t xml:space="preserve">For example, </w:t>
            </w:r>
            <w:r>
              <w:rPr>
                <w:rFonts w:cs="Calibri"/>
                <w:color w:val="000000" w:themeColor="text1"/>
                <w:sz w:val="23"/>
                <w:szCs w:val="23"/>
              </w:rPr>
              <w:t>r</w:t>
            </w:r>
            <w:r w:rsidRPr="00181C52">
              <w:rPr>
                <w:rFonts w:cs="Calibri"/>
                <w:color w:val="000000" w:themeColor="text1"/>
                <w:sz w:val="23"/>
                <w:szCs w:val="23"/>
              </w:rPr>
              <w:t>atio of wellbeing functions to students, where applicable.</w:t>
            </w:r>
          </w:p>
        </w:tc>
      </w:tr>
      <w:tr w:rsidR="00210941" w:rsidRPr="004E237C" w14:paraId="44A452E8" w14:textId="77777777" w:rsidTr="0065018D">
        <w:tc>
          <w:tcPr>
            <w:tcW w:w="3331" w:type="dxa"/>
          </w:tcPr>
          <w:p w14:paraId="311BD52F" w14:textId="77777777" w:rsidR="00210941" w:rsidRPr="004E237C" w:rsidRDefault="00210941" w:rsidP="0065018D">
            <w:r w:rsidRPr="005C6076">
              <w:rPr>
                <w:rFonts w:cs="Calibri"/>
                <w:color w:val="000000" w:themeColor="text1"/>
              </w:rPr>
              <w:lastRenderedPageBreak/>
              <w:t>[National Reform Direction]</w:t>
            </w:r>
          </w:p>
        </w:tc>
        <w:tc>
          <w:tcPr>
            <w:tcW w:w="4041" w:type="dxa"/>
          </w:tcPr>
          <w:p w14:paraId="13CE32A9" w14:textId="77777777" w:rsidR="00210941" w:rsidRPr="005C6076" w:rsidRDefault="00210941" w:rsidP="0065018D">
            <w:pPr>
              <w:pStyle w:val="ListParagraph"/>
              <w:ind w:left="0"/>
              <w:rPr>
                <w:rFonts w:cs="Calibri"/>
                <w:color w:val="000000" w:themeColor="text1"/>
                <w:sz w:val="23"/>
                <w:szCs w:val="23"/>
              </w:rPr>
            </w:pPr>
          </w:p>
        </w:tc>
        <w:tc>
          <w:tcPr>
            <w:tcW w:w="2362" w:type="dxa"/>
          </w:tcPr>
          <w:p w14:paraId="687A34EA" w14:textId="77777777" w:rsidR="00210941" w:rsidRPr="005C6076" w:rsidRDefault="00210941" w:rsidP="0065018D">
            <w:pPr>
              <w:pStyle w:val="ListParagraph"/>
              <w:ind w:left="0"/>
              <w:rPr>
                <w:rFonts w:cs="Calibri"/>
                <w:color w:val="000000" w:themeColor="text1"/>
                <w:sz w:val="23"/>
                <w:szCs w:val="23"/>
              </w:rPr>
            </w:pPr>
          </w:p>
        </w:tc>
        <w:tc>
          <w:tcPr>
            <w:tcW w:w="2362" w:type="dxa"/>
          </w:tcPr>
          <w:p w14:paraId="334CE5B3" w14:textId="77777777" w:rsidR="00210941" w:rsidRPr="005C6076" w:rsidRDefault="00210941" w:rsidP="0065018D">
            <w:pPr>
              <w:pStyle w:val="ListParagraph"/>
              <w:ind w:left="0"/>
              <w:rPr>
                <w:rFonts w:cs="Calibri"/>
                <w:color w:val="000000" w:themeColor="text1"/>
                <w:sz w:val="23"/>
                <w:szCs w:val="23"/>
              </w:rPr>
            </w:pPr>
          </w:p>
        </w:tc>
        <w:tc>
          <w:tcPr>
            <w:tcW w:w="1796" w:type="dxa"/>
          </w:tcPr>
          <w:p w14:paraId="2814E510" w14:textId="77777777" w:rsidR="00210941" w:rsidRPr="005C6076" w:rsidRDefault="00210941" w:rsidP="0065018D">
            <w:pPr>
              <w:pStyle w:val="ListParagraph"/>
              <w:ind w:left="0"/>
              <w:rPr>
                <w:rFonts w:cs="Calibri"/>
                <w:color w:val="000000" w:themeColor="text1"/>
                <w:sz w:val="23"/>
                <w:szCs w:val="23"/>
              </w:rPr>
            </w:pPr>
          </w:p>
        </w:tc>
      </w:tr>
    </w:tbl>
    <w:p w14:paraId="6F0D5BAE" w14:textId="77777777" w:rsidR="00210941" w:rsidRDefault="00210941" w:rsidP="00210941">
      <w:pPr>
        <w:keepNext/>
        <w:keepLines/>
        <w:spacing w:after="240" w:line="260" w:lineRule="exact"/>
        <w:jc w:val="both"/>
        <w:rPr>
          <w:rFonts w:ascii="Corbel" w:eastAsia="Times New Roman" w:hAnsi="Corbel" w:cs="Corbel"/>
          <w:b/>
          <w:bCs/>
          <w:color w:val="316F72"/>
          <w:sz w:val="28"/>
          <w:szCs w:val="28"/>
          <w:lang w:eastAsia="en-AU"/>
        </w:rPr>
      </w:pPr>
    </w:p>
    <w:p w14:paraId="6E831466" w14:textId="77777777" w:rsidR="00210941" w:rsidRPr="005C3680" w:rsidRDefault="00210941" w:rsidP="00210941">
      <w:pPr>
        <w:keepNext/>
        <w:keepLines/>
        <w:spacing w:after="240" w:line="260" w:lineRule="exact"/>
        <w:jc w:val="both"/>
        <w:rPr>
          <w:rFonts w:ascii="Corbel" w:eastAsia="Times New Roman" w:hAnsi="Corbel" w:cs="Corbel"/>
          <w:b/>
          <w:bCs/>
          <w:color w:val="316F72"/>
          <w:sz w:val="28"/>
          <w:szCs w:val="28"/>
          <w:lang w:eastAsia="en-AU"/>
        </w:rPr>
      </w:pPr>
      <w:r w:rsidRPr="005C3680">
        <w:rPr>
          <w:rFonts w:ascii="Corbel" w:eastAsia="Times New Roman" w:hAnsi="Corbel" w:cs="Corbel"/>
          <w:b/>
          <w:bCs/>
          <w:color w:val="316F72"/>
          <w:sz w:val="28"/>
          <w:szCs w:val="28"/>
          <w:lang w:eastAsia="en-AU"/>
        </w:rPr>
        <w:t>Specific National Reform Direction Implementation</w:t>
      </w:r>
    </w:p>
    <w:tbl>
      <w:tblPr>
        <w:tblStyle w:val="TableGrid"/>
        <w:tblW w:w="4980" w:type="pct"/>
        <w:tblInd w:w="-5" w:type="dxa"/>
        <w:tblLook w:val="04A0" w:firstRow="1" w:lastRow="0" w:firstColumn="1" w:lastColumn="0" w:noHBand="0" w:noVBand="1"/>
      </w:tblPr>
      <w:tblGrid>
        <w:gridCol w:w="4572"/>
        <w:gridCol w:w="4564"/>
        <w:gridCol w:w="4496"/>
      </w:tblGrid>
      <w:tr w:rsidR="008C0993" w:rsidRPr="004E237C" w14:paraId="25452521" w14:textId="77777777" w:rsidTr="0065018D">
        <w:trPr>
          <w:trHeight w:val="300"/>
        </w:trPr>
        <w:tc>
          <w:tcPr>
            <w:tcW w:w="1677" w:type="pct"/>
            <w:shd w:val="clear" w:color="auto" w:fill="D9D9D9" w:themeFill="background1" w:themeFillShade="D9"/>
          </w:tcPr>
          <w:p w14:paraId="35B2865D" w14:textId="77777777" w:rsidR="00210941" w:rsidRPr="004E237C" w:rsidRDefault="00210941" w:rsidP="0065018D">
            <w:pPr>
              <w:spacing w:before="120" w:after="120"/>
              <w:jc w:val="center"/>
              <w:rPr>
                <w:rFonts w:cs="Calibri"/>
                <w:b/>
                <w:sz w:val="24"/>
                <w:szCs w:val="24"/>
              </w:rPr>
            </w:pPr>
            <w:r>
              <w:rPr>
                <w:rFonts w:cs="Calibri"/>
                <w:b/>
                <w:sz w:val="24"/>
                <w:szCs w:val="24"/>
              </w:rPr>
              <w:t xml:space="preserve">National Reform Direction </w:t>
            </w:r>
          </w:p>
        </w:tc>
        <w:tc>
          <w:tcPr>
            <w:tcW w:w="1674" w:type="pct"/>
            <w:shd w:val="clear" w:color="auto" w:fill="D9D9D9" w:themeFill="background1" w:themeFillShade="D9"/>
          </w:tcPr>
          <w:p w14:paraId="1CD97AA0" w14:textId="77777777" w:rsidR="00210941" w:rsidRPr="008F53C8" w:rsidRDefault="00210941" w:rsidP="0065018D">
            <w:pPr>
              <w:spacing w:before="120" w:after="120"/>
              <w:jc w:val="center"/>
              <w:rPr>
                <w:rFonts w:cs="Calibri"/>
                <w:b/>
                <w:sz w:val="24"/>
                <w:szCs w:val="24"/>
              </w:rPr>
            </w:pPr>
            <w:r w:rsidRPr="008F53C8">
              <w:rPr>
                <w:rFonts w:cs="Calibri"/>
                <w:b/>
                <w:sz w:val="24"/>
                <w:szCs w:val="24"/>
              </w:rPr>
              <w:t>20x</w:t>
            </w:r>
            <w:r w:rsidRPr="008F53C8">
              <w:rPr>
                <w:rFonts w:cs="Calibri"/>
                <w:b/>
                <w:bCs/>
                <w:sz w:val="24"/>
                <w:szCs w:val="24"/>
              </w:rPr>
              <w:t>x</w:t>
            </w:r>
            <w:r w:rsidRPr="008F53C8">
              <w:rPr>
                <w:rFonts w:cs="Calibri"/>
                <w:b/>
                <w:sz w:val="24"/>
                <w:szCs w:val="24"/>
              </w:rPr>
              <w:t xml:space="preserve"> Update</w:t>
            </w:r>
          </w:p>
        </w:tc>
        <w:tc>
          <w:tcPr>
            <w:tcW w:w="1649" w:type="pct"/>
            <w:shd w:val="clear" w:color="auto" w:fill="D9D9D9" w:themeFill="background1" w:themeFillShade="D9"/>
          </w:tcPr>
          <w:p w14:paraId="5E42019F" w14:textId="77777777" w:rsidR="00210941" w:rsidRPr="008F53C8" w:rsidRDefault="00210941" w:rsidP="0065018D">
            <w:pPr>
              <w:spacing w:before="120" w:after="120"/>
              <w:jc w:val="center"/>
              <w:rPr>
                <w:rFonts w:cs="Calibri"/>
                <w:b/>
                <w:sz w:val="24"/>
                <w:szCs w:val="24"/>
              </w:rPr>
            </w:pPr>
            <w:r w:rsidRPr="008F53C8">
              <w:rPr>
                <w:rFonts w:cs="Calibri"/>
                <w:b/>
                <w:sz w:val="24"/>
                <w:szCs w:val="24"/>
              </w:rPr>
              <w:t>Evidence/Caveats/Background Information</w:t>
            </w:r>
          </w:p>
        </w:tc>
      </w:tr>
      <w:tr w:rsidR="00210941" w:rsidRPr="004E237C" w14:paraId="0F9FBD34" w14:textId="77777777" w:rsidTr="0065018D">
        <w:trPr>
          <w:trHeight w:val="300"/>
        </w:trPr>
        <w:tc>
          <w:tcPr>
            <w:tcW w:w="1677" w:type="pct"/>
          </w:tcPr>
          <w:p w14:paraId="68AE19D5" w14:textId="77777777" w:rsidR="00210941" w:rsidRPr="004E237C" w:rsidRDefault="00210941" w:rsidP="0065018D">
            <w:pPr>
              <w:rPr>
                <w:rFonts w:cs="Calibri"/>
              </w:rPr>
            </w:pPr>
            <w:r w:rsidRPr="1D916E64">
              <w:rPr>
                <w:rFonts w:cs="Calibri"/>
                <w:color w:val="000000" w:themeColor="text1"/>
              </w:rPr>
              <w:t xml:space="preserve">Phonics and early years numeracy </w:t>
            </w:r>
            <w:r>
              <w:rPr>
                <w:rFonts w:cs="Calibri"/>
                <w:color w:val="000000" w:themeColor="text1"/>
              </w:rPr>
              <w:t>c</w:t>
            </w:r>
            <w:r w:rsidRPr="1D916E64">
              <w:rPr>
                <w:rFonts w:cs="Calibri"/>
                <w:color w:val="000000" w:themeColor="text1"/>
              </w:rPr>
              <w:t>heck participation rate</w:t>
            </w:r>
            <w:r>
              <w:rPr>
                <w:rFonts w:cs="Calibri"/>
                <w:color w:val="000000" w:themeColor="text1"/>
              </w:rPr>
              <w:t>s</w:t>
            </w:r>
            <w:r w:rsidRPr="1D916E64">
              <w:rPr>
                <w:rFonts w:cs="Calibri"/>
                <w:color w:val="000000" w:themeColor="text1"/>
              </w:rPr>
              <w:t xml:space="preserve">, including for priority equity </w:t>
            </w:r>
            <w:r w:rsidRPr="00E4703C">
              <w:rPr>
                <w:rFonts w:cs="Calibri"/>
                <w:color w:val="000000" w:themeColor="text1"/>
              </w:rPr>
              <w:t xml:space="preserve">cohorts </w:t>
            </w:r>
            <w:r w:rsidRPr="00364C43">
              <w:t>(where data is available)</w:t>
            </w:r>
          </w:p>
        </w:tc>
        <w:tc>
          <w:tcPr>
            <w:tcW w:w="1674" w:type="pct"/>
          </w:tcPr>
          <w:p w14:paraId="7A21FF14" w14:textId="77777777" w:rsidR="00210941" w:rsidRPr="004E237C" w:rsidRDefault="00210941" w:rsidP="0065018D">
            <w:pPr>
              <w:rPr>
                <w:rFonts w:cs="Calibri"/>
              </w:rPr>
            </w:pPr>
          </w:p>
        </w:tc>
        <w:tc>
          <w:tcPr>
            <w:tcW w:w="1649" w:type="pct"/>
          </w:tcPr>
          <w:p w14:paraId="0543A864" w14:textId="77777777" w:rsidR="00210941" w:rsidRPr="004E237C" w:rsidRDefault="00210941" w:rsidP="0065018D">
            <w:pPr>
              <w:rPr>
                <w:rFonts w:cs="Calibri"/>
              </w:rPr>
            </w:pPr>
          </w:p>
        </w:tc>
      </w:tr>
      <w:tr w:rsidR="00210941" w:rsidRPr="004E237C" w14:paraId="32ACB251" w14:textId="77777777" w:rsidTr="0065018D">
        <w:trPr>
          <w:trHeight w:val="300"/>
        </w:trPr>
        <w:tc>
          <w:tcPr>
            <w:tcW w:w="1677" w:type="pct"/>
          </w:tcPr>
          <w:p w14:paraId="7E2A2231" w14:textId="77777777" w:rsidR="00210941" w:rsidRPr="1D916E64" w:rsidRDefault="00210941" w:rsidP="0065018D">
            <w:pPr>
              <w:rPr>
                <w:rFonts w:cs="Calibri"/>
                <w:color w:val="000000" w:themeColor="text1"/>
              </w:rPr>
            </w:pPr>
            <w:r w:rsidRPr="2F35F003">
              <w:rPr>
                <w:rFonts w:cs="Calibri"/>
                <w:color w:val="000000" w:themeColor="text1"/>
              </w:rPr>
              <w:t>Number of Highly Accomplished and Lead Teachers</w:t>
            </w:r>
            <w:r>
              <w:rPr>
                <w:rFonts w:cs="Calibri"/>
                <w:color w:val="000000" w:themeColor="text1"/>
              </w:rPr>
              <w:t xml:space="preserve"> or equivalent </w:t>
            </w:r>
          </w:p>
        </w:tc>
        <w:tc>
          <w:tcPr>
            <w:tcW w:w="1674" w:type="pct"/>
          </w:tcPr>
          <w:p w14:paraId="316EBBBF" w14:textId="77777777" w:rsidR="00210941" w:rsidRPr="004E237C" w:rsidRDefault="00210941" w:rsidP="0065018D">
            <w:pPr>
              <w:rPr>
                <w:rFonts w:cs="Calibri"/>
              </w:rPr>
            </w:pPr>
          </w:p>
        </w:tc>
        <w:tc>
          <w:tcPr>
            <w:tcW w:w="1649" w:type="pct"/>
          </w:tcPr>
          <w:p w14:paraId="0025514D" w14:textId="77777777" w:rsidR="00210941" w:rsidRPr="004E237C" w:rsidRDefault="00210941" w:rsidP="0065018D">
            <w:pPr>
              <w:rPr>
                <w:rFonts w:cs="Calibri"/>
              </w:rPr>
            </w:pPr>
            <w:r>
              <w:rPr>
                <w:rFonts w:cs="Calibri"/>
              </w:rPr>
              <w:t xml:space="preserve">For e.g. </w:t>
            </w:r>
            <w:r w:rsidRPr="2F35F003">
              <w:rPr>
                <w:rFonts w:cs="Calibri"/>
                <w:color w:val="000000" w:themeColor="text1"/>
              </w:rPr>
              <w:t>certain percentage being deployed in schools</w:t>
            </w:r>
            <w:r>
              <w:rPr>
                <w:rFonts w:cs="Calibri"/>
                <w:color w:val="000000" w:themeColor="text1"/>
              </w:rPr>
              <w:t xml:space="preserve"> which need additional support. </w:t>
            </w:r>
          </w:p>
        </w:tc>
      </w:tr>
    </w:tbl>
    <w:p w14:paraId="2641A1E0" w14:textId="77777777" w:rsidR="00210941" w:rsidRDefault="00210941" w:rsidP="00210941">
      <w:pPr>
        <w:spacing w:after="160" w:line="259" w:lineRule="auto"/>
        <w:rPr>
          <w:rFonts w:asciiTheme="majorHAnsi" w:eastAsiaTheme="majorEastAsia" w:hAnsiTheme="majorHAnsi" w:cstheme="majorBidi"/>
          <w:b/>
          <w:color w:val="1F4D78" w:themeColor="accent1" w:themeShade="7F"/>
          <w:sz w:val="24"/>
          <w:szCs w:val="24"/>
        </w:rPr>
      </w:pPr>
    </w:p>
    <w:p w14:paraId="3EEBC513" w14:textId="77777777" w:rsidR="00210941" w:rsidRPr="005C3680" w:rsidRDefault="00210941" w:rsidP="00210941">
      <w:pPr>
        <w:keepNext/>
        <w:keepLines/>
        <w:spacing w:after="240" w:line="260" w:lineRule="exact"/>
        <w:jc w:val="both"/>
        <w:rPr>
          <w:rFonts w:ascii="Corbel" w:eastAsia="Times New Roman" w:hAnsi="Corbel" w:cs="Corbel"/>
          <w:b/>
          <w:bCs/>
          <w:color w:val="316F72"/>
          <w:sz w:val="28"/>
          <w:szCs w:val="28"/>
          <w:lang w:eastAsia="en-AU"/>
        </w:rPr>
      </w:pPr>
      <w:r w:rsidRPr="005C3680">
        <w:rPr>
          <w:rFonts w:ascii="Corbel" w:eastAsia="Times New Roman" w:hAnsi="Corbel" w:cs="Corbel"/>
          <w:b/>
          <w:bCs/>
          <w:color w:val="316F72"/>
          <w:sz w:val="28"/>
          <w:szCs w:val="28"/>
          <w:lang w:eastAsia="en-AU"/>
        </w:rPr>
        <w:t>Improvement Measures</w:t>
      </w:r>
    </w:p>
    <w:p w14:paraId="75F4344E" w14:textId="77777777" w:rsidR="00210941" w:rsidRPr="004E237C" w:rsidRDefault="00210941" w:rsidP="00210941">
      <w:pPr>
        <w:keepNext/>
        <w:rPr>
          <w:rFonts w:eastAsiaTheme="minorEastAsia" w:cs="Calibri"/>
        </w:rPr>
      </w:pPr>
      <w:r>
        <w:rPr>
          <w:rFonts w:cs="Arial"/>
        </w:rPr>
        <w:t>Tasmania is</w:t>
      </w:r>
      <w:r w:rsidRPr="004E237C">
        <w:rPr>
          <w:rFonts w:eastAsiaTheme="minorEastAsia" w:cs="Calibri"/>
        </w:rPr>
        <w:t xml:space="preserve"> required to fill in the following table outlining their progress against </w:t>
      </w:r>
      <w:r>
        <w:rPr>
          <w:rFonts w:eastAsiaTheme="minorEastAsia" w:cs="Calibri"/>
        </w:rPr>
        <w:t>identified</w:t>
      </w:r>
      <w:r w:rsidRPr="004E237C">
        <w:rPr>
          <w:rFonts w:eastAsiaTheme="minorEastAsia" w:cs="Calibri"/>
        </w:rPr>
        <w:t xml:space="preserve"> agreed </w:t>
      </w:r>
      <w:r>
        <w:rPr>
          <w:rFonts w:eastAsiaTheme="minorEastAsia" w:cs="Calibri"/>
        </w:rPr>
        <w:t>I</w:t>
      </w:r>
      <w:r w:rsidRPr="004E237C">
        <w:rPr>
          <w:rFonts w:eastAsiaTheme="minorEastAsia" w:cs="Calibri"/>
        </w:rPr>
        <w:t xml:space="preserve">mprovement </w:t>
      </w:r>
      <w:r>
        <w:rPr>
          <w:rFonts w:eastAsiaTheme="minorEastAsia" w:cs="Calibri"/>
        </w:rPr>
        <w:t>M</w:t>
      </w:r>
      <w:r w:rsidRPr="004E237C">
        <w:rPr>
          <w:rFonts w:eastAsiaTheme="minorEastAsia" w:cs="Calibri"/>
        </w:rPr>
        <w:t>easures</w:t>
      </w:r>
      <w:r>
        <w:rPr>
          <w:rFonts w:eastAsiaTheme="minorEastAsia" w:cs="Calibri"/>
        </w:rPr>
        <w:t>, only where data is not available at the Commonwealth level</w:t>
      </w:r>
      <w:r w:rsidRPr="004E237C">
        <w:rPr>
          <w:rFonts w:eastAsiaTheme="minorEastAsia" w:cs="Calibri"/>
        </w:rPr>
        <w:t xml:space="preserve">: </w:t>
      </w:r>
    </w:p>
    <w:tbl>
      <w:tblPr>
        <w:tblStyle w:val="TableGrid"/>
        <w:tblW w:w="5031" w:type="pct"/>
        <w:tblInd w:w="-5" w:type="dxa"/>
        <w:tblLook w:val="04A0" w:firstRow="1" w:lastRow="0" w:firstColumn="1" w:lastColumn="0" w:noHBand="0" w:noVBand="1"/>
      </w:tblPr>
      <w:tblGrid>
        <w:gridCol w:w="4572"/>
        <w:gridCol w:w="4564"/>
        <w:gridCol w:w="4636"/>
      </w:tblGrid>
      <w:tr w:rsidR="008C0993" w:rsidRPr="004E237C" w14:paraId="0553C0CE" w14:textId="77777777" w:rsidTr="0065018D">
        <w:trPr>
          <w:trHeight w:val="300"/>
        </w:trPr>
        <w:tc>
          <w:tcPr>
            <w:tcW w:w="1660" w:type="pct"/>
            <w:shd w:val="clear" w:color="auto" w:fill="D9D9D9" w:themeFill="background1" w:themeFillShade="D9"/>
          </w:tcPr>
          <w:p w14:paraId="34877C56" w14:textId="77777777" w:rsidR="00210941" w:rsidRPr="004E237C" w:rsidRDefault="00210941" w:rsidP="0065018D">
            <w:pPr>
              <w:spacing w:before="120" w:after="120"/>
              <w:jc w:val="center"/>
              <w:rPr>
                <w:rFonts w:cs="Calibri"/>
                <w:b/>
                <w:sz w:val="24"/>
                <w:szCs w:val="24"/>
              </w:rPr>
            </w:pPr>
            <w:r w:rsidRPr="004E237C">
              <w:rPr>
                <w:rFonts w:cs="Calibri"/>
                <w:b/>
                <w:sz w:val="24"/>
                <w:szCs w:val="24"/>
              </w:rPr>
              <w:t>Improvement Measure</w:t>
            </w:r>
          </w:p>
        </w:tc>
        <w:tc>
          <w:tcPr>
            <w:tcW w:w="1657" w:type="pct"/>
            <w:shd w:val="clear" w:color="auto" w:fill="D9D9D9" w:themeFill="background1" w:themeFillShade="D9"/>
          </w:tcPr>
          <w:p w14:paraId="4CB9CD94" w14:textId="77777777" w:rsidR="00210941" w:rsidRPr="004E237C" w:rsidRDefault="00210941" w:rsidP="0065018D">
            <w:pPr>
              <w:spacing w:before="120" w:after="120"/>
              <w:jc w:val="center"/>
              <w:rPr>
                <w:rFonts w:cs="Calibri"/>
                <w:b/>
                <w:sz w:val="24"/>
                <w:szCs w:val="24"/>
              </w:rPr>
            </w:pPr>
            <w:r w:rsidRPr="004E237C">
              <w:rPr>
                <w:rFonts w:cs="Calibri"/>
                <w:b/>
                <w:sz w:val="24"/>
                <w:szCs w:val="24"/>
              </w:rPr>
              <w:t>20</w:t>
            </w:r>
            <w:r>
              <w:rPr>
                <w:rFonts w:cs="Calibri"/>
                <w:b/>
                <w:sz w:val="24"/>
                <w:szCs w:val="24"/>
              </w:rPr>
              <w:t>x</w:t>
            </w:r>
            <w:r w:rsidRPr="004E237C">
              <w:rPr>
                <w:rFonts w:cs="Calibri"/>
                <w:b/>
                <w:bCs/>
                <w:sz w:val="24"/>
                <w:szCs w:val="24"/>
              </w:rPr>
              <w:t>x</w:t>
            </w:r>
            <w:r w:rsidRPr="004E237C">
              <w:rPr>
                <w:rFonts w:cs="Calibri"/>
                <w:b/>
                <w:sz w:val="24"/>
                <w:szCs w:val="24"/>
              </w:rPr>
              <w:t xml:space="preserve"> Update</w:t>
            </w:r>
          </w:p>
        </w:tc>
        <w:tc>
          <w:tcPr>
            <w:tcW w:w="1684" w:type="pct"/>
            <w:shd w:val="clear" w:color="auto" w:fill="D9D9D9" w:themeFill="background1" w:themeFillShade="D9"/>
          </w:tcPr>
          <w:p w14:paraId="0F10748B" w14:textId="77777777" w:rsidR="00210941" w:rsidRPr="004E237C" w:rsidRDefault="00210941" w:rsidP="0065018D">
            <w:pPr>
              <w:spacing w:before="120" w:after="120"/>
              <w:jc w:val="center"/>
              <w:rPr>
                <w:rFonts w:cs="Calibri"/>
                <w:b/>
                <w:sz w:val="24"/>
                <w:szCs w:val="24"/>
              </w:rPr>
            </w:pPr>
            <w:r w:rsidRPr="004E237C">
              <w:rPr>
                <w:rFonts w:cs="Calibri"/>
                <w:b/>
                <w:sz w:val="24"/>
                <w:szCs w:val="24"/>
              </w:rPr>
              <w:t>Evidence/Caveats/Background Information</w:t>
            </w:r>
          </w:p>
        </w:tc>
      </w:tr>
      <w:tr w:rsidR="00210941" w:rsidRPr="004E237C" w14:paraId="2A21A470" w14:textId="77777777" w:rsidTr="0065018D">
        <w:trPr>
          <w:trHeight w:val="300"/>
        </w:trPr>
        <w:tc>
          <w:tcPr>
            <w:tcW w:w="1660" w:type="pct"/>
          </w:tcPr>
          <w:p w14:paraId="79185D2C" w14:textId="77777777" w:rsidR="00210941" w:rsidRPr="004E237C" w:rsidRDefault="00210941" w:rsidP="0065018D">
            <w:pPr>
              <w:rPr>
                <w:rFonts w:cs="Calibri"/>
              </w:rPr>
            </w:pPr>
            <w:r w:rsidRPr="004E237C">
              <w:rPr>
                <w:rFonts w:cs="Calibri"/>
              </w:rPr>
              <w:t>[Jurisdiction-level</w:t>
            </w:r>
            <w:r>
              <w:rPr>
                <w:rFonts w:cs="Calibri"/>
              </w:rPr>
              <w:t xml:space="preserve"> I</w:t>
            </w:r>
            <w:r w:rsidRPr="004E237C">
              <w:rPr>
                <w:rFonts w:cs="Calibri"/>
              </w:rPr>
              <w:t xml:space="preserve">mprovement </w:t>
            </w:r>
            <w:r>
              <w:rPr>
                <w:rFonts w:cs="Calibri"/>
              </w:rPr>
              <w:t>M</w:t>
            </w:r>
            <w:r w:rsidRPr="004E237C">
              <w:rPr>
                <w:rFonts w:cs="Calibri"/>
              </w:rPr>
              <w:t>easure]</w:t>
            </w:r>
          </w:p>
        </w:tc>
        <w:tc>
          <w:tcPr>
            <w:tcW w:w="1657" w:type="pct"/>
          </w:tcPr>
          <w:p w14:paraId="36BB65FC" w14:textId="77777777" w:rsidR="00210941" w:rsidRPr="004E237C" w:rsidRDefault="00210941" w:rsidP="0065018D">
            <w:pPr>
              <w:rPr>
                <w:rFonts w:cs="Calibri"/>
              </w:rPr>
            </w:pPr>
          </w:p>
        </w:tc>
        <w:tc>
          <w:tcPr>
            <w:tcW w:w="1684" w:type="pct"/>
          </w:tcPr>
          <w:p w14:paraId="4E4437E8" w14:textId="77777777" w:rsidR="00210941" w:rsidRPr="004E237C" w:rsidRDefault="00210941" w:rsidP="0065018D">
            <w:pPr>
              <w:rPr>
                <w:rFonts w:cs="Calibri"/>
              </w:rPr>
            </w:pPr>
          </w:p>
        </w:tc>
      </w:tr>
      <w:tr w:rsidR="00210941" w:rsidRPr="004E237C" w14:paraId="0E9CD2BA" w14:textId="77777777" w:rsidTr="0065018D">
        <w:trPr>
          <w:trHeight w:val="300"/>
        </w:trPr>
        <w:tc>
          <w:tcPr>
            <w:tcW w:w="1660" w:type="pct"/>
          </w:tcPr>
          <w:p w14:paraId="67AE1867" w14:textId="77777777" w:rsidR="00210941" w:rsidRPr="004E237C" w:rsidRDefault="00210941" w:rsidP="0065018D">
            <w:pPr>
              <w:rPr>
                <w:rFonts w:cs="Calibri"/>
              </w:rPr>
            </w:pPr>
            <w:r>
              <w:rPr>
                <w:rFonts w:cs="Calibri"/>
              </w:rPr>
              <w:t>[Identified jurisdictional target, where target already exists (if applicable)]</w:t>
            </w:r>
          </w:p>
        </w:tc>
        <w:tc>
          <w:tcPr>
            <w:tcW w:w="1657" w:type="pct"/>
          </w:tcPr>
          <w:p w14:paraId="1CEB1EB5" w14:textId="77777777" w:rsidR="00210941" w:rsidRPr="004E237C" w:rsidRDefault="00210941" w:rsidP="0065018D">
            <w:pPr>
              <w:rPr>
                <w:rFonts w:cs="Calibri"/>
              </w:rPr>
            </w:pPr>
          </w:p>
        </w:tc>
        <w:tc>
          <w:tcPr>
            <w:tcW w:w="1684" w:type="pct"/>
          </w:tcPr>
          <w:p w14:paraId="0305BFD4" w14:textId="77777777" w:rsidR="00210941" w:rsidRPr="004E237C" w:rsidRDefault="00210941" w:rsidP="0065018D">
            <w:pPr>
              <w:rPr>
                <w:rFonts w:cs="Calibri"/>
              </w:rPr>
            </w:pPr>
          </w:p>
        </w:tc>
      </w:tr>
    </w:tbl>
    <w:p w14:paraId="330E46AB" w14:textId="381CBABE" w:rsidR="006C362E" w:rsidRPr="006C362E" w:rsidRDefault="006C362E" w:rsidP="006C362E">
      <w:pPr>
        <w:tabs>
          <w:tab w:val="left" w:pos="426"/>
        </w:tabs>
        <w:spacing w:after="240" w:line="260" w:lineRule="exact"/>
        <w:jc w:val="both"/>
        <w:rPr>
          <w:rFonts w:ascii="Corbel" w:eastAsia="Times New Roman" w:hAnsi="Corbel" w:cs="Calibri"/>
          <w:color w:val="000000"/>
          <w:sz w:val="23"/>
          <w:szCs w:val="23"/>
          <w:lang w:eastAsia="en-AU"/>
        </w:rPr>
      </w:pPr>
    </w:p>
    <w:sectPr w:rsidR="006C362E" w:rsidRPr="006C362E" w:rsidSect="00210941">
      <w:pgSz w:w="16838" w:h="11906" w:orient="landscape"/>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77172" w14:textId="77777777" w:rsidR="00363953" w:rsidRDefault="00363953" w:rsidP="00573B79">
      <w:pPr>
        <w:spacing w:after="0" w:line="240" w:lineRule="auto"/>
      </w:pPr>
      <w:r>
        <w:separator/>
      </w:r>
    </w:p>
  </w:endnote>
  <w:endnote w:type="continuationSeparator" w:id="0">
    <w:p w14:paraId="14A8D8F6" w14:textId="77777777" w:rsidR="00363953" w:rsidRDefault="00363953" w:rsidP="00573B79">
      <w:pPr>
        <w:spacing w:after="0" w:line="240" w:lineRule="auto"/>
      </w:pPr>
      <w:r>
        <w:continuationSeparator/>
      </w:r>
    </w:p>
  </w:endnote>
  <w:endnote w:type="continuationNotice" w:id="1">
    <w:p w14:paraId="5FE89485" w14:textId="77777777" w:rsidR="00363953" w:rsidRDefault="003639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4179283"/>
      <w:docPartObj>
        <w:docPartGallery w:val="Page Numbers (Bottom of Page)"/>
        <w:docPartUnique/>
      </w:docPartObj>
    </w:sdtPr>
    <w:sdtContent>
      <w:sdt>
        <w:sdtPr>
          <w:id w:val="-1769616900"/>
          <w:docPartObj>
            <w:docPartGallery w:val="Page Numbers (Top of Page)"/>
            <w:docPartUnique/>
          </w:docPartObj>
        </w:sdtPr>
        <w:sdtContent>
          <w:p w14:paraId="1C3F791F" w14:textId="6F82D221" w:rsidR="00447A36" w:rsidRDefault="00447A3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7152ABE" w14:textId="2792EBCA" w:rsidR="004767B9" w:rsidRPr="000917E6" w:rsidRDefault="004767B9" w:rsidP="000917E6">
    <w:pPr>
      <w:spacing w:after="0"/>
      <w:jc w:val="center"/>
      <w:rPr>
        <w:rFonts w:ascii="Arial" w:hAnsi="Arial" w:cs="Arial"/>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3DAC1" w14:textId="77777777" w:rsidR="00363953" w:rsidRDefault="00363953" w:rsidP="00573B79">
      <w:pPr>
        <w:spacing w:after="0" w:line="240" w:lineRule="auto"/>
      </w:pPr>
      <w:r>
        <w:separator/>
      </w:r>
    </w:p>
  </w:footnote>
  <w:footnote w:type="continuationSeparator" w:id="0">
    <w:p w14:paraId="4EBD43B5" w14:textId="77777777" w:rsidR="00363953" w:rsidRDefault="00363953" w:rsidP="00573B79">
      <w:pPr>
        <w:spacing w:after="0" w:line="240" w:lineRule="auto"/>
      </w:pPr>
      <w:r>
        <w:continuationSeparator/>
      </w:r>
    </w:p>
  </w:footnote>
  <w:footnote w:type="continuationNotice" w:id="1">
    <w:p w14:paraId="7011BB83" w14:textId="77777777" w:rsidR="00363953" w:rsidRDefault="00363953">
      <w:pPr>
        <w:spacing w:after="0" w:line="240" w:lineRule="auto"/>
      </w:pPr>
    </w:p>
  </w:footnote>
  <w:footnote w:id="2">
    <w:p w14:paraId="220A9D70" w14:textId="77777777" w:rsidR="00957899" w:rsidRDefault="00957899" w:rsidP="00957899">
      <w:pPr>
        <w:pStyle w:val="FootnoteText"/>
      </w:pPr>
      <w:r>
        <w:rPr>
          <w:rStyle w:val="FootnoteReference"/>
        </w:rPr>
        <w:footnoteRef/>
      </w:r>
      <w:r>
        <w:t xml:space="preserve"> </w:t>
      </w:r>
      <w:hyperlink r:id="rId1" w:history="1">
        <w:r w:rsidRPr="00930AED">
          <w:rPr>
            <w:rStyle w:val="Hyperlink"/>
          </w:rPr>
          <w:t>https://www.decyp.tas.gov.au/about-us/policies-legislation-data/data-and-statistics/enrolments-in-schools-programs-services-data/</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4786"/>
    <w:multiLevelType w:val="hybridMultilevel"/>
    <w:tmpl w:val="5950EA98"/>
    <w:lvl w:ilvl="0" w:tplc="0C090001">
      <w:start w:val="1"/>
      <w:numFmt w:val="bullet"/>
      <w:lvlText w:val=""/>
      <w:lvlJc w:val="left"/>
      <w:pPr>
        <w:ind w:left="501" w:hanging="360"/>
      </w:pPr>
      <w:rPr>
        <w:rFonts w:ascii="Symbol" w:hAnsi="Symbol" w:hint="default"/>
      </w:rPr>
    </w:lvl>
    <w:lvl w:ilvl="1" w:tplc="FFFFFFFF">
      <w:start w:val="1"/>
      <w:numFmt w:val="lowerLetter"/>
      <w:lvlText w:val="%2."/>
      <w:lvlJc w:val="left"/>
      <w:pPr>
        <w:ind w:left="513" w:hanging="360"/>
      </w:pPr>
    </w:lvl>
    <w:lvl w:ilvl="2" w:tplc="FFFFFFFF">
      <w:start w:val="1"/>
      <w:numFmt w:val="lowerRoman"/>
      <w:lvlText w:val="%3."/>
      <w:lvlJc w:val="right"/>
      <w:pPr>
        <w:ind w:left="1233" w:hanging="180"/>
      </w:pPr>
    </w:lvl>
    <w:lvl w:ilvl="3" w:tplc="FFFFFFFF">
      <w:start w:val="1"/>
      <w:numFmt w:val="decimal"/>
      <w:lvlText w:val="%4."/>
      <w:lvlJc w:val="left"/>
      <w:pPr>
        <w:ind w:left="1953" w:hanging="360"/>
      </w:pPr>
    </w:lvl>
    <w:lvl w:ilvl="4" w:tplc="FFFFFFFF">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 w15:restartNumberingAfterBreak="0">
    <w:nsid w:val="02A2276D"/>
    <w:multiLevelType w:val="hybridMultilevel"/>
    <w:tmpl w:val="7A7ECCD6"/>
    <w:lvl w:ilvl="0" w:tplc="BF30473A">
      <w:start w:val="1"/>
      <w:numFmt w:val="decimal"/>
      <w:lvlText w:val="%1."/>
      <w:lvlJc w:val="left"/>
      <w:pPr>
        <w:ind w:left="1020" w:hanging="360"/>
      </w:pPr>
    </w:lvl>
    <w:lvl w:ilvl="1" w:tplc="CCB008D0">
      <w:start w:val="1"/>
      <w:numFmt w:val="decimal"/>
      <w:lvlText w:val="%2."/>
      <w:lvlJc w:val="left"/>
      <w:pPr>
        <w:ind w:left="1020" w:hanging="360"/>
      </w:pPr>
    </w:lvl>
    <w:lvl w:ilvl="2" w:tplc="5D6EDDE2">
      <w:start w:val="1"/>
      <w:numFmt w:val="decimal"/>
      <w:lvlText w:val="%3."/>
      <w:lvlJc w:val="left"/>
      <w:pPr>
        <w:ind w:left="1020" w:hanging="360"/>
      </w:pPr>
    </w:lvl>
    <w:lvl w:ilvl="3" w:tplc="A9A82A30">
      <w:start w:val="1"/>
      <w:numFmt w:val="decimal"/>
      <w:lvlText w:val="%4."/>
      <w:lvlJc w:val="left"/>
      <w:pPr>
        <w:ind w:left="1020" w:hanging="360"/>
      </w:pPr>
    </w:lvl>
    <w:lvl w:ilvl="4" w:tplc="F1D62308">
      <w:start w:val="1"/>
      <w:numFmt w:val="decimal"/>
      <w:lvlText w:val="%5."/>
      <w:lvlJc w:val="left"/>
      <w:pPr>
        <w:ind w:left="1020" w:hanging="360"/>
      </w:pPr>
    </w:lvl>
    <w:lvl w:ilvl="5" w:tplc="75CC7CC6">
      <w:start w:val="1"/>
      <w:numFmt w:val="decimal"/>
      <w:lvlText w:val="%6."/>
      <w:lvlJc w:val="left"/>
      <w:pPr>
        <w:ind w:left="1020" w:hanging="360"/>
      </w:pPr>
    </w:lvl>
    <w:lvl w:ilvl="6" w:tplc="1818D16C">
      <w:start w:val="1"/>
      <w:numFmt w:val="decimal"/>
      <w:lvlText w:val="%7."/>
      <w:lvlJc w:val="left"/>
      <w:pPr>
        <w:ind w:left="1020" w:hanging="360"/>
      </w:pPr>
    </w:lvl>
    <w:lvl w:ilvl="7" w:tplc="AC8A945A">
      <w:start w:val="1"/>
      <w:numFmt w:val="decimal"/>
      <w:lvlText w:val="%8."/>
      <w:lvlJc w:val="left"/>
      <w:pPr>
        <w:ind w:left="1020" w:hanging="360"/>
      </w:pPr>
    </w:lvl>
    <w:lvl w:ilvl="8" w:tplc="B7E2FB48">
      <w:start w:val="1"/>
      <w:numFmt w:val="decimal"/>
      <w:lvlText w:val="%9."/>
      <w:lvlJc w:val="left"/>
      <w:pPr>
        <w:ind w:left="1020" w:hanging="360"/>
      </w:pPr>
    </w:lvl>
  </w:abstractNum>
  <w:abstractNum w:abstractNumId="2" w15:restartNumberingAfterBreak="0">
    <w:nsid w:val="02E06A41"/>
    <w:multiLevelType w:val="multilevel"/>
    <w:tmpl w:val="1292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69716B"/>
    <w:multiLevelType w:val="hybridMultilevel"/>
    <w:tmpl w:val="DAA22E06"/>
    <w:lvl w:ilvl="0" w:tplc="16A2C890">
      <w:start w:val="1"/>
      <w:numFmt w:val="bullet"/>
      <w:lvlText w:val=""/>
      <w:lvlJc w:val="left"/>
      <w:pPr>
        <w:ind w:left="1020" w:hanging="360"/>
      </w:pPr>
      <w:rPr>
        <w:rFonts w:ascii="Symbol" w:hAnsi="Symbol"/>
      </w:rPr>
    </w:lvl>
    <w:lvl w:ilvl="1" w:tplc="B63825C4">
      <w:start w:val="1"/>
      <w:numFmt w:val="bullet"/>
      <w:lvlText w:val=""/>
      <w:lvlJc w:val="left"/>
      <w:pPr>
        <w:ind w:left="1020" w:hanging="360"/>
      </w:pPr>
      <w:rPr>
        <w:rFonts w:ascii="Symbol" w:hAnsi="Symbol"/>
      </w:rPr>
    </w:lvl>
    <w:lvl w:ilvl="2" w:tplc="3F18E072">
      <w:start w:val="1"/>
      <w:numFmt w:val="bullet"/>
      <w:lvlText w:val=""/>
      <w:lvlJc w:val="left"/>
      <w:pPr>
        <w:ind w:left="1020" w:hanging="360"/>
      </w:pPr>
      <w:rPr>
        <w:rFonts w:ascii="Symbol" w:hAnsi="Symbol"/>
      </w:rPr>
    </w:lvl>
    <w:lvl w:ilvl="3" w:tplc="22BAC174">
      <w:start w:val="1"/>
      <w:numFmt w:val="bullet"/>
      <w:lvlText w:val=""/>
      <w:lvlJc w:val="left"/>
      <w:pPr>
        <w:ind w:left="1020" w:hanging="360"/>
      </w:pPr>
      <w:rPr>
        <w:rFonts w:ascii="Symbol" w:hAnsi="Symbol"/>
      </w:rPr>
    </w:lvl>
    <w:lvl w:ilvl="4" w:tplc="F372DECE">
      <w:start w:val="1"/>
      <w:numFmt w:val="bullet"/>
      <w:lvlText w:val=""/>
      <w:lvlJc w:val="left"/>
      <w:pPr>
        <w:ind w:left="1020" w:hanging="360"/>
      </w:pPr>
      <w:rPr>
        <w:rFonts w:ascii="Symbol" w:hAnsi="Symbol"/>
      </w:rPr>
    </w:lvl>
    <w:lvl w:ilvl="5" w:tplc="3948E92A">
      <w:start w:val="1"/>
      <w:numFmt w:val="bullet"/>
      <w:lvlText w:val=""/>
      <w:lvlJc w:val="left"/>
      <w:pPr>
        <w:ind w:left="1020" w:hanging="360"/>
      </w:pPr>
      <w:rPr>
        <w:rFonts w:ascii="Symbol" w:hAnsi="Symbol"/>
      </w:rPr>
    </w:lvl>
    <w:lvl w:ilvl="6" w:tplc="91B2D784">
      <w:start w:val="1"/>
      <w:numFmt w:val="bullet"/>
      <w:lvlText w:val=""/>
      <w:lvlJc w:val="left"/>
      <w:pPr>
        <w:ind w:left="1020" w:hanging="360"/>
      </w:pPr>
      <w:rPr>
        <w:rFonts w:ascii="Symbol" w:hAnsi="Symbol"/>
      </w:rPr>
    </w:lvl>
    <w:lvl w:ilvl="7" w:tplc="864EC38E">
      <w:start w:val="1"/>
      <w:numFmt w:val="bullet"/>
      <w:lvlText w:val=""/>
      <w:lvlJc w:val="left"/>
      <w:pPr>
        <w:ind w:left="1020" w:hanging="360"/>
      </w:pPr>
      <w:rPr>
        <w:rFonts w:ascii="Symbol" w:hAnsi="Symbol"/>
      </w:rPr>
    </w:lvl>
    <w:lvl w:ilvl="8" w:tplc="96A83970">
      <w:start w:val="1"/>
      <w:numFmt w:val="bullet"/>
      <w:lvlText w:val=""/>
      <w:lvlJc w:val="left"/>
      <w:pPr>
        <w:ind w:left="1020" w:hanging="360"/>
      </w:pPr>
      <w:rPr>
        <w:rFonts w:ascii="Symbol" w:hAnsi="Symbol"/>
      </w:rPr>
    </w:lvl>
  </w:abstractNum>
  <w:abstractNum w:abstractNumId="4" w15:restartNumberingAfterBreak="0">
    <w:nsid w:val="04740D35"/>
    <w:multiLevelType w:val="hybridMultilevel"/>
    <w:tmpl w:val="BB38E408"/>
    <w:lvl w:ilvl="0" w:tplc="B476A9A0">
      <w:start w:val="1"/>
      <w:numFmt w:val="decimal"/>
      <w:lvlText w:val="%1."/>
      <w:lvlJc w:val="left"/>
      <w:pPr>
        <w:ind w:left="1020" w:hanging="360"/>
      </w:pPr>
    </w:lvl>
    <w:lvl w:ilvl="1" w:tplc="D60E64AC">
      <w:start w:val="1"/>
      <w:numFmt w:val="decimal"/>
      <w:lvlText w:val="%2."/>
      <w:lvlJc w:val="left"/>
      <w:pPr>
        <w:ind w:left="1020" w:hanging="360"/>
      </w:pPr>
    </w:lvl>
    <w:lvl w:ilvl="2" w:tplc="9A483FB8">
      <w:start w:val="1"/>
      <w:numFmt w:val="decimal"/>
      <w:lvlText w:val="%3."/>
      <w:lvlJc w:val="left"/>
      <w:pPr>
        <w:ind w:left="1020" w:hanging="360"/>
      </w:pPr>
    </w:lvl>
    <w:lvl w:ilvl="3" w:tplc="E9CE4810">
      <w:start w:val="1"/>
      <w:numFmt w:val="decimal"/>
      <w:lvlText w:val="%4."/>
      <w:lvlJc w:val="left"/>
      <w:pPr>
        <w:ind w:left="1020" w:hanging="360"/>
      </w:pPr>
    </w:lvl>
    <w:lvl w:ilvl="4" w:tplc="0F7669C6">
      <w:start w:val="1"/>
      <w:numFmt w:val="decimal"/>
      <w:lvlText w:val="%5."/>
      <w:lvlJc w:val="left"/>
      <w:pPr>
        <w:ind w:left="1020" w:hanging="360"/>
      </w:pPr>
    </w:lvl>
    <w:lvl w:ilvl="5" w:tplc="6DA4A6AA">
      <w:start w:val="1"/>
      <w:numFmt w:val="decimal"/>
      <w:lvlText w:val="%6."/>
      <w:lvlJc w:val="left"/>
      <w:pPr>
        <w:ind w:left="1020" w:hanging="360"/>
      </w:pPr>
    </w:lvl>
    <w:lvl w:ilvl="6" w:tplc="5316F2B0">
      <w:start w:val="1"/>
      <w:numFmt w:val="decimal"/>
      <w:lvlText w:val="%7."/>
      <w:lvlJc w:val="left"/>
      <w:pPr>
        <w:ind w:left="1020" w:hanging="360"/>
      </w:pPr>
    </w:lvl>
    <w:lvl w:ilvl="7" w:tplc="D27455EC">
      <w:start w:val="1"/>
      <w:numFmt w:val="decimal"/>
      <w:lvlText w:val="%8."/>
      <w:lvlJc w:val="left"/>
      <w:pPr>
        <w:ind w:left="1020" w:hanging="360"/>
      </w:pPr>
    </w:lvl>
    <w:lvl w:ilvl="8" w:tplc="D3ACE9EA">
      <w:start w:val="1"/>
      <w:numFmt w:val="decimal"/>
      <w:lvlText w:val="%9."/>
      <w:lvlJc w:val="left"/>
      <w:pPr>
        <w:ind w:left="1020" w:hanging="360"/>
      </w:pPr>
    </w:lvl>
  </w:abstractNum>
  <w:abstractNum w:abstractNumId="5" w15:restartNumberingAfterBreak="0">
    <w:nsid w:val="05E54A6A"/>
    <w:multiLevelType w:val="hybridMultilevel"/>
    <w:tmpl w:val="2C369E4A"/>
    <w:lvl w:ilvl="0" w:tplc="28E08DBA">
      <w:start w:val="1"/>
      <w:numFmt w:val="decimal"/>
      <w:lvlText w:val="%1."/>
      <w:lvlJc w:val="left"/>
      <w:pPr>
        <w:ind w:left="1020" w:hanging="360"/>
      </w:pPr>
    </w:lvl>
    <w:lvl w:ilvl="1" w:tplc="B3CAD770">
      <w:start w:val="1"/>
      <w:numFmt w:val="decimal"/>
      <w:lvlText w:val="%2."/>
      <w:lvlJc w:val="left"/>
      <w:pPr>
        <w:ind w:left="1020" w:hanging="360"/>
      </w:pPr>
    </w:lvl>
    <w:lvl w:ilvl="2" w:tplc="7B2A8C5C">
      <w:start w:val="1"/>
      <w:numFmt w:val="decimal"/>
      <w:lvlText w:val="%3."/>
      <w:lvlJc w:val="left"/>
      <w:pPr>
        <w:ind w:left="1020" w:hanging="360"/>
      </w:pPr>
    </w:lvl>
    <w:lvl w:ilvl="3" w:tplc="0A86FEC8">
      <w:start w:val="1"/>
      <w:numFmt w:val="decimal"/>
      <w:lvlText w:val="%4."/>
      <w:lvlJc w:val="left"/>
      <w:pPr>
        <w:ind w:left="1020" w:hanging="360"/>
      </w:pPr>
    </w:lvl>
    <w:lvl w:ilvl="4" w:tplc="D444DF7E">
      <w:start w:val="1"/>
      <w:numFmt w:val="decimal"/>
      <w:lvlText w:val="%5."/>
      <w:lvlJc w:val="left"/>
      <w:pPr>
        <w:ind w:left="1020" w:hanging="360"/>
      </w:pPr>
    </w:lvl>
    <w:lvl w:ilvl="5" w:tplc="6CF8D990">
      <w:start w:val="1"/>
      <w:numFmt w:val="decimal"/>
      <w:lvlText w:val="%6."/>
      <w:lvlJc w:val="left"/>
      <w:pPr>
        <w:ind w:left="1020" w:hanging="360"/>
      </w:pPr>
    </w:lvl>
    <w:lvl w:ilvl="6" w:tplc="1A184D16">
      <w:start w:val="1"/>
      <w:numFmt w:val="decimal"/>
      <w:lvlText w:val="%7."/>
      <w:lvlJc w:val="left"/>
      <w:pPr>
        <w:ind w:left="1020" w:hanging="360"/>
      </w:pPr>
    </w:lvl>
    <w:lvl w:ilvl="7" w:tplc="AD92497C">
      <w:start w:val="1"/>
      <w:numFmt w:val="decimal"/>
      <w:lvlText w:val="%8."/>
      <w:lvlJc w:val="left"/>
      <w:pPr>
        <w:ind w:left="1020" w:hanging="360"/>
      </w:pPr>
    </w:lvl>
    <w:lvl w:ilvl="8" w:tplc="A266CE88">
      <w:start w:val="1"/>
      <w:numFmt w:val="decimal"/>
      <w:lvlText w:val="%9."/>
      <w:lvlJc w:val="left"/>
      <w:pPr>
        <w:ind w:left="1020" w:hanging="360"/>
      </w:pPr>
    </w:lvl>
  </w:abstractNum>
  <w:abstractNum w:abstractNumId="6" w15:restartNumberingAfterBreak="0">
    <w:nsid w:val="0C65308D"/>
    <w:multiLevelType w:val="hybridMultilevel"/>
    <w:tmpl w:val="B67062E8"/>
    <w:lvl w:ilvl="0" w:tplc="EC82BF98">
      <w:start w:val="1"/>
      <w:numFmt w:val="decimal"/>
      <w:lvlText w:val="%1."/>
      <w:lvlJc w:val="left"/>
      <w:pPr>
        <w:ind w:left="1020" w:hanging="360"/>
      </w:pPr>
    </w:lvl>
    <w:lvl w:ilvl="1" w:tplc="CC7C5652">
      <w:start w:val="1"/>
      <w:numFmt w:val="decimal"/>
      <w:lvlText w:val="%2."/>
      <w:lvlJc w:val="left"/>
      <w:pPr>
        <w:ind w:left="1020" w:hanging="360"/>
      </w:pPr>
    </w:lvl>
    <w:lvl w:ilvl="2" w:tplc="1A78DC9A">
      <w:start w:val="1"/>
      <w:numFmt w:val="decimal"/>
      <w:lvlText w:val="%3."/>
      <w:lvlJc w:val="left"/>
      <w:pPr>
        <w:ind w:left="1020" w:hanging="360"/>
      </w:pPr>
    </w:lvl>
    <w:lvl w:ilvl="3" w:tplc="AC0CB2E4">
      <w:start w:val="1"/>
      <w:numFmt w:val="decimal"/>
      <w:lvlText w:val="%4."/>
      <w:lvlJc w:val="left"/>
      <w:pPr>
        <w:ind w:left="1020" w:hanging="360"/>
      </w:pPr>
    </w:lvl>
    <w:lvl w:ilvl="4" w:tplc="57ACF616">
      <w:start w:val="1"/>
      <w:numFmt w:val="decimal"/>
      <w:lvlText w:val="%5."/>
      <w:lvlJc w:val="left"/>
      <w:pPr>
        <w:ind w:left="1020" w:hanging="360"/>
      </w:pPr>
    </w:lvl>
    <w:lvl w:ilvl="5" w:tplc="39144818">
      <w:start w:val="1"/>
      <w:numFmt w:val="decimal"/>
      <w:lvlText w:val="%6."/>
      <w:lvlJc w:val="left"/>
      <w:pPr>
        <w:ind w:left="1020" w:hanging="360"/>
      </w:pPr>
    </w:lvl>
    <w:lvl w:ilvl="6" w:tplc="0D48D378">
      <w:start w:val="1"/>
      <w:numFmt w:val="decimal"/>
      <w:lvlText w:val="%7."/>
      <w:lvlJc w:val="left"/>
      <w:pPr>
        <w:ind w:left="1020" w:hanging="360"/>
      </w:pPr>
    </w:lvl>
    <w:lvl w:ilvl="7" w:tplc="44FC0AAA">
      <w:start w:val="1"/>
      <w:numFmt w:val="decimal"/>
      <w:lvlText w:val="%8."/>
      <w:lvlJc w:val="left"/>
      <w:pPr>
        <w:ind w:left="1020" w:hanging="360"/>
      </w:pPr>
    </w:lvl>
    <w:lvl w:ilvl="8" w:tplc="94EEE9E4">
      <w:start w:val="1"/>
      <w:numFmt w:val="decimal"/>
      <w:lvlText w:val="%9."/>
      <w:lvlJc w:val="left"/>
      <w:pPr>
        <w:ind w:left="1020" w:hanging="360"/>
      </w:pPr>
    </w:lvl>
  </w:abstractNum>
  <w:abstractNum w:abstractNumId="7" w15:restartNumberingAfterBreak="0">
    <w:nsid w:val="0DC61F09"/>
    <w:multiLevelType w:val="hybridMultilevel"/>
    <w:tmpl w:val="AD540892"/>
    <w:lvl w:ilvl="0" w:tplc="1BF049A4">
      <w:start w:val="1"/>
      <w:numFmt w:val="decimal"/>
      <w:lvlText w:val="%1."/>
      <w:lvlJc w:val="left"/>
      <w:pPr>
        <w:ind w:left="1020" w:hanging="360"/>
      </w:pPr>
    </w:lvl>
    <w:lvl w:ilvl="1" w:tplc="99C817AA">
      <w:start w:val="1"/>
      <w:numFmt w:val="decimal"/>
      <w:lvlText w:val="%2."/>
      <w:lvlJc w:val="left"/>
      <w:pPr>
        <w:ind w:left="1020" w:hanging="360"/>
      </w:pPr>
    </w:lvl>
    <w:lvl w:ilvl="2" w:tplc="39746A02">
      <w:start w:val="1"/>
      <w:numFmt w:val="decimal"/>
      <w:lvlText w:val="%3."/>
      <w:lvlJc w:val="left"/>
      <w:pPr>
        <w:ind w:left="1020" w:hanging="360"/>
      </w:pPr>
    </w:lvl>
    <w:lvl w:ilvl="3" w:tplc="3EB89780">
      <w:start w:val="1"/>
      <w:numFmt w:val="decimal"/>
      <w:lvlText w:val="%4."/>
      <w:lvlJc w:val="left"/>
      <w:pPr>
        <w:ind w:left="1020" w:hanging="360"/>
      </w:pPr>
    </w:lvl>
    <w:lvl w:ilvl="4" w:tplc="77A2E0E8">
      <w:start w:val="1"/>
      <w:numFmt w:val="decimal"/>
      <w:lvlText w:val="%5."/>
      <w:lvlJc w:val="left"/>
      <w:pPr>
        <w:ind w:left="1020" w:hanging="360"/>
      </w:pPr>
    </w:lvl>
    <w:lvl w:ilvl="5" w:tplc="A56A7D40">
      <w:start w:val="1"/>
      <w:numFmt w:val="decimal"/>
      <w:lvlText w:val="%6."/>
      <w:lvlJc w:val="left"/>
      <w:pPr>
        <w:ind w:left="1020" w:hanging="360"/>
      </w:pPr>
    </w:lvl>
    <w:lvl w:ilvl="6" w:tplc="A3DA6278">
      <w:start w:val="1"/>
      <w:numFmt w:val="decimal"/>
      <w:lvlText w:val="%7."/>
      <w:lvlJc w:val="left"/>
      <w:pPr>
        <w:ind w:left="1020" w:hanging="360"/>
      </w:pPr>
    </w:lvl>
    <w:lvl w:ilvl="7" w:tplc="19DC901E">
      <w:start w:val="1"/>
      <w:numFmt w:val="decimal"/>
      <w:lvlText w:val="%8."/>
      <w:lvlJc w:val="left"/>
      <w:pPr>
        <w:ind w:left="1020" w:hanging="360"/>
      </w:pPr>
    </w:lvl>
    <w:lvl w:ilvl="8" w:tplc="386E4A0C">
      <w:start w:val="1"/>
      <w:numFmt w:val="decimal"/>
      <w:lvlText w:val="%9."/>
      <w:lvlJc w:val="left"/>
      <w:pPr>
        <w:ind w:left="1020" w:hanging="360"/>
      </w:pPr>
    </w:lvl>
  </w:abstractNum>
  <w:abstractNum w:abstractNumId="8" w15:restartNumberingAfterBreak="0">
    <w:nsid w:val="0DF34E48"/>
    <w:multiLevelType w:val="hybridMultilevel"/>
    <w:tmpl w:val="E196DF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6F40AF"/>
    <w:multiLevelType w:val="hybridMultilevel"/>
    <w:tmpl w:val="959AB94A"/>
    <w:lvl w:ilvl="0" w:tplc="D082BE3C">
      <w:start w:val="1"/>
      <w:numFmt w:val="decimal"/>
      <w:lvlText w:val="%1."/>
      <w:lvlJc w:val="left"/>
      <w:pPr>
        <w:ind w:left="1020" w:hanging="360"/>
      </w:pPr>
    </w:lvl>
    <w:lvl w:ilvl="1" w:tplc="B2A6119A">
      <w:start w:val="1"/>
      <w:numFmt w:val="decimal"/>
      <w:lvlText w:val="%2."/>
      <w:lvlJc w:val="left"/>
      <w:pPr>
        <w:ind w:left="1020" w:hanging="360"/>
      </w:pPr>
    </w:lvl>
    <w:lvl w:ilvl="2" w:tplc="8E444564">
      <w:start w:val="1"/>
      <w:numFmt w:val="decimal"/>
      <w:lvlText w:val="%3."/>
      <w:lvlJc w:val="left"/>
      <w:pPr>
        <w:ind w:left="1020" w:hanging="360"/>
      </w:pPr>
    </w:lvl>
    <w:lvl w:ilvl="3" w:tplc="6F4C4ECA">
      <w:start w:val="1"/>
      <w:numFmt w:val="decimal"/>
      <w:lvlText w:val="%4."/>
      <w:lvlJc w:val="left"/>
      <w:pPr>
        <w:ind w:left="1020" w:hanging="360"/>
      </w:pPr>
    </w:lvl>
    <w:lvl w:ilvl="4" w:tplc="19D09A60">
      <w:start w:val="1"/>
      <w:numFmt w:val="decimal"/>
      <w:lvlText w:val="%5."/>
      <w:lvlJc w:val="left"/>
      <w:pPr>
        <w:ind w:left="1020" w:hanging="360"/>
      </w:pPr>
    </w:lvl>
    <w:lvl w:ilvl="5" w:tplc="EE4EBAB2">
      <w:start w:val="1"/>
      <w:numFmt w:val="decimal"/>
      <w:lvlText w:val="%6."/>
      <w:lvlJc w:val="left"/>
      <w:pPr>
        <w:ind w:left="1020" w:hanging="360"/>
      </w:pPr>
    </w:lvl>
    <w:lvl w:ilvl="6" w:tplc="F640AD28">
      <w:start w:val="1"/>
      <w:numFmt w:val="decimal"/>
      <w:lvlText w:val="%7."/>
      <w:lvlJc w:val="left"/>
      <w:pPr>
        <w:ind w:left="1020" w:hanging="360"/>
      </w:pPr>
    </w:lvl>
    <w:lvl w:ilvl="7" w:tplc="5DE811AA">
      <w:start w:val="1"/>
      <w:numFmt w:val="decimal"/>
      <w:lvlText w:val="%8."/>
      <w:lvlJc w:val="left"/>
      <w:pPr>
        <w:ind w:left="1020" w:hanging="360"/>
      </w:pPr>
    </w:lvl>
    <w:lvl w:ilvl="8" w:tplc="16647AE2">
      <w:start w:val="1"/>
      <w:numFmt w:val="decimal"/>
      <w:lvlText w:val="%9."/>
      <w:lvlJc w:val="left"/>
      <w:pPr>
        <w:ind w:left="1020" w:hanging="360"/>
      </w:pPr>
    </w:lvl>
  </w:abstractNum>
  <w:abstractNum w:abstractNumId="10" w15:restartNumberingAfterBreak="0">
    <w:nsid w:val="101B129F"/>
    <w:multiLevelType w:val="hybridMultilevel"/>
    <w:tmpl w:val="306E691E"/>
    <w:lvl w:ilvl="0" w:tplc="38FA389E">
      <w:start w:val="1"/>
      <w:numFmt w:val="bullet"/>
      <w:lvlText w:val=""/>
      <w:lvlJc w:val="left"/>
      <w:pPr>
        <w:ind w:left="1020" w:hanging="360"/>
      </w:pPr>
      <w:rPr>
        <w:rFonts w:ascii="Symbol" w:hAnsi="Symbol"/>
      </w:rPr>
    </w:lvl>
    <w:lvl w:ilvl="1" w:tplc="76F06A64">
      <w:start w:val="1"/>
      <w:numFmt w:val="bullet"/>
      <w:lvlText w:val=""/>
      <w:lvlJc w:val="left"/>
      <w:pPr>
        <w:ind w:left="1020" w:hanging="360"/>
      </w:pPr>
      <w:rPr>
        <w:rFonts w:ascii="Symbol" w:hAnsi="Symbol"/>
      </w:rPr>
    </w:lvl>
    <w:lvl w:ilvl="2" w:tplc="08E6D2C4">
      <w:start w:val="1"/>
      <w:numFmt w:val="bullet"/>
      <w:lvlText w:val=""/>
      <w:lvlJc w:val="left"/>
      <w:pPr>
        <w:ind w:left="1020" w:hanging="360"/>
      </w:pPr>
      <w:rPr>
        <w:rFonts w:ascii="Symbol" w:hAnsi="Symbol"/>
      </w:rPr>
    </w:lvl>
    <w:lvl w:ilvl="3" w:tplc="546E6572">
      <w:start w:val="1"/>
      <w:numFmt w:val="bullet"/>
      <w:lvlText w:val=""/>
      <w:lvlJc w:val="left"/>
      <w:pPr>
        <w:ind w:left="1020" w:hanging="360"/>
      </w:pPr>
      <w:rPr>
        <w:rFonts w:ascii="Symbol" w:hAnsi="Symbol"/>
      </w:rPr>
    </w:lvl>
    <w:lvl w:ilvl="4" w:tplc="437C6D4E">
      <w:start w:val="1"/>
      <w:numFmt w:val="bullet"/>
      <w:lvlText w:val=""/>
      <w:lvlJc w:val="left"/>
      <w:pPr>
        <w:ind w:left="1020" w:hanging="360"/>
      </w:pPr>
      <w:rPr>
        <w:rFonts w:ascii="Symbol" w:hAnsi="Symbol"/>
      </w:rPr>
    </w:lvl>
    <w:lvl w:ilvl="5" w:tplc="DDD84078">
      <w:start w:val="1"/>
      <w:numFmt w:val="bullet"/>
      <w:lvlText w:val=""/>
      <w:lvlJc w:val="left"/>
      <w:pPr>
        <w:ind w:left="1020" w:hanging="360"/>
      </w:pPr>
      <w:rPr>
        <w:rFonts w:ascii="Symbol" w:hAnsi="Symbol"/>
      </w:rPr>
    </w:lvl>
    <w:lvl w:ilvl="6" w:tplc="9508DBFE">
      <w:start w:val="1"/>
      <w:numFmt w:val="bullet"/>
      <w:lvlText w:val=""/>
      <w:lvlJc w:val="left"/>
      <w:pPr>
        <w:ind w:left="1020" w:hanging="360"/>
      </w:pPr>
      <w:rPr>
        <w:rFonts w:ascii="Symbol" w:hAnsi="Symbol"/>
      </w:rPr>
    </w:lvl>
    <w:lvl w:ilvl="7" w:tplc="4F7C9C88">
      <w:start w:val="1"/>
      <w:numFmt w:val="bullet"/>
      <w:lvlText w:val=""/>
      <w:lvlJc w:val="left"/>
      <w:pPr>
        <w:ind w:left="1020" w:hanging="360"/>
      </w:pPr>
      <w:rPr>
        <w:rFonts w:ascii="Symbol" w:hAnsi="Symbol"/>
      </w:rPr>
    </w:lvl>
    <w:lvl w:ilvl="8" w:tplc="8676030A">
      <w:start w:val="1"/>
      <w:numFmt w:val="bullet"/>
      <w:lvlText w:val=""/>
      <w:lvlJc w:val="left"/>
      <w:pPr>
        <w:ind w:left="1020" w:hanging="360"/>
      </w:pPr>
      <w:rPr>
        <w:rFonts w:ascii="Symbol" w:hAnsi="Symbol"/>
      </w:rPr>
    </w:lvl>
  </w:abstractNum>
  <w:abstractNum w:abstractNumId="11" w15:restartNumberingAfterBreak="0">
    <w:nsid w:val="173A3CA3"/>
    <w:multiLevelType w:val="hybridMultilevel"/>
    <w:tmpl w:val="1982E618"/>
    <w:lvl w:ilvl="0" w:tplc="D230FA76">
      <w:start w:val="1"/>
      <w:numFmt w:val="decimal"/>
      <w:lvlText w:val="%1."/>
      <w:lvlJc w:val="left"/>
      <w:pPr>
        <w:ind w:left="1020" w:hanging="360"/>
      </w:pPr>
    </w:lvl>
    <w:lvl w:ilvl="1" w:tplc="1E283594">
      <w:start w:val="1"/>
      <w:numFmt w:val="decimal"/>
      <w:lvlText w:val="%2."/>
      <w:lvlJc w:val="left"/>
      <w:pPr>
        <w:ind w:left="1020" w:hanging="360"/>
      </w:pPr>
    </w:lvl>
    <w:lvl w:ilvl="2" w:tplc="FFDAFFAA">
      <w:start w:val="1"/>
      <w:numFmt w:val="decimal"/>
      <w:lvlText w:val="%3."/>
      <w:lvlJc w:val="left"/>
      <w:pPr>
        <w:ind w:left="1020" w:hanging="360"/>
      </w:pPr>
    </w:lvl>
    <w:lvl w:ilvl="3" w:tplc="C78CF290">
      <w:start w:val="1"/>
      <w:numFmt w:val="decimal"/>
      <w:lvlText w:val="%4."/>
      <w:lvlJc w:val="left"/>
      <w:pPr>
        <w:ind w:left="1020" w:hanging="360"/>
      </w:pPr>
    </w:lvl>
    <w:lvl w:ilvl="4" w:tplc="390E5448">
      <w:start w:val="1"/>
      <w:numFmt w:val="decimal"/>
      <w:lvlText w:val="%5."/>
      <w:lvlJc w:val="left"/>
      <w:pPr>
        <w:ind w:left="1020" w:hanging="360"/>
      </w:pPr>
    </w:lvl>
    <w:lvl w:ilvl="5" w:tplc="E3327D98">
      <w:start w:val="1"/>
      <w:numFmt w:val="decimal"/>
      <w:lvlText w:val="%6."/>
      <w:lvlJc w:val="left"/>
      <w:pPr>
        <w:ind w:left="1020" w:hanging="360"/>
      </w:pPr>
    </w:lvl>
    <w:lvl w:ilvl="6" w:tplc="93A24814">
      <w:start w:val="1"/>
      <w:numFmt w:val="decimal"/>
      <w:lvlText w:val="%7."/>
      <w:lvlJc w:val="left"/>
      <w:pPr>
        <w:ind w:left="1020" w:hanging="360"/>
      </w:pPr>
    </w:lvl>
    <w:lvl w:ilvl="7" w:tplc="7744F24A">
      <w:start w:val="1"/>
      <w:numFmt w:val="decimal"/>
      <w:lvlText w:val="%8."/>
      <w:lvlJc w:val="left"/>
      <w:pPr>
        <w:ind w:left="1020" w:hanging="360"/>
      </w:pPr>
    </w:lvl>
    <w:lvl w:ilvl="8" w:tplc="B3DC6CA2">
      <w:start w:val="1"/>
      <w:numFmt w:val="decimal"/>
      <w:lvlText w:val="%9."/>
      <w:lvlJc w:val="left"/>
      <w:pPr>
        <w:ind w:left="1020" w:hanging="360"/>
      </w:pPr>
    </w:lvl>
  </w:abstractNum>
  <w:abstractNum w:abstractNumId="12" w15:restartNumberingAfterBreak="0">
    <w:nsid w:val="20C55ECF"/>
    <w:multiLevelType w:val="hybridMultilevel"/>
    <w:tmpl w:val="4D0048D8"/>
    <w:lvl w:ilvl="0" w:tplc="AC107398">
      <w:start w:val="1"/>
      <w:numFmt w:val="lowerLetter"/>
      <w:pStyle w:val="ListBullet1"/>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BA6827"/>
    <w:multiLevelType w:val="hybridMultilevel"/>
    <w:tmpl w:val="B6E4FFB4"/>
    <w:lvl w:ilvl="0" w:tplc="4F829B8A">
      <w:start w:val="1"/>
      <w:numFmt w:val="decimal"/>
      <w:lvlText w:val="%1."/>
      <w:lvlJc w:val="left"/>
      <w:pPr>
        <w:ind w:left="1020" w:hanging="360"/>
      </w:pPr>
    </w:lvl>
    <w:lvl w:ilvl="1" w:tplc="891A32CE">
      <w:start w:val="1"/>
      <w:numFmt w:val="decimal"/>
      <w:lvlText w:val="%2."/>
      <w:lvlJc w:val="left"/>
      <w:pPr>
        <w:ind w:left="1020" w:hanging="360"/>
      </w:pPr>
    </w:lvl>
    <w:lvl w:ilvl="2" w:tplc="89921040">
      <w:start w:val="1"/>
      <w:numFmt w:val="decimal"/>
      <w:lvlText w:val="%3."/>
      <w:lvlJc w:val="left"/>
      <w:pPr>
        <w:ind w:left="1020" w:hanging="360"/>
      </w:pPr>
    </w:lvl>
    <w:lvl w:ilvl="3" w:tplc="BAAE2CF6">
      <w:start w:val="1"/>
      <w:numFmt w:val="decimal"/>
      <w:lvlText w:val="%4."/>
      <w:lvlJc w:val="left"/>
      <w:pPr>
        <w:ind w:left="1020" w:hanging="360"/>
      </w:pPr>
    </w:lvl>
    <w:lvl w:ilvl="4" w:tplc="36F49294">
      <w:start w:val="1"/>
      <w:numFmt w:val="decimal"/>
      <w:lvlText w:val="%5."/>
      <w:lvlJc w:val="left"/>
      <w:pPr>
        <w:ind w:left="1020" w:hanging="360"/>
      </w:pPr>
    </w:lvl>
    <w:lvl w:ilvl="5" w:tplc="CFC8AE22">
      <w:start w:val="1"/>
      <w:numFmt w:val="decimal"/>
      <w:lvlText w:val="%6."/>
      <w:lvlJc w:val="left"/>
      <w:pPr>
        <w:ind w:left="1020" w:hanging="360"/>
      </w:pPr>
    </w:lvl>
    <w:lvl w:ilvl="6" w:tplc="00C4A76A">
      <w:start w:val="1"/>
      <w:numFmt w:val="decimal"/>
      <w:lvlText w:val="%7."/>
      <w:lvlJc w:val="left"/>
      <w:pPr>
        <w:ind w:left="1020" w:hanging="360"/>
      </w:pPr>
    </w:lvl>
    <w:lvl w:ilvl="7" w:tplc="39FA8F68">
      <w:start w:val="1"/>
      <w:numFmt w:val="decimal"/>
      <w:lvlText w:val="%8."/>
      <w:lvlJc w:val="left"/>
      <w:pPr>
        <w:ind w:left="1020" w:hanging="360"/>
      </w:pPr>
    </w:lvl>
    <w:lvl w:ilvl="8" w:tplc="1C266228">
      <w:start w:val="1"/>
      <w:numFmt w:val="decimal"/>
      <w:lvlText w:val="%9."/>
      <w:lvlJc w:val="left"/>
      <w:pPr>
        <w:ind w:left="1020" w:hanging="360"/>
      </w:pPr>
    </w:lvl>
  </w:abstractNum>
  <w:abstractNum w:abstractNumId="14" w15:restartNumberingAfterBreak="0">
    <w:nsid w:val="26E712EC"/>
    <w:multiLevelType w:val="hybridMultilevel"/>
    <w:tmpl w:val="11DCAADC"/>
    <w:lvl w:ilvl="0" w:tplc="25D24268">
      <w:start w:val="1"/>
      <w:numFmt w:val="decimal"/>
      <w:lvlText w:val="%1."/>
      <w:lvlJc w:val="left"/>
      <w:pPr>
        <w:ind w:left="1020" w:hanging="360"/>
      </w:pPr>
    </w:lvl>
    <w:lvl w:ilvl="1" w:tplc="2580ECAE">
      <w:start w:val="1"/>
      <w:numFmt w:val="decimal"/>
      <w:lvlText w:val="%2."/>
      <w:lvlJc w:val="left"/>
      <w:pPr>
        <w:ind w:left="1020" w:hanging="360"/>
      </w:pPr>
    </w:lvl>
    <w:lvl w:ilvl="2" w:tplc="52F27F90">
      <w:start w:val="1"/>
      <w:numFmt w:val="decimal"/>
      <w:lvlText w:val="%3."/>
      <w:lvlJc w:val="left"/>
      <w:pPr>
        <w:ind w:left="1020" w:hanging="360"/>
      </w:pPr>
    </w:lvl>
    <w:lvl w:ilvl="3" w:tplc="48322B9E">
      <w:start w:val="1"/>
      <w:numFmt w:val="decimal"/>
      <w:lvlText w:val="%4."/>
      <w:lvlJc w:val="left"/>
      <w:pPr>
        <w:ind w:left="1020" w:hanging="360"/>
      </w:pPr>
    </w:lvl>
    <w:lvl w:ilvl="4" w:tplc="A0345B50">
      <w:start w:val="1"/>
      <w:numFmt w:val="decimal"/>
      <w:lvlText w:val="%5."/>
      <w:lvlJc w:val="left"/>
      <w:pPr>
        <w:ind w:left="1020" w:hanging="360"/>
      </w:pPr>
    </w:lvl>
    <w:lvl w:ilvl="5" w:tplc="640C937E">
      <w:start w:val="1"/>
      <w:numFmt w:val="decimal"/>
      <w:lvlText w:val="%6."/>
      <w:lvlJc w:val="left"/>
      <w:pPr>
        <w:ind w:left="1020" w:hanging="360"/>
      </w:pPr>
    </w:lvl>
    <w:lvl w:ilvl="6" w:tplc="B65A2836">
      <w:start w:val="1"/>
      <w:numFmt w:val="decimal"/>
      <w:lvlText w:val="%7."/>
      <w:lvlJc w:val="left"/>
      <w:pPr>
        <w:ind w:left="1020" w:hanging="360"/>
      </w:pPr>
    </w:lvl>
    <w:lvl w:ilvl="7" w:tplc="E7425624">
      <w:start w:val="1"/>
      <w:numFmt w:val="decimal"/>
      <w:lvlText w:val="%8."/>
      <w:lvlJc w:val="left"/>
      <w:pPr>
        <w:ind w:left="1020" w:hanging="360"/>
      </w:pPr>
    </w:lvl>
    <w:lvl w:ilvl="8" w:tplc="03BEEACE">
      <w:start w:val="1"/>
      <w:numFmt w:val="decimal"/>
      <w:lvlText w:val="%9."/>
      <w:lvlJc w:val="left"/>
      <w:pPr>
        <w:ind w:left="1020" w:hanging="360"/>
      </w:pPr>
    </w:lvl>
  </w:abstractNum>
  <w:abstractNum w:abstractNumId="15" w15:restartNumberingAfterBreak="0">
    <w:nsid w:val="27A5226B"/>
    <w:multiLevelType w:val="hybridMultilevel"/>
    <w:tmpl w:val="2BB65B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DB37E9"/>
    <w:multiLevelType w:val="multilevel"/>
    <w:tmpl w:val="5124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8A2BF3"/>
    <w:multiLevelType w:val="hybridMultilevel"/>
    <w:tmpl w:val="80DCE3B4"/>
    <w:lvl w:ilvl="0" w:tplc="0414F1C2">
      <w:start w:val="1"/>
      <w:numFmt w:val="decimal"/>
      <w:lvlText w:val="%1."/>
      <w:lvlJc w:val="left"/>
      <w:pPr>
        <w:ind w:left="1020" w:hanging="360"/>
      </w:pPr>
    </w:lvl>
    <w:lvl w:ilvl="1" w:tplc="5508A400">
      <w:start w:val="1"/>
      <w:numFmt w:val="decimal"/>
      <w:lvlText w:val="%2."/>
      <w:lvlJc w:val="left"/>
      <w:pPr>
        <w:ind w:left="1020" w:hanging="360"/>
      </w:pPr>
    </w:lvl>
    <w:lvl w:ilvl="2" w:tplc="105E6C32">
      <w:start w:val="1"/>
      <w:numFmt w:val="decimal"/>
      <w:lvlText w:val="%3."/>
      <w:lvlJc w:val="left"/>
      <w:pPr>
        <w:ind w:left="1020" w:hanging="360"/>
      </w:pPr>
    </w:lvl>
    <w:lvl w:ilvl="3" w:tplc="1D56EE32">
      <w:start w:val="1"/>
      <w:numFmt w:val="decimal"/>
      <w:lvlText w:val="%4."/>
      <w:lvlJc w:val="left"/>
      <w:pPr>
        <w:ind w:left="1020" w:hanging="360"/>
      </w:pPr>
    </w:lvl>
    <w:lvl w:ilvl="4" w:tplc="B1A0D3DC">
      <w:start w:val="1"/>
      <w:numFmt w:val="decimal"/>
      <w:lvlText w:val="%5."/>
      <w:lvlJc w:val="left"/>
      <w:pPr>
        <w:ind w:left="1020" w:hanging="360"/>
      </w:pPr>
    </w:lvl>
    <w:lvl w:ilvl="5" w:tplc="1D744192">
      <w:start w:val="1"/>
      <w:numFmt w:val="decimal"/>
      <w:lvlText w:val="%6."/>
      <w:lvlJc w:val="left"/>
      <w:pPr>
        <w:ind w:left="1020" w:hanging="360"/>
      </w:pPr>
    </w:lvl>
    <w:lvl w:ilvl="6" w:tplc="F21E2916">
      <w:start w:val="1"/>
      <w:numFmt w:val="decimal"/>
      <w:lvlText w:val="%7."/>
      <w:lvlJc w:val="left"/>
      <w:pPr>
        <w:ind w:left="1020" w:hanging="360"/>
      </w:pPr>
    </w:lvl>
    <w:lvl w:ilvl="7" w:tplc="921A7FF2">
      <w:start w:val="1"/>
      <w:numFmt w:val="decimal"/>
      <w:lvlText w:val="%8."/>
      <w:lvlJc w:val="left"/>
      <w:pPr>
        <w:ind w:left="1020" w:hanging="360"/>
      </w:pPr>
    </w:lvl>
    <w:lvl w:ilvl="8" w:tplc="E7D09E3E">
      <w:start w:val="1"/>
      <w:numFmt w:val="decimal"/>
      <w:lvlText w:val="%9."/>
      <w:lvlJc w:val="left"/>
      <w:pPr>
        <w:ind w:left="1020" w:hanging="360"/>
      </w:pPr>
    </w:lvl>
  </w:abstractNum>
  <w:abstractNum w:abstractNumId="18" w15:restartNumberingAfterBreak="0">
    <w:nsid w:val="2C3C4816"/>
    <w:multiLevelType w:val="hybridMultilevel"/>
    <w:tmpl w:val="7DA21C42"/>
    <w:lvl w:ilvl="0" w:tplc="7D325ED0">
      <w:start w:val="1"/>
      <w:numFmt w:val="decimal"/>
      <w:lvlText w:val="%1."/>
      <w:lvlJc w:val="left"/>
      <w:pPr>
        <w:ind w:left="1020" w:hanging="360"/>
      </w:pPr>
    </w:lvl>
    <w:lvl w:ilvl="1" w:tplc="E6E43B42">
      <w:start w:val="1"/>
      <w:numFmt w:val="decimal"/>
      <w:lvlText w:val="%2."/>
      <w:lvlJc w:val="left"/>
      <w:pPr>
        <w:ind w:left="1020" w:hanging="360"/>
      </w:pPr>
    </w:lvl>
    <w:lvl w:ilvl="2" w:tplc="AE94F39E">
      <w:start w:val="1"/>
      <w:numFmt w:val="decimal"/>
      <w:lvlText w:val="%3."/>
      <w:lvlJc w:val="left"/>
      <w:pPr>
        <w:ind w:left="1020" w:hanging="360"/>
      </w:pPr>
    </w:lvl>
    <w:lvl w:ilvl="3" w:tplc="8F7ACFF0">
      <w:start w:val="1"/>
      <w:numFmt w:val="decimal"/>
      <w:lvlText w:val="%4."/>
      <w:lvlJc w:val="left"/>
      <w:pPr>
        <w:ind w:left="1020" w:hanging="360"/>
      </w:pPr>
    </w:lvl>
    <w:lvl w:ilvl="4" w:tplc="BFFCB278">
      <w:start w:val="1"/>
      <w:numFmt w:val="decimal"/>
      <w:lvlText w:val="%5."/>
      <w:lvlJc w:val="left"/>
      <w:pPr>
        <w:ind w:left="1020" w:hanging="360"/>
      </w:pPr>
    </w:lvl>
    <w:lvl w:ilvl="5" w:tplc="428A1710">
      <w:start w:val="1"/>
      <w:numFmt w:val="decimal"/>
      <w:lvlText w:val="%6."/>
      <w:lvlJc w:val="left"/>
      <w:pPr>
        <w:ind w:left="1020" w:hanging="360"/>
      </w:pPr>
    </w:lvl>
    <w:lvl w:ilvl="6" w:tplc="19FC1CC4">
      <w:start w:val="1"/>
      <w:numFmt w:val="decimal"/>
      <w:lvlText w:val="%7."/>
      <w:lvlJc w:val="left"/>
      <w:pPr>
        <w:ind w:left="1020" w:hanging="360"/>
      </w:pPr>
    </w:lvl>
    <w:lvl w:ilvl="7" w:tplc="CEE6F19E">
      <w:start w:val="1"/>
      <w:numFmt w:val="decimal"/>
      <w:lvlText w:val="%8."/>
      <w:lvlJc w:val="left"/>
      <w:pPr>
        <w:ind w:left="1020" w:hanging="360"/>
      </w:pPr>
    </w:lvl>
    <w:lvl w:ilvl="8" w:tplc="E60CF6D4">
      <w:start w:val="1"/>
      <w:numFmt w:val="decimal"/>
      <w:lvlText w:val="%9."/>
      <w:lvlJc w:val="left"/>
      <w:pPr>
        <w:ind w:left="1020" w:hanging="360"/>
      </w:pPr>
    </w:lvl>
  </w:abstractNum>
  <w:abstractNum w:abstractNumId="19" w15:restartNumberingAfterBreak="0">
    <w:nsid w:val="2D6417BE"/>
    <w:multiLevelType w:val="hybridMultilevel"/>
    <w:tmpl w:val="09B6E022"/>
    <w:lvl w:ilvl="0" w:tplc="22DE0334">
      <w:start w:val="1"/>
      <w:numFmt w:val="decimal"/>
      <w:lvlText w:val="%1."/>
      <w:lvlJc w:val="left"/>
      <w:pPr>
        <w:ind w:left="1020" w:hanging="360"/>
      </w:pPr>
    </w:lvl>
    <w:lvl w:ilvl="1" w:tplc="659EE8C2">
      <w:start w:val="1"/>
      <w:numFmt w:val="decimal"/>
      <w:lvlText w:val="%2."/>
      <w:lvlJc w:val="left"/>
      <w:pPr>
        <w:ind w:left="1020" w:hanging="360"/>
      </w:pPr>
    </w:lvl>
    <w:lvl w:ilvl="2" w:tplc="1EBA1692">
      <w:start w:val="1"/>
      <w:numFmt w:val="decimal"/>
      <w:lvlText w:val="%3."/>
      <w:lvlJc w:val="left"/>
      <w:pPr>
        <w:ind w:left="1020" w:hanging="360"/>
      </w:pPr>
    </w:lvl>
    <w:lvl w:ilvl="3" w:tplc="254C3C62">
      <w:start w:val="1"/>
      <w:numFmt w:val="decimal"/>
      <w:lvlText w:val="%4."/>
      <w:lvlJc w:val="left"/>
      <w:pPr>
        <w:ind w:left="1020" w:hanging="360"/>
      </w:pPr>
    </w:lvl>
    <w:lvl w:ilvl="4" w:tplc="EC2A9712">
      <w:start w:val="1"/>
      <w:numFmt w:val="decimal"/>
      <w:lvlText w:val="%5."/>
      <w:lvlJc w:val="left"/>
      <w:pPr>
        <w:ind w:left="1020" w:hanging="360"/>
      </w:pPr>
    </w:lvl>
    <w:lvl w:ilvl="5" w:tplc="2AF663A2">
      <w:start w:val="1"/>
      <w:numFmt w:val="decimal"/>
      <w:lvlText w:val="%6."/>
      <w:lvlJc w:val="left"/>
      <w:pPr>
        <w:ind w:left="1020" w:hanging="360"/>
      </w:pPr>
    </w:lvl>
    <w:lvl w:ilvl="6" w:tplc="C122CD0A">
      <w:start w:val="1"/>
      <w:numFmt w:val="decimal"/>
      <w:lvlText w:val="%7."/>
      <w:lvlJc w:val="left"/>
      <w:pPr>
        <w:ind w:left="1020" w:hanging="360"/>
      </w:pPr>
    </w:lvl>
    <w:lvl w:ilvl="7" w:tplc="800A6F5E">
      <w:start w:val="1"/>
      <w:numFmt w:val="decimal"/>
      <w:lvlText w:val="%8."/>
      <w:lvlJc w:val="left"/>
      <w:pPr>
        <w:ind w:left="1020" w:hanging="360"/>
      </w:pPr>
    </w:lvl>
    <w:lvl w:ilvl="8" w:tplc="095A2C3C">
      <w:start w:val="1"/>
      <w:numFmt w:val="decimal"/>
      <w:lvlText w:val="%9."/>
      <w:lvlJc w:val="left"/>
      <w:pPr>
        <w:ind w:left="1020" w:hanging="360"/>
      </w:pPr>
    </w:lvl>
  </w:abstractNum>
  <w:abstractNum w:abstractNumId="20" w15:restartNumberingAfterBreak="0">
    <w:nsid w:val="2DBB2CF4"/>
    <w:multiLevelType w:val="multilevel"/>
    <w:tmpl w:val="7E90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0EB0B1"/>
    <w:multiLevelType w:val="hybridMultilevel"/>
    <w:tmpl w:val="FFFFFFFF"/>
    <w:lvl w:ilvl="0" w:tplc="9724B22C">
      <w:start w:val="1"/>
      <w:numFmt w:val="bullet"/>
      <w:lvlText w:val="·"/>
      <w:lvlJc w:val="left"/>
      <w:pPr>
        <w:ind w:left="720" w:hanging="360"/>
      </w:pPr>
      <w:rPr>
        <w:rFonts w:ascii="Symbol" w:hAnsi="Symbol" w:hint="default"/>
      </w:rPr>
    </w:lvl>
    <w:lvl w:ilvl="1" w:tplc="B2C0E8FA">
      <w:start w:val="1"/>
      <w:numFmt w:val="bullet"/>
      <w:lvlText w:val="o"/>
      <w:lvlJc w:val="left"/>
      <w:pPr>
        <w:ind w:left="1440" w:hanging="360"/>
      </w:pPr>
      <w:rPr>
        <w:rFonts w:ascii="Courier New" w:hAnsi="Courier New" w:hint="default"/>
      </w:rPr>
    </w:lvl>
    <w:lvl w:ilvl="2" w:tplc="798EC92C">
      <w:start w:val="1"/>
      <w:numFmt w:val="bullet"/>
      <w:lvlText w:val=""/>
      <w:lvlJc w:val="left"/>
      <w:pPr>
        <w:ind w:left="2160" w:hanging="360"/>
      </w:pPr>
      <w:rPr>
        <w:rFonts w:ascii="Wingdings" w:hAnsi="Wingdings" w:hint="default"/>
      </w:rPr>
    </w:lvl>
    <w:lvl w:ilvl="3" w:tplc="38569CD6">
      <w:start w:val="1"/>
      <w:numFmt w:val="bullet"/>
      <w:lvlText w:val=""/>
      <w:lvlJc w:val="left"/>
      <w:pPr>
        <w:ind w:left="2880" w:hanging="360"/>
      </w:pPr>
      <w:rPr>
        <w:rFonts w:ascii="Symbol" w:hAnsi="Symbol" w:hint="default"/>
      </w:rPr>
    </w:lvl>
    <w:lvl w:ilvl="4" w:tplc="5C30F230">
      <w:start w:val="1"/>
      <w:numFmt w:val="bullet"/>
      <w:lvlText w:val="o"/>
      <w:lvlJc w:val="left"/>
      <w:pPr>
        <w:ind w:left="3600" w:hanging="360"/>
      </w:pPr>
      <w:rPr>
        <w:rFonts w:ascii="Courier New" w:hAnsi="Courier New" w:hint="default"/>
      </w:rPr>
    </w:lvl>
    <w:lvl w:ilvl="5" w:tplc="E3AAACCE">
      <w:start w:val="1"/>
      <w:numFmt w:val="bullet"/>
      <w:lvlText w:val=""/>
      <w:lvlJc w:val="left"/>
      <w:pPr>
        <w:ind w:left="4320" w:hanging="360"/>
      </w:pPr>
      <w:rPr>
        <w:rFonts w:ascii="Wingdings" w:hAnsi="Wingdings" w:hint="default"/>
      </w:rPr>
    </w:lvl>
    <w:lvl w:ilvl="6" w:tplc="C750DA3C">
      <w:start w:val="1"/>
      <w:numFmt w:val="bullet"/>
      <w:lvlText w:val=""/>
      <w:lvlJc w:val="left"/>
      <w:pPr>
        <w:ind w:left="5040" w:hanging="360"/>
      </w:pPr>
      <w:rPr>
        <w:rFonts w:ascii="Symbol" w:hAnsi="Symbol" w:hint="default"/>
      </w:rPr>
    </w:lvl>
    <w:lvl w:ilvl="7" w:tplc="BB60D1A2">
      <w:start w:val="1"/>
      <w:numFmt w:val="bullet"/>
      <w:lvlText w:val="o"/>
      <w:lvlJc w:val="left"/>
      <w:pPr>
        <w:ind w:left="5760" w:hanging="360"/>
      </w:pPr>
      <w:rPr>
        <w:rFonts w:ascii="Courier New" w:hAnsi="Courier New" w:hint="default"/>
      </w:rPr>
    </w:lvl>
    <w:lvl w:ilvl="8" w:tplc="BDAE2F56">
      <w:start w:val="1"/>
      <w:numFmt w:val="bullet"/>
      <w:lvlText w:val=""/>
      <w:lvlJc w:val="left"/>
      <w:pPr>
        <w:ind w:left="6480" w:hanging="360"/>
      </w:pPr>
      <w:rPr>
        <w:rFonts w:ascii="Wingdings" w:hAnsi="Wingdings" w:hint="default"/>
      </w:rPr>
    </w:lvl>
  </w:abstractNum>
  <w:abstractNum w:abstractNumId="22" w15:restartNumberingAfterBreak="0">
    <w:nsid w:val="30520485"/>
    <w:multiLevelType w:val="hybridMultilevel"/>
    <w:tmpl w:val="08448CE8"/>
    <w:lvl w:ilvl="0" w:tplc="4314D79C">
      <w:start w:val="1"/>
      <w:numFmt w:val="decimal"/>
      <w:lvlText w:val="%1."/>
      <w:lvlJc w:val="left"/>
      <w:pPr>
        <w:ind w:left="1020" w:hanging="360"/>
      </w:pPr>
    </w:lvl>
    <w:lvl w:ilvl="1" w:tplc="2690B8FE">
      <w:start w:val="1"/>
      <w:numFmt w:val="decimal"/>
      <w:lvlText w:val="%2."/>
      <w:lvlJc w:val="left"/>
      <w:pPr>
        <w:ind w:left="1020" w:hanging="360"/>
      </w:pPr>
    </w:lvl>
    <w:lvl w:ilvl="2" w:tplc="72E09616">
      <w:start w:val="1"/>
      <w:numFmt w:val="decimal"/>
      <w:lvlText w:val="%3."/>
      <w:lvlJc w:val="left"/>
      <w:pPr>
        <w:ind w:left="1020" w:hanging="360"/>
      </w:pPr>
    </w:lvl>
    <w:lvl w:ilvl="3" w:tplc="2ED4F984">
      <w:start w:val="1"/>
      <w:numFmt w:val="decimal"/>
      <w:lvlText w:val="%4."/>
      <w:lvlJc w:val="left"/>
      <w:pPr>
        <w:ind w:left="1020" w:hanging="360"/>
      </w:pPr>
    </w:lvl>
    <w:lvl w:ilvl="4" w:tplc="E2AEEDA2">
      <w:start w:val="1"/>
      <w:numFmt w:val="decimal"/>
      <w:lvlText w:val="%5."/>
      <w:lvlJc w:val="left"/>
      <w:pPr>
        <w:ind w:left="1020" w:hanging="360"/>
      </w:pPr>
    </w:lvl>
    <w:lvl w:ilvl="5" w:tplc="1124CF74">
      <w:start w:val="1"/>
      <w:numFmt w:val="decimal"/>
      <w:lvlText w:val="%6."/>
      <w:lvlJc w:val="left"/>
      <w:pPr>
        <w:ind w:left="1020" w:hanging="360"/>
      </w:pPr>
    </w:lvl>
    <w:lvl w:ilvl="6" w:tplc="3AE2823E">
      <w:start w:val="1"/>
      <w:numFmt w:val="decimal"/>
      <w:lvlText w:val="%7."/>
      <w:lvlJc w:val="left"/>
      <w:pPr>
        <w:ind w:left="1020" w:hanging="360"/>
      </w:pPr>
    </w:lvl>
    <w:lvl w:ilvl="7" w:tplc="EFE24454">
      <w:start w:val="1"/>
      <w:numFmt w:val="decimal"/>
      <w:lvlText w:val="%8."/>
      <w:lvlJc w:val="left"/>
      <w:pPr>
        <w:ind w:left="1020" w:hanging="360"/>
      </w:pPr>
    </w:lvl>
    <w:lvl w:ilvl="8" w:tplc="BCAC8D78">
      <w:start w:val="1"/>
      <w:numFmt w:val="decimal"/>
      <w:lvlText w:val="%9."/>
      <w:lvlJc w:val="left"/>
      <w:pPr>
        <w:ind w:left="1020" w:hanging="360"/>
      </w:pPr>
    </w:lvl>
  </w:abstractNum>
  <w:abstractNum w:abstractNumId="23" w15:restartNumberingAfterBreak="0">
    <w:nsid w:val="31FCAEE8"/>
    <w:multiLevelType w:val="hybridMultilevel"/>
    <w:tmpl w:val="FFFFFFFF"/>
    <w:lvl w:ilvl="0" w:tplc="970E68EC">
      <w:start w:val="1"/>
      <w:numFmt w:val="bullet"/>
      <w:lvlText w:val="·"/>
      <w:lvlJc w:val="left"/>
      <w:pPr>
        <w:ind w:left="720" w:hanging="360"/>
      </w:pPr>
      <w:rPr>
        <w:rFonts w:ascii="Symbol" w:hAnsi="Symbol" w:hint="default"/>
      </w:rPr>
    </w:lvl>
    <w:lvl w:ilvl="1" w:tplc="867E1EEE">
      <w:start w:val="1"/>
      <w:numFmt w:val="bullet"/>
      <w:lvlText w:val="o"/>
      <w:lvlJc w:val="left"/>
      <w:pPr>
        <w:ind w:left="1440" w:hanging="360"/>
      </w:pPr>
      <w:rPr>
        <w:rFonts w:ascii="Courier New" w:hAnsi="Courier New" w:hint="default"/>
      </w:rPr>
    </w:lvl>
    <w:lvl w:ilvl="2" w:tplc="F0C2C896">
      <w:start w:val="1"/>
      <w:numFmt w:val="bullet"/>
      <w:lvlText w:val=""/>
      <w:lvlJc w:val="left"/>
      <w:pPr>
        <w:ind w:left="2160" w:hanging="360"/>
      </w:pPr>
      <w:rPr>
        <w:rFonts w:ascii="Wingdings" w:hAnsi="Wingdings" w:hint="default"/>
      </w:rPr>
    </w:lvl>
    <w:lvl w:ilvl="3" w:tplc="BF2ED510">
      <w:start w:val="1"/>
      <w:numFmt w:val="bullet"/>
      <w:lvlText w:val=""/>
      <w:lvlJc w:val="left"/>
      <w:pPr>
        <w:ind w:left="2880" w:hanging="360"/>
      </w:pPr>
      <w:rPr>
        <w:rFonts w:ascii="Symbol" w:hAnsi="Symbol" w:hint="default"/>
      </w:rPr>
    </w:lvl>
    <w:lvl w:ilvl="4" w:tplc="3E8C0B04">
      <w:start w:val="1"/>
      <w:numFmt w:val="bullet"/>
      <w:lvlText w:val="o"/>
      <w:lvlJc w:val="left"/>
      <w:pPr>
        <w:ind w:left="3600" w:hanging="360"/>
      </w:pPr>
      <w:rPr>
        <w:rFonts w:ascii="Courier New" w:hAnsi="Courier New" w:hint="default"/>
      </w:rPr>
    </w:lvl>
    <w:lvl w:ilvl="5" w:tplc="FF4A48D0">
      <w:start w:val="1"/>
      <w:numFmt w:val="bullet"/>
      <w:lvlText w:val=""/>
      <w:lvlJc w:val="left"/>
      <w:pPr>
        <w:ind w:left="4320" w:hanging="360"/>
      </w:pPr>
      <w:rPr>
        <w:rFonts w:ascii="Wingdings" w:hAnsi="Wingdings" w:hint="default"/>
      </w:rPr>
    </w:lvl>
    <w:lvl w:ilvl="6" w:tplc="B8228FFC">
      <w:start w:val="1"/>
      <w:numFmt w:val="bullet"/>
      <w:lvlText w:val=""/>
      <w:lvlJc w:val="left"/>
      <w:pPr>
        <w:ind w:left="5040" w:hanging="360"/>
      </w:pPr>
      <w:rPr>
        <w:rFonts w:ascii="Symbol" w:hAnsi="Symbol" w:hint="default"/>
      </w:rPr>
    </w:lvl>
    <w:lvl w:ilvl="7" w:tplc="61268E2E">
      <w:start w:val="1"/>
      <w:numFmt w:val="bullet"/>
      <w:lvlText w:val="o"/>
      <w:lvlJc w:val="left"/>
      <w:pPr>
        <w:ind w:left="5760" w:hanging="360"/>
      </w:pPr>
      <w:rPr>
        <w:rFonts w:ascii="Courier New" w:hAnsi="Courier New" w:hint="default"/>
      </w:rPr>
    </w:lvl>
    <w:lvl w:ilvl="8" w:tplc="203E2F88">
      <w:start w:val="1"/>
      <w:numFmt w:val="bullet"/>
      <w:lvlText w:val=""/>
      <w:lvlJc w:val="left"/>
      <w:pPr>
        <w:ind w:left="6480" w:hanging="360"/>
      </w:pPr>
      <w:rPr>
        <w:rFonts w:ascii="Wingdings" w:hAnsi="Wingdings" w:hint="default"/>
      </w:rPr>
    </w:lvl>
  </w:abstractNum>
  <w:abstractNum w:abstractNumId="24" w15:restartNumberingAfterBreak="0">
    <w:nsid w:val="369E166F"/>
    <w:multiLevelType w:val="multilevel"/>
    <w:tmpl w:val="C4B6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C169C7"/>
    <w:multiLevelType w:val="hybridMultilevel"/>
    <w:tmpl w:val="FFFFFFFF"/>
    <w:lvl w:ilvl="0" w:tplc="F8DA6BFE">
      <w:start w:val="1"/>
      <w:numFmt w:val="bullet"/>
      <w:lvlText w:val=""/>
      <w:lvlJc w:val="left"/>
      <w:pPr>
        <w:ind w:left="720" w:hanging="360"/>
      </w:pPr>
      <w:rPr>
        <w:rFonts w:ascii="Symbol" w:hAnsi="Symbol" w:hint="default"/>
      </w:rPr>
    </w:lvl>
    <w:lvl w:ilvl="1" w:tplc="75166B3A">
      <w:start w:val="1"/>
      <w:numFmt w:val="bullet"/>
      <w:lvlText w:val="o"/>
      <w:lvlJc w:val="left"/>
      <w:pPr>
        <w:ind w:left="1440" w:hanging="360"/>
      </w:pPr>
      <w:rPr>
        <w:rFonts w:ascii="Courier New" w:hAnsi="Courier New" w:hint="default"/>
      </w:rPr>
    </w:lvl>
    <w:lvl w:ilvl="2" w:tplc="0E4AA230">
      <w:start w:val="1"/>
      <w:numFmt w:val="bullet"/>
      <w:lvlText w:val=""/>
      <w:lvlJc w:val="left"/>
      <w:pPr>
        <w:ind w:left="2160" w:hanging="360"/>
      </w:pPr>
      <w:rPr>
        <w:rFonts w:ascii="Wingdings" w:hAnsi="Wingdings" w:hint="default"/>
      </w:rPr>
    </w:lvl>
    <w:lvl w:ilvl="3" w:tplc="A398A5D8">
      <w:start w:val="1"/>
      <w:numFmt w:val="bullet"/>
      <w:lvlText w:val=""/>
      <w:lvlJc w:val="left"/>
      <w:pPr>
        <w:ind w:left="2880" w:hanging="360"/>
      </w:pPr>
      <w:rPr>
        <w:rFonts w:ascii="Symbol" w:hAnsi="Symbol" w:hint="default"/>
      </w:rPr>
    </w:lvl>
    <w:lvl w:ilvl="4" w:tplc="FFAE6372">
      <w:start w:val="1"/>
      <w:numFmt w:val="bullet"/>
      <w:lvlText w:val="o"/>
      <w:lvlJc w:val="left"/>
      <w:pPr>
        <w:ind w:left="3600" w:hanging="360"/>
      </w:pPr>
      <w:rPr>
        <w:rFonts w:ascii="Courier New" w:hAnsi="Courier New" w:hint="default"/>
      </w:rPr>
    </w:lvl>
    <w:lvl w:ilvl="5" w:tplc="85B87BA2">
      <w:start w:val="1"/>
      <w:numFmt w:val="bullet"/>
      <w:lvlText w:val=""/>
      <w:lvlJc w:val="left"/>
      <w:pPr>
        <w:ind w:left="4320" w:hanging="360"/>
      </w:pPr>
      <w:rPr>
        <w:rFonts w:ascii="Wingdings" w:hAnsi="Wingdings" w:hint="default"/>
      </w:rPr>
    </w:lvl>
    <w:lvl w:ilvl="6" w:tplc="97A055A8">
      <w:start w:val="1"/>
      <w:numFmt w:val="bullet"/>
      <w:lvlText w:val=""/>
      <w:lvlJc w:val="left"/>
      <w:pPr>
        <w:ind w:left="5040" w:hanging="360"/>
      </w:pPr>
      <w:rPr>
        <w:rFonts w:ascii="Symbol" w:hAnsi="Symbol" w:hint="default"/>
      </w:rPr>
    </w:lvl>
    <w:lvl w:ilvl="7" w:tplc="9276223E">
      <w:start w:val="1"/>
      <w:numFmt w:val="bullet"/>
      <w:lvlText w:val="o"/>
      <w:lvlJc w:val="left"/>
      <w:pPr>
        <w:ind w:left="5760" w:hanging="360"/>
      </w:pPr>
      <w:rPr>
        <w:rFonts w:ascii="Courier New" w:hAnsi="Courier New" w:hint="default"/>
      </w:rPr>
    </w:lvl>
    <w:lvl w:ilvl="8" w:tplc="31563930">
      <w:start w:val="1"/>
      <w:numFmt w:val="bullet"/>
      <w:lvlText w:val=""/>
      <w:lvlJc w:val="left"/>
      <w:pPr>
        <w:ind w:left="6480" w:hanging="360"/>
      </w:pPr>
      <w:rPr>
        <w:rFonts w:ascii="Wingdings" w:hAnsi="Wingdings" w:hint="default"/>
      </w:rPr>
    </w:lvl>
  </w:abstractNum>
  <w:abstractNum w:abstractNumId="26" w15:restartNumberingAfterBreak="0">
    <w:nsid w:val="3DE24D3E"/>
    <w:multiLevelType w:val="hybridMultilevel"/>
    <w:tmpl w:val="04F8EAA8"/>
    <w:lvl w:ilvl="0" w:tplc="D11CC44C">
      <w:start w:val="1"/>
      <w:numFmt w:val="bullet"/>
      <w:lvlText w:val=""/>
      <w:lvlJc w:val="left"/>
      <w:pPr>
        <w:ind w:left="1020" w:hanging="360"/>
      </w:pPr>
      <w:rPr>
        <w:rFonts w:ascii="Symbol" w:hAnsi="Symbol"/>
      </w:rPr>
    </w:lvl>
    <w:lvl w:ilvl="1" w:tplc="3536D4EA">
      <w:start w:val="1"/>
      <w:numFmt w:val="bullet"/>
      <w:lvlText w:val=""/>
      <w:lvlJc w:val="left"/>
      <w:pPr>
        <w:ind w:left="1020" w:hanging="360"/>
      </w:pPr>
      <w:rPr>
        <w:rFonts w:ascii="Symbol" w:hAnsi="Symbol"/>
      </w:rPr>
    </w:lvl>
    <w:lvl w:ilvl="2" w:tplc="B8401F4E">
      <w:start w:val="1"/>
      <w:numFmt w:val="bullet"/>
      <w:lvlText w:val=""/>
      <w:lvlJc w:val="left"/>
      <w:pPr>
        <w:ind w:left="1020" w:hanging="360"/>
      </w:pPr>
      <w:rPr>
        <w:rFonts w:ascii="Symbol" w:hAnsi="Symbol"/>
      </w:rPr>
    </w:lvl>
    <w:lvl w:ilvl="3" w:tplc="69DECFD0">
      <w:start w:val="1"/>
      <w:numFmt w:val="bullet"/>
      <w:lvlText w:val=""/>
      <w:lvlJc w:val="left"/>
      <w:pPr>
        <w:ind w:left="1020" w:hanging="360"/>
      </w:pPr>
      <w:rPr>
        <w:rFonts w:ascii="Symbol" w:hAnsi="Symbol"/>
      </w:rPr>
    </w:lvl>
    <w:lvl w:ilvl="4" w:tplc="EAD464C8">
      <w:start w:val="1"/>
      <w:numFmt w:val="bullet"/>
      <w:lvlText w:val=""/>
      <w:lvlJc w:val="left"/>
      <w:pPr>
        <w:ind w:left="1020" w:hanging="360"/>
      </w:pPr>
      <w:rPr>
        <w:rFonts w:ascii="Symbol" w:hAnsi="Symbol"/>
      </w:rPr>
    </w:lvl>
    <w:lvl w:ilvl="5" w:tplc="C810BC86">
      <w:start w:val="1"/>
      <w:numFmt w:val="bullet"/>
      <w:lvlText w:val=""/>
      <w:lvlJc w:val="left"/>
      <w:pPr>
        <w:ind w:left="1020" w:hanging="360"/>
      </w:pPr>
      <w:rPr>
        <w:rFonts w:ascii="Symbol" w:hAnsi="Symbol"/>
      </w:rPr>
    </w:lvl>
    <w:lvl w:ilvl="6" w:tplc="D79E53EE">
      <w:start w:val="1"/>
      <w:numFmt w:val="bullet"/>
      <w:lvlText w:val=""/>
      <w:lvlJc w:val="left"/>
      <w:pPr>
        <w:ind w:left="1020" w:hanging="360"/>
      </w:pPr>
      <w:rPr>
        <w:rFonts w:ascii="Symbol" w:hAnsi="Symbol"/>
      </w:rPr>
    </w:lvl>
    <w:lvl w:ilvl="7" w:tplc="39E2E3DE">
      <w:start w:val="1"/>
      <w:numFmt w:val="bullet"/>
      <w:lvlText w:val=""/>
      <w:lvlJc w:val="left"/>
      <w:pPr>
        <w:ind w:left="1020" w:hanging="360"/>
      </w:pPr>
      <w:rPr>
        <w:rFonts w:ascii="Symbol" w:hAnsi="Symbol"/>
      </w:rPr>
    </w:lvl>
    <w:lvl w:ilvl="8" w:tplc="5B66B784">
      <w:start w:val="1"/>
      <w:numFmt w:val="bullet"/>
      <w:lvlText w:val=""/>
      <w:lvlJc w:val="left"/>
      <w:pPr>
        <w:ind w:left="1020" w:hanging="360"/>
      </w:pPr>
      <w:rPr>
        <w:rFonts w:ascii="Symbol" w:hAnsi="Symbol"/>
      </w:rPr>
    </w:lvl>
  </w:abstractNum>
  <w:abstractNum w:abstractNumId="27" w15:restartNumberingAfterBreak="0">
    <w:nsid w:val="3FE033D3"/>
    <w:multiLevelType w:val="hybridMultilevel"/>
    <w:tmpl w:val="B03C790E"/>
    <w:lvl w:ilvl="0" w:tplc="70C6FC58">
      <w:start w:val="1"/>
      <w:numFmt w:val="decimal"/>
      <w:lvlText w:val="%1."/>
      <w:lvlJc w:val="left"/>
      <w:pPr>
        <w:ind w:left="1020" w:hanging="360"/>
      </w:pPr>
    </w:lvl>
    <w:lvl w:ilvl="1" w:tplc="4F5AB5F8">
      <w:start w:val="1"/>
      <w:numFmt w:val="decimal"/>
      <w:lvlText w:val="%2."/>
      <w:lvlJc w:val="left"/>
      <w:pPr>
        <w:ind w:left="1020" w:hanging="360"/>
      </w:pPr>
    </w:lvl>
    <w:lvl w:ilvl="2" w:tplc="8E8C3930">
      <w:start w:val="1"/>
      <w:numFmt w:val="decimal"/>
      <w:lvlText w:val="%3."/>
      <w:lvlJc w:val="left"/>
      <w:pPr>
        <w:ind w:left="1020" w:hanging="360"/>
      </w:pPr>
    </w:lvl>
    <w:lvl w:ilvl="3" w:tplc="3C223730">
      <w:start w:val="1"/>
      <w:numFmt w:val="decimal"/>
      <w:lvlText w:val="%4."/>
      <w:lvlJc w:val="left"/>
      <w:pPr>
        <w:ind w:left="1020" w:hanging="360"/>
      </w:pPr>
    </w:lvl>
    <w:lvl w:ilvl="4" w:tplc="A8D68ECC">
      <w:start w:val="1"/>
      <w:numFmt w:val="decimal"/>
      <w:lvlText w:val="%5."/>
      <w:lvlJc w:val="left"/>
      <w:pPr>
        <w:ind w:left="1020" w:hanging="360"/>
      </w:pPr>
    </w:lvl>
    <w:lvl w:ilvl="5" w:tplc="C3260D4E">
      <w:start w:val="1"/>
      <w:numFmt w:val="decimal"/>
      <w:lvlText w:val="%6."/>
      <w:lvlJc w:val="left"/>
      <w:pPr>
        <w:ind w:left="1020" w:hanging="360"/>
      </w:pPr>
    </w:lvl>
    <w:lvl w:ilvl="6" w:tplc="BB6A5D90">
      <w:start w:val="1"/>
      <w:numFmt w:val="decimal"/>
      <w:lvlText w:val="%7."/>
      <w:lvlJc w:val="left"/>
      <w:pPr>
        <w:ind w:left="1020" w:hanging="360"/>
      </w:pPr>
    </w:lvl>
    <w:lvl w:ilvl="7" w:tplc="E146F3C6">
      <w:start w:val="1"/>
      <w:numFmt w:val="decimal"/>
      <w:lvlText w:val="%8."/>
      <w:lvlJc w:val="left"/>
      <w:pPr>
        <w:ind w:left="1020" w:hanging="360"/>
      </w:pPr>
    </w:lvl>
    <w:lvl w:ilvl="8" w:tplc="8A28C48E">
      <w:start w:val="1"/>
      <w:numFmt w:val="decimal"/>
      <w:lvlText w:val="%9."/>
      <w:lvlJc w:val="left"/>
      <w:pPr>
        <w:ind w:left="1020" w:hanging="360"/>
      </w:pPr>
    </w:lvl>
  </w:abstractNum>
  <w:abstractNum w:abstractNumId="28" w15:restartNumberingAfterBreak="0">
    <w:nsid w:val="45C31200"/>
    <w:multiLevelType w:val="hybridMultilevel"/>
    <w:tmpl w:val="9F5C113C"/>
    <w:lvl w:ilvl="0" w:tplc="785242B4">
      <w:start w:val="1"/>
      <w:numFmt w:val="decimal"/>
      <w:lvlText w:val="%1."/>
      <w:lvlJc w:val="left"/>
      <w:pPr>
        <w:ind w:left="1020" w:hanging="360"/>
      </w:pPr>
    </w:lvl>
    <w:lvl w:ilvl="1" w:tplc="7F16E6E8">
      <w:start w:val="1"/>
      <w:numFmt w:val="decimal"/>
      <w:lvlText w:val="%2."/>
      <w:lvlJc w:val="left"/>
      <w:pPr>
        <w:ind w:left="1020" w:hanging="360"/>
      </w:pPr>
    </w:lvl>
    <w:lvl w:ilvl="2" w:tplc="186C6736">
      <w:start w:val="1"/>
      <w:numFmt w:val="decimal"/>
      <w:lvlText w:val="%3."/>
      <w:lvlJc w:val="left"/>
      <w:pPr>
        <w:ind w:left="1020" w:hanging="360"/>
      </w:pPr>
    </w:lvl>
    <w:lvl w:ilvl="3" w:tplc="1A94F486">
      <w:start w:val="1"/>
      <w:numFmt w:val="decimal"/>
      <w:lvlText w:val="%4."/>
      <w:lvlJc w:val="left"/>
      <w:pPr>
        <w:ind w:left="1020" w:hanging="360"/>
      </w:pPr>
    </w:lvl>
    <w:lvl w:ilvl="4" w:tplc="7390BD28">
      <w:start w:val="1"/>
      <w:numFmt w:val="decimal"/>
      <w:lvlText w:val="%5."/>
      <w:lvlJc w:val="left"/>
      <w:pPr>
        <w:ind w:left="1020" w:hanging="360"/>
      </w:pPr>
    </w:lvl>
    <w:lvl w:ilvl="5" w:tplc="2962F5BC">
      <w:start w:val="1"/>
      <w:numFmt w:val="decimal"/>
      <w:lvlText w:val="%6."/>
      <w:lvlJc w:val="left"/>
      <w:pPr>
        <w:ind w:left="1020" w:hanging="360"/>
      </w:pPr>
    </w:lvl>
    <w:lvl w:ilvl="6" w:tplc="D7F0B836">
      <w:start w:val="1"/>
      <w:numFmt w:val="decimal"/>
      <w:lvlText w:val="%7."/>
      <w:lvlJc w:val="left"/>
      <w:pPr>
        <w:ind w:left="1020" w:hanging="360"/>
      </w:pPr>
    </w:lvl>
    <w:lvl w:ilvl="7" w:tplc="894A4C9E">
      <w:start w:val="1"/>
      <w:numFmt w:val="decimal"/>
      <w:lvlText w:val="%8."/>
      <w:lvlJc w:val="left"/>
      <w:pPr>
        <w:ind w:left="1020" w:hanging="360"/>
      </w:pPr>
    </w:lvl>
    <w:lvl w:ilvl="8" w:tplc="CAF24AEE">
      <w:start w:val="1"/>
      <w:numFmt w:val="decimal"/>
      <w:lvlText w:val="%9."/>
      <w:lvlJc w:val="left"/>
      <w:pPr>
        <w:ind w:left="1020" w:hanging="360"/>
      </w:pPr>
    </w:lvl>
  </w:abstractNum>
  <w:abstractNum w:abstractNumId="29" w15:restartNumberingAfterBreak="0">
    <w:nsid w:val="47820E4E"/>
    <w:multiLevelType w:val="hybridMultilevel"/>
    <w:tmpl w:val="FFFFFFFF"/>
    <w:lvl w:ilvl="0" w:tplc="8E584BE8">
      <w:start w:val="1"/>
      <w:numFmt w:val="bullet"/>
      <w:lvlText w:val=""/>
      <w:lvlJc w:val="left"/>
      <w:pPr>
        <w:ind w:left="360" w:hanging="360"/>
      </w:pPr>
      <w:rPr>
        <w:rFonts w:ascii="Symbol" w:hAnsi="Symbol" w:hint="default"/>
      </w:rPr>
    </w:lvl>
    <w:lvl w:ilvl="1" w:tplc="73AADEDA">
      <w:start w:val="1"/>
      <w:numFmt w:val="bullet"/>
      <w:lvlText w:val="o"/>
      <w:lvlJc w:val="left"/>
      <w:pPr>
        <w:ind w:left="1080" w:hanging="360"/>
      </w:pPr>
      <w:rPr>
        <w:rFonts w:ascii="Courier New" w:hAnsi="Courier New" w:hint="default"/>
      </w:rPr>
    </w:lvl>
    <w:lvl w:ilvl="2" w:tplc="D1F896CA">
      <w:start w:val="1"/>
      <w:numFmt w:val="bullet"/>
      <w:lvlText w:val=""/>
      <w:lvlJc w:val="left"/>
      <w:pPr>
        <w:ind w:left="1800" w:hanging="360"/>
      </w:pPr>
      <w:rPr>
        <w:rFonts w:ascii="Wingdings" w:hAnsi="Wingdings" w:hint="default"/>
      </w:rPr>
    </w:lvl>
    <w:lvl w:ilvl="3" w:tplc="5AD64A2A">
      <w:start w:val="1"/>
      <w:numFmt w:val="bullet"/>
      <w:lvlText w:val=""/>
      <w:lvlJc w:val="left"/>
      <w:pPr>
        <w:ind w:left="2520" w:hanging="360"/>
      </w:pPr>
      <w:rPr>
        <w:rFonts w:ascii="Symbol" w:hAnsi="Symbol" w:hint="default"/>
      </w:rPr>
    </w:lvl>
    <w:lvl w:ilvl="4" w:tplc="7AA0EC36">
      <w:start w:val="1"/>
      <w:numFmt w:val="bullet"/>
      <w:lvlText w:val="o"/>
      <w:lvlJc w:val="left"/>
      <w:pPr>
        <w:ind w:left="3240" w:hanging="360"/>
      </w:pPr>
      <w:rPr>
        <w:rFonts w:ascii="Courier New" w:hAnsi="Courier New" w:hint="default"/>
      </w:rPr>
    </w:lvl>
    <w:lvl w:ilvl="5" w:tplc="5D4EF2F2">
      <w:start w:val="1"/>
      <w:numFmt w:val="bullet"/>
      <w:lvlText w:val=""/>
      <w:lvlJc w:val="left"/>
      <w:pPr>
        <w:ind w:left="3960" w:hanging="360"/>
      </w:pPr>
      <w:rPr>
        <w:rFonts w:ascii="Wingdings" w:hAnsi="Wingdings" w:hint="default"/>
      </w:rPr>
    </w:lvl>
    <w:lvl w:ilvl="6" w:tplc="C76C2754">
      <w:start w:val="1"/>
      <w:numFmt w:val="bullet"/>
      <w:lvlText w:val=""/>
      <w:lvlJc w:val="left"/>
      <w:pPr>
        <w:ind w:left="4680" w:hanging="360"/>
      </w:pPr>
      <w:rPr>
        <w:rFonts w:ascii="Symbol" w:hAnsi="Symbol" w:hint="default"/>
      </w:rPr>
    </w:lvl>
    <w:lvl w:ilvl="7" w:tplc="1DC42782">
      <w:start w:val="1"/>
      <w:numFmt w:val="bullet"/>
      <w:lvlText w:val="o"/>
      <w:lvlJc w:val="left"/>
      <w:pPr>
        <w:ind w:left="5400" w:hanging="360"/>
      </w:pPr>
      <w:rPr>
        <w:rFonts w:ascii="Courier New" w:hAnsi="Courier New" w:hint="default"/>
      </w:rPr>
    </w:lvl>
    <w:lvl w:ilvl="8" w:tplc="28B6249A">
      <w:start w:val="1"/>
      <w:numFmt w:val="bullet"/>
      <w:lvlText w:val=""/>
      <w:lvlJc w:val="left"/>
      <w:pPr>
        <w:ind w:left="6120" w:hanging="360"/>
      </w:pPr>
      <w:rPr>
        <w:rFonts w:ascii="Wingdings" w:hAnsi="Wingdings" w:hint="default"/>
      </w:rPr>
    </w:lvl>
  </w:abstractNum>
  <w:abstractNum w:abstractNumId="30" w15:restartNumberingAfterBreak="0">
    <w:nsid w:val="4EF310D7"/>
    <w:multiLevelType w:val="hybridMultilevel"/>
    <w:tmpl w:val="562093E6"/>
    <w:lvl w:ilvl="0" w:tplc="6F2A0A50">
      <w:start w:val="1"/>
      <w:numFmt w:val="decimal"/>
      <w:lvlText w:val="%1."/>
      <w:lvlJc w:val="left"/>
      <w:pPr>
        <w:ind w:left="1020" w:hanging="360"/>
      </w:pPr>
    </w:lvl>
    <w:lvl w:ilvl="1" w:tplc="F16C3F52">
      <w:start w:val="1"/>
      <w:numFmt w:val="decimal"/>
      <w:lvlText w:val="%2."/>
      <w:lvlJc w:val="left"/>
      <w:pPr>
        <w:ind w:left="1020" w:hanging="360"/>
      </w:pPr>
    </w:lvl>
    <w:lvl w:ilvl="2" w:tplc="7C483910">
      <w:start w:val="1"/>
      <w:numFmt w:val="decimal"/>
      <w:lvlText w:val="%3."/>
      <w:lvlJc w:val="left"/>
      <w:pPr>
        <w:ind w:left="1020" w:hanging="360"/>
      </w:pPr>
    </w:lvl>
    <w:lvl w:ilvl="3" w:tplc="A6D819EE">
      <w:start w:val="1"/>
      <w:numFmt w:val="decimal"/>
      <w:lvlText w:val="%4."/>
      <w:lvlJc w:val="left"/>
      <w:pPr>
        <w:ind w:left="1020" w:hanging="360"/>
      </w:pPr>
    </w:lvl>
    <w:lvl w:ilvl="4" w:tplc="3A38FC44">
      <w:start w:val="1"/>
      <w:numFmt w:val="decimal"/>
      <w:lvlText w:val="%5."/>
      <w:lvlJc w:val="left"/>
      <w:pPr>
        <w:ind w:left="1020" w:hanging="360"/>
      </w:pPr>
    </w:lvl>
    <w:lvl w:ilvl="5" w:tplc="5442EEBC">
      <w:start w:val="1"/>
      <w:numFmt w:val="decimal"/>
      <w:lvlText w:val="%6."/>
      <w:lvlJc w:val="left"/>
      <w:pPr>
        <w:ind w:left="1020" w:hanging="360"/>
      </w:pPr>
    </w:lvl>
    <w:lvl w:ilvl="6" w:tplc="23D28B04">
      <w:start w:val="1"/>
      <w:numFmt w:val="decimal"/>
      <w:lvlText w:val="%7."/>
      <w:lvlJc w:val="left"/>
      <w:pPr>
        <w:ind w:left="1020" w:hanging="360"/>
      </w:pPr>
    </w:lvl>
    <w:lvl w:ilvl="7" w:tplc="B89E21CC">
      <w:start w:val="1"/>
      <w:numFmt w:val="decimal"/>
      <w:lvlText w:val="%8."/>
      <w:lvlJc w:val="left"/>
      <w:pPr>
        <w:ind w:left="1020" w:hanging="360"/>
      </w:pPr>
    </w:lvl>
    <w:lvl w:ilvl="8" w:tplc="DE143158">
      <w:start w:val="1"/>
      <w:numFmt w:val="decimal"/>
      <w:lvlText w:val="%9."/>
      <w:lvlJc w:val="left"/>
      <w:pPr>
        <w:ind w:left="1020" w:hanging="360"/>
      </w:pPr>
    </w:lvl>
  </w:abstractNum>
  <w:abstractNum w:abstractNumId="31" w15:restartNumberingAfterBreak="0">
    <w:nsid w:val="5077369D"/>
    <w:multiLevelType w:val="hybridMultilevel"/>
    <w:tmpl w:val="A888D60E"/>
    <w:lvl w:ilvl="0" w:tplc="51C43F5A">
      <w:start w:val="1"/>
      <w:numFmt w:val="decimal"/>
      <w:lvlText w:val="%1."/>
      <w:lvlJc w:val="left"/>
      <w:pPr>
        <w:ind w:left="1020" w:hanging="360"/>
      </w:pPr>
    </w:lvl>
    <w:lvl w:ilvl="1" w:tplc="F212614E">
      <w:start w:val="1"/>
      <w:numFmt w:val="decimal"/>
      <w:lvlText w:val="%2."/>
      <w:lvlJc w:val="left"/>
      <w:pPr>
        <w:ind w:left="1020" w:hanging="360"/>
      </w:pPr>
    </w:lvl>
    <w:lvl w:ilvl="2" w:tplc="4D763F30">
      <w:start w:val="1"/>
      <w:numFmt w:val="decimal"/>
      <w:lvlText w:val="%3."/>
      <w:lvlJc w:val="left"/>
      <w:pPr>
        <w:ind w:left="1020" w:hanging="360"/>
      </w:pPr>
    </w:lvl>
    <w:lvl w:ilvl="3" w:tplc="87AEA6E8">
      <w:start w:val="1"/>
      <w:numFmt w:val="decimal"/>
      <w:lvlText w:val="%4."/>
      <w:lvlJc w:val="left"/>
      <w:pPr>
        <w:ind w:left="1020" w:hanging="360"/>
      </w:pPr>
    </w:lvl>
    <w:lvl w:ilvl="4" w:tplc="B122E12E">
      <w:start w:val="1"/>
      <w:numFmt w:val="decimal"/>
      <w:lvlText w:val="%5."/>
      <w:lvlJc w:val="left"/>
      <w:pPr>
        <w:ind w:left="1020" w:hanging="360"/>
      </w:pPr>
    </w:lvl>
    <w:lvl w:ilvl="5" w:tplc="1CCAB522">
      <w:start w:val="1"/>
      <w:numFmt w:val="decimal"/>
      <w:lvlText w:val="%6."/>
      <w:lvlJc w:val="left"/>
      <w:pPr>
        <w:ind w:left="1020" w:hanging="360"/>
      </w:pPr>
    </w:lvl>
    <w:lvl w:ilvl="6" w:tplc="6ED6A97E">
      <w:start w:val="1"/>
      <w:numFmt w:val="decimal"/>
      <w:lvlText w:val="%7."/>
      <w:lvlJc w:val="left"/>
      <w:pPr>
        <w:ind w:left="1020" w:hanging="360"/>
      </w:pPr>
    </w:lvl>
    <w:lvl w:ilvl="7" w:tplc="E77407A4">
      <w:start w:val="1"/>
      <w:numFmt w:val="decimal"/>
      <w:lvlText w:val="%8."/>
      <w:lvlJc w:val="left"/>
      <w:pPr>
        <w:ind w:left="1020" w:hanging="360"/>
      </w:pPr>
    </w:lvl>
    <w:lvl w:ilvl="8" w:tplc="666EE80A">
      <w:start w:val="1"/>
      <w:numFmt w:val="decimal"/>
      <w:lvlText w:val="%9."/>
      <w:lvlJc w:val="left"/>
      <w:pPr>
        <w:ind w:left="1020" w:hanging="360"/>
      </w:pPr>
    </w:lvl>
  </w:abstractNum>
  <w:abstractNum w:abstractNumId="32" w15:restartNumberingAfterBreak="0">
    <w:nsid w:val="55A90A64"/>
    <w:multiLevelType w:val="hybridMultilevel"/>
    <w:tmpl w:val="BA76E88A"/>
    <w:lvl w:ilvl="0" w:tplc="8BF83898">
      <w:start w:val="1"/>
      <w:numFmt w:val="decimal"/>
      <w:lvlText w:val="%1."/>
      <w:lvlJc w:val="left"/>
      <w:pPr>
        <w:ind w:left="1020" w:hanging="360"/>
      </w:pPr>
    </w:lvl>
    <w:lvl w:ilvl="1" w:tplc="72861F86">
      <w:start w:val="1"/>
      <w:numFmt w:val="decimal"/>
      <w:lvlText w:val="%2."/>
      <w:lvlJc w:val="left"/>
      <w:pPr>
        <w:ind w:left="1020" w:hanging="360"/>
      </w:pPr>
    </w:lvl>
    <w:lvl w:ilvl="2" w:tplc="DF902D3C">
      <w:start w:val="1"/>
      <w:numFmt w:val="decimal"/>
      <w:lvlText w:val="%3."/>
      <w:lvlJc w:val="left"/>
      <w:pPr>
        <w:ind w:left="1020" w:hanging="360"/>
      </w:pPr>
    </w:lvl>
    <w:lvl w:ilvl="3" w:tplc="E24C425C">
      <w:start w:val="1"/>
      <w:numFmt w:val="decimal"/>
      <w:lvlText w:val="%4."/>
      <w:lvlJc w:val="left"/>
      <w:pPr>
        <w:ind w:left="1020" w:hanging="360"/>
      </w:pPr>
    </w:lvl>
    <w:lvl w:ilvl="4" w:tplc="23A6E7AA">
      <w:start w:val="1"/>
      <w:numFmt w:val="decimal"/>
      <w:lvlText w:val="%5."/>
      <w:lvlJc w:val="left"/>
      <w:pPr>
        <w:ind w:left="1020" w:hanging="360"/>
      </w:pPr>
    </w:lvl>
    <w:lvl w:ilvl="5" w:tplc="E4260A12">
      <w:start w:val="1"/>
      <w:numFmt w:val="decimal"/>
      <w:lvlText w:val="%6."/>
      <w:lvlJc w:val="left"/>
      <w:pPr>
        <w:ind w:left="1020" w:hanging="360"/>
      </w:pPr>
    </w:lvl>
    <w:lvl w:ilvl="6" w:tplc="B446583C">
      <w:start w:val="1"/>
      <w:numFmt w:val="decimal"/>
      <w:lvlText w:val="%7."/>
      <w:lvlJc w:val="left"/>
      <w:pPr>
        <w:ind w:left="1020" w:hanging="360"/>
      </w:pPr>
    </w:lvl>
    <w:lvl w:ilvl="7" w:tplc="58424F32">
      <w:start w:val="1"/>
      <w:numFmt w:val="decimal"/>
      <w:lvlText w:val="%8."/>
      <w:lvlJc w:val="left"/>
      <w:pPr>
        <w:ind w:left="1020" w:hanging="360"/>
      </w:pPr>
    </w:lvl>
    <w:lvl w:ilvl="8" w:tplc="B6C89886">
      <w:start w:val="1"/>
      <w:numFmt w:val="decimal"/>
      <w:lvlText w:val="%9."/>
      <w:lvlJc w:val="left"/>
      <w:pPr>
        <w:ind w:left="1020" w:hanging="360"/>
      </w:pPr>
    </w:lvl>
  </w:abstractNum>
  <w:abstractNum w:abstractNumId="33" w15:restartNumberingAfterBreak="0">
    <w:nsid w:val="55E21861"/>
    <w:multiLevelType w:val="hybridMultilevel"/>
    <w:tmpl w:val="38324910"/>
    <w:lvl w:ilvl="0" w:tplc="FFFFFFFF">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5700617A"/>
    <w:multiLevelType w:val="hybridMultilevel"/>
    <w:tmpl w:val="7BDAFB2A"/>
    <w:lvl w:ilvl="0" w:tplc="463276D2">
      <w:start w:val="1"/>
      <w:numFmt w:val="decimal"/>
      <w:lvlText w:val="%1."/>
      <w:lvlJc w:val="left"/>
      <w:pPr>
        <w:ind w:left="1020" w:hanging="360"/>
      </w:pPr>
    </w:lvl>
    <w:lvl w:ilvl="1" w:tplc="EA184850">
      <w:start w:val="1"/>
      <w:numFmt w:val="decimal"/>
      <w:lvlText w:val="%2."/>
      <w:lvlJc w:val="left"/>
      <w:pPr>
        <w:ind w:left="1020" w:hanging="360"/>
      </w:pPr>
    </w:lvl>
    <w:lvl w:ilvl="2" w:tplc="7E9A5A46">
      <w:start w:val="1"/>
      <w:numFmt w:val="decimal"/>
      <w:lvlText w:val="%3."/>
      <w:lvlJc w:val="left"/>
      <w:pPr>
        <w:ind w:left="1020" w:hanging="360"/>
      </w:pPr>
    </w:lvl>
    <w:lvl w:ilvl="3" w:tplc="91E4724E">
      <w:start w:val="1"/>
      <w:numFmt w:val="decimal"/>
      <w:lvlText w:val="%4."/>
      <w:lvlJc w:val="left"/>
      <w:pPr>
        <w:ind w:left="1020" w:hanging="360"/>
      </w:pPr>
    </w:lvl>
    <w:lvl w:ilvl="4" w:tplc="829052D8">
      <w:start w:val="1"/>
      <w:numFmt w:val="decimal"/>
      <w:lvlText w:val="%5."/>
      <w:lvlJc w:val="left"/>
      <w:pPr>
        <w:ind w:left="1020" w:hanging="360"/>
      </w:pPr>
    </w:lvl>
    <w:lvl w:ilvl="5" w:tplc="B3EAB1E8">
      <w:start w:val="1"/>
      <w:numFmt w:val="decimal"/>
      <w:lvlText w:val="%6."/>
      <w:lvlJc w:val="left"/>
      <w:pPr>
        <w:ind w:left="1020" w:hanging="360"/>
      </w:pPr>
    </w:lvl>
    <w:lvl w:ilvl="6" w:tplc="C1BCFBC4">
      <w:start w:val="1"/>
      <w:numFmt w:val="decimal"/>
      <w:lvlText w:val="%7."/>
      <w:lvlJc w:val="left"/>
      <w:pPr>
        <w:ind w:left="1020" w:hanging="360"/>
      </w:pPr>
    </w:lvl>
    <w:lvl w:ilvl="7" w:tplc="4ABED1E0">
      <w:start w:val="1"/>
      <w:numFmt w:val="decimal"/>
      <w:lvlText w:val="%8."/>
      <w:lvlJc w:val="left"/>
      <w:pPr>
        <w:ind w:left="1020" w:hanging="360"/>
      </w:pPr>
    </w:lvl>
    <w:lvl w:ilvl="8" w:tplc="3920E330">
      <w:start w:val="1"/>
      <w:numFmt w:val="decimal"/>
      <w:lvlText w:val="%9."/>
      <w:lvlJc w:val="left"/>
      <w:pPr>
        <w:ind w:left="1020" w:hanging="360"/>
      </w:pPr>
    </w:lvl>
  </w:abstractNum>
  <w:abstractNum w:abstractNumId="35" w15:restartNumberingAfterBreak="0">
    <w:nsid w:val="57F8D53E"/>
    <w:multiLevelType w:val="hybridMultilevel"/>
    <w:tmpl w:val="FFFFFFFF"/>
    <w:lvl w:ilvl="0" w:tplc="89D422A8">
      <w:start w:val="1"/>
      <w:numFmt w:val="bullet"/>
      <w:lvlText w:val=""/>
      <w:lvlJc w:val="left"/>
      <w:pPr>
        <w:ind w:left="360" w:hanging="360"/>
      </w:pPr>
      <w:rPr>
        <w:rFonts w:ascii="Symbol" w:hAnsi="Symbol" w:hint="default"/>
      </w:rPr>
    </w:lvl>
    <w:lvl w:ilvl="1" w:tplc="D6D8D37C">
      <w:start w:val="1"/>
      <w:numFmt w:val="bullet"/>
      <w:lvlText w:val="o"/>
      <w:lvlJc w:val="left"/>
      <w:pPr>
        <w:ind w:left="1080" w:hanging="360"/>
      </w:pPr>
      <w:rPr>
        <w:rFonts w:ascii="Courier New" w:hAnsi="Courier New" w:hint="default"/>
      </w:rPr>
    </w:lvl>
    <w:lvl w:ilvl="2" w:tplc="CF242DDC">
      <w:start w:val="1"/>
      <w:numFmt w:val="bullet"/>
      <w:lvlText w:val=""/>
      <w:lvlJc w:val="left"/>
      <w:pPr>
        <w:ind w:left="1800" w:hanging="360"/>
      </w:pPr>
      <w:rPr>
        <w:rFonts w:ascii="Wingdings" w:hAnsi="Wingdings" w:hint="default"/>
      </w:rPr>
    </w:lvl>
    <w:lvl w:ilvl="3" w:tplc="A8A408AE">
      <w:start w:val="1"/>
      <w:numFmt w:val="bullet"/>
      <w:lvlText w:val=""/>
      <w:lvlJc w:val="left"/>
      <w:pPr>
        <w:ind w:left="2520" w:hanging="360"/>
      </w:pPr>
      <w:rPr>
        <w:rFonts w:ascii="Symbol" w:hAnsi="Symbol" w:hint="default"/>
      </w:rPr>
    </w:lvl>
    <w:lvl w:ilvl="4" w:tplc="6488516E">
      <w:start w:val="1"/>
      <w:numFmt w:val="bullet"/>
      <w:lvlText w:val="o"/>
      <w:lvlJc w:val="left"/>
      <w:pPr>
        <w:ind w:left="3240" w:hanging="360"/>
      </w:pPr>
      <w:rPr>
        <w:rFonts w:ascii="Courier New" w:hAnsi="Courier New" w:hint="default"/>
      </w:rPr>
    </w:lvl>
    <w:lvl w:ilvl="5" w:tplc="545CB986">
      <w:start w:val="1"/>
      <w:numFmt w:val="bullet"/>
      <w:lvlText w:val=""/>
      <w:lvlJc w:val="left"/>
      <w:pPr>
        <w:ind w:left="3960" w:hanging="360"/>
      </w:pPr>
      <w:rPr>
        <w:rFonts w:ascii="Wingdings" w:hAnsi="Wingdings" w:hint="default"/>
      </w:rPr>
    </w:lvl>
    <w:lvl w:ilvl="6" w:tplc="EBCA4BE8">
      <w:start w:val="1"/>
      <w:numFmt w:val="bullet"/>
      <w:lvlText w:val=""/>
      <w:lvlJc w:val="left"/>
      <w:pPr>
        <w:ind w:left="4680" w:hanging="360"/>
      </w:pPr>
      <w:rPr>
        <w:rFonts w:ascii="Symbol" w:hAnsi="Symbol" w:hint="default"/>
      </w:rPr>
    </w:lvl>
    <w:lvl w:ilvl="7" w:tplc="6D409234">
      <w:start w:val="1"/>
      <w:numFmt w:val="bullet"/>
      <w:lvlText w:val="o"/>
      <w:lvlJc w:val="left"/>
      <w:pPr>
        <w:ind w:left="5400" w:hanging="360"/>
      </w:pPr>
      <w:rPr>
        <w:rFonts w:ascii="Courier New" w:hAnsi="Courier New" w:hint="default"/>
      </w:rPr>
    </w:lvl>
    <w:lvl w:ilvl="8" w:tplc="440618A2">
      <w:start w:val="1"/>
      <w:numFmt w:val="bullet"/>
      <w:lvlText w:val=""/>
      <w:lvlJc w:val="left"/>
      <w:pPr>
        <w:ind w:left="6120" w:hanging="360"/>
      </w:pPr>
      <w:rPr>
        <w:rFonts w:ascii="Wingdings" w:hAnsi="Wingdings" w:hint="default"/>
      </w:rPr>
    </w:lvl>
  </w:abstractNum>
  <w:abstractNum w:abstractNumId="36" w15:restartNumberingAfterBreak="0">
    <w:nsid w:val="59212215"/>
    <w:multiLevelType w:val="hybridMultilevel"/>
    <w:tmpl w:val="67243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928284D"/>
    <w:multiLevelType w:val="hybridMultilevel"/>
    <w:tmpl w:val="775207C6"/>
    <w:lvl w:ilvl="0" w:tplc="4DDEAC1A">
      <w:start w:val="1"/>
      <w:numFmt w:val="decimal"/>
      <w:lvlText w:val="%1."/>
      <w:lvlJc w:val="left"/>
      <w:pPr>
        <w:ind w:left="501" w:hanging="360"/>
      </w:pPr>
      <w:rPr>
        <w:rFonts w:ascii="Corbel" w:hAnsi="Corbel" w:hint="default"/>
      </w:rPr>
    </w:lvl>
    <w:lvl w:ilvl="1" w:tplc="0872630C">
      <w:start w:val="1"/>
      <w:numFmt w:val="lowerLetter"/>
      <w:lvlText w:val="%2."/>
      <w:lvlJc w:val="left"/>
      <w:pPr>
        <w:ind w:left="513" w:hanging="360"/>
      </w:pPr>
    </w:lvl>
    <w:lvl w:ilvl="2" w:tplc="281ADBC8">
      <w:start w:val="1"/>
      <w:numFmt w:val="lowerRoman"/>
      <w:lvlText w:val="%3."/>
      <w:lvlJc w:val="right"/>
      <w:pPr>
        <w:ind w:left="1233" w:hanging="180"/>
      </w:pPr>
    </w:lvl>
    <w:lvl w:ilvl="3" w:tplc="299A49B6">
      <w:start w:val="1"/>
      <w:numFmt w:val="decimal"/>
      <w:lvlText w:val="%4."/>
      <w:lvlJc w:val="left"/>
      <w:pPr>
        <w:ind w:left="1953" w:hanging="360"/>
      </w:pPr>
    </w:lvl>
    <w:lvl w:ilvl="4" w:tplc="0C090001">
      <w:start w:val="1"/>
      <w:numFmt w:val="bullet"/>
      <w:lvlText w:val=""/>
      <w:lvlJc w:val="left"/>
      <w:pPr>
        <w:ind w:left="2673" w:hanging="360"/>
      </w:pPr>
      <w:rPr>
        <w:rFonts w:ascii="Symbol" w:hAnsi="Symbol" w:hint="default"/>
      </w:r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38" w15:restartNumberingAfterBreak="0">
    <w:nsid w:val="5ACD2B4F"/>
    <w:multiLevelType w:val="hybridMultilevel"/>
    <w:tmpl w:val="83C0F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B6D25E7"/>
    <w:multiLevelType w:val="multilevel"/>
    <w:tmpl w:val="8B52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CBA160F"/>
    <w:multiLevelType w:val="hybridMultilevel"/>
    <w:tmpl w:val="FAC2A7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5EC04471"/>
    <w:multiLevelType w:val="hybridMultilevel"/>
    <w:tmpl w:val="1B363C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18345F"/>
    <w:multiLevelType w:val="hybridMultilevel"/>
    <w:tmpl w:val="D22EDA60"/>
    <w:lvl w:ilvl="0" w:tplc="50AC4280">
      <w:start w:val="1"/>
      <w:numFmt w:val="bullet"/>
      <w:lvlText w:val=""/>
      <w:lvlJc w:val="left"/>
      <w:pPr>
        <w:ind w:left="720" w:hanging="360"/>
      </w:pPr>
      <w:rPr>
        <w:rFonts w:ascii="Symbol" w:hAnsi="Symbol"/>
      </w:rPr>
    </w:lvl>
    <w:lvl w:ilvl="1" w:tplc="808AC490">
      <w:start w:val="1"/>
      <w:numFmt w:val="bullet"/>
      <w:lvlText w:val=""/>
      <w:lvlJc w:val="left"/>
      <w:pPr>
        <w:ind w:left="720" w:hanging="360"/>
      </w:pPr>
      <w:rPr>
        <w:rFonts w:ascii="Symbol" w:hAnsi="Symbol"/>
      </w:rPr>
    </w:lvl>
    <w:lvl w:ilvl="2" w:tplc="3F68F246">
      <w:start w:val="1"/>
      <w:numFmt w:val="bullet"/>
      <w:lvlText w:val=""/>
      <w:lvlJc w:val="left"/>
      <w:pPr>
        <w:ind w:left="720" w:hanging="360"/>
      </w:pPr>
      <w:rPr>
        <w:rFonts w:ascii="Symbol" w:hAnsi="Symbol"/>
      </w:rPr>
    </w:lvl>
    <w:lvl w:ilvl="3" w:tplc="0A38749E">
      <w:start w:val="1"/>
      <w:numFmt w:val="bullet"/>
      <w:lvlText w:val=""/>
      <w:lvlJc w:val="left"/>
      <w:pPr>
        <w:ind w:left="720" w:hanging="360"/>
      </w:pPr>
      <w:rPr>
        <w:rFonts w:ascii="Symbol" w:hAnsi="Symbol"/>
      </w:rPr>
    </w:lvl>
    <w:lvl w:ilvl="4" w:tplc="4EB01A76">
      <w:start w:val="1"/>
      <w:numFmt w:val="bullet"/>
      <w:lvlText w:val=""/>
      <w:lvlJc w:val="left"/>
      <w:pPr>
        <w:ind w:left="720" w:hanging="360"/>
      </w:pPr>
      <w:rPr>
        <w:rFonts w:ascii="Symbol" w:hAnsi="Symbol"/>
      </w:rPr>
    </w:lvl>
    <w:lvl w:ilvl="5" w:tplc="77824D80">
      <w:start w:val="1"/>
      <w:numFmt w:val="bullet"/>
      <w:lvlText w:val=""/>
      <w:lvlJc w:val="left"/>
      <w:pPr>
        <w:ind w:left="720" w:hanging="360"/>
      </w:pPr>
      <w:rPr>
        <w:rFonts w:ascii="Symbol" w:hAnsi="Symbol"/>
      </w:rPr>
    </w:lvl>
    <w:lvl w:ilvl="6" w:tplc="865E3504">
      <w:start w:val="1"/>
      <w:numFmt w:val="bullet"/>
      <w:lvlText w:val=""/>
      <w:lvlJc w:val="left"/>
      <w:pPr>
        <w:ind w:left="720" w:hanging="360"/>
      </w:pPr>
      <w:rPr>
        <w:rFonts w:ascii="Symbol" w:hAnsi="Symbol"/>
      </w:rPr>
    </w:lvl>
    <w:lvl w:ilvl="7" w:tplc="442016D8">
      <w:start w:val="1"/>
      <w:numFmt w:val="bullet"/>
      <w:lvlText w:val=""/>
      <w:lvlJc w:val="left"/>
      <w:pPr>
        <w:ind w:left="720" w:hanging="360"/>
      </w:pPr>
      <w:rPr>
        <w:rFonts w:ascii="Symbol" w:hAnsi="Symbol"/>
      </w:rPr>
    </w:lvl>
    <w:lvl w:ilvl="8" w:tplc="B98A83BE">
      <w:start w:val="1"/>
      <w:numFmt w:val="bullet"/>
      <w:lvlText w:val=""/>
      <w:lvlJc w:val="left"/>
      <w:pPr>
        <w:ind w:left="720" w:hanging="360"/>
      </w:pPr>
      <w:rPr>
        <w:rFonts w:ascii="Symbol" w:hAnsi="Symbol"/>
      </w:rPr>
    </w:lvl>
  </w:abstractNum>
  <w:abstractNum w:abstractNumId="43" w15:restartNumberingAfterBreak="0">
    <w:nsid w:val="672273EC"/>
    <w:multiLevelType w:val="hybridMultilevel"/>
    <w:tmpl w:val="FFFFFFFF"/>
    <w:lvl w:ilvl="0" w:tplc="DF3EFE20">
      <w:start w:val="1"/>
      <w:numFmt w:val="bullet"/>
      <w:lvlText w:val=""/>
      <w:lvlJc w:val="left"/>
      <w:pPr>
        <w:ind w:left="720" w:hanging="360"/>
      </w:pPr>
      <w:rPr>
        <w:rFonts w:ascii="Symbol" w:hAnsi="Symbol" w:hint="default"/>
      </w:rPr>
    </w:lvl>
    <w:lvl w:ilvl="1" w:tplc="B1E65A0C">
      <w:start w:val="1"/>
      <w:numFmt w:val="bullet"/>
      <w:lvlText w:val="o"/>
      <w:lvlJc w:val="left"/>
      <w:pPr>
        <w:ind w:left="1440" w:hanging="360"/>
      </w:pPr>
      <w:rPr>
        <w:rFonts w:ascii="Courier New" w:hAnsi="Courier New" w:hint="default"/>
      </w:rPr>
    </w:lvl>
    <w:lvl w:ilvl="2" w:tplc="E976D80A">
      <w:start w:val="1"/>
      <w:numFmt w:val="bullet"/>
      <w:lvlText w:val=""/>
      <w:lvlJc w:val="left"/>
      <w:pPr>
        <w:ind w:left="2160" w:hanging="360"/>
      </w:pPr>
      <w:rPr>
        <w:rFonts w:ascii="Wingdings" w:hAnsi="Wingdings" w:hint="default"/>
      </w:rPr>
    </w:lvl>
    <w:lvl w:ilvl="3" w:tplc="93B63F1E">
      <w:start w:val="1"/>
      <w:numFmt w:val="bullet"/>
      <w:lvlText w:val=""/>
      <w:lvlJc w:val="left"/>
      <w:pPr>
        <w:ind w:left="1712" w:hanging="360"/>
      </w:pPr>
      <w:rPr>
        <w:rFonts w:ascii="Symbol" w:hAnsi="Symbol" w:hint="default"/>
      </w:rPr>
    </w:lvl>
    <w:lvl w:ilvl="4" w:tplc="B512E900">
      <w:start w:val="1"/>
      <w:numFmt w:val="bullet"/>
      <w:lvlText w:val="o"/>
      <w:lvlJc w:val="left"/>
      <w:pPr>
        <w:ind w:left="3600" w:hanging="360"/>
      </w:pPr>
      <w:rPr>
        <w:rFonts w:ascii="Courier New" w:hAnsi="Courier New" w:hint="default"/>
      </w:rPr>
    </w:lvl>
    <w:lvl w:ilvl="5" w:tplc="32181270">
      <w:start w:val="1"/>
      <w:numFmt w:val="bullet"/>
      <w:lvlText w:val=""/>
      <w:lvlJc w:val="left"/>
      <w:pPr>
        <w:ind w:left="4320" w:hanging="360"/>
      </w:pPr>
      <w:rPr>
        <w:rFonts w:ascii="Wingdings" w:hAnsi="Wingdings" w:hint="default"/>
      </w:rPr>
    </w:lvl>
    <w:lvl w:ilvl="6" w:tplc="98765454">
      <w:start w:val="1"/>
      <w:numFmt w:val="bullet"/>
      <w:lvlText w:val=""/>
      <w:lvlJc w:val="left"/>
      <w:pPr>
        <w:ind w:left="5040" w:hanging="360"/>
      </w:pPr>
      <w:rPr>
        <w:rFonts w:ascii="Symbol" w:hAnsi="Symbol" w:hint="default"/>
      </w:rPr>
    </w:lvl>
    <w:lvl w:ilvl="7" w:tplc="822AFC36">
      <w:start w:val="1"/>
      <w:numFmt w:val="bullet"/>
      <w:lvlText w:val="o"/>
      <w:lvlJc w:val="left"/>
      <w:pPr>
        <w:ind w:left="5760" w:hanging="360"/>
      </w:pPr>
      <w:rPr>
        <w:rFonts w:ascii="Courier New" w:hAnsi="Courier New" w:hint="default"/>
      </w:rPr>
    </w:lvl>
    <w:lvl w:ilvl="8" w:tplc="3AE494AA">
      <w:start w:val="1"/>
      <w:numFmt w:val="bullet"/>
      <w:lvlText w:val=""/>
      <w:lvlJc w:val="left"/>
      <w:pPr>
        <w:ind w:left="6480" w:hanging="360"/>
      </w:pPr>
      <w:rPr>
        <w:rFonts w:ascii="Wingdings" w:hAnsi="Wingdings" w:hint="default"/>
      </w:rPr>
    </w:lvl>
  </w:abstractNum>
  <w:abstractNum w:abstractNumId="44" w15:restartNumberingAfterBreak="0">
    <w:nsid w:val="6C1E01A7"/>
    <w:multiLevelType w:val="hybridMultilevel"/>
    <w:tmpl w:val="F58EF1E2"/>
    <w:lvl w:ilvl="0" w:tplc="FFFFFFFF">
      <w:start w:val="1"/>
      <w:numFmt w:val="decimal"/>
      <w:lvlText w:val="%1."/>
      <w:lvlJc w:val="left"/>
      <w:pPr>
        <w:ind w:left="360" w:hanging="360"/>
      </w:pPr>
      <w:rPr>
        <w:rFonts w:hint="default"/>
      </w:rPr>
    </w:lvl>
    <w:lvl w:ilvl="1" w:tplc="FFFFFFFF">
      <w:start w:val="1"/>
      <w:numFmt w:val="bullet"/>
      <w:lvlText w:val=""/>
      <w:lvlJc w:val="left"/>
      <w:pPr>
        <w:ind w:left="513" w:hanging="360"/>
      </w:pPr>
      <w:rPr>
        <w:rFonts w:ascii="Symbol" w:hAnsi="Symbol" w:hint="default"/>
      </w:rPr>
    </w:lvl>
    <w:lvl w:ilvl="2" w:tplc="FFFFFFFF">
      <w:start w:val="1"/>
      <w:numFmt w:val="lowerRoman"/>
      <w:lvlText w:val="%3."/>
      <w:lvlJc w:val="right"/>
      <w:pPr>
        <w:ind w:left="1233" w:hanging="180"/>
      </w:pPr>
    </w:lvl>
    <w:lvl w:ilvl="3" w:tplc="FFFFFFFF">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45" w15:restartNumberingAfterBreak="0">
    <w:nsid w:val="6CCE569D"/>
    <w:multiLevelType w:val="hybridMultilevel"/>
    <w:tmpl w:val="86640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1E36DB4"/>
    <w:multiLevelType w:val="hybridMultilevel"/>
    <w:tmpl w:val="67267B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B9714F3"/>
    <w:multiLevelType w:val="hybridMultilevel"/>
    <w:tmpl w:val="F8C8D1CE"/>
    <w:lvl w:ilvl="0" w:tplc="B5AAC0D4">
      <w:start w:val="1"/>
      <w:numFmt w:val="lowerRoman"/>
      <w:lvlText w:val="%1)"/>
      <w:lvlJc w:val="left"/>
      <w:pPr>
        <w:ind w:left="2160" w:hanging="72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8" w15:restartNumberingAfterBreak="0">
    <w:nsid w:val="7C56388C"/>
    <w:multiLevelType w:val="hybridMultilevel"/>
    <w:tmpl w:val="23C4849E"/>
    <w:lvl w:ilvl="0" w:tplc="434C1DDE">
      <w:start w:val="1"/>
      <w:numFmt w:val="decimal"/>
      <w:lvlText w:val="%1."/>
      <w:lvlJc w:val="left"/>
      <w:pPr>
        <w:ind w:left="1020" w:hanging="360"/>
      </w:pPr>
    </w:lvl>
    <w:lvl w:ilvl="1" w:tplc="422ACE46">
      <w:start w:val="1"/>
      <w:numFmt w:val="decimal"/>
      <w:lvlText w:val="%2."/>
      <w:lvlJc w:val="left"/>
      <w:pPr>
        <w:ind w:left="1020" w:hanging="360"/>
      </w:pPr>
    </w:lvl>
    <w:lvl w:ilvl="2" w:tplc="D7DA819A">
      <w:start w:val="1"/>
      <w:numFmt w:val="decimal"/>
      <w:lvlText w:val="%3."/>
      <w:lvlJc w:val="left"/>
      <w:pPr>
        <w:ind w:left="1020" w:hanging="360"/>
      </w:pPr>
    </w:lvl>
    <w:lvl w:ilvl="3" w:tplc="4E4058EE">
      <w:start w:val="1"/>
      <w:numFmt w:val="decimal"/>
      <w:lvlText w:val="%4."/>
      <w:lvlJc w:val="left"/>
      <w:pPr>
        <w:ind w:left="1020" w:hanging="360"/>
      </w:pPr>
    </w:lvl>
    <w:lvl w:ilvl="4" w:tplc="1AC6709A">
      <w:start w:val="1"/>
      <w:numFmt w:val="decimal"/>
      <w:lvlText w:val="%5."/>
      <w:lvlJc w:val="left"/>
      <w:pPr>
        <w:ind w:left="1020" w:hanging="360"/>
      </w:pPr>
    </w:lvl>
    <w:lvl w:ilvl="5" w:tplc="663215E4">
      <w:start w:val="1"/>
      <w:numFmt w:val="decimal"/>
      <w:lvlText w:val="%6."/>
      <w:lvlJc w:val="left"/>
      <w:pPr>
        <w:ind w:left="1020" w:hanging="360"/>
      </w:pPr>
    </w:lvl>
    <w:lvl w:ilvl="6" w:tplc="3DA67FE2">
      <w:start w:val="1"/>
      <w:numFmt w:val="decimal"/>
      <w:lvlText w:val="%7."/>
      <w:lvlJc w:val="left"/>
      <w:pPr>
        <w:ind w:left="1020" w:hanging="360"/>
      </w:pPr>
    </w:lvl>
    <w:lvl w:ilvl="7" w:tplc="A2ECB4D0">
      <w:start w:val="1"/>
      <w:numFmt w:val="decimal"/>
      <w:lvlText w:val="%8."/>
      <w:lvlJc w:val="left"/>
      <w:pPr>
        <w:ind w:left="1020" w:hanging="360"/>
      </w:pPr>
    </w:lvl>
    <w:lvl w:ilvl="8" w:tplc="382E98BA">
      <w:start w:val="1"/>
      <w:numFmt w:val="decimal"/>
      <w:lvlText w:val="%9."/>
      <w:lvlJc w:val="left"/>
      <w:pPr>
        <w:ind w:left="1020" w:hanging="360"/>
      </w:pPr>
    </w:lvl>
  </w:abstractNum>
  <w:abstractNum w:abstractNumId="49" w15:restartNumberingAfterBreak="0">
    <w:nsid w:val="7CBD2234"/>
    <w:multiLevelType w:val="hybridMultilevel"/>
    <w:tmpl w:val="D08C347A"/>
    <w:lvl w:ilvl="0" w:tplc="916A1B10">
      <w:start w:val="1"/>
      <w:numFmt w:val="decimal"/>
      <w:lvlText w:val="%1."/>
      <w:lvlJc w:val="left"/>
      <w:pPr>
        <w:ind w:left="1020" w:hanging="360"/>
      </w:pPr>
    </w:lvl>
    <w:lvl w:ilvl="1" w:tplc="BDA88DC2">
      <w:start w:val="1"/>
      <w:numFmt w:val="decimal"/>
      <w:lvlText w:val="%2."/>
      <w:lvlJc w:val="left"/>
      <w:pPr>
        <w:ind w:left="1020" w:hanging="360"/>
      </w:pPr>
    </w:lvl>
    <w:lvl w:ilvl="2" w:tplc="B5C60A8C">
      <w:start w:val="1"/>
      <w:numFmt w:val="decimal"/>
      <w:lvlText w:val="%3."/>
      <w:lvlJc w:val="left"/>
      <w:pPr>
        <w:ind w:left="1020" w:hanging="360"/>
      </w:pPr>
    </w:lvl>
    <w:lvl w:ilvl="3" w:tplc="058E6E46">
      <w:start w:val="1"/>
      <w:numFmt w:val="decimal"/>
      <w:lvlText w:val="%4."/>
      <w:lvlJc w:val="left"/>
      <w:pPr>
        <w:ind w:left="1020" w:hanging="360"/>
      </w:pPr>
    </w:lvl>
    <w:lvl w:ilvl="4" w:tplc="EB3E30FC">
      <w:start w:val="1"/>
      <w:numFmt w:val="decimal"/>
      <w:lvlText w:val="%5."/>
      <w:lvlJc w:val="left"/>
      <w:pPr>
        <w:ind w:left="1020" w:hanging="360"/>
      </w:pPr>
    </w:lvl>
    <w:lvl w:ilvl="5" w:tplc="A52AD2F0">
      <w:start w:val="1"/>
      <w:numFmt w:val="decimal"/>
      <w:lvlText w:val="%6."/>
      <w:lvlJc w:val="left"/>
      <w:pPr>
        <w:ind w:left="1020" w:hanging="360"/>
      </w:pPr>
    </w:lvl>
    <w:lvl w:ilvl="6" w:tplc="01FC728C">
      <w:start w:val="1"/>
      <w:numFmt w:val="decimal"/>
      <w:lvlText w:val="%7."/>
      <w:lvlJc w:val="left"/>
      <w:pPr>
        <w:ind w:left="1020" w:hanging="360"/>
      </w:pPr>
    </w:lvl>
    <w:lvl w:ilvl="7" w:tplc="F2705B26">
      <w:start w:val="1"/>
      <w:numFmt w:val="decimal"/>
      <w:lvlText w:val="%8."/>
      <w:lvlJc w:val="left"/>
      <w:pPr>
        <w:ind w:left="1020" w:hanging="360"/>
      </w:pPr>
    </w:lvl>
    <w:lvl w:ilvl="8" w:tplc="2620F0D2">
      <w:start w:val="1"/>
      <w:numFmt w:val="decimal"/>
      <w:lvlText w:val="%9."/>
      <w:lvlJc w:val="left"/>
      <w:pPr>
        <w:ind w:left="1020" w:hanging="360"/>
      </w:pPr>
    </w:lvl>
  </w:abstractNum>
  <w:num w:numId="1" w16cid:durableId="517013564">
    <w:abstractNumId w:val="37"/>
  </w:num>
  <w:num w:numId="2" w16cid:durableId="2067727244">
    <w:abstractNumId w:val="12"/>
  </w:num>
  <w:num w:numId="3" w16cid:durableId="1379163834">
    <w:abstractNumId w:val="23"/>
  </w:num>
  <w:num w:numId="4" w16cid:durableId="127169766">
    <w:abstractNumId w:val="21"/>
  </w:num>
  <w:num w:numId="5" w16cid:durableId="313796839">
    <w:abstractNumId w:val="38"/>
  </w:num>
  <w:num w:numId="6" w16cid:durableId="1830515873">
    <w:abstractNumId w:val="33"/>
  </w:num>
  <w:num w:numId="7" w16cid:durableId="1298947950">
    <w:abstractNumId w:val="25"/>
  </w:num>
  <w:num w:numId="8" w16cid:durableId="121925541">
    <w:abstractNumId w:val="41"/>
  </w:num>
  <w:num w:numId="9" w16cid:durableId="744106041">
    <w:abstractNumId w:val="47"/>
  </w:num>
  <w:num w:numId="10" w16cid:durableId="789200553">
    <w:abstractNumId w:val="0"/>
  </w:num>
  <w:num w:numId="11" w16cid:durableId="1593276264">
    <w:abstractNumId w:val="15"/>
  </w:num>
  <w:num w:numId="12" w16cid:durableId="2055883658">
    <w:abstractNumId w:val="2"/>
  </w:num>
  <w:num w:numId="13" w16cid:durableId="1812868051">
    <w:abstractNumId w:val="16"/>
  </w:num>
  <w:num w:numId="14" w16cid:durableId="514612702">
    <w:abstractNumId w:val="24"/>
  </w:num>
  <w:num w:numId="15" w16cid:durableId="1294285683">
    <w:abstractNumId w:val="39"/>
  </w:num>
  <w:num w:numId="16" w16cid:durableId="702560078">
    <w:abstractNumId w:val="20"/>
  </w:num>
  <w:num w:numId="17" w16cid:durableId="1928076882">
    <w:abstractNumId w:val="5"/>
  </w:num>
  <w:num w:numId="18" w16cid:durableId="293021314">
    <w:abstractNumId w:val="46"/>
  </w:num>
  <w:num w:numId="19" w16cid:durableId="1000736746">
    <w:abstractNumId w:val="35"/>
  </w:num>
  <w:num w:numId="20" w16cid:durableId="1572232399">
    <w:abstractNumId w:val="29"/>
  </w:num>
  <w:num w:numId="21" w16cid:durableId="1838030095">
    <w:abstractNumId w:val="43"/>
  </w:num>
  <w:num w:numId="22" w16cid:durableId="192426936">
    <w:abstractNumId w:val="36"/>
  </w:num>
  <w:num w:numId="23" w16cid:durableId="333190162">
    <w:abstractNumId w:val="17"/>
  </w:num>
  <w:num w:numId="24" w16cid:durableId="1303729158">
    <w:abstractNumId w:val="8"/>
  </w:num>
  <w:num w:numId="25" w16cid:durableId="608589613">
    <w:abstractNumId w:val="44"/>
  </w:num>
  <w:num w:numId="26" w16cid:durableId="947662232">
    <w:abstractNumId w:val="31"/>
  </w:num>
  <w:num w:numId="27" w16cid:durableId="1020470148">
    <w:abstractNumId w:val="6"/>
  </w:num>
  <w:num w:numId="28" w16cid:durableId="2048218423">
    <w:abstractNumId w:val="32"/>
  </w:num>
  <w:num w:numId="29" w16cid:durableId="97798861">
    <w:abstractNumId w:val="13"/>
  </w:num>
  <w:num w:numId="30" w16cid:durableId="1306737196">
    <w:abstractNumId w:val="1"/>
  </w:num>
  <w:num w:numId="31" w16cid:durableId="725226105">
    <w:abstractNumId w:val="34"/>
  </w:num>
  <w:num w:numId="32" w16cid:durableId="1474133624">
    <w:abstractNumId w:val="9"/>
  </w:num>
  <w:num w:numId="33" w16cid:durableId="12000167">
    <w:abstractNumId w:val="10"/>
  </w:num>
  <w:num w:numId="34" w16cid:durableId="1281456691">
    <w:abstractNumId w:val="42"/>
  </w:num>
  <w:num w:numId="35" w16cid:durableId="1007248909">
    <w:abstractNumId w:val="19"/>
  </w:num>
  <w:num w:numId="36" w16cid:durableId="1360543676">
    <w:abstractNumId w:val="14"/>
  </w:num>
  <w:num w:numId="37" w16cid:durableId="1622416572">
    <w:abstractNumId w:val="18"/>
  </w:num>
  <w:num w:numId="38" w16cid:durableId="1533567257">
    <w:abstractNumId w:val="48"/>
  </w:num>
  <w:num w:numId="39" w16cid:durableId="1850756982">
    <w:abstractNumId w:val="26"/>
  </w:num>
  <w:num w:numId="40" w16cid:durableId="1795751953">
    <w:abstractNumId w:val="3"/>
  </w:num>
  <w:num w:numId="41" w16cid:durableId="1909420507">
    <w:abstractNumId w:val="28"/>
  </w:num>
  <w:num w:numId="42" w16cid:durableId="458382979">
    <w:abstractNumId w:val="7"/>
  </w:num>
  <w:num w:numId="43" w16cid:durableId="885721549">
    <w:abstractNumId w:val="30"/>
  </w:num>
  <w:num w:numId="44" w16cid:durableId="652877094">
    <w:abstractNumId w:val="49"/>
  </w:num>
  <w:num w:numId="45" w16cid:durableId="507982830">
    <w:abstractNumId w:val="4"/>
  </w:num>
  <w:num w:numId="46" w16cid:durableId="29494072">
    <w:abstractNumId w:val="27"/>
  </w:num>
  <w:num w:numId="47" w16cid:durableId="1755584113">
    <w:abstractNumId w:val="22"/>
  </w:num>
  <w:num w:numId="48" w16cid:durableId="242568178">
    <w:abstractNumId w:val="11"/>
  </w:num>
  <w:num w:numId="49" w16cid:durableId="820656731">
    <w:abstractNumId w:val="40"/>
  </w:num>
  <w:num w:numId="50" w16cid:durableId="514803067">
    <w:abstractNumId w:val="3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1" w16cid:durableId="414088129">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B12"/>
    <w:rsid w:val="000005A9"/>
    <w:rsid w:val="000008C1"/>
    <w:rsid w:val="00000C09"/>
    <w:rsid w:val="00003C33"/>
    <w:rsid w:val="0000461A"/>
    <w:rsid w:val="00005719"/>
    <w:rsid w:val="000062D9"/>
    <w:rsid w:val="00006FE1"/>
    <w:rsid w:val="00007C32"/>
    <w:rsid w:val="00010951"/>
    <w:rsid w:val="00010AA0"/>
    <w:rsid w:val="00010B4E"/>
    <w:rsid w:val="00011F12"/>
    <w:rsid w:val="00012DE9"/>
    <w:rsid w:val="00012F4E"/>
    <w:rsid w:val="000156F4"/>
    <w:rsid w:val="000161EF"/>
    <w:rsid w:val="0001752A"/>
    <w:rsid w:val="00017F85"/>
    <w:rsid w:val="00021A8B"/>
    <w:rsid w:val="00021DDB"/>
    <w:rsid w:val="0002467E"/>
    <w:rsid w:val="00025148"/>
    <w:rsid w:val="00026970"/>
    <w:rsid w:val="00026C30"/>
    <w:rsid w:val="000270ED"/>
    <w:rsid w:val="0002746E"/>
    <w:rsid w:val="00031ABC"/>
    <w:rsid w:val="00032183"/>
    <w:rsid w:val="000321F1"/>
    <w:rsid w:val="00033487"/>
    <w:rsid w:val="00034DA5"/>
    <w:rsid w:val="00035186"/>
    <w:rsid w:val="000361CD"/>
    <w:rsid w:val="00037C3A"/>
    <w:rsid w:val="00041EC6"/>
    <w:rsid w:val="00042751"/>
    <w:rsid w:val="00046617"/>
    <w:rsid w:val="00046B01"/>
    <w:rsid w:val="000479C4"/>
    <w:rsid w:val="00047DBE"/>
    <w:rsid w:val="00051CCE"/>
    <w:rsid w:val="00051DA5"/>
    <w:rsid w:val="00052323"/>
    <w:rsid w:val="00052E95"/>
    <w:rsid w:val="00053C63"/>
    <w:rsid w:val="0005473F"/>
    <w:rsid w:val="00055424"/>
    <w:rsid w:val="000557B2"/>
    <w:rsid w:val="00055E87"/>
    <w:rsid w:val="00056876"/>
    <w:rsid w:val="000569AB"/>
    <w:rsid w:val="00061382"/>
    <w:rsid w:val="00064583"/>
    <w:rsid w:val="00065DFE"/>
    <w:rsid w:val="00066BE3"/>
    <w:rsid w:val="0007058B"/>
    <w:rsid w:val="00072BA9"/>
    <w:rsid w:val="00073BE1"/>
    <w:rsid w:val="000762D9"/>
    <w:rsid w:val="0007676C"/>
    <w:rsid w:val="00077115"/>
    <w:rsid w:val="00080243"/>
    <w:rsid w:val="00080AEE"/>
    <w:rsid w:val="00080CF1"/>
    <w:rsid w:val="0008133F"/>
    <w:rsid w:val="000814CE"/>
    <w:rsid w:val="000815E4"/>
    <w:rsid w:val="00084DE9"/>
    <w:rsid w:val="00085044"/>
    <w:rsid w:val="000854EA"/>
    <w:rsid w:val="0008596C"/>
    <w:rsid w:val="00086195"/>
    <w:rsid w:val="00086230"/>
    <w:rsid w:val="0008669F"/>
    <w:rsid w:val="000869A2"/>
    <w:rsid w:val="00086E8F"/>
    <w:rsid w:val="000870F8"/>
    <w:rsid w:val="0008781C"/>
    <w:rsid w:val="00087989"/>
    <w:rsid w:val="000917E6"/>
    <w:rsid w:val="00091BB8"/>
    <w:rsid w:val="00091C7D"/>
    <w:rsid w:val="00092BD4"/>
    <w:rsid w:val="000951E3"/>
    <w:rsid w:val="00095391"/>
    <w:rsid w:val="000956F4"/>
    <w:rsid w:val="000967C0"/>
    <w:rsid w:val="00097C5C"/>
    <w:rsid w:val="000A15C3"/>
    <w:rsid w:val="000A2001"/>
    <w:rsid w:val="000A370E"/>
    <w:rsid w:val="000A4254"/>
    <w:rsid w:val="000A6852"/>
    <w:rsid w:val="000A68DE"/>
    <w:rsid w:val="000B05FE"/>
    <w:rsid w:val="000B0D0A"/>
    <w:rsid w:val="000B1B76"/>
    <w:rsid w:val="000B3827"/>
    <w:rsid w:val="000B57D2"/>
    <w:rsid w:val="000B6ADA"/>
    <w:rsid w:val="000B6E01"/>
    <w:rsid w:val="000B7F0F"/>
    <w:rsid w:val="000C0EA7"/>
    <w:rsid w:val="000C1294"/>
    <w:rsid w:val="000C17D2"/>
    <w:rsid w:val="000C1C55"/>
    <w:rsid w:val="000C22D7"/>
    <w:rsid w:val="000C2A2E"/>
    <w:rsid w:val="000C32E6"/>
    <w:rsid w:val="000C4407"/>
    <w:rsid w:val="000C67AE"/>
    <w:rsid w:val="000D18E1"/>
    <w:rsid w:val="000D27CC"/>
    <w:rsid w:val="000D2958"/>
    <w:rsid w:val="000D563D"/>
    <w:rsid w:val="000D5675"/>
    <w:rsid w:val="000D581C"/>
    <w:rsid w:val="000D64F1"/>
    <w:rsid w:val="000D65C4"/>
    <w:rsid w:val="000D7116"/>
    <w:rsid w:val="000D78E7"/>
    <w:rsid w:val="000E1260"/>
    <w:rsid w:val="000E1961"/>
    <w:rsid w:val="000E1997"/>
    <w:rsid w:val="000E30EA"/>
    <w:rsid w:val="000E5001"/>
    <w:rsid w:val="000E5580"/>
    <w:rsid w:val="000E5AF6"/>
    <w:rsid w:val="000E6A75"/>
    <w:rsid w:val="000E6DBB"/>
    <w:rsid w:val="000E7C1D"/>
    <w:rsid w:val="000F24D5"/>
    <w:rsid w:val="000F3A45"/>
    <w:rsid w:val="000F3CE2"/>
    <w:rsid w:val="000F3D0E"/>
    <w:rsid w:val="000F5312"/>
    <w:rsid w:val="000F5A26"/>
    <w:rsid w:val="000F7324"/>
    <w:rsid w:val="000F733F"/>
    <w:rsid w:val="000F783D"/>
    <w:rsid w:val="00101260"/>
    <w:rsid w:val="00101A4A"/>
    <w:rsid w:val="00103436"/>
    <w:rsid w:val="00104072"/>
    <w:rsid w:val="00104DD9"/>
    <w:rsid w:val="00106886"/>
    <w:rsid w:val="0010707C"/>
    <w:rsid w:val="00110949"/>
    <w:rsid w:val="00112D39"/>
    <w:rsid w:val="00112D9C"/>
    <w:rsid w:val="001138E0"/>
    <w:rsid w:val="00115305"/>
    <w:rsid w:val="00115CB2"/>
    <w:rsid w:val="00117A4A"/>
    <w:rsid w:val="001200AA"/>
    <w:rsid w:val="00121920"/>
    <w:rsid w:val="00122958"/>
    <w:rsid w:val="00122EB2"/>
    <w:rsid w:val="00126429"/>
    <w:rsid w:val="00130FE1"/>
    <w:rsid w:val="0013152A"/>
    <w:rsid w:val="001316EA"/>
    <w:rsid w:val="00132F11"/>
    <w:rsid w:val="00133F28"/>
    <w:rsid w:val="001345D0"/>
    <w:rsid w:val="00135F13"/>
    <w:rsid w:val="001360D7"/>
    <w:rsid w:val="00136E50"/>
    <w:rsid w:val="001374C2"/>
    <w:rsid w:val="001440AC"/>
    <w:rsid w:val="00144F9C"/>
    <w:rsid w:val="001469D0"/>
    <w:rsid w:val="00146FE9"/>
    <w:rsid w:val="00147354"/>
    <w:rsid w:val="001514DC"/>
    <w:rsid w:val="001517ED"/>
    <w:rsid w:val="00152F7E"/>
    <w:rsid w:val="00153077"/>
    <w:rsid w:val="0015527D"/>
    <w:rsid w:val="00160293"/>
    <w:rsid w:val="0016034C"/>
    <w:rsid w:val="00163346"/>
    <w:rsid w:val="00163514"/>
    <w:rsid w:val="00163E2F"/>
    <w:rsid w:val="00163F16"/>
    <w:rsid w:val="00166A45"/>
    <w:rsid w:val="001672C4"/>
    <w:rsid w:val="00167516"/>
    <w:rsid w:val="00167F8D"/>
    <w:rsid w:val="00170456"/>
    <w:rsid w:val="001713EB"/>
    <w:rsid w:val="001745EF"/>
    <w:rsid w:val="00175044"/>
    <w:rsid w:val="001754A4"/>
    <w:rsid w:val="00175B83"/>
    <w:rsid w:val="00177075"/>
    <w:rsid w:val="00177124"/>
    <w:rsid w:val="00177404"/>
    <w:rsid w:val="001776EA"/>
    <w:rsid w:val="0018162E"/>
    <w:rsid w:val="00181B2E"/>
    <w:rsid w:val="00182DDF"/>
    <w:rsid w:val="0018303B"/>
    <w:rsid w:val="00183178"/>
    <w:rsid w:val="001855DF"/>
    <w:rsid w:val="00187294"/>
    <w:rsid w:val="0018731F"/>
    <w:rsid w:val="00187450"/>
    <w:rsid w:val="00192076"/>
    <w:rsid w:val="001923E1"/>
    <w:rsid w:val="00192898"/>
    <w:rsid w:val="001935E7"/>
    <w:rsid w:val="00193D26"/>
    <w:rsid w:val="0019443F"/>
    <w:rsid w:val="001947D3"/>
    <w:rsid w:val="00195928"/>
    <w:rsid w:val="00195D3E"/>
    <w:rsid w:val="001978B6"/>
    <w:rsid w:val="001A0964"/>
    <w:rsid w:val="001A11C3"/>
    <w:rsid w:val="001A23D4"/>
    <w:rsid w:val="001A32E8"/>
    <w:rsid w:val="001A3743"/>
    <w:rsid w:val="001A4D92"/>
    <w:rsid w:val="001A4F3E"/>
    <w:rsid w:val="001A56BD"/>
    <w:rsid w:val="001A5DC0"/>
    <w:rsid w:val="001A68D8"/>
    <w:rsid w:val="001A6FD2"/>
    <w:rsid w:val="001A72F8"/>
    <w:rsid w:val="001B12F7"/>
    <w:rsid w:val="001B1E74"/>
    <w:rsid w:val="001B2199"/>
    <w:rsid w:val="001B22E8"/>
    <w:rsid w:val="001B281C"/>
    <w:rsid w:val="001B3816"/>
    <w:rsid w:val="001B3A0D"/>
    <w:rsid w:val="001B3D2F"/>
    <w:rsid w:val="001B4E13"/>
    <w:rsid w:val="001B507E"/>
    <w:rsid w:val="001B52CC"/>
    <w:rsid w:val="001B62C6"/>
    <w:rsid w:val="001B6BE4"/>
    <w:rsid w:val="001B7192"/>
    <w:rsid w:val="001B7391"/>
    <w:rsid w:val="001B78CA"/>
    <w:rsid w:val="001C1E9F"/>
    <w:rsid w:val="001C1EEB"/>
    <w:rsid w:val="001C2DF1"/>
    <w:rsid w:val="001C3350"/>
    <w:rsid w:val="001C3E98"/>
    <w:rsid w:val="001C446E"/>
    <w:rsid w:val="001C4E7D"/>
    <w:rsid w:val="001C53E7"/>
    <w:rsid w:val="001C5991"/>
    <w:rsid w:val="001C5DE6"/>
    <w:rsid w:val="001D06E0"/>
    <w:rsid w:val="001D1292"/>
    <w:rsid w:val="001D1D88"/>
    <w:rsid w:val="001D303A"/>
    <w:rsid w:val="001D3217"/>
    <w:rsid w:val="001D3F40"/>
    <w:rsid w:val="001D45EA"/>
    <w:rsid w:val="001D45FB"/>
    <w:rsid w:val="001D5753"/>
    <w:rsid w:val="001E0397"/>
    <w:rsid w:val="001E2542"/>
    <w:rsid w:val="001E3D26"/>
    <w:rsid w:val="001E42D9"/>
    <w:rsid w:val="001E4E8F"/>
    <w:rsid w:val="001E5783"/>
    <w:rsid w:val="001E5C02"/>
    <w:rsid w:val="001E6B97"/>
    <w:rsid w:val="001E7CDC"/>
    <w:rsid w:val="001F1968"/>
    <w:rsid w:val="001F1ABC"/>
    <w:rsid w:val="001F1C1D"/>
    <w:rsid w:val="001F2BD0"/>
    <w:rsid w:val="001F2CF7"/>
    <w:rsid w:val="001F302B"/>
    <w:rsid w:val="001F46C3"/>
    <w:rsid w:val="001F54E0"/>
    <w:rsid w:val="001F58DE"/>
    <w:rsid w:val="001F68D9"/>
    <w:rsid w:val="001F72A4"/>
    <w:rsid w:val="001F7D0D"/>
    <w:rsid w:val="00200CBF"/>
    <w:rsid w:val="00201FDE"/>
    <w:rsid w:val="00202BDA"/>
    <w:rsid w:val="00203DA3"/>
    <w:rsid w:val="0020408F"/>
    <w:rsid w:val="0020586D"/>
    <w:rsid w:val="002058CD"/>
    <w:rsid w:val="00205BB2"/>
    <w:rsid w:val="00206B0C"/>
    <w:rsid w:val="00206F19"/>
    <w:rsid w:val="00210055"/>
    <w:rsid w:val="00210941"/>
    <w:rsid w:val="00210AB7"/>
    <w:rsid w:val="00211F79"/>
    <w:rsid w:val="0021208D"/>
    <w:rsid w:val="0021311E"/>
    <w:rsid w:val="00213961"/>
    <w:rsid w:val="0021412B"/>
    <w:rsid w:val="002142E0"/>
    <w:rsid w:val="002154A8"/>
    <w:rsid w:val="002155B0"/>
    <w:rsid w:val="00215D08"/>
    <w:rsid w:val="00215DDF"/>
    <w:rsid w:val="002172B2"/>
    <w:rsid w:val="00217487"/>
    <w:rsid w:val="00220701"/>
    <w:rsid w:val="002227F0"/>
    <w:rsid w:val="002234C0"/>
    <w:rsid w:val="00223EBE"/>
    <w:rsid w:val="00223F92"/>
    <w:rsid w:val="002242CD"/>
    <w:rsid w:val="002245D0"/>
    <w:rsid w:val="00224A2A"/>
    <w:rsid w:val="00224B24"/>
    <w:rsid w:val="00224C85"/>
    <w:rsid w:val="002253A8"/>
    <w:rsid w:val="002253B3"/>
    <w:rsid w:val="0022555E"/>
    <w:rsid w:val="002257C0"/>
    <w:rsid w:val="00227C5C"/>
    <w:rsid w:val="00227C7C"/>
    <w:rsid w:val="002309AC"/>
    <w:rsid w:val="00230E2F"/>
    <w:rsid w:val="00231D9E"/>
    <w:rsid w:val="00232038"/>
    <w:rsid w:val="00232B07"/>
    <w:rsid w:val="00232E71"/>
    <w:rsid w:val="002351F8"/>
    <w:rsid w:val="00235A89"/>
    <w:rsid w:val="002368C0"/>
    <w:rsid w:val="0023702F"/>
    <w:rsid w:val="00237330"/>
    <w:rsid w:val="0024053F"/>
    <w:rsid w:val="002408DF"/>
    <w:rsid w:val="00241B5D"/>
    <w:rsid w:val="002422F4"/>
    <w:rsid w:val="002432E0"/>
    <w:rsid w:val="00244E74"/>
    <w:rsid w:val="002453E0"/>
    <w:rsid w:val="00246DD6"/>
    <w:rsid w:val="00246FED"/>
    <w:rsid w:val="002478D8"/>
    <w:rsid w:val="00250F2B"/>
    <w:rsid w:val="00252237"/>
    <w:rsid w:val="0025230D"/>
    <w:rsid w:val="002554AC"/>
    <w:rsid w:val="00256873"/>
    <w:rsid w:val="00256A04"/>
    <w:rsid w:val="00256D64"/>
    <w:rsid w:val="002618E2"/>
    <w:rsid w:val="002619FF"/>
    <w:rsid w:val="00261A5C"/>
    <w:rsid w:val="00261B14"/>
    <w:rsid w:val="00263CFA"/>
    <w:rsid w:val="00263F6A"/>
    <w:rsid w:val="002640F4"/>
    <w:rsid w:val="00264900"/>
    <w:rsid w:val="00265770"/>
    <w:rsid w:val="002659F4"/>
    <w:rsid w:val="00265A45"/>
    <w:rsid w:val="0026611F"/>
    <w:rsid w:val="00266C8F"/>
    <w:rsid w:val="00266DEC"/>
    <w:rsid w:val="00271774"/>
    <w:rsid w:val="00272D8D"/>
    <w:rsid w:val="002736B6"/>
    <w:rsid w:val="00274FEF"/>
    <w:rsid w:val="002753EF"/>
    <w:rsid w:val="0027667E"/>
    <w:rsid w:val="00277419"/>
    <w:rsid w:val="002775C3"/>
    <w:rsid w:val="00280E1D"/>
    <w:rsid w:val="00281658"/>
    <w:rsid w:val="00283C4D"/>
    <w:rsid w:val="00283F80"/>
    <w:rsid w:val="00284B3F"/>
    <w:rsid w:val="00284D8D"/>
    <w:rsid w:val="002860D8"/>
    <w:rsid w:val="00287510"/>
    <w:rsid w:val="00287DF3"/>
    <w:rsid w:val="00290A9D"/>
    <w:rsid w:val="002931E9"/>
    <w:rsid w:val="0029368C"/>
    <w:rsid w:val="00293B27"/>
    <w:rsid w:val="00293CF1"/>
    <w:rsid w:val="00293D48"/>
    <w:rsid w:val="0029508F"/>
    <w:rsid w:val="00295681"/>
    <w:rsid w:val="002959D4"/>
    <w:rsid w:val="00296228"/>
    <w:rsid w:val="002965ED"/>
    <w:rsid w:val="00296757"/>
    <w:rsid w:val="00297218"/>
    <w:rsid w:val="00297256"/>
    <w:rsid w:val="00297972"/>
    <w:rsid w:val="0029AC15"/>
    <w:rsid w:val="002A004D"/>
    <w:rsid w:val="002A0C0B"/>
    <w:rsid w:val="002A2AAD"/>
    <w:rsid w:val="002A4599"/>
    <w:rsid w:val="002A4610"/>
    <w:rsid w:val="002A4A70"/>
    <w:rsid w:val="002A4C14"/>
    <w:rsid w:val="002A4D39"/>
    <w:rsid w:val="002A672F"/>
    <w:rsid w:val="002A688D"/>
    <w:rsid w:val="002A6CC7"/>
    <w:rsid w:val="002A7811"/>
    <w:rsid w:val="002A7C7B"/>
    <w:rsid w:val="002A7FDC"/>
    <w:rsid w:val="002B015B"/>
    <w:rsid w:val="002B219A"/>
    <w:rsid w:val="002B2655"/>
    <w:rsid w:val="002B2778"/>
    <w:rsid w:val="002B28B6"/>
    <w:rsid w:val="002B3639"/>
    <w:rsid w:val="002B4367"/>
    <w:rsid w:val="002B51F2"/>
    <w:rsid w:val="002B5777"/>
    <w:rsid w:val="002B6124"/>
    <w:rsid w:val="002B6FAF"/>
    <w:rsid w:val="002B7718"/>
    <w:rsid w:val="002B7A3D"/>
    <w:rsid w:val="002B7B9E"/>
    <w:rsid w:val="002B7E2D"/>
    <w:rsid w:val="002C1A81"/>
    <w:rsid w:val="002C1F03"/>
    <w:rsid w:val="002C2338"/>
    <w:rsid w:val="002C2362"/>
    <w:rsid w:val="002C25EE"/>
    <w:rsid w:val="002C26FC"/>
    <w:rsid w:val="002C4C7D"/>
    <w:rsid w:val="002C4EBC"/>
    <w:rsid w:val="002C575F"/>
    <w:rsid w:val="002C625B"/>
    <w:rsid w:val="002C70CA"/>
    <w:rsid w:val="002C7182"/>
    <w:rsid w:val="002C766D"/>
    <w:rsid w:val="002C7F2D"/>
    <w:rsid w:val="002D077E"/>
    <w:rsid w:val="002D0830"/>
    <w:rsid w:val="002D1023"/>
    <w:rsid w:val="002D13D1"/>
    <w:rsid w:val="002D1C8A"/>
    <w:rsid w:val="002D2007"/>
    <w:rsid w:val="002D251E"/>
    <w:rsid w:val="002D4B9A"/>
    <w:rsid w:val="002D51AC"/>
    <w:rsid w:val="002D5D25"/>
    <w:rsid w:val="002D5E57"/>
    <w:rsid w:val="002D7708"/>
    <w:rsid w:val="002E0B14"/>
    <w:rsid w:val="002E2818"/>
    <w:rsid w:val="002E29DA"/>
    <w:rsid w:val="002E4F2A"/>
    <w:rsid w:val="002E4F65"/>
    <w:rsid w:val="002E4FA6"/>
    <w:rsid w:val="002E53E8"/>
    <w:rsid w:val="002E6E79"/>
    <w:rsid w:val="002E6E82"/>
    <w:rsid w:val="002E78DE"/>
    <w:rsid w:val="002E7A8E"/>
    <w:rsid w:val="002E7E1C"/>
    <w:rsid w:val="002F026A"/>
    <w:rsid w:val="002F14D5"/>
    <w:rsid w:val="002F1DF6"/>
    <w:rsid w:val="002F22FE"/>
    <w:rsid w:val="002F2FB6"/>
    <w:rsid w:val="002F3FDF"/>
    <w:rsid w:val="002F4435"/>
    <w:rsid w:val="002F451D"/>
    <w:rsid w:val="002F5094"/>
    <w:rsid w:val="002F5972"/>
    <w:rsid w:val="002F620D"/>
    <w:rsid w:val="0030083E"/>
    <w:rsid w:val="00300948"/>
    <w:rsid w:val="0030260F"/>
    <w:rsid w:val="00304AA5"/>
    <w:rsid w:val="00304B90"/>
    <w:rsid w:val="003051BD"/>
    <w:rsid w:val="0030602F"/>
    <w:rsid w:val="0030607E"/>
    <w:rsid w:val="00306E85"/>
    <w:rsid w:val="00307183"/>
    <w:rsid w:val="00310AA4"/>
    <w:rsid w:val="00310B11"/>
    <w:rsid w:val="00311379"/>
    <w:rsid w:val="00314AAE"/>
    <w:rsid w:val="00316855"/>
    <w:rsid w:val="00317D40"/>
    <w:rsid w:val="003207F0"/>
    <w:rsid w:val="00320BCB"/>
    <w:rsid w:val="00321BB9"/>
    <w:rsid w:val="00324A77"/>
    <w:rsid w:val="003270FA"/>
    <w:rsid w:val="00327972"/>
    <w:rsid w:val="00330196"/>
    <w:rsid w:val="00330387"/>
    <w:rsid w:val="00330A1C"/>
    <w:rsid w:val="00330A69"/>
    <w:rsid w:val="00331135"/>
    <w:rsid w:val="00333483"/>
    <w:rsid w:val="0033540D"/>
    <w:rsid w:val="00337363"/>
    <w:rsid w:val="00337D92"/>
    <w:rsid w:val="00340FF1"/>
    <w:rsid w:val="00341DBD"/>
    <w:rsid w:val="003423F3"/>
    <w:rsid w:val="00342690"/>
    <w:rsid w:val="00343D8D"/>
    <w:rsid w:val="003451B9"/>
    <w:rsid w:val="0034620B"/>
    <w:rsid w:val="00346812"/>
    <w:rsid w:val="00346B27"/>
    <w:rsid w:val="00347C0E"/>
    <w:rsid w:val="00347FAF"/>
    <w:rsid w:val="00347FBA"/>
    <w:rsid w:val="00350B6E"/>
    <w:rsid w:val="00350FCE"/>
    <w:rsid w:val="00351C31"/>
    <w:rsid w:val="00353460"/>
    <w:rsid w:val="00353F9D"/>
    <w:rsid w:val="003551AF"/>
    <w:rsid w:val="003562E0"/>
    <w:rsid w:val="003568EA"/>
    <w:rsid w:val="00357C10"/>
    <w:rsid w:val="0036064F"/>
    <w:rsid w:val="0036126B"/>
    <w:rsid w:val="00361963"/>
    <w:rsid w:val="00361C09"/>
    <w:rsid w:val="003625AB"/>
    <w:rsid w:val="00363953"/>
    <w:rsid w:val="00364C9C"/>
    <w:rsid w:val="003654C4"/>
    <w:rsid w:val="003705F3"/>
    <w:rsid w:val="00370ABB"/>
    <w:rsid w:val="00371106"/>
    <w:rsid w:val="003724F3"/>
    <w:rsid w:val="00372E60"/>
    <w:rsid w:val="003739F9"/>
    <w:rsid w:val="003742F6"/>
    <w:rsid w:val="00374308"/>
    <w:rsid w:val="00377948"/>
    <w:rsid w:val="00377BE6"/>
    <w:rsid w:val="003804B3"/>
    <w:rsid w:val="0038056C"/>
    <w:rsid w:val="00381784"/>
    <w:rsid w:val="00382AF4"/>
    <w:rsid w:val="00382BBB"/>
    <w:rsid w:val="00383562"/>
    <w:rsid w:val="00383B87"/>
    <w:rsid w:val="00383C79"/>
    <w:rsid w:val="00384A0D"/>
    <w:rsid w:val="00385865"/>
    <w:rsid w:val="00385874"/>
    <w:rsid w:val="00385D9B"/>
    <w:rsid w:val="0038610E"/>
    <w:rsid w:val="00387B01"/>
    <w:rsid w:val="003904E7"/>
    <w:rsid w:val="003907FC"/>
    <w:rsid w:val="00390943"/>
    <w:rsid w:val="00391798"/>
    <w:rsid w:val="00391BF8"/>
    <w:rsid w:val="00394402"/>
    <w:rsid w:val="003948C6"/>
    <w:rsid w:val="003959DA"/>
    <w:rsid w:val="00395BAC"/>
    <w:rsid w:val="00396242"/>
    <w:rsid w:val="00396335"/>
    <w:rsid w:val="003963E1"/>
    <w:rsid w:val="00396AFC"/>
    <w:rsid w:val="00397AF4"/>
    <w:rsid w:val="00397CA3"/>
    <w:rsid w:val="003A05AF"/>
    <w:rsid w:val="003A29CA"/>
    <w:rsid w:val="003A43BE"/>
    <w:rsid w:val="003A4AF3"/>
    <w:rsid w:val="003A63D5"/>
    <w:rsid w:val="003A6C80"/>
    <w:rsid w:val="003A7918"/>
    <w:rsid w:val="003A7AA6"/>
    <w:rsid w:val="003B15F9"/>
    <w:rsid w:val="003B522A"/>
    <w:rsid w:val="003B5538"/>
    <w:rsid w:val="003B6062"/>
    <w:rsid w:val="003C01E4"/>
    <w:rsid w:val="003C07CB"/>
    <w:rsid w:val="003C19BE"/>
    <w:rsid w:val="003C1E51"/>
    <w:rsid w:val="003C20FA"/>
    <w:rsid w:val="003C2A7F"/>
    <w:rsid w:val="003C2B04"/>
    <w:rsid w:val="003C30AF"/>
    <w:rsid w:val="003C5203"/>
    <w:rsid w:val="003C5A35"/>
    <w:rsid w:val="003C6BFF"/>
    <w:rsid w:val="003C7B6A"/>
    <w:rsid w:val="003D0A0E"/>
    <w:rsid w:val="003D1D07"/>
    <w:rsid w:val="003D2056"/>
    <w:rsid w:val="003D2AE1"/>
    <w:rsid w:val="003D2CB6"/>
    <w:rsid w:val="003D2D74"/>
    <w:rsid w:val="003D3319"/>
    <w:rsid w:val="003D3AB3"/>
    <w:rsid w:val="003D4C8C"/>
    <w:rsid w:val="003E0626"/>
    <w:rsid w:val="003E0A75"/>
    <w:rsid w:val="003E0E73"/>
    <w:rsid w:val="003E174F"/>
    <w:rsid w:val="003E2935"/>
    <w:rsid w:val="003E31E2"/>
    <w:rsid w:val="003E458B"/>
    <w:rsid w:val="003E45A1"/>
    <w:rsid w:val="003E629E"/>
    <w:rsid w:val="003E6DEE"/>
    <w:rsid w:val="003E7209"/>
    <w:rsid w:val="003E7234"/>
    <w:rsid w:val="003F0556"/>
    <w:rsid w:val="003F1572"/>
    <w:rsid w:val="003F1DD5"/>
    <w:rsid w:val="003F1EC9"/>
    <w:rsid w:val="003F29FF"/>
    <w:rsid w:val="003F3605"/>
    <w:rsid w:val="003F404A"/>
    <w:rsid w:val="003F479A"/>
    <w:rsid w:val="003F4EB7"/>
    <w:rsid w:val="003F51FA"/>
    <w:rsid w:val="003F5470"/>
    <w:rsid w:val="003F6D8B"/>
    <w:rsid w:val="0040089A"/>
    <w:rsid w:val="004011EC"/>
    <w:rsid w:val="004019F1"/>
    <w:rsid w:val="00401AAD"/>
    <w:rsid w:val="00402640"/>
    <w:rsid w:val="00405765"/>
    <w:rsid w:val="00405868"/>
    <w:rsid w:val="0040595D"/>
    <w:rsid w:val="00405C5A"/>
    <w:rsid w:val="00407022"/>
    <w:rsid w:val="0040706D"/>
    <w:rsid w:val="00410A30"/>
    <w:rsid w:val="00413253"/>
    <w:rsid w:val="0041406F"/>
    <w:rsid w:val="0041615D"/>
    <w:rsid w:val="00416E12"/>
    <w:rsid w:val="00417FC8"/>
    <w:rsid w:val="0042024B"/>
    <w:rsid w:val="004207CF"/>
    <w:rsid w:val="00422C33"/>
    <w:rsid w:val="00423F05"/>
    <w:rsid w:val="004249A5"/>
    <w:rsid w:val="00426343"/>
    <w:rsid w:val="00426B32"/>
    <w:rsid w:val="004270A9"/>
    <w:rsid w:val="004272E6"/>
    <w:rsid w:val="00427923"/>
    <w:rsid w:val="00430D47"/>
    <w:rsid w:val="00431D77"/>
    <w:rsid w:val="00432EE3"/>
    <w:rsid w:val="00433CE3"/>
    <w:rsid w:val="0043446E"/>
    <w:rsid w:val="00435BD2"/>
    <w:rsid w:val="0043633E"/>
    <w:rsid w:val="00436F87"/>
    <w:rsid w:val="00437363"/>
    <w:rsid w:val="00437825"/>
    <w:rsid w:val="00441DF0"/>
    <w:rsid w:val="00442915"/>
    <w:rsid w:val="00442FB4"/>
    <w:rsid w:val="00443DA6"/>
    <w:rsid w:val="004447FF"/>
    <w:rsid w:val="0044784E"/>
    <w:rsid w:val="00447A36"/>
    <w:rsid w:val="00447B4E"/>
    <w:rsid w:val="0045072F"/>
    <w:rsid w:val="004511F0"/>
    <w:rsid w:val="00452344"/>
    <w:rsid w:val="00453747"/>
    <w:rsid w:val="004540D7"/>
    <w:rsid w:val="00454294"/>
    <w:rsid w:val="00454B22"/>
    <w:rsid w:val="0045699B"/>
    <w:rsid w:val="00456A89"/>
    <w:rsid w:val="00456D4A"/>
    <w:rsid w:val="00457271"/>
    <w:rsid w:val="0045743A"/>
    <w:rsid w:val="00457572"/>
    <w:rsid w:val="0046019B"/>
    <w:rsid w:val="00460732"/>
    <w:rsid w:val="00460D5B"/>
    <w:rsid w:val="00461376"/>
    <w:rsid w:val="00461D4B"/>
    <w:rsid w:val="00462346"/>
    <w:rsid w:val="00462E31"/>
    <w:rsid w:val="00463834"/>
    <w:rsid w:val="00466F0D"/>
    <w:rsid w:val="00470331"/>
    <w:rsid w:val="00470CB7"/>
    <w:rsid w:val="00470E64"/>
    <w:rsid w:val="0047310E"/>
    <w:rsid w:val="004733D1"/>
    <w:rsid w:val="004734A9"/>
    <w:rsid w:val="004736B2"/>
    <w:rsid w:val="00473D78"/>
    <w:rsid w:val="0047410B"/>
    <w:rsid w:val="00475626"/>
    <w:rsid w:val="0047580C"/>
    <w:rsid w:val="00475B30"/>
    <w:rsid w:val="00476105"/>
    <w:rsid w:val="004767B9"/>
    <w:rsid w:val="0047740F"/>
    <w:rsid w:val="0047750D"/>
    <w:rsid w:val="00480005"/>
    <w:rsid w:val="004838B7"/>
    <w:rsid w:val="00485528"/>
    <w:rsid w:val="004867E7"/>
    <w:rsid w:val="004869E1"/>
    <w:rsid w:val="00490042"/>
    <w:rsid w:val="004903C0"/>
    <w:rsid w:val="00491855"/>
    <w:rsid w:val="004923CE"/>
    <w:rsid w:val="00493E8C"/>
    <w:rsid w:val="004946AE"/>
    <w:rsid w:val="004955EE"/>
    <w:rsid w:val="00496885"/>
    <w:rsid w:val="004971F5"/>
    <w:rsid w:val="00497596"/>
    <w:rsid w:val="004A062F"/>
    <w:rsid w:val="004A131A"/>
    <w:rsid w:val="004A1F2F"/>
    <w:rsid w:val="004A2287"/>
    <w:rsid w:val="004A3165"/>
    <w:rsid w:val="004A41C2"/>
    <w:rsid w:val="004A4D42"/>
    <w:rsid w:val="004A4FFF"/>
    <w:rsid w:val="004A6116"/>
    <w:rsid w:val="004A6121"/>
    <w:rsid w:val="004A61A5"/>
    <w:rsid w:val="004A62C6"/>
    <w:rsid w:val="004A6604"/>
    <w:rsid w:val="004A6D98"/>
    <w:rsid w:val="004A7E7C"/>
    <w:rsid w:val="004B09EC"/>
    <w:rsid w:val="004B3F33"/>
    <w:rsid w:val="004B577C"/>
    <w:rsid w:val="004B6C0F"/>
    <w:rsid w:val="004B781D"/>
    <w:rsid w:val="004C0DBA"/>
    <w:rsid w:val="004C0F1C"/>
    <w:rsid w:val="004C147B"/>
    <w:rsid w:val="004C18A7"/>
    <w:rsid w:val="004C26D4"/>
    <w:rsid w:val="004C3DA5"/>
    <w:rsid w:val="004C5770"/>
    <w:rsid w:val="004C582B"/>
    <w:rsid w:val="004C644B"/>
    <w:rsid w:val="004C6B98"/>
    <w:rsid w:val="004C6EAC"/>
    <w:rsid w:val="004C7426"/>
    <w:rsid w:val="004C7530"/>
    <w:rsid w:val="004C7B52"/>
    <w:rsid w:val="004D09F4"/>
    <w:rsid w:val="004D0A9B"/>
    <w:rsid w:val="004D188B"/>
    <w:rsid w:val="004D2162"/>
    <w:rsid w:val="004D556E"/>
    <w:rsid w:val="004D5CEE"/>
    <w:rsid w:val="004D6D79"/>
    <w:rsid w:val="004D7E3F"/>
    <w:rsid w:val="004E0234"/>
    <w:rsid w:val="004E02E9"/>
    <w:rsid w:val="004E0654"/>
    <w:rsid w:val="004E0D47"/>
    <w:rsid w:val="004E21AB"/>
    <w:rsid w:val="004E29DA"/>
    <w:rsid w:val="004E3BE9"/>
    <w:rsid w:val="004E3F67"/>
    <w:rsid w:val="004E46DB"/>
    <w:rsid w:val="004E47AC"/>
    <w:rsid w:val="004E5A63"/>
    <w:rsid w:val="004E6523"/>
    <w:rsid w:val="004E7AC7"/>
    <w:rsid w:val="004F1D8F"/>
    <w:rsid w:val="004F1E9C"/>
    <w:rsid w:val="004F22C3"/>
    <w:rsid w:val="004F258B"/>
    <w:rsid w:val="004F2675"/>
    <w:rsid w:val="004F2BB5"/>
    <w:rsid w:val="004F594D"/>
    <w:rsid w:val="004F5C81"/>
    <w:rsid w:val="004F73D3"/>
    <w:rsid w:val="004F76CD"/>
    <w:rsid w:val="004F780B"/>
    <w:rsid w:val="004F7ACF"/>
    <w:rsid w:val="004F7AE8"/>
    <w:rsid w:val="005003FD"/>
    <w:rsid w:val="005005FE"/>
    <w:rsid w:val="00500EFF"/>
    <w:rsid w:val="00501333"/>
    <w:rsid w:val="00501811"/>
    <w:rsid w:val="0050197A"/>
    <w:rsid w:val="00501F1B"/>
    <w:rsid w:val="00503548"/>
    <w:rsid w:val="005035A7"/>
    <w:rsid w:val="00503FB5"/>
    <w:rsid w:val="00505891"/>
    <w:rsid w:val="00505B52"/>
    <w:rsid w:val="00505E27"/>
    <w:rsid w:val="0051041F"/>
    <w:rsid w:val="00510997"/>
    <w:rsid w:val="005115D0"/>
    <w:rsid w:val="00511B52"/>
    <w:rsid w:val="0051251E"/>
    <w:rsid w:val="00513790"/>
    <w:rsid w:val="00513821"/>
    <w:rsid w:val="00513EA1"/>
    <w:rsid w:val="005168DE"/>
    <w:rsid w:val="00516B60"/>
    <w:rsid w:val="00517B7E"/>
    <w:rsid w:val="00520C56"/>
    <w:rsid w:val="0052108A"/>
    <w:rsid w:val="005218C6"/>
    <w:rsid w:val="0052219D"/>
    <w:rsid w:val="005225EF"/>
    <w:rsid w:val="00524648"/>
    <w:rsid w:val="005251A0"/>
    <w:rsid w:val="00527A15"/>
    <w:rsid w:val="00527AD2"/>
    <w:rsid w:val="00527D09"/>
    <w:rsid w:val="00530BB6"/>
    <w:rsid w:val="00531021"/>
    <w:rsid w:val="00531188"/>
    <w:rsid w:val="00531921"/>
    <w:rsid w:val="00533C6C"/>
    <w:rsid w:val="00536501"/>
    <w:rsid w:val="005369BB"/>
    <w:rsid w:val="00540201"/>
    <w:rsid w:val="005405C9"/>
    <w:rsid w:val="00542069"/>
    <w:rsid w:val="0054237B"/>
    <w:rsid w:val="00542FF6"/>
    <w:rsid w:val="00542FF9"/>
    <w:rsid w:val="00544738"/>
    <w:rsid w:val="00544C5E"/>
    <w:rsid w:val="0054563C"/>
    <w:rsid w:val="00545CD5"/>
    <w:rsid w:val="00546F1F"/>
    <w:rsid w:val="005471C5"/>
    <w:rsid w:val="005507C4"/>
    <w:rsid w:val="005511EE"/>
    <w:rsid w:val="00551C9E"/>
    <w:rsid w:val="005529D6"/>
    <w:rsid w:val="005551CA"/>
    <w:rsid w:val="00555DF4"/>
    <w:rsid w:val="005566AC"/>
    <w:rsid w:val="00561AC1"/>
    <w:rsid w:val="00561CC8"/>
    <w:rsid w:val="005622B0"/>
    <w:rsid w:val="00562C49"/>
    <w:rsid w:val="00562CC3"/>
    <w:rsid w:val="00563376"/>
    <w:rsid w:val="00563467"/>
    <w:rsid w:val="00563C6D"/>
    <w:rsid w:val="005643B5"/>
    <w:rsid w:val="00566438"/>
    <w:rsid w:val="00571B51"/>
    <w:rsid w:val="00573796"/>
    <w:rsid w:val="00573B79"/>
    <w:rsid w:val="00574625"/>
    <w:rsid w:val="00574E74"/>
    <w:rsid w:val="00576EA9"/>
    <w:rsid w:val="0057718B"/>
    <w:rsid w:val="00577985"/>
    <w:rsid w:val="00580403"/>
    <w:rsid w:val="005804B9"/>
    <w:rsid w:val="00580997"/>
    <w:rsid w:val="00581B0C"/>
    <w:rsid w:val="00581F00"/>
    <w:rsid w:val="005843DC"/>
    <w:rsid w:val="0058458C"/>
    <w:rsid w:val="005848FB"/>
    <w:rsid w:val="00585A15"/>
    <w:rsid w:val="0058778A"/>
    <w:rsid w:val="00590380"/>
    <w:rsid w:val="00590FEB"/>
    <w:rsid w:val="00591811"/>
    <w:rsid w:val="00591B32"/>
    <w:rsid w:val="005923FC"/>
    <w:rsid w:val="005966CC"/>
    <w:rsid w:val="005973B5"/>
    <w:rsid w:val="005A0E08"/>
    <w:rsid w:val="005A19DA"/>
    <w:rsid w:val="005A21DA"/>
    <w:rsid w:val="005A247C"/>
    <w:rsid w:val="005A39C9"/>
    <w:rsid w:val="005A3B98"/>
    <w:rsid w:val="005A406F"/>
    <w:rsid w:val="005A419F"/>
    <w:rsid w:val="005A460A"/>
    <w:rsid w:val="005A4D8C"/>
    <w:rsid w:val="005A55A3"/>
    <w:rsid w:val="005A73BC"/>
    <w:rsid w:val="005B11C6"/>
    <w:rsid w:val="005B17A6"/>
    <w:rsid w:val="005B5BBA"/>
    <w:rsid w:val="005C043B"/>
    <w:rsid w:val="005C0B91"/>
    <w:rsid w:val="005C163B"/>
    <w:rsid w:val="005C17E7"/>
    <w:rsid w:val="005C1A66"/>
    <w:rsid w:val="005C25CC"/>
    <w:rsid w:val="005C2933"/>
    <w:rsid w:val="005C49E3"/>
    <w:rsid w:val="005C4B50"/>
    <w:rsid w:val="005C4BB0"/>
    <w:rsid w:val="005C5A92"/>
    <w:rsid w:val="005C6B25"/>
    <w:rsid w:val="005C6D25"/>
    <w:rsid w:val="005C7C5D"/>
    <w:rsid w:val="005D0B0C"/>
    <w:rsid w:val="005D0F05"/>
    <w:rsid w:val="005D13EA"/>
    <w:rsid w:val="005D165E"/>
    <w:rsid w:val="005D1E18"/>
    <w:rsid w:val="005D30FB"/>
    <w:rsid w:val="005D3E09"/>
    <w:rsid w:val="005D44B1"/>
    <w:rsid w:val="005D50FB"/>
    <w:rsid w:val="005D5DEE"/>
    <w:rsid w:val="005D602E"/>
    <w:rsid w:val="005D65C5"/>
    <w:rsid w:val="005D6903"/>
    <w:rsid w:val="005E00A0"/>
    <w:rsid w:val="005E0448"/>
    <w:rsid w:val="005E0AF9"/>
    <w:rsid w:val="005E1406"/>
    <w:rsid w:val="005E1664"/>
    <w:rsid w:val="005E17A5"/>
    <w:rsid w:val="005E45AB"/>
    <w:rsid w:val="005E4FB3"/>
    <w:rsid w:val="005E5615"/>
    <w:rsid w:val="005E701C"/>
    <w:rsid w:val="005E7459"/>
    <w:rsid w:val="005F1758"/>
    <w:rsid w:val="005F1A58"/>
    <w:rsid w:val="005F2684"/>
    <w:rsid w:val="005F2732"/>
    <w:rsid w:val="005F2BBF"/>
    <w:rsid w:val="005F2C88"/>
    <w:rsid w:val="005F2E5F"/>
    <w:rsid w:val="005F3BEC"/>
    <w:rsid w:val="005F400B"/>
    <w:rsid w:val="005F519A"/>
    <w:rsid w:val="005F538D"/>
    <w:rsid w:val="005F5E5D"/>
    <w:rsid w:val="005F68F0"/>
    <w:rsid w:val="005F7230"/>
    <w:rsid w:val="005F77A8"/>
    <w:rsid w:val="00600530"/>
    <w:rsid w:val="00600775"/>
    <w:rsid w:val="00600A7E"/>
    <w:rsid w:val="00600F7A"/>
    <w:rsid w:val="00601D09"/>
    <w:rsid w:val="00604F4B"/>
    <w:rsid w:val="00605BAF"/>
    <w:rsid w:val="00605EE1"/>
    <w:rsid w:val="00605F80"/>
    <w:rsid w:val="006067F1"/>
    <w:rsid w:val="00606E1A"/>
    <w:rsid w:val="006105CB"/>
    <w:rsid w:val="0061081E"/>
    <w:rsid w:val="00611215"/>
    <w:rsid w:val="00611E0F"/>
    <w:rsid w:val="00613A8F"/>
    <w:rsid w:val="00613E43"/>
    <w:rsid w:val="0061452E"/>
    <w:rsid w:val="00614FDB"/>
    <w:rsid w:val="00615AE3"/>
    <w:rsid w:val="00617C2C"/>
    <w:rsid w:val="00617DA1"/>
    <w:rsid w:val="006221DA"/>
    <w:rsid w:val="00622E62"/>
    <w:rsid w:val="00622E72"/>
    <w:rsid w:val="006235B5"/>
    <w:rsid w:val="00623613"/>
    <w:rsid w:val="00623BED"/>
    <w:rsid w:val="00625928"/>
    <w:rsid w:val="00627061"/>
    <w:rsid w:val="00627F73"/>
    <w:rsid w:val="00631256"/>
    <w:rsid w:val="006313C0"/>
    <w:rsid w:val="006323DC"/>
    <w:rsid w:val="0063300C"/>
    <w:rsid w:val="0063320E"/>
    <w:rsid w:val="00633EB9"/>
    <w:rsid w:val="00634009"/>
    <w:rsid w:val="00634834"/>
    <w:rsid w:val="00634F7E"/>
    <w:rsid w:val="00636138"/>
    <w:rsid w:val="0063699B"/>
    <w:rsid w:val="00637360"/>
    <w:rsid w:val="0063795A"/>
    <w:rsid w:val="006400E5"/>
    <w:rsid w:val="00640B70"/>
    <w:rsid w:val="00640E52"/>
    <w:rsid w:val="00641AF9"/>
    <w:rsid w:val="00643A11"/>
    <w:rsid w:val="00644165"/>
    <w:rsid w:val="00644C7D"/>
    <w:rsid w:val="00645775"/>
    <w:rsid w:val="00645EE6"/>
    <w:rsid w:val="006460BF"/>
    <w:rsid w:val="00647349"/>
    <w:rsid w:val="00647830"/>
    <w:rsid w:val="0065018D"/>
    <w:rsid w:val="00651AEB"/>
    <w:rsid w:val="006524CF"/>
    <w:rsid w:val="0065259D"/>
    <w:rsid w:val="00652D97"/>
    <w:rsid w:val="00652F21"/>
    <w:rsid w:val="006536B0"/>
    <w:rsid w:val="00653875"/>
    <w:rsid w:val="006559D8"/>
    <w:rsid w:val="00656452"/>
    <w:rsid w:val="00657062"/>
    <w:rsid w:val="00660C39"/>
    <w:rsid w:val="00660EDC"/>
    <w:rsid w:val="00663311"/>
    <w:rsid w:val="0066334F"/>
    <w:rsid w:val="00663362"/>
    <w:rsid w:val="00663462"/>
    <w:rsid w:val="0066438B"/>
    <w:rsid w:val="006652DA"/>
    <w:rsid w:val="006657A0"/>
    <w:rsid w:val="00665A96"/>
    <w:rsid w:val="00665CC7"/>
    <w:rsid w:val="00666BE0"/>
    <w:rsid w:val="00666E0A"/>
    <w:rsid w:val="00667114"/>
    <w:rsid w:val="006721DF"/>
    <w:rsid w:val="00672BFF"/>
    <w:rsid w:val="00672D2F"/>
    <w:rsid w:val="00672D7F"/>
    <w:rsid w:val="006737DD"/>
    <w:rsid w:val="00673B39"/>
    <w:rsid w:val="006754B6"/>
    <w:rsid w:val="006813B1"/>
    <w:rsid w:val="00681841"/>
    <w:rsid w:val="00681AF7"/>
    <w:rsid w:val="00681B68"/>
    <w:rsid w:val="00681D85"/>
    <w:rsid w:val="00681E25"/>
    <w:rsid w:val="00682447"/>
    <w:rsid w:val="00683188"/>
    <w:rsid w:val="006832DE"/>
    <w:rsid w:val="00685E6B"/>
    <w:rsid w:val="006860AF"/>
    <w:rsid w:val="00687A2A"/>
    <w:rsid w:val="006903AE"/>
    <w:rsid w:val="00690749"/>
    <w:rsid w:val="0069118D"/>
    <w:rsid w:val="00691C50"/>
    <w:rsid w:val="00693F09"/>
    <w:rsid w:val="00695630"/>
    <w:rsid w:val="006958FB"/>
    <w:rsid w:val="006971BD"/>
    <w:rsid w:val="006972B3"/>
    <w:rsid w:val="006975A0"/>
    <w:rsid w:val="006A0FF7"/>
    <w:rsid w:val="006A1343"/>
    <w:rsid w:val="006A1990"/>
    <w:rsid w:val="006A1E92"/>
    <w:rsid w:val="006A2234"/>
    <w:rsid w:val="006A254F"/>
    <w:rsid w:val="006A3578"/>
    <w:rsid w:val="006A38D6"/>
    <w:rsid w:val="006A3DB7"/>
    <w:rsid w:val="006A4346"/>
    <w:rsid w:val="006A5593"/>
    <w:rsid w:val="006A7A11"/>
    <w:rsid w:val="006B14E0"/>
    <w:rsid w:val="006B3CE1"/>
    <w:rsid w:val="006B3FCE"/>
    <w:rsid w:val="006B5564"/>
    <w:rsid w:val="006C19AB"/>
    <w:rsid w:val="006C20F7"/>
    <w:rsid w:val="006C26E3"/>
    <w:rsid w:val="006C322C"/>
    <w:rsid w:val="006C362E"/>
    <w:rsid w:val="006C4BD1"/>
    <w:rsid w:val="006C5178"/>
    <w:rsid w:val="006C59E2"/>
    <w:rsid w:val="006C5A95"/>
    <w:rsid w:val="006C7F20"/>
    <w:rsid w:val="006D0AD5"/>
    <w:rsid w:val="006D0F41"/>
    <w:rsid w:val="006D19B7"/>
    <w:rsid w:val="006D23B1"/>
    <w:rsid w:val="006D23F5"/>
    <w:rsid w:val="006D26EF"/>
    <w:rsid w:val="006D2860"/>
    <w:rsid w:val="006D2D7D"/>
    <w:rsid w:val="006D30C5"/>
    <w:rsid w:val="006D3C8C"/>
    <w:rsid w:val="006D41AB"/>
    <w:rsid w:val="006D4E64"/>
    <w:rsid w:val="006D5B30"/>
    <w:rsid w:val="006D71A6"/>
    <w:rsid w:val="006D754D"/>
    <w:rsid w:val="006D7974"/>
    <w:rsid w:val="006E0AF3"/>
    <w:rsid w:val="006E12B3"/>
    <w:rsid w:val="006E157B"/>
    <w:rsid w:val="006E18AF"/>
    <w:rsid w:val="006E27F2"/>
    <w:rsid w:val="006E34D5"/>
    <w:rsid w:val="006E3A10"/>
    <w:rsid w:val="006E3CB5"/>
    <w:rsid w:val="006E4BD9"/>
    <w:rsid w:val="006E4EE0"/>
    <w:rsid w:val="006E5BB5"/>
    <w:rsid w:val="006E5EF2"/>
    <w:rsid w:val="006E6557"/>
    <w:rsid w:val="006E65E9"/>
    <w:rsid w:val="006E6C3C"/>
    <w:rsid w:val="006E6F59"/>
    <w:rsid w:val="006F0439"/>
    <w:rsid w:val="006F201C"/>
    <w:rsid w:val="006F25B6"/>
    <w:rsid w:val="006F25ED"/>
    <w:rsid w:val="006F4080"/>
    <w:rsid w:val="006F464E"/>
    <w:rsid w:val="006F4C89"/>
    <w:rsid w:val="006F4D5F"/>
    <w:rsid w:val="006F516A"/>
    <w:rsid w:val="006F5BCB"/>
    <w:rsid w:val="006F6C3F"/>
    <w:rsid w:val="00701415"/>
    <w:rsid w:val="00701442"/>
    <w:rsid w:val="007015C6"/>
    <w:rsid w:val="00701CE8"/>
    <w:rsid w:val="00702DA7"/>
    <w:rsid w:val="0070427D"/>
    <w:rsid w:val="007044ED"/>
    <w:rsid w:val="0070454A"/>
    <w:rsid w:val="00705289"/>
    <w:rsid w:val="00705638"/>
    <w:rsid w:val="00707AD3"/>
    <w:rsid w:val="007107F9"/>
    <w:rsid w:val="00710A11"/>
    <w:rsid w:val="00710CCF"/>
    <w:rsid w:val="007121F3"/>
    <w:rsid w:val="0071255A"/>
    <w:rsid w:val="00712611"/>
    <w:rsid w:val="0071374B"/>
    <w:rsid w:val="00713A54"/>
    <w:rsid w:val="00715C3C"/>
    <w:rsid w:val="00716A75"/>
    <w:rsid w:val="00716CD7"/>
    <w:rsid w:val="00716DB7"/>
    <w:rsid w:val="007201E3"/>
    <w:rsid w:val="007213EA"/>
    <w:rsid w:val="00721902"/>
    <w:rsid w:val="00722D37"/>
    <w:rsid w:val="007252A0"/>
    <w:rsid w:val="007266FA"/>
    <w:rsid w:val="007278DA"/>
    <w:rsid w:val="00730121"/>
    <w:rsid w:val="00730491"/>
    <w:rsid w:val="00731DB9"/>
    <w:rsid w:val="00733D8D"/>
    <w:rsid w:val="00736351"/>
    <w:rsid w:val="00736774"/>
    <w:rsid w:val="0073728A"/>
    <w:rsid w:val="00737D83"/>
    <w:rsid w:val="0074023D"/>
    <w:rsid w:val="007405C5"/>
    <w:rsid w:val="00740E3B"/>
    <w:rsid w:val="0074184B"/>
    <w:rsid w:val="007433A3"/>
    <w:rsid w:val="00743571"/>
    <w:rsid w:val="007438E2"/>
    <w:rsid w:val="00744236"/>
    <w:rsid w:val="00744611"/>
    <w:rsid w:val="00744879"/>
    <w:rsid w:val="007449B2"/>
    <w:rsid w:val="00747CDB"/>
    <w:rsid w:val="0075067A"/>
    <w:rsid w:val="00751344"/>
    <w:rsid w:val="00753E01"/>
    <w:rsid w:val="00754AD3"/>
    <w:rsid w:val="007558BF"/>
    <w:rsid w:val="00755E57"/>
    <w:rsid w:val="007563B9"/>
    <w:rsid w:val="0076038D"/>
    <w:rsid w:val="0076112F"/>
    <w:rsid w:val="007618AC"/>
    <w:rsid w:val="00762BDE"/>
    <w:rsid w:val="0076458A"/>
    <w:rsid w:val="00765321"/>
    <w:rsid w:val="0076575A"/>
    <w:rsid w:val="00766F25"/>
    <w:rsid w:val="007670C3"/>
    <w:rsid w:val="00771336"/>
    <w:rsid w:val="00771AB2"/>
    <w:rsid w:val="00773B0C"/>
    <w:rsid w:val="007744C2"/>
    <w:rsid w:val="00774AC5"/>
    <w:rsid w:val="00775663"/>
    <w:rsid w:val="00776168"/>
    <w:rsid w:val="00776F86"/>
    <w:rsid w:val="0077714E"/>
    <w:rsid w:val="0078074B"/>
    <w:rsid w:val="00781E65"/>
    <w:rsid w:val="0078444B"/>
    <w:rsid w:val="00784645"/>
    <w:rsid w:val="00784E50"/>
    <w:rsid w:val="0078515E"/>
    <w:rsid w:val="007851CB"/>
    <w:rsid w:val="00785512"/>
    <w:rsid w:val="00785C0D"/>
    <w:rsid w:val="00786814"/>
    <w:rsid w:val="00786BCB"/>
    <w:rsid w:val="00790090"/>
    <w:rsid w:val="007908C0"/>
    <w:rsid w:val="00790971"/>
    <w:rsid w:val="00791F04"/>
    <w:rsid w:val="0079290A"/>
    <w:rsid w:val="00792EB2"/>
    <w:rsid w:val="00793C00"/>
    <w:rsid w:val="00793C81"/>
    <w:rsid w:val="007960E9"/>
    <w:rsid w:val="00796DC7"/>
    <w:rsid w:val="0079733B"/>
    <w:rsid w:val="007977F4"/>
    <w:rsid w:val="007A09AB"/>
    <w:rsid w:val="007A0B8A"/>
    <w:rsid w:val="007A2634"/>
    <w:rsid w:val="007A2889"/>
    <w:rsid w:val="007A3648"/>
    <w:rsid w:val="007A5E05"/>
    <w:rsid w:val="007A5E3E"/>
    <w:rsid w:val="007A6C5E"/>
    <w:rsid w:val="007B121C"/>
    <w:rsid w:val="007B293F"/>
    <w:rsid w:val="007B2F22"/>
    <w:rsid w:val="007B3287"/>
    <w:rsid w:val="007B4CC8"/>
    <w:rsid w:val="007B57FC"/>
    <w:rsid w:val="007B6538"/>
    <w:rsid w:val="007B6667"/>
    <w:rsid w:val="007B6B0D"/>
    <w:rsid w:val="007B723A"/>
    <w:rsid w:val="007B72E8"/>
    <w:rsid w:val="007B72FD"/>
    <w:rsid w:val="007B7C36"/>
    <w:rsid w:val="007C0C44"/>
    <w:rsid w:val="007C0CFA"/>
    <w:rsid w:val="007C0DE9"/>
    <w:rsid w:val="007C1967"/>
    <w:rsid w:val="007C475C"/>
    <w:rsid w:val="007C4919"/>
    <w:rsid w:val="007C6501"/>
    <w:rsid w:val="007C7E8A"/>
    <w:rsid w:val="007D0297"/>
    <w:rsid w:val="007D04C1"/>
    <w:rsid w:val="007D13B3"/>
    <w:rsid w:val="007D1543"/>
    <w:rsid w:val="007D233D"/>
    <w:rsid w:val="007D2519"/>
    <w:rsid w:val="007D2ACA"/>
    <w:rsid w:val="007D339F"/>
    <w:rsid w:val="007D3CD6"/>
    <w:rsid w:val="007D42EB"/>
    <w:rsid w:val="007D57FA"/>
    <w:rsid w:val="007D5F8B"/>
    <w:rsid w:val="007D7551"/>
    <w:rsid w:val="007D75A4"/>
    <w:rsid w:val="007D7870"/>
    <w:rsid w:val="007D7C1E"/>
    <w:rsid w:val="007E014E"/>
    <w:rsid w:val="007E024D"/>
    <w:rsid w:val="007E29CA"/>
    <w:rsid w:val="007E2C4D"/>
    <w:rsid w:val="007E4F4A"/>
    <w:rsid w:val="007E5392"/>
    <w:rsid w:val="007E5450"/>
    <w:rsid w:val="007E5A3C"/>
    <w:rsid w:val="007E5A81"/>
    <w:rsid w:val="007E7574"/>
    <w:rsid w:val="007F070C"/>
    <w:rsid w:val="007F071A"/>
    <w:rsid w:val="007F1340"/>
    <w:rsid w:val="007F1E6F"/>
    <w:rsid w:val="007F3930"/>
    <w:rsid w:val="007F439D"/>
    <w:rsid w:val="007F50EC"/>
    <w:rsid w:val="007F6AAD"/>
    <w:rsid w:val="007F70B0"/>
    <w:rsid w:val="007F7547"/>
    <w:rsid w:val="007F77DF"/>
    <w:rsid w:val="00800480"/>
    <w:rsid w:val="00802E6A"/>
    <w:rsid w:val="00804800"/>
    <w:rsid w:val="00805FD0"/>
    <w:rsid w:val="00806398"/>
    <w:rsid w:val="00810230"/>
    <w:rsid w:val="008104F7"/>
    <w:rsid w:val="00810832"/>
    <w:rsid w:val="00810B26"/>
    <w:rsid w:val="00813078"/>
    <w:rsid w:val="00813A9B"/>
    <w:rsid w:val="0081561C"/>
    <w:rsid w:val="008166A5"/>
    <w:rsid w:val="00817267"/>
    <w:rsid w:val="00817778"/>
    <w:rsid w:val="008201F9"/>
    <w:rsid w:val="0082187F"/>
    <w:rsid w:val="00821B9F"/>
    <w:rsid w:val="008227F3"/>
    <w:rsid w:val="00823A2D"/>
    <w:rsid w:val="00823DDD"/>
    <w:rsid w:val="0082423E"/>
    <w:rsid w:val="008257EE"/>
    <w:rsid w:val="00826557"/>
    <w:rsid w:val="0082676F"/>
    <w:rsid w:val="00826DFB"/>
    <w:rsid w:val="00827989"/>
    <w:rsid w:val="00827F30"/>
    <w:rsid w:val="0083125A"/>
    <w:rsid w:val="00831CAB"/>
    <w:rsid w:val="00832B12"/>
    <w:rsid w:val="0083366D"/>
    <w:rsid w:val="008340DD"/>
    <w:rsid w:val="00835420"/>
    <w:rsid w:val="00835FEF"/>
    <w:rsid w:val="008365C9"/>
    <w:rsid w:val="008365D8"/>
    <w:rsid w:val="00836710"/>
    <w:rsid w:val="00840B84"/>
    <w:rsid w:val="0084174F"/>
    <w:rsid w:val="008427BC"/>
    <w:rsid w:val="008437A7"/>
    <w:rsid w:val="008462E5"/>
    <w:rsid w:val="00846BEA"/>
    <w:rsid w:val="0084799F"/>
    <w:rsid w:val="00851435"/>
    <w:rsid w:val="0085210C"/>
    <w:rsid w:val="00852564"/>
    <w:rsid w:val="00853BF6"/>
    <w:rsid w:val="00854291"/>
    <w:rsid w:val="00854334"/>
    <w:rsid w:val="00855689"/>
    <w:rsid w:val="00856BA2"/>
    <w:rsid w:val="00857728"/>
    <w:rsid w:val="00860034"/>
    <w:rsid w:val="008606C3"/>
    <w:rsid w:val="00860746"/>
    <w:rsid w:val="00860D91"/>
    <w:rsid w:val="008618CE"/>
    <w:rsid w:val="00862474"/>
    <w:rsid w:val="0086457E"/>
    <w:rsid w:val="008647AB"/>
    <w:rsid w:val="00867074"/>
    <w:rsid w:val="00867ACD"/>
    <w:rsid w:val="0087137F"/>
    <w:rsid w:val="008725C8"/>
    <w:rsid w:val="0087300E"/>
    <w:rsid w:val="00873E5F"/>
    <w:rsid w:val="0087502F"/>
    <w:rsid w:val="0087612A"/>
    <w:rsid w:val="00876B9F"/>
    <w:rsid w:val="00877364"/>
    <w:rsid w:val="00881583"/>
    <w:rsid w:val="00881E74"/>
    <w:rsid w:val="00882876"/>
    <w:rsid w:val="00883295"/>
    <w:rsid w:val="008835CE"/>
    <w:rsid w:val="00883B8C"/>
    <w:rsid w:val="0088510C"/>
    <w:rsid w:val="00885390"/>
    <w:rsid w:val="0088562F"/>
    <w:rsid w:val="0088565C"/>
    <w:rsid w:val="008868C5"/>
    <w:rsid w:val="0089291A"/>
    <w:rsid w:val="0089392F"/>
    <w:rsid w:val="008946EF"/>
    <w:rsid w:val="00895159"/>
    <w:rsid w:val="008952C8"/>
    <w:rsid w:val="00895AD7"/>
    <w:rsid w:val="00896B9E"/>
    <w:rsid w:val="00896C00"/>
    <w:rsid w:val="00897156"/>
    <w:rsid w:val="0089729D"/>
    <w:rsid w:val="008A0A52"/>
    <w:rsid w:val="008A223C"/>
    <w:rsid w:val="008A310D"/>
    <w:rsid w:val="008A34A0"/>
    <w:rsid w:val="008A3A66"/>
    <w:rsid w:val="008A3D74"/>
    <w:rsid w:val="008A6E38"/>
    <w:rsid w:val="008A6E5D"/>
    <w:rsid w:val="008A728B"/>
    <w:rsid w:val="008A7F28"/>
    <w:rsid w:val="008B0523"/>
    <w:rsid w:val="008B184F"/>
    <w:rsid w:val="008B25F4"/>
    <w:rsid w:val="008B3B46"/>
    <w:rsid w:val="008B6D60"/>
    <w:rsid w:val="008C02C2"/>
    <w:rsid w:val="008C07E3"/>
    <w:rsid w:val="008C0993"/>
    <w:rsid w:val="008C2B18"/>
    <w:rsid w:val="008C2C01"/>
    <w:rsid w:val="008C6111"/>
    <w:rsid w:val="008C7A96"/>
    <w:rsid w:val="008D1B39"/>
    <w:rsid w:val="008D35F8"/>
    <w:rsid w:val="008D46EF"/>
    <w:rsid w:val="008D63E5"/>
    <w:rsid w:val="008D66B0"/>
    <w:rsid w:val="008D6C0A"/>
    <w:rsid w:val="008D712A"/>
    <w:rsid w:val="008E062E"/>
    <w:rsid w:val="008E0D44"/>
    <w:rsid w:val="008E5BBA"/>
    <w:rsid w:val="008E5F36"/>
    <w:rsid w:val="008F21DB"/>
    <w:rsid w:val="008F286E"/>
    <w:rsid w:val="008F4CB1"/>
    <w:rsid w:val="008F4F4F"/>
    <w:rsid w:val="008F54BE"/>
    <w:rsid w:val="009009DD"/>
    <w:rsid w:val="00901A6F"/>
    <w:rsid w:val="0090208F"/>
    <w:rsid w:val="009020D9"/>
    <w:rsid w:val="00902890"/>
    <w:rsid w:val="00902AD3"/>
    <w:rsid w:val="00904050"/>
    <w:rsid w:val="009040FD"/>
    <w:rsid w:val="00906565"/>
    <w:rsid w:val="00907BBA"/>
    <w:rsid w:val="0091257B"/>
    <w:rsid w:val="00912F32"/>
    <w:rsid w:val="00913124"/>
    <w:rsid w:val="00913762"/>
    <w:rsid w:val="0091419E"/>
    <w:rsid w:val="00916013"/>
    <w:rsid w:val="0091646C"/>
    <w:rsid w:val="00916E70"/>
    <w:rsid w:val="0091710D"/>
    <w:rsid w:val="00917643"/>
    <w:rsid w:val="00920D82"/>
    <w:rsid w:val="009212C3"/>
    <w:rsid w:val="009214A8"/>
    <w:rsid w:val="00921516"/>
    <w:rsid w:val="00921F21"/>
    <w:rsid w:val="009220DF"/>
    <w:rsid w:val="009223D6"/>
    <w:rsid w:val="009224BB"/>
    <w:rsid w:val="00922D6B"/>
    <w:rsid w:val="00924D2D"/>
    <w:rsid w:val="00926F76"/>
    <w:rsid w:val="00927284"/>
    <w:rsid w:val="00930A88"/>
    <w:rsid w:val="00930CD7"/>
    <w:rsid w:val="009336E7"/>
    <w:rsid w:val="009341D3"/>
    <w:rsid w:val="009345E1"/>
    <w:rsid w:val="00934E73"/>
    <w:rsid w:val="00935CC7"/>
    <w:rsid w:val="00936B43"/>
    <w:rsid w:val="00936BB0"/>
    <w:rsid w:val="0093719E"/>
    <w:rsid w:val="0094001E"/>
    <w:rsid w:val="00940B7C"/>
    <w:rsid w:val="00941145"/>
    <w:rsid w:val="0094120A"/>
    <w:rsid w:val="009431E3"/>
    <w:rsid w:val="0094492E"/>
    <w:rsid w:val="009504C6"/>
    <w:rsid w:val="009509BF"/>
    <w:rsid w:val="009510F5"/>
    <w:rsid w:val="0095111A"/>
    <w:rsid w:val="009518BE"/>
    <w:rsid w:val="009533E2"/>
    <w:rsid w:val="0095360F"/>
    <w:rsid w:val="009544DD"/>
    <w:rsid w:val="0095463F"/>
    <w:rsid w:val="00954A5E"/>
    <w:rsid w:val="009558AD"/>
    <w:rsid w:val="00956C08"/>
    <w:rsid w:val="00956DAA"/>
    <w:rsid w:val="0095767B"/>
    <w:rsid w:val="00957899"/>
    <w:rsid w:val="009579D4"/>
    <w:rsid w:val="00957D1D"/>
    <w:rsid w:val="0096037A"/>
    <w:rsid w:val="00962DAC"/>
    <w:rsid w:val="00962FB1"/>
    <w:rsid w:val="0096516E"/>
    <w:rsid w:val="0096614E"/>
    <w:rsid w:val="00966A11"/>
    <w:rsid w:val="00967C4B"/>
    <w:rsid w:val="00967FA8"/>
    <w:rsid w:val="0096B8B3"/>
    <w:rsid w:val="00971397"/>
    <w:rsid w:val="0097182C"/>
    <w:rsid w:val="00971A21"/>
    <w:rsid w:val="0097201C"/>
    <w:rsid w:val="00972A89"/>
    <w:rsid w:val="0097329C"/>
    <w:rsid w:val="00973477"/>
    <w:rsid w:val="00974401"/>
    <w:rsid w:val="00974644"/>
    <w:rsid w:val="00974B34"/>
    <w:rsid w:val="009750D2"/>
    <w:rsid w:val="0097533B"/>
    <w:rsid w:val="009756F8"/>
    <w:rsid w:val="009769CC"/>
    <w:rsid w:val="00976A4F"/>
    <w:rsid w:val="009777D2"/>
    <w:rsid w:val="00980AC7"/>
    <w:rsid w:val="00982AA3"/>
    <w:rsid w:val="009835CD"/>
    <w:rsid w:val="0098381E"/>
    <w:rsid w:val="00984F4E"/>
    <w:rsid w:val="00985017"/>
    <w:rsid w:val="009850E7"/>
    <w:rsid w:val="0098538D"/>
    <w:rsid w:val="00985C20"/>
    <w:rsid w:val="00985C92"/>
    <w:rsid w:val="009863DB"/>
    <w:rsid w:val="009872C9"/>
    <w:rsid w:val="0098734E"/>
    <w:rsid w:val="00987F8C"/>
    <w:rsid w:val="0099068D"/>
    <w:rsid w:val="00992691"/>
    <w:rsid w:val="0099327D"/>
    <w:rsid w:val="00993AA0"/>
    <w:rsid w:val="00993ADC"/>
    <w:rsid w:val="00994B6D"/>
    <w:rsid w:val="009A05EB"/>
    <w:rsid w:val="009A19BC"/>
    <w:rsid w:val="009A1B94"/>
    <w:rsid w:val="009A4927"/>
    <w:rsid w:val="009A5350"/>
    <w:rsid w:val="009A6269"/>
    <w:rsid w:val="009A7717"/>
    <w:rsid w:val="009A7C8F"/>
    <w:rsid w:val="009B05A5"/>
    <w:rsid w:val="009B27C5"/>
    <w:rsid w:val="009B314F"/>
    <w:rsid w:val="009B3175"/>
    <w:rsid w:val="009B3CD4"/>
    <w:rsid w:val="009B5176"/>
    <w:rsid w:val="009B6A2F"/>
    <w:rsid w:val="009B706F"/>
    <w:rsid w:val="009B7158"/>
    <w:rsid w:val="009B76A6"/>
    <w:rsid w:val="009C0687"/>
    <w:rsid w:val="009C0A39"/>
    <w:rsid w:val="009C1034"/>
    <w:rsid w:val="009C33B3"/>
    <w:rsid w:val="009C3C7E"/>
    <w:rsid w:val="009C3FCF"/>
    <w:rsid w:val="009C4064"/>
    <w:rsid w:val="009C4985"/>
    <w:rsid w:val="009C4ACD"/>
    <w:rsid w:val="009C507E"/>
    <w:rsid w:val="009C6304"/>
    <w:rsid w:val="009C6D83"/>
    <w:rsid w:val="009D0002"/>
    <w:rsid w:val="009D07ED"/>
    <w:rsid w:val="009D17EC"/>
    <w:rsid w:val="009D1A4F"/>
    <w:rsid w:val="009D26CF"/>
    <w:rsid w:val="009D2B2A"/>
    <w:rsid w:val="009D347B"/>
    <w:rsid w:val="009D3C91"/>
    <w:rsid w:val="009D422C"/>
    <w:rsid w:val="009D4782"/>
    <w:rsid w:val="009D4C79"/>
    <w:rsid w:val="009D505B"/>
    <w:rsid w:val="009D7284"/>
    <w:rsid w:val="009D766F"/>
    <w:rsid w:val="009E0030"/>
    <w:rsid w:val="009E0167"/>
    <w:rsid w:val="009E0BAC"/>
    <w:rsid w:val="009E0D0E"/>
    <w:rsid w:val="009E17AA"/>
    <w:rsid w:val="009E1FAE"/>
    <w:rsid w:val="009E31FE"/>
    <w:rsid w:val="009E427A"/>
    <w:rsid w:val="009E57F0"/>
    <w:rsid w:val="009E59B0"/>
    <w:rsid w:val="009E6E7B"/>
    <w:rsid w:val="009F2365"/>
    <w:rsid w:val="009F2EAD"/>
    <w:rsid w:val="009F42CB"/>
    <w:rsid w:val="009F4BAF"/>
    <w:rsid w:val="009F69A0"/>
    <w:rsid w:val="009F6E90"/>
    <w:rsid w:val="009F7DA1"/>
    <w:rsid w:val="00A0050C"/>
    <w:rsid w:val="00A00B98"/>
    <w:rsid w:val="00A01082"/>
    <w:rsid w:val="00A0595F"/>
    <w:rsid w:val="00A07AB8"/>
    <w:rsid w:val="00A07EBC"/>
    <w:rsid w:val="00A10A28"/>
    <w:rsid w:val="00A13A4E"/>
    <w:rsid w:val="00A1482A"/>
    <w:rsid w:val="00A14E00"/>
    <w:rsid w:val="00A14FDB"/>
    <w:rsid w:val="00A15945"/>
    <w:rsid w:val="00A15D2F"/>
    <w:rsid w:val="00A16B67"/>
    <w:rsid w:val="00A17CF5"/>
    <w:rsid w:val="00A20FFA"/>
    <w:rsid w:val="00A22B78"/>
    <w:rsid w:val="00A22B92"/>
    <w:rsid w:val="00A22FF5"/>
    <w:rsid w:val="00A24947"/>
    <w:rsid w:val="00A24EA5"/>
    <w:rsid w:val="00A2511C"/>
    <w:rsid w:val="00A254A2"/>
    <w:rsid w:val="00A267BA"/>
    <w:rsid w:val="00A31392"/>
    <w:rsid w:val="00A3188C"/>
    <w:rsid w:val="00A31BD6"/>
    <w:rsid w:val="00A31DF3"/>
    <w:rsid w:val="00A31EA5"/>
    <w:rsid w:val="00A32E41"/>
    <w:rsid w:val="00A36293"/>
    <w:rsid w:val="00A363DB"/>
    <w:rsid w:val="00A36C84"/>
    <w:rsid w:val="00A40316"/>
    <w:rsid w:val="00A40370"/>
    <w:rsid w:val="00A4037C"/>
    <w:rsid w:val="00A40B19"/>
    <w:rsid w:val="00A41685"/>
    <w:rsid w:val="00A41A30"/>
    <w:rsid w:val="00A42BE4"/>
    <w:rsid w:val="00A42E1A"/>
    <w:rsid w:val="00A42E8D"/>
    <w:rsid w:val="00A44C0E"/>
    <w:rsid w:val="00A45D9C"/>
    <w:rsid w:val="00A46D3E"/>
    <w:rsid w:val="00A4784B"/>
    <w:rsid w:val="00A528CA"/>
    <w:rsid w:val="00A52E0D"/>
    <w:rsid w:val="00A53049"/>
    <w:rsid w:val="00A54FDB"/>
    <w:rsid w:val="00A5513B"/>
    <w:rsid w:val="00A56CD4"/>
    <w:rsid w:val="00A574B5"/>
    <w:rsid w:val="00A60AA2"/>
    <w:rsid w:val="00A61B8A"/>
    <w:rsid w:val="00A61DF6"/>
    <w:rsid w:val="00A61E05"/>
    <w:rsid w:val="00A6280D"/>
    <w:rsid w:val="00A62DC6"/>
    <w:rsid w:val="00A64907"/>
    <w:rsid w:val="00A6703B"/>
    <w:rsid w:val="00A67191"/>
    <w:rsid w:val="00A6771B"/>
    <w:rsid w:val="00A702BC"/>
    <w:rsid w:val="00A70785"/>
    <w:rsid w:val="00A70AE2"/>
    <w:rsid w:val="00A70AE9"/>
    <w:rsid w:val="00A72A4D"/>
    <w:rsid w:val="00A72D46"/>
    <w:rsid w:val="00A73792"/>
    <w:rsid w:val="00A745F9"/>
    <w:rsid w:val="00A75240"/>
    <w:rsid w:val="00A75C28"/>
    <w:rsid w:val="00A761FE"/>
    <w:rsid w:val="00A76F31"/>
    <w:rsid w:val="00A77503"/>
    <w:rsid w:val="00A805D4"/>
    <w:rsid w:val="00A80998"/>
    <w:rsid w:val="00A821DC"/>
    <w:rsid w:val="00A823FB"/>
    <w:rsid w:val="00A82BCB"/>
    <w:rsid w:val="00A82F61"/>
    <w:rsid w:val="00A8387E"/>
    <w:rsid w:val="00A84B04"/>
    <w:rsid w:val="00A86A2E"/>
    <w:rsid w:val="00A87778"/>
    <w:rsid w:val="00A92713"/>
    <w:rsid w:val="00A9284F"/>
    <w:rsid w:val="00A93588"/>
    <w:rsid w:val="00A93BF7"/>
    <w:rsid w:val="00A93CF8"/>
    <w:rsid w:val="00A942FD"/>
    <w:rsid w:val="00A94A48"/>
    <w:rsid w:val="00A94D69"/>
    <w:rsid w:val="00A94E0F"/>
    <w:rsid w:val="00A95CE7"/>
    <w:rsid w:val="00A96243"/>
    <w:rsid w:val="00A97069"/>
    <w:rsid w:val="00A970C2"/>
    <w:rsid w:val="00AA06ED"/>
    <w:rsid w:val="00AA0D1C"/>
    <w:rsid w:val="00AA0FCC"/>
    <w:rsid w:val="00AA168D"/>
    <w:rsid w:val="00AA1E4B"/>
    <w:rsid w:val="00AA2B2C"/>
    <w:rsid w:val="00AA4A04"/>
    <w:rsid w:val="00AA7C5D"/>
    <w:rsid w:val="00AB0156"/>
    <w:rsid w:val="00AB18A2"/>
    <w:rsid w:val="00AB2001"/>
    <w:rsid w:val="00AB223E"/>
    <w:rsid w:val="00AB2966"/>
    <w:rsid w:val="00AB47FE"/>
    <w:rsid w:val="00AB615C"/>
    <w:rsid w:val="00AB620C"/>
    <w:rsid w:val="00AB6B7E"/>
    <w:rsid w:val="00AB6C07"/>
    <w:rsid w:val="00AB7085"/>
    <w:rsid w:val="00AB772D"/>
    <w:rsid w:val="00AC4301"/>
    <w:rsid w:val="00AC4C0E"/>
    <w:rsid w:val="00AC4CDE"/>
    <w:rsid w:val="00AC5C99"/>
    <w:rsid w:val="00AC62D5"/>
    <w:rsid w:val="00AC7309"/>
    <w:rsid w:val="00AD0958"/>
    <w:rsid w:val="00AD20B0"/>
    <w:rsid w:val="00AD45A6"/>
    <w:rsid w:val="00AD61F2"/>
    <w:rsid w:val="00AD6364"/>
    <w:rsid w:val="00AD6530"/>
    <w:rsid w:val="00AD69CC"/>
    <w:rsid w:val="00AD7B3F"/>
    <w:rsid w:val="00AE0981"/>
    <w:rsid w:val="00AE0D48"/>
    <w:rsid w:val="00AE19CE"/>
    <w:rsid w:val="00AE1F7D"/>
    <w:rsid w:val="00AE36D8"/>
    <w:rsid w:val="00AE3BF0"/>
    <w:rsid w:val="00AE3C41"/>
    <w:rsid w:val="00AE4096"/>
    <w:rsid w:val="00AE4385"/>
    <w:rsid w:val="00AE47E4"/>
    <w:rsid w:val="00AE6118"/>
    <w:rsid w:val="00AE6858"/>
    <w:rsid w:val="00AE7AD6"/>
    <w:rsid w:val="00AF1DAE"/>
    <w:rsid w:val="00AF2573"/>
    <w:rsid w:val="00AF2E98"/>
    <w:rsid w:val="00AF3F19"/>
    <w:rsid w:val="00AF4054"/>
    <w:rsid w:val="00AF421D"/>
    <w:rsid w:val="00AF426D"/>
    <w:rsid w:val="00AF42CE"/>
    <w:rsid w:val="00AF45B4"/>
    <w:rsid w:val="00AF4CD2"/>
    <w:rsid w:val="00AF5697"/>
    <w:rsid w:val="00AF64A6"/>
    <w:rsid w:val="00AF668C"/>
    <w:rsid w:val="00AF7673"/>
    <w:rsid w:val="00AF7E62"/>
    <w:rsid w:val="00B01384"/>
    <w:rsid w:val="00B02FE2"/>
    <w:rsid w:val="00B03325"/>
    <w:rsid w:val="00B04406"/>
    <w:rsid w:val="00B044BC"/>
    <w:rsid w:val="00B051F0"/>
    <w:rsid w:val="00B06714"/>
    <w:rsid w:val="00B06AC9"/>
    <w:rsid w:val="00B103D6"/>
    <w:rsid w:val="00B10F8F"/>
    <w:rsid w:val="00B116C8"/>
    <w:rsid w:val="00B122B6"/>
    <w:rsid w:val="00B133C5"/>
    <w:rsid w:val="00B13918"/>
    <w:rsid w:val="00B14DBE"/>
    <w:rsid w:val="00B15AE0"/>
    <w:rsid w:val="00B161C0"/>
    <w:rsid w:val="00B164CE"/>
    <w:rsid w:val="00B164E2"/>
    <w:rsid w:val="00B17174"/>
    <w:rsid w:val="00B172EC"/>
    <w:rsid w:val="00B17EF7"/>
    <w:rsid w:val="00B17FA2"/>
    <w:rsid w:val="00B2074F"/>
    <w:rsid w:val="00B2088E"/>
    <w:rsid w:val="00B21A37"/>
    <w:rsid w:val="00B22222"/>
    <w:rsid w:val="00B223A0"/>
    <w:rsid w:val="00B223F0"/>
    <w:rsid w:val="00B228CF"/>
    <w:rsid w:val="00B22DBB"/>
    <w:rsid w:val="00B23F35"/>
    <w:rsid w:val="00B240ED"/>
    <w:rsid w:val="00B24117"/>
    <w:rsid w:val="00B24E82"/>
    <w:rsid w:val="00B257D4"/>
    <w:rsid w:val="00B258F9"/>
    <w:rsid w:val="00B25C6E"/>
    <w:rsid w:val="00B2694C"/>
    <w:rsid w:val="00B27105"/>
    <w:rsid w:val="00B27701"/>
    <w:rsid w:val="00B27830"/>
    <w:rsid w:val="00B3073F"/>
    <w:rsid w:val="00B3093B"/>
    <w:rsid w:val="00B3181E"/>
    <w:rsid w:val="00B33081"/>
    <w:rsid w:val="00B33824"/>
    <w:rsid w:val="00B34AF1"/>
    <w:rsid w:val="00B34F40"/>
    <w:rsid w:val="00B362BC"/>
    <w:rsid w:val="00B3631E"/>
    <w:rsid w:val="00B36568"/>
    <w:rsid w:val="00B37477"/>
    <w:rsid w:val="00B408B5"/>
    <w:rsid w:val="00B422CF"/>
    <w:rsid w:val="00B4246B"/>
    <w:rsid w:val="00B4303E"/>
    <w:rsid w:val="00B43083"/>
    <w:rsid w:val="00B431A2"/>
    <w:rsid w:val="00B43AE3"/>
    <w:rsid w:val="00B43F4F"/>
    <w:rsid w:val="00B45162"/>
    <w:rsid w:val="00B45CD1"/>
    <w:rsid w:val="00B46EFC"/>
    <w:rsid w:val="00B51330"/>
    <w:rsid w:val="00B51AC5"/>
    <w:rsid w:val="00B52048"/>
    <w:rsid w:val="00B532D9"/>
    <w:rsid w:val="00B5348D"/>
    <w:rsid w:val="00B537D1"/>
    <w:rsid w:val="00B53D2B"/>
    <w:rsid w:val="00B57928"/>
    <w:rsid w:val="00B57DE5"/>
    <w:rsid w:val="00B60A06"/>
    <w:rsid w:val="00B618B5"/>
    <w:rsid w:val="00B61BB7"/>
    <w:rsid w:val="00B6334B"/>
    <w:rsid w:val="00B64D73"/>
    <w:rsid w:val="00B64EAE"/>
    <w:rsid w:val="00B65BB0"/>
    <w:rsid w:val="00B66EF7"/>
    <w:rsid w:val="00B675BE"/>
    <w:rsid w:val="00B67659"/>
    <w:rsid w:val="00B700DA"/>
    <w:rsid w:val="00B705D9"/>
    <w:rsid w:val="00B70650"/>
    <w:rsid w:val="00B70C0C"/>
    <w:rsid w:val="00B71238"/>
    <w:rsid w:val="00B71C02"/>
    <w:rsid w:val="00B7229B"/>
    <w:rsid w:val="00B72B78"/>
    <w:rsid w:val="00B73328"/>
    <w:rsid w:val="00B742E0"/>
    <w:rsid w:val="00B75E5F"/>
    <w:rsid w:val="00B80189"/>
    <w:rsid w:val="00B80D40"/>
    <w:rsid w:val="00B81004"/>
    <w:rsid w:val="00B810B4"/>
    <w:rsid w:val="00B81FEC"/>
    <w:rsid w:val="00B82095"/>
    <w:rsid w:val="00B82478"/>
    <w:rsid w:val="00B82785"/>
    <w:rsid w:val="00B83178"/>
    <w:rsid w:val="00B832A0"/>
    <w:rsid w:val="00B84948"/>
    <w:rsid w:val="00B84FD4"/>
    <w:rsid w:val="00B85E34"/>
    <w:rsid w:val="00B87816"/>
    <w:rsid w:val="00B9369E"/>
    <w:rsid w:val="00B93AA4"/>
    <w:rsid w:val="00B9551E"/>
    <w:rsid w:val="00B96A9E"/>
    <w:rsid w:val="00B96BC7"/>
    <w:rsid w:val="00B970E2"/>
    <w:rsid w:val="00B97683"/>
    <w:rsid w:val="00B9796C"/>
    <w:rsid w:val="00BA2DE1"/>
    <w:rsid w:val="00BA34E2"/>
    <w:rsid w:val="00BA3FC2"/>
    <w:rsid w:val="00BA4149"/>
    <w:rsid w:val="00BA48B8"/>
    <w:rsid w:val="00BA5409"/>
    <w:rsid w:val="00BA6748"/>
    <w:rsid w:val="00BA696A"/>
    <w:rsid w:val="00BA6BA5"/>
    <w:rsid w:val="00BB0361"/>
    <w:rsid w:val="00BB1257"/>
    <w:rsid w:val="00BB13ED"/>
    <w:rsid w:val="00BB1D0F"/>
    <w:rsid w:val="00BB1F80"/>
    <w:rsid w:val="00BB2572"/>
    <w:rsid w:val="00BB2696"/>
    <w:rsid w:val="00BB355C"/>
    <w:rsid w:val="00BB3755"/>
    <w:rsid w:val="00BB3817"/>
    <w:rsid w:val="00BB3A64"/>
    <w:rsid w:val="00BB511A"/>
    <w:rsid w:val="00BB5B59"/>
    <w:rsid w:val="00BB6741"/>
    <w:rsid w:val="00BC00F4"/>
    <w:rsid w:val="00BC105E"/>
    <w:rsid w:val="00BC2B1A"/>
    <w:rsid w:val="00BC2CE4"/>
    <w:rsid w:val="00BC36FD"/>
    <w:rsid w:val="00BC41B7"/>
    <w:rsid w:val="00BC44A2"/>
    <w:rsid w:val="00BC4DC5"/>
    <w:rsid w:val="00BC6D4E"/>
    <w:rsid w:val="00BC7FAF"/>
    <w:rsid w:val="00BD04AD"/>
    <w:rsid w:val="00BD09D8"/>
    <w:rsid w:val="00BD1BAF"/>
    <w:rsid w:val="00BD2B2B"/>
    <w:rsid w:val="00BD3B77"/>
    <w:rsid w:val="00BD3E88"/>
    <w:rsid w:val="00BD4145"/>
    <w:rsid w:val="00BD49D9"/>
    <w:rsid w:val="00BD54A7"/>
    <w:rsid w:val="00BD550C"/>
    <w:rsid w:val="00BD5EAE"/>
    <w:rsid w:val="00BD60D7"/>
    <w:rsid w:val="00BD7DC7"/>
    <w:rsid w:val="00BE08B8"/>
    <w:rsid w:val="00BE1CF7"/>
    <w:rsid w:val="00BE1F99"/>
    <w:rsid w:val="00BE20E3"/>
    <w:rsid w:val="00BE2EE8"/>
    <w:rsid w:val="00BE36B9"/>
    <w:rsid w:val="00BE3CE0"/>
    <w:rsid w:val="00BE7D33"/>
    <w:rsid w:val="00BE7D5E"/>
    <w:rsid w:val="00BF2349"/>
    <w:rsid w:val="00BF296B"/>
    <w:rsid w:val="00BF3AE8"/>
    <w:rsid w:val="00BF3FD1"/>
    <w:rsid w:val="00BF4E02"/>
    <w:rsid w:val="00BF5503"/>
    <w:rsid w:val="00BF5D2E"/>
    <w:rsid w:val="00BF6241"/>
    <w:rsid w:val="00BF68C4"/>
    <w:rsid w:val="00BF7905"/>
    <w:rsid w:val="00C002DE"/>
    <w:rsid w:val="00C01A84"/>
    <w:rsid w:val="00C02FAD"/>
    <w:rsid w:val="00C04DE8"/>
    <w:rsid w:val="00C063DE"/>
    <w:rsid w:val="00C0651F"/>
    <w:rsid w:val="00C10224"/>
    <w:rsid w:val="00C1052D"/>
    <w:rsid w:val="00C11417"/>
    <w:rsid w:val="00C118BA"/>
    <w:rsid w:val="00C123D6"/>
    <w:rsid w:val="00C13832"/>
    <w:rsid w:val="00C1411A"/>
    <w:rsid w:val="00C166CF"/>
    <w:rsid w:val="00C16CB5"/>
    <w:rsid w:val="00C16DC8"/>
    <w:rsid w:val="00C16EA3"/>
    <w:rsid w:val="00C178DA"/>
    <w:rsid w:val="00C20A3A"/>
    <w:rsid w:val="00C211DB"/>
    <w:rsid w:val="00C2191D"/>
    <w:rsid w:val="00C22EC6"/>
    <w:rsid w:val="00C22F01"/>
    <w:rsid w:val="00C238F1"/>
    <w:rsid w:val="00C23E58"/>
    <w:rsid w:val="00C25468"/>
    <w:rsid w:val="00C25DF6"/>
    <w:rsid w:val="00C279B6"/>
    <w:rsid w:val="00C27CAD"/>
    <w:rsid w:val="00C27FC8"/>
    <w:rsid w:val="00C30A88"/>
    <w:rsid w:val="00C311B8"/>
    <w:rsid w:val="00C32601"/>
    <w:rsid w:val="00C3320E"/>
    <w:rsid w:val="00C355C5"/>
    <w:rsid w:val="00C35757"/>
    <w:rsid w:val="00C361A3"/>
    <w:rsid w:val="00C36C73"/>
    <w:rsid w:val="00C377DA"/>
    <w:rsid w:val="00C40EBD"/>
    <w:rsid w:val="00C4308B"/>
    <w:rsid w:val="00C43C7B"/>
    <w:rsid w:val="00C43E90"/>
    <w:rsid w:val="00C43F05"/>
    <w:rsid w:val="00C44375"/>
    <w:rsid w:val="00C45FEA"/>
    <w:rsid w:val="00C5080C"/>
    <w:rsid w:val="00C50FF9"/>
    <w:rsid w:val="00C51B10"/>
    <w:rsid w:val="00C51F00"/>
    <w:rsid w:val="00C5289D"/>
    <w:rsid w:val="00C52BA5"/>
    <w:rsid w:val="00C53E3E"/>
    <w:rsid w:val="00C548D1"/>
    <w:rsid w:val="00C54CF9"/>
    <w:rsid w:val="00C54ED8"/>
    <w:rsid w:val="00C5532E"/>
    <w:rsid w:val="00C56567"/>
    <w:rsid w:val="00C56C76"/>
    <w:rsid w:val="00C61049"/>
    <w:rsid w:val="00C611A1"/>
    <w:rsid w:val="00C6321E"/>
    <w:rsid w:val="00C63FD4"/>
    <w:rsid w:val="00C6485A"/>
    <w:rsid w:val="00C64CC5"/>
    <w:rsid w:val="00C65D8A"/>
    <w:rsid w:val="00C66A1B"/>
    <w:rsid w:val="00C67A2F"/>
    <w:rsid w:val="00C67B40"/>
    <w:rsid w:val="00C70A00"/>
    <w:rsid w:val="00C70F26"/>
    <w:rsid w:val="00C7148E"/>
    <w:rsid w:val="00C72114"/>
    <w:rsid w:val="00C729A0"/>
    <w:rsid w:val="00C74110"/>
    <w:rsid w:val="00C746DB"/>
    <w:rsid w:val="00C75074"/>
    <w:rsid w:val="00C75301"/>
    <w:rsid w:val="00C75680"/>
    <w:rsid w:val="00C765B8"/>
    <w:rsid w:val="00C7665F"/>
    <w:rsid w:val="00C766A8"/>
    <w:rsid w:val="00C7674D"/>
    <w:rsid w:val="00C771D6"/>
    <w:rsid w:val="00C77A54"/>
    <w:rsid w:val="00C804A9"/>
    <w:rsid w:val="00C836A6"/>
    <w:rsid w:val="00C83C1A"/>
    <w:rsid w:val="00C84084"/>
    <w:rsid w:val="00C84301"/>
    <w:rsid w:val="00C85608"/>
    <w:rsid w:val="00C90271"/>
    <w:rsid w:val="00C90E3D"/>
    <w:rsid w:val="00C911D7"/>
    <w:rsid w:val="00C933BE"/>
    <w:rsid w:val="00C9351C"/>
    <w:rsid w:val="00C967BA"/>
    <w:rsid w:val="00C97453"/>
    <w:rsid w:val="00C9746A"/>
    <w:rsid w:val="00CA1237"/>
    <w:rsid w:val="00CA1817"/>
    <w:rsid w:val="00CA2507"/>
    <w:rsid w:val="00CA263C"/>
    <w:rsid w:val="00CA2D6C"/>
    <w:rsid w:val="00CA3BFB"/>
    <w:rsid w:val="00CA3DA5"/>
    <w:rsid w:val="00CA3FFB"/>
    <w:rsid w:val="00CA4BE2"/>
    <w:rsid w:val="00CA4D02"/>
    <w:rsid w:val="00CA563C"/>
    <w:rsid w:val="00CA5E73"/>
    <w:rsid w:val="00CA610B"/>
    <w:rsid w:val="00CA624F"/>
    <w:rsid w:val="00CA6AD7"/>
    <w:rsid w:val="00CA6C17"/>
    <w:rsid w:val="00CB0619"/>
    <w:rsid w:val="00CB064D"/>
    <w:rsid w:val="00CB156A"/>
    <w:rsid w:val="00CB3140"/>
    <w:rsid w:val="00CB350F"/>
    <w:rsid w:val="00CB4EBB"/>
    <w:rsid w:val="00CB4F86"/>
    <w:rsid w:val="00CB52E0"/>
    <w:rsid w:val="00CB6B20"/>
    <w:rsid w:val="00CB6EE3"/>
    <w:rsid w:val="00CB72A6"/>
    <w:rsid w:val="00CC0D6A"/>
    <w:rsid w:val="00CC21DE"/>
    <w:rsid w:val="00CC34BD"/>
    <w:rsid w:val="00CC382F"/>
    <w:rsid w:val="00CC38C3"/>
    <w:rsid w:val="00CC4031"/>
    <w:rsid w:val="00CC4AE6"/>
    <w:rsid w:val="00CC4F84"/>
    <w:rsid w:val="00CC6BD6"/>
    <w:rsid w:val="00CC724E"/>
    <w:rsid w:val="00CD0350"/>
    <w:rsid w:val="00CD09B6"/>
    <w:rsid w:val="00CD2D99"/>
    <w:rsid w:val="00CD30A7"/>
    <w:rsid w:val="00CD4873"/>
    <w:rsid w:val="00CE0B6B"/>
    <w:rsid w:val="00CE28C2"/>
    <w:rsid w:val="00CE3223"/>
    <w:rsid w:val="00CE4FF7"/>
    <w:rsid w:val="00CE61B9"/>
    <w:rsid w:val="00CE71FD"/>
    <w:rsid w:val="00CE75E0"/>
    <w:rsid w:val="00CE77B3"/>
    <w:rsid w:val="00CE7F90"/>
    <w:rsid w:val="00CF0BC4"/>
    <w:rsid w:val="00CF14B6"/>
    <w:rsid w:val="00CF1858"/>
    <w:rsid w:val="00CF33DF"/>
    <w:rsid w:val="00CF3921"/>
    <w:rsid w:val="00CF3A84"/>
    <w:rsid w:val="00CF3E1F"/>
    <w:rsid w:val="00CF404B"/>
    <w:rsid w:val="00CF428C"/>
    <w:rsid w:val="00CF559B"/>
    <w:rsid w:val="00CF618F"/>
    <w:rsid w:val="00CF67CA"/>
    <w:rsid w:val="00CF734F"/>
    <w:rsid w:val="00D00DC7"/>
    <w:rsid w:val="00D018D6"/>
    <w:rsid w:val="00D01C7D"/>
    <w:rsid w:val="00D03D57"/>
    <w:rsid w:val="00D05655"/>
    <w:rsid w:val="00D06C14"/>
    <w:rsid w:val="00D10481"/>
    <w:rsid w:val="00D1053A"/>
    <w:rsid w:val="00D10B4C"/>
    <w:rsid w:val="00D125D8"/>
    <w:rsid w:val="00D13F66"/>
    <w:rsid w:val="00D1626E"/>
    <w:rsid w:val="00D16BCF"/>
    <w:rsid w:val="00D1768F"/>
    <w:rsid w:val="00D2062D"/>
    <w:rsid w:val="00D21159"/>
    <w:rsid w:val="00D22AD3"/>
    <w:rsid w:val="00D2324D"/>
    <w:rsid w:val="00D24A67"/>
    <w:rsid w:val="00D27D5C"/>
    <w:rsid w:val="00D30899"/>
    <w:rsid w:val="00D31A58"/>
    <w:rsid w:val="00D338AC"/>
    <w:rsid w:val="00D348F4"/>
    <w:rsid w:val="00D34A69"/>
    <w:rsid w:val="00D35609"/>
    <w:rsid w:val="00D35E6F"/>
    <w:rsid w:val="00D36D62"/>
    <w:rsid w:val="00D3768D"/>
    <w:rsid w:val="00D41D70"/>
    <w:rsid w:val="00D4201F"/>
    <w:rsid w:val="00D4211B"/>
    <w:rsid w:val="00D424A9"/>
    <w:rsid w:val="00D424D1"/>
    <w:rsid w:val="00D42BBE"/>
    <w:rsid w:val="00D43295"/>
    <w:rsid w:val="00D439D0"/>
    <w:rsid w:val="00D44689"/>
    <w:rsid w:val="00D45E67"/>
    <w:rsid w:val="00D469AD"/>
    <w:rsid w:val="00D473E3"/>
    <w:rsid w:val="00D500C1"/>
    <w:rsid w:val="00D519E9"/>
    <w:rsid w:val="00D51DA6"/>
    <w:rsid w:val="00D53EBE"/>
    <w:rsid w:val="00D54D07"/>
    <w:rsid w:val="00D55E25"/>
    <w:rsid w:val="00D578FC"/>
    <w:rsid w:val="00D611A2"/>
    <w:rsid w:val="00D62316"/>
    <w:rsid w:val="00D625F5"/>
    <w:rsid w:val="00D6336E"/>
    <w:rsid w:val="00D63960"/>
    <w:rsid w:val="00D645B2"/>
    <w:rsid w:val="00D6485F"/>
    <w:rsid w:val="00D679DE"/>
    <w:rsid w:val="00D71C3A"/>
    <w:rsid w:val="00D71EA8"/>
    <w:rsid w:val="00D7248C"/>
    <w:rsid w:val="00D72DFB"/>
    <w:rsid w:val="00D74D78"/>
    <w:rsid w:val="00D7726F"/>
    <w:rsid w:val="00D778CD"/>
    <w:rsid w:val="00D828BD"/>
    <w:rsid w:val="00D83AB5"/>
    <w:rsid w:val="00D847A7"/>
    <w:rsid w:val="00D84E07"/>
    <w:rsid w:val="00D855B3"/>
    <w:rsid w:val="00D87704"/>
    <w:rsid w:val="00D90E9D"/>
    <w:rsid w:val="00D913A7"/>
    <w:rsid w:val="00D91824"/>
    <w:rsid w:val="00D91854"/>
    <w:rsid w:val="00D91EB0"/>
    <w:rsid w:val="00D91FFB"/>
    <w:rsid w:val="00D93B64"/>
    <w:rsid w:val="00D93C27"/>
    <w:rsid w:val="00D94D1B"/>
    <w:rsid w:val="00D95A66"/>
    <w:rsid w:val="00D95B18"/>
    <w:rsid w:val="00D95D96"/>
    <w:rsid w:val="00D95DFF"/>
    <w:rsid w:val="00D971BB"/>
    <w:rsid w:val="00DA070A"/>
    <w:rsid w:val="00DA17AF"/>
    <w:rsid w:val="00DA19B2"/>
    <w:rsid w:val="00DA19EF"/>
    <w:rsid w:val="00DA223E"/>
    <w:rsid w:val="00DA2998"/>
    <w:rsid w:val="00DA2B68"/>
    <w:rsid w:val="00DA513E"/>
    <w:rsid w:val="00DA5E96"/>
    <w:rsid w:val="00DA6173"/>
    <w:rsid w:val="00DA62DE"/>
    <w:rsid w:val="00DA6BE6"/>
    <w:rsid w:val="00DA779E"/>
    <w:rsid w:val="00DB151E"/>
    <w:rsid w:val="00DB1FF9"/>
    <w:rsid w:val="00DB302F"/>
    <w:rsid w:val="00DB32FB"/>
    <w:rsid w:val="00DB411A"/>
    <w:rsid w:val="00DB54B0"/>
    <w:rsid w:val="00DB7615"/>
    <w:rsid w:val="00DB772D"/>
    <w:rsid w:val="00DB7A86"/>
    <w:rsid w:val="00DC0493"/>
    <w:rsid w:val="00DC1B5C"/>
    <w:rsid w:val="00DC2258"/>
    <w:rsid w:val="00DC4C19"/>
    <w:rsid w:val="00DC4DC2"/>
    <w:rsid w:val="00DC5A03"/>
    <w:rsid w:val="00DD0DD9"/>
    <w:rsid w:val="00DD2FFB"/>
    <w:rsid w:val="00DD30E3"/>
    <w:rsid w:val="00DD4429"/>
    <w:rsid w:val="00DD4437"/>
    <w:rsid w:val="00DD48C9"/>
    <w:rsid w:val="00DD5622"/>
    <w:rsid w:val="00DD5876"/>
    <w:rsid w:val="00DD5E14"/>
    <w:rsid w:val="00DD610E"/>
    <w:rsid w:val="00DD62BD"/>
    <w:rsid w:val="00DD634B"/>
    <w:rsid w:val="00DD714C"/>
    <w:rsid w:val="00DD76A4"/>
    <w:rsid w:val="00DD7FC8"/>
    <w:rsid w:val="00DE04B2"/>
    <w:rsid w:val="00DE0F31"/>
    <w:rsid w:val="00DE388C"/>
    <w:rsid w:val="00DE391E"/>
    <w:rsid w:val="00DE4536"/>
    <w:rsid w:val="00DE4F61"/>
    <w:rsid w:val="00DE5B18"/>
    <w:rsid w:val="00DE5C88"/>
    <w:rsid w:val="00DE5CCD"/>
    <w:rsid w:val="00DE5F3F"/>
    <w:rsid w:val="00DE615D"/>
    <w:rsid w:val="00DE6720"/>
    <w:rsid w:val="00DE70C6"/>
    <w:rsid w:val="00DF0045"/>
    <w:rsid w:val="00DF1411"/>
    <w:rsid w:val="00DF1601"/>
    <w:rsid w:val="00DF22C7"/>
    <w:rsid w:val="00DF26EA"/>
    <w:rsid w:val="00DF27F6"/>
    <w:rsid w:val="00DF2856"/>
    <w:rsid w:val="00DF4257"/>
    <w:rsid w:val="00DF4415"/>
    <w:rsid w:val="00DF74E1"/>
    <w:rsid w:val="00DF761C"/>
    <w:rsid w:val="00E00B4D"/>
    <w:rsid w:val="00E011E8"/>
    <w:rsid w:val="00E01C17"/>
    <w:rsid w:val="00E02F4D"/>
    <w:rsid w:val="00E03B02"/>
    <w:rsid w:val="00E04648"/>
    <w:rsid w:val="00E06729"/>
    <w:rsid w:val="00E108C4"/>
    <w:rsid w:val="00E10ABC"/>
    <w:rsid w:val="00E11110"/>
    <w:rsid w:val="00E1117F"/>
    <w:rsid w:val="00E12267"/>
    <w:rsid w:val="00E1302A"/>
    <w:rsid w:val="00E13644"/>
    <w:rsid w:val="00E1432D"/>
    <w:rsid w:val="00E14F1F"/>
    <w:rsid w:val="00E15004"/>
    <w:rsid w:val="00E1603C"/>
    <w:rsid w:val="00E16498"/>
    <w:rsid w:val="00E1651F"/>
    <w:rsid w:val="00E17A92"/>
    <w:rsid w:val="00E17E72"/>
    <w:rsid w:val="00E20B1F"/>
    <w:rsid w:val="00E20CA1"/>
    <w:rsid w:val="00E21AFC"/>
    <w:rsid w:val="00E220CA"/>
    <w:rsid w:val="00E2384B"/>
    <w:rsid w:val="00E24B16"/>
    <w:rsid w:val="00E257C6"/>
    <w:rsid w:val="00E2646E"/>
    <w:rsid w:val="00E26D32"/>
    <w:rsid w:val="00E306B5"/>
    <w:rsid w:val="00E30982"/>
    <w:rsid w:val="00E31829"/>
    <w:rsid w:val="00E31884"/>
    <w:rsid w:val="00E3257A"/>
    <w:rsid w:val="00E32728"/>
    <w:rsid w:val="00E32F4B"/>
    <w:rsid w:val="00E33B39"/>
    <w:rsid w:val="00E3674F"/>
    <w:rsid w:val="00E41BFF"/>
    <w:rsid w:val="00E41CB7"/>
    <w:rsid w:val="00E42003"/>
    <w:rsid w:val="00E42087"/>
    <w:rsid w:val="00E42A88"/>
    <w:rsid w:val="00E450B4"/>
    <w:rsid w:val="00E462BC"/>
    <w:rsid w:val="00E46453"/>
    <w:rsid w:val="00E508C5"/>
    <w:rsid w:val="00E51222"/>
    <w:rsid w:val="00E514CE"/>
    <w:rsid w:val="00E5200C"/>
    <w:rsid w:val="00E521C6"/>
    <w:rsid w:val="00E525A1"/>
    <w:rsid w:val="00E52E9A"/>
    <w:rsid w:val="00E53675"/>
    <w:rsid w:val="00E53BD7"/>
    <w:rsid w:val="00E53E13"/>
    <w:rsid w:val="00E54CE7"/>
    <w:rsid w:val="00E60345"/>
    <w:rsid w:val="00E60389"/>
    <w:rsid w:val="00E610EF"/>
    <w:rsid w:val="00E61333"/>
    <w:rsid w:val="00E6265F"/>
    <w:rsid w:val="00E64059"/>
    <w:rsid w:val="00E65153"/>
    <w:rsid w:val="00E6598A"/>
    <w:rsid w:val="00E65D1B"/>
    <w:rsid w:val="00E67049"/>
    <w:rsid w:val="00E67287"/>
    <w:rsid w:val="00E6769A"/>
    <w:rsid w:val="00E676C2"/>
    <w:rsid w:val="00E67712"/>
    <w:rsid w:val="00E706E6"/>
    <w:rsid w:val="00E70C68"/>
    <w:rsid w:val="00E71EA1"/>
    <w:rsid w:val="00E7254C"/>
    <w:rsid w:val="00E72E70"/>
    <w:rsid w:val="00E73B32"/>
    <w:rsid w:val="00E765DF"/>
    <w:rsid w:val="00E7717F"/>
    <w:rsid w:val="00E80E71"/>
    <w:rsid w:val="00E83346"/>
    <w:rsid w:val="00E841C2"/>
    <w:rsid w:val="00E844A1"/>
    <w:rsid w:val="00E85730"/>
    <w:rsid w:val="00E87F32"/>
    <w:rsid w:val="00E92246"/>
    <w:rsid w:val="00E92475"/>
    <w:rsid w:val="00E92638"/>
    <w:rsid w:val="00E92F8A"/>
    <w:rsid w:val="00E930D6"/>
    <w:rsid w:val="00E96378"/>
    <w:rsid w:val="00EA0AC5"/>
    <w:rsid w:val="00EA1270"/>
    <w:rsid w:val="00EA1311"/>
    <w:rsid w:val="00EA16AC"/>
    <w:rsid w:val="00EA20F0"/>
    <w:rsid w:val="00EA2438"/>
    <w:rsid w:val="00EA2980"/>
    <w:rsid w:val="00EA3B15"/>
    <w:rsid w:val="00EA407C"/>
    <w:rsid w:val="00EA535D"/>
    <w:rsid w:val="00EA5F6A"/>
    <w:rsid w:val="00EA6A19"/>
    <w:rsid w:val="00EA6E5A"/>
    <w:rsid w:val="00EA7086"/>
    <w:rsid w:val="00EA7268"/>
    <w:rsid w:val="00EB09F5"/>
    <w:rsid w:val="00EB16F3"/>
    <w:rsid w:val="00EB1708"/>
    <w:rsid w:val="00EB1860"/>
    <w:rsid w:val="00EB3680"/>
    <w:rsid w:val="00EB384A"/>
    <w:rsid w:val="00EB41DF"/>
    <w:rsid w:val="00EB4E7A"/>
    <w:rsid w:val="00EB641A"/>
    <w:rsid w:val="00EB6430"/>
    <w:rsid w:val="00EC0C9A"/>
    <w:rsid w:val="00EC1AE9"/>
    <w:rsid w:val="00EC1DEA"/>
    <w:rsid w:val="00EC1F21"/>
    <w:rsid w:val="00EC2053"/>
    <w:rsid w:val="00EC556A"/>
    <w:rsid w:val="00ED13C9"/>
    <w:rsid w:val="00ED14E3"/>
    <w:rsid w:val="00ED2AC4"/>
    <w:rsid w:val="00ED33BE"/>
    <w:rsid w:val="00ED398E"/>
    <w:rsid w:val="00ED5AA0"/>
    <w:rsid w:val="00ED7EE2"/>
    <w:rsid w:val="00EE0852"/>
    <w:rsid w:val="00EE0A28"/>
    <w:rsid w:val="00EE0DC3"/>
    <w:rsid w:val="00EE13BA"/>
    <w:rsid w:val="00EE2BF7"/>
    <w:rsid w:val="00EE3123"/>
    <w:rsid w:val="00EE318C"/>
    <w:rsid w:val="00EE3F9D"/>
    <w:rsid w:val="00EE4971"/>
    <w:rsid w:val="00EE4FE1"/>
    <w:rsid w:val="00EE507C"/>
    <w:rsid w:val="00EF00B6"/>
    <w:rsid w:val="00EF0562"/>
    <w:rsid w:val="00EF4106"/>
    <w:rsid w:val="00EF449C"/>
    <w:rsid w:val="00EF45FB"/>
    <w:rsid w:val="00EF666E"/>
    <w:rsid w:val="00EF67C9"/>
    <w:rsid w:val="00EF695C"/>
    <w:rsid w:val="00F00EAF"/>
    <w:rsid w:val="00F01015"/>
    <w:rsid w:val="00F0232C"/>
    <w:rsid w:val="00F027EF"/>
    <w:rsid w:val="00F033E8"/>
    <w:rsid w:val="00F04306"/>
    <w:rsid w:val="00F04BCC"/>
    <w:rsid w:val="00F05170"/>
    <w:rsid w:val="00F07889"/>
    <w:rsid w:val="00F07B9E"/>
    <w:rsid w:val="00F10938"/>
    <w:rsid w:val="00F11A42"/>
    <w:rsid w:val="00F1255C"/>
    <w:rsid w:val="00F12E9A"/>
    <w:rsid w:val="00F139F9"/>
    <w:rsid w:val="00F140D3"/>
    <w:rsid w:val="00F145D3"/>
    <w:rsid w:val="00F168FF"/>
    <w:rsid w:val="00F16E30"/>
    <w:rsid w:val="00F16EAB"/>
    <w:rsid w:val="00F17C3F"/>
    <w:rsid w:val="00F2086F"/>
    <w:rsid w:val="00F2145C"/>
    <w:rsid w:val="00F21D38"/>
    <w:rsid w:val="00F24031"/>
    <w:rsid w:val="00F2529C"/>
    <w:rsid w:val="00F262C5"/>
    <w:rsid w:val="00F27523"/>
    <w:rsid w:val="00F300D7"/>
    <w:rsid w:val="00F31558"/>
    <w:rsid w:val="00F32E01"/>
    <w:rsid w:val="00F33E04"/>
    <w:rsid w:val="00F3413A"/>
    <w:rsid w:val="00F34190"/>
    <w:rsid w:val="00F350CF"/>
    <w:rsid w:val="00F35FA1"/>
    <w:rsid w:val="00F36676"/>
    <w:rsid w:val="00F37561"/>
    <w:rsid w:val="00F376CB"/>
    <w:rsid w:val="00F37934"/>
    <w:rsid w:val="00F40AA0"/>
    <w:rsid w:val="00F41F17"/>
    <w:rsid w:val="00F41FB5"/>
    <w:rsid w:val="00F42A78"/>
    <w:rsid w:val="00F46AE9"/>
    <w:rsid w:val="00F46CE5"/>
    <w:rsid w:val="00F46FA6"/>
    <w:rsid w:val="00F474EF"/>
    <w:rsid w:val="00F47DDE"/>
    <w:rsid w:val="00F5007A"/>
    <w:rsid w:val="00F502F7"/>
    <w:rsid w:val="00F504F7"/>
    <w:rsid w:val="00F52943"/>
    <w:rsid w:val="00F52A4D"/>
    <w:rsid w:val="00F52ABC"/>
    <w:rsid w:val="00F53556"/>
    <w:rsid w:val="00F5400B"/>
    <w:rsid w:val="00F556FB"/>
    <w:rsid w:val="00F55837"/>
    <w:rsid w:val="00F5603A"/>
    <w:rsid w:val="00F563E2"/>
    <w:rsid w:val="00F56CB2"/>
    <w:rsid w:val="00F57B72"/>
    <w:rsid w:val="00F6095F"/>
    <w:rsid w:val="00F60B53"/>
    <w:rsid w:val="00F6199B"/>
    <w:rsid w:val="00F624AD"/>
    <w:rsid w:val="00F630A5"/>
    <w:rsid w:val="00F63760"/>
    <w:rsid w:val="00F63A09"/>
    <w:rsid w:val="00F641F5"/>
    <w:rsid w:val="00F64A53"/>
    <w:rsid w:val="00F65B32"/>
    <w:rsid w:val="00F66F35"/>
    <w:rsid w:val="00F67A6D"/>
    <w:rsid w:val="00F67D21"/>
    <w:rsid w:val="00F705C3"/>
    <w:rsid w:val="00F70B9A"/>
    <w:rsid w:val="00F728E5"/>
    <w:rsid w:val="00F73452"/>
    <w:rsid w:val="00F75700"/>
    <w:rsid w:val="00F76155"/>
    <w:rsid w:val="00F76783"/>
    <w:rsid w:val="00F77632"/>
    <w:rsid w:val="00F81B72"/>
    <w:rsid w:val="00F83405"/>
    <w:rsid w:val="00F83791"/>
    <w:rsid w:val="00F85389"/>
    <w:rsid w:val="00F86164"/>
    <w:rsid w:val="00F8645B"/>
    <w:rsid w:val="00F903E1"/>
    <w:rsid w:val="00F91E70"/>
    <w:rsid w:val="00F930D3"/>
    <w:rsid w:val="00F93451"/>
    <w:rsid w:val="00F94CB1"/>
    <w:rsid w:val="00F9539F"/>
    <w:rsid w:val="00F96AF3"/>
    <w:rsid w:val="00F97DDD"/>
    <w:rsid w:val="00FA1CB9"/>
    <w:rsid w:val="00FA1F2C"/>
    <w:rsid w:val="00FA2B4E"/>
    <w:rsid w:val="00FA3E30"/>
    <w:rsid w:val="00FA4544"/>
    <w:rsid w:val="00FA470A"/>
    <w:rsid w:val="00FA4922"/>
    <w:rsid w:val="00FA500E"/>
    <w:rsid w:val="00FA5294"/>
    <w:rsid w:val="00FA580D"/>
    <w:rsid w:val="00FA622F"/>
    <w:rsid w:val="00FA650D"/>
    <w:rsid w:val="00FA6F25"/>
    <w:rsid w:val="00FA7C0E"/>
    <w:rsid w:val="00FB09FD"/>
    <w:rsid w:val="00FB16C5"/>
    <w:rsid w:val="00FB2C6C"/>
    <w:rsid w:val="00FB44D4"/>
    <w:rsid w:val="00FB5CDC"/>
    <w:rsid w:val="00FB5F2F"/>
    <w:rsid w:val="00FB7430"/>
    <w:rsid w:val="00FC0C7A"/>
    <w:rsid w:val="00FC197B"/>
    <w:rsid w:val="00FC1A55"/>
    <w:rsid w:val="00FC2D96"/>
    <w:rsid w:val="00FC40AD"/>
    <w:rsid w:val="00FC45F2"/>
    <w:rsid w:val="00FC47FA"/>
    <w:rsid w:val="00FC508B"/>
    <w:rsid w:val="00FC5CC9"/>
    <w:rsid w:val="00FC677A"/>
    <w:rsid w:val="00FC7130"/>
    <w:rsid w:val="00FC7F83"/>
    <w:rsid w:val="00FD02AB"/>
    <w:rsid w:val="00FD230A"/>
    <w:rsid w:val="00FD43A4"/>
    <w:rsid w:val="00FD450D"/>
    <w:rsid w:val="00FD47A5"/>
    <w:rsid w:val="00FD64DD"/>
    <w:rsid w:val="00FD67ED"/>
    <w:rsid w:val="00FD69F3"/>
    <w:rsid w:val="00FD773C"/>
    <w:rsid w:val="00FE0A82"/>
    <w:rsid w:val="00FE0BF8"/>
    <w:rsid w:val="00FE0D37"/>
    <w:rsid w:val="00FE14E8"/>
    <w:rsid w:val="00FE17B8"/>
    <w:rsid w:val="00FE1E9F"/>
    <w:rsid w:val="00FE4E94"/>
    <w:rsid w:val="00FE53A1"/>
    <w:rsid w:val="00FE54FD"/>
    <w:rsid w:val="00FE625D"/>
    <w:rsid w:val="00FF0131"/>
    <w:rsid w:val="00FF0E77"/>
    <w:rsid w:val="00FF12E1"/>
    <w:rsid w:val="00FF1919"/>
    <w:rsid w:val="00FF1A82"/>
    <w:rsid w:val="00FF2192"/>
    <w:rsid w:val="00FF29A3"/>
    <w:rsid w:val="00FF316C"/>
    <w:rsid w:val="00FF342F"/>
    <w:rsid w:val="00FF378F"/>
    <w:rsid w:val="00FF3870"/>
    <w:rsid w:val="00FF38B5"/>
    <w:rsid w:val="00FF3DF3"/>
    <w:rsid w:val="00FF4051"/>
    <w:rsid w:val="00FF40D8"/>
    <w:rsid w:val="00FF4571"/>
    <w:rsid w:val="00FF54FF"/>
    <w:rsid w:val="00FF5644"/>
    <w:rsid w:val="00FF58FC"/>
    <w:rsid w:val="00FF61BB"/>
    <w:rsid w:val="00FF69DE"/>
    <w:rsid w:val="00FF7942"/>
    <w:rsid w:val="00FF7B74"/>
    <w:rsid w:val="0155CF0B"/>
    <w:rsid w:val="0616ADF3"/>
    <w:rsid w:val="0621EB56"/>
    <w:rsid w:val="09B3BAC9"/>
    <w:rsid w:val="0B592002"/>
    <w:rsid w:val="0BACAE21"/>
    <w:rsid w:val="0DA9EFF9"/>
    <w:rsid w:val="1155868F"/>
    <w:rsid w:val="12856877"/>
    <w:rsid w:val="13202B8C"/>
    <w:rsid w:val="1373F54B"/>
    <w:rsid w:val="13F4C964"/>
    <w:rsid w:val="163CC43B"/>
    <w:rsid w:val="17CE61AB"/>
    <w:rsid w:val="1D5761D5"/>
    <w:rsid w:val="2009EF98"/>
    <w:rsid w:val="23675D22"/>
    <w:rsid w:val="238F43EF"/>
    <w:rsid w:val="25E39229"/>
    <w:rsid w:val="287C2694"/>
    <w:rsid w:val="28D4EBAA"/>
    <w:rsid w:val="28EE9760"/>
    <w:rsid w:val="2F215AE9"/>
    <w:rsid w:val="3020CD77"/>
    <w:rsid w:val="3B99C20F"/>
    <w:rsid w:val="3C36CA33"/>
    <w:rsid w:val="3FF68B19"/>
    <w:rsid w:val="3FF7D567"/>
    <w:rsid w:val="41F33803"/>
    <w:rsid w:val="42C37140"/>
    <w:rsid w:val="437379EB"/>
    <w:rsid w:val="44A2D9FA"/>
    <w:rsid w:val="45A40FE5"/>
    <w:rsid w:val="486EA84F"/>
    <w:rsid w:val="499237F0"/>
    <w:rsid w:val="53047BA9"/>
    <w:rsid w:val="555EE0D9"/>
    <w:rsid w:val="55EC221D"/>
    <w:rsid w:val="55F34AB2"/>
    <w:rsid w:val="56CADD2F"/>
    <w:rsid w:val="59105A76"/>
    <w:rsid w:val="5B2ADF4D"/>
    <w:rsid w:val="5D144295"/>
    <w:rsid w:val="616381F4"/>
    <w:rsid w:val="6428DFA1"/>
    <w:rsid w:val="68114DC7"/>
    <w:rsid w:val="68AFD7AC"/>
    <w:rsid w:val="6B56E304"/>
    <w:rsid w:val="6DE078C3"/>
    <w:rsid w:val="6F78D7FB"/>
    <w:rsid w:val="7005B565"/>
    <w:rsid w:val="72B2D4AC"/>
    <w:rsid w:val="72FE8625"/>
    <w:rsid w:val="741680ED"/>
    <w:rsid w:val="7478D5AF"/>
    <w:rsid w:val="75B5782B"/>
    <w:rsid w:val="75D5BFAA"/>
    <w:rsid w:val="75E2687C"/>
    <w:rsid w:val="75E2BFC3"/>
    <w:rsid w:val="79AA42C1"/>
    <w:rsid w:val="7A16EA7A"/>
    <w:rsid w:val="7AB8556A"/>
    <w:rsid w:val="7CD3D333"/>
    <w:rsid w:val="7E6F02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1C8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C7D"/>
    <w:pPr>
      <w:spacing w:after="200" w:line="276" w:lineRule="auto"/>
    </w:pPr>
  </w:style>
  <w:style w:type="paragraph" w:styleId="Heading3">
    <w:name w:val="heading 3"/>
    <w:basedOn w:val="Normal"/>
    <w:next w:val="Normal"/>
    <w:link w:val="Heading3Char"/>
    <w:uiPriority w:val="9"/>
    <w:semiHidden/>
    <w:unhideWhenUsed/>
    <w:qFormat/>
    <w:rsid w:val="00361C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5BBA"/>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numbered,列,列出段落,列出段落1"/>
    <w:basedOn w:val="Normal"/>
    <w:link w:val="ListParagraphChar"/>
    <w:uiPriority w:val="34"/>
    <w:qFormat/>
    <w:rsid w:val="00832B12"/>
    <w:pPr>
      <w:ind w:left="720"/>
      <w:contextualSpacing/>
    </w:pPr>
  </w:style>
  <w:style w:type="character" w:customStyle="1" w:styleId="ListParagraphChar">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34"/>
    <w:qFormat/>
    <w:locked/>
    <w:rsid w:val="00832B12"/>
  </w:style>
  <w:style w:type="paragraph" w:customStyle="1" w:styleId="CoverTitleMain">
    <w:name w:val="Cover Title Main"/>
    <w:basedOn w:val="Normal"/>
    <w:next w:val="Normal"/>
    <w:uiPriority w:val="99"/>
    <w:rsid w:val="005D1E18"/>
    <w:pPr>
      <w:keepNext/>
      <w:spacing w:after="0" w:line="240" w:lineRule="auto"/>
      <w:jc w:val="center"/>
    </w:pPr>
    <w:rPr>
      <w:rFonts w:ascii="Calibri" w:eastAsia="Times New Roman" w:hAnsi="Calibri" w:cs="Consolas"/>
      <w:caps/>
      <w:sz w:val="56"/>
      <w:szCs w:val="84"/>
      <w:lang w:eastAsia="en-AU"/>
    </w:rPr>
  </w:style>
  <w:style w:type="paragraph" w:customStyle="1" w:styleId="ListBullet1">
    <w:name w:val="List Bullet 1"/>
    <w:rsid w:val="00AA168D"/>
    <w:pPr>
      <w:keepLines/>
      <w:numPr>
        <w:numId w:val="2"/>
      </w:numPr>
      <w:spacing w:before="120" w:after="0" w:line="240" w:lineRule="auto"/>
      <w:contextualSpacing/>
    </w:pPr>
    <w:rPr>
      <w:rFonts w:ascii="Arial" w:eastAsia="Times New Roman" w:hAnsi="Arial" w:cs="Arial"/>
      <w:color w:val="000000"/>
      <w:szCs w:val="24"/>
      <w:lang w:eastAsia="en-AU"/>
    </w:rPr>
  </w:style>
  <w:style w:type="paragraph" w:styleId="BalloonText">
    <w:name w:val="Balloon Text"/>
    <w:basedOn w:val="Normal"/>
    <w:link w:val="BalloonTextChar"/>
    <w:uiPriority w:val="99"/>
    <w:semiHidden/>
    <w:unhideWhenUsed/>
    <w:rsid w:val="00F208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86F"/>
    <w:rPr>
      <w:rFonts w:ascii="Segoe UI" w:hAnsi="Segoe UI" w:cs="Segoe UI"/>
      <w:sz w:val="18"/>
      <w:szCs w:val="18"/>
    </w:rPr>
  </w:style>
  <w:style w:type="paragraph" w:styleId="CommentText">
    <w:name w:val="annotation text"/>
    <w:basedOn w:val="Normal"/>
    <w:link w:val="CommentTextChar"/>
    <w:uiPriority w:val="99"/>
    <w:unhideWhenUsed/>
    <w:rsid w:val="00573B79"/>
    <w:pPr>
      <w:spacing w:line="240" w:lineRule="auto"/>
    </w:pPr>
    <w:rPr>
      <w:sz w:val="20"/>
      <w:szCs w:val="20"/>
    </w:rPr>
  </w:style>
  <w:style w:type="character" w:customStyle="1" w:styleId="CommentTextChar">
    <w:name w:val="Comment Text Char"/>
    <w:basedOn w:val="DefaultParagraphFont"/>
    <w:link w:val="CommentText"/>
    <w:uiPriority w:val="99"/>
    <w:rsid w:val="00573B79"/>
    <w:rPr>
      <w:sz w:val="20"/>
      <w:szCs w:val="20"/>
    </w:rPr>
  </w:style>
  <w:style w:type="paragraph" w:styleId="PlainText">
    <w:name w:val="Plain Text"/>
    <w:basedOn w:val="Normal"/>
    <w:link w:val="PlainTextChar"/>
    <w:uiPriority w:val="99"/>
    <w:unhideWhenUsed/>
    <w:rsid w:val="00573B79"/>
    <w:pPr>
      <w:spacing w:after="0" w:line="240" w:lineRule="auto"/>
    </w:pPr>
    <w:rPr>
      <w:rFonts w:ascii="Arial Narrow" w:hAnsi="Arial Narrow" w:cs="Consolas"/>
      <w:szCs w:val="21"/>
    </w:rPr>
  </w:style>
  <w:style w:type="character" w:customStyle="1" w:styleId="PlainTextChar">
    <w:name w:val="Plain Text Char"/>
    <w:basedOn w:val="DefaultParagraphFont"/>
    <w:link w:val="PlainText"/>
    <w:uiPriority w:val="99"/>
    <w:rsid w:val="00573B79"/>
    <w:rPr>
      <w:rFonts w:ascii="Arial Narrow" w:hAnsi="Arial Narrow" w:cs="Consolas"/>
      <w:szCs w:val="21"/>
    </w:rPr>
  </w:style>
  <w:style w:type="paragraph" w:styleId="NormalWeb">
    <w:name w:val="Normal (Web)"/>
    <w:basedOn w:val="Normal"/>
    <w:uiPriority w:val="99"/>
    <w:unhideWhenUsed/>
    <w:rsid w:val="00573B79"/>
    <w:pPr>
      <w:spacing w:after="150"/>
    </w:pPr>
    <w:rPr>
      <w:rFonts w:eastAsia="Times New Roman" w:cstheme="minorHAnsi"/>
      <w:sz w:val="24"/>
      <w:szCs w:val="24"/>
      <w:lang w:val="en" w:eastAsia="en-AU"/>
    </w:rPr>
  </w:style>
  <w:style w:type="paragraph" w:styleId="FootnoteText">
    <w:name w:val="footnote text"/>
    <w:basedOn w:val="Normal"/>
    <w:link w:val="FootnoteTextChar"/>
    <w:uiPriority w:val="99"/>
    <w:unhideWhenUsed/>
    <w:rsid w:val="00573B79"/>
    <w:rPr>
      <w:rFonts w:eastAsia="Times New Roman" w:cstheme="minorHAnsi"/>
      <w:sz w:val="20"/>
      <w:szCs w:val="24"/>
      <w:lang w:val="en" w:eastAsia="en-AU"/>
    </w:rPr>
  </w:style>
  <w:style w:type="character" w:customStyle="1" w:styleId="FootnoteTextChar">
    <w:name w:val="Footnote Text Char"/>
    <w:basedOn w:val="DefaultParagraphFont"/>
    <w:link w:val="FootnoteText"/>
    <w:uiPriority w:val="99"/>
    <w:rsid w:val="00573B79"/>
    <w:rPr>
      <w:rFonts w:eastAsia="Times New Roman" w:cstheme="minorHAnsi"/>
      <w:sz w:val="20"/>
      <w:szCs w:val="24"/>
      <w:lang w:val="en" w:eastAsia="en-AU"/>
    </w:rPr>
  </w:style>
  <w:style w:type="character" w:styleId="FootnoteReference">
    <w:name w:val="footnote reference"/>
    <w:basedOn w:val="DefaultParagraphFont"/>
    <w:uiPriority w:val="99"/>
    <w:unhideWhenUsed/>
    <w:rsid w:val="00573B79"/>
    <w:rPr>
      <w:vertAlign w:val="superscript"/>
    </w:rPr>
  </w:style>
  <w:style w:type="paragraph" w:styleId="ListBullet">
    <w:name w:val="List Bullet"/>
    <w:basedOn w:val="Normal"/>
    <w:uiPriority w:val="99"/>
    <w:unhideWhenUsed/>
    <w:rsid w:val="004249A5"/>
    <w:pPr>
      <w:spacing w:after="120"/>
      <w:contextualSpacing/>
    </w:pPr>
    <w:rPr>
      <w:rFonts w:eastAsiaTheme="minorEastAsia"/>
    </w:rPr>
  </w:style>
  <w:style w:type="character" w:customStyle="1" w:styleId="Heading4Char">
    <w:name w:val="Heading 4 Char"/>
    <w:basedOn w:val="DefaultParagraphFont"/>
    <w:link w:val="Heading4"/>
    <w:uiPriority w:val="9"/>
    <w:rsid w:val="005B5BBA"/>
    <w:rPr>
      <w:rFonts w:ascii="Times New Roman" w:eastAsia="Times New Roman" w:hAnsi="Times New Roman" w:cs="Times New Roman"/>
      <w:b/>
      <w:bCs/>
      <w:sz w:val="24"/>
      <w:szCs w:val="24"/>
      <w:lang w:val="en-GB" w:eastAsia="en-GB"/>
    </w:rPr>
  </w:style>
  <w:style w:type="character" w:customStyle="1" w:styleId="FiguresandTables">
    <w:name w:val="Figures and Tables"/>
    <w:basedOn w:val="DefaultParagraphFont"/>
    <w:uiPriority w:val="99"/>
    <w:rsid w:val="00E02F4D"/>
    <w:rPr>
      <w:rFonts w:ascii="Franklin Gothic Demi" w:hAnsi="Franklin Gothic Demi" w:cs="Franklin Gothic Demi"/>
      <w:color w:val="284E93"/>
      <w:sz w:val="22"/>
      <w:szCs w:val="22"/>
    </w:rPr>
  </w:style>
  <w:style w:type="table" w:customStyle="1" w:styleId="TableGrid1">
    <w:name w:val="Table Grid1"/>
    <w:basedOn w:val="TableNormal"/>
    <w:next w:val="TableGrid"/>
    <w:uiPriority w:val="59"/>
    <w:rsid w:val="003739F9"/>
    <w:pPr>
      <w:spacing w:after="240" w:line="260" w:lineRule="exact"/>
    </w:pPr>
    <w:rPr>
      <w:rFonts w:ascii="Corbel" w:eastAsia="Times New Roman" w:hAnsi="Corbel" w:cs="Corbel"/>
      <w:sz w:val="20"/>
      <w:szCs w:val="20"/>
      <w:lang w:eastAsia="en-AU"/>
    </w:rPr>
    <w:tblPr/>
    <w:trPr>
      <w:cantSplit/>
    </w:trPr>
  </w:style>
  <w:style w:type="table" w:styleId="TableGrid">
    <w:name w:val="Table Grid"/>
    <w:basedOn w:val="TableNormal"/>
    <w:uiPriority w:val="39"/>
    <w:rsid w:val="00373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61C0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rsid w:val="00361C09"/>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361C09"/>
    <w:rPr>
      <w:rFonts w:ascii="Times New Roman" w:eastAsia="Times New Roman" w:hAnsi="Times New Roman" w:cs="Times New Roman"/>
      <w:sz w:val="24"/>
      <w:szCs w:val="24"/>
      <w:lang w:eastAsia="en-AU"/>
    </w:rPr>
  </w:style>
  <w:style w:type="character" w:styleId="PageNumber">
    <w:name w:val="page number"/>
    <w:basedOn w:val="DefaultParagraphFont"/>
    <w:rsid w:val="00361C09"/>
  </w:style>
  <w:style w:type="paragraph" w:styleId="Footer">
    <w:name w:val="footer"/>
    <w:basedOn w:val="Normal"/>
    <w:link w:val="FooterChar"/>
    <w:uiPriority w:val="99"/>
    <w:unhideWhenUsed/>
    <w:rsid w:val="00786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814"/>
  </w:style>
  <w:style w:type="character" w:styleId="CommentReference">
    <w:name w:val="annotation reference"/>
    <w:basedOn w:val="DefaultParagraphFont"/>
    <w:uiPriority w:val="99"/>
    <w:unhideWhenUsed/>
    <w:rsid w:val="00852564"/>
    <w:rPr>
      <w:sz w:val="16"/>
      <w:szCs w:val="16"/>
    </w:rPr>
  </w:style>
  <w:style w:type="paragraph" w:styleId="CommentSubject">
    <w:name w:val="annotation subject"/>
    <w:basedOn w:val="CommentText"/>
    <w:next w:val="CommentText"/>
    <w:link w:val="CommentSubjectChar"/>
    <w:uiPriority w:val="99"/>
    <w:semiHidden/>
    <w:unhideWhenUsed/>
    <w:rsid w:val="00852564"/>
    <w:rPr>
      <w:b/>
      <w:bCs/>
    </w:rPr>
  </w:style>
  <w:style w:type="character" w:customStyle="1" w:styleId="CommentSubjectChar">
    <w:name w:val="Comment Subject Char"/>
    <w:basedOn w:val="CommentTextChar"/>
    <w:link w:val="CommentSubject"/>
    <w:uiPriority w:val="99"/>
    <w:semiHidden/>
    <w:rsid w:val="00852564"/>
    <w:rPr>
      <w:b/>
      <w:bCs/>
      <w:sz w:val="20"/>
      <w:szCs w:val="20"/>
    </w:rPr>
  </w:style>
  <w:style w:type="paragraph" w:styleId="Revision">
    <w:name w:val="Revision"/>
    <w:hidden/>
    <w:uiPriority w:val="99"/>
    <w:semiHidden/>
    <w:rsid w:val="000F24D5"/>
    <w:pPr>
      <w:spacing w:after="0" w:line="240" w:lineRule="auto"/>
    </w:pPr>
  </w:style>
  <w:style w:type="character" w:customStyle="1" w:styleId="normaltextrun">
    <w:name w:val="normaltextrun"/>
    <w:basedOn w:val="DefaultParagraphFont"/>
    <w:rsid w:val="00FF3870"/>
  </w:style>
  <w:style w:type="character" w:customStyle="1" w:styleId="eop">
    <w:name w:val="eop"/>
    <w:basedOn w:val="DefaultParagraphFont"/>
    <w:rsid w:val="00DA17AF"/>
  </w:style>
  <w:style w:type="character" w:styleId="Hyperlink">
    <w:name w:val="Hyperlink"/>
    <w:basedOn w:val="DefaultParagraphFont"/>
    <w:uiPriority w:val="99"/>
    <w:unhideWhenUsed/>
    <w:rsid w:val="00FA6F25"/>
    <w:rPr>
      <w:color w:val="0563C1" w:themeColor="hyperlink"/>
      <w:u w:val="single"/>
    </w:rPr>
  </w:style>
  <w:style w:type="paragraph" w:customStyle="1" w:styleId="paragraph">
    <w:name w:val="paragraph"/>
    <w:basedOn w:val="Normal"/>
    <w:rsid w:val="00CF14B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6971BD"/>
    <w:rPr>
      <w:color w:val="2B579A"/>
      <w:shd w:val="clear" w:color="auto" w:fill="E1DFDD"/>
    </w:rPr>
  </w:style>
  <w:style w:type="character" w:styleId="FollowedHyperlink">
    <w:name w:val="FollowedHyperlink"/>
    <w:basedOn w:val="DefaultParagraphFont"/>
    <w:uiPriority w:val="99"/>
    <w:semiHidden/>
    <w:unhideWhenUsed/>
    <w:rsid w:val="00D93C27"/>
    <w:rPr>
      <w:color w:val="954F72" w:themeColor="followedHyperlink"/>
      <w:u w:val="single"/>
    </w:rPr>
  </w:style>
  <w:style w:type="character" w:styleId="UnresolvedMention">
    <w:name w:val="Unresolved Mention"/>
    <w:basedOn w:val="DefaultParagraphFont"/>
    <w:uiPriority w:val="99"/>
    <w:semiHidden/>
    <w:unhideWhenUsed/>
    <w:rsid w:val="00701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472441">
      <w:bodyDiv w:val="1"/>
      <w:marLeft w:val="0"/>
      <w:marRight w:val="0"/>
      <w:marTop w:val="0"/>
      <w:marBottom w:val="0"/>
      <w:divBdr>
        <w:top w:val="none" w:sz="0" w:space="0" w:color="auto"/>
        <w:left w:val="none" w:sz="0" w:space="0" w:color="auto"/>
        <w:bottom w:val="none" w:sz="0" w:space="0" w:color="auto"/>
        <w:right w:val="none" w:sz="0" w:space="0" w:color="auto"/>
      </w:divBdr>
    </w:div>
    <w:div w:id="597953997">
      <w:bodyDiv w:val="1"/>
      <w:marLeft w:val="0"/>
      <w:marRight w:val="0"/>
      <w:marTop w:val="0"/>
      <w:marBottom w:val="0"/>
      <w:divBdr>
        <w:top w:val="none" w:sz="0" w:space="0" w:color="auto"/>
        <w:left w:val="none" w:sz="0" w:space="0" w:color="auto"/>
        <w:bottom w:val="none" w:sz="0" w:space="0" w:color="auto"/>
        <w:right w:val="none" w:sz="0" w:space="0" w:color="auto"/>
      </w:divBdr>
    </w:div>
    <w:div w:id="714163340">
      <w:bodyDiv w:val="1"/>
      <w:marLeft w:val="0"/>
      <w:marRight w:val="0"/>
      <w:marTop w:val="0"/>
      <w:marBottom w:val="0"/>
      <w:divBdr>
        <w:top w:val="none" w:sz="0" w:space="0" w:color="auto"/>
        <w:left w:val="none" w:sz="0" w:space="0" w:color="auto"/>
        <w:bottom w:val="none" w:sz="0" w:space="0" w:color="auto"/>
        <w:right w:val="none" w:sz="0" w:space="0" w:color="auto"/>
      </w:divBdr>
    </w:div>
    <w:div w:id="1171026572">
      <w:bodyDiv w:val="1"/>
      <w:marLeft w:val="0"/>
      <w:marRight w:val="0"/>
      <w:marTop w:val="0"/>
      <w:marBottom w:val="0"/>
      <w:divBdr>
        <w:top w:val="none" w:sz="0" w:space="0" w:color="auto"/>
        <w:left w:val="none" w:sz="0" w:space="0" w:color="auto"/>
        <w:bottom w:val="none" w:sz="0" w:space="0" w:color="auto"/>
        <w:right w:val="none" w:sz="0" w:space="0" w:color="auto"/>
      </w:divBdr>
    </w:div>
    <w:div w:id="1404522105">
      <w:bodyDiv w:val="1"/>
      <w:marLeft w:val="0"/>
      <w:marRight w:val="0"/>
      <w:marTop w:val="0"/>
      <w:marBottom w:val="0"/>
      <w:divBdr>
        <w:top w:val="none" w:sz="0" w:space="0" w:color="auto"/>
        <w:left w:val="none" w:sz="0" w:space="0" w:color="auto"/>
        <w:bottom w:val="none" w:sz="0" w:space="0" w:color="auto"/>
        <w:right w:val="none" w:sz="0" w:space="0" w:color="auto"/>
      </w:divBdr>
    </w:div>
    <w:div w:id="1414164171">
      <w:bodyDiv w:val="1"/>
      <w:marLeft w:val="0"/>
      <w:marRight w:val="0"/>
      <w:marTop w:val="0"/>
      <w:marBottom w:val="0"/>
      <w:divBdr>
        <w:top w:val="none" w:sz="0" w:space="0" w:color="auto"/>
        <w:left w:val="none" w:sz="0" w:space="0" w:color="auto"/>
        <w:bottom w:val="none" w:sz="0" w:space="0" w:color="auto"/>
        <w:right w:val="none" w:sz="0" w:space="0" w:color="auto"/>
      </w:divBdr>
    </w:div>
    <w:div w:id="1449855823">
      <w:bodyDiv w:val="1"/>
      <w:marLeft w:val="0"/>
      <w:marRight w:val="0"/>
      <w:marTop w:val="0"/>
      <w:marBottom w:val="0"/>
      <w:divBdr>
        <w:top w:val="none" w:sz="0" w:space="0" w:color="auto"/>
        <w:left w:val="none" w:sz="0" w:space="0" w:color="auto"/>
        <w:bottom w:val="none" w:sz="0" w:space="0" w:color="auto"/>
        <w:right w:val="none" w:sz="0" w:space="0" w:color="auto"/>
      </w:divBdr>
      <w:divsChild>
        <w:div w:id="232400474">
          <w:marLeft w:val="0"/>
          <w:marRight w:val="0"/>
          <w:marTop w:val="0"/>
          <w:marBottom w:val="300"/>
          <w:divBdr>
            <w:top w:val="none" w:sz="0" w:space="0" w:color="auto"/>
            <w:left w:val="none" w:sz="0" w:space="0" w:color="auto"/>
            <w:bottom w:val="none" w:sz="0" w:space="0" w:color="auto"/>
            <w:right w:val="none" w:sz="0" w:space="0" w:color="auto"/>
          </w:divBdr>
          <w:divsChild>
            <w:div w:id="1334795097">
              <w:marLeft w:val="0"/>
              <w:marRight w:val="0"/>
              <w:marTop w:val="0"/>
              <w:marBottom w:val="0"/>
              <w:divBdr>
                <w:top w:val="none" w:sz="0" w:space="0" w:color="auto"/>
                <w:left w:val="none" w:sz="0" w:space="0" w:color="auto"/>
                <w:bottom w:val="none" w:sz="0" w:space="0" w:color="auto"/>
                <w:right w:val="none" w:sz="0" w:space="0" w:color="auto"/>
              </w:divBdr>
              <w:divsChild>
                <w:div w:id="865600621">
                  <w:marLeft w:val="0"/>
                  <w:marRight w:val="0"/>
                  <w:marTop w:val="0"/>
                  <w:marBottom w:val="0"/>
                  <w:divBdr>
                    <w:top w:val="none" w:sz="0" w:space="0" w:color="auto"/>
                    <w:left w:val="none" w:sz="0" w:space="0" w:color="auto"/>
                    <w:bottom w:val="none" w:sz="0" w:space="0" w:color="auto"/>
                    <w:right w:val="none" w:sz="0" w:space="0" w:color="auto"/>
                  </w:divBdr>
                  <w:divsChild>
                    <w:div w:id="179378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27726">
          <w:marLeft w:val="0"/>
          <w:marRight w:val="0"/>
          <w:marTop w:val="0"/>
          <w:marBottom w:val="300"/>
          <w:divBdr>
            <w:top w:val="none" w:sz="0" w:space="0" w:color="auto"/>
            <w:left w:val="none" w:sz="0" w:space="0" w:color="auto"/>
            <w:bottom w:val="none" w:sz="0" w:space="0" w:color="auto"/>
            <w:right w:val="none" w:sz="0" w:space="0" w:color="auto"/>
          </w:divBdr>
          <w:divsChild>
            <w:div w:id="1545755903">
              <w:marLeft w:val="0"/>
              <w:marRight w:val="0"/>
              <w:marTop w:val="0"/>
              <w:marBottom w:val="0"/>
              <w:divBdr>
                <w:top w:val="none" w:sz="0" w:space="0" w:color="auto"/>
                <w:left w:val="none" w:sz="0" w:space="0" w:color="auto"/>
                <w:bottom w:val="none" w:sz="0" w:space="0" w:color="auto"/>
                <w:right w:val="none" w:sz="0" w:space="0" w:color="auto"/>
              </w:divBdr>
              <w:divsChild>
                <w:div w:id="214853822">
                  <w:marLeft w:val="0"/>
                  <w:marRight w:val="0"/>
                  <w:marTop w:val="0"/>
                  <w:marBottom w:val="0"/>
                  <w:divBdr>
                    <w:top w:val="none" w:sz="0" w:space="0" w:color="auto"/>
                    <w:left w:val="none" w:sz="0" w:space="0" w:color="auto"/>
                    <w:bottom w:val="none" w:sz="0" w:space="0" w:color="auto"/>
                    <w:right w:val="none" w:sz="0" w:space="0" w:color="auto"/>
                  </w:divBdr>
                  <w:divsChild>
                    <w:div w:id="16243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00079">
          <w:marLeft w:val="0"/>
          <w:marRight w:val="0"/>
          <w:marTop w:val="0"/>
          <w:marBottom w:val="300"/>
          <w:divBdr>
            <w:top w:val="none" w:sz="0" w:space="0" w:color="auto"/>
            <w:left w:val="none" w:sz="0" w:space="0" w:color="auto"/>
            <w:bottom w:val="none" w:sz="0" w:space="0" w:color="auto"/>
            <w:right w:val="none" w:sz="0" w:space="0" w:color="auto"/>
          </w:divBdr>
          <w:divsChild>
            <w:div w:id="1250314455">
              <w:marLeft w:val="0"/>
              <w:marRight w:val="0"/>
              <w:marTop w:val="0"/>
              <w:marBottom w:val="0"/>
              <w:divBdr>
                <w:top w:val="none" w:sz="0" w:space="0" w:color="auto"/>
                <w:left w:val="none" w:sz="0" w:space="0" w:color="auto"/>
                <w:bottom w:val="none" w:sz="0" w:space="0" w:color="auto"/>
                <w:right w:val="none" w:sz="0" w:space="0" w:color="auto"/>
              </w:divBdr>
              <w:divsChild>
                <w:div w:id="258369195">
                  <w:marLeft w:val="0"/>
                  <w:marRight w:val="0"/>
                  <w:marTop w:val="0"/>
                  <w:marBottom w:val="0"/>
                  <w:divBdr>
                    <w:top w:val="none" w:sz="0" w:space="0" w:color="auto"/>
                    <w:left w:val="none" w:sz="0" w:space="0" w:color="auto"/>
                    <w:bottom w:val="none" w:sz="0" w:space="0" w:color="auto"/>
                    <w:right w:val="none" w:sz="0" w:space="0" w:color="auto"/>
                  </w:divBdr>
                  <w:divsChild>
                    <w:div w:id="14320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74284">
      <w:bodyDiv w:val="1"/>
      <w:marLeft w:val="0"/>
      <w:marRight w:val="0"/>
      <w:marTop w:val="0"/>
      <w:marBottom w:val="0"/>
      <w:divBdr>
        <w:top w:val="none" w:sz="0" w:space="0" w:color="auto"/>
        <w:left w:val="none" w:sz="0" w:space="0" w:color="auto"/>
        <w:bottom w:val="none" w:sz="0" w:space="0" w:color="auto"/>
        <w:right w:val="none" w:sz="0" w:space="0" w:color="auto"/>
      </w:divBdr>
    </w:div>
    <w:div w:id="1570264797">
      <w:bodyDiv w:val="1"/>
      <w:marLeft w:val="0"/>
      <w:marRight w:val="0"/>
      <w:marTop w:val="0"/>
      <w:marBottom w:val="0"/>
      <w:divBdr>
        <w:top w:val="none" w:sz="0" w:space="0" w:color="auto"/>
        <w:left w:val="none" w:sz="0" w:space="0" w:color="auto"/>
        <w:bottom w:val="none" w:sz="0" w:space="0" w:color="auto"/>
        <w:right w:val="none" w:sz="0" w:space="0" w:color="auto"/>
      </w:divBdr>
    </w:div>
    <w:div w:id="177690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cyp.tas.gov.au/about-us/strategies-and-frameworks/strategic-pla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decyp.tas.gov.au/about-us/policies-legislation-data/data-and-statistics/enrolments-in-schools-programs-services-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8" ma:contentTypeDescription="Create a new document." ma:contentTypeScope="" ma:versionID="9ad55ddd3ca92b4c950c8accac03155b">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97d7c616245f417983b26471e52fcee0"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Dateandtim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Dateandtime" ma:index="23" nillable="true" ma:displayName="Date and time " ma:format="DateOnly" ma:internalName="Dateandtime">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Dateandtime xmlns="54a7c1f1-3f47-4901-9ebc-438e2774b79c" xsi:nil="true"/>
    <TaxCatchAll xmlns="9031a7a0-0ac0-494a-9b88-767ee5490bc0" xsi:nil="true"/>
    <lcf76f155ced4ddcb4097134ff3c332f xmlns="54a7c1f1-3f47-4901-9ebc-438e2774b7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033D8B-C0B7-4A1A-9716-DED6436E4258}">
  <ds:schemaRefs>
    <ds:schemaRef ds:uri="http://schemas.microsoft.com/sharepoint/v3/contenttype/forms"/>
  </ds:schemaRefs>
</ds:datastoreItem>
</file>

<file path=customXml/itemProps2.xml><?xml version="1.0" encoding="utf-8"?>
<ds:datastoreItem xmlns:ds="http://schemas.openxmlformats.org/officeDocument/2006/customXml" ds:itemID="{DEE4226A-8113-4B19-8210-152ABF68B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7c1f1-3f47-4901-9ebc-438e2774b79c"/>
    <ds:schemaRef ds:uri="9031a7a0-0ac0-494a-9b88-767ee5490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22133C-20FB-4BFB-8119-F189A6BCD5FE}">
  <ds:schemaRefs>
    <ds:schemaRef ds:uri="http://schemas.openxmlformats.org/officeDocument/2006/bibliography"/>
  </ds:schemaRefs>
</ds:datastoreItem>
</file>

<file path=customXml/itemProps4.xml><?xml version="1.0" encoding="utf-8"?>
<ds:datastoreItem xmlns:ds="http://schemas.openxmlformats.org/officeDocument/2006/customXml" ds:itemID="{1671763B-8C00-4AB5-A12D-4F80D711204F}">
  <ds:schemaRefs>
    <ds:schemaRef ds:uri="http://schemas.microsoft.com/office/2006/metadata/properties"/>
    <ds:schemaRef ds:uri="http://schemas.microsoft.com/office/infopath/2007/PartnerControls"/>
    <ds:schemaRef ds:uri="54a7c1f1-3f47-4901-9ebc-438e2774b79c"/>
    <ds:schemaRef ds:uri="9031a7a0-0ac0-494a-9b88-767ee5490bc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9323</Words>
  <Characters>53147</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Tasmania Bilateral - Better and Fairer Schools Agreement</dc:title>
  <dc:subject/>
  <dc:creator/>
  <cp:keywords/>
  <dc:description/>
  <cp:lastModifiedBy/>
  <cp:revision>1</cp:revision>
  <dcterms:created xsi:type="dcterms:W3CDTF">2024-11-05T05:12:00Z</dcterms:created>
  <dcterms:modified xsi:type="dcterms:W3CDTF">2024-11-05T05:22:00Z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2024-10-29T05:12:59Z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72dc5138-0c6c-472c-af2b-f9fb219bf2d0</vt:lpwstr>
  </property>
  <property fmtid="{D5CDD505-2E9C-101B-9397-08002B2CF9AE}" pid="8" name="MSIP_Label_79d889eb-932f-4752-8739-64d25806ef64_ContentBits">
    <vt:lpwstr>0</vt:lpwstr>
  </property>
  <property fmtid="{D5CDD505-2E9C-101B-9397-08002B2CF9AE}" pid="9" name="ContentTypeId">
    <vt:lpwstr>0x0101008B9FFAAC2203D942B1D4C76771736A48</vt:lpwstr>
  </property>
  <property fmtid="{D5CDD505-2E9C-101B-9397-08002B2CF9AE}" pid="10" name="MediaServiceImageTags">
    <vt:lpwstr/>
  </property>
</Properties>
</file>