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5828" w14:textId="77777777" w:rsidR="00D045E9" w:rsidRPr="008403BD" w:rsidRDefault="00727EB1" w:rsidP="003725F1">
      <w:pPr>
        <w:pStyle w:val="RecipientSenderdetails"/>
        <w:rPr>
          <w:rFonts w:cstheme="minorHAnsi"/>
          <w:sz w:val="22"/>
          <w:szCs w:val="22"/>
        </w:rPr>
      </w:pPr>
      <w:r w:rsidRPr="008403BD">
        <w:rPr>
          <w:rFonts w:cstheme="minorHAnsi"/>
          <w:noProof/>
          <w:sz w:val="22"/>
          <w:szCs w:val="22"/>
          <w:lang w:eastAsia="en-AU"/>
        </w:rPr>
        <w:drawing>
          <wp:inline distT="0" distB="0" distL="0" distR="0" wp14:anchorId="27B83864" wp14:editId="61580C4C">
            <wp:extent cx="2948354" cy="703932"/>
            <wp:effectExtent l="0" t="0" r="4445" b="1270"/>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8">
                      <a:extLst>
                        <a:ext uri="{96DAC541-7B7A-43D3-8B79-37D633B846F1}">
                          <asvg:svgBlip xmlns:asvg="http://schemas.microsoft.com/office/drawing/2016/SVG/main" r:embed="rId9"/>
                        </a:ext>
                      </a:extLst>
                    </a:blip>
                    <a:stretch>
                      <a:fillRect/>
                    </a:stretch>
                  </pic:blipFill>
                  <pic:spPr>
                    <a:xfrm>
                      <a:off x="0" y="0"/>
                      <a:ext cx="2948354" cy="703932"/>
                    </a:xfrm>
                    <a:prstGeom prst="rect">
                      <a:avLst/>
                    </a:prstGeom>
                  </pic:spPr>
                </pic:pic>
              </a:graphicData>
            </a:graphic>
          </wp:inline>
        </w:drawing>
      </w:r>
    </w:p>
    <w:p w14:paraId="35BCCB0D" w14:textId="77777777" w:rsidR="00727EB1" w:rsidRPr="008403BD" w:rsidRDefault="00727EB1" w:rsidP="003725F1">
      <w:pPr>
        <w:pStyle w:val="RecipientSenderdetails"/>
        <w:rPr>
          <w:rFonts w:cstheme="minorHAnsi"/>
          <w:sz w:val="22"/>
          <w:szCs w:val="22"/>
        </w:rPr>
      </w:pPr>
    </w:p>
    <w:p w14:paraId="26C6875E" w14:textId="77777777" w:rsidR="00727EB1" w:rsidRPr="008403BD" w:rsidRDefault="00727EB1" w:rsidP="003725F1">
      <w:pPr>
        <w:pStyle w:val="RecipientSenderdetails"/>
        <w:rPr>
          <w:rFonts w:cstheme="minorHAnsi"/>
          <w:sz w:val="22"/>
          <w:szCs w:val="22"/>
        </w:rPr>
      </w:pPr>
    </w:p>
    <w:p w14:paraId="2943EC3A" w14:textId="2324CB73" w:rsidR="00D74E97" w:rsidRPr="008403BD" w:rsidRDefault="000A6AF9" w:rsidP="0023240C">
      <w:pPr>
        <w:pStyle w:val="RecipientSenderdetails"/>
        <w:spacing w:line="240" w:lineRule="auto"/>
        <w:rPr>
          <w:rFonts w:cstheme="minorHAnsi"/>
          <w:sz w:val="22"/>
          <w:szCs w:val="22"/>
        </w:rPr>
      </w:pPr>
      <w:r w:rsidRPr="008403BD">
        <w:rPr>
          <w:rFonts w:cstheme="minorHAnsi"/>
          <w:sz w:val="22"/>
          <w:szCs w:val="22"/>
        </w:rPr>
        <w:t>Ms Melinda Hatton</w:t>
      </w:r>
    </w:p>
    <w:p w14:paraId="666B80D7" w14:textId="77777777" w:rsidR="000A6AF9" w:rsidRPr="008403BD" w:rsidRDefault="000A6AF9" w:rsidP="00DF280F">
      <w:pPr>
        <w:pStyle w:val="RecipientSenderdetails"/>
        <w:spacing w:before="0" w:line="240" w:lineRule="auto"/>
        <w:rPr>
          <w:rFonts w:cstheme="minorHAnsi"/>
          <w:sz w:val="22"/>
          <w:szCs w:val="22"/>
        </w:rPr>
      </w:pPr>
      <w:r w:rsidRPr="008403BD">
        <w:rPr>
          <w:rFonts w:cstheme="minorHAnsi"/>
          <w:sz w:val="22"/>
          <w:szCs w:val="22"/>
        </w:rPr>
        <w:t xml:space="preserve">Director </w:t>
      </w:r>
    </w:p>
    <w:p w14:paraId="2DCA4710" w14:textId="11EA592B" w:rsidR="00D74E97" w:rsidRPr="008403BD" w:rsidRDefault="000A6AF9" w:rsidP="00DF280F">
      <w:pPr>
        <w:pStyle w:val="RecipientSenderdetails"/>
        <w:spacing w:before="0" w:line="240" w:lineRule="auto"/>
        <w:rPr>
          <w:rFonts w:cstheme="minorHAnsi"/>
          <w:sz w:val="22"/>
          <w:szCs w:val="22"/>
        </w:rPr>
      </w:pPr>
      <w:r w:rsidRPr="008403BD">
        <w:rPr>
          <w:rFonts w:cstheme="minorHAnsi"/>
          <w:sz w:val="22"/>
          <w:szCs w:val="22"/>
        </w:rPr>
        <w:t xml:space="preserve">Tuition Protection Service </w:t>
      </w:r>
    </w:p>
    <w:p w14:paraId="16157732" w14:textId="77777777" w:rsidR="000A6AF9" w:rsidRPr="008403BD" w:rsidRDefault="000A6AF9" w:rsidP="0023240C">
      <w:pPr>
        <w:spacing w:before="0" w:after="0" w:line="240" w:lineRule="auto"/>
        <w:rPr>
          <w:rFonts w:cstheme="minorHAnsi"/>
          <w:sz w:val="22"/>
          <w:szCs w:val="22"/>
        </w:rPr>
      </w:pPr>
      <w:r w:rsidRPr="008403BD">
        <w:rPr>
          <w:rFonts w:cstheme="minorHAnsi"/>
          <w:sz w:val="22"/>
          <w:szCs w:val="22"/>
        </w:rPr>
        <w:t>c/o Department of Education</w:t>
      </w:r>
    </w:p>
    <w:p w14:paraId="508A86F0" w14:textId="77777777" w:rsidR="000A6AF9" w:rsidRPr="008403BD" w:rsidRDefault="000A6AF9" w:rsidP="0023240C">
      <w:pPr>
        <w:spacing w:before="0" w:after="0" w:line="240" w:lineRule="auto"/>
        <w:rPr>
          <w:rFonts w:cstheme="minorHAnsi"/>
          <w:sz w:val="22"/>
          <w:szCs w:val="22"/>
        </w:rPr>
      </w:pPr>
      <w:r w:rsidRPr="008403BD">
        <w:rPr>
          <w:rFonts w:cstheme="minorHAnsi"/>
          <w:sz w:val="22"/>
          <w:szCs w:val="22"/>
        </w:rPr>
        <w:t>GPO Box 9880</w:t>
      </w:r>
    </w:p>
    <w:p w14:paraId="1BE1A0D0" w14:textId="0C86782B" w:rsidR="00082E1E" w:rsidRPr="008403BD" w:rsidRDefault="000A6AF9" w:rsidP="0023240C">
      <w:pPr>
        <w:spacing w:before="0" w:after="0" w:line="240" w:lineRule="auto"/>
        <w:rPr>
          <w:rFonts w:cstheme="minorHAnsi"/>
          <w:sz w:val="22"/>
          <w:szCs w:val="22"/>
        </w:rPr>
      </w:pPr>
      <w:proofErr w:type="gramStart"/>
      <w:r w:rsidRPr="008403BD">
        <w:rPr>
          <w:rFonts w:cstheme="minorHAnsi"/>
          <w:sz w:val="22"/>
          <w:szCs w:val="22"/>
        </w:rPr>
        <w:t>Canberra  ACT</w:t>
      </w:r>
      <w:proofErr w:type="gramEnd"/>
      <w:r w:rsidRPr="008403BD">
        <w:rPr>
          <w:rFonts w:cstheme="minorHAnsi"/>
          <w:sz w:val="22"/>
          <w:szCs w:val="22"/>
        </w:rPr>
        <w:t xml:space="preserve">  2601</w:t>
      </w:r>
    </w:p>
    <w:p w14:paraId="7E772C99" w14:textId="77777777" w:rsidR="000A6AF9" w:rsidRPr="008403BD" w:rsidRDefault="000A6AF9" w:rsidP="003725F1">
      <w:pPr>
        <w:rPr>
          <w:rFonts w:cstheme="minorHAnsi"/>
          <w:sz w:val="22"/>
          <w:szCs w:val="22"/>
        </w:rPr>
      </w:pPr>
    </w:p>
    <w:p w14:paraId="39E2FC44" w14:textId="6CE73F60" w:rsidR="00082E1E" w:rsidRPr="008403BD" w:rsidRDefault="00082E1E" w:rsidP="00953A24">
      <w:pPr>
        <w:rPr>
          <w:rFonts w:cstheme="minorHAnsi"/>
          <w:sz w:val="22"/>
          <w:szCs w:val="22"/>
        </w:rPr>
      </w:pPr>
      <w:r w:rsidRPr="008403BD">
        <w:rPr>
          <w:rFonts w:cstheme="minorHAnsi"/>
          <w:sz w:val="22"/>
          <w:szCs w:val="22"/>
        </w:rPr>
        <w:t xml:space="preserve">Dear </w:t>
      </w:r>
      <w:r w:rsidR="000A6AF9" w:rsidRPr="008403BD">
        <w:rPr>
          <w:rFonts w:cstheme="minorHAnsi"/>
          <w:sz w:val="22"/>
          <w:szCs w:val="22"/>
        </w:rPr>
        <w:t>Ms Hatton</w:t>
      </w:r>
      <w:r w:rsidRPr="008403BD">
        <w:rPr>
          <w:rFonts w:cstheme="minorHAnsi"/>
          <w:sz w:val="22"/>
          <w:szCs w:val="22"/>
        </w:rPr>
        <w:t>,</w:t>
      </w:r>
    </w:p>
    <w:p w14:paraId="53F49917" w14:textId="6E4F1485" w:rsidR="00730064" w:rsidRPr="00D9311D" w:rsidRDefault="000A6AF9" w:rsidP="00D9311D">
      <w:pPr>
        <w:pStyle w:val="Subjectline"/>
        <w:spacing w:before="240" w:after="0"/>
        <w:rPr>
          <w:rFonts w:cstheme="minorHAnsi"/>
          <w:sz w:val="22"/>
          <w:szCs w:val="22"/>
        </w:rPr>
      </w:pPr>
      <w:r w:rsidRPr="008403BD">
        <w:rPr>
          <w:rFonts w:cstheme="minorHAnsi"/>
          <w:sz w:val="22"/>
          <w:szCs w:val="22"/>
        </w:rPr>
        <w:t xml:space="preserve">TPS Advisory Board’s </w:t>
      </w:r>
      <w:r w:rsidR="00E5771F" w:rsidRPr="008403BD">
        <w:rPr>
          <w:rFonts w:cstheme="minorHAnsi"/>
          <w:sz w:val="22"/>
          <w:szCs w:val="22"/>
        </w:rPr>
        <w:t>final</w:t>
      </w:r>
      <w:r w:rsidRPr="008403BD">
        <w:rPr>
          <w:rFonts w:cstheme="minorHAnsi"/>
          <w:sz w:val="22"/>
          <w:szCs w:val="22"/>
        </w:rPr>
        <w:t xml:space="preserve"> advice on 202</w:t>
      </w:r>
      <w:r w:rsidR="00543ACA" w:rsidRPr="008403BD">
        <w:rPr>
          <w:rFonts w:cstheme="minorHAnsi"/>
          <w:sz w:val="22"/>
          <w:szCs w:val="22"/>
        </w:rPr>
        <w:t>5</w:t>
      </w:r>
      <w:r w:rsidRPr="008403BD">
        <w:rPr>
          <w:rFonts w:cstheme="minorHAnsi"/>
          <w:sz w:val="22"/>
          <w:szCs w:val="22"/>
        </w:rPr>
        <w:t xml:space="preserve"> </w:t>
      </w:r>
      <w:r w:rsidR="003E20B9" w:rsidRPr="00D9311D">
        <w:rPr>
          <w:rFonts w:cstheme="minorHAnsi"/>
          <w:sz w:val="22"/>
          <w:szCs w:val="22"/>
        </w:rPr>
        <w:t>I</w:t>
      </w:r>
      <w:r w:rsidRPr="00D9311D">
        <w:rPr>
          <w:rFonts w:cstheme="minorHAnsi"/>
          <w:sz w:val="22"/>
          <w:szCs w:val="22"/>
        </w:rPr>
        <w:t>nternational TPS Levy</w:t>
      </w:r>
    </w:p>
    <w:p w14:paraId="159D4DFC" w14:textId="3F33E521" w:rsidR="0050492B" w:rsidRPr="00D9311D" w:rsidRDefault="0050492B" w:rsidP="003725F1">
      <w:pPr>
        <w:rPr>
          <w:rFonts w:cstheme="minorHAnsi"/>
          <w:sz w:val="22"/>
          <w:szCs w:val="22"/>
        </w:rPr>
      </w:pPr>
      <w:r w:rsidRPr="00D9311D">
        <w:rPr>
          <w:rFonts w:cstheme="minorHAnsi"/>
          <w:sz w:val="22"/>
          <w:szCs w:val="22"/>
        </w:rPr>
        <w:t xml:space="preserve">I am writing to you in my capacity as Chair of the Tuition Protection Service (TPS) Advisory Board (the Board), in accordance with section 55B of the </w:t>
      </w:r>
      <w:r w:rsidRPr="00D9311D">
        <w:rPr>
          <w:rFonts w:cstheme="minorHAnsi"/>
          <w:i/>
          <w:iCs/>
          <w:sz w:val="22"/>
          <w:szCs w:val="22"/>
        </w:rPr>
        <w:t>Education Services for Overseas Students Act 2000</w:t>
      </w:r>
      <w:r w:rsidRPr="00D9311D">
        <w:rPr>
          <w:rFonts w:cstheme="minorHAnsi"/>
          <w:sz w:val="22"/>
          <w:szCs w:val="22"/>
        </w:rPr>
        <w:t xml:space="preserve">, to provide the Board’s </w:t>
      </w:r>
      <w:r w:rsidR="005C43B9" w:rsidRPr="00D9311D">
        <w:rPr>
          <w:rFonts w:cstheme="minorHAnsi"/>
          <w:sz w:val="22"/>
          <w:szCs w:val="22"/>
        </w:rPr>
        <w:t xml:space="preserve">final </w:t>
      </w:r>
      <w:r w:rsidRPr="00D9311D">
        <w:rPr>
          <w:rFonts w:cstheme="minorHAnsi"/>
          <w:sz w:val="22"/>
          <w:szCs w:val="22"/>
        </w:rPr>
        <w:t>advice</w:t>
      </w:r>
      <w:r w:rsidR="00517B9B" w:rsidRPr="00D9311D">
        <w:rPr>
          <w:rFonts w:cstheme="minorHAnsi"/>
          <w:sz w:val="22"/>
          <w:szCs w:val="22"/>
        </w:rPr>
        <w:t xml:space="preserve"> on the 202</w:t>
      </w:r>
      <w:r w:rsidR="00543ACA" w:rsidRPr="00D9311D">
        <w:rPr>
          <w:rFonts w:cstheme="minorHAnsi"/>
          <w:sz w:val="22"/>
          <w:szCs w:val="22"/>
        </w:rPr>
        <w:t>5</w:t>
      </w:r>
      <w:r w:rsidR="00517B9B" w:rsidRPr="00D9311D">
        <w:rPr>
          <w:rFonts w:cstheme="minorHAnsi"/>
          <w:sz w:val="22"/>
          <w:szCs w:val="22"/>
        </w:rPr>
        <w:t xml:space="preserve"> </w:t>
      </w:r>
      <w:r w:rsidR="005C43B9" w:rsidRPr="00D9311D">
        <w:rPr>
          <w:rFonts w:cstheme="minorHAnsi"/>
          <w:sz w:val="22"/>
          <w:szCs w:val="22"/>
        </w:rPr>
        <w:t>I</w:t>
      </w:r>
      <w:r w:rsidR="00517B9B" w:rsidRPr="00D9311D">
        <w:rPr>
          <w:rFonts w:cstheme="minorHAnsi"/>
          <w:sz w:val="22"/>
          <w:szCs w:val="22"/>
        </w:rPr>
        <w:t xml:space="preserve">nternational TPS Levy. This is </w:t>
      </w:r>
      <w:r w:rsidRPr="00D9311D">
        <w:rPr>
          <w:rFonts w:cstheme="minorHAnsi"/>
          <w:sz w:val="22"/>
          <w:szCs w:val="22"/>
        </w:rPr>
        <w:t xml:space="preserve">for the purpose of your </w:t>
      </w:r>
      <w:r w:rsidR="00517B9B" w:rsidRPr="00D9311D">
        <w:rPr>
          <w:rFonts w:cstheme="minorHAnsi"/>
          <w:sz w:val="22"/>
          <w:szCs w:val="22"/>
        </w:rPr>
        <w:t>drafting of</w:t>
      </w:r>
      <w:r w:rsidRPr="00D9311D">
        <w:rPr>
          <w:rFonts w:cstheme="minorHAnsi"/>
          <w:sz w:val="22"/>
          <w:szCs w:val="22"/>
        </w:rPr>
        <w:t xml:space="preserve"> the </w:t>
      </w:r>
      <w:r w:rsidR="00595F3E" w:rsidRPr="00D9311D">
        <w:rPr>
          <w:rFonts w:cstheme="minorHAnsi"/>
          <w:sz w:val="22"/>
          <w:szCs w:val="22"/>
        </w:rPr>
        <w:t xml:space="preserve">annual </w:t>
      </w:r>
      <w:r w:rsidRPr="00D9311D">
        <w:rPr>
          <w:rFonts w:cstheme="minorHAnsi"/>
          <w:sz w:val="22"/>
          <w:szCs w:val="22"/>
        </w:rPr>
        <w:t xml:space="preserve">legislative instrument </w:t>
      </w:r>
      <w:r w:rsidR="00517B9B" w:rsidRPr="00D9311D">
        <w:rPr>
          <w:rFonts w:cstheme="minorHAnsi"/>
          <w:sz w:val="22"/>
          <w:szCs w:val="22"/>
        </w:rPr>
        <w:t>to enact</w:t>
      </w:r>
      <w:r w:rsidRPr="00D9311D">
        <w:rPr>
          <w:rFonts w:cstheme="minorHAnsi"/>
          <w:sz w:val="22"/>
          <w:szCs w:val="22"/>
        </w:rPr>
        <w:t xml:space="preserve"> the </w:t>
      </w:r>
      <w:r w:rsidR="0010764A">
        <w:rPr>
          <w:rFonts w:cstheme="minorHAnsi"/>
          <w:sz w:val="22"/>
          <w:szCs w:val="22"/>
        </w:rPr>
        <w:t>r</w:t>
      </w:r>
      <w:r w:rsidR="0010764A" w:rsidRPr="00D9311D">
        <w:rPr>
          <w:rFonts w:cstheme="minorHAnsi"/>
          <w:sz w:val="22"/>
          <w:szCs w:val="22"/>
        </w:rPr>
        <w:t>isk</w:t>
      </w:r>
      <w:r w:rsidR="0010764A">
        <w:rPr>
          <w:rFonts w:cstheme="minorHAnsi"/>
          <w:sz w:val="22"/>
          <w:szCs w:val="22"/>
        </w:rPr>
        <w:t xml:space="preserve"> r</w:t>
      </w:r>
      <w:r w:rsidR="0010764A" w:rsidRPr="00D9311D">
        <w:rPr>
          <w:rFonts w:cstheme="minorHAnsi"/>
          <w:sz w:val="22"/>
          <w:szCs w:val="22"/>
        </w:rPr>
        <w:t xml:space="preserve">ated </w:t>
      </w:r>
      <w:r w:rsidR="0010764A">
        <w:rPr>
          <w:rFonts w:cstheme="minorHAnsi"/>
          <w:sz w:val="22"/>
          <w:szCs w:val="22"/>
        </w:rPr>
        <w:t>p</w:t>
      </w:r>
      <w:r w:rsidR="0010764A" w:rsidRPr="00D9311D">
        <w:rPr>
          <w:rFonts w:cstheme="minorHAnsi"/>
          <w:sz w:val="22"/>
          <w:szCs w:val="22"/>
        </w:rPr>
        <w:t xml:space="preserve">remium </w:t>
      </w:r>
      <w:r w:rsidRPr="00D9311D">
        <w:rPr>
          <w:rFonts w:cstheme="minorHAnsi"/>
          <w:sz w:val="22"/>
          <w:szCs w:val="22"/>
        </w:rPr>
        <w:t xml:space="preserve">and </w:t>
      </w:r>
      <w:r w:rsidR="0010764A">
        <w:rPr>
          <w:rFonts w:cstheme="minorHAnsi"/>
          <w:sz w:val="22"/>
          <w:szCs w:val="22"/>
        </w:rPr>
        <w:t>s</w:t>
      </w:r>
      <w:r w:rsidR="0010764A" w:rsidRPr="00D9311D">
        <w:rPr>
          <w:rFonts w:cstheme="minorHAnsi"/>
          <w:sz w:val="22"/>
          <w:szCs w:val="22"/>
        </w:rPr>
        <w:t xml:space="preserve">pecial </w:t>
      </w:r>
      <w:r w:rsidR="0010764A">
        <w:rPr>
          <w:rFonts w:cstheme="minorHAnsi"/>
          <w:sz w:val="22"/>
          <w:szCs w:val="22"/>
        </w:rPr>
        <w:t>t</w:t>
      </w:r>
      <w:r w:rsidR="0010764A" w:rsidRPr="00D9311D">
        <w:rPr>
          <w:rFonts w:cstheme="minorHAnsi"/>
          <w:sz w:val="22"/>
          <w:szCs w:val="22"/>
        </w:rPr>
        <w:t xml:space="preserve">uition </w:t>
      </w:r>
      <w:r w:rsidR="0010764A">
        <w:rPr>
          <w:rFonts w:cstheme="minorHAnsi"/>
          <w:sz w:val="22"/>
          <w:szCs w:val="22"/>
        </w:rPr>
        <w:t>p</w:t>
      </w:r>
      <w:r w:rsidR="0010764A" w:rsidRPr="00D9311D">
        <w:rPr>
          <w:rFonts w:cstheme="minorHAnsi"/>
          <w:sz w:val="22"/>
          <w:szCs w:val="22"/>
        </w:rPr>
        <w:t xml:space="preserve">rotection </w:t>
      </w:r>
      <w:r w:rsidRPr="00D9311D">
        <w:rPr>
          <w:rFonts w:cstheme="minorHAnsi"/>
          <w:sz w:val="22"/>
          <w:szCs w:val="22"/>
        </w:rPr>
        <w:t>components of the</w:t>
      </w:r>
      <w:r w:rsidR="00517B9B" w:rsidRPr="00D9311D">
        <w:rPr>
          <w:rFonts w:cstheme="minorHAnsi"/>
          <w:sz w:val="22"/>
          <w:szCs w:val="22"/>
        </w:rPr>
        <w:t xml:space="preserve"> Levy</w:t>
      </w:r>
      <w:r w:rsidRPr="00D9311D">
        <w:rPr>
          <w:rFonts w:cstheme="minorHAnsi"/>
          <w:sz w:val="22"/>
          <w:szCs w:val="22"/>
        </w:rPr>
        <w:t>.</w:t>
      </w:r>
    </w:p>
    <w:p w14:paraId="7FF6E005" w14:textId="5724BD58" w:rsidR="00AC55E5" w:rsidRPr="00D9311D" w:rsidRDefault="0050492B" w:rsidP="000B5A70">
      <w:pPr>
        <w:rPr>
          <w:rFonts w:cstheme="minorHAnsi"/>
          <w:sz w:val="22"/>
          <w:szCs w:val="22"/>
        </w:rPr>
      </w:pPr>
      <w:r w:rsidRPr="00D9311D">
        <w:rPr>
          <w:rFonts w:cstheme="minorHAnsi"/>
          <w:sz w:val="22"/>
          <w:szCs w:val="22"/>
        </w:rPr>
        <w:t xml:space="preserve">In formulating its advice, the Board has considered </w:t>
      </w:r>
      <w:r w:rsidR="00E5771F" w:rsidRPr="00D9311D">
        <w:rPr>
          <w:rFonts w:cstheme="minorHAnsi"/>
          <w:sz w:val="22"/>
          <w:szCs w:val="22"/>
        </w:rPr>
        <w:t>several</w:t>
      </w:r>
      <w:r w:rsidRPr="00D9311D">
        <w:rPr>
          <w:rFonts w:cstheme="minorHAnsi"/>
          <w:sz w:val="22"/>
          <w:szCs w:val="22"/>
        </w:rPr>
        <w:t xml:space="preserve"> issues including the strategic risk environment, the advice of the Australian Government Actuary (AGA), the views of relevant sector regulators and industry peak bodies, and the quantum of funds required for the long-term sustainability of the Overseas Students Tuition Fund (the Fund). </w:t>
      </w:r>
    </w:p>
    <w:p w14:paraId="0AD36469" w14:textId="17B121CC" w:rsidR="000B5A70" w:rsidRDefault="000B5A70" w:rsidP="000B5A70">
      <w:pPr>
        <w:rPr>
          <w:rFonts w:cstheme="minorHAnsi"/>
          <w:sz w:val="22"/>
          <w:szCs w:val="22"/>
        </w:rPr>
      </w:pPr>
      <w:r w:rsidRPr="008403BD">
        <w:rPr>
          <w:rFonts w:cstheme="minorHAnsi"/>
          <w:sz w:val="22"/>
          <w:szCs w:val="22"/>
        </w:rPr>
        <w:t xml:space="preserve">The Board acknowledges the extensive consultation undertaken by the TPS Director with international education providers, regulators and peak </w:t>
      </w:r>
      <w:r w:rsidRPr="002E3A35">
        <w:rPr>
          <w:rFonts w:cstheme="minorHAnsi"/>
          <w:sz w:val="22"/>
          <w:szCs w:val="22"/>
        </w:rPr>
        <w:t xml:space="preserve">bodies. </w:t>
      </w:r>
      <w:r w:rsidR="00776C5B" w:rsidRPr="002E3A35">
        <w:rPr>
          <w:rFonts w:cstheme="minorHAnsi"/>
          <w:sz w:val="22"/>
          <w:szCs w:val="22"/>
        </w:rPr>
        <w:t xml:space="preserve">The information shared with the Board from the consultation has </w:t>
      </w:r>
      <w:r w:rsidR="00643436" w:rsidRPr="002E3A35">
        <w:rPr>
          <w:rFonts w:cstheme="minorHAnsi"/>
          <w:sz w:val="22"/>
          <w:szCs w:val="22"/>
        </w:rPr>
        <w:t xml:space="preserve">provided valuable context in making determinations regarding the 2025 International TPS Levy </w:t>
      </w:r>
      <w:r w:rsidR="004A3EFF" w:rsidRPr="002E3A35">
        <w:rPr>
          <w:rFonts w:cstheme="minorHAnsi"/>
          <w:sz w:val="22"/>
          <w:szCs w:val="22"/>
        </w:rPr>
        <w:t xml:space="preserve">settings. </w:t>
      </w:r>
    </w:p>
    <w:p w14:paraId="7F12F7DA" w14:textId="17537944" w:rsidR="006E0DE2" w:rsidRPr="002E3A35" w:rsidRDefault="00CB3B36" w:rsidP="000B5A70">
      <w:pPr>
        <w:rPr>
          <w:rFonts w:cstheme="minorHAnsi"/>
          <w:sz w:val="22"/>
          <w:szCs w:val="22"/>
        </w:rPr>
      </w:pPr>
      <w:r>
        <w:rPr>
          <w:rFonts w:cstheme="minorHAnsi"/>
          <w:sz w:val="22"/>
          <w:szCs w:val="22"/>
        </w:rPr>
        <w:t xml:space="preserve">Understanding that further policy developments </w:t>
      </w:r>
      <w:r w:rsidR="00D61A25">
        <w:rPr>
          <w:rFonts w:cstheme="minorHAnsi"/>
          <w:sz w:val="22"/>
          <w:szCs w:val="22"/>
        </w:rPr>
        <w:t xml:space="preserve">in international education </w:t>
      </w:r>
      <w:r>
        <w:rPr>
          <w:rFonts w:cstheme="minorHAnsi"/>
          <w:sz w:val="22"/>
          <w:szCs w:val="22"/>
        </w:rPr>
        <w:t>are expected in 2025</w:t>
      </w:r>
      <w:r w:rsidR="00D61A25">
        <w:rPr>
          <w:rFonts w:cstheme="minorHAnsi"/>
          <w:sz w:val="22"/>
          <w:szCs w:val="22"/>
        </w:rPr>
        <w:t>, the Board anticipates that the TPS will continue to monitor</w:t>
      </w:r>
      <w:r w:rsidR="000257B1">
        <w:rPr>
          <w:rFonts w:cstheme="minorHAnsi"/>
          <w:sz w:val="22"/>
          <w:szCs w:val="22"/>
        </w:rPr>
        <w:t xml:space="preserve"> these and work in close consultation with relevant government agencies as it has to date. </w:t>
      </w:r>
    </w:p>
    <w:p w14:paraId="0F9328B3" w14:textId="136BCB81" w:rsidR="0050492B" w:rsidRPr="002E3A35" w:rsidRDefault="0050492B" w:rsidP="003725F1">
      <w:pPr>
        <w:spacing w:after="0"/>
        <w:rPr>
          <w:rFonts w:cstheme="minorHAnsi"/>
          <w:sz w:val="22"/>
          <w:szCs w:val="22"/>
        </w:rPr>
      </w:pPr>
      <w:r w:rsidRPr="002E3A35">
        <w:rPr>
          <w:rFonts w:cstheme="minorHAnsi"/>
          <w:sz w:val="22"/>
          <w:szCs w:val="22"/>
        </w:rPr>
        <w:t xml:space="preserve">The Board has been assisted in its deliberations by the following guiding principles: </w:t>
      </w:r>
    </w:p>
    <w:p w14:paraId="0C0DCC93" w14:textId="01359132"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 xml:space="preserve">Advice provided to the TPS Director should reflect the overall risk environment and ensure that revenue matches what is needed to sustain the </w:t>
      </w:r>
      <w:r w:rsidR="00CB0BC9" w:rsidRPr="002E3A35">
        <w:rPr>
          <w:rFonts w:cstheme="minorHAnsi"/>
          <w:sz w:val="22"/>
          <w:szCs w:val="22"/>
        </w:rPr>
        <w:t>F</w:t>
      </w:r>
      <w:r w:rsidRPr="002E3A35">
        <w:rPr>
          <w:rFonts w:cstheme="minorHAnsi"/>
          <w:sz w:val="22"/>
          <w:szCs w:val="22"/>
        </w:rPr>
        <w:t>und, while also being sustainable for the industry.</w:t>
      </w:r>
    </w:p>
    <w:p w14:paraId="086DE2B8" w14:textId="130421DD"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The model for each levy should, as far as possible, reflect gradual change and assist the industry with business planning by providing a stable regulatory environment.</w:t>
      </w:r>
    </w:p>
    <w:p w14:paraId="7A9F72F9" w14:textId="79E24488"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The model should be as simple and transparent as possible, preferably based on a small number of risk factors.</w:t>
      </w:r>
    </w:p>
    <w:p w14:paraId="520ABB42" w14:textId="71265FFD"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Risk premiums imposed should provide incentives for providers to adopt positive behaviours.</w:t>
      </w:r>
    </w:p>
    <w:p w14:paraId="00BEB61C" w14:textId="51779FC9"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Additional imposts on industry, such as data collection, should be minimised as far as possible, consistent with the ability to set sound risk-based levies.</w:t>
      </w:r>
    </w:p>
    <w:p w14:paraId="58915827" w14:textId="59081ABF" w:rsidR="00B20FBD" w:rsidRPr="002E3A35" w:rsidRDefault="0050492B" w:rsidP="003725F1">
      <w:pPr>
        <w:rPr>
          <w:rFonts w:cstheme="minorHAnsi"/>
          <w:sz w:val="22"/>
          <w:szCs w:val="22"/>
        </w:rPr>
      </w:pPr>
      <w:r w:rsidRPr="002E3A35">
        <w:rPr>
          <w:rFonts w:cstheme="minorHAnsi"/>
          <w:sz w:val="22"/>
          <w:szCs w:val="22"/>
        </w:rPr>
        <w:lastRenderedPageBreak/>
        <w:t>The AGA’s</w:t>
      </w:r>
      <w:r w:rsidR="009531BE" w:rsidRPr="002E3A35">
        <w:rPr>
          <w:rFonts w:cstheme="minorHAnsi"/>
          <w:sz w:val="22"/>
          <w:szCs w:val="22"/>
        </w:rPr>
        <w:t xml:space="preserve"> </w:t>
      </w:r>
      <w:r w:rsidR="00AB08E7" w:rsidRPr="002E3A35">
        <w:rPr>
          <w:rFonts w:cstheme="minorHAnsi"/>
          <w:sz w:val="22"/>
          <w:szCs w:val="22"/>
        </w:rPr>
        <w:t>15 July 2024</w:t>
      </w:r>
      <w:r w:rsidRPr="002E3A35">
        <w:rPr>
          <w:rFonts w:cstheme="minorHAnsi"/>
          <w:sz w:val="22"/>
          <w:szCs w:val="22"/>
        </w:rPr>
        <w:t xml:space="preserve"> </w:t>
      </w:r>
      <w:r w:rsidR="003725F1" w:rsidRPr="002E3A35">
        <w:rPr>
          <w:rFonts w:cstheme="minorHAnsi"/>
          <w:sz w:val="22"/>
          <w:szCs w:val="22"/>
        </w:rPr>
        <w:t>r</w:t>
      </w:r>
      <w:r w:rsidRPr="002E3A35">
        <w:rPr>
          <w:rFonts w:cstheme="minorHAnsi"/>
          <w:sz w:val="22"/>
          <w:szCs w:val="22"/>
        </w:rPr>
        <w:t>eport</w:t>
      </w:r>
      <w:r w:rsidR="00CB0BC9" w:rsidRPr="002E3A35">
        <w:rPr>
          <w:rFonts w:cstheme="minorHAnsi"/>
          <w:sz w:val="22"/>
          <w:szCs w:val="22"/>
        </w:rPr>
        <w:t xml:space="preserve"> to the Board on the health of the Fund, and actuarial modelling </w:t>
      </w:r>
      <w:r w:rsidR="003725F1" w:rsidRPr="002E3A35">
        <w:rPr>
          <w:rFonts w:cstheme="minorHAnsi"/>
          <w:sz w:val="22"/>
          <w:szCs w:val="22"/>
        </w:rPr>
        <w:t xml:space="preserve">of </w:t>
      </w:r>
      <w:r w:rsidR="00CB0BC9" w:rsidRPr="002E3A35">
        <w:rPr>
          <w:rFonts w:cstheme="minorHAnsi"/>
          <w:sz w:val="22"/>
          <w:szCs w:val="22"/>
        </w:rPr>
        <w:t>risk factors and values,</w:t>
      </w:r>
      <w:r w:rsidRPr="002E3A35">
        <w:rPr>
          <w:rFonts w:cstheme="minorHAnsi"/>
          <w:sz w:val="22"/>
          <w:szCs w:val="22"/>
        </w:rPr>
        <w:t xml:space="preserve"> is a key document on which the Board relies in </w:t>
      </w:r>
      <w:r w:rsidR="00220523" w:rsidRPr="002E3A35">
        <w:rPr>
          <w:rFonts w:cstheme="minorHAnsi"/>
          <w:sz w:val="22"/>
          <w:szCs w:val="22"/>
        </w:rPr>
        <w:t>considering</w:t>
      </w:r>
      <w:r w:rsidRPr="002E3A35">
        <w:rPr>
          <w:rFonts w:cstheme="minorHAnsi"/>
          <w:sz w:val="22"/>
          <w:szCs w:val="22"/>
        </w:rPr>
        <w:t xml:space="preserve"> its advice</w:t>
      </w:r>
      <w:r w:rsidR="00B20FBD" w:rsidRPr="002E3A35">
        <w:rPr>
          <w:rFonts w:cstheme="minorHAnsi"/>
          <w:sz w:val="22"/>
          <w:szCs w:val="22"/>
        </w:rPr>
        <w:t xml:space="preserve"> to the </w:t>
      </w:r>
      <w:r w:rsidR="00A74E61" w:rsidRPr="002E3A35">
        <w:rPr>
          <w:rFonts w:cstheme="minorHAnsi"/>
          <w:sz w:val="22"/>
          <w:szCs w:val="22"/>
        </w:rPr>
        <w:t xml:space="preserve">TPS </w:t>
      </w:r>
      <w:r w:rsidR="00B20FBD" w:rsidRPr="002E3A35">
        <w:rPr>
          <w:rFonts w:cstheme="minorHAnsi"/>
          <w:sz w:val="22"/>
          <w:szCs w:val="22"/>
        </w:rPr>
        <w:t>Director</w:t>
      </w:r>
      <w:r w:rsidRPr="002E3A35">
        <w:rPr>
          <w:rFonts w:cstheme="minorHAnsi"/>
          <w:sz w:val="22"/>
          <w:szCs w:val="22"/>
        </w:rPr>
        <w:t xml:space="preserve">.  </w:t>
      </w:r>
    </w:p>
    <w:p w14:paraId="3231BFE0" w14:textId="411AB6EB" w:rsidR="00B20FBD" w:rsidRPr="002E3A35" w:rsidRDefault="00B20FBD" w:rsidP="00127281">
      <w:pPr>
        <w:spacing w:before="0" w:after="120"/>
        <w:rPr>
          <w:rFonts w:cstheme="minorHAnsi"/>
          <w:b/>
          <w:bCs/>
          <w:sz w:val="22"/>
          <w:szCs w:val="22"/>
        </w:rPr>
      </w:pPr>
      <w:r w:rsidRPr="002E3A35">
        <w:rPr>
          <w:rFonts w:cstheme="minorHAnsi"/>
          <w:b/>
          <w:bCs/>
          <w:sz w:val="22"/>
          <w:szCs w:val="22"/>
        </w:rPr>
        <w:t>The Fund</w:t>
      </w:r>
    </w:p>
    <w:p w14:paraId="2A7BB4C0" w14:textId="4682C51C" w:rsidR="00391469" w:rsidRPr="002E3A35" w:rsidRDefault="0050492B" w:rsidP="00B20FBD">
      <w:pPr>
        <w:spacing w:before="0"/>
        <w:rPr>
          <w:rFonts w:cstheme="minorHAnsi"/>
          <w:sz w:val="22"/>
          <w:szCs w:val="22"/>
        </w:rPr>
      </w:pPr>
      <w:r w:rsidRPr="002E3A35">
        <w:rPr>
          <w:rFonts w:cstheme="minorHAnsi"/>
          <w:sz w:val="22"/>
          <w:szCs w:val="22"/>
        </w:rPr>
        <w:t xml:space="preserve">The Board </w:t>
      </w:r>
      <w:r w:rsidR="00987CC9" w:rsidRPr="002E3A35">
        <w:rPr>
          <w:rFonts w:cstheme="minorHAnsi"/>
          <w:sz w:val="22"/>
          <w:szCs w:val="22"/>
        </w:rPr>
        <w:t>agrees</w:t>
      </w:r>
      <w:r w:rsidR="00D94802" w:rsidRPr="002E3A35">
        <w:rPr>
          <w:rFonts w:cstheme="minorHAnsi"/>
          <w:sz w:val="22"/>
          <w:szCs w:val="22"/>
        </w:rPr>
        <w:t xml:space="preserve"> with </w:t>
      </w:r>
      <w:r w:rsidRPr="002E3A35">
        <w:rPr>
          <w:rFonts w:cstheme="minorHAnsi"/>
          <w:sz w:val="22"/>
          <w:szCs w:val="22"/>
        </w:rPr>
        <w:t xml:space="preserve">the AGA’s recommendation for the target </w:t>
      </w:r>
      <w:r w:rsidR="006A505C" w:rsidRPr="002E3A35">
        <w:rPr>
          <w:rFonts w:cstheme="minorHAnsi"/>
          <w:sz w:val="22"/>
          <w:szCs w:val="22"/>
        </w:rPr>
        <w:t xml:space="preserve">size </w:t>
      </w:r>
      <w:r w:rsidRPr="002E3A35">
        <w:rPr>
          <w:rFonts w:cstheme="minorHAnsi"/>
          <w:sz w:val="22"/>
          <w:szCs w:val="22"/>
        </w:rPr>
        <w:t xml:space="preserve">of the </w:t>
      </w:r>
      <w:r w:rsidR="00D94802" w:rsidRPr="002E3A35">
        <w:rPr>
          <w:rFonts w:cstheme="minorHAnsi"/>
          <w:sz w:val="22"/>
          <w:szCs w:val="22"/>
        </w:rPr>
        <w:t>Fund</w:t>
      </w:r>
      <w:r w:rsidRPr="002E3A35">
        <w:rPr>
          <w:rFonts w:cstheme="minorHAnsi"/>
          <w:sz w:val="22"/>
          <w:szCs w:val="22"/>
        </w:rPr>
        <w:t xml:space="preserve"> to </w:t>
      </w:r>
      <w:r w:rsidR="0074086E" w:rsidRPr="002E3A35">
        <w:rPr>
          <w:rFonts w:cstheme="minorHAnsi"/>
          <w:sz w:val="22"/>
          <w:szCs w:val="22"/>
        </w:rPr>
        <w:t>increase</w:t>
      </w:r>
      <w:r w:rsidR="001E40AE" w:rsidRPr="002E3A35">
        <w:rPr>
          <w:rFonts w:cstheme="minorHAnsi"/>
          <w:sz w:val="22"/>
          <w:szCs w:val="22"/>
        </w:rPr>
        <w:t xml:space="preserve"> to</w:t>
      </w:r>
      <w:r w:rsidR="00B20FBD" w:rsidRPr="002E3A35">
        <w:rPr>
          <w:rFonts w:cstheme="minorHAnsi"/>
          <w:sz w:val="22"/>
          <w:szCs w:val="22"/>
        </w:rPr>
        <w:t xml:space="preserve"> the </w:t>
      </w:r>
      <w:r w:rsidR="0037615C" w:rsidRPr="002E3A35">
        <w:rPr>
          <w:rFonts w:cstheme="minorHAnsi"/>
          <w:sz w:val="22"/>
          <w:szCs w:val="22"/>
        </w:rPr>
        <w:t xml:space="preserve">range of </w:t>
      </w:r>
      <w:r w:rsidRPr="002E3A35">
        <w:rPr>
          <w:rFonts w:cstheme="minorHAnsi"/>
          <w:sz w:val="22"/>
          <w:szCs w:val="22"/>
        </w:rPr>
        <w:t>$</w:t>
      </w:r>
      <w:r w:rsidR="001E40AE" w:rsidRPr="002E3A35">
        <w:rPr>
          <w:rFonts w:cstheme="minorHAnsi"/>
          <w:sz w:val="22"/>
          <w:szCs w:val="22"/>
        </w:rPr>
        <w:t>40</w:t>
      </w:r>
      <w:r w:rsidRPr="002E3A35">
        <w:rPr>
          <w:rFonts w:cstheme="minorHAnsi"/>
          <w:sz w:val="22"/>
          <w:szCs w:val="22"/>
        </w:rPr>
        <w:t xml:space="preserve"> to $60 million</w:t>
      </w:r>
      <w:r w:rsidR="00A74E61" w:rsidRPr="002E3A35">
        <w:rPr>
          <w:rFonts w:cstheme="minorHAnsi"/>
          <w:sz w:val="22"/>
          <w:szCs w:val="22"/>
        </w:rPr>
        <w:t xml:space="preserve">, up from the </w:t>
      </w:r>
      <w:r w:rsidR="00A74E61" w:rsidRPr="00C43954">
        <w:rPr>
          <w:rFonts w:cstheme="minorHAnsi"/>
          <w:sz w:val="22"/>
          <w:szCs w:val="22"/>
        </w:rPr>
        <w:t>previous range of $35 to $60 million</w:t>
      </w:r>
      <w:r w:rsidRPr="00C43954">
        <w:rPr>
          <w:rFonts w:cstheme="minorHAnsi"/>
          <w:sz w:val="22"/>
          <w:szCs w:val="22"/>
        </w:rPr>
        <w:t>.</w:t>
      </w:r>
      <w:r w:rsidR="0037615C" w:rsidRPr="00C43954">
        <w:rPr>
          <w:rFonts w:cstheme="minorHAnsi"/>
          <w:sz w:val="22"/>
          <w:szCs w:val="22"/>
        </w:rPr>
        <w:t xml:space="preserve"> The Fund balance </w:t>
      </w:r>
      <w:bookmarkStart w:id="0" w:name="_Int_8g5Y4lt7"/>
      <w:proofErr w:type="gramStart"/>
      <w:r w:rsidR="0037615C" w:rsidRPr="00C43954">
        <w:rPr>
          <w:rFonts w:cstheme="minorHAnsi"/>
          <w:sz w:val="22"/>
          <w:szCs w:val="22"/>
        </w:rPr>
        <w:t>at</w:t>
      </w:r>
      <w:bookmarkEnd w:id="0"/>
      <w:proofErr w:type="gramEnd"/>
      <w:r w:rsidR="0037615C" w:rsidRPr="00C43954">
        <w:rPr>
          <w:rFonts w:cstheme="minorHAnsi"/>
          <w:sz w:val="22"/>
          <w:szCs w:val="22"/>
        </w:rPr>
        <w:t xml:space="preserve"> </w:t>
      </w:r>
      <w:r w:rsidR="00B5663D" w:rsidRPr="00C43954">
        <w:rPr>
          <w:rFonts w:cstheme="minorHAnsi"/>
          <w:sz w:val="22"/>
          <w:szCs w:val="22"/>
        </w:rPr>
        <w:t>31</w:t>
      </w:r>
      <w:r w:rsidR="002063AA">
        <w:rPr>
          <w:rFonts w:cstheme="minorHAnsi"/>
          <w:sz w:val="22"/>
          <w:szCs w:val="22"/>
        </w:rPr>
        <w:t> </w:t>
      </w:r>
      <w:r w:rsidR="00B5663D" w:rsidRPr="00C43954">
        <w:rPr>
          <w:rFonts w:cstheme="minorHAnsi"/>
          <w:sz w:val="22"/>
          <w:szCs w:val="22"/>
        </w:rPr>
        <w:t>Aug</w:t>
      </w:r>
      <w:r w:rsidR="00976D27">
        <w:rPr>
          <w:rFonts w:cstheme="minorHAnsi"/>
          <w:sz w:val="22"/>
          <w:szCs w:val="22"/>
        </w:rPr>
        <w:t>u</w:t>
      </w:r>
      <w:r w:rsidR="00B5663D" w:rsidRPr="00C43954">
        <w:rPr>
          <w:rFonts w:cstheme="minorHAnsi"/>
          <w:sz w:val="22"/>
          <w:szCs w:val="22"/>
        </w:rPr>
        <w:t xml:space="preserve">st </w:t>
      </w:r>
      <w:r w:rsidR="0037615C" w:rsidRPr="00C43954">
        <w:rPr>
          <w:rFonts w:cstheme="minorHAnsi"/>
          <w:sz w:val="22"/>
          <w:szCs w:val="22"/>
        </w:rPr>
        <w:t>202</w:t>
      </w:r>
      <w:r w:rsidR="00267D1A" w:rsidRPr="00C43954">
        <w:rPr>
          <w:rFonts w:cstheme="minorHAnsi"/>
          <w:sz w:val="22"/>
          <w:szCs w:val="22"/>
        </w:rPr>
        <w:t>4</w:t>
      </w:r>
      <w:r w:rsidR="0037615C" w:rsidRPr="00C43954">
        <w:rPr>
          <w:rFonts w:cstheme="minorHAnsi"/>
          <w:sz w:val="22"/>
          <w:szCs w:val="22"/>
        </w:rPr>
        <w:t xml:space="preserve"> was $4</w:t>
      </w:r>
      <w:r w:rsidR="00267D1A" w:rsidRPr="00C43954">
        <w:rPr>
          <w:rFonts w:cstheme="minorHAnsi"/>
          <w:sz w:val="22"/>
          <w:szCs w:val="22"/>
        </w:rPr>
        <w:t>7</w:t>
      </w:r>
      <w:r w:rsidR="0037615C" w:rsidRPr="00C43954">
        <w:rPr>
          <w:rFonts w:cstheme="minorHAnsi"/>
          <w:sz w:val="22"/>
          <w:szCs w:val="22"/>
        </w:rPr>
        <w:t>.8</w:t>
      </w:r>
      <w:r w:rsidR="009D7800" w:rsidRPr="00C43954">
        <w:rPr>
          <w:rFonts w:cstheme="minorHAnsi"/>
          <w:sz w:val="22"/>
          <w:szCs w:val="22"/>
        </w:rPr>
        <w:t> </w:t>
      </w:r>
      <w:r w:rsidR="0037615C" w:rsidRPr="00C43954">
        <w:rPr>
          <w:rFonts w:cstheme="minorHAnsi"/>
          <w:sz w:val="22"/>
          <w:szCs w:val="22"/>
        </w:rPr>
        <w:t>million.</w:t>
      </w:r>
    </w:p>
    <w:p w14:paraId="3E51E970" w14:textId="6B6E1D9B" w:rsidR="0050492B" w:rsidRPr="00CB5EE2" w:rsidRDefault="0050492B" w:rsidP="00127281">
      <w:pPr>
        <w:spacing w:after="120"/>
        <w:rPr>
          <w:rFonts w:cstheme="minorHAnsi"/>
          <w:b/>
          <w:bCs/>
          <w:sz w:val="22"/>
          <w:szCs w:val="22"/>
        </w:rPr>
      </w:pPr>
      <w:r w:rsidRPr="002E3A35">
        <w:rPr>
          <w:rFonts w:cstheme="minorHAnsi"/>
          <w:b/>
          <w:bCs/>
          <w:sz w:val="22"/>
          <w:szCs w:val="22"/>
        </w:rPr>
        <w:t>Risk</w:t>
      </w:r>
      <w:r w:rsidR="00A645C1">
        <w:rPr>
          <w:rFonts w:cstheme="minorHAnsi"/>
          <w:b/>
          <w:bCs/>
          <w:sz w:val="22"/>
          <w:szCs w:val="22"/>
        </w:rPr>
        <w:t xml:space="preserve"> </w:t>
      </w:r>
      <w:r w:rsidR="00CE1CE0">
        <w:rPr>
          <w:rFonts w:cstheme="minorHAnsi"/>
          <w:b/>
          <w:bCs/>
          <w:sz w:val="22"/>
          <w:szCs w:val="22"/>
        </w:rPr>
        <w:t>r</w:t>
      </w:r>
      <w:r w:rsidR="00CE1CE0" w:rsidRPr="00CB5EE2">
        <w:rPr>
          <w:rFonts w:cstheme="minorHAnsi"/>
          <w:b/>
          <w:bCs/>
          <w:sz w:val="22"/>
          <w:szCs w:val="22"/>
        </w:rPr>
        <w:t xml:space="preserve">ated </w:t>
      </w:r>
      <w:r w:rsidR="00CE1CE0">
        <w:rPr>
          <w:rFonts w:cstheme="minorHAnsi"/>
          <w:b/>
          <w:bCs/>
          <w:sz w:val="22"/>
          <w:szCs w:val="22"/>
        </w:rPr>
        <w:t>p</w:t>
      </w:r>
      <w:r w:rsidR="00CE1CE0" w:rsidRPr="00CB5EE2">
        <w:rPr>
          <w:rFonts w:cstheme="minorHAnsi"/>
          <w:b/>
          <w:bCs/>
          <w:sz w:val="22"/>
          <w:szCs w:val="22"/>
        </w:rPr>
        <w:t xml:space="preserve">remium </w:t>
      </w:r>
      <w:r w:rsidR="00FD0900" w:rsidRPr="00CB5EE2">
        <w:rPr>
          <w:rFonts w:cstheme="minorHAnsi"/>
          <w:b/>
          <w:bCs/>
          <w:sz w:val="22"/>
          <w:szCs w:val="22"/>
        </w:rPr>
        <w:t>c</w:t>
      </w:r>
      <w:r w:rsidRPr="00CB5EE2">
        <w:rPr>
          <w:rFonts w:cstheme="minorHAnsi"/>
          <w:b/>
          <w:bCs/>
          <w:sz w:val="22"/>
          <w:szCs w:val="22"/>
        </w:rPr>
        <w:t xml:space="preserve">omponent </w:t>
      </w:r>
    </w:p>
    <w:p w14:paraId="180E3569" w14:textId="22A024B7" w:rsidR="00FD0900" w:rsidRPr="00CB5EE2" w:rsidRDefault="0050492B" w:rsidP="003725F1">
      <w:pPr>
        <w:spacing w:before="0" w:after="0"/>
        <w:rPr>
          <w:rFonts w:cstheme="minorHAnsi"/>
          <w:sz w:val="22"/>
          <w:szCs w:val="22"/>
        </w:rPr>
      </w:pPr>
      <w:r w:rsidRPr="00CB5EE2">
        <w:rPr>
          <w:rFonts w:cstheme="minorHAnsi"/>
          <w:sz w:val="22"/>
          <w:szCs w:val="22"/>
        </w:rPr>
        <w:t>The Board agrees with the AGA’s recommendation</w:t>
      </w:r>
      <w:r w:rsidR="003725F1" w:rsidRPr="00CB5EE2">
        <w:rPr>
          <w:rFonts w:cstheme="minorHAnsi"/>
          <w:sz w:val="22"/>
          <w:szCs w:val="22"/>
        </w:rPr>
        <w:t xml:space="preserve"> that the following risk factors </w:t>
      </w:r>
      <w:r w:rsidR="00B20FBD" w:rsidRPr="00CB5EE2">
        <w:rPr>
          <w:rFonts w:cstheme="minorHAnsi"/>
          <w:sz w:val="22"/>
          <w:szCs w:val="22"/>
        </w:rPr>
        <w:t xml:space="preserve">should </w:t>
      </w:r>
      <w:r w:rsidR="003725F1" w:rsidRPr="00CB5EE2">
        <w:rPr>
          <w:rFonts w:cstheme="minorHAnsi"/>
          <w:sz w:val="22"/>
          <w:szCs w:val="22"/>
        </w:rPr>
        <w:t>remain unchanged from their 202</w:t>
      </w:r>
      <w:r w:rsidR="00AC11F4" w:rsidRPr="00CB5EE2">
        <w:rPr>
          <w:rFonts w:cstheme="minorHAnsi"/>
          <w:sz w:val="22"/>
          <w:szCs w:val="22"/>
        </w:rPr>
        <w:t>4</w:t>
      </w:r>
      <w:r w:rsidR="003725F1" w:rsidRPr="00CB5EE2">
        <w:rPr>
          <w:rFonts w:cstheme="minorHAnsi"/>
          <w:sz w:val="22"/>
          <w:szCs w:val="22"/>
        </w:rPr>
        <w:t xml:space="preserve"> settings in 202</w:t>
      </w:r>
      <w:r w:rsidR="00AC11F4" w:rsidRPr="00CB5EE2">
        <w:rPr>
          <w:rFonts w:cstheme="minorHAnsi"/>
          <w:sz w:val="22"/>
          <w:szCs w:val="22"/>
        </w:rPr>
        <w:t>5</w:t>
      </w:r>
      <w:r w:rsidR="003725F1" w:rsidRPr="00CB5EE2">
        <w:rPr>
          <w:rFonts w:cstheme="minorHAnsi"/>
          <w:sz w:val="22"/>
          <w:szCs w:val="22"/>
        </w:rPr>
        <w:t>:</w:t>
      </w:r>
    </w:p>
    <w:p w14:paraId="5EF2171C" w14:textId="6F24AC0D" w:rsidR="00953A24" w:rsidRDefault="00953A24" w:rsidP="00953A24">
      <w:pPr>
        <w:pStyle w:val="ListParagraph"/>
        <w:numPr>
          <w:ilvl w:val="0"/>
          <w:numId w:val="4"/>
        </w:numPr>
        <w:spacing w:before="0"/>
        <w:ind w:left="993"/>
        <w:rPr>
          <w:rFonts w:cstheme="minorHAnsi"/>
          <w:sz w:val="22"/>
          <w:szCs w:val="22"/>
        </w:rPr>
      </w:pPr>
      <w:r>
        <w:rPr>
          <w:rFonts w:cstheme="minorHAnsi"/>
          <w:sz w:val="22"/>
          <w:szCs w:val="22"/>
        </w:rPr>
        <w:t>Base risk factor</w:t>
      </w:r>
    </w:p>
    <w:p w14:paraId="1835F70D" w14:textId="0390B183" w:rsidR="0015047C" w:rsidRPr="00A1604C" w:rsidRDefault="00953A24" w:rsidP="00A1604C">
      <w:pPr>
        <w:pStyle w:val="ListParagraph"/>
        <w:numPr>
          <w:ilvl w:val="0"/>
          <w:numId w:val="4"/>
        </w:numPr>
        <w:spacing w:before="0"/>
        <w:ind w:left="993"/>
        <w:rPr>
          <w:rFonts w:cstheme="minorHAnsi"/>
          <w:sz w:val="22"/>
          <w:szCs w:val="22"/>
        </w:rPr>
      </w:pPr>
      <w:r>
        <w:rPr>
          <w:rFonts w:cstheme="minorHAnsi"/>
          <w:sz w:val="22"/>
          <w:szCs w:val="22"/>
        </w:rPr>
        <w:t>L</w:t>
      </w:r>
      <w:r w:rsidR="003725F1" w:rsidRPr="00A1604C">
        <w:rPr>
          <w:rFonts w:cstheme="minorHAnsi"/>
          <w:sz w:val="22"/>
          <w:szCs w:val="22"/>
        </w:rPr>
        <w:t xml:space="preserve">ength of operation </w:t>
      </w:r>
    </w:p>
    <w:p w14:paraId="1084EF0E" w14:textId="50D90970" w:rsidR="0015047C" w:rsidRPr="00A1604C" w:rsidRDefault="00953A24" w:rsidP="00A1604C">
      <w:pPr>
        <w:pStyle w:val="ListParagraph"/>
        <w:numPr>
          <w:ilvl w:val="0"/>
          <w:numId w:val="4"/>
        </w:numPr>
        <w:spacing w:before="0"/>
        <w:ind w:left="993"/>
        <w:rPr>
          <w:rFonts w:cstheme="minorHAnsi"/>
          <w:sz w:val="22"/>
          <w:szCs w:val="22"/>
        </w:rPr>
      </w:pPr>
      <w:r>
        <w:rPr>
          <w:rFonts w:cstheme="minorHAnsi"/>
          <w:sz w:val="22"/>
          <w:szCs w:val="22"/>
        </w:rPr>
        <w:t>Maximum overseas source country concentration</w:t>
      </w:r>
    </w:p>
    <w:p w14:paraId="68839D14" w14:textId="77B2C819" w:rsidR="003725F1" w:rsidRPr="00A1604C" w:rsidRDefault="003725F1" w:rsidP="00A1604C">
      <w:pPr>
        <w:pStyle w:val="ListParagraph"/>
        <w:numPr>
          <w:ilvl w:val="0"/>
          <w:numId w:val="4"/>
        </w:numPr>
        <w:spacing w:before="0" w:after="120"/>
        <w:ind w:left="993"/>
        <w:rPr>
          <w:rFonts w:cstheme="minorHAnsi"/>
          <w:sz w:val="22"/>
          <w:szCs w:val="22"/>
        </w:rPr>
      </w:pPr>
      <w:r w:rsidRPr="00A1604C">
        <w:rPr>
          <w:rFonts w:cstheme="minorHAnsi"/>
          <w:sz w:val="22"/>
          <w:szCs w:val="22"/>
        </w:rPr>
        <w:t xml:space="preserve">Non-compliance and registration renewal </w:t>
      </w:r>
    </w:p>
    <w:p w14:paraId="53435ED6" w14:textId="5D6C872D" w:rsidR="00005C06" w:rsidRPr="00C1336C" w:rsidRDefault="001A0256" w:rsidP="00127281">
      <w:pPr>
        <w:rPr>
          <w:rFonts w:cstheme="minorHAnsi"/>
          <w:sz w:val="22"/>
          <w:szCs w:val="22"/>
        </w:rPr>
      </w:pPr>
      <w:r w:rsidRPr="00A1604C">
        <w:rPr>
          <w:rFonts w:cstheme="minorHAnsi"/>
          <w:sz w:val="22"/>
          <w:szCs w:val="22"/>
        </w:rPr>
        <w:t>The AGA has recommended that t</w:t>
      </w:r>
      <w:r w:rsidR="00E20D32" w:rsidRPr="00A1604C">
        <w:rPr>
          <w:rFonts w:cstheme="minorHAnsi"/>
          <w:sz w:val="22"/>
          <w:szCs w:val="22"/>
        </w:rPr>
        <w:t xml:space="preserve">he </w:t>
      </w:r>
      <w:r w:rsidR="00B71A47" w:rsidRPr="00A1604C">
        <w:rPr>
          <w:rFonts w:cstheme="minorHAnsi"/>
          <w:sz w:val="22"/>
          <w:szCs w:val="22"/>
        </w:rPr>
        <w:t>temporary COVID-19 setting that waive</w:t>
      </w:r>
      <w:r w:rsidR="72CFDB20" w:rsidRPr="00A1604C">
        <w:rPr>
          <w:rFonts w:cstheme="minorHAnsi"/>
          <w:sz w:val="22"/>
          <w:szCs w:val="22"/>
        </w:rPr>
        <w:t>d</w:t>
      </w:r>
      <w:r w:rsidR="00B71A47" w:rsidRPr="00A1604C">
        <w:rPr>
          <w:rFonts w:cstheme="minorHAnsi"/>
          <w:sz w:val="22"/>
          <w:szCs w:val="22"/>
        </w:rPr>
        <w:t xml:space="preserve"> </w:t>
      </w:r>
      <w:r w:rsidR="00E45218" w:rsidRPr="00A1604C">
        <w:rPr>
          <w:rFonts w:cstheme="minorHAnsi"/>
          <w:sz w:val="22"/>
          <w:szCs w:val="22"/>
        </w:rPr>
        <w:t xml:space="preserve">risk factor values for positive volatility (growth) in overseas student enrolments </w:t>
      </w:r>
      <w:r w:rsidR="00B71A47" w:rsidRPr="00A1604C">
        <w:rPr>
          <w:rFonts w:cstheme="minorHAnsi"/>
          <w:sz w:val="22"/>
          <w:szCs w:val="22"/>
        </w:rPr>
        <w:t xml:space="preserve">should cease and </w:t>
      </w:r>
      <w:r w:rsidR="00913831" w:rsidRPr="00A1604C">
        <w:rPr>
          <w:rFonts w:cstheme="minorHAnsi"/>
          <w:sz w:val="22"/>
          <w:szCs w:val="22"/>
        </w:rPr>
        <w:t xml:space="preserve">risk factor values for positive volatility be reinstated. </w:t>
      </w:r>
      <w:r w:rsidR="00761A33" w:rsidRPr="00A1604C">
        <w:rPr>
          <w:rFonts w:cstheme="minorHAnsi"/>
          <w:sz w:val="22"/>
          <w:szCs w:val="22"/>
        </w:rPr>
        <w:t>This follow</w:t>
      </w:r>
      <w:r w:rsidR="04489651" w:rsidRPr="00A1604C">
        <w:rPr>
          <w:rFonts w:cstheme="minorHAnsi"/>
          <w:sz w:val="22"/>
          <w:szCs w:val="22"/>
        </w:rPr>
        <w:t>s</w:t>
      </w:r>
      <w:r w:rsidR="00761A33" w:rsidRPr="00A1604C">
        <w:rPr>
          <w:rFonts w:cstheme="minorHAnsi"/>
          <w:sz w:val="22"/>
          <w:szCs w:val="22"/>
        </w:rPr>
        <w:t xml:space="preserve"> from the 2024 </w:t>
      </w:r>
      <w:r w:rsidR="007655B1">
        <w:rPr>
          <w:rFonts w:cstheme="minorHAnsi"/>
          <w:sz w:val="22"/>
          <w:szCs w:val="22"/>
        </w:rPr>
        <w:t xml:space="preserve">International TPS Levy </w:t>
      </w:r>
      <w:r w:rsidR="00761A33" w:rsidRPr="00C1336C">
        <w:rPr>
          <w:rFonts w:cstheme="minorHAnsi"/>
          <w:sz w:val="22"/>
          <w:szCs w:val="22"/>
        </w:rPr>
        <w:t xml:space="preserve">report, where the AGA noted that, as borders </w:t>
      </w:r>
      <w:r w:rsidR="00913831" w:rsidRPr="00C1336C">
        <w:rPr>
          <w:rFonts w:cstheme="minorHAnsi"/>
          <w:sz w:val="22"/>
          <w:szCs w:val="22"/>
        </w:rPr>
        <w:t>re-opened in 2022</w:t>
      </w:r>
      <w:r w:rsidR="21D95E62" w:rsidRPr="00C1336C">
        <w:rPr>
          <w:rFonts w:cstheme="minorHAnsi"/>
          <w:sz w:val="22"/>
          <w:szCs w:val="22"/>
        </w:rPr>
        <w:t xml:space="preserve"> </w:t>
      </w:r>
      <w:r w:rsidR="00761A33" w:rsidRPr="00C1336C">
        <w:rPr>
          <w:rFonts w:cstheme="minorHAnsi"/>
          <w:sz w:val="22"/>
          <w:szCs w:val="22"/>
        </w:rPr>
        <w:t xml:space="preserve">it is expected that the </w:t>
      </w:r>
      <w:r w:rsidR="00913831" w:rsidRPr="00C1336C">
        <w:rPr>
          <w:rFonts w:cstheme="minorHAnsi"/>
          <w:sz w:val="22"/>
          <w:szCs w:val="22"/>
        </w:rPr>
        <w:t xml:space="preserve">risk factor values for positive volatility will be </w:t>
      </w:r>
      <w:r w:rsidR="00085F64" w:rsidRPr="00C1336C">
        <w:rPr>
          <w:rFonts w:cstheme="minorHAnsi"/>
          <w:sz w:val="22"/>
          <w:szCs w:val="22"/>
        </w:rPr>
        <w:t xml:space="preserve">reinstated in 2025. The research undertaken by the AGA suggests that the positive volatility </w:t>
      </w:r>
      <w:r w:rsidR="00005C06" w:rsidRPr="00C1336C">
        <w:rPr>
          <w:rFonts w:cstheme="minorHAnsi"/>
          <w:sz w:val="22"/>
          <w:szCs w:val="22"/>
        </w:rPr>
        <w:t xml:space="preserve">risk factor values </w:t>
      </w:r>
      <w:r w:rsidR="00085F64" w:rsidRPr="00C1336C">
        <w:rPr>
          <w:rFonts w:cstheme="minorHAnsi"/>
          <w:sz w:val="22"/>
          <w:szCs w:val="22"/>
        </w:rPr>
        <w:t>applied prior to the pandemic are suitable levels to be reinstated</w:t>
      </w:r>
      <w:r w:rsidR="00F67B28" w:rsidRPr="00C1336C">
        <w:rPr>
          <w:rFonts w:cstheme="minorHAnsi"/>
          <w:sz w:val="22"/>
          <w:szCs w:val="22"/>
        </w:rPr>
        <w:t xml:space="preserve">. </w:t>
      </w:r>
    </w:p>
    <w:p w14:paraId="4C1B79F8" w14:textId="278AC3DB" w:rsidR="00F65206" w:rsidRDefault="00F26519" w:rsidP="00127281">
      <w:pPr>
        <w:rPr>
          <w:rFonts w:cstheme="minorHAnsi"/>
          <w:sz w:val="22"/>
          <w:szCs w:val="22"/>
        </w:rPr>
      </w:pPr>
      <w:r w:rsidRPr="00C1336C">
        <w:rPr>
          <w:rFonts w:cstheme="minorHAnsi"/>
          <w:sz w:val="22"/>
          <w:szCs w:val="22"/>
        </w:rPr>
        <w:t>The Board supports the AGA</w:t>
      </w:r>
      <w:r w:rsidR="00005C06" w:rsidRPr="00C1336C">
        <w:rPr>
          <w:rFonts w:cstheme="minorHAnsi"/>
          <w:sz w:val="22"/>
          <w:szCs w:val="22"/>
        </w:rPr>
        <w:t>’s</w:t>
      </w:r>
      <w:r w:rsidRPr="00C1336C">
        <w:rPr>
          <w:rFonts w:cstheme="minorHAnsi"/>
          <w:sz w:val="22"/>
          <w:szCs w:val="22"/>
        </w:rPr>
        <w:t xml:space="preserve"> recommendation to reinstate </w:t>
      </w:r>
      <w:r w:rsidR="009B7E1F" w:rsidRPr="00C1336C">
        <w:rPr>
          <w:rFonts w:cstheme="minorHAnsi"/>
          <w:sz w:val="22"/>
          <w:szCs w:val="22"/>
        </w:rPr>
        <w:t xml:space="preserve">the positive volatility </w:t>
      </w:r>
      <w:r w:rsidR="00005C06" w:rsidRPr="00C1336C">
        <w:rPr>
          <w:rFonts w:cstheme="minorHAnsi"/>
          <w:sz w:val="22"/>
          <w:szCs w:val="22"/>
        </w:rPr>
        <w:t xml:space="preserve">risk factor values </w:t>
      </w:r>
      <w:r w:rsidR="009B7E1F" w:rsidRPr="00C1336C">
        <w:rPr>
          <w:rFonts w:cstheme="minorHAnsi"/>
          <w:sz w:val="22"/>
          <w:szCs w:val="22"/>
        </w:rPr>
        <w:t xml:space="preserve">to pre-pandemic levels. </w:t>
      </w:r>
    </w:p>
    <w:p w14:paraId="2A552A1F" w14:textId="14904619" w:rsidR="00C117FD" w:rsidRPr="00C1336C" w:rsidRDefault="00C117FD" w:rsidP="00C117FD">
      <w:pPr>
        <w:rPr>
          <w:rFonts w:cstheme="minorHAnsi"/>
          <w:sz w:val="22"/>
          <w:szCs w:val="22"/>
        </w:rPr>
      </w:pPr>
      <w:r w:rsidRPr="00C1336C">
        <w:rPr>
          <w:rFonts w:cstheme="minorHAnsi"/>
          <w:sz w:val="22"/>
          <w:szCs w:val="22"/>
        </w:rPr>
        <w:t xml:space="preserve">The Board also supports the AGA’s recommendation to maintain the specified percentage for the </w:t>
      </w:r>
      <w:r w:rsidR="008836FC">
        <w:rPr>
          <w:rFonts w:cstheme="minorHAnsi"/>
          <w:sz w:val="22"/>
          <w:szCs w:val="22"/>
        </w:rPr>
        <w:t>r</w:t>
      </w:r>
      <w:r w:rsidR="008836FC" w:rsidRPr="00C1336C">
        <w:rPr>
          <w:rFonts w:cstheme="minorHAnsi"/>
          <w:sz w:val="22"/>
          <w:szCs w:val="22"/>
        </w:rPr>
        <w:t xml:space="preserve">isk </w:t>
      </w:r>
      <w:r w:rsidR="008836FC">
        <w:rPr>
          <w:rFonts w:cstheme="minorHAnsi"/>
          <w:sz w:val="22"/>
          <w:szCs w:val="22"/>
        </w:rPr>
        <w:t>r</w:t>
      </w:r>
      <w:r w:rsidR="008836FC" w:rsidRPr="00C1336C">
        <w:rPr>
          <w:rFonts w:cstheme="minorHAnsi"/>
          <w:sz w:val="22"/>
          <w:szCs w:val="22"/>
        </w:rPr>
        <w:t xml:space="preserve">ated </w:t>
      </w:r>
      <w:r w:rsidR="008836FC">
        <w:rPr>
          <w:rFonts w:cstheme="minorHAnsi"/>
          <w:sz w:val="22"/>
          <w:szCs w:val="22"/>
        </w:rPr>
        <w:t>p</w:t>
      </w:r>
      <w:r w:rsidR="008836FC" w:rsidRPr="00C1336C">
        <w:rPr>
          <w:rFonts w:cstheme="minorHAnsi"/>
          <w:sz w:val="22"/>
          <w:szCs w:val="22"/>
        </w:rPr>
        <w:t xml:space="preserve">remium </w:t>
      </w:r>
      <w:r w:rsidRPr="00C1336C">
        <w:rPr>
          <w:rFonts w:cstheme="minorHAnsi"/>
          <w:sz w:val="22"/>
          <w:szCs w:val="22"/>
        </w:rPr>
        <w:t xml:space="preserve">component of the 2025 International TPS Levy at 0.05% as it was in 2024. </w:t>
      </w:r>
    </w:p>
    <w:p w14:paraId="203DB890" w14:textId="13B7DC02" w:rsidR="00C117FD" w:rsidRPr="006A2051" w:rsidRDefault="00C117FD" w:rsidP="00C117FD">
      <w:pPr>
        <w:rPr>
          <w:rFonts w:cstheme="minorHAnsi"/>
          <w:sz w:val="22"/>
          <w:szCs w:val="22"/>
        </w:rPr>
      </w:pPr>
      <w:r w:rsidRPr="00C1336C">
        <w:rPr>
          <w:rFonts w:cstheme="minorHAnsi"/>
          <w:sz w:val="22"/>
          <w:szCs w:val="22"/>
        </w:rPr>
        <w:t xml:space="preserve">Further details of the Board’s final advice on the risk factors and values for the </w:t>
      </w:r>
      <w:r w:rsidR="008836FC">
        <w:rPr>
          <w:rFonts w:cstheme="minorHAnsi"/>
          <w:sz w:val="22"/>
          <w:szCs w:val="22"/>
        </w:rPr>
        <w:t>r</w:t>
      </w:r>
      <w:r w:rsidR="008836FC" w:rsidRPr="00C1336C">
        <w:rPr>
          <w:rFonts w:cstheme="minorHAnsi"/>
          <w:sz w:val="22"/>
          <w:szCs w:val="22"/>
        </w:rPr>
        <w:t xml:space="preserve">isk </w:t>
      </w:r>
      <w:r w:rsidR="008836FC">
        <w:rPr>
          <w:rFonts w:cstheme="minorHAnsi"/>
          <w:sz w:val="22"/>
          <w:szCs w:val="22"/>
        </w:rPr>
        <w:t>r</w:t>
      </w:r>
      <w:r w:rsidR="008836FC" w:rsidRPr="00C1336C">
        <w:rPr>
          <w:rFonts w:cstheme="minorHAnsi"/>
          <w:sz w:val="22"/>
          <w:szCs w:val="22"/>
        </w:rPr>
        <w:t xml:space="preserve">ated </w:t>
      </w:r>
      <w:r w:rsidR="008836FC">
        <w:rPr>
          <w:rFonts w:cstheme="minorHAnsi"/>
          <w:sz w:val="22"/>
          <w:szCs w:val="22"/>
        </w:rPr>
        <w:t>p</w:t>
      </w:r>
      <w:r w:rsidR="008836FC" w:rsidRPr="00C1336C">
        <w:rPr>
          <w:rFonts w:cstheme="minorHAnsi"/>
          <w:sz w:val="22"/>
          <w:szCs w:val="22"/>
        </w:rPr>
        <w:t xml:space="preserve">remium </w:t>
      </w:r>
      <w:r w:rsidRPr="00C1336C">
        <w:rPr>
          <w:rFonts w:cstheme="minorHAnsi"/>
          <w:sz w:val="22"/>
          <w:szCs w:val="22"/>
        </w:rPr>
        <w:t>component of the 2025 International TPS Levy can be found at the end of this letter.</w:t>
      </w:r>
      <w:r w:rsidRPr="006A2051">
        <w:rPr>
          <w:rFonts w:cstheme="minorHAnsi"/>
          <w:sz w:val="22"/>
          <w:szCs w:val="22"/>
        </w:rPr>
        <w:t xml:space="preserve"> </w:t>
      </w:r>
    </w:p>
    <w:p w14:paraId="2AA7A5E0" w14:textId="4CDC019D" w:rsidR="00127281" w:rsidRPr="00C1336C" w:rsidRDefault="00127281" w:rsidP="00164728">
      <w:pPr>
        <w:spacing w:after="120"/>
        <w:rPr>
          <w:rFonts w:cstheme="minorHAnsi"/>
          <w:b/>
          <w:bCs/>
          <w:sz w:val="22"/>
          <w:szCs w:val="22"/>
        </w:rPr>
      </w:pPr>
      <w:r w:rsidRPr="00C1336C">
        <w:rPr>
          <w:rFonts w:cstheme="minorHAnsi"/>
          <w:b/>
          <w:bCs/>
          <w:sz w:val="22"/>
          <w:szCs w:val="22"/>
        </w:rPr>
        <w:t xml:space="preserve">Special </w:t>
      </w:r>
      <w:r w:rsidR="00A96C45">
        <w:rPr>
          <w:rFonts w:cstheme="minorHAnsi"/>
          <w:b/>
          <w:bCs/>
          <w:sz w:val="22"/>
          <w:szCs w:val="22"/>
        </w:rPr>
        <w:t>t</w:t>
      </w:r>
      <w:r w:rsidRPr="00C1336C">
        <w:rPr>
          <w:rFonts w:cstheme="minorHAnsi"/>
          <w:b/>
          <w:bCs/>
          <w:sz w:val="22"/>
          <w:szCs w:val="22"/>
        </w:rPr>
        <w:t xml:space="preserve">uition </w:t>
      </w:r>
      <w:r w:rsidR="00A96C45">
        <w:rPr>
          <w:rFonts w:cstheme="minorHAnsi"/>
          <w:b/>
          <w:bCs/>
          <w:sz w:val="22"/>
          <w:szCs w:val="22"/>
        </w:rPr>
        <w:t>p</w:t>
      </w:r>
      <w:r w:rsidR="00A96C45" w:rsidRPr="00C1336C">
        <w:rPr>
          <w:rFonts w:cstheme="minorHAnsi"/>
          <w:b/>
          <w:bCs/>
          <w:sz w:val="22"/>
          <w:szCs w:val="22"/>
        </w:rPr>
        <w:t xml:space="preserve">rotection </w:t>
      </w:r>
      <w:r w:rsidRPr="00C1336C">
        <w:rPr>
          <w:rFonts w:cstheme="minorHAnsi"/>
          <w:b/>
          <w:bCs/>
          <w:sz w:val="22"/>
          <w:szCs w:val="22"/>
        </w:rPr>
        <w:t>component</w:t>
      </w:r>
    </w:p>
    <w:p w14:paraId="7C9350D2" w14:textId="14EE4919" w:rsidR="00127281" w:rsidRPr="00C1336C" w:rsidRDefault="00127281" w:rsidP="00127281">
      <w:pPr>
        <w:spacing w:before="0"/>
        <w:rPr>
          <w:rFonts w:cstheme="minorHAnsi"/>
          <w:sz w:val="22"/>
          <w:szCs w:val="22"/>
        </w:rPr>
      </w:pPr>
      <w:r w:rsidRPr="00C1336C">
        <w:rPr>
          <w:rFonts w:cstheme="minorHAnsi"/>
          <w:sz w:val="22"/>
          <w:szCs w:val="22"/>
        </w:rPr>
        <w:t xml:space="preserve">The Board </w:t>
      </w:r>
      <w:r w:rsidR="00387FA6" w:rsidRPr="00C1336C">
        <w:rPr>
          <w:rFonts w:cstheme="minorHAnsi"/>
          <w:sz w:val="22"/>
          <w:szCs w:val="22"/>
        </w:rPr>
        <w:t>agrees</w:t>
      </w:r>
      <w:r w:rsidRPr="00C1336C">
        <w:rPr>
          <w:rFonts w:cstheme="minorHAnsi"/>
          <w:sz w:val="22"/>
          <w:szCs w:val="22"/>
        </w:rPr>
        <w:t xml:space="preserve"> with the AGA’s recommendation that th</w:t>
      </w:r>
      <w:r w:rsidR="009531BE" w:rsidRPr="00C1336C">
        <w:rPr>
          <w:rFonts w:cstheme="minorHAnsi"/>
          <w:sz w:val="22"/>
          <w:szCs w:val="22"/>
        </w:rPr>
        <w:t>e</w:t>
      </w:r>
      <w:r w:rsidR="00A645C1">
        <w:rPr>
          <w:rFonts w:cstheme="minorHAnsi"/>
          <w:sz w:val="22"/>
          <w:szCs w:val="22"/>
        </w:rPr>
        <w:t xml:space="preserve"> specified percentage for the</w:t>
      </w:r>
      <w:r w:rsidR="009531BE" w:rsidRPr="00C1336C">
        <w:rPr>
          <w:rFonts w:cstheme="minorHAnsi"/>
          <w:sz w:val="22"/>
          <w:szCs w:val="22"/>
        </w:rPr>
        <w:t xml:space="preserve"> </w:t>
      </w:r>
      <w:r w:rsidR="00976D27">
        <w:rPr>
          <w:rFonts w:cstheme="minorHAnsi"/>
          <w:sz w:val="22"/>
          <w:szCs w:val="22"/>
        </w:rPr>
        <w:t>s</w:t>
      </w:r>
      <w:r w:rsidR="009531BE" w:rsidRPr="00C1336C">
        <w:rPr>
          <w:rFonts w:cstheme="minorHAnsi"/>
          <w:sz w:val="22"/>
          <w:szCs w:val="22"/>
        </w:rPr>
        <w:t xml:space="preserve">pecial </w:t>
      </w:r>
      <w:r w:rsidR="00976D27">
        <w:rPr>
          <w:rFonts w:cstheme="minorHAnsi"/>
          <w:sz w:val="22"/>
          <w:szCs w:val="22"/>
        </w:rPr>
        <w:t>t</w:t>
      </w:r>
      <w:r w:rsidR="009531BE" w:rsidRPr="00C1336C">
        <w:rPr>
          <w:rFonts w:cstheme="minorHAnsi"/>
          <w:sz w:val="22"/>
          <w:szCs w:val="22"/>
        </w:rPr>
        <w:t xml:space="preserve">uition </w:t>
      </w:r>
      <w:r w:rsidR="00976D27">
        <w:rPr>
          <w:rFonts w:cstheme="minorHAnsi"/>
          <w:sz w:val="22"/>
          <w:szCs w:val="22"/>
        </w:rPr>
        <w:t>p</w:t>
      </w:r>
      <w:r w:rsidR="009531BE" w:rsidRPr="00C1336C">
        <w:rPr>
          <w:rFonts w:cstheme="minorHAnsi"/>
          <w:sz w:val="22"/>
          <w:szCs w:val="22"/>
        </w:rPr>
        <w:t xml:space="preserve">rotection </w:t>
      </w:r>
      <w:r w:rsidRPr="00C1336C">
        <w:rPr>
          <w:rFonts w:cstheme="minorHAnsi"/>
          <w:sz w:val="22"/>
          <w:szCs w:val="22"/>
        </w:rPr>
        <w:t xml:space="preserve">component </w:t>
      </w:r>
      <w:r w:rsidR="00A645C1">
        <w:rPr>
          <w:rFonts w:cstheme="minorHAnsi"/>
          <w:sz w:val="22"/>
          <w:szCs w:val="22"/>
        </w:rPr>
        <w:t>of the 2025 International TPS Levy be set at 0%</w:t>
      </w:r>
      <w:r w:rsidRPr="00C1336C">
        <w:rPr>
          <w:rFonts w:cstheme="minorHAnsi"/>
          <w:sz w:val="22"/>
          <w:szCs w:val="22"/>
        </w:rPr>
        <w:t xml:space="preserve">.  </w:t>
      </w:r>
    </w:p>
    <w:p w14:paraId="37864AD3" w14:textId="4619B725" w:rsidR="00A46966" w:rsidRPr="00C1336C" w:rsidRDefault="00787C60" w:rsidP="00127281">
      <w:pPr>
        <w:spacing w:before="0"/>
        <w:rPr>
          <w:rFonts w:cstheme="minorHAnsi"/>
          <w:b/>
          <w:bCs/>
          <w:sz w:val="22"/>
          <w:szCs w:val="22"/>
        </w:rPr>
      </w:pPr>
      <w:r w:rsidRPr="00C1336C">
        <w:rPr>
          <w:rFonts w:cstheme="minorHAnsi"/>
          <w:b/>
          <w:bCs/>
          <w:sz w:val="22"/>
          <w:szCs w:val="22"/>
        </w:rPr>
        <w:t>In summary, the Board hereby recommends to you</w:t>
      </w:r>
      <w:r w:rsidR="000608B7">
        <w:rPr>
          <w:rFonts w:cstheme="minorHAnsi"/>
          <w:b/>
          <w:bCs/>
          <w:sz w:val="22"/>
          <w:szCs w:val="22"/>
        </w:rPr>
        <w:t xml:space="preserve">: </w:t>
      </w:r>
    </w:p>
    <w:p w14:paraId="26AA1732" w14:textId="77285BA4" w:rsidR="00631E0D" w:rsidRDefault="00F75982" w:rsidP="00140F2D">
      <w:pPr>
        <w:pStyle w:val="ListParagraph"/>
        <w:numPr>
          <w:ilvl w:val="0"/>
          <w:numId w:val="13"/>
        </w:numPr>
        <w:ind w:left="426"/>
        <w:rPr>
          <w:sz w:val="22"/>
          <w:szCs w:val="22"/>
        </w:rPr>
      </w:pPr>
      <w:r>
        <w:rPr>
          <w:sz w:val="22"/>
          <w:szCs w:val="22"/>
        </w:rPr>
        <w:t>Under s</w:t>
      </w:r>
      <w:r w:rsidR="00140F2D" w:rsidRPr="006964C8">
        <w:rPr>
          <w:sz w:val="22"/>
          <w:szCs w:val="22"/>
        </w:rPr>
        <w:t xml:space="preserve">ubsection 9(3)(a) </w:t>
      </w:r>
      <w:r w:rsidR="00976D27">
        <w:rPr>
          <w:sz w:val="22"/>
          <w:szCs w:val="22"/>
        </w:rPr>
        <w:t xml:space="preserve">and 9(3)(c) </w:t>
      </w:r>
      <w:r w:rsidR="00140F2D" w:rsidRPr="006964C8">
        <w:rPr>
          <w:sz w:val="22"/>
          <w:szCs w:val="22"/>
        </w:rPr>
        <w:t xml:space="preserve">of the </w:t>
      </w:r>
      <w:r w:rsidR="00140F2D" w:rsidRPr="006964C8">
        <w:rPr>
          <w:i/>
          <w:iCs/>
          <w:sz w:val="22"/>
          <w:szCs w:val="22"/>
        </w:rPr>
        <w:t>Education Services for Overseas Students (TPS Levies) Act 2012</w:t>
      </w:r>
      <w:r w:rsidR="00140F2D" w:rsidRPr="006964C8">
        <w:rPr>
          <w:sz w:val="22"/>
          <w:szCs w:val="22"/>
        </w:rPr>
        <w:t xml:space="preserve"> that</w:t>
      </w:r>
      <w:r w:rsidR="00631E0D">
        <w:rPr>
          <w:sz w:val="22"/>
          <w:szCs w:val="22"/>
        </w:rPr>
        <w:t>:</w:t>
      </w:r>
      <w:r w:rsidR="00140F2D" w:rsidRPr="006964C8">
        <w:rPr>
          <w:sz w:val="22"/>
          <w:szCs w:val="22"/>
        </w:rPr>
        <w:t xml:space="preserve"> </w:t>
      </w:r>
    </w:p>
    <w:p w14:paraId="18416778" w14:textId="1B264823" w:rsidR="003D4569" w:rsidRDefault="00140F2D" w:rsidP="0012621A">
      <w:pPr>
        <w:pStyle w:val="ListParagraph"/>
        <w:numPr>
          <w:ilvl w:val="1"/>
          <w:numId w:val="13"/>
        </w:numPr>
        <w:ind w:left="851"/>
        <w:rPr>
          <w:sz w:val="22"/>
          <w:szCs w:val="22"/>
        </w:rPr>
      </w:pPr>
      <w:r w:rsidRPr="006964C8">
        <w:rPr>
          <w:sz w:val="22"/>
          <w:szCs w:val="22"/>
        </w:rPr>
        <w:t xml:space="preserve">the specified percentage for the </w:t>
      </w:r>
      <w:r w:rsidR="0088246E">
        <w:rPr>
          <w:sz w:val="22"/>
          <w:szCs w:val="22"/>
        </w:rPr>
        <w:t>r</w:t>
      </w:r>
      <w:r w:rsidR="0088246E" w:rsidRPr="006964C8">
        <w:rPr>
          <w:sz w:val="22"/>
          <w:szCs w:val="22"/>
        </w:rPr>
        <w:t xml:space="preserve">isk </w:t>
      </w:r>
      <w:r w:rsidR="0088246E">
        <w:rPr>
          <w:sz w:val="22"/>
          <w:szCs w:val="22"/>
        </w:rPr>
        <w:t>r</w:t>
      </w:r>
      <w:r w:rsidR="0088246E" w:rsidRPr="006964C8">
        <w:rPr>
          <w:sz w:val="22"/>
          <w:szCs w:val="22"/>
        </w:rPr>
        <w:t xml:space="preserve">ated </w:t>
      </w:r>
      <w:r w:rsidR="0088246E">
        <w:rPr>
          <w:sz w:val="22"/>
          <w:szCs w:val="22"/>
        </w:rPr>
        <w:t>p</w:t>
      </w:r>
      <w:r w:rsidR="0088246E" w:rsidRPr="006964C8">
        <w:rPr>
          <w:sz w:val="22"/>
          <w:szCs w:val="22"/>
        </w:rPr>
        <w:t xml:space="preserve">remium </w:t>
      </w:r>
      <w:r w:rsidRPr="006964C8">
        <w:rPr>
          <w:sz w:val="22"/>
          <w:szCs w:val="22"/>
        </w:rPr>
        <w:t>component of the 2025 Levy be set at 0.05%</w:t>
      </w:r>
      <w:r w:rsidR="003D4569">
        <w:rPr>
          <w:sz w:val="22"/>
          <w:szCs w:val="22"/>
        </w:rPr>
        <w:t>.</w:t>
      </w:r>
    </w:p>
    <w:p w14:paraId="7CA4A441" w14:textId="6E27ACE0" w:rsidR="00140F2D" w:rsidRPr="006964C8" w:rsidRDefault="00140F2D" w:rsidP="0012621A">
      <w:pPr>
        <w:pStyle w:val="ListParagraph"/>
        <w:numPr>
          <w:ilvl w:val="1"/>
          <w:numId w:val="13"/>
        </w:numPr>
        <w:ind w:left="851"/>
        <w:rPr>
          <w:sz w:val="22"/>
          <w:szCs w:val="22"/>
        </w:rPr>
      </w:pPr>
      <w:r>
        <w:rPr>
          <w:sz w:val="22"/>
          <w:szCs w:val="22"/>
        </w:rPr>
        <w:t xml:space="preserve">positive volatility in overseas student enrolments be reinstated, while all other risk factor settings remain unchanged from 2024. </w:t>
      </w:r>
    </w:p>
    <w:p w14:paraId="533E4873" w14:textId="466045C6" w:rsidR="00140F2D" w:rsidRDefault="00F75982" w:rsidP="00140F2D">
      <w:pPr>
        <w:pStyle w:val="ListParagraph"/>
        <w:numPr>
          <w:ilvl w:val="0"/>
          <w:numId w:val="13"/>
        </w:numPr>
        <w:ind w:left="426"/>
        <w:rPr>
          <w:sz w:val="22"/>
          <w:szCs w:val="22"/>
        </w:rPr>
      </w:pPr>
      <w:r>
        <w:rPr>
          <w:sz w:val="22"/>
          <w:szCs w:val="22"/>
        </w:rPr>
        <w:t>Under s</w:t>
      </w:r>
      <w:r w:rsidR="00140F2D" w:rsidRPr="006964C8">
        <w:rPr>
          <w:sz w:val="22"/>
          <w:szCs w:val="22"/>
        </w:rPr>
        <w:t xml:space="preserve">ubsection 10(2) of the </w:t>
      </w:r>
      <w:r w:rsidR="00140F2D" w:rsidRPr="006964C8">
        <w:rPr>
          <w:i/>
          <w:iCs/>
          <w:sz w:val="22"/>
          <w:szCs w:val="22"/>
        </w:rPr>
        <w:t>Education Services for Overseas Students (TPS Levies) Act 2012</w:t>
      </w:r>
      <w:r w:rsidR="00140F2D" w:rsidRPr="006964C8">
        <w:rPr>
          <w:sz w:val="22"/>
          <w:szCs w:val="22"/>
        </w:rPr>
        <w:t xml:space="preserve"> that the specified percentage for the </w:t>
      </w:r>
      <w:r w:rsidR="0088246E">
        <w:rPr>
          <w:sz w:val="22"/>
          <w:szCs w:val="22"/>
        </w:rPr>
        <w:t>s</w:t>
      </w:r>
      <w:r w:rsidR="0088246E" w:rsidRPr="006964C8">
        <w:rPr>
          <w:sz w:val="22"/>
          <w:szCs w:val="22"/>
        </w:rPr>
        <w:t xml:space="preserve">pecial </w:t>
      </w:r>
      <w:r w:rsidR="0088246E">
        <w:rPr>
          <w:sz w:val="22"/>
          <w:szCs w:val="22"/>
        </w:rPr>
        <w:t>t</w:t>
      </w:r>
      <w:r w:rsidR="0088246E" w:rsidRPr="006964C8">
        <w:rPr>
          <w:sz w:val="22"/>
          <w:szCs w:val="22"/>
        </w:rPr>
        <w:t xml:space="preserve">uition </w:t>
      </w:r>
      <w:r w:rsidR="0088246E">
        <w:rPr>
          <w:sz w:val="22"/>
          <w:szCs w:val="22"/>
        </w:rPr>
        <w:t>p</w:t>
      </w:r>
      <w:r w:rsidR="0088246E" w:rsidRPr="006964C8">
        <w:rPr>
          <w:sz w:val="22"/>
          <w:szCs w:val="22"/>
        </w:rPr>
        <w:t xml:space="preserve">rotection </w:t>
      </w:r>
      <w:r w:rsidR="00140F2D" w:rsidRPr="006964C8">
        <w:rPr>
          <w:sz w:val="22"/>
          <w:szCs w:val="22"/>
        </w:rPr>
        <w:t>component of the 2025</w:t>
      </w:r>
      <w:r w:rsidR="003D4569">
        <w:rPr>
          <w:sz w:val="22"/>
          <w:szCs w:val="22"/>
        </w:rPr>
        <w:t xml:space="preserve"> International TPS</w:t>
      </w:r>
      <w:r w:rsidR="00140F2D" w:rsidRPr="006964C8">
        <w:rPr>
          <w:sz w:val="22"/>
          <w:szCs w:val="22"/>
        </w:rPr>
        <w:t xml:space="preserve"> Levy be set at 0%. </w:t>
      </w:r>
    </w:p>
    <w:p w14:paraId="5D158B6A" w14:textId="33ECD026" w:rsidR="006672CF" w:rsidRPr="006964C8" w:rsidRDefault="00F318C8" w:rsidP="00140F2D">
      <w:pPr>
        <w:pStyle w:val="ListParagraph"/>
        <w:numPr>
          <w:ilvl w:val="0"/>
          <w:numId w:val="13"/>
        </w:numPr>
        <w:ind w:left="426"/>
        <w:rPr>
          <w:sz w:val="22"/>
          <w:szCs w:val="22"/>
        </w:rPr>
      </w:pPr>
      <w:r>
        <w:rPr>
          <w:sz w:val="22"/>
          <w:szCs w:val="22"/>
        </w:rPr>
        <w:t xml:space="preserve">That the </w:t>
      </w:r>
      <w:r w:rsidRPr="002E3A35">
        <w:rPr>
          <w:rFonts w:cstheme="minorHAnsi"/>
          <w:sz w:val="22"/>
          <w:szCs w:val="22"/>
        </w:rPr>
        <w:t xml:space="preserve">target size of the </w:t>
      </w:r>
      <w:r>
        <w:rPr>
          <w:rFonts w:cstheme="minorHAnsi"/>
          <w:sz w:val="22"/>
          <w:szCs w:val="22"/>
        </w:rPr>
        <w:t xml:space="preserve">Overseas Student Tuition </w:t>
      </w:r>
      <w:r w:rsidRPr="002E3A35">
        <w:rPr>
          <w:rFonts w:cstheme="minorHAnsi"/>
          <w:sz w:val="22"/>
          <w:szCs w:val="22"/>
        </w:rPr>
        <w:t>Fund increase to the range of $40 to $60</w:t>
      </w:r>
      <w:r w:rsidR="0095413B">
        <w:rPr>
          <w:rFonts w:cstheme="minorHAnsi"/>
          <w:sz w:val="22"/>
          <w:szCs w:val="22"/>
        </w:rPr>
        <w:t> </w:t>
      </w:r>
      <w:r w:rsidRPr="002E3A35">
        <w:rPr>
          <w:rFonts w:cstheme="minorHAnsi"/>
          <w:sz w:val="22"/>
          <w:szCs w:val="22"/>
        </w:rPr>
        <w:t>million, up from the previous range of $35 to $60 million</w:t>
      </w:r>
      <w:r w:rsidR="00B5663D">
        <w:rPr>
          <w:rFonts w:cstheme="minorHAnsi"/>
          <w:sz w:val="22"/>
          <w:szCs w:val="22"/>
        </w:rPr>
        <w:t xml:space="preserve">. </w:t>
      </w:r>
    </w:p>
    <w:p w14:paraId="176E40EA" w14:textId="2298CB70" w:rsidR="00140F2D" w:rsidRPr="008B3F3B" w:rsidRDefault="00140F2D" w:rsidP="00140F2D">
      <w:pPr>
        <w:rPr>
          <w:sz w:val="22"/>
          <w:szCs w:val="22"/>
        </w:rPr>
      </w:pPr>
      <w:r w:rsidRPr="2A9D687F">
        <w:rPr>
          <w:sz w:val="22"/>
          <w:szCs w:val="22"/>
        </w:rPr>
        <w:lastRenderedPageBreak/>
        <w:t>Th</w:t>
      </w:r>
      <w:r>
        <w:rPr>
          <w:sz w:val="22"/>
          <w:szCs w:val="22"/>
        </w:rPr>
        <w:t xml:space="preserve">ese </w:t>
      </w:r>
      <w:r w:rsidR="003D4569">
        <w:rPr>
          <w:sz w:val="22"/>
          <w:szCs w:val="22"/>
        </w:rPr>
        <w:t>positions</w:t>
      </w:r>
      <w:r>
        <w:rPr>
          <w:sz w:val="22"/>
          <w:szCs w:val="22"/>
        </w:rPr>
        <w:t xml:space="preserve"> are</w:t>
      </w:r>
      <w:r w:rsidRPr="2A9D687F">
        <w:rPr>
          <w:sz w:val="22"/>
          <w:szCs w:val="22"/>
        </w:rPr>
        <w:t xml:space="preserve"> consistent with the AGA’s recommendation</w:t>
      </w:r>
      <w:r>
        <w:rPr>
          <w:sz w:val="22"/>
          <w:szCs w:val="22"/>
        </w:rPr>
        <w:t>s</w:t>
      </w:r>
      <w:r w:rsidRPr="2A9D687F">
        <w:rPr>
          <w:sz w:val="22"/>
          <w:szCs w:val="22"/>
        </w:rPr>
        <w:t>.</w:t>
      </w:r>
    </w:p>
    <w:p w14:paraId="32B8F394" w14:textId="01F1A9D6" w:rsidR="00670101" w:rsidRPr="00E63456" w:rsidRDefault="000A6AF9" w:rsidP="00072A81">
      <w:pPr>
        <w:spacing w:after="0"/>
        <w:rPr>
          <w:rFonts w:cstheme="minorHAnsi"/>
          <w:sz w:val="22"/>
          <w:szCs w:val="22"/>
        </w:rPr>
      </w:pPr>
      <w:r w:rsidRPr="00E63456">
        <w:rPr>
          <w:rFonts w:cstheme="minorHAnsi"/>
          <w:sz w:val="22"/>
          <w:szCs w:val="22"/>
        </w:rPr>
        <w:t>Yours sincerely</w:t>
      </w:r>
      <w:r w:rsidR="00670101" w:rsidRPr="00E63456">
        <w:rPr>
          <w:rFonts w:cstheme="minorHAnsi"/>
          <w:sz w:val="22"/>
          <w:szCs w:val="22"/>
        </w:rPr>
        <w:t>,</w:t>
      </w:r>
    </w:p>
    <w:p w14:paraId="5A4EE710" w14:textId="77777777" w:rsidR="0078259F" w:rsidRPr="00E63456" w:rsidRDefault="0078259F" w:rsidP="00072A81">
      <w:pPr>
        <w:spacing w:before="0" w:after="0"/>
        <w:rPr>
          <w:rFonts w:cstheme="minorHAnsi"/>
          <w:sz w:val="22"/>
          <w:szCs w:val="22"/>
        </w:rPr>
      </w:pPr>
    </w:p>
    <w:p w14:paraId="33D5E25C" w14:textId="77777777" w:rsidR="0078259F" w:rsidRPr="00E63456" w:rsidRDefault="0078259F" w:rsidP="00072A81">
      <w:pPr>
        <w:spacing w:before="0" w:after="0"/>
        <w:rPr>
          <w:rFonts w:cstheme="minorHAnsi"/>
          <w:sz w:val="22"/>
          <w:szCs w:val="22"/>
        </w:rPr>
      </w:pPr>
    </w:p>
    <w:p w14:paraId="1EB91C4B" w14:textId="77777777" w:rsidR="0078259F" w:rsidRPr="00E63456" w:rsidRDefault="0078259F" w:rsidP="00072A81">
      <w:pPr>
        <w:spacing w:before="0" w:after="0"/>
        <w:rPr>
          <w:rFonts w:cstheme="minorHAnsi"/>
          <w:sz w:val="22"/>
          <w:szCs w:val="22"/>
        </w:rPr>
      </w:pPr>
    </w:p>
    <w:p w14:paraId="4BA1BE42" w14:textId="77777777" w:rsidR="00072A81" w:rsidRPr="00E63456" w:rsidRDefault="00072A81" w:rsidP="00072A81">
      <w:pPr>
        <w:spacing w:before="0" w:after="0"/>
        <w:rPr>
          <w:rFonts w:cstheme="minorHAnsi"/>
          <w:sz w:val="22"/>
          <w:szCs w:val="22"/>
        </w:rPr>
      </w:pPr>
    </w:p>
    <w:p w14:paraId="5FA43BE4" w14:textId="77777777" w:rsidR="00072A81" w:rsidRPr="00E63456" w:rsidRDefault="00072A81" w:rsidP="00072A81">
      <w:pPr>
        <w:spacing w:before="0" w:after="0"/>
        <w:rPr>
          <w:rFonts w:cstheme="minorHAnsi"/>
          <w:sz w:val="22"/>
          <w:szCs w:val="22"/>
        </w:rPr>
      </w:pPr>
    </w:p>
    <w:p w14:paraId="7C653B58" w14:textId="1A7DC698" w:rsidR="00670101" w:rsidRPr="00E63456" w:rsidRDefault="00597200" w:rsidP="00375418">
      <w:pPr>
        <w:pStyle w:val="RecipientSenderdetails"/>
        <w:spacing w:before="0"/>
        <w:rPr>
          <w:rFonts w:cstheme="minorHAnsi"/>
          <w:sz w:val="22"/>
          <w:szCs w:val="22"/>
        </w:rPr>
      </w:pPr>
      <w:r w:rsidRPr="00E63456">
        <w:rPr>
          <w:rFonts w:cstheme="minorHAnsi"/>
          <w:b/>
          <w:bCs/>
          <w:sz w:val="22"/>
          <w:szCs w:val="22"/>
        </w:rPr>
        <w:t>Sharon Robertson</w:t>
      </w:r>
      <w:r w:rsidR="00670101" w:rsidRPr="00E63456">
        <w:rPr>
          <w:rFonts w:cstheme="minorHAnsi"/>
          <w:sz w:val="22"/>
          <w:szCs w:val="22"/>
        </w:rPr>
        <w:br/>
      </w:r>
      <w:r w:rsidR="000A6AF9" w:rsidRPr="00E63456">
        <w:rPr>
          <w:rFonts w:cstheme="minorHAnsi"/>
          <w:sz w:val="22"/>
          <w:szCs w:val="22"/>
        </w:rPr>
        <w:t>Chair</w:t>
      </w:r>
    </w:p>
    <w:p w14:paraId="6FC7DFC5" w14:textId="157B4DF2" w:rsidR="00FB65B3" w:rsidRPr="00E63456" w:rsidRDefault="00670101" w:rsidP="00E63456">
      <w:pPr>
        <w:pStyle w:val="RecipientSenderdetails"/>
        <w:spacing w:before="0"/>
        <w:rPr>
          <w:rFonts w:cstheme="minorHAnsi"/>
          <w:sz w:val="22"/>
          <w:szCs w:val="22"/>
        </w:rPr>
      </w:pPr>
      <w:r w:rsidRPr="00E63456">
        <w:rPr>
          <w:rFonts w:cstheme="minorHAnsi"/>
          <w:sz w:val="22"/>
          <w:szCs w:val="22"/>
        </w:rPr>
        <w:t>T</w:t>
      </w:r>
      <w:r w:rsidR="006A7C29" w:rsidRPr="00E63456">
        <w:rPr>
          <w:rFonts w:cstheme="minorHAnsi"/>
          <w:sz w:val="22"/>
          <w:szCs w:val="22"/>
        </w:rPr>
        <w:t xml:space="preserve">uition </w:t>
      </w:r>
      <w:r w:rsidRPr="00E63456">
        <w:rPr>
          <w:rFonts w:cstheme="minorHAnsi"/>
          <w:sz w:val="22"/>
          <w:szCs w:val="22"/>
        </w:rPr>
        <w:t>P</w:t>
      </w:r>
      <w:r w:rsidR="006A7C29" w:rsidRPr="00E63456">
        <w:rPr>
          <w:rFonts w:cstheme="minorHAnsi"/>
          <w:sz w:val="22"/>
          <w:szCs w:val="22"/>
        </w:rPr>
        <w:t xml:space="preserve">rotection </w:t>
      </w:r>
      <w:r w:rsidRPr="00E63456">
        <w:rPr>
          <w:rFonts w:cstheme="minorHAnsi"/>
          <w:sz w:val="22"/>
          <w:szCs w:val="22"/>
        </w:rPr>
        <w:t>S</w:t>
      </w:r>
      <w:r w:rsidR="006A7C29" w:rsidRPr="00E63456">
        <w:rPr>
          <w:rFonts w:cstheme="minorHAnsi"/>
          <w:sz w:val="22"/>
          <w:szCs w:val="22"/>
        </w:rPr>
        <w:t>ervice</w:t>
      </w:r>
      <w:r w:rsidR="000A6AF9" w:rsidRPr="00E63456">
        <w:rPr>
          <w:rFonts w:cstheme="minorHAnsi"/>
          <w:sz w:val="22"/>
          <w:szCs w:val="22"/>
        </w:rPr>
        <w:t xml:space="preserve"> Advisory Board</w:t>
      </w:r>
    </w:p>
    <w:p w14:paraId="35DF2B5A" w14:textId="42CE57B5" w:rsidR="00A73069" w:rsidRPr="00E63456" w:rsidRDefault="00FB65B3" w:rsidP="00B8775D">
      <w:pPr>
        <w:spacing w:before="0" w:after="0" w:line="259" w:lineRule="auto"/>
        <w:rPr>
          <w:rFonts w:cstheme="minorHAnsi"/>
          <w:sz w:val="22"/>
          <w:szCs w:val="22"/>
        </w:rPr>
      </w:pPr>
      <w:r w:rsidRPr="00E63456">
        <w:rPr>
          <w:rFonts w:cstheme="minorHAnsi"/>
          <w:sz w:val="22"/>
          <w:szCs w:val="22"/>
        </w:rPr>
        <w:t xml:space="preserve"> </w:t>
      </w:r>
      <w:r w:rsidR="009531BE" w:rsidRPr="00E63456">
        <w:rPr>
          <w:rFonts w:cstheme="minorHAnsi"/>
          <w:sz w:val="22"/>
          <w:szCs w:val="22"/>
        </w:rPr>
        <w:t xml:space="preserve">  </w:t>
      </w:r>
      <w:r w:rsidR="00BE6C0A">
        <w:rPr>
          <w:rFonts w:cstheme="minorHAnsi"/>
          <w:sz w:val="22"/>
          <w:szCs w:val="22"/>
        </w:rPr>
        <w:t xml:space="preserve">  </w:t>
      </w:r>
      <w:r w:rsidR="008F5CEC">
        <w:rPr>
          <w:rFonts w:cstheme="minorHAnsi"/>
          <w:sz w:val="22"/>
          <w:szCs w:val="22"/>
        </w:rPr>
        <w:t>October 202</w:t>
      </w:r>
      <w:r w:rsidR="00375418">
        <w:rPr>
          <w:rFonts w:cstheme="minorHAnsi"/>
          <w:sz w:val="22"/>
          <w:szCs w:val="22"/>
        </w:rPr>
        <w:t>4</w:t>
      </w:r>
    </w:p>
    <w:p w14:paraId="5C4D4DE3" w14:textId="1B147BF5" w:rsidR="00541125" w:rsidRDefault="00A73069" w:rsidP="00541125">
      <w:pPr>
        <w:spacing w:before="0" w:after="0" w:line="259" w:lineRule="auto"/>
        <w:jc w:val="center"/>
        <w:rPr>
          <w:sz w:val="24"/>
          <w:szCs w:val="24"/>
        </w:rPr>
        <w:sectPr w:rsidR="00541125" w:rsidSect="00541125">
          <w:headerReference w:type="default" r:id="rId10"/>
          <w:footerReference w:type="first" r:id="rId11"/>
          <w:footnotePr>
            <w:numStart w:val="2"/>
          </w:footnotePr>
          <w:pgSz w:w="11906" w:h="16838"/>
          <w:pgMar w:top="993" w:right="1274" w:bottom="851" w:left="1276" w:header="709" w:footer="709" w:gutter="0"/>
          <w:cols w:space="708"/>
          <w:titlePg/>
          <w:docGrid w:linePitch="360"/>
        </w:sectPr>
      </w:pPr>
      <w:r w:rsidRPr="00E63456">
        <w:rPr>
          <w:rFonts w:cstheme="minorHAnsi"/>
          <w:sz w:val="22"/>
          <w:szCs w:val="22"/>
        </w:rPr>
        <w:br w:type="page"/>
      </w:r>
    </w:p>
    <w:p w14:paraId="1CB1EDB6" w14:textId="77C1832B" w:rsidR="00541125" w:rsidRPr="00154475" w:rsidRDefault="00541125" w:rsidP="00541125">
      <w:pPr>
        <w:spacing w:before="0" w:after="0" w:line="259" w:lineRule="auto"/>
        <w:rPr>
          <w:b/>
          <w:bCs/>
          <w:sz w:val="22"/>
          <w:szCs w:val="22"/>
        </w:rPr>
      </w:pPr>
      <w:r w:rsidRPr="00154475">
        <w:rPr>
          <w:b/>
          <w:bCs/>
          <w:sz w:val="22"/>
          <w:szCs w:val="22"/>
        </w:rPr>
        <w:lastRenderedPageBreak/>
        <w:t xml:space="preserve">Proposed risk factors and values for the </w:t>
      </w:r>
      <w:r w:rsidR="00643521">
        <w:rPr>
          <w:b/>
          <w:bCs/>
          <w:sz w:val="22"/>
          <w:szCs w:val="22"/>
        </w:rPr>
        <w:t>r</w:t>
      </w:r>
      <w:r w:rsidRPr="00154475">
        <w:rPr>
          <w:b/>
          <w:bCs/>
          <w:sz w:val="22"/>
          <w:szCs w:val="22"/>
        </w:rPr>
        <w:t xml:space="preserve">isk </w:t>
      </w:r>
      <w:r w:rsidR="00643521">
        <w:rPr>
          <w:b/>
          <w:bCs/>
          <w:sz w:val="22"/>
          <w:szCs w:val="22"/>
        </w:rPr>
        <w:t>r</w:t>
      </w:r>
      <w:r w:rsidRPr="00154475">
        <w:rPr>
          <w:b/>
          <w:bCs/>
          <w:sz w:val="22"/>
          <w:szCs w:val="22"/>
        </w:rPr>
        <w:t xml:space="preserve">ated </w:t>
      </w:r>
      <w:r w:rsidR="00643521">
        <w:rPr>
          <w:b/>
          <w:bCs/>
          <w:sz w:val="22"/>
          <w:szCs w:val="22"/>
        </w:rPr>
        <w:t>p</w:t>
      </w:r>
      <w:r w:rsidRPr="00154475">
        <w:rPr>
          <w:b/>
          <w:bCs/>
          <w:sz w:val="22"/>
          <w:szCs w:val="22"/>
        </w:rPr>
        <w:t xml:space="preserve">remium component of the </w:t>
      </w:r>
      <w:r w:rsidR="00611880">
        <w:rPr>
          <w:b/>
          <w:bCs/>
          <w:sz w:val="22"/>
          <w:szCs w:val="22"/>
        </w:rPr>
        <w:t xml:space="preserve">2025 </w:t>
      </w:r>
      <w:r w:rsidRPr="00154475">
        <w:rPr>
          <w:b/>
          <w:bCs/>
          <w:sz w:val="22"/>
          <w:szCs w:val="22"/>
        </w:rPr>
        <w:t>International TPS Levy</w:t>
      </w:r>
    </w:p>
    <w:p w14:paraId="70F91656" w14:textId="77777777" w:rsidR="00541125" w:rsidRPr="00522C71" w:rsidRDefault="00541125" w:rsidP="00541125">
      <w:pPr>
        <w:spacing w:before="0" w:after="0" w:line="259" w:lineRule="auto"/>
        <w:jc w:val="center"/>
        <w:rPr>
          <w:sz w:val="16"/>
          <w:szCs w:val="16"/>
        </w:rPr>
      </w:pPr>
    </w:p>
    <w:tbl>
      <w:tblPr>
        <w:tblW w:w="13740" w:type="dxa"/>
        <w:tblCellMar>
          <w:left w:w="0" w:type="dxa"/>
          <w:right w:w="0" w:type="dxa"/>
        </w:tblCellMar>
        <w:tblLook w:val="0420" w:firstRow="1" w:lastRow="0" w:firstColumn="0" w:lastColumn="0" w:noHBand="0" w:noVBand="1"/>
      </w:tblPr>
      <w:tblGrid>
        <w:gridCol w:w="3818"/>
        <w:gridCol w:w="5103"/>
        <w:gridCol w:w="2126"/>
        <w:gridCol w:w="2693"/>
      </w:tblGrid>
      <w:tr w:rsidR="00541125" w:rsidRPr="00A73069" w14:paraId="3CE2DD0C" w14:textId="77777777" w:rsidTr="00BC6D65">
        <w:trPr>
          <w:trHeight w:val="384"/>
          <w:tblHeader/>
        </w:trPr>
        <w:tc>
          <w:tcPr>
            <w:tcW w:w="3818"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1EDADC6D" w14:textId="77777777" w:rsidR="00541125" w:rsidRPr="000F1CBD" w:rsidRDefault="00541125" w:rsidP="00BC6D65">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Risk factor</w:t>
            </w:r>
          </w:p>
        </w:tc>
        <w:tc>
          <w:tcPr>
            <w:tcW w:w="5103"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4D470CC0" w14:textId="77777777" w:rsidR="00541125" w:rsidRPr="000F1CBD" w:rsidRDefault="00541125" w:rsidP="00BC6D65">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Category</w:t>
            </w:r>
          </w:p>
        </w:tc>
        <w:tc>
          <w:tcPr>
            <w:tcW w:w="2126"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39C102B5" w14:textId="77777777" w:rsidR="00541125" w:rsidRPr="000F1CBD" w:rsidRDefault="00541125" w:rsidP="00BC6D65">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2024 values</w:t>
            </w:r>
          </w:p>
        </w:tc>
        <w:tc>
          <w:tcPr>
            <w:tcW w:w="2693"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3C91B53E" w14:textId="77777777" w:rsidR="00541125" w:rsidRPr="000F1CBD" w:rsidRDefault="00541125" w:rsidP="00BC6D65">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Proposed 2025 values</w:t>
            </w:r>
          </w:p>
        </w:tc>
      </w:tr>
      <w:tr w:rsidR="00541125" w:rsidRPr="00A73069" w14:paraId="79B9957C" w14:textId="77777777" w:rsidTr="00BC6D65">
        <w:trPr>
          <w:trHeight w:val="443"/>
        </w:trPr>
        <w:tc>
          <w:tcPr>
            <w:tcW w:w="3818"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6646E0CF"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Base risk factor</w:t>
            </w:r>
          </w:p>
        </w:tc>
        <w:tc>
          <w:tcPr>
            <w:tcW w:w="5103"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482B6208"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All non-exempt providers</w:t>
            </w:r>
          </w:p>
        </w:tc>
        <w:tc>
          <w:tcPr>
            <w:tcW w:w="2126"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435C97E9"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523C98AA"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r>
      <w:tr w:rsidR="00541125" w:rsidRPr="00A73069" w14:paraId="66F7ADB4" w14:textId="77777777" w:rsidTr="00BC6D65">
        <w:trPr>
          <w:trHeight w:val="402"/>
        </w:trPr>
        <w:tc>
          <w:tcPr>
            <w:tcW w:w="3818" w:type="dxa"/>
            <w:vMerge w:val="restart"/>
            <w:tcBorders>
              <w:top w:val="single" w:sz="8" w:space="0" w:color="FFFFFF"/>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FA8AD2E"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Length of operation</w:t>
            </w: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508B6B8"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Less than 1 year</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A569819"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0715B61A"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r>
      <w:tr w:rsidR="00541125" w:rsidRPr="00A73069" w14:paraId="124B7800" w14:textId="77777777" w:rsidTr="00BC6D65">
        <w:trPr>
          <w:trHeight w:val="402"/>
        </w:trPr>
        <w:tc>
          <w:tcPr>
            <w:tcW w:w="3818"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46CFBD50"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2A9E879F"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 year to less than 2 years</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EC5A546"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0.5</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F621EFC" w14:textId="77777777" w:rsidR="00541125" w:rsidRPr="000F1CBD" w:rsidRDefault="00541125" w:rsidP="00BC6D65">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0.5</w:t>
            </w:r>
          </w:p>
        </w:tc>
      </w:tr>
      <w:tr w:rsidR="00541125" w:rsidRPr="00A73069" w14:paraId="239CDBA4" w14:textId="77777777" w:rsidTr="00BC6D65">
        <w:trPr>
          <w:trHeight w:val="402"/>
        </w:trPr>
        <w:tc>
          <w:tcPr>
            <w:tcW w:w="3818" w:type="dxa"/>
            <w:vMerge/>
            <w:tcBorders>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447524B"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F2CED39"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 years or more</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299585CA"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83A676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541125" w:rsidRPr="00A73069" w14:paraId="378C790D" w14:textId="77777777" w:rsidTr="00BC6D65">
        <w:trPr>
          <w:trHeight w:val="453"/>
        </w:trPr>
        <w:tc>
          <w:tcPr>
            <w:tcW w:w="3818" w:type="dxa"/>
            <w:vMerge w:val="restart"/>
            <w:tcBorders>
              <w:top w:val="single" w:sz="8" w:space="0" w:color="FFFFFF"/>
              <w:left w:val="single" w:sz="8" w:space="0" w:color="FFFFFF"/>
              <w:right w:val="single" w:sz="8" w:space="0" w:color="FFFFFF"/>
            </w:tcBorders>
            <w:shd w:val="clear" w:color="auto" w:fill="D5DDE1"/>
            <w:tcMar>
              <w:top w:w="72" w:type="dxa"/>
              <w:left w:w="144" w:type="dxa"/>
              <w:bottom w:w="72" w:type="dxa"/>
              <w:right w:w="144" w:type="dxa"/>
            </w:tcMar>
            <w:vAlign w:val="center"/>
          </w:tcPr>
          <w:p w14:paraId="53A2EF87" w14:textId="77777777" w:rsidR="00541125" w:rsidRDefault="00541125" w:rsidP="00BC6D65">
            <w:pPr>
              <w:spacing w:before="0" w:after="0" w:line="264" w:lineRule="auto"/>
              <w:jc w:val="center"/>
              <w:rPr>
                <w:rFonts w:ascii="Calibri" w:eastAsia="Times New Roman" w:hAnsi="Calibri" w:cs="Calibri"/>
                <w:color w:val="000000"/>
                <w:kern w:val="24"/>
                <w:sz w:val="22"/>
                <w:szCs w:val="22"/>
                <w:lang w:eastAsia="en-AU"/>
              </w:rPr>
            </w:pPr>
          </w:p>
          <w:p w14:paraId="2CCBFCCA" w14:textId="77777777" w:rsidR="00541125" w:rsidRDefault="00541125" w:rsidP="00BC6D65">
            <w:pPr>
              <w:spacing w:before="0" w:after="0" w:line="264" w:lineRule="auto"/>
              <w:jc w:val="center"/>
              <w:rPr>
                <w:rFonts w:ascii="Calibri" w:eastAsia="Times New Roman" w:hAnsi="Calibri" w:cs="Calibri"/>
                <w:color w:val="000000"/>
                <w:kern w:val="24"/>
                <w:sz w:val="22"/>
                <w:szCs w:val="22"/>
                <w:lang w:eastAsia="en-AU"/>
              </w:rPr>
            </w:pPr>
          </w:p>
          <w:p w14:paraId="28AD96B1" w14:textId="77777777" w:rsidR="00541125" w:rsidRDefault="00541125" w:rsidP="00BC6D65">
            <w:pPr>
              <w:spacing w:before="0" w:after="0" w:line="264" w:lineRule="auto"/>
              <w:jc w:val="center"/>
              <w:rPr>
                <w:rFonts w:ascii="Calibri" w:eastAsia="Times New Roman" w:hAnsi="Calibri" w:cs="Calibri"/>
                <w:color w:val="000000"/>
                <w:kern w:val="24"/>
                <w:sz w:val="22"/>
                <w:szCs w:val="22"/>
                <w:lang w:eastAsia="en-AU"/>
              </w:rPr>
            </w:pPr>
          </w:p>
          <w:p w14:paraId="267ADED1" w14:textId="77777777" w:rsidR="00541125" w:rsidRDefault="00541125"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r w:rsidRPr="000F1CBD">
              <w:rPr>
                <w:rFonts w:ascii="Calibri" w:eastAsia="Times New Roman" w:hAnsi="Calibri" w:cs="Calibri"/>
                <w:color w:val="000000"/>
                <w:kern w:val="24"/>
                <w:sz w:val="22"/>
                <w:szCs w:val="22"/>
                <w:lang w:eastAsia="en-AU"/>
              </w:rPr>
              <w:t>Volatility in overseas student enrolments</w:t>
            </w:r>
            <w:r w:rsidRPr="000F1CBD">
              <w:rPr>
                <w:rStyle w:val="FootnoteReference"/>
                <w:rFonts w:ascii="Calibri" w:eastAsia="Times New Roman" w:hAnsi="Calibri" w:cs="Calibri"/>
                <w:b/>
                <w:bCs/>
                <w:color w:val="000000"/>
                <w:kern w:val="24"/>
                <w:sz w:val="22"/>
                <w:szCs w:val="22"/>
                <w:lang w:eastAsia="en-AU"/>
              </w:rPr>
              <w:footnoteReference w:id="2"/>
            </w:r>
            <w:r w:rsidRPr="000F1CBD">
              <w:rPr>
                <w:rFonts w:ascii="Calibri" w:eastAsia="Times New Roman" w:hAnsi="Calibri" w:cs="Calibri"/>
                <w:b/>
                <w:bCs/>
                <w:color w:val="000000"/>
                <w:kern w:val="24"/>
                <w:sz w:val="22"/>
                <w:szCs w:val="22"/>
                <w:vertAlign w:val="superscript"/>
                <w:lang w:eastAsia="en-AU"/>
              </w:rPr>
              <w:t>,</w:t>
            </w:r>
            <w:r w:rsidRPr="000F1CBD">
              <w:rPr>
                <w:rStyle w:val="FootnoteReference"/>
                <w:rFonts w:ascii="Calibri" w:eastAsia="Times New Roman" w:hAnsi="Calibri" w:cs="Calibri"/>
                <w:b/>
                <w:bCs/>
                <w:color w:val="000000"/>
                <w:kern w:val="24"/>
                <w:sz w:val="22"/>
                <w:szCs w:val="22"/>
                <w:lang w:eastAsia="en-AU"/>
              </w:rPr>
              <w:footnoteReference w:id="3"/>
            </w:r>
            <w:r w:rsidRPr="000F1CBD">
              <w:rPr>
                <w:rFonts w:ascii="Calibri" w:eastAsia="Times New Roman" w:hAnsi="Calibri" w:cs="Calibri"/>
                <w:b/>
                <w:bCs/>
                <w:color w:val="000000"/>
                <w:kern w:val="24"/>
                <w:sz w:val="22"/>
                <w:szCs w:val="22"/>
                <w:vertAlign w:val="superscript"/>
                <w:lang w:eastAsia="en-AU"/>
              </w:rPr>
              <w:t>,</w:t>
            </w:r>
            <w:r w:rsidRPr="000F1CBD">
              <w:rPr>
                <w:rStyle w:val="FootnoteReference"/>
                <w:rFonts w:ascii="Calibri" w:eastAsia="Times New Roman" w:hAnsi="Calibri" w:cs="Calibri"/>
                <w:b/>
                <w:bCs/>
                <w:color w:val="000000"/>
                <w:kern w:val="24"/>
                <w:sz w:val="22"/>
                <w:szCs w:val="22"/>
                <w:lang w:eastAsia="en-AU"/>
              </w:rPr>
              <w:footnoteReference w:id="4"/>
            </w:r>
            <w:r w:rsidRPr="000F1CBD">
              <w:rPr>
                <w:rFonts w:ascii="Calibri" w:eastAsia="Times New Roman" w:hAnsi="Calibri" w:cs="Calibri"/>
                <w:b/>
                <w:bCs/>
                <w:color w:val="000000"/>
                <w:kern w:val="24"/>
                <w:sz w:val="22"/>
                <w:szCs w:val="22"/>
                <w:vertAlign w:val="superscript"/>
                <w:lang w:eastAsia="en-AU"/>
              </w:rPr>
              <w:t>,</w:t>
            </w:r>
            <w:r w:rsidRPr="000F1CBD">
              <w:rPr>
                <w:rStyle w:val="FootnoteReference"/>
                <w:rFonts w:ascii="Calibri" w:eastAsia="Times New Roman" w:hAnsi="Calibri" w:cs="Calibri"/>
                <w:b/>
                <w:bCs/>
                <w:color w:val="000000"/>
                <w:kern w:val="24"/>
                <w:sz w:val="22"/>
                <w:szCs w:val="22"/>
                <w:lang w:eastAsia="en-AU"/>
              </w:rPr>
              <w:footnoteReference w:id="5"/>
            </w:r>
          </w:p>
          <w:p w14:paraId="52C2BB96" w14:textId="77777777" w:rsidR="00541125" w:rsidRDefault="00541125"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13A34429" w14:textId="77777777" w:rsidR="00541125" w:rsidRDefault="00541125"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797A8420" w14:textId="77777777" w:rsidR="00541125" w:rsidRDefault="00541125"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6C2BB868" w14:textId="77777777" w:rsidR="00541125" w:rsidRDefault="00541125"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644E667D" w14:textId="77777777" w:rsidR="00541125" w:rsidRDefault="00541125"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2EBEBB3A" w14:textId="77777777" w:rsidR="00541125" w:rsidRDefault="00541125" w:rsidP="00BC6D65">
            <w:pPr>
              <w:spacing w:before="0" w:after="0" w:line="264" w:lineRule="auto"/>
              <w:rPr>
                <w:rFonts w:ascii="Calibri" w:eastAsia="Times New Roman" w:hAnsi="Calibri" w:cs="Calibri"/>
                <w:b/>
                <w:bCs/>
                <w:color w:val="000000"/>
                <w:kern w:val="24"/>
                <w:sz w:val="22"/>
                <w:szCs w:val="22"/>
                <w:vertAlign w:val="superscript"/>
                <w:lang w:eastAsia="en-AU"/>
              </w:rPr>
            </w:pPr>
          </w:p>
          <w:p w14:paraId="66217689" w14:textId="77777777" w:rsidR="00541125" w:rsidRDefault="00541125"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19B43243" w14:textId="77777777" w:rsidR="00DE1E82" w:rsidRDefault="00DE1E82" w:rsidP="00BC6D65">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2CCD5723" w14:textId="77777777" w:rsidR="00541125"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Volatility in overseas student enrolments</w:t>
            </w:r>
          </w:p>
          <w:p w14:paraId="5C94ACBC"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(continued)</w:t>
            </w: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EB38C07"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lastRenderedPageBreak/>
              <w:t>120% or more</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90FB95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B452AEC"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r>
      <w:tr w:rsidR="00541125" w:rsidRPr="00A73069" w14:paraId="6DCEA1BF" w14:textId="77777777" w:rsidTr="00BC6D65">
        <w:trPr>
          <w:trHeight w:val="453"/>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230CAEFB"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8A1A30F"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105% to less than 120%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BF9420E"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467D12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r>
      <w:tr w:rsidR="00541125" w:rsidRPr="00A73069" w14:paraId="3520E27E" w14:textId="77777777" w:rsidTr="00BC6D65">
        <w:trPr>
          <w:trHeight w:val="453"/>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2B201685"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90CC92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90% to less than 105%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A8DB90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A0035E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2.5</w:t>
            </w:r>
          </w:p>
        </w:tc>
      </w:tr>
      <w:tr w:rsidR="00541125" w:rsidRPr="00A73069" w14:paraId="70B10B7E" w14:textId="77777777" w:rsidTr="00BC6D65">
        <w:trPr>
          <w:trHeight w:val="453"/>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499DD41D"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6DF3C4B"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75% to less than 90%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D18E854"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F95CB9D"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1.8</w:t>
            </w:r>
          </w:p>
        </w:tc>
      </w:tr>
      <w:tr w:rsidR="00541125" w:rsidRPr="00A73069" w14:paraId="68F0813B" w14:textId="77777777" w:rsidTr="00BC6D65">
        <w:trPr>
          <w:trHeight w:val="453"/>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5312C939"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themeColor="background1"/>
              <w:right w:val="single" w:sz="8" w:space="0" w:color="FFFFFF"/>
            </w:tcBorders>
            <w:shd w:val="clear" w:color="auto" w:fill="D5DDE1"/>
            <w:tcMar>
              <w:top w:w="72" w:type="dxa"/>
              <w:left w:w="144" w:type="dxa"/>
              <w:bottom w:w="72" w:type="dxa"/>
              <w:right w:w="144" w:type="dxa"/>
            </w:tcMar>
            <w:vAlign w:val="center"/>
          </w:tcPr>
          <w:p w14:paraId="12BE71A4"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60% to less than 75%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F1A639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26A73FD"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1.2</w:t>
            </w:r>
          </w:p>
        </w:tc>
      </w:tr>
      <w:tr w:rsidR="00541125" w:rsidRPr="00A73069" w14:paraId="2A430B6B" w14:textId="77777777" w:rsidTr="00BC6D65">
        <w:trPr>
          <w:trHeight w:val="453"/>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6D9AA9D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themeColor="background1"/>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172B582"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45% to less than 60%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8AA27C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2C3BD55"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0.6</w:t>
            </w:r>
          </w:p>
        </w:tc>
      </w:tr>
      <w:tr w:rsidR="00541125" w:rsidRPr="00A73069" w14:paraId="752AD3E6" w14:textId="77777777" w:rsidTr="00BC6D65">
        <w:trPr>
          <w:trHeight w:val="453"/>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6919E1C9"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0F7CBAA"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 to less than 45%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D4D04F5"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EC420CA"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0.4</w:t>
            </w:r>
          </w:p>
        </w:tc>
      </w:tr>
      <w:tr w:rsidR="00541125" w:rsidRPr="00A73069" w14:paraId="44482286" w14:textId="77777777" w:rsidTr="00BC6D65">
        <w:trPr>
          <w:trHeight w:val="453"/>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07101BC3"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005CF66"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 to less than 30%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9F24170"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DC5472B"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541125" w:rsidRPr="00A73069" w14:paraId="471B7C2F" w14:textId="77777777" w:rsidTr="009D22E6">
        <w:trPr>
          <w:trHeight w:val="454"/>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hideMark/>
          </w:tcPr>
          <w:p w14:paraId="1E6149B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555E5EC"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 to less than -15%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B624C8E"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51F9172"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w:t>
            </w:r>
          </w:p>
        </w:tc>
      </w:tr>
      <w:tr w:rsidR="00541125" w:rsidRPr="00A73069" w14:paraId="22E17D3A" w14:textId="77777777" w:rsidTr="009D22E6">
        <w:trPr>
          <w:trHeight w:val="454"/>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0477F2A4"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8A42FB5"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-45% to less than -30%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DC6FA17"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574F4D5"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r>
      <w:tr w:rsidR="00541125" w:rsidRPr="00A73069" w14:paraId="7D48F49A" w14:textId="77777777" w:rsidTr="009D22E6">
        <w:trPr>
          <w:trHeight w:val="454"/>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3F8DD8A3"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FBCB264"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-60% to less than -45%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514839D"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F09FD5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r>
      <w:tr w:rsidR="00541125" w:rsidRPr="00A73069" w14:paraId="425C12B1" w14:textId="77777777" w:rsidTr="009D22E6">
        <w:trPr>
          <w:trHeight w:val="454"/>
        </w:trPr>
        <w:tc>
          <w:tcPr>
            <w:tcW w:w="3818" w:type="dxa"/>
            <w:vMerge/>
            <w:tcBorders>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2DCBDC4"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968F1EE"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Less than -60%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A15F653"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797B733"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r>
      <w:tr w:rsidR="00541125" w:rsidRPr="00A73069" w14:paraId="4A8B2F68" w14:textId="77777777" w:rsidTr="009D22E6">
        <w:trPr>
          <w:trHeight w:val="454"/>
        </w:trPr>
        <w:tc>
          <w:tcPr>
            <w:tcW w:w="3818" w:type="dxa"/>
            <w:vMerge w:val="restart"/>
            <w:tcBorders>
              <w:top w:val="single" w:sz="8" w:space="0" w:color="FFFFFF"/>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145F11B"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Maximum overseas source country concentration</w:t>
            </w:r>
            <w:r w:rsidRPr="000F1CBD">
              <w:rPr>
                <w:rStyle w:val="FootnoteReference"/>
                <w:rFonts w:ascii="Calibri" w:eastAsia="Times New Roman" w:hAnsi="Calibri" w:cs="Calibri"/>
                <w:color w:val="000000"/>
                <w:kern w:val="24"/>
                <w:sz w:val="22"/>
                <w:szCs w:val="22"/>
                <w:lang w:eastAsia="en-AU"/>
              </w:rPr>
              <w:footnoteReference w:id="6"/>
            </w: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33F8CB9"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80% or more</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48066EF9"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3.1</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39DC1129"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3.1</w:t>
            </w:r>
          </w:p>
        </w:tc>
      </w:tr>
      <w:tr w:rsidR="00541125" w:rsidRPr="00A73069" w14:paraId="65AC5078" w14:textId="77777777" w:rsidTr="009D22E6">
        <w:trPr>
          <w:trHeight w:val="454"/>
        </w:trPr>
        <w:tc>
          <w:tcPr>
            <w:tcW w:w="3818"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58A676A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521F42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50% to less than 80%</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29F5036"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34D4E044"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r>
      <w:tr w:rsidR="00541125" w:rsidRPr="00A73069" w14:paraId="5991FE87" w14:textId="77777777" w:rsidTr="009D22E6">
        <w:trPr>
          <w:trHeight w:val="454"/>
        </w:trPr>
        <w:tc>
          <w:tcPr>
            <w:tcW w:w="3818"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E97EC2E"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454C595B"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25% to less than 50%</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D0CDE30"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0.3</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1B4A105"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0.3</w:t>
            </w:r>
          </w:p>
        </w:tc>
      </w:tr>
      <w:tr w:rsidR="00541125" w:rsidRPr="00A73069" w14:paraId="0FD3E668" w14:textId="77777777" w:rsidTr="009D22E6">
        <w:trPr>
          <w:trHeight w:val="454"/>
        </w:trPr>
        <w:tc>
          <w:tcPr>
            <w:tcW w:w="3818" w:type="dxa"/>
            <w:vMerge/>
            <w:tcBorders>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50DE665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F092DFC"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Less than 25%</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E360B98"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A678131" w14:textId="77777777" w:rsidR="00541125" w:rsidRPr="000F1CBD" w:rsidRDefault="00541125" w:rsidP="00BC6D65">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541125" w:rsidRPr="00A73069" w14:paraId="78639A12" w14:textId="77777777" w:rsidTr="00BC6D65">
        <w:trPr>
          <w:trHeight w:val="425"/>
        </w:trPr>
        <w:tc>
          <w:tcPr>
            <w:tcW w:w="3818" w:type="dxa"/>
            <w:vMerge w:val="restart"/>
            <w:tcBorders>
              <w:top w:val="single" w:sz="8" w:space="0" w:color="FFFFFF"/>
              <w:left w:val="single" w:sz="8" w:space="0" w:color="FFFFFF"/>
              <w:right w:val="single" w:sz="8" w:space="0" w:color="FFFFFF"/>
            </w:tcBorders>
            <w:shd w:val="clear" w:color="auto" w:fill="D5DDE1"/>
            <w:tcMar>
              <w:top w:w="72" w:type="dxa"/>
              <w:left w:w="144" w:type="dxa"/>
              <w:bottom w:w="72" w:type="dxa"/>
              <w:right w:w="144" w:type="dxa"/>
            </w:tcMar>
            <w:vAlign w:val="center"/>
            <w:hideMark/>
          </w:tcPr>
          <w:p w14:paraId="4F3AE0B3"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lastRenderedPageBreak/>
              <w:t>Non-compliance and registration renewal</w:t>
            </w:r>
            <w:r w:rsidRPr="000F1CBD">
              <w:rPr>
                <w:rStyle w:val="FootnoteReference"/>
                <w:rFonts w:ascii="Calibri" w:eastAsia="Times New Roman" w:hAnsi="Calibri" w:cs="Calibri"/>
                <w:color w:val="000000"/>
                <w:kern w:val="24"/>
                <w:sz w:val="22"/>
                <w:szCs w:val="22"/>
                <w:lang w:eastAsia="en-AU"/>
              </w:rPr>
              <w:footnoteReference w:id="7"/>
            </w: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20CB005B" w14:textId="77777777" w:rsidR="00541125" w:rsidRPr="000F1CBD" w:rsidRDefault="00541125" w:rsidP="00BC6D65">
            <w:pPr>
              <w:pStyle w:val="subsection"/>
              <w:keepNext/>
              <w:spacing w:before="0"/>
              <w:ind w:left="0" w:firstLine="0"/>
              <w:jc w:val="center"/>
              <w:rPr>
                <w:rFonts w:asciiTheme="minorHAnsi" w:hAnsiTheme="minorHAnsi" w:cstheme="minorHAnsi"/>
                <w:color w:val="000000"/>
                <w:kern w:val="24"/>
                <w:sz w:val="22"/>
                <w:szCs w:val="22"/>
              </w:rPr>
            </w:pPr>
            <w:r w:rsidRPr="000F1CBD">
              <w:rPr>
                <w:rFonts w:asciiTheme="minorHAnsi" w:hAnsiTheme="minorHAnsi" w:cstheme="minorHAnsi"/>
                <w:sz w:val="22"/>
                <w:szCs w:val="22"/>
              </w:rPr>
              <w:t>Weighted late payment measure of 30 days or more</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26D967EB"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7D74796F"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r>
      <w:tr w:rsidR="00541125" w:rsidRPr="00A73069" w14:paraId="611A6B60" w14:textId="77777777" w:rsidTr="00BC6D65">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201AA365"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8FB2119" w14:textId="77777777" w:rsidR="00541125" w:rsidRPr="000F1CBD" w:rsidRDefault="00541125" w:rsidP="00BC6D65">
            <w:pPr>
              <w:pStyle w:val="subsection"/>
              <w:keepNext/>
              <w:spacing w:before="0"/>
              <w:ind w:left="0" w:firstLine="0"/>
              <w:jc w:val="center"/>
              <w:rPr>
                <w:rFonts w:asciiTheme="minorHAnsi" w:hAnsiTheme="minorHAnsi" w:cstheme="minorHAnsi"/>
                <w:sz w:val="22"/>
                <w:szCs w:val="22"/>
              </w:rPr>
            </w:pPr>
            <w:r w:rsidRPr="000F1CBD">
              <w:rPr>
                <w:rFonts w:asciiTheme="minorHAnsi" w:hAnsiTheme="minorHAnsi" w:cstheme="minorHAnsi"/>
                <w:sz w:val="22"/>
                <w:szCs w:val="22"/>
              </w:rPr>
              <w:t>Weighted late payment measure of 15 days or more but less than 30 days</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53199E5"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0.9</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AE9A98E"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0.9</w:t>
            </w:r>
          </w:p>
        </w:tc>
      </w:tr>
      <w:tr w:rsidR="00541125" w:rsidRPr="00A73069" w14:paraId="30841AB1" w14:textId="77777777" w:rsidTr="00BC6D65">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4D9623F5"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3EE3EEE"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Weighted late payment measure of 1 day or more but less than 15 days</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5F0EA88"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662347A"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r>
      <w:tr w:rsidR="00541125" w:rsidRPr="00A73069" w14:paraId="590E38B2" w14:textId="77777777" w:rsidTr="00BC6D65">
        <w:trPr>
          <w:trHeight w:val="425"/>
        </w:trPr>
        <w:tc>
          <w:tcPr>
            <w:tcW w:w="3818" w:type="dxa"/>
            <w:vMerge/>
            <w:tcBorders>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700C134"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300DDFA"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Weighted late payment measure of less than 1 day</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350A3D9"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7AAA87B" w14:textId="77777777" w:rsidR="00541125" w:rsidRPr="000F1CBD" w:rsidRDefault="00541125" w:rsidP="00BC6D65">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541125" w:rsidRPr="00A73069" w14:paraId="24CBCCD0" w14:textId="77777777" w:rsidTr="00BC6D65">
        <w:trPr>
          <w:trHeight w:val="967"/>
        </w:trPr>
        <w:tc>
          <w:tcPr>
            <w:tcW w:w="3818" w:type="dxa"/>
            <w:vMerge w:val="restart"/>
            <w:tcBorders>
              <w:top w:val="single" w:sz="8" w:space="0" w:color="FFFFFF"/>
              <w:left w:val="single" w:sz="8" w:space="0" w:color="FFFFFF"/>
              <w:right w:val="single" w:sz="8" w:space="0" w:color="FFFFFF"/>
            </w:tcBorders>
            <w:shd w:val="clear" w:color="auto" w:fill="D5DDE1"/>
            <w:tcMar>
              <w:top w:w="72" w:type="dxa"/>
              <w:left w:w="144" w:type="dxa"/>
              <w:bottom w:w="72" w:type="dxa"/>
              <w:right w:w="144" w:type="dxa"/>
            </w:tcMar>
            <w:vAlign w:val="center"/>
          </w:tcPr>
          <w:p w14:paraId="11A1DF7B"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Plus</w:t>
            </w: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A072ADC"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 xml:space="preserve">Provider has had action mentioned in section 83 of the </w:t>
            </w:r>
            <w:r w:rsidRPr="00E96200">
              <w:rPr>
                <w:rFonts w:ascii="Calibri" w:eastAsia="Times New Roman" w:hAnsi="Calibri" w:cs="Calibri"/>
                <w:i/>
                <w:iCs/>
                <w:color w:val="000000"/>
                <w:kern w:val="24"/>
                <w:sz w:val="22"/>
                <w:szCs w:val="22"/>
                <w:lang w:eastAsia="en-AU"/>
              </w:rPr>
              <w:t>Education Services for Overseas Students Act 2000</w:t>
            </w:r>
            <w:r w:rsidRPr="000F1CBD">
              <w:rPr>
                <w:rFonts w:ascii="Calibri" w:eastAsia="Times New Roman" w:hAnsi="Calibri" w:cs="Calibri"/>
                <w:color w:val="000000"/>
                <w:kern w:val="24"/>
                <w:sz w:val="22"/>
                <w:szCs w:val="22"/>
                <w:lang w:eastAsia="en-AU"/>
              </w:rPr>
              <w:t xml:space="preserve"> taken against it in the past year</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003DDBD"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F5E6EC2"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r>
      <w:tr w:rsidR="00541125" w:rsidRPr="00A73069" w14:paraId="61B8F3D8" w14:textId="77777777" w:rsidTr="00BC6D65">
        <w:trPr>
          <w:trHeight w:val="759"/>
        </w:trPr>
        <w:tc>
          <w:tcPr>
            <w:tcW w:w="3818" w:type="dxa"/>
            <w:vMerge/>
            <w:tcBorders>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97D1437"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E7D54DB"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Registration renewed by regulator for shorter than maximum period due to risk management</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92D04FC"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F2536ED" w14:textId="77777777" w:rsidR="00541125" w:rsidRPr="000F1CBD" w:rsidRDefault="00541125" w:rsidP="00751083">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r>
    </w:tbl>
    <w:p w14:paraId="0F6F85D4" w14:textId="77777777" w:rsidR="00541125" w:rsidRDefault="00541125" w:rsidP="00541125">
      <w:pPr>
        <w:spacing w:before="0" w:after="0" w:line="264" w:lineRule="auto"/>
        <w:jc w:val="center"/>
        <w:rPr>
          <w:rFonts w:ascii="Calibri" w:eastAsia="Times New Roman" w:hAnsi="Calibri" w:cs="Calibri"/>
          <w:color w:val="000000"/>
          <w:kern w:val="24"/>
          <w:sz w:val="24"/>
          <w:szCs w:val="24"/>
          <w:lang w:eastAsia="en-AU"/>
        </w:rPr>
      </w:pPr>
    </w:p>
    <w:p w14:paraId="64EA693D" w14:textId="77777777" w:rsidR="00220523" w:rsidRPr="00D859AB" w:rsidRDefault="00220523" w:rsidP="00541125">
      <w:pPr>
        <w:spacing w:before="0" w:after="0" w:line="259" w:lineRule="auto"/>
        <w:rPr>
          <w:rFonts w:cstheme="minorHAnsi"/>
          <w:sz w:val="22"/>
          <w:szCs w:val="22"/>
        </w:rPr>
      </w:pPr>
    </w:p>
    <w:sectPr w:rsidR="00220523" w:rsidRPr="00D859AB" w:rsidSect="006C40EB">
      <w:footerReference w:type="first" r:id="rId12"/>
      <w:pgSz w:w="16838" w:h="11906" w:orient="landscape"/>
      <w:pgMar w:top="1134" w:right="1103" w:bottom="14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57AB2" w14:textId="77777777" w:rsidR="005273EB" w:rsidRDefault="005273EB" w:rsidP="00730064">
      <w:pPr>
        <w:spacing w:after="0" w:line="240" w:lineRule="auto"/>
      </w:pPr>
      <w:r>
        <w:separator/>
      </w:r>
    </w:p>
  </w:endnote>
  <w:endnote w:type="continuationSeparator" w:id="0">
    <w:p w14:paraId="109552C9" w14:textId="77777777" w:rsidR="005273EB" w:rsidRDefault="005273EB" w:rsidP="00730064">
      <w:pPr>
        <w:spacing w:after="0" w:line="240" w:lineRule="auto"/>
      </w:pPr>
      <w:r>
        <w:continuationSeparator/>
      </w:r>
    </w:p>
  </w:endnote>
  <w:endnote w:type="continuationNotice" w:id="1">
    <w:p w14:paraId="47DAAC34" w14:textId="77777777" w:rsidR="005273EB" w:rsidRDefault="005273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17D0" w14:textId="77777777" w:rsidR="00541125" w:rsidRPr="00054C1A" w:rsidRDefault="00541125" w:rsidP="00054C1A">
    <w:pPr>
      <w:jc w:val="center"/>
      <w:rPr>
        <w:rFonts w:eastAsia="Times New Roman" w:cstheme="minorHAnsi"/>
        <w:color w:val="0563C1"/>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380A" w14:textId="6A94E02A" w:rsidR="00BB4CB5" w:rsidRPr="00054C1A" w:rsidRDefault="00BB4CB5" w:rsidP="00054C1A">
    <w:pPr>
      <w:jc w:val="center"/>
      <w:rPr>
        <w:rFonts w:eastAsia="Times New Roman" w:cstheme="minorHAnsi"/>
        <w:color w:val="0563C1"/>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CEEB6" w14:textId="77777777" w:rsidR="005273EB" w:rsidRDefault="005273EB" w:rsidP="00730064">
      <w:pPr>
        <w:spacing w:after="0" w:line="240" w:lineRule="auto"/>
      </w:pPr>
      <w:r>
        <w:separator/>
      </w:r>
    </w:p>
  </w:footnote>
  <w:footnote w:type="continuationSeparator" w:id="0">
    <w:p w14:paraId="58422C43" w14:textId="77777777" w:rsidR="005273EB" w:rsidRDefault="005273EB" w:rsidP="00730064">
      <w:pPr>
        <w:spacing w:after="0" w:line="240" w:lineRule="auto"/>
      </w:pPr>
      <w:r>
        <w:continuationSeparator/>
      </w:r>
    </w:p>
  </w:footnote>
  <w:footnote w:type="continuationNotice" w:id="1">
    <w:p w14:paraId="53764D54" w14:textId="77777777" w:rsidR="005273EB" w:rsidRDefault="005273EB">
      <w:pPr>
        <w:spacing w:before="0" w:after="0" w:line="240" w:lineRule="auto"/>
      </w:pPr>
    </w:p>
  </w:footnote>
  <w:footnote w:id="2">
    <w:p w14:paraId="463BD164" w14:textId="77777777" w:rsidR="00541125" w:rsidRPr="000F1CBD" w:rsidRDefault="00541125" w:rsidP="00541125">
      <w:pPr>
        <w:pStyle w:val="FootnoteText"/>
        <w:tabs>
          <w:tab w:val="left" w:pos="13892"/>
        </w:tabs>
        <w:ind w:right="372"/>
      </w:pPr>
      <w:r w:rsidRPr="00D27A9D">
        <w:rPr>
          <w:rStyle w:val="FootnoteReference"/>
          <w:b/>
          <w:bCs/>
          <w:sz w:val="22"/>
          <w:szCs w:val="22"/>
        </w:rPr>
        <w:footnoteRef/>
      </w:r>
      <w:r w:rsidRPr="00D27A9D">
        <w:rPr>
          <w:b/>
          <w:bCs/>
          <w:sz w:val="22"/>
          <w:szCs w:val="22"/>
        </w:rPr>
        <w:t xml:space="preserve"> </w:t>
      </w:r>
      <w:r w:rsidRPr="000F1CBD">
        <w:t>Risk factor only applies to providers that have been in operation for 2 years or more and in the previous year had at least 20 students enrolled or $400,000 or more in tuition fee income</w:t>
      </w:r>
    </w:p>
  </w:footnote>
  <w:footnote w:id="3">
    <w:p w14:paraId="7FDCB1C8" w14:textId="77777777" w:rsidR="00541125" w:rsidRPr="000F1CBD" w:rsidRDefault="00541125" w:rsidP="00541125">
      <w:pPr>
        <w:spacing w:before="0" w:after="0"/>
        <w:rPr>
          <w:rFonts w:cstheme="minorHAnsi"/>
          <w:bCs/>
        </w:rPr>
      </w:pPr>
      <w:r w:rsidRPr="000F1CBD">
        <w:rPr>
          <w:rStyle w:val="FootnoteReference"/>
          <w:b/>
          <w:bCs/>
        </w:rPr>
        <w:footnoteRef/>
      </w:r>
      <w:r w:rsidRPr="000F1CBD">
        <w:rPr>
          <w:b/>
          <w:bCs/>
        </w:rPr>
        <w:t xml:space="preserve"> </w:t>
      </w:r>
      <w:r w:rsidRPr="000F1CBD">
        <w:rPr>
          <w:rFonts w:cstheme="minorHAnsi"/>
          <w:bCs/>
        </w:rPr>
        <w:t xml:space="preserve">The risk factor value is discounted as follows: </w:t>
      </w:r>
    </w:p>
    <w:p w14:paraId="509D384C" w14:textId="77777777" w:rsidR="00541125" w:rsidRPr="000F1CBD" w:rsidRDefault="00541125" w:rsidP="00541125">
      <w:pPr>
        <w:pStyle w:val="ListParagraph"/>
        <w:numPr>
          <w:ilvl w:val="1"/>
          <w:numId w:val="11"/>
        </w:numPr>
        <w:spacing w:before="0"/>
        <w:rPr>
          <w:rFonts w:cstheme="minorHAnsi"/>
          <w:bCs/>
        </w:rPr>
      </w:pPr>
      <w:r w:rsidRPr="000F1CBD">
        <w:rPr>
          <w:rFonts w:cstheme="minorHAnsi"/>
          <w:bCs/>
        </w:rPr>
        <w:t>100% for providers with a length of operation of 0 years to less than 2 years</w:t>
      </w:r>
    </w:p>
    <w:p w14:paraId="3A859227" w14:textId="77777777" w:rsidR="00541125" w:rsidRPr="000F1CBD" w:rsidRDefault="00541125" w:rsidP="00541125">
      <w:pPr>
        <w:pStyle w:val="ListParagraph"/>
        <w:numPr>
          <w:ilvl w:val="1"/>
          <w:numId w:val="11"/>
        </w:numPr>
        <w:spacing w:before="0"/>
        <w:rPr>
          <w:rFonts w:cstheme="minorHAnsi"/>
          <w:bCs/>
        </w:rPr>
      </w:pPr>
      <w:r w:rsidRPr="000F1CBD">
        <w:rPr>
          <w:rFonts w:cstheme="minorHAnsi"/>
          <w:bCs/>
        </w:rPr>
        <w:t>75% for providers with a length of operation of 2 years to less than 3 years</w:t>
      </w:r>
    </w:p>
    <w:p w14:paraId="3144B424" w14:textId="77777777" w:rsidR="00541125" w:rsidRPr="000F1CBD" w:rsidRDefault="00541125" w:rsidP="00541125">
      <w:pPr>
        <w:pStyle w:val="ListParagraph"/>
        <w:numPr>
          <w:ilvl w:val="1"/>
          <w:numId w:val="11"/>
        </w:numPr>
        <w:spacing w:before="0"/>
        <w:rPr>
          <w:rFonts w:cstheme="minorHAnsi"/>
          <w:bCs/>
        </w:rPr>
      </w:pPr>
      <w:r w:rsidRPr="000F1CBD">
        <w:rPr>
          <w:rFonts w:cstheme="minorHAnsi"/>
          <w:bCs/>
        </w:rPr>
        <w:t>50% for providers with a length of operation of 3 years to less than 4 years</w:t>
      </w:r>
    </w:p>
    <w:p w14:paraId="33BF97FB" w14:textId="77777777" w:rsidR="00541125" w:rsidRPr="000F1CBD" w:rsidRDefault="00541125" w:rsidP="00541125">
      <w:pPr>
        <w:pStyle w:val="ListParagraph"/>
        <w:numPr>
          <w:ilvl w:val="1"/>
          <w:numId w:val="11"/>
        </w:numPr>
        <w:spacing w:before="0" w:after="0"/>
        <w:rPr>
          <w:rFonts w:cstheme="minorHAnsi"/>
          <w:bCs/>
        </w:rPr>
      </w:pPr>
      <w:r w:rsidRPr="000F1CBD">
        <w:rPr>
          <w:rFonts w:cstheme="minorHAnsi"/>
          <w:bCs/>
        </w:rPr>
        <w:t>25% for providers with a length of operation of 4 years to less than 5 years</w:t>
      </w:r>
    </w:p>
  </w:footnote>
  <w:footnote w:id="4">
    <w:p w14:paraId="583635EC" w14:textId="77777777" w:rsidR="00541125" w:rsidRPr="000F1CBD" w:rsidRDefault="00541125" w:rsidP="00541125">
      <w:pPr>
        <w:pStyle w:val="FootnoteText"/>
      </w:pPr>
      <w:r w:rsidRPr="000F1CBD">
        <w:rPr>
          <w:rStyle w:val="FootnoteReference"/>
          <w:b/>
          <w:bCs/>
        </w:rPr>
        <w:footnoteRef/>
      </w:r>
      <w:r w:rsidRPr="000F1CBD">
        <w:rPr>
          <w:b/>
          <w:bCs/>
        </w:rPr>
        <w:t xml:space="preserve"> </w:t>
      </w:r>
      <w:r w:rsidRPr="000F1CBD">
        <w:t>Based on provider’s annual average volatility</w:t>
      </w:r>
    </w:p>
  </w:footnote>
  <w:footnote w:id="5">
    <w:p w14:paraId="32BF925A" w14:textId="77777777" w:rsidR="00541125" w:rsidRPr="000F1CBD" w:rsidRDefault="00541125" w:rsidP="00541125">
      <w:pPr>
        <w:pStyle w:val="FootnoteText"/>
      </w:pPr>
      <w:r w:rsidRPr="000F1CBD">
        <w:rPr>
          <w:rStyle w:val="FootnoteReference"/>
          <w:b/>
          <w:bCs/>
        </w:rPr>
        <w:footnoteRef/>
      </w:r>
      <w:r w:rsidRPr="000F1CBD">
        <w:rPr>
          <w:b/>
          <w:bCs/>
        </w:rPr>
        <w:t xml:space="preserve"> </w:t>
      </w:r>
      <w:r w:rsidRPr="000F1CBD">
        <w:t>Risk factor will not apply where a provider’s proportion of overseas student enrolments is less than 20% of its total student population</w:t>
      </w:r>
      <w:r>
        <w:t>.</w:t>
      </w:r>
    </w:p>
  </w:footnote>
  <w:footnote w:id="6">
    <w:p w14:paraId="7A5E4495" w14:textId="77777777" w:rsidR="00541125" w:rsidRPr="000F1CBD" w:rsidRDefault="00541125" w:rsidP="00541125">
      <w:pPr>
        <w:pStyle w:val="FootnoteText"/>
      </w:pPr>
      <w:r w:rsidRPr="000F1CBD">
        <w:rPr>
          <w:rStyle w:val="FootnoteReference"/>
        </w:rPr>
        <w:footnoteRef/>
      </w:r>
      <w:r w:rsidRPr="000F1CBD">
        <w:t xml:space="preserve"> Risk factor only applies to providers that in the previous year had at least 20 enrolments or $400,000 in tuition fee income.  Risk factor will not apply where provider’s proportion of overseas student enrolments is less than 20% of its total student populatio</w:t>
      </w:r>
      <w:r w:rsidRPr="002B5166">
        <w:t>n.</w:t>
      </w:r>
    </w:p>
  </w:footnote>
  <w:footnote w:id="7">
    <w:p w14:paraId="0D7A09AF" w14:textId="77777777" w:rsidR="00541125" w:rsidRPr="000F1CBD" w:rsidRDefault="00541125" w:rsidP="00541125">
      <w:pPr>
        <w:pStyle w:val="FootnoteText"/>
      </w:pPr>
      <w:r w:rsidRPr="000F1CBD">
        <w:rPr>
          <w:rStyle w:val="FootnoteReference"/>
        </w:rPr>
        <w:footnoteRef/>
      </w:r>
      <w:r w:rsidRPr="000F1CBD">
        <w:t xml:space="preserve"> A provider’s weighted late payment measure calculation considers </w:t>
      </w:r>
      <w:r>
        <w:t xml:space="preserve">the number of </w:t>
      </w:r>
      <w:r w:rsidRPr="000F1CBD">
        <w:t xml:space="preserve">days </w:t>
      </w:r>
      <w:r>
        <w:t>after</w:t>
      </w:r>
      <w:r w:rsidRPr="000F1CBD">
        <w:t xml:space="preserve"> the due date the </w:t>
      </w:r>
      <w:r>
        <w:t xml:space="preserve">payment was received for </w:t>
      </w:r>
      <w:r w:rsidRPr="000F1CBD">
        <w:t>the following applicable payments over the past three years: the TPS Levy and the CRICOS Annual Registration Charge (CARC).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231285"/>
      <w:docPartObj>
        <w:docPartGallery w:val="Page Numbers (Top of Page)"/>
        <w:docPartUnique/>
      </w:docPartObj>
    </w:sdtPr>
    <w:sdtEndPr>
      <w:rPr>
        <w:noProof/>
      </w:rPr>
    </w:sdtEndPr>
    <w:sdtContent>
      <w:p w14:paraId="73C4DACC" w14:textId="6E7ADB1E" w:rsidR="00541125" w:rsidRDefault="00F75D2C" w:rsidP="00751083">
        <w:pPr>
          <w:pStyle w:val="Header"/>
          <w:jc w:val="right"/>
        </w:pPr>
        <w:r>
          <w:t xml:space="preserve">Page </w:t>
        </w:r>
        <w:r>
          <w:fldChar w:fldCharType="begin"/>
        </w:r>
        <w:r>
          <w:instrText xml:space="preserve"> PAGE   \* MERGEFORMAT </w:instrText>
        </w:r>
        <w:r>
          <w:fldChar w:fldCharType="separate"/>
        </w:r>
        <w: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3126"/>
    <w:multiLevelType w:val="hybridMultilevel"/>
    <w:tmpl w:val="7F7C4058"/>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C8430C"/>
    <w:multiLevelType w:val="hybridMultilevel"/>
    <w:tmpl w:val="9DDEC012"/>
    <w:lvl w:ilvl="0" w:tplc="D0B68C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F052D6"/>
    <w:multiLevelType w:val="hybridMultilevel"/>
    <w:tmpl w:val="5814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69F5903"/>
    <w:multiLevelType w:val="hybridMultilevel"/>
    <w:tmpl w:val="C574881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6D67056"/>
    <w:multiLevelType w:val="hybridMultilevel"/>
    <w:tmpl w:val="C25E289E"/>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68354A"/>
    <w:multiLevelType w:val="hybridMultilevel"/>
    <w:tmpl w:val="144E51F8"/>
    <w:lvl w:ilvl="0" w:tplc="278C850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B11F7A"/>
    <w:multiLevelType w:val="hybridMultilevel"/>
    <w:tmpl w:val="A16C3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CD01CA"/>
    <w:multiLevelType w:val="hybridMultilevel"/>
    <w:tmpl w:val="A126D734"/>
    <w:lvl w:ilvl="0" w:tplc="D39807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A85B7F"/>
    <w:multiLevelType w:val="hybridMultilevel"/>
    <w:tmpl w:val="DC461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7235E4"/>
    <w:multiLevelType w:val="hybridMultilevel"/>
    <w:tmpl w:val="DD5493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E5209B5"/>
    <w:multiLevelType w:val="hybridMultilevel"/>
    <w:tmpl w:val="1B109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7F5416"/>
    <w:multiLevelType w:val="hybridMultilevel"/>
    <w:tmpl w:val="FDB0ED3C"/>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F7324D"/>
    <w:multiLevelType w:val="hybridMultilevel"/>
    <w:tmpl w:val="CC4AE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42922305">
    <w:abstractNumId w:val="2"/>
  </w:num>
  <w:num w:numId="2" w16cid:durableId="425616172">
    <w:abstractNumId w:val="8"/>
  </w:num>
  <w:num w:numId="3" w16cid:durableId="752625034">
    <w:abstractNumId w:val="0"/>
  </w:num>
  <w:num w:numId="4" w16cid:durableId="203979500">
    <w:abstractNumId w:val="6"/>
  </w:num>
  <w:num w:numId="5" w16cid:durableId="941105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566813">
    <w:abstractNumId w:val="12"/>
  </w:num>
  <w:num w:numId="7" w16cid:durableId="2032873465">
    <w:abstractNumId w:val="4"/>
  </w:num>
  <w:num w:numId="8" w16cid:durableId="1431970682">
    <w:abstractNumId w:val="11"/>
  </w:num>
  <w:num w:numId="9" w16cid:durableId="633827133">
    <w:abstractNumId w:val="7"/>
  </w:num>
  <w:num w:numId="10" w16cid:durableId="1516731394">
    <w:abstractNumId w:val="9"/>
  </w:num>
  <w:num w:numId="11" w16cid:durableId="869803658">
    <w:abstractNumId w:val="3"/>
  </w:num>
  <w:num w:numId="12" w16cid:durableId="34233309">
    <w:abstractNumId w:val="1"/>
  </w:num>
  <w:num w:numId="13" w16cid:durableId="1652441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numStart w:val="2"/>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FB"/>
    <w:rsid w:val="00005C06"/>
    <w:rsid w:val="00006D78"/>
    <w:rsid w:val="000073E6"/>
    <w:rsid w:val="00014A45"/>
    <w:rsid w:val="000163DA"/>
    <w:rsid w:val="00020563"/>
    <w:rsid w:val="000257B1"/>
    <w:rsid w:val="00042927"/>
    <w:rsid w:val="0005393C"/>
    <w:rsid w:val="00054C1A"/>
    <w:rsid w:val="000608B7"/>
    <w:rsid w:val="00072A81"/>
    <w:rsid w:val="00082E1E"/>
    <w:rsid w:val="00085F64"/>
    <w:rsid w:val="000A6AF9"/>
    <w:rsid w:val="000B21A8"/>
    <w:rsid w:val="000B5A70"/>
    <w:rsid w:val="000E3984"/>
    <w:rsid w:val="000F0114"/>
    <w:rsid w:val="000F04C9"/>
    <w:rsid w:val="001010F0"/>
    <w:rsid w:val="00105388"/>
    <w:rsid w:val="00106939"/>
    <w:rsid w:val="0010764A"/>
    <w:rsid w:val="00113C4D"/>
    <w:rsid w:val="00113FCB"/>
    <w:rsid w:val="00122779"/>
    <w:rsid w:val="00125CFB"/>
    <w:rsid w:val="0012621A"/>
    <w:rsid w:val="00127281"/>
    <w:rsid w:val="00134E2A"/>
    <w:rsid w:val="00135CD0"/>
    <w:rsid w:val="00136A4F"/>
    <w:rsid w:val="0014045C"/>
    <w:rsid w:val="00140F2D"/>
    <w:rsid w:val="0015047C"/>
    <w:rsid w:val="00152E66"/>
    <w:rsid w:val="00154475"/>
    <w:rsid w:val="00163A32"/>
    <w:rsid w:val="001646C8"/>
    <w:rsid w:val="00164728"/>
    <w:rsid w:val="001742CB"/>
    <w:rsid w:val="00193541"/>
    <w:rsid w:val="001972FC"/>
    <w:rsid w:val="001A0256"/>
    <w:rsid w:val="001D7B8A"/>
    <w:rsid w:val="001E40AE"/>
    <w:rsid w:val="001F023A"/>
    <w:rsid w:val="00200031"/>
    <w:rsid w:val="00202100"/>
    <w:rsid w:val="002063AA"/>
    <w:rsid w:val="00211BDD"/>
    <w:rsid w:val="00220523"/>
    <w:rsid w:val="00221E7B"/>
    <w:rsid w:val="002313DE"/>
    <w:rsid w:val="0023240C"/>
    <w:rsid w:val="00247845"/>
    <w:rsid w:val="00261530"/>
    <w:rsid w:val="002674C0"/>
    <w:rsid w:val="00267D1A"/>
    <w:rsid w:val="00274384"/>
    <w:rsid w:val="00284FB2"/>
    <w:rsid w:val="00285AE1"/>
    <w:rsid w:val="00296191"/>
    <w:rsid w:val="002A74BA"/>
    <w:rsid w:val="002A7CBD"/>
    <w:rsid w:val="002B4122"/>
    <w:rsid w:val="002B7F2F"/>
    <w:rsid w:val="002C2F9C"/>
    <w:rsid w:val="002C6DB6"/>
    <w:rsid w:val="002E3A35"/>
    <w:rsid w:val="002F2097"/>
    <w:rsid w:val="002F405B"/>
    <w:rsid w:val="002F4BA1"/>
    <w:rsid w:val="002F74E2"/>
    <w:rsid w:val="00301235"/>
    <w:rsid w:val="003055B1"/>
    <w:rsid w:val="00320B6B"/>
    <w:rsid w:val="00326E59"/>
    <w:rsid w:val="00332152"/>
    <w:rsid w:val="003402E8"/>
    <w:rsid w:val="003709A5"/>
    <w:rsid w:val="003725F1"/>
    <w:rsid w:val="00375418"/>
    <w:rsid w:val="0037615C"/>
    <w:rsid w:val="0038767D"/>
    <w:rsid w:val="00387FA6"/>
    <w:rsid w:val="00391469"/>
    <w:rsid w:val="003D1696"/>
    <w:rsid w:val="003D4569"/>
    <w:rsid w:val="003E1AF0"/>
    <w:rsid w:val="003E20B9"/>
    <w:rsid w:val="003E27BB"/>
    <w:rsid w:val="003E6A16"/>
    <w:rsid w:val="003E70C8"/>
    <w:rsid w:val="003F4F11"/>
    <w:rsid w:val="00401E7A"/>
    <w:rsid w:val="00402F06"/>
    <w:rsid w:val="00407425"/>
    <w:rsid w:val="00410A1A"/>
    <w:rsid w:val="004160BD"/>
    <w:rsid w:val="00432CB7"/>
    <w:rsid w:val="00436433"/>
    <w:rsid w:val="0047614C"/>
    <w:rsid w:val="0048101F"/>
    <w:rsid w:val="00484C9C"/>
    <w:rsid w:val="00493254"/>
    <w:rsid w:val="004A3713"/>
    <w:rsid w:val="004A3EFF"/>
    <w:rsid w:val="004C2889"/>
    <w:rsid w:val="0050492B"/>
    <w:rsid w:val="00517B9B"/>
    <w:rsid w:val="00522C71"/>
    <w:rsid w:val="005273EB"/>
    <w:rsid w:val="00541125"/>
    <w:rsid w:val="00542F9B"/>
    <w:rsid w:val="00543ACA"/>
    <w:rsid w:val="00550428"/>
    <w:rsid w:val="00550D80"/>
    <w:rsid w:val="00557B3B"/>
    <w:rsid w:val="005650ED"/>
    <w:rsid w:val="00576510"/>
    <w:rsid w:val="005767E8"/>
    <w:rsid w:val="00580131"/>
    <w:rsid w:val="005831E3"/>
    <w:rsid w:val="00584F8F"/>
    <w:rsid w:val="00595F3E"/>
    <w:rsid w:val="00597200"/>
    <w:rsid w:val="005A00B8"/>
    <w:rsid w:val="005C399F"/>
    <w:rsid w:val="005C43B9"/>
    <w:rsid w:val="005D2672"/>
    <w:rsid w:val="005D56D3"/>
    <w:rsid w:val="005E7E5C"/>
    <w:rsid w:val="005F25BC"/>
    <w:rsid w:val="005F6485"/>
    <w:rsid w:val="00601682"/>
    <w:rsid w:val="006022A6"/>
    <w:rsid w:val="006023EE"/>
    <w:rsid w:val="00611880"/>
    <w:rsid w:val="00631E0D"/>
    <w:rsid w:val="006361BA"/>
    <w:rsid w:val="00643436"/>
    <w:rsid w:val="00643521"/>
    <w:rsid w:val="00651989"/>
    <w:rsid w:val="00651B99"/>
    <w:rsid w:val="0065654D"/>
    <w:rsid w:val="00656EE0"/>
    <w:rsid w:val="0065798D"/>
    <w:rsid w:val="00661AC6"/>
    <w:rsid w:val="00664620"/>
    <w:rsid w:val="00664DAB"/>
    <w:rsid w:val="00666C9E"/>
    <w:rsid w:val="006672CF"/>
    <w:rsid w:val="00670101"/>
    <w:rsid w:val="00676953"/>
    <w:rsid w:val="0068130C"/>
    <w:rsid w:val="0068665B"/>
    <w:rsid w:val="006A2669"/>
    <w:rsid w:val="006A505C"/>
    <w:rsid w:val="006A7C29"/>
    <w:rsid w:val="006B1620"/>
    <w:rsid w:val="006C40EB"/>
    <w:rsid w:val="006D26AF"/>
    <w:rsid w:val="006D4124"/>
    <w:rsid w:val="006D5A28"/>
    <w:rsid w:val="006E0DE2"/>
    <w:rsid w:val="006E6A67"/>
    <w:rsid w:val="006F3F5D"/>
    <w:rsid w:val="006F6742"/>
    <w:rsid w:val="00712399"/>
    <w:rsid w:val="00721DA3"/>
    <w:rsid w:val="00727EB1"/>
    <w:rsid w:val="00730064"/>
    <w:rsid w:val="0074086E"/>
    <w:rsid w:val="007447A3"/>
    <w:rsid w:val="00751083"/>
    <w:rsid w:val="00754712"/>
    <w:rsid w:val="0075608A"/>
    <w:rsid w:val="00761A33"/>
    <w:rsid w:val="007655B1"/>
    <w:rsid w:val="00773D0E"/>
    <w:rsid w:val="00773F7F"/>
    <w:rsid w:val="00776C5B"/>
    <w:rsid w:val="00780E87"/>
    <w:rsid w:val="00781AA3"/>
    <w:rsid w:val="0078259F"/>
    <w:rsid w:val="007836F8"/>
    <w:rsid w:val="00787C60"/>
    <w:rsid w:val="00792217"/>
    <w:rsid w:val="007923C4"/>
    <w:rsid w:val="00794A32"/>
    <w:rsid w:val="007952E1"/>
    <w:rsid w:val="007A29A6"/>
    <w:rsid w:val="007A6400"/>
    <w:rsid w:val="007B3FC4"/>
    <w:rsid w:val="007D44ED"/>
    <w:rsid w:val="007E1EAE"/>
    <w:rsid w:val="00800399"/>
    <w:rsid w:val="008017FB"/>
    <w:rsid w:val="00816C86"/>
    <w:rsid w:val="00823342"/>
    <w:rsid w:val="00824D0A"/>
    <w:rsid w:val="008403BD"/>
    <w:rsid w:val="00841833"/>
    <w:rsid w:val="00845F7E"/>
    <w:rsid w:val="008605ED"/>
    <w:rsid w:val="00861CAC"/>
    <w:rsid w:val="008652DE"/>
    <w:rsid w:val="008709A4"/>
    <w:rsid w:val="0088246E"/>
    <w:rsid w:val="008826BE"/>
    <w:rsid w:val="00882E25"/>
    <w:rsid w:val="008836FC"/>
    <w:rsid w:val="0088760A"/>
    <w:rsid w:val="00891152"/>
    <w:rsid w:val="00892833"/>
    <w:rsid w:val="00892EE8"/>
    <w:rsid w:val="00893A76"/>
    <w:rsid w:val="008A1770"/>
    <w:rsid w:val="008A3608"/>
    <w:rsid w:val="008C22A6"/>
    <w:rsid w:val="008C6116"/>
    <w:rsid w:val="008D1C78"/>
    <w:rsid w:val="008D3BFA"/>
    <w:rsid w:val="008D56F3"/>
    <w:rsid w:val="008F4DA7"/>
    <w:rsid w:val="008F5CEC"/>
    <w:rsid w:val="00902AF6"/>
    <w:rsid w:val="00913831"/>
    <w:rsid w:val="00920871"/>
    <w:rsid w:val="009313DE"/>
    <w:rsid w:val="009366D2"/>
    <w:rsid w:val="00943EAF"/>
    <w:rsid w:val="009531BE"/>
    <w:rsid w:val="00953847"/>
    <w:rsid w:val="00953A24"/>
    <w:rsid w:val="0095413B"/>
    <w:rsid w:val="00963C32"/>
    <w:rsid w:val="009712F1"/>
    <w:rsid w:val="00975044"/>
    <w:rsid w:val="00976528"/>
    <w:rsid w:val="00976CB7"/>
    <w:rsid w:val="00976D27"/>
    <w:rsid w:val="00987CC9"/>
    <w:rsid w:val="009A31C2"/>
    <w:rsid w:val="009B0A46"/>
    <w:rsid w:val="009B7E1F"/>
    <w:rsid w:val="009C142C"/>
    <w:rsid w:val="009C2ABB"/>
    <w:rsid w:val="009C320B"/>
    <w:rsid w:val="009D1050"/>
    <w:rsid w:val="009D22E6"/>
    <w:rsid w:val="009D2987"/>
    <w:rsid w:val="009D7800"/>
    <w:rsid w:val="009E05F1"/>
    <w:rsid w:val="009E084E"/>
    <w:rsid w:val="009E40EE"/>
    <w:rsid w:val="009E4B51"/>
    <w:rsid w:val="009F1EB6"/>
    <w:rsid w:val="009F5092"/>
    <w:rsid w:val="00A1604C"/>
    <w:rsid w:val="00A30627"/>
    <w:rsid w:val="00A31207"/>
    <w:rsid w:val="00A46966"/>
    <w:rsid w:val="00A645C1"/>
    <w:rsid w:val="00A67350"/>
    <w:rsid w:val="00A73069"/>
    <w:rsid w:val="00A73E75"/>
    <w:rsid w:val="00A74E61"/>
    <w:rsid w:val="00A76417"/>
    <w:rsid w:val="00A80E3E"/>
    <w:rsid w:val="00A87F51"/>
    <w:rsid w:val="00A95E16"/>
    <w:rsid w:val="00A96771"/>
    <w:rsid w:val="00A96C45"/>
    <w:rsid w:val="00AA341D"/>
    <w:rsid w:val="00AA3C9E"/>
    <w:rsid w:val="00AB08E7"/>
    <w:rsid w:val="00AB3BDB"/>
    <w:rsid w:val="00AB61B0"/>
    <w:rsid w:val="00AC11F4"/>
    <w:rsid w:val="00AC55E5"/>
    <w:rsid w:val="00AC6464"/>
    <w:rsid w:val="00AD26B9"/>
    <w:rsid w:val="00AE2D49"/>
    <w:rsid w:val="00AE3FBB"/>
    <w:rsid w:val="00AF02F1"/>
    <w:rsid w:val="00AF663D"/>
    <w:rsid w:val="00B02F15"/>
    <w:rsid w:val="00B076C2"/>
    <w:rsid w:val="00B20FBD"/>
    <w:rsid w:val="00B30D5F"/>
    <w:rsid w:val="00B31217"/>
    <w:rsid w:val="00B31EC3"/>
    <w:rsid w:val="00B36639"/>
    <w:rsid w:val="00B44E06"/>
    <w:rsid w:val="00B501A7"/>
    <w:rsid w:val="00B50B33"/>
    <w:rsid w:val="00B52C6D"/>
    <w:rsid w:val="00B52E5F"/>
    <w:rsid w:val="00B5663D"/>
    <w:rsid w:val="00B57243"/>
    <w:rsid w:val="00B640CD"/>
    <w:rsid w:val="00B71A47"/>
    <w:rsid w:val="00B72C70"/>
    <w:rsid w:val="00B8619A"/>
    <w:rsid w:val="00B8775D"/>
    <w:rsid w:val="00B91EAC"/>
    <w:rsid w:val="00B94B3F"/>
    <w:rsid w:val="00B9547B"/>
    <w:rsid w:val="00BA1B8A"/>
    <w:rsid w:val="00BA47C2"/>
    <w:rsid w:val="00BA63D2"/>
    <w:rsid w:val="00BB3D11"/>
    <w:rsid w:val="00BB4CB5"/>
    <w:rsid w:val="00BB4EE1"/>
    <w:rsid w:val="00BC5848"/>
    <w:rsid w:val="00BD7839"/>
    <w:rsid w:val="00BE6C0A"/>
    <w:rsid w:val="00C05B19"/>
    <w:rsid w:val="00C073F4"/>
    <w:rsid w:val="00C0752D"/>
    <w:rsid w:val="00C10548"/>
    <w:rsid w:val="00C114B3"/>
    <w:rsid w:val="00C117FD"/>
    <w:rsid w:val="00C1336C"/>
    <w:rsid w:val="00C22754"/>
    <w:rsid w:val="00C248A2"/>
    <w:rsid w:val="00C30544"/>
    <w:rsid w:val="00C3703F"/>
    <w:rsid w:val="00C43954"/>
    <w:rsid w:val="00C44D04"/>
    <w:rsid w:val="00C52356"/>
    <w:rsid w:val="00C5450E"/>
    <w:rsid w:val="00C61198"/>
    <w:rsid w:val="00C61E73"/>
    <w:rsid w:val="00C63946"/>
    <w:rsid w:val="00C654BB"/>
    <w:rsid w:val="00C65B3F"/>
    <w:rsid w:val="00C956D4"/>
    <w:rsid w:val="00CA1516"/>
    <w:rsid w:val="00CB0BC9"/>
    <w:rsid w:val="00CB3B36"/>
    <w:rsid w:val="00CB5EE2"/>
    <w:rsid w:val="00CC46E9"/>
    <w:rsid w:val="00CD4184"/>
    <w:rsid w:val="00CD49CD"/>
    <w:rsid w:val="00CE1CE0"/>
    <w:rsid w:val="00CE3331"/>
    <w:rsid w:val="00CE54ED"/>
    <w:rsid w:val="00CF0921"/>
    <w:rsid w:val="00D039D7"/>
    <w:rsid w:val="00D045E9"/>
    <w:rsid w:val="00D175DB"/>
    <w:rsid w:val="00D25146"/>
    <w:rsid w:val="00D27A9D"/>
    <w:rsid w:val="00D4427A"/>
    <w:rsid w:val="00D5516F"/>
    <w:rsid w:val="00D61A25"/>
    <w:rsid w:val="00D638D2"/>
    <w:rsid w:val="00D74E97"/>
    <w:rsid w:val="00D859AB"/>
    <w:rsid w:val="00D9311D"/>
    <w:rsid w:val="00D94802"/>
    <w:rsid w:val="00DA1F92"/>
    <w:rsid w:val="00DA378D"/>
    <w:rsid w:val="00DB0065"/>
    <w:rsid w:val="00DB01CF"/>
    <w:rsid w:val="00DB64D1"/>
    <w:rsid w:val="00DC058C"/>
    <w:rsid w:val="00DC30F9"/>
    <w:rsid w:val="00DC3B0A"/>
    <w:rsid w:val="00DD270C"/>
    <w:rsid w:val="00DE1371"/>
    <w:rsid w:val="00DE1E82"/>
    <w:rsid w:val="00DF280F"/>
    <w:rsid w:val="00DF450D"/>
    <w:rsid w:val="00E00DA9"/>
    <w:rsid w:val="00E20D32"/>
    <w:rsid w:val="00E27F47"/>
    <w:rsid w:val="00E36CAD"/>
    <w:rsid w:val="00E403C0"/>
    <w:rsid w:val="00E45218"/>
    <w:rsid w:val="00E50963"/>
    <w:rsid w:val="00E5771F"/>
    <w:rsid w:val="00E61FE9"/>
    <w:rsid w:val="00E62ABC"/>
    <w:rsid w:val="00E63456"/>
    <w:rsid w:val="00E7213B"/>
    <w:rsid w:val="00E765C7"/>
    <w:rsid w:val="00E84A43"/>
    <w:rsid w:val="00E96200"/>
    <w:rsid w:val="00EA260E"/>
    <w:rsid w:val="00EA7670"/>
    <w:rsid w:val="00EE1913"/>
    <w:rsid w:val="00F11B03"/>
    <w:rsid w:val="00F13428"/>
    <w:rsid w:val="00F135B3"/>
    <w:rsid w:val="00F232C7"/>
    <w:rsid w:val="00F24503"/>
    <w:rsid w:val="00F25A79"/>
    <w:rsid w:val="00F26519"/>
    <w:rsid w:val="00F318C8"/>
    <w:rsid w:val="00F33053"/>
    <w:rsid w:val="00F47DBD"/>
    <w:rsid w:val="00F61C06"/>
    <w:rsid w:val="00F63FDA"/>
    <w:rsid w:val="00F6401F"/>
    <w:rsid w:val="00F65206"/>
    <w:rsid w:val="00F67B28"/>
    <w:rsid w:val="00F75982"/>
    <w:rsid w:val="00F75D2C"/>
    <w:rsid w:val="00F80B96"/>
    <w:rsid w:val="00F81A5D"/>
    <w:rsid w:val="00F81F41"/>
    <w:rsid w:val="00F82262"/>
    <w:rsid w:val="00F92816"/>
    <w:rsid w:val="00FB3922"/>
    <w:rsid w:val="00FB65B3"/>
    <w:rsid w:val="00FC30D4"/>
    <w:rsid w:val="00FC73C3"/>
    <w:rsid w:val="00FD0900"/>
    <w:rsid w:val="00FE0C2B"/>
    <w:rsid w:val="00FE1887"/>
    <w:rsid w:val="00FE32BA"/>
    <w:rsid w:val="00FE3D8F"/>
    <w:rsid w:val="00FF18D4"/>
    <w:rsid w:val="00FF3952"/>
    <w:rsid w:val="04489651"/>
    <w:rsid w:val="0E91E162"/>
    <w:rsid w:val="0FA77D5E"/>
    <w:rsid w:val="12CE37BB"/>
    <w:rsid w:val="21D95E62"/>
    <w:rsid w:val="265871ED"/>
    <w:rsid w:val="2FD96230"/>
    <w:rsid w:val="408BA47A"/>
    <w:rsid w:val="42CEF33E"/>
    <w:rsid w:val="4AA5BBAA"/>
    <w:rsid w:val="4EA84C2A"/>
    <w:rsid w:val="52A14BA1"/>
    <w:rsid w:val="5313116A"/>
    <w:rsid w:val="63D6EFC8"/>
    <w:rsid w:val="6EB8BC93"/>
    <w:rsid w:val="72CFD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9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13428"/>
  </w:style>
  <w:style w:type="paragraph" w:styleId="Heading1">
    <w:name w:val="heading 1"/>
    <w:basedOn w:val="Normal"/>
    <w:next w:val="Normal"/>
    <w:link w:val="Heading1Char"/>
    <w:uiPriority w:val="9"/>
    <w:qFormat/>
    <w:rsid w:val="00F13428"/>
    <w:pPr>
      <w:pBdr>
        <w:top w:val="single" w:sz="24" w:space="0" w:color="4897A2" w:themeColor="accent1"/>
        <w:left w:val="single" w:sz="24" w:space="0" w:color="4897A2" w:themeColor="accent1"/>
        <w:bottom w:val="single" w:sz="24" w:space="0" w:color="4897A2" w:themeColor="accent1"/>
        <w:right w:val="single" w:sz="24" w:space="0" w:color="4897A2" w:themeColor="accent1"/>
      </w:pBdr>
      <w:shd w:val="clear" w:color="auto" w:fill="4897A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13428"/>
    <w:pPr>
      <w:pBdr>
        <w:top w:val="single" w:sz="24" w:space="0" w:color="D8EBEE" w:themeColor="accent1" w:themeTint="33"/>
        <w:left w:val="single" w:sz="24" w:space="0" w:color="D8EBEE" w:themeColor="accent1" w:themeTint="33"/>
        <w:bottom w:val="single" w:sz="24" w:space="0" w:color="D8EBEE" w:themeColor="accent1" w:themeTint="33"/>
        <w:right w:val="single" w:sz="24" w:space="0" w:color="D8EBEE" w:themeColor="accent1" w:themeTint="33"/>
      </w:pBdr>
      <w:shd w:val="clear" w:color="auto" w:fill="D8EBEE"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13428"/>
    <w:pPr>
      <w:pBdr>
        <w:top w:val="single" w:sz="6" w:space="2" w:color="4897A2" w:themeColor="accent1"/>
      </w:pBdr>
      <w:spacing w:before="300" w:after="0"/>
      <w:outlineLvl w:val="2"/>
    </w:pPr>
    <w:rPr>
      <w:caps/>
      <w:color w:val="234A50" w:themeColor="accent1" w:themeShade="7F"/>
      <w:spacing w:val="15"/>
    </w:rPr>
  </w:style>
  <w:style w:type="paragraph" w:styleId="Heading4">
    <w:name w:val="heading 4"/>
    <w:basedOn w:val="Normal"/>
    <w:next w:val="Normal"/>
    <w:link w:val="Heading4Char"/>
    <w:uiPriority w:val="9"/>
    <w:unhideWhenUsed/>
    <w:qFormat/>
    <w:rsid w:val="00F13428"/>
    <w:pPr>
      <w:pBdr>
        <w:top w:val="dotted" w:sz="6" w:space="2" w:color="4897A2" w:themeColor="accent1"/>
      </w:pBdr>
      <w:spacing w:before="200" w:after="0"/>
      <w:outlineLvl w:val="3"/>
    </w:pPr>
    <w:rPr>
      <w:caps/>
      <w:color w:val="367079" w:themeColor="accent1" w:themeShade="BF"/>
      <w:spacing w:val="10"/>
    </w:rPr>
  </w:style>
  <w:style w:type="paragraph" w:styleId="Heading5">
    <w:name w:val="heading 5"/>
    <w:basedOn w:val="Normal"/>
    <w:next w:val="Normal"/>
    <w:link w:val="Heading5Char"/>
    <w:uiPriority w:val="9"/>
    <w:unhideWhenUsed/>
    <w:qFormat/>
    <w:rsid w:val="00F13428"/>
    <w:pPr>
      <w:pBdr>
        <w:bottom w:val="single" w:sz="6" w:space="1" w:color="4897A2" w:themeColor="accent1"/>
      </w:pBdr>
      <w:spacing w:before="200" w:after="0"/>
      <w:outlineLvl w:val="4"/>
    </w:pPr>
    <w:rPr>
      <w:caps/>
      <w:color w:val="367079" w:themeColor="accent1" w:themeShade="BF"/>
      <w:spacing w:val="10"/>
    </w:rPr>
  </w:style>
  <w:style w:type="paragraph" w:styleId="Heading6">
    <w:name w:val="heading 6"/>
    <w:basedOn w:val="Normal"/>
    <w:next w:val="Normal"/>
    <w:link w:val="Heading6Char"/>
    <w:uiPriority w:val="9"/>
    <w:unhideWhenUsed/>
    <w:qFormat/>
    <w:rsid w:val="00F13428"/>
    <w:pPr>
      <w:pBdr>
        <w:bottom w:val="dotted" w:sz="6" w:space="1" w:color="4897A2" w:themeColor="accent1"/>
      </w:pBdr>
      <w:spacing w:before="200" w:after="0"/>
      <w:outlineLvl w:val="5"/>
    </w:pPr>
    <w:rPr>
      <w:caps/>
      <w:color w:val="367079" w:themeColor="accent1" w:themeShade="BF"/>
      <w:spacing w:val="10"/>
    </w:rPr>
  </w:style>
  <w:style w:type="paragraph" w:styleId="Heading7">
    <w:name w:val="heading 7"/>
    <w:basedOn w:val="Normal"/>
    <w:next w:val="Normal"/>
    <w:link w:val="Heading7Char"/>
    <w:uiPriority w:val="9"/>
    <w:semiHidden/>
    <w:unhideWhenUsed/>
    <w:qFormat/>
    <w:rsid w:val="00F13428"/>
    <w:pPr>
      <w:spacing w:before="200" w:after="0"/>
      <w:outlineLvl w:val="6"/>
    </w:pPr>
    <w:rPr>
      <w:caps/>
      <w:color w:val="367079" w:themeColor="accent1" w:themeShade="BF"/>
      <w:spacing w:val="10"/>
    </w:rPr>
  </w:style>
  <w:style w:type="paragraph" w:styleId="Heading8">
    <w:name w:val="heading 8"/>
    <w:basedOn w:val="Normal"/>
    <w:next w:val="Normal"/>
    <w:link w:val="Heading8Char"/>
    <w:uiPriority w:val="9"/>
    <w:semiHidden/>
    <w:unhideWhenUsed/>
    <w:qFormat/>
    <w:rsid w:val="00F13428"/>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F1342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428"/>
    <w:rPr>
      <w:caps/>
      <w:color w:val="FFFFFF" w:themeColor="background1"/>
      <w:spacing w:val="15"/>
      <w:sz w:val="22"/>
      <w:szCs w:val="22"/>
      <w:shd w:val="clear" w:color="auto" w:fill="4897A2" w:themeFill="accent1"/>
    </w:rPr>
  </w:style>
  <w:style w:type="character" w:customStyle="1" w:styleId="Heading2Char">
    <w:name w:val="Heading 2 Char"/>
    <w:basedOn w:val="DefaultParagraphFont"/>
    <w:link w:val="Heading2"/>
    <w:uiPriority w:val="9"/>
    <w:rsid w:val="00F13428"/>
    <w:rPr>
      <w:caps/>
      <w:spacing w:val="15"/>
      <w:shd w:val="clear" w:color="auto" w:fill="D8EBEE" w:themeFill="accent1" w:themeFillTint="33"/>
    </w:rPr>
  </w:style>
  <w:style w:type="character" w:customStyle="1" w:styleId="Heading3Char">
    <w:name w:val="Heading 3 Char"/>
    <w:basedOn w:val="DefaultParagraphFont"/>
    <w:link w:val="Heading3"/>
    <w:uiPriority w:val="9"/>
    <w:rsid w:val="00F13428"/>
    <w:rPr>
      <w:caps/>
      <w:color w:val="234A50" w:themeColor="accent1" w:themeShade="7F"/>
      <w:spacing w:val="15"/>
    </w:rPr>
  </w:style>
  <w:style w:type="character" w:customStyle="1" w:styleId="Heading4Char">
    <w:name w:val="Heading 4 Char"/>
    <w:basedOn w:val="DefaultParagraphFont"/>
    <w:link w:val="Heading4"/>
    <w:uiPriority w:val="9"/>
    <w:rsid w:val="00F13428"/>
    <w:rPr>
      <w:caps/>
      <w:color w:val="367079" w:themeColor="accent1" w:themeShade="BF"/>
      <w:spacing w:val="10"/>
    </w:rPr>
  </w:style>
  <w:style w:type="character" w:customStyle="1" w:styleId="Heading5Char">
    <w:name w:val="Heading 5 Char"/>
    <w:basedOn w:val="DefaultParagraphFont"/>
    <w:link w:val="Heading5"/>
    <w:uiPriority w:val="9"/>
    <w:rsid w:val="00F13428"/>
    <w:rPr>
      <w:caps/>
      <w:color w:val="367079" w:themeColor="accent1" w:themeShade="BF"/>
      <w:spacing w:val="10"/>
    </w:rPr>
  </w:style>
  <w:style w:type="character" w:customStyle="1" w:styleId="Heading6Char">
    <w:name w:val="Heading 6 Char"/>
    <w:basedOn w:val="DefaultParagraphFont"/>
    <w:link w:val="Heading6"/>
    <w:uiPriority w:val="9"/>
    <w:rsid w:val="00F13428"/>
    <w:rPr>
      <w:caps/>
      <w:color w:val="367079" w:themeColor="accent1" w:themeShade="BF"/>
      <w:spacing w:val="10"/>
    </w:rPr>
  </w:style>
  <w:style w:type="character" w:styleId="Strong">
    <w:name w:val="Strong"/>
    <w:uiPriority w:val="22"/>
    <w:qFormat/>
    <w:rsid w:val="00F13428"/>
    <w:rPr>
      <w:b/>
      <w:bCs/>
    </w:rPr>
  </w:style>
  <w:style w:type="character" w:customStyle="1" w:styleId="Heading9Char">
    <w:name w:val="Heading 9 Char"/>
    <w:basedOn w:val="DefaultParagraphFont"/>
    <w:link w:val="Heading9"/>
    <w:uiPriority w:val="9"/>
    <w:rsid w:val="00F13428"/>
    <w:rPr>
      <w:i/>
      <w:iCs/>
      <w:caps/>
      <w:spacing w:val="10"/>
      <w:sz w:val="18"/>
      <w:szCs w:val="18"/>
    </w:rPr>
  </w:style>
  <w:style w:type="paragraph" w:styleId="Header">
    <w:name w:val="header"/>
    <w:basedOn w:val="Normal"/>
    <w:link w:val="HeaderChar"/>
    <w:uiPriority w:val="99"/>
    <w:unhideWhenUsed/>
    <w:rsid w:val="00730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64"/>
  </w:style>
  <w:style w:type="paragraph" w:styleId="Footer">
    <w:name w:val="footer"/>
    <w:basedOn w:val="Normal"/>
    <w:link w:val="FooterChar"/>
    <w:uiPriority w:val="99"/>
    <w:unhideWhenUsed/>
    <w:rsid w:val="00730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64"/>
  </w:style>
  <w:style w:type="character" w:styleId="Hyperlink">
    <w:name w:val="Hyperlink"/>
    <w:basedOn w:val="DefaultParagraphFont"/>
    <w:uiPriority w:val="99"/>
    <w:unhideWhenUsed/>
    <w:rsid w:val="00730064"/>
    <w:rPr>
      <w:color w:val="0563C1"/>
      <w:u w:val="single"/>
    </w:rPr>
  </w:style>
  <w:style w:type="paragraph" w:styleId="ListParagraph">
    <w:name w:val="List Paragraph"/>
    <w:basedOn w:val="Normal"/>
    <w:uiPriority w:val="34"/>
    <w:qFormat/>
    <w:rsid w:val="00730064"/>
    <w:pPr>
      <w:ind w:left="720"/>
      <w:contextualSpacing/>
    </w:pPr>
  </w:style>
  <w:style w:type="character" w:customStyle="1" w:styleId="A0">
    <w:name w:val="A0"/>
    <w:basedOn w:val="DefaultParagraphFont"/>
    <w:uiPriority w:val="99"/>
    <w:rsid w:val="00730064"/>
    <w:rPr>
      <w:rFonts w:ascii="Muli" w:hAnsi="Muli" w:hint="default"/>
      <w:color w:val="000000"/>
    </w:rPr>
  </w:style>
  <w:style w:type="character" w:customStyle="1" w:styleId="UnresolvedMention1">
    <w:name w:val="Unresolved Mention1"/>
    <w:basedOn w:val="DefaultParagraphFont"/>
    <w:uiPriority w:val="99"/>
    <w:semiHidden/>
    <w:unhideWhenUsed/>
    <w:rsid w:val="00B44E06"/>
    <w:rPr>
      <w:color w:val="605E5C"/>
      <w:shd w:val="clear" w:color="auto" w:fill="E1DFDD"/>
    </w:rPr>
  </w:style>
  <w:style w:type="character" w:styleId="FollowedHyperlink">
    <w:name w:val="FollowedHyperlink"/>
    <w:basedOn w:val="DefaultParagraphFont"/>
    <w:uiPriority w:val="99"/>
    <w:semiHidden/>
    <w:unhideWhenUsed/>
    <w:rsid w:val="00B44E06"/>
    <w:rPr>
      <w:color w:val="4DB3E6" w:themeColor="followedHyperlink"/>
      <w:u w:val="single"/>
    </w:rPr>
  </w:style>
  <w:style w:type="paragraph" w:customStyle="1" w:styleId="RecipientSenderdetails">
    <w:name w:val="Recipient/Sender details"/>
    <w:link w:val="RecipientSenderdetailsChar"/>
    <w:rsid w:val="00C0752D"/>
    <w:pPr>
      <w:spacing w:after="0"/>
    </w:pPr>
  </w:style>
  <w:style w:type="paragraph" w:customStyle="1" w:styleId="Subjectline">
    <w:name w:val="Subject line"/>
    <w:next w:val="Normal"/>
    <w:link w:val="SubjectlineChar"/>
    <w:rsid w:val="00B02F15"/>
    <w:pPr>
      <w:spacing w:before="400" w:after="400"/>
    </w:pPr>
    <w:rPr>
      <w:b/>
      <w:bCs/>
    </w:rPr>
  </w:style>
  <w:style w:type="character" w:customStyle="1" w:styleId="RecipientSenderdetailsChar">
    <w:name w:val="Recipient/Sender details Char"/>
    <w:basedOn w:val="DefaultParagraphFont"/>
    <w:link w:val="RecipientSenderdetails"/>
    <w:rsid w:val="00C0752D"/>
  </w:style>
  <w:style w:type="paragraph" w:styleId="NoSpacing">
    <w:name w:val="No Spacing"/>
    <w:uiPriority w:val="1"/>
    <w:qFormat/>
    <w:rsid w:val="00F13428"/>
    <w:pPr>
      <w:spacing w:after="0" w:line="240" w:lineRule="auto"/>
    </w:pPr>
  </w:style>
  <w:style w:type="character" w:customStyle="1" w:styleId="SubjectlineChar">
    <w:name w:val="Subject line Char"/>
    <w:basedOn w:val="DefaultParagraphFont"/>
    <w:link w:val="Subjectline"/>
    <w:rsid w:val="00B02F15"/>
    <w:rPr>
      <w:b/>
      <w:bCs/>
    </w:rPr>
  </w:style>
  <w:style w:type="paragraph" w:customStyle="1" w:styleId="subsection">
    <w:name w:val="subsection"/>
    <w:aliases w:val="ss"/>
    <w:basedOn w:val="Normal"/>
    <w:link w:val="subsectionChar"/>
    <w:rsid w:val="00220523"/>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subsectionChar">
    <w:name w:val="subsection Char"/>
    <w:aliases w:val="ss Char"/>
    <w:basedOn w:val="DefaultParagraphFont"/>
    <w:link w:val="subsection"/>
    <w:rsid w:val="00220523"/>
    <w:rPr>
      <w:rFonts w:ascii="Times New Roman" w:eastAsia="Times New Roman" w:hAnsi="Times New Roman" w:cs="Times New Roman"/>
      <w:szCs w:val="20"/>
      <w:lang w:eastAsia="en-AU"/>
    </w:rPr>
  </w:style>
  <w:style w:type="table" w:styleId="TableGrid">
    <w:name w:val="Table Grid"/>
    <w:basedOn w:val="TableNormal"/>
    <w:uiPriority w:val="39"/>
    <w:rsid w:val="00F1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13428"/>
    <w:rPr>
      <w:caps/>
      <w:color w:val="367079" w:themeColor="accent1" w:themeShade="BF"/>
      <w:spacing w:val="10"/>
    </w:rPr>
  </w:style>
  <w:style w:type="character" w:customStyle="1" w:styleId="Heading8Char">
    <w:name w:val="Heading 8 Char"/>
    <w:basedOn w:val="DefaultParagraphFont"/>
    <w:link w:val="Heading8"/>
    <w:uiPriority w:val="9"/>
    <w:semiHidden/>
    <w:rsid w:val="00F13428"/>
    <w:rPr>
      <w:caps/>
      <w:spacing w:val="10"/>
      <w:sz w:val="18"/>
      <w:szCs w:val="18"/>
    </w:rPr>
  </w:style>
  <w:style w:type="paragraph" w:styleId="Caption">
    <w:name w:val="caption"/>
    <w:basedOn w:val="Normal"/>
    <w:next w:val="Normal"/>
    <w:uiPriority w:val="35"/>
    <w:semiHidden/>
    <w:unhideWhenUsed/>
    <w:qFormat/>
    <w:rsid w:val="00F13428"/>
    <w:rPr>
      <w:b/>
      <w:bCs/>
      <w:color w:val="367079" w:themeColor="accent1" w:themeShade="BF"/>
      <w:sz w:val="16"/>
      <w:szCs w:val="16"/>
    </w:rPr>
  </w:style>
  <w:style w:type="paragraph" w:styleId="Title">
    <w:name w:val="Title"/>
    <w:basedOn w:val="Normal"/>
    <w:next w:val="Normal"/>
    <w:link w:val="TitleChar"/>
    <w:uiPriority w:val="10"/>
    <w:qFormat/>
    <w:rsid w:val="00F13428"/>
    <w:pPr>
      <w:spacing w:before="0" w:after="0"/>
    </w:pPr>
    <w:rPr>
      <w:rFonts w:asciiTheme="majorHAnsi" w:eastAsiaTheme="majorEastAsia" w:hAnsiTheme="majorHAnsi" w:cstheme="majorBidi"/>
      <w:caps/>
      <w:color w:val="4897A2" w:themeColor="accent1"/>
      <w:spacing w:val="10"/>
      <w:sz w:val="52"/>
      <w:szCs w:val="52"/>
    </w:rPr>
  </w:style>
  <w:style w:type="character" w:customStyle="1" w:styleId="TitleChar">
    <w:name w:val="Title Char"/>
    <w:basedOn w:val="DefaultParagraphFont"/>
    <w:link w:val="Title"/>
    <w:uiPriority w:val="10"/>
    <w:rsid w:val="00F13428"/>
    <w:rPr>
      <w:rFonts w:asciiTheme="majorHAnsi" w:eastAsiaTheme="majorEastAsia" w:hAnsiTheme="majorHAnsi" w:cstheme="majorBidi"/>
      <w:caps/>
      <w:color w:val="4897A2" w:themeColor="accent1"/>
      <w:spacing w:val="10"/>
      <w:sz w:val="52"/>
      <w:szCs w:val="52"/>
    </w:rPr>
  </w:style>
  <w:style w:type="paragraph" w:styleId="Subtitle">
    <w:name w:val="Subtitle"/>
    <w:basedOn w:val="Normal"/>
    <w:next w:val="Normal"/>
    <w:link w:val="SubtitleChar"/>
    <w:uiPriority w:val="11"/>
    <w:qFormat/>
    <w:rsid w:val="00F1342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13428"/>
    <w:rPr>
      <w:caps/>
      <w:color w:val="595959" w:themeColor="text1" w:themeTint="A6"/>
      <w:spacing w:val="10"/>
      <w:sz w:val="21"/>
      <w:szCs w:val="21"/>
    </w:rPr>
  </w:style>
  <w:style w:type="character" w:styleId="Emphasis">
    <w:name w:val="Emphasis"/>
    <w:uiPriority w:val="20"/>
    <w:qFormat/>
    <w:rsid w:val="00F13428"/>
    <w:rPr>
      <w:caps/>
      <w:color w:val="234A50" w:themeColor="accent1" w:themeShade="7F"/>
      <w:spacing w:val="5"/>
    </w:rPr>
  </w:style>
  <w:style w:type="paragraph" w:styleId="Quote">
    <w:name w:val="Quote"/>
    <w:basedOn w:val="Normal"/>
    <w:next w:val="Normal"/>
    <w:link w:val="QuoteChar"/>
    <w:uiPriority w:val="29"/>
    <w:qFormat/>
    <w:rsid w:val="00F13428"/>
    <w:rPr>
      <w:i/>
      <w:iCs/>
      <w:sz w:val="24"/>
      <w:szCs w:val="24"/>
    </w:rPr>
  </w:style>
  <w:style w:type="character" w:customStyle="1" w:styleId="QuoteChar">
    <w:name w:val="Quote Char"/>
    <w:basedOn w:val="DefaultParagraphFont"/>
    <w:link w:val="Quote"/>
    <w:uiPriority w:val="29"/>
    <w:rsid w:val="00F13428"/>
    <w:rPr>
      <w:i/>
      <w:iCs/>
      <w:sz w:val="24"/>
      <w:szCs w:val="24"/>
    </w:rPr>
  </w:style>
  <w:style w:type="paragraph" w:styleId="IntenseQuote">
    <w:name w:val="Intense Quote"/>
    <w:basedOn w:val="Normal"/>
    <w:next w:val="Normal"/>
    <w:link w:val="IntenseQuoteChar"/>
    <w:uiPriority w:val="30"/>
    <w:qFormat/>
    <w:rsid w:val="00F13428"/>
    <w:pPr>
      <w:spacing w:before="240" w:after="240" w:line="240" w:lineRule="auto"/>
      <w:ind w:left="1080" w:right="1080"/>
      <w:jc w:val="center"/>
    </w:pPr>
    <w:rPr>
      <w:color w:val="4897A2" w:themeColor="accent1"/>
      <w:sz w:val="24"/>
      <w:szCs w:val="24"/>
    </w:rPr>
  </w:style>
  <w:style w:type="character" w:customStyle="1" w:styleId="IntenseQuoteChar">
    <w:name w:val="Intense Quote Char"/>
    <w:basedOn w:val="DefaultParagraphFont"/>
    <w:link w:val="IntenseQuote"/>
    <w:uiPriority w:val="30"/>
    <w:rsid w:val="00F13428"/>
    <w:rPr>
      <w:color w:val="4897A2" w:themeColor="accent1"/>
      <w:sz w:val="24"/>
      <w:szCs w:val="24"/>
    </w:rPr>
  </w:style>
  <w:style w:type="character" w:styleId="SubtleEmphasis">
    <w:name w:val="Subtle Emphasis"/>
    <w:uiPriority w:val="19"/>
    <w:qFormat/>
    <w:rsid w:val="00F13428"/>
    <w:rPr>
      <w:i/>
      <w:iCs/>
      <w:color w:val="234A50" w:themeColor="accent1" w:themeShade="7F"/>
    </w:rPr>
  </w:style>
  <w:style w:type="character" w:styleId="IntenseEmphasis">
    <w:name w:val="Intense Emphasis"/>
    <w:uiPriority w:val="21"/>
    <w:qFormat/>
    <w:rsid w:val="00F13428"/>
    <w:rPr>
      <w:b/>
      <w:bCs/>
      <w:caps/>
      <w:color w:val="234A50" w:themeColor="accent1" w:themeShade="7F"/>
      <w:spacing w:val="10"/>
    </w:rPr>
  </w:style>
  <w:style w:type="character" w:styleId="SubtleReference">
    <w:name w:val="Subtle Reference"/>
    <w:uiPriority w:val="31"/>
    <w:qFormat/>
    <w:rsid w:val="00F13428"/>
    <w:rPr>
      <w:b/>
      <w:bCs/>
      <w:color w:val="4897A2" w:themeColor="accent1"/>
    </w:rPr>
  </w:style>
  <w:style w:type="character" w:styleId="IntenseReference">
    <w:name w:val="Intense Reference"/>
    <w:uiPriority w:val="32"/>
    <w:qFormat/>
    <w:rsid w:val="00F13428"/>
    <w:rPr>
      <w:b/>
      <w:bCs/>
      <w:i/>
      <w:iCs/>
      <w:caps/>
      <w:color w:val="4897A2" w:themeColor="accent1"/>
    </w:rPr>
  </w:style>
  <w:style w:type="character" w:styleId="BookTitle">
    <w:name w:val="Book Title"/>
    <w:uiPriority w:val="33"/>
    <w:qFormat/>
    <w:rsid w:val="00F13428"/>
    <w:rPr>
      <w:b/>
      <w:bCs/>
      <w:i/>
      <w:iCs/>
      <w:spacing w:val="0"/>
    </w:rPr>
  </w:style>
  <w:style w:type="paragraph" w:styleId="TOCHeading">
    <w:name w:val="TOC Heading"/>
    <w:basedOn w:val="Heading1"/>
    <w:next w:val="Normal"/>
    <w:uiPriority w:val="39"/>
    <w:semiHidden/>
    <w:unhideWhenUsed/>
    <w:qFormat/>
    <w:rsid w:val="00F13428"/>
    <w:pPr>
      <w:outlineLvl w:val="9"/>
    </w:pPr>
  </w:style>
  <w:style w:type="paragraph" w:styleId="FootnoteText">
    <w:name w:val="footnote text"/>
    <w:basedOn w:val="Normal"/>
    <w:link w:val="FootnoteTextChar"/>
    <w:uiPriority w:val="99"/>
    <w:semiHidden/>
    <w:unhideWhenUsed/>
    <w:rsid w:val="00DC058C"/>
    <w:pPr>
      <w:spacing w:before="0" w:after="0" w:line="240" w:lineRule="auto"/>
    </w:pPr>
  </w:style>
  <w:style w:type="character" w:customStyle="1" w:styleId="FootnoteTextChar">
    <w:name w:val="Footnote Text Char"/>
    <w:basedOn w:val="DefaultParagraphFont"/>
    <w:link w:val="FootnoteText"/>
    <w:uiPriority w:val="99"/>
    <w:semiHidden/>
    <w:rsid w:val="00DC058C"/>
  </w:style>
  <w:style w:type="character" w:styleId="FootnoteReference">
    <w:name w:val="footnote reference"/>
    <w:basedOn w:val="DefaultParagraphFont"/>
    <w:uiPriority w:val="99"/>
    <w:semiHidden/>
    <w:unhideWhenUsed/>
    <w:rsid w:val="00DC058C"/>
    <w:rPr>
      <w:vertAlign w:val="superscript"/>
    </w:rPr>
  </w:style>
  <w:style w:type="paragraph" w:styleId="Revision">
    <w:name w:val="Revision"/>
    <w:hidden/>
    <w:uiPriority w:val="99"/>
    <w:semiHidden/>
    <w:rsid w:val="00FF3952"/>
    <w:pPr>
      <w:spacing w:before="0" w:after="0" w:line="240" w:lineRule="auto"/>
    </w:pPr>
  </w:style>
  <w:style w:type="character" w:styleId="CommentReference">
    <w:name w:val="annotation reference"/>
    <w:basedOn w:val="DefaultParagraphFont"/>
    <w:uiPriority w:val="99"/>
    <w:semiHidden/>
    <w:unhideWhenUsed/>
    <w:rsid w:val="00F11B03"/>
    <w:rPr>
      <w:sz w:val="16"/>
      <w:szCs w:val="16"/>
    </w:rPr>
  </w:style>
  <w:style w:type="paragraph" w:styleId="CommentText">
    <w:name w:val="annotation text"/>
    <w:basedOn w:val="Normal"/>
    <w:link w:val="CommentTextChar"/>
    <w:uiPriority w:val="99"/>
    <w:unhideWhenUsed/>
    <w:rsid w:val="00F11B03"/>
    <w:pPr>
      <w:spacing w:line="240" w:lineRule="auto"/>
    </w:pPr>
  </w:style>
  <w:style w:type="character" w:customStyle="1" w:styleId="CommentTextChar">
    <w:name w:val="Comment Text Char"/>
    <w:basedOn w:val="DefaultParagraphFont"/>
    <w:link w:val="CommentText"/>
    <w:uiPriority w:val="99"/>
    <w:rsid w:val="00F11B03"/>
  </w:style>
  <w:style w:type="paragraph" w:styleId="CommentSubject">
    <w:name w:val="annotation subject"/>
    <w:basedOn w:val="CommentText"/>
    <w:next w:val="CommentText"/>
    <w:link w:val="CommentSubjectChar"/>
    <w:uiPriority w:val="99"/>
    <w:semiHidden/>
    <w:unhideWhenUsed/>
    <w:rsid w:val="00F11B03"/>
    <w:rPr>
      <w:b/>
      <w:bCs/>
    </w:rPr>
  </w:style>
  <w:style w:type="character" w:customStyle="1" w:styleId="CommentSubjectChar">
    <w:name w:val="Comment Subject Char"/>
    <w:basedOn w:val="CommentTextChar"/>
    <w:link w:val="CommentSubject"/>
    <w:uiPriority w:val="99"/>
    <w:semiHidden/>
    <w:rsid w:val="00F11B03"/>
    <w:rPr>
      <w:b/>
      <w:bCs/>
    </w:rPr>
  </w:style>
  <w:style w:type="paragraph" w:styleId="BalloonText">
    <w:name w:val="Balloon Text"/>
    <w:basedOn w:val="Normal"/>
    <w:link w:val="BalloonTextChar"/>
    <w:uiPriority w:val="99"/>
    <w:semiHidden/>
    <w:unhideWhenUsed/>
    <w:rsid w:val="006A50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5C"/>
    <w:rPr>
      <w:rFonts w:ascii="Segoe UI" w:hAnsi="Segoe UI" w:cs="Segoe UI"/>
      <w:sz w:val="18"/>
      <w:szCs w:val="18"/>
    </w:rPr>
  </w:style>
  <w:style w:type="character" w:styleId="Mention">
    <w:name w:val="Mention"/>
    <w:basedOn w:val="DefaultParagraphFont"/>
    <w:uiPriority w:val="99"/>
    <w:unhideWhenUsed/>
    <w:rsid w:val="00651989"/>
    <w:rPr>
      <w:color w:val="2B579A"/>
      <w:shd w:val="clear" w:color="auto" w:fill="E1DFDD"/>
    </w:rPr>
  </w:style>
  <w:style w:type="paragraph" w:customStyle="1" w:styleId="paragraph">
    <w:name w:val="paragraph"/>
    <w:basedOn w:val="Normal"/>
    <w:rsid w:val="002674C0"/>
    <w:pPr>
      <w:spacing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674C0"/>
  </w:style>
  <w:style w:type="character" w:customStyle="1" w:styleId="eop">
    <w:name w:val="eop"/>
    <w:basedOn w:val="DefaultParagraphFont"/>
    <w:rsid w:val="002674C0"/>
  </w:style>
  <w:style w:type="character" w:customStyle="1" w:styleId="scxw260585847">
    <w:name w:val="scxw260585847"/>
    <w:basedOn w:val="DefaultParagraphFont"/>
    <w:rsid w:val="002674C0"/>
  </w:style>
  <w:style w:type="table" w:styleId="GridTable4-Accent1">
    <w:name w:val="Grid Table 4 Accent 1"/>
    <w:basedOn w:val="TableNormal"/>
    <w:uiPriority w:val="49"/>
    <w:rsid w:val="002674C0"/>
    <w:pPr>
      <w:spacing w:after="0" w:line="240" w:lineRule="auto"/>
    </w:pPr>
    <w:tblPr>
      <w:tblStyleRowBandSize w:val="1"/>
      <w:tblStyleCol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rPr>
        <w:b/>
        <w:bCs/>
        <w:color w:val="FFFFFF" w:themeColor="background1"/>
      </w:rPr>
      <w:tblPr/>
      <w:tcPr>
        <w:tcBorders>
          <w:top w:val="single" w:sz="4" w:space="0" w:color="4897A2" w:themeColor="accent1"/>
          <w:left w:val="single" w:sz="4" w:space="0" w:color="4897A2" w:themeColor="accent1"/>
          <w:bottom w:val="single" w:sz="4" w:space="0" w:color="4897A2" w:themeColor="accent1"/>
          <w:right w:val="single" w:sz="4" w:space="0" w:color="4897A2" w:themeColor="accent1"/>
          <w:insideH w:val="nil"/>
          <w:insideV w:val="nil"/>
        </w:tcBorders>
        <w:shd w:val="clear" w:color="auto" w:fill="4897A2" w:themeFill="accent1"/>
      </w:tcPr>
    </w:tblStylePr>
    <w:tblStylePr w:type="lastRow">
      <w:rPr>
        <w:b/>
        <w:bCs/>
      </w:rPr>
      <w:tblPr/>
      <w:tcPr>
        <w:tcBorders>
          <w:top w:val="double" w:sz="4" w:space="0" w:color="4897A2" w:themeColor="accent1"/>
        </w:tcBorders>
      </w:tcPr>
    </w:tblStylePr>
    <w:tblStylePr w:type="firstCol">
      <w:rPr>
        <w:b/>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character" w:customStyle="1" w:styleId="scxw120832565">
    <w:name w:val="scxw120832565"/>
    <w:basedOn w:val="DefaultParagraphFont"/>
    <w:rsid w:val="005D56D3"/>
  </w:style>
  <w:style w:type="character" w:customStyle="1" w:styleId="scxw196694745">
    <w:name w:val="scxw196694745"/>
    <w:basedOn w:val="DefaultParagraphFont"/>
    <w:rsid w:val="008D5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5718">
      <w:bodyDiv w:val="1"/>
      <w:marLeft w:val="0"/>
      <w:marRight w:val="0"/>
      <w:marTop w:val="0"/>
      <w:marBottom w:val="0"/>
      <w:divBdr>
        <w:top w:val="none" w:sz="0" w:space="0" w:color="auto"/>
        <w:left w:val="none" w:sz="0" w:space="0" w:color="auto"/>
        <w:bottom w:val="none" w:sz="0" w:space="0" w:color="auto"/>
        <w:right w:val="none" w:sz="0" w:space="0" w:color="auto"/>
      </w:divBdr>
    </w:div>
    <w:div w:id="872574306">
      <w:bodyDiv w:val="1"/>
      <w:marLeft w:val="0"/>
      <w:marRight w:val="0"/>
      <w:marTop w:val="0"/>
      <w:marBottom w:val="0"/>
      <w:divBdr>
        <w:top w:val="none" w:sz="0" w:space="0" w:color="auto"/>
        <w:left w:val="none" w:sz="0" w:space="0" w:color="auto"/>
        <w:bottom w:val="none" w:sz="0" w:space="0" w:color="auto"/>
        <w:right w:val="none" w:sz="0" w:space="0" w:color="auto"/>
      </w:divBdr>
      <w:divsChild>
        <w:div w:id="450903169">
          <w:marLeft w:val="0"/>
          <w:marRight w:val="0"/>
          <w:marTop w:val="0"/>
          <w:marBottom w:val="0"/>
          <w:divBdr>
            <w:top w:val="none" w:sz="0" w:space="0" w:color="auto"/>
            <w:left w:val="none" w:sz="0" w:space="0" w:color="auto"/>
            <w:bottom w:val="none" w:sz="0" w:space="0" w:color="auto"/>
            <w:right w:val="none" w:sz="0" w:space="0" w:color="auto"/>
          </w:divBdr>
          <w:divsChild>
            <w:div w:id="972441405">
              <w:marLeft w:val="0"/>
              <w:marRight w:val="0"/>
              <w:marTop w:val="0"/>
              <w:marBottom w:val="0"/>
              <w:divBdr>
                <w:top w:val="none" w:sz="0" w:space="0" w:color="auto"/>
                <w:left w:val="none" w:sz="0" w:space="0" w:color="auto"/>
                <w:bottom w:val="none" w:sz="0" w:space="0" w:color="auto"/>
                <w:right w:val="none" w:sz="0" w:space="0" w:color="auto"/>
              </w:divBdr>
            </w:div>
          </w:divsChild>
        </w:div>
        <w:div w:id="1090737874">
          <w:marLeft w:val="0"/>
          <w:marRight w:val="0"/>
          <w:marTop w:val="0"/>
          <w:marBottom w:val="0"/>
          <w:divBdr>
            <w:top w:val="none" w:sz="0" w:space="0" w:color="auto"/>
            <w:left w:val="none" w:sz="0" w:space="0" w:color="auto"/>
            <w:bottom w:val="none" w:sz="0" w:space="0" w:color="auto"/>
            <w:right w:val="none" w:sz="0" w:space="0" w:color="auto"/>
          </w:divBdr>
          <w:divsChild>
            <w:div w:id="708261790">
              <w:marLeft w:val="0"/>
              <w:marRight w:val="0"/>
              <w:marTop w:val="0"/>
              <w:marBottom w:val="0"/>
              <w:divBdr>
                <w:top w:val="none" w:sz="0" w:space="0" w:color="auto"/>
                <w:left w:val="none" w:sz="0" w:space="0" w:color="auto"/>
                <w:bottom w:val="none" w:sz="0" w:space="0" w:color="auto"/>
                <w:right w:val="none" w:sz="0" w:space="0" w:color="auto"/>
              </w:divBdr>
            </w:div>
          </w:divsChild>
        </w:div>
        <w:div w:id="2130708085">
          <w:marLeft w:val="0"/>
          <w:marRight w:val="0"/>
          <w:marTop w:val="0"/>
          <w:marBottom w:val="0"/>
          <w:divBdr>
            <w:top w:val="none" w:sz="0" w:space="0" w:color="auto"/>
            <w:left w:val="none" w:sz="0" w:space="0" w:color="auto"/>
            <w:bottom w:val="none" w:sz="0" w:space="0" w:color="auto"/>
            <w:right w:val="none" w:sz="0" w:space="0" w:color="auto"/>
          </w:divBdr>
          <w:divsChild>
            <w:div w:id="1714503177">
              <w:marLeft w:val="0"/>
              <w:marRight w:val="0"/>
              <w:marTop w:val="0"/>
              <w:marBottom w:val="0"/>
              <w:divBdr>
                <w:top w:val="none" w:sz="0" w:space="0" w:color="auto"/>
                <w:left w:val="none" w:sz="0" w:space="0" w:color="auto"/>
                <w:bottom w:val="none" w:sz="0" w:space="0" w:color="auto"/>
                <w:right w:val="none" w:sz="0" w:space="0" w:color="auto"/>
              </w:divBdr>
            </w:div>
          </w:divsChild>
        </w:div>
        <w:div w:id="2020421377">
          <w:marLeft w:val="0"/>
          <w:marRight w:val="0"/>
          <w:marTop w:val="0"/>
          <w:marBottom w:val="0"/>
          <w:divBdr>
            <w:top w:val="none" w:sz="0" w:space="0" w:color="auto"/>
            <w:left w:val="none" w:sz="0" w:space="0" w:color="auto"/>
            <w:bottom w:val="none" w:sz="0" w:space="0" w:color="auto"/>
            <w:right w:val="none" w:sz="0" w:space="0" w:color="auto"/>
          </w:divBdr>
          <w:divsChild>
            <w:div w:id="1360428457">
              <w:marLeft w:val="0"/>
              <w:marRight w:val="0"/>
              <w:marTop w:val="0"/>
              <w:marBottom w:val="0"/>
              <w:divBdr>
                <w:top w:val="none" w:sz="0" w:space="0" w:color="auto"/>
                <w:left w:val="none" w:sz="0" w:space="0" w:color="auto"/>
                <w:bottom w:val="none" w:sz="0" w:space="0" w:color="auto"/>
                <w:right w:val="none" w:sz="0" w:space="0" w:color="auto"/>
              </w:divBdr>
            </w:div>
          </w:divsChild>
        </w:div>
        <w:div w:id="720402075">
          <w:marLeft w:val="0"/>
          <w:marRight w:val="0"/>
          <w:marTop w:val="0"/>
          <w:marBottom w:val="0"/>
          <w:divBdr>
            <w:top w:val="none" w:sz="0" w:space="0" w:color="auto"/>
            <w:left w:val="none" w:sz="0" w:space="0" w:color="auto"/>
            <w:bottom w:val="none" w:sz="0" w:space="0" w:color="auto"/>
            <w:right w:val="none" w:sz="0" w:space="0" w:color="auto"/>
          </w:divBdr>
          <w:divsChild>
            <w:div w:id="1454208113">
              <w:marLeft w:val="0"/>
              <w:marRight w:val="0"/>
              <w:marTop w:val="0"/>
              <w:marBottom w:val="0"/>
              <w:divBdr>
                <w:top w:val="none" w:sz="0" w:space="0" w:color="auto"/>
                <w:left w:val="none" w:sz="0" w:space="0" w:color="auto"/>
                <w:bottom w:val="none" w:sz="0" w:space="0" w:color="auto"/>
                <w:right w:val="none" w:sz="0" w:space="0" w:color="auto"/>
              </w:divBdr>
            </w:div>
          </w:divsChild>
        </w:div>
        <w:div w:id="1785609232">
          <w:marLeft w:val="0"/>
          <w:marRight w:val="0"/>
          <w:marTop w:val="0"/>
          <w:marBottom w:val="0"/>
          <w:divBdr>
            <w:top w:val="none" w:sz="0" w:space="0" w:color="auto"/>
            <w:left w:val="none" w:sz="0" w:space="0" w:color="auto"/>
            <w:bottom w:val="none" w:sz="0" w:space="0" w:color="auto"/>
            <w:right w:val="none" w:sz="0" w:space="0" w:color="auto"/>
          </w:divBdr>
          <w:divsChild>
            <w:div w:id="1262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8380">
      <w:bodyDiv w:val="1"/>
      <w:marLeft w:val="0"/>
      <w:marRight w:val="0"/>
      <w:marTop w:val="0"/>
      <w:marBottom w:val="0"/>
      <w:divBdr>
        <w:top w:val="none" w:sz="0" w:space="0" w:color="auto"/>
        <w:left w:val="none" w:sz="0" w:space="0" w:color="auto"/>
        <w:bottom w:val="none" w:sz="0" w:space="0" w:color="auto"/>
        <w:right w:val="none" w:sz="0" w:space="0" w:color="auto"/>
      </w:divBdr>
      <w:divsChild>
        <w:div w:id="1283223569">
          <w:marLeft w:val="0"/>
          <w:marRight w:val="0"/>
          <w:marTop w:val="0"/>
          <w:marBottom w:val="0"/>
          <w:divBdr>
            <w:top w:val="none" w:sz="0" w:space="0" w:color="auto"/>
            <w:left w:val="none" w:sz="0" w:space="0" w:color="auto"/>
            <w:bottom w:val="none" w:sz="0" w:space="0" w:color="auto"/>
            <w:right w:val="none" w:sz="0" w:space="0" w:color="auto"/>
          </w:divBdr>
          <w:divsChild>
            <w:div w:id="1042561213">
              <w:marLeft w:val="0"/>
              <w:marRight w:val="0"/>
              <w:marTop w:val="0"/>
              <w:marBottom w:val="0"/>
              <w:divBdr>
                <w:top w:val="none" w:sz="0" w:space="0" w:color="auto"/>
                <w:left w:val="none" w:sz="0" w:space="0" w:color="auto"/>
                <w:bottom w:val="none" w:sz="0" w:space="0" w:color="auto"/>
                <w:right w:val="none" w:sz="0" w:space="0" w:color="auto"/>
              </w:divBdr>
            </w:div>
          </w:divsChild>
        </w:div>
        <w:div w:id="1298609336">
          <w:marLeft w:val="0"/>
          <w:marRight w:val="0"/>
          <w:marTop w:val="0"/>
          <w:marBottom w:val="0"/>
          <w:divBdr>
            <w:top w:val="none" w:sz="0" w:space="0" w:color="auto"/>
            <w:left w:val="none" w:sz="0" w:space="0" w:color="auto"/>
            <w:bottom w:val="none" w:sz="0" w:space="0" w:color="auto"/>
            <w:right w:val="none" w:sz="0" w:space="0" w:color="auto"/>
          </w:divBdr>
          <w:divsChild>
            <w:div w:id="2022392321">
              <w:marLeft w:val="0"/>
              <w:marRight w:val="0"/>
              <w:marTop w:val="0"/>
              <w:marBottom w:val="0"/>
              <w:divBdr>
                <w:top w:val="none" w:sz="0" w:space="0" w:color="auto"/>
                <w:left w:val="none" w:sz="0" w:space="0" w:color="auto"/>
                <w:bottom w:val="none" w:sz="0" w:space="0" w:color="auto"/>
                <w:right w:val="none" w:sz="0" w:space="0" w:color="auto"/>
              </w:divBdr>
            </w:div>
          </w:divsChild>
        </w:div>
        <w:div w:id="364133825">
          <w:marLeft w:val="0"/>
          <w:marRight w:val="0"/>
          <w:marTop w:val="0"/>
          <w:marBottom w:val="0"/>
          <w:divBdr>
            <w:top w:val="none" w:sz="0" w:space="0" w:color="auto"/>
            <w:left w:val="none" w:sz="0" w:space="0" w:color="auto"/>
            <w:bottom w:val="none" w:sz="0" w:space="0" w:color="auto"/>
            <w:right w:val="none" w:sz="0" w:space="0" w:color="auto"/>
          </w:divBdr>
          <w:divsChild>
            <w:div w:id="99842524">
              <w:marLeft w:val="0"/>
              <w:marRight w:val="0"/>
              <w:marTop w:val="0"/>
              <w:marBottom w:val="0"/>
              <w:divBdr>
                <w:top w:val="none" w:sz="0" w:space="0" w:color="auto"/>
                <w:left w:val="none" w:sz="0" w:space="0" w:color="auto"/>
                <w:bottom w:val="none" w:sz="0" w:space="0" w:color="auto"/>
                <w:right w:val="none" w:sz="0" w:space="0" w:color="auto"/>
              </w:divBdr>
            </w:div>
          </w:divsChild>
        </w:div>
        <w:div w:id="1927418796">
          <w:marLeft w:val="0"/>
          <w:marRight w:val="0"/>
          <w:marTop w:val="0"/>
          <w:marBottom w:val="0"/>
          <w:divBdr>
            <w:top w:val="none" w:sz="0" w:space="0" w:color="auto"/>
            <w:left w:val="none" w:sz="0" w:space="0" w:color="auto"/>
            <w:bottom w:val="none" w:sz="0" w:space="0" w:color="auto"/>
            <w:right w:val="none" w:sz="0" w:space="0" w:color="auto"/>
          </w:divBdr>
          <w:divsChild>
            <w:div w:id="1043359774">
              <w:marLeft w:val="0"/>
              <w:marRight w:val="0"/>
              <w:marTop w:val="0"/>
              <w:marBottom w:val="0"/>
              <w:divBdr>
                <w:top w:val="none" w:sz="0" w:space="0" w:color="auto"/>
                <w:left w:val="none" w:sz="0" w:space="0" w:color="auto"/>
                <w:bottom w:val="none" w:sz="0" w:space="0" w:color="auto"/>
                <w:right w:val="none" w:sz="0" w:space="0" w:color="auto"/>
              </w:divBdr>
            </w:div>
          </w:divsChild>
        </w:div>
        <w:div w:id="1060514490">
          <w:marLeft w:val="0"/>
          <w:marRight w:val="0"/>
          <w:marTop w:val="0"/>
          <w:marBottom w:val="0"/>
          <w:divBdr>
            <w:top w:val="none" w:sz="0" w:space="0" w:color="auto"/>
            <w:left w:val="none" w:sz="0" w:space="0" w:color="auto"/>
            <w:bottom w:val="none" w:sz="0" w:space="0" w:color="auto"/>
            <w:right w:val="none" w:sz="0" w:space="0" w:color="auto"/>
          </w:divBdr>
          <w:divsChild>
            <w:div w:id="1291085669">
              <w:marLeft w:val="0"/>
              <w:marRight w:val="0"/>
              <w:marTop w:val="0"/>
              <w:marBottom w:val="0"/>
              <w:divBdr>
                <w:top w:val="none" w:sz="0" w:space="0" w:color="auto"/>
                <w:left w:val="none" w:sz="0" w:space="0" w:color="auto"/>
                <w:bottom w:val="none" w:sz="0" w:space="0" w:color="auto"/>
                <w:right w:val="none" w:sz="0" w:space="0" w:color="auto"/>
              </w:divBdr>
            </w:div>
          </w:divsChild>
        </w:div>
        <w:div w:id="1067806587">
          <w:marLeft w:val="0"/>
          <w:marRight w:val="0"/>
          <w:marTop w:val="0"/>
          <w:marBottom w:val="0"/>
          <w:divBdr>
            <w:top w:val="none" w:sz="0" w:space="0" w:color="auto"/>
            <w:left w:val="none" w:sz="0" w:space="0" w:color="auto"/>
            <w:bottom w:val="none" w:sz="0" w:space="0" w:color="auto"/>
            <w:right w:val="none" w:sz="0" w:space="0" w:color="auto"/>
          </w:divBdr>
          <w:divsChild>
            <w:div w:id="1010833348">
              <w:marLeft w:val="0"/>
              <w:marRight w:val="0"/>
              <w:marTop w:val="0"/>
              <w:marBottom w:val="0"/>
              <w:divBdr>
                <w:top w:val="none" w:sz="0" w:space="0" w:color="auto"/>
                <w:left w:val="none" w:sz="0" w:space="0" w:color="auto"/>
                <w:bottom w:val="none" w:sz="0" w:space="0" w:color="auto"/>
                <w:right w:val="none" w:sz="0" w:space="0" w:color="auto"/>
              </w:divBdr>
            </w:div>
          </w:divsChild>
        </w:div>
        <w:div w:id="1826705510">
          <w:marLeft w:val="0"/>
          <w:marRight w:val="0"/>
          <w:marTop w:val="0"/>
          <w:marBottom w:val="0"/>
          <w:divBdr>
            <w:top w:val="none" w:sz="0" w:space="0" w:color="auto"/>
            <w:left w:val="none" w:sz="0" w:space="0" w:color="auto"/>
            <w:bottom w:val="none" w:sz="0" w:space="0" w:color="auto"/>
            <w:right w:val="none" w:sz="0" w:space="0" w:color="auto"/>
          </w:divBdr>
          <w:divsChild>
            <w:div w:id="1602447824">
              <w:marLeft w:val="0"/>
              <w:marRight w:val="0"/>
              <w:marTop w:val="0"/>
              <w:marBottom w:val="0"/>
              <w:divBdr>
                <w:top w:val="none" w:sz="0" w:space="0" w:color="auto"/>
                <w:left w:val="none" w:sz="0" w:space="0" w:color="auto"/>
                <w:bottom w:val="none" w:sz="0" w:space="0" w:color="auto"/>
                <w:right w:val="none" w:sz="0" w:space="0" w:color="auto"/>
              </w:divBdr>
            </w:div>
          </w:divsChild>
        </w:div>
        <w:div w:id="1749182824">
          <w:marLeft w:val="0"/>
          <w:marRight w:val="0"/>
          <w:marTop w:val="0"/>
          <w:marBottom w:val="0"/>
          <w:divBdr>
            <w:top w:val="none" w:sz="0" w:space="0" w:color="auto"/>
            <w:left w:val="none" w:sz="0" w:space="0" w:color="auto"/>
            <w:bottom w:val="none" w:sz="0" w:space="0" w:color="auto"/>
            <w:right w:val="none" w:sz="0" w:space="0" w:color="auto"/>
          </w:divBdr>
          <w:divsChild>
            <w:div w:id="1988779591">
              <w:marLeft w:val="0"/>
              <w:marRight w:val="0"/>
              <w:marTop w:val="0"/>
              <w:marBottom w:val="0"/>
              <w:divBdr>
                <w:top w:val="none" w:sz="0" w:space="0" w:color="auto"/>
                <w:left w:val="none" w:sz="0" w:space="0" w:color="auto"/>
                <w:bottom w:val="none" w:sz="0" w:space="0" w:color="auto"/>
                <w:right w:val="none" w:sz="0" w:space="0" w:color="auto"/>
              </w:divBdr>
            </w:div>
          </w:divsChild>
        </w:div>
        <w:div w:id="578253087">
          <w:marLeft w:val="0"/>
          <w:marRight w:val="0"/>
          <w:marTop w:val="0"/>
          <w:marBottom w:val="0"/>
          <w:divBdr>
            <w:top w:val="none" w:sz="0" w:space="0" w:color="auto"/>
            <w:left w:val="none" w:sz="0" w:space="0" w:color="auto"/>
            <w:bottom w:val="none" w:sz="0" w:space="0" w:color="auto"/>
            <w:right w:val="none" w:sz="0" w:space="0" w:color="auto"/>
          </w:divBdr>
          <w:divsChild>
            <w:div w:id="1791440077">
              <w:marLeft w:val="0"/>
              <w:marRight w:val="0"/>
              <w:marTop w:val="0"/>
              <w:marBottom w:val="0"/>
              <w:divBdr>
                <w:top w:val="none" w:sz="0" w:space="0" w:color="auto"/>
                <w:left w:val="none" w:sz="0" w:space="0" w:color="auto"/>
                <w:bottom w:val="none" w:sz="0" w:space="0" w:color="auto"/>
                <w:right w:val="none" w:sz="0" w:space="0" w:color="auto"/>
              </w:divBdr>
            </w:div>
          </w:divsChild>
        </w:div>
        <w:div w:id="565799264">
          <w:marLeft w:val="0"/>
          <w:marRight w:val="0"/>
          <w:marTop w:val="0"/>
          <w:marBottom w:val="0"/>
          <w:divBdr>
            <w:top w:val="none" w:sz="0" w:space="0" w:color="auto"/>
            <w:left w:val="none" w:sz="0" w:space="0" w:color="auto"/>
            <w:bottom w:val="none" w:sz="0" w:space="0" w:color="auto"/>
            <w:right w:val="none" w:sz="0" w:space="0" w:color="auto"/>
          </w:divBdr>
          <w:divsChild>
            <w:div w:id="1429766014">
              <w:marLeft w:val="0"/>
              <w:marRight w:val="0"/>
              <w:marTop w:val="0"/>
              <w:marBottom w:val="0"/>
              <w:divBdr>
                <w:top w:val="none" w:sz="0" w:space="0" w:color="auto"/>
                <w:left w:val="none" w:sz="0" w:space="0" w:color="auto"/>
                <w:bottom w:val="none" w:sz="0" w:space="0" w:color="auto"/>
                <w:right w:val="none" w:sz="0" w:space="0" w:color="auto"/>
              </w:divBdr>
            </w:div>
          </w:divsChild>
        </w:div>
        <w:div w:id="1947686897">
          <w:marLeft w:val="0"/>
          <w:marRight w:val="0"/>
          <w:marTop w:val="0"/>
          <w:marBottom w:val="0"/>
          <w:divBdr>
            <w:top w:val="none" w:sz="0" w:space="0" w:color="auto"/>
            <w:left w:val="none" w:sz="0" w:space="0" w:color="auto"/>
            <w:bottom w:val="none" w:sz="0" w:space="0" w:color="auto"/>
            <w:right w:val="none" w:sz="0" w:space="0" w:color="auto"/>
          </w:divBdr>
          <w:divsChild>
            <w:div w:id="630402624">
              <w:marLeft w:val="0"/>
              <w:marRight w:val="0"/>
              <w:marTop w:val="0"/>
              <w:marBottom w:val="0"/>
              <w:divBdr>
                <w:top w:val="none" w:sz="0" w:space="0" w:color="auto"/>
                <w:left w:val="none" w:sz="0" w:space="0" w:color="auto"/>
                <w:bottom w:val="none" w:sz="0" w:space="0" w:color="auto"/>
                <w:right w:val="none" w:sz="0" w:space="0" w:color="auto"/>
              </w:divBdr>
            </w:div>
          </w:divsChild>
        </w:div>
        <w:div w:id="27872434">
          <w:marLeft w:val="0"/>
          <w:marRight w:val="0"/>
          <w:marTop w:val="0"/>
          <w:marBottom w:val="0"/>
          <w:divBdr>
            <w:top w:val="none" w:sz="0" w:space="0" w:color="auto"/>
            <w:left w:val="none" w:sz="0" w:space="0" w:color="auto"/>
            <w:bottom w:val="none" w:sz="0" w:space="0" w:color="auto"/>
            <w:right w:val="none" w:sz="0" w:space="0" w:color="auto"/>
          </w:divBdr>
          <w:divsChild>
            <w:div w:id="12096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250">
      <w:bodyDiv w:val="1"/>
      <w:marLeft w:val="0"/>
      <w:marRight w:val="0"/>
      <w:marTop w:val="0"/>
      <w:marBottom w:val="0"/>
      <w:divBdr>
        <w:top w:val="none" w:sz="0" w:space="0" w:color="auto"/>
        <w:left w:val="none" w:sz="0" w:space="0" w:color="auto"/>
        <w:bottom w:val="none" w:sz="0" w:space="0" w:color="auto"/>
        <w:right w:val="none" w:sz="0" w:space="0" w:color="auto"/>
      </w:divBdr>
      <w:divsChild>
        <w:div w:id="14579302">
          <w:marLeft w:val="0"/>
          <w:marRight w:val="0"/>
          <w:marTop w:val="0"/>
          <w:marBottom w:val="0"/>
          <w:divBdr>
            <w:top w:val="none" w:sz="0" w:space="0" w:color="auto"/>
            <w:left w:val="none" w:sz="0" w:space="0" w:color="auto"/>
            <w:bottom w:val="none" w:sz="0" w:space="0" w:color="auto"/>
            <w:right w:val="none" w:sz="0" w:space="0" w:color="auto"/>
          </w:divBdr>
          <w:divsChild>
            <w:div w:id="331223942">
              <w:marLeft w:val="0"/>
              <w:marRight w:val="0"/>
              <w:marTop w:val="0"/>
              <w:marBottom w:val="0"/>
              <w:divBdr>
                <w:top w:val="none" w:sz="0" w:space="0" w:color="auto"/>
                <w:left w:val="none" w:sz="0" w:space="0" w:color="auto"/>
                <w:bottom w:val="none" w:sz="0" w:space="0" w:color="auto"/>
                <w:right w:val="none" w:sz="0" w:space="0" w:color="auto"/>
              </w:divBdr>
            </w:div>
          </w:divsChild>
        </w:div>
        <w:div w:id="1533763759">
          <w:marLeft w:val="0"/>
          <w:marRight w:val="0"/>
          <w:marTop w:val="0"/>
          <w:marBottom w:val="0"/>
          <w:divBdr>
            <w:top w:val="none" w:sz="0" w:space="0" w:color="auto"/>
            <w:left w:val="none" w:sz="0" w:space="0" w:color="auto"/>
            <w:bottom w:val="none" w:sz="0" w:space="0" w:color="auto"/>
            <w:right w:val="none" w:sz="0" w:space="0" w:color="auto"/>
          </w:divBdr>
          <w:divsChild>
            <w:div w:id="1503087684">
              <w:marLeft w:val="0"/>
              <w:marRight w:val="0"/>
              <w:marTop w:val="0"/>
              <w:marBottom w:val="0"/>
              <w:divBdr>
                <w:top w:val="none" w:sz="0" w:space="0" w:color="auto"/>
                <w:left w:val="none" w:sz="0" w:space="0" w:color="auto"/>
                <w:bottom w:val="none" w:sz="0" w:space="0" w:color="auto"/>
                <w:right w:val="none" w:sz="0" w:space="0" w:color="auto"/>
              </w:divBdr>
            </w:div>
          </w:divsChild>
        </w:div>
        <w:div w:id="1155410806">
          <w:marLeft w:val="0"/>
          <w:marRight w:val="0"/>
          <w:marTop w:val="0"/>
          <w:marBottom w:val="0"/>
          <w:divBdr>
            <w:top w:val="none" w:sz="0" w:space="0" w:color="auto"/>
            <w:left w:val="none" w:sz="0" w:space="0" w:color="auto"/>
            <w:bottom w:val="none" w:sz="0" w:space="0" w:color="auto"/>
            <w:right w:val="none" w:sz="0" w:space="0" w:color="auto"/>
          </w:divBdr>
          <w:divsChild>
            <w:div w:id="961501999">
              <w:marLeft w:val="0"/>
              <w:marRight w:val="0"/>
              <w:marTop w:val="0"/>
              <w:marBottom w:val="0"/>
              <w:divBdr>
                <w:top w:val="none" w:sz="0" w:space="0" w:color="auto"/>
                <w:left w:val="none" w:sz="0" w:space="0" w:color="auto"/>
                <w:bottom w:val="none" w:sz="0" w:space="0" w:color="auto"/>
                <w:right w:val="none" w:sz="0" w:space="0" w:color="auto"/>
              </w:divBdr>
            </w:div>
          </w:divsChild>
        </w:div>
        <w:div w:id="1751998070">
          <w:marLeft w:val="0"/>
          <w:marRight w:val="0"/>
          <w:marTop w:val="0"/>
          <w:marBottom w:val="0"/>
          <w:divBdr>
            <w:top w:val="none" w:sz="0" w:space="0" w:color="auto"/>
            <w:left w:val="none" w:sz="0" w:space="0" w:color="auto"/>
            <w:bottom w:val="none" w:sz="0" w:space="0" w:color="auto"/>
            <w:right w:val="none" w:sz="0" w:space="0" w:color="auto"/>
          </w:divBdr>
          <w:divsChild>
            <w:div w:id="1861626939">
              <w:marLeft w:val="0"/>
              <w:marRight w:val="0"/>
              <w:marTop w:val="0"/>
              <w:marBottom w:val="0"/>
              <w:divBdr>
                <w:top w:val="none" w:sz="0" w:space="0" w:color="auto"/>
                <w:left w:val="none" w:sz="0" w:space="0" w:color="auto"/>
                <w:bottom w:val="none" w:sz="0" w:space="0" w:color="auto"/>
                <w:right w:val="none" w:sz="0" w:space="0" w:color="auto"/>
              </w:divBdr>
            </w:div>
          </w:divsChild>
        </w:div>
        <w:div w:id="822503676">
          <w:marLeft w:val="0"/>
          <w:marRight w:val="0"/>
          <w:marTop w:val="0"/>
          <w:marBottom w:val="0"/>
          <w:divBdr>
            <w:top w:val="none" w:sz="0" w:space="0" w:color="auto"/>
            <w:left w:val="none" w:sz="0" w:space="0" w:color="auto"/>
            <w:bottom w:val="none" w:sz="0" w:space="0" w:color="auto"/>
            <w:right w:val="none" w:sz="0" w:space="0" w:color="auto"/>
          </w:divBdr>
          <w:divsChild>
            <w:div w:id="168058207">
              <w:marLeft w:val="0"/>
              <w:marRight w:val="0"/>
              <w:marTop w:val="0"/>
              <w:marBottom w:val="0"/>
              <w:divBdr>
                <w:top w:val="none" w:sz="0" w:space="0" w:color="auto"/>
                <w:left w:val="none" w:sz="0" w:space="0" w:color="auto"/>
                <w:bottom w:val="none" w:sz="0" w:space="0" w:color="auto"/>
                <w:right w:val="none" w:sz="0" w:space="0" w:color="auto"/>
              </w:divBdr>
            </w:div>
          </w:divsChild>
        </w:div>
        <w:div w:id="189495532">
          <w:marLeft w:val="0"/>
          <w:marRight w:val="0"/>
          <w:marTop w:val="0"/>
          <w:marBottom w:val="0"/>
          <w:divBdr>
            <w:top w:val="none" w:sz="0" w:space="0" w:color="auto"/>
            <w:left w:val="none" w:sz="0" w:space="0" w:color="auto"/>
            <w:bottom w:val="none" w:sz="0" w:space="0" w:color="auto"/>
            <w:right w:val="none" w:sz="0" w:space="0" w:color="auto"/>
          </w:divBdr>
          <w:divsChild>
            <w:div w:id="850217219">
              <w:marLeft w:val="0"/>
              <w:marRight w:val="0"/>
              <w:marTop w:val="0"/>
              <w:marBottom w:val="0"/>
              <w:divBdr>
                <w:top w:val="none" w:sz="0" w:space="0" w:color="auto"/>
                <w:left w:val="none" w:sz="0" w:space="0" w:color="auto"/>
                <w:bottom w:val="none" w:sz="0" w:space="0" w:color="auto"/>
                <w:right w:val="none" w:sz="0" w:space="0" w:color="auto"/>
              </w:divBdr>
            </w:div>
          </w:divsChild>
        </w:div>
        <w:div w:id="328867859">
          <w:marLeft w:val="0"/>
          <w:marRight w:val="0"/>
          <w:marTop w:val="0"/>
          <w:marBottom w:val="0"/>
          <w:divBdr>
            <w:top w:val="none" w:sz="0" w:space="0" w:color="auto"/>
            <w:left w:val="none" w:sz="0" w:space="0" w:color="auto"/>
            <w:bottom w:val="none" w:sz="0" w:space="0" w:color="auto"/>
            <w:right w:val="none" w:sz="0" w:space="0" w:color="auto"/>
          </w:divBdr>
          <w:divsChild>
            <w:div w:id="522673042">
              <w:marLeft w:val="0"/>
              <w:marRight w:val="0"/>
              <w:marTop w:val="0"/>
              <w:marBottom w:val="0"/>
              <w:divBdr>
                <w:top w:val="none" w:sz="0" w:space="0" w:color="auto"/>
                <w:left w:val="none" w:sz="0" w:space="0" w:color="auto"/>
                <w:bottom w:val="none" w:sz="0" w:space="0" w:color="auto"/>
                <w:right w:val="none" w:sz="0" w:space="0" w:color="auto"/>
              </w:divBdr>
            </w:div>
          </w:divsChild>
        </w:div>
        <w:div w:id="1007177589">
          <w:marLeft w:val="0"/>
          <w:marRight w:val="0"/>
          <w:marTop w:val="0"/>
          <w:marBottom w:val="0"/>
          <w:divBdr>
            <w:top w:val="none" w:sz="0" w:space="0" w:color="auto"/>
            <w:left w:val="none" w:sz="0" w:space="0" w:color="auto"/>
            <w:bottom w:val="none" w:sz="0" w:space="0" w:color="auto"/>
            <w:right w:val="none" w:sz="0" w:space="0" w:color="auto"/>
          </w:divBdr>
          <w:divsChild>
            <w:div w:id="232202757">
              <w:marLeft w:val="0"/>
              <w:marRight w:val="0"/>
              <w:marTop w:val="0"/>
              <w:marBottom w:val="0"/>
              <w:divBdr>
                <w:top w:val="none" w:sz="0" w:space="0" w:color="auto"/>
                <w:left w:val="none" w:sz="0" w:space="0" w:color="auto"/>
                <w:bottom w:val="none" w:sz="0" w:space="0" w:color="auto"/>
                <w:right w:val="none" w:sz="0" w:space="0" w:color="auto"/>
              </w:divBdr>
            </w:div>
          </w:divsChild>
        </w:div>
        <w:div w:id="1008141563">
          <w:marLeft w:val="0"/>
          <w:marRight w:val="0"/>
          <w:marTop w:val="0"/>
          <w:marBottom w:val="0"/>
          <w:divBdr>
            <w:top w:val="none" w:sz="0" w:space="0" w:color="auto"/>
            <w:left w:val="none" w:sz="0" w:space="0" w:color="auto"/>
            <w:bottom w:val="none" w:sz="0" w:space="0" w:color="auto"/>
            <w:right w:val="none" w:sz="0" w:space="0" w:color="auto"/>
          </w:divBdr>
          <w:divsChild>
            <w:div w:id="1359115917">
              <w:marLeft w:val="0"/>
              <w:marRight w:val="0"/>
              <w:marTop w:val="0"/>
              <w:marBottom w:val="0"/>
              <w:divBdr>
                <w:top w:val="none" w:sz="0" w:space="0" w:color="auto"/>
                <w:left w:val="none" w:sz="0" w:space="0" w:color="auto"/>
                <w:bottom w:val="none" w:sz="0" w:space="0" w:color="auto"/>
                <w:right w:val="none" w:sz="0" w:space="0" w:color="auto"/>
              </w:divBdr>
            </w:div>
          </w:divsChild>
        </w:div>
        <w:div w:id="1911843524">
          <w:marLeft w:val="0"/>
          <w:marRight w:val="0"/>
          <w:marTop w:val="0"/>
          <w:marBottom w:val="0"/>
          <w:divBdr>
            <w:top w:val="none" w:sz="0" w:space="0" w:color="auto"/>
            <w:left w:val="none" w:sz="0" w:space="0" w:color="auto"/>
            <w:bottom w:val="none" w:sz="0" w:space="0" w:color="auto"/>
            <w:right w:val="none" w:sz="0" w:space="0" w:color="auto"/>
          </w:divBdr>
          <w:divsChild>
            <w:div w:id="315187710">
              <w:marLeft w:val="0"/>
              <w:marRight w:val="0"/>
              <w:marTop w:val="0"/>
              <w:marBottom w:val="0"/>
              <w:divBdr>
                <w:top w:val="none" w:sz="0" w:space="0" w:color="auto"/>
                <w:left w:val="none" w:sz="0" w:space="0" w:color="auto"/>
                <w:bottom w:val="none" w:sz="0" w:space="0" w:color="auto"/>
                <w:right w:val="none" w:sz="0" w:space="0" w:color="auto"/>
              </w:divBdr>
            </w:div>
          </w:divsChild>
        </w:div>
        <w:div w:id="921639536">
          <w:marLeft w:val="0"/>
          <w:marRight w:val="0"/>
          <w:marTop w:val="0"/>
          <w:marBottom w:val="0"/>
          <w:divBdr>
            <w:top w:val="none" w:sz="0" w:space="0" w:color="auto"/>
            <w:left w:val="none" w:sz="0" w:space="0" w:color="auto"/>
            <w:bottom w:val="none" w:sz="0" w:space="0" w:color="auto"/>
            <w:right w:val="none" w:sz="0" w:space="0" w:color="auto"/>
          </w:divBdr>
          <w:divsChild>
            <w:div w:id="359596717">
              <w:marLeft w:val="0"/>
              <w:marRight w:val="0"/>
              <w:marTop w:val="0"/>
              <w:marBottom w:val="0"/>
              <w:divBdr>
                <w:top w:val="none" w:sz="0" w:space="0" w:color="auto"/>
                <w:left w:val="none" w:sz="0" w:space="0" w:color="auto"/>
                <w:bottom w:val="none" w:sz="0" w:space="0" w:color="auto"/>
                <w:right w:val="none" w:sz="0" w:space="0" w:color="auto"/>
              </w:divBdr>
            </w:div>
          </w:divsChild>
        </w:div>
        <w:div w:id="976421518">
          <w:marLeft w:val="0"/>
          <w:marRight w:val="0"/>
          <w:marTop w:val="0"/>
          <w:marBottom w:val="0"/>
          <w:divBdr>
            <w:top w:val="none" w:sz="0" w:space="0" w:color="auto"/>
            <w:left w:val="none" w:sz="0" w:space="0" w:color="auto"/>
            <w:bottom w:val="none" w:sz="0" w:space="0" w:color="auto"/>
            <w:right w:val="none" w:sz="0" w:space="0" w:color="auto"/>
          </w:divBdr>
          <w:divsChild>
            <w:div w:id="1027565600">
              <w:marLeft w:val="0"/>
              <w:marRight w:val="0"/>
              <w:marTop w:val="0"/>
              <w:marBottom w:val="0"/>
              <w:divBdr>
                <w:top w:val="none" w:sz="0" w:space="0" w:color="auto"/>
                <w:left w:val="none" w:sz="0" w:space="0" w:color="auto"/>
                <w:bottom w:val="none" w:sz="0" w:space="0" w:color="auto"/>
                <w:right w:val="none" w:sz="0" w:space="0" w:color="auto"/>
              </w:divBdr>
            </w:div>
          </w:divsChild>
        </w:div>
        <w:div w:id="1425107313">
          <w:marLeft w:val="0"/>
          <w:marRight w:val="0"/>
          <w:marTop w:val="0"/>
          <w:marBottom w:val="0"/>
          <w:divBdr>
            <w:top w:val="none" w:sz="0" w:space="0" w:color="auto"/>
            <w:left w:val="none" w:sz="0" w:space="0" w:color="auto"/>
            <w:bottom w:val="none" w:sz="0" w:space="0" w:color="auto"/>
            <w:right w:val="none" w:sz="0" w:space="0" w:color="auto"/>
          </w:divBdr>
          <w:divsChild>
            <w:div w:id="141430046">
              <w:marLeft w:val="0"/>
              <w:marRight w:val="0"/>
              <w:marTop w:val="0"/>
              <w:marBottom w:val="0"/>
              <w:divBdr>
                <w:top w:val="none" w:sz="0" w:space="0" w:color="auto"/>
                <w:left w:val="none" w:sz="0" w:space="0" w:color="auto"/>
                <w:bottom w:val="none" w:sz="0" w:space="0" w:color="auto"/>
                <w:right w:val="none" w:sz="0" w:space="0" w:color="auto"/>
              </w:divBdr>
            </w:div>
          </w:divsChild>
        </w:div>
        <w:div w:id="473253918">
          <w:marLeft w:val="0"/>
          <w:marRight w:val="0"/>
          <w:marTop w:val="0"/>
          <w:marBottom w:val="0"/>
          <w:divBdr>
            <w:top w:val="none" w:sz="0" w:space="0" w:color="auto"/>
            <w:left w:val="none" w:sz="0" w:space="0" w:color="auto"/>
            <w:bottom w:val="none" w:sz="0" w:space="0" w:color="auto"/>
            <w:right w:val="none" w:sz="0" w:space="0" w:color="auto"/>
          </w:divBdr>
          <w:divsChild>
            <w:div w:id="695929667">
              <w:marLeft w:val="0"/>
              <w:marRight w:val="0"/>
              <w:marTop w:val="0"/>
              <w:marBottom w:val="0"/>
              <w:divBdr>
                <w:top w:val="none" w:sz="0" w:space="0" w:color="auto"/>
                <w:left w:val="none" w:sz="0" w:space="0" w:color="auto"/>
                <w:bottom w:val="none" w:sz="0" w:space="0" w:color="auto"/>
                <w:right w:val="none" w:sz="0" w:space="0" w:color="auto"/>
              </w:divBdr>
            </w:div>
          </w:divsChild>
        </w:div>
        <w:div w:id="541525105">
          <w:marLeft w:val="0"/>
          <w:marRight w:val="0"/>
          <w:marTop w:val="0"/>
          <w:marBottom w:val="0"/>
          <w:divBdr>
            <w:top w:val="none" w:sz="0" w:space="0" w:color="auto"/>
            <w:left w:val="none" w:sz="0" w:space="0" w:color="auto"/>
            <w:bottom w:val="none" w:sz="0" w:space="0" w:color="auto"/>
            <w:right w:val="none" w:sz="0" w:space="0" w:color="auto"/>
          </w:divBdr>
          <w:divsChild>
            <w:div w:id="1339117891">
              <w:marLeft w:val="0"/>
              <w:marRight w:val="0"/>
              <w:marTop w:val="0"/>
              <w:marBottom w:val="0"/>
              <w:divBdr>
                <w:top w:val="none" w:sz="0" w:space="0" w:color="auto"/>
                <w:left w:val="none" w:sz="0" w:space="0" w:color="auto"/>
                <w:bottom w:val="none" w:sz="0" w:space="0" w:color="auto"/>
                <w:right w:val="none" w:sz="0" w:space="0" w:color="auto"/>
              </w:divBdr>
            </w:div>
          </w:divsChild>
        </w:div>
        <w:div w:id="2090882937">
          <w:marLeft w:val="0"/>
          <w:marRight w:val="0"/>
          <w:marTop w:val="0"/>
          <w:marBottom w:val="0"/>
          <w:divBdr>
            <w:top w:val="none" w:sz="0" w:space="0" w:color="auto"/>
            <w:left w:val="none" w:sz="0" w:space="0" w:color="auto"/>
            <w:bottom w:val="none" w:sz="0" w:space="0" w:color="auto"/>
            <w:right w:val="none" w:sz="0" w:space="0" w:color="auto"/>
          </w:divBdr>
          <w:divsChild>
            <w:div w:id="2120682176">
              <w:marLeft w:val="0"/>
              <w:marRight w:val="0"/>
              <w:marTop w:val="0"/>
              <w:marBottom w:val="0"/>
              <w:divBdr>
                <w:top w:val="none" w:sz="0" w:space="0" w:color="auto"/>
                <w:left w:val="none" w:sz="0" w:space="0" w:color="auto"/>
                <w:bottom w:val="none" w:sz="0" w:space="0" w:color="auto"/>
                <w:right w:val="none" w:sz="0" w:space="0" w:color="auto"/>
              </w:divBdr>
            </w:div>
          </w:divsChild>
        </w:div>
        <w:div w:id="1659921737">
          <w:marLeft w:val="0"/>
          <w:marRight w:val="0"/>
          <w:marTop w:val="0"/>
          <w:marBottom w:val="0"/>
          <w:divBdr>
            <w:top w:val="none" w:sz="0" w:space="0" w:color="auto"/>
            <w:left w:val="none" w:sz="0" w:space="0" w:color="auto"/>
            <w:bottom w:val="none" w:sz="0" w:space="0" w:color="auto"/>
            <w:right w:val="none" w:sz="0" w:space="0" w:color="auto"/>
          </w:divBdr>
          <w:divsChild>
            <w:div w:id="1778021390">
              <w:marLeft w:val="0"/>
              <w:marRight w:val="0"/>
              <w:marTop w:val="0"/>
              <w:marBottom w:val="0"/>
              <w:divBdr>
                <w:top w:val="none" w:sz="0" w:space="0" w:color="auto"/>
                <w:left w:val="none" w:sz="0" w:space="0" w:color="auto"/>
                <w:bottom w:val="none" w:sz="0" w:space="0" w:color="auto"/>
                <w:right w:val="none" w:sz="0" w:space="0" w:color="auto"/>
              </w:divBdr>
            </w:div>
          </w:divsChild>
        </w:div>
        <w:div w:id="1573392384">
          <w:marLeft w:val="0"/>
          <w:marRight w:val="0"/>
          <w:marTop w:val="0"/>
          <w:marBottom w:val="0"/>
          <w:divBdr>
            <w:top w:val="none" w:sz="0" w:space="0" w:color="auto"/>
            <w:left w:val="none" w:sz="0" w:space="0" w:color="auto"/>
            <w:bottom w:val="none" w:sz="0" w:space="0" w:color="auto"/>
            <w:right w:val="none" w:sz="0" w:space="0" w:color="auto"/>
          </w:divBdr>
          <w:divsChild>
            <w:div w:id="1286153581">
              <w:marLeft w:val="0"/>
              <w:marRight w:val="0"/>
              <w:marTop w:val="0"/>
              <w:marBottom w:val="0"/>
              <w:divBdr>
                <w:top w:val="none" w:sz="0" w:space="0" w:color="auto"/>
                <w:left w:val="none" w:sz="0" w:space="0" w:color="auto"/>
                <w:bottom w:val="none" w:sz="0" w:space="0" w:color="auto"/>
                <w:right w:val="none" w:sz="0" w:space="0" w:color="auto"/>
              </w:divBdr>
            </w:div>
          </w:divsChild>
        </w:div>
        <w:div w:id="951522650">
          <w:marLeft w:val="0"/>
          <w:marRight w:val="0"/>
          <w:marTop w:val="0"/>
          <w:marBottom w:val="0"/>
          <w:divBdr>
            <w:top w:val="none" w:sz="0" w:space="0" w:color="auto"/>
            <w:left w:val="none" w:sz="0" w:space="0" w:color="auto"/>
            <w:bottom w:val="none" w:sz="0" w:space="0" w:color="auto"/>
            <w:right w:val="none" w:sz="0" w:space="0" w:color="auto"/>
          </w:divBdr>
          <w:divsChild>
            <w:div w:id="1580746688">
              <w:marLeft w:val="0"/>
              <w:marRight w:val="0"/>
              <w:marTop w:val="0"/>
              <w:marBottom w:val="0"/>
              <w:divBdr>
                <w:top w:val="none" w:sz="0" w:space="0" w:color="auto"/>
                <w:left w:val="none" w:sz="0" w:space="0" w:color="auto"/>
                <w:bottom w:val="none" w:sz="0" w:space="0" w:color="auto"/>
                <w:right w:val="none" w:sz="0" w:space="0" w:color="auto"/>
              </w:divBdr>
            </w:div>
          </w:divsChild>
        </w:div>
        <w:div w:id="1740323340">
          <w:marLeft w:val="0"/>
          <w:marRight w:val="0"/>
          <w:marTop w:val="0"/>
          <w:marBottom w:val="0"/>
          <w:divBdr>
            <w:top w:val="none" w:sz="0" w:space="0" w:color="auto"/>
            <w:left w:val="none" w:sz="0" w:space="0" w:color="auto"/>
            <w:bottom w:val="none" w:sz="0" w:space="0" w:color="auto"/>
            <w:right w:val="none" w:sz="0" w:space="0" w:color="auto"/>
          </w:divBdr>
          <w:divsChild>
            <w:div w:id="421724870">
              <w:marLeft w:val="0"/>
              <w:marRight w:val="0"/>
              <w:marTop w:val="0"/>
              <w:marBottom w:val="0"/>
              <w:divBdr>
                <w:top w:val="none" w:sz="0" w:space="0" w:color="auto"/>
                <w:left w:val="none" w:sz="0" w:space="0" w:color="auto"/>
                <w:bottom w:val="none" w:sz="0" w:space="0" w:color="auto"/>
                <w:right w:val="none" w:sz="0" w:space="0" w:color="auto"/>
              </w:divBdr>
            </w:div>
          </w:divsChild>
        </w:div>
        <w:div w:id="547910266">
          <w:marLeft w:val="0"/>
          <w:marRight w:val="0"/>
          <w:marTop w:val="0"/>
          <w:marBottom w:val="0"/>
          <w:divBdr>
            <w:top w:val="none" w:sz="0" w:space="0" w:color="auto"/>
            <w:left w:val="none" w:sz="0" w:space="0" w:color="auto"/>
            <w:bottom w:val="none" w:sz="0" w:space="0" w:color="auto"/>
            <w:right w:val="none" w:sz="0" w:space="0" w:color="auto"/>
          </w:divBdr>
          <w:divsChild>
            <w:div w:id="2036346147">
              <w:marLeft w:val="0"/>
              <w:marRight w:val="0"/>
              <w:marTop w:val="0"/>
              <w:marBottom w:val="0"/>
              <w:divBdr>
                <w:top w:val="none" w:sz="0" w:space="0" w:color="auto"/>
                <w:left w:val="none" w:sz="0" w:space="0" w:color="auto"/>
                <w:bottom w:val="none" w:sz="0" w:space="0" w:color="auto"/>
                <w:right w:val="none" w:sz="0" w:space="0" w:color="auto"/>
              </w:divBdr>
            </w:div>
          </w:divsChild>
        </w:div>
        <w:div w:id="923756057">
          <w:marLeft w:val="0"/>
          <w:marRight w:val="0"/>
          <w:marTop w:val="0"/>
          <w:marBottom w:val="0"/>
          <w:divBdr>
            <w:top w:val="none" w:sz="0" w:space="0" w:color="auto"/>
            <w:left w:val="none" w:sz="0" w:space="0" w:color="auto"/>
            <w:bottom w:val="none" w:sz="0" w:space="0" w:color="auto"/>
            <w:right w:val="none" w:sz="0" w:space="0" w:color="auto"/>
          </w:divBdr>
          <w:divsChild>
            <w:div w:id="1529370701">
              <w:marLeft w:val="0"/>
              <w:marRight w:val="0"/>
              <w:marTop w:val="0"/>
              <w:marBottom w:val="0"/>
              <w:divBdr>
                <w:top w:val="none" w:sz="0" w:space="0" w:color="auto"/>
                <w:left w:val="none" w:sz="0" w:space="0" w:color="auto"/>
                <w:bottom w:val="none" w:sz="0" w:space="0" w:color="auto"/>
                <w:right w:val="none" w:sz="0" w:space="0" w:color="auto"/>
              </w:divBdr>
            </w:div>
          </w:divsChild>
        </w:div>
        <w:div w:id="1871410318">
          <w:marLeft w:val="0"/>
          <w:marRight w:val="0"/>
          <w:marTop w:val="0"/>
          <w:marBottom w:val="0"/>
          <w:divBdr>
            <w:top w:val="none" w:sz="0" w:space="0" w:color="auto"/>
            <w:left w:val="none" w:sz="0" w:space="0" w:color="auto"/>
            <w:bottom w:val="none" w:sz="0" w:space="0" w:color="auto"/>
            <w:right w:val="none" w:sz="0" w:space="0" w:color="auto"/>
          </w:divBdr>
          <w:divsChild>
            <w:div w:id="2057390104">
              <w:marLeft w:val="0"/>
              <w:marRight w:val="0"/>
              <w:marTop w:val="0"/>
              <w:marBottom w:val="0"/>
              <w:divBdr>
                <w:top w:val="none" w:sz="0" w:space="0" w:color="auto"/>
                <w:left w:val="none" w:sz="0" w:space="0" w:color="auto"/>
                <w:bottom w:val="none" w:sz="0" w:space="0" w:color="auto"/>
                <w:right w:val="none" w:sz="0" w:space="0" w:color="auto"/>
              </w:divBdr>
            </w:div>
          </w:divsChild>
        </w:div>
        <w:div w:id="1629314102">
          <w:marLeft w:val="0"/>
          <w:marRight w:val="0"/>
          <w:marTop w:val="0"/>
          <w:marBottom w:val="0"/>
          <w:divBdr>
            <w:top w:val="none" w:sz="0" w:space="0" w:color="auto"/>
            <w:left w:val="none" w:sz="0" w:space="0" w:color="auto"/>
            <w:bottom w:val="none" w:sz="0" w:space="0" w:color="auto"/>
            <w:right w:val="none" w:sz="0" w:space="0" w:color="auto"/>
          </w:divBdr>
          <w:divsChild>
            <w:div w:id="191576371">
              <w:marLeft w:val="0"/>
              <w:marRight w:val="0"/>
              <w:marTop w:val="0"/>
              <w:marBottom w:val="0"/>
              <w:divBdr>
                <w:top w:val="none" w:sz="0" w:space="0" w:color="auto"/>
                <w:left w:val="none" w:sz="0" w:space="0" w:color="auto"/>
                <w:bottom w:val="none" w:sz="0" w:space="0" w:color="auto"/>
                <w:right w:val="none" w:sz="0" w:space="0" w:color="auto"/>
              </w:divBdr>
            </w:div>
          </w:divsChild>
        </w:div>
        <w:div w:id="132337016">
          <w:marLeft w:val="0"/>
          <w:marRight w:val="0"/>
          <w:marTop w:val="0"/>
          <w:marBottom w:val="0"/>
          <w:divBdr>
            <w:top w:val="none" w:sz="0" w:space="0" w:color="auto"/>
            <w:left w:val="none" w:sz="0" w:space="0" w:color="auto"/>
            <w:bottom w:val="none" w:sz="0" w:space="0" w:color="auto"/>
            <w:right w:val="none" w:sz="0" w:space="0" w:color="auto"/>
          </w:divBdr>
          <w:divsChild>
            <w:div w:id="456487534">
              <w:marLeft w:val="0"/>
              <w:marRight w:val="0"/>
              <w:marTop w:val="0"/>
              <w:marBottom w:val="0"/>
              <w:divBdr>
                <w:top w:val="none" w:sz="0" w:space="0" w:color="auto"/>
                <w:left w:val="none" w:sz="0" w:space="0" w:color="auto"/>
                <w:bottom w:val="none" w:sz="0" w:space="0" w:color="auto"/>
                <w:right w:val="none" w:sz="0" w:space="0" w:color="auto"/>
              </w:divBdr>
            </w:div>
          </w:divsChild>
        </w:div>
        <w:div w:id="1637492304">
          <w:marLeft w:val="0"/>
          <w:marRight w:val="0"/>
          <w:marTop w:val="0"/>
          <w:marBottom w:val="0"/>
          <w:divBdr>
            <w:top w:val="none" w:sz="0" w:space="0" w:color="auto"/>
            <w:left w:val="none" w:sz="0" w:space="0" w:color="auto"/>
            <w:bottom w:val="none" w:sz="0" w:space="0" w:color="auto"/>
            <w:right w:val="none" w:sz="0" w:space="0" w:color="auto"/>
          </w:divBdr>
          <w:divsChild>
            <w:div w:id="528954277">
              <w:marLeft w:val="0"/>
              <w:marRight w:val="0"/>
              <w:marTop w:val="0"/>
              <w:marBottom w:val="0"/>
              <w:divBdr>
                <w:top w:val="none" w:sz="0" w:space="0" w:color="auto"/>
                <w:left w:val="none" w:sz="0" w:space="0" w:color="auto"/>
                <w:bottom w:val="none" w:sz="0" w:space="0" w:color="auto"/>
                <w:right w:val="none" w:sz="0" w:space="0" w:color="auto"/>
              </w:divBdr>
            </w:div>
          </w:divsChild>
        </w:div>
        <w:div w:id="1655572129">
          <w:marLeft w:val="0"/>
          <w:marRight w:val="0"/>
          <w:marTop w:val="0"/>
          <w:marBottom w:val="0"/>
          <w:divBdr>
            <w:top w:val="none" w:sz="0" w:space="0" w:color="auto"/>
            <w:left w:val="none" w:sz="0" w:space="0" w:color="auto"/>
            <w:bottom w:val="none" w:sz="0" w:space="0" w:color="auto"/>
            <w:right w:val="none" w:sz="0" w:space="0" w:color="auto"/>
          </w:divBdr>
          <w:divsChild>
            <w:div w:id="1606883132">
              <w:marLeft w:val="0"/>
              <w:marRight w:val="0"/>
              <w:marTop w:val="0"/>
              <w:marBottom w:val="0"/>
              <w:divBdr>
                <w:top w:val="none" w:sz="0" w:space="0" w:color="auto"/>
                <w:left w:val="none" w:sz="0" w:space="0" w:color="auto"/>
                <w:bottom w:val="none" w:sz="0" w:space="0" w:color="auto"/>
                <w:right w:val="none" w:sz="0" w:space="0" w:color="auto"/>
              </w:divBdr>
            </w:div>
          </w:divsChild>
        </w:div>
        <w:div w:id="1769035626">
          <w:marLeft w:val="0"/>
          <w:marRight w:val="0"/>
          <w:marTop w:val="0"/>
          <w:marBottom w:val="0"/>
          <w:divBdr>
            <w:top w:val="none" w:sz="0" w:space="0" w:color="auto"/>
            <w:left w:val="none" w:sz="0" w:space="0" w:color="auto"/>
            <w:bottom w:val="none" w:sz="0" w:space="0" w:color="auto"/>
            <w:right w:val="none" w:sz="0" w:space="0" w:color="auto"/>
          </w:divBdr>
          <w:divsChild>
            <w:div w:id="1404645162">
              <w:marLeft w:val="0"/>
              <w:marRight w:val="0"/>
              <w:marTop w:val="0"/>
              <w:marBottom w:val="0"/>
              <w:divBdr>
                <w:top w:val="none" w:sz="0" w:space="0" w:color="auto"/>
                <w:left w:val="none" w:sz="0" w:space="0" w:color="auto"/>
                <w:bottom w:val="none" w:sz="0" w:space="0" w:color="auto"/>
                <w:right w:val="none" w:sz="0" w:space="0" w:color="auto"/>
              </w:divBdr>
            </w:div>
          </w:divsChild>
        </w:div>
        <w:div w:id="1102342180">
          <w:marLeft w:val="0"/>
          <w:marRight w:val="0"/>
          <w:marTop w:val="0"/>
          <w:marBottom w:val="0"/>
          <w:divBdr>
            <w:top w:val="none" w:sz="0" w:space="0" w:color="auto"/>
            <w:left w:val="none" w:sz="0" w:space="0" w:color="auto"/>
            <w:bottom w:val="none" w:sz="0" w:space="0" w:color="auto"/>
            <w:right w:val="none" w:sz="0" w:space="0" w:color="auto"/>
          </w:divBdr>
          <w:divsChild>
            <w:div w:id="519585881">
              <w:marLeft w:val="0"/>
              <w:marRight w:val="0"/>
              <w:marTop w:val="0"/>
              <w:marBottom w:val="0"/>
              <w:divBdr>
                <w:top w:val="none" w:sz="0" w:space="0" w:color="auto"/>
                <w:left w:val="none" w:sz="0" w:space="0" w:color="auto"/>
                <w:bottom w:val="none" w:sz="0" w:space="0" w:color="auto"/>
                <w:right w:val="none" w:sz="0" w:space="0" w:color="auto"/>
              </w:divBdr>
            </w:div>
          </w:divsChild>
        </w:div>
        <w:div w:id="345444609">
          <w:marLeft w:val="0"/>
          <w:marRight w:val="0"/>
          <w:marTop w:val="0"/>
          <w:marBottom w:val="0"/>
          <w:divBdr>
            <w:top w:val="none" w:sz="0" w:space="0" w:color="auto"/>
            <w:left w:val="none" w:sz="0" w:space="0" w:color="auto"/>
            <w:bottom w:val="none" w:sz="0" w:space="0" w:color="auto"/>
            <w:right w:val="none" w:sz="0" w:space="0" w:color="auto"/>
          </w:divBdr>
          <w:divsChild>
            <w:div w:id="1093280391">
              <w:marLeft w:val="0"/>
              <w:marRight w:val="0"/>
              <w:marTop w:val="0"/>
              <w:marBottom w:val="0"/>
              <w:divBdr>
                <w:top w:val="none" w:sz="0" w:space="0" w:color="auto"/>
                <w:left w:val="none" w:sz="0" w:space="0" w:color="auto"/>
                <w:bottom w:val="none" w:sz="0" w:space="0" w:color="auto"/>
                <w:right w:val="none" w:sz="0" w:space="0" w:color="auto"/>
              </w:divBdr>
            </w:div>
          </w:divsChild>
        </w:div>
        <w:div w:id="1294865836">
          <w:marLeft w:val="0"/>
          <w:marRight w:val="0"/>
          <w:marTop w:val="0"/>
          <w:marBottom w:val="0"/>
          <w:divBdr>
            <w:top w:val="none" w:sz="0" w:space="0" w:color="auto"/>
            <w:left w:val="none" w:sz="0" w:space="0" w:color="auto"/>
            <w:bottom w:val="none" w:sz="0" w:space="0" w:color="auto"/>
            <w:right w:val="none" w:sz="0" w:space="0" w:color="auto"/>
          </w:divBdr>
          <w:divsChild>
            <w:div w:id="1821268160">
              <w:marLeft w:val="0"/>
              <w:marRight w:val="0"/>
              <w:marTop w:val="0"/>
              <w:marBottom w:val="0"/>
              <w:divBdr>
                <w:top w:val="none" w:sz="0" w:space="0" w:color="auto"/>
                <w:left w:val="none" w:sz="0" w:space="0" w:color="auto"/>
                <w:bottom w:val="none" w:sz="0" w:space="0" w:color="auto"/>
                <w:right w:val="none" w:sz="0" w:space="0" w:color="auto"/>
              </w:divBdr>
            </w:div>
          </w:divsChild>
        </w:div>
        <w:div w:id="118452373">
          <w:marLeft w:val="0"/>
          <w:marRight w:val="0"/>
          <w:marTop w:val="0"/>
          <w:marBottom w:val="0"/>
          <w:divBdr>
            <w:top w:val="none" w:sz="0" w:space="0" w:color="auto"/>
            <w:left w:val="none" w:sz="0" w:space="0" w:color="auto"/>
            <w:bottom w:val="none" w:sz="0" w:space="0" w:color="auto"/>
            <w:right w:val="none" w:sz="0" w:space="0" w:color="auto"/>
          </w:divBdr>
          <w:divsChild>
            <w:div w:id="2124491435">
              <w:marLeft w:val="0"/>
              <w:marRight w:val="0"/>
              <w:marTop w:val="0"/>
              <w:marBottom w:val="0"/>
              <w:divBdr>
                <w:top w:val="none" w:sz="0" w:space="0" w:color="auto"/>
                <w:left w:val="none" w:sz="0" w:space="0" w:color="auto"/>
                <w:bottom w:val="none" w:sz="0" w:space="0" w:color="auto"/>
                <w:right w:val="none" w:sz="0" w:space="0" w:color="auto"/>
              </w:divBdr>
            </w:div>
          </w:divsChild>
        </w:div>
        <w:div w:id="751970557">
          <w:marLeft w:val="0"/>
          <w:marRight w:val="0"/>
          <w:marTop w:val="0"/>
          <w:marBottom w:val="0"/>
          <w:divBdr>
            <w:top w:val="none" w:sz="0" w:space="0" w:color="auto"/>
            <w:left w:val="none" w:sz="0" w:space="0" w:color="auto"/>
            <w:bottom w:val="none" w:sz="0" w:space="0" w:color="auto"/>
            <w:right w:val="none" w:sz="0" w:space="0" w:color="auto"/>
          </w:divBdr>
          <w:divsChild>
            <w:div w:id="922177713">
              <w:marLeft w:val="0"/>
              <w:marRight w:val="0"/>
              <w:marTop w:val="0"/>
              <w:marBottom w:val="0"/>
              <w:divBdr>
                <w:top w:val="none" w:sz="0" w:space="0" w:color="auto"/>
                <w:left w:val="none" w:sz="0" w:space="0" w:color="auto"/>
                <w:bottom w:val="none" w:sz="0" w:space="0" w:color="auto"/>
                <w:right w:val="none" w:sz="0" w:space="0" w:color="auto"/>
              </w:divBdr>
            </w:div>
          </w:divsChild>
        </w:div>
        <w:div w:id="355278952">
          <w:marLeft w:val="0"/>
          <w:marRight w:val="0"/>
          <w:marTop w:val="0"/>
          <w:marBottom w:val="0"/>
          <w:divBdr>
            <w:top w:val="none" w:sz="0" w:space="0" w:color="auto"/>
            <w:left w:val="none" w:sz="0" w:space="0" w:color="auto"/>
            <w:bottom w:val="none" w:sz="0" w:space="0" w:color="auto"/>
            <w:right w:val="none" w:sz="0" w:space="0" w:color="auto"/>
          </w:divBdr>
          <w:divsChild>
            <w:div w:id="2035691794">
              <w:marLeft w:val="0"/>
              <w:marRight w:val="0"/>
              <w:marTop w:val="0"/>
              <w:marBottom w:val="0"/>
              <w:divBdr>
                <w:top w:val="none" w:sz="0" w:space="0" w:color="auto"/>
                <w:left w:val="none" w:sz="0" w:space="0" w:color="auto"/>
                <w:bottom w:val="none" w:sz="0" w:space="0" w:color="auto"/>
                <w:right w:val="none" w:sz="0" w:space="0" w:color="auto"/>
              </w:divBdr>
            </w:div>
          </w:divsChild>
        </w:div>
        <w:div w:id="808984335">
          <w:marLeft w:val="0"/>
          <w:marRight w:val="0"/>
          <w:marTop w:val="0"/>
          <w:marBottom w:val="0"/>
          <w:divBdr>
            <w:top w:val="none" w:sz="0" w:space="0" w:color="auto"/>
            <w:left w:val="none" w:sz="0" w:space="0" w:color="auto"/>
            <w:bottom w:val="none" w:sz="0" w:space="0" w:color="auto"/>
            <w:right w:val="none" w:sz="0" w:space="0" w:color="auto"/>
          </w:divBdr>
          <w:divsChild>
            <w:div w:id="958680291">
              <w:marLeft w:val="0"/>
              <w:marRight w:val="0"/>
              <w:marTop w:val="0"/>
              <w:marBottom w:val="0"/>
              <w:divBdr>
                <w:top w:val="none" w:sz="0" w:space="0" w:color="auto"/>
                <w:left w:val="none" w:sz="0" w:space="0" w:color="auto"/>
                <w:bottom w:val="none" w:sz="0" w:space="0" w:color="auto"/>
                <w:right w:val="none" w:sz="0" w:space="0" w:color="auto"/>
              </w:divBdr>
            </w:div>
          </w:divsChild>
        </w:div>
        <w:div w:id="1356615857">
          <w:marLeft w:val="0"/>
          <w:marRight w:val="0"/>
          <w:marTop w:val="0"/>
          <w:marBottom w:val="0"/>
          <w:divBdr>
            <w:top w:val="none" w:sz="0" w:space="0" w:color="auto"/>
            <w:left w:val="none" w:sz="0" w:space="0" w:color="auto"/>
            <w:bottom w:val="none" w:sz="0" w:space="0" w:color="auto"/>
            <w:right w:val="none" w:sz="0" w:space="0" w:color="auto"/>
          </w:divBdr>
          <w:divsChild>
            <w:div w:id="364214356">
              <w:marLeft w:val="0"/>
              <w:marRight w:val="0"/>
              <w:marTop w:val="0"/>
              <w:marBottom w:val="0"/>
              <w:divBdr>
                <w:top w:val="none" w:sz="0" w:space="0" w:color="auto"/>
                <w:left w:val="none" w:sz="0" w:space="0" w:color="auto"/>
                <w:bottom w:val="none" w:sz="0" w:space="0" w:color="auto"/>
                <w:right w:val="none" w:sz="0" w:space="0" w:color="auto"/>
              </w:divBdr>
            </w:div>
          </w:divsChild>
        </w:div>
        <w:div w:id="1998879394">
          <w:marLeft w:val="0"/>
          <w:marRight w:val="0"/>
          <w:marTop w:val="0"/>
          <w:marBottom w:val="0"/>
          <w:divBdr>
            <w:top w:val="none" w:sz="0" w:space="0" w:color="auto"/>
            <w:left w:val="none" w:sz="0" w:space="0" w:color="auto"/>
            <w:bottom w:val="none" w:sz="0" w:space="0" w:color="auto"/>
            <w:right w:val="none" w:sz="0" w:space="0" w:color="auto"/>
          </w:divBdr>
          <w:divsChild>
            <w:div w:id="1067992265">
              <w:marLeft w:val="0"/>
              <w:marRight w:val="0"/>
              <w:marTop w:val="0"/>
              <w:marBottom w:val="0"/>
              <w:divBdr>
                <w:top w:val="none" w:sz="0" w:space="0" w:color="auto"/>
                <w:left w:val="none" w:sz="0" w:space="0" w:color="auto"/>
                <w:bottom w:val="none" w:sz="0" w:space="0" w:color="auto"/>
                <w:right w:val="none" w:sz="0" w:space="0" w:color="auto"/>
              </w:divBdr>
            </w:div>
          </w:divsChild>
        </w:div>
        <w:div w:id="804659461">
          <w:marLeft w:val="0"/>
          <w:marRight w:val="0"/>
          <w:marTop w:val="0"/>
          <w:marBottom w:val="0"/>
          <w:divBdr>
            <w:top w:val="none" w:sz="0" w:space="0" w:color="auto"/>
            <w:left w:val="none" w:sz="0" w:space="0" w:color="auto"/>
            <w:bottom w:val="none" w:sz="0" w:space="0" w:color="auto"/>
            <w:right w:val="none" w:sz="0" w:space="0" w:color="auto"/>
          </w:divBdr>
          <w:divsChild>
            <w:div w:id="947739292">
              <w:marLeft w:val="0"/>
              <w:marRight w:val="0"/>
              <w:marTop w:val="0"/>
              <w:marBottom w:val="0"/>
              <w:divBdr>
                <w:top w:val="none" w:sz="0" w:space="0" w:color="auto"/>
                <w:left w:val="none" w:sz="0" w:space="0" w:color="auto"/>
                <w:bottom w:val="none" w:sz="0" w:space="0" w:color="auto"/>
                <w:right w:val="none" w:sz="0" w:space="0" w:color="auto"/>
              </w:divBdr>
            </w:div>
          </w:divsChild>
        </w:div>
        <w:div w:id="880047361">
          <w:marLeft w:val="0"/>
          <w:marRight w:val="0"/>
          <w:marTop w:val="0"/>
          <w:marBottom w:val="0"/>
          <w:divBdr>
            <w:top w:val="none" w:sz="0" w:space="0" w:color="auto"/>
            <w:left w:val="none" w:sz="0" w:space="0" w:color="auto"/>
            <w:bottom w:val="none" w:sz="0" w:space="0" w:color="auto"/>
            <w:right w:val="none" w:sz="0" w:space="0" w:color="auto"/>
          </w:divBdr>
          <w:divsChild>
            <w:div w:id="1165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5">
      <w:bodyDiv w:val="1"/>
      <w:marLeft w:val="0"/>
      <w:marRight w:val="0"/>
      <w:marTop w:val="0"/>
      <w:marBottom w:val="0"/>
      <w:divBdr>
        <w:top w:val="none" w:sz="0" w:space="0" w:color="auto"/>
        <w:left w:val="none" w:sz="0" w:space="0" w:color="auto"/>
        <w:bottom w:val="none" w:sz="0" w:space="0" w:color="auto"/>
        <w:right w:val="none" w:sz="0" w:space="0" w:color="auto"/>
      </w:divBdr>
    </w:div>
    <w:div w:id="20397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4897A2"/>
      </a:hlink>
      <a:folHlink>
        <a:srgbClr val="4DB3E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C81261AE-5136-47BB-94BD-8BDEB0FB4C08}">
  <ds:schemaRefs>
    <ds:schemaRef ds:uri="http://schemas.openxmlformats.org/officeDocument/2006/bibliography"/>
  </ds:schemaRefs>
</ds:datastoreItem>
</file>

<file path=customXml/itemProps2.xml><?xml version="1.0" encoding="utf-8"?>
<ds:datastoreItem xmlns:ds="http://schemas.openxmlformats.org/officeDocument/2006/customXml" ds:itemID="{5D6D7467-6438-45BC-AB03-06B8EA200429}"/>
</file>

<file path=customXml/itemProps3.xml><?xml version="1.0" encoding="utf-8"?>
<ds:datastoreItem xmlns:ds="http://schemas.openxmlformats.org/officeDocument/2006/customXml" ds:itemID="{25D20CDD-ACCA-4BB3-9954-211B94DFCD8B}"/>
</file>

<file path=customXml/itemProps4.xml><?xml version="1.0" encoding="utf-8"?>
<ds:datastoreItem xmlns:ds="http://schemas.openxmlformats.org/officeDocument/2006/customXml" ds:itemID="{F3E80424-3CA0-46D2-AEE1-83CC204BF297}"/>
</file>

<file path=docProps/app.xml><?xml version="1.0" encoding="utf-8"?>
<Properties xmlns="http://schemas.openxmlformats.org/officeDocument/2006/extended-properties" xmlns:vt="http://schemas.openxmlformats.org/officeDocument/2006/docPropsVTypes">
  <Template>Normal.dotm</Template>
  <TotalTime>0</TotalTime>
  <Pages>6</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Board Advice to TPS Director on 2025 International TPS Levy Settings</dc:title>
  <dc:subject/>
  <dc:creator/>
  <cp:keywords/>
  <dc:description/>
  <cp:lastModifiedBy/>
  <cp:revision>1</cp:revision>
  <dcterms:created xsi:type="dcterms:W3CDTF">2024-10-21T23:25:00Z</dcterms:created>
  <dcterms:modified xsi:type="dcterms:W3CDTF">2024-10-21T23:26:00Z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2024-10-21T23:25:57Z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485f4a82-6bea-469c-ad8d-e3439055f79f</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