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6E10C" w14:textId="104F4194" w:rsidR="00B97878" w:rsidRPr="00B97878" w:rsidRDefault="00B97878" w:rsidP="5C4FD46C">
      <w:pPr>
        <w:pStyle w:val="Heading1"/>
        <w:pBdr>
          <w:bottom w:val="single" w:sz="6" w:space="1" w:color="auto"/>
        </w:pBdr>
        <w:spacing w:before="240" w:after="0"/>
        <w:jc w:val="center"/>
        <w:rPr>
          <w:rFonts w:ascii="Calibri" w:eastAsiaTheme="minorEastAsia" w:hAnsi="Calibri" w:cs="Calibri"/>
          <w:b/>
          <w:bCs/>
          <w:color w:val="auto"/>
        </w:rPr>
      </w:pPr>
      <w:r w:rsidRPr="5C4FD46C">
        <w:rPr>
          <w:rFonts w:ascii="Calibri" w:eastAsiaTheme="minorEastAsia" w:hAnsi="Calibri" w:cs="Calibri"/>
          <w:b/>
          <w:bCs/>
          <w:color w:val="auto"/>
          <w:sz w:val="32"/>
          <w:szCs w:val="32"/>
        </w:rPr>
        <w:t>Early Childhood Care and Development Policy Partnership</w:t>
      </w:r>
    </w:p>
    <w:p w14:paraId="73E44BE5" w14:textId="77777777" w:rsidR="00B97878" w:rsidRPr="00B97878" w:rsidRDefault="00B97878" w:rsidP="00B97878">
      <w:pPr>
        <w:jc w:val="center"/>
        <w:rPr>
          <w:rFonts w:ascii="Calibri" w:eastAsiaTheme="minorEastAsia" w:hAnsi="Calibri" w:cs="Calibri"/>
          <w:b/>
          <w:bCs/>
        </w:rPr>
      </w:pPr>
      <w:r w:rsidRPr="00B97878">
        <w:rPr>
          <w:rFonts w:ascii="Calibri" w:eastAsiaTheme="minorEastAsia" w:hAnsi="Calibri" w:cs="Calibri"/>
          <w:b/>
          <w:bCs/>
        </w:rPr>
        <w:t>Year Two Workplan Summary</w:t>
      </w:r>
    </w:p>
    <w:p w14:paraId="1840756C" w14:textId="77777777" w:rsidR="00B97878" w:rsidRPr="00B97878" w:rsidRDefault="00B97878" w:rsidP="00B97878">
      <w:pPr>
        <w:pStyle w:val="Heading1"/>
        <w:spacing w:before="240" w:after="0"/>
        <w:rPr>
          <w:rFonts w:ascii="Calibri" w:eastAsiaTheme="minorEastAsia" w:hAnsi="Calibri" w:cs="Calibri"/>
          <w:b/>
          <w:color w:val="auto"/>
          <w:sz w:val="32"/>
          <w:szCs w:val="32"/>
        </w:rPr>
      </w:pPr>
      <w:r w:rsidRPr="00B97878">
        <w:rPr>
          <w:rFonts w:ascii="Calibri" w:eastAsiaTheme="minorEastAsia" w:hAnsi="Calibri" w:cs="Calibri"/>
          <w:b/>
          <w:color w:val="auto"/>
          <w:sz w:val="32"/>
          <w:szCs w:val="32"/>
        </w:rPr>
        <w:t>About the ECCDPP</w:t>
      </w:r>
    </w:p>
    <w:p w14:paraId="7BE572FE" w14:textId="77777777" w:rsidR="00B97878" w:rsidRPr="00B97878" w:rsidRDefault="00B97878" w:rsidP="00B97878">
      <w:pPr>
        <w:autoSpaceDE w:val="0"/>
        <w:autoSpaceDN w:val="0"/>
        <w:adjustRightInd w:val="0"/>
        <w:spacing w:after="120"/>
        <w:rPr>
          <w:rFonts w:ascii="Calibri" w:eastAsiaTheme="minorEastAsia" w:hAnsi="Calibri" w:cs="Calibri"/>
        </w:rPr>
      </w:pPr>
      <w:r w:rsidRPr="00B97878">
        <w:rPr>
          <w:rFonts w:ascii="Calibri" w:eastAsiaTheme="minorEastAsia" w:hAnsi="Calibri" w:cs="Calibri"/>
        </w:rPr>
        <w:t>The Early Childhood Care and Development Policy Partnership (the Partnership or ECCDPP) was established in August 2022 under the National Agreement on Closing the Gap (National Agreement) to drive transformative action to improve outcomes for Aboriginal and Torres Strait Islander children.</w:t>
      </w:r>
    </w:p>
    <w:p w14:paraId="2C797468" w14:textId="77777777" w:rsidR="00B97878" w:rsidRPr="00B97878" w:rsidRDefault="00B97878" w:rsidP="00B97878">
      <w:pPr>
        <w:autoSpaceDE w:val="0"/>
        <w:autoSpaceDN w:val="0"/>
        <w:adjustRightInd w:val="0"/>
        <w:spacing w:after="120"/>
        <w:rPr>
          <w:rFonts w:ascii="Calibri" w:eastAsiaTheme="minorEastAsia" w:hAnsi="Calibri" w:cs="Calibri"/>
        </w:rPr>
      </w:pPr>
      <w:r w:rsidRPr="00B97878">
        <w:rPr>
          <w:rFonts w:ascii="Calibri" w:eastAsiaTheme="minorEastAsia" w:hAnsi="Calibri" w:cs="Calibri"/>
        </w:rPr>
        <w:t>The Partnership supports shared decision-making between Aboriginal and Torres Strait Islander leaders and Australian governments under Priority 1 of the National Agreement, in recognition that Aboriginal and Torres Strait Islander people have a right to self-determination and are the experts on matters concerning Aboriginal and Torres Strait Islander children.</w:t>
      </w:r>
    </w:p>
    <w:p w14:paraId="4A73969E" w14:textId="77777777" w:rsidR="00B97878" w:rsidRPr="00B97878" w:rsidRDefault="00B97878" w:rsidP="00B97878">
      <w:pPr>
        <w:autoSpaceDE w:val="0"/>
        <w:autoSpaceDN w:val="0"/>
        <w:adjustRightInd w:val="0"/>
        <w:spacing w:after="120"/>
        <w:rPr>
          <w:rFonts w:ascii="Calibri" w:eastAsiaTheme="minorEastAsia" w:hAnsi="Calibri" w:cs="Calibri"/>
        </w:rPr>
      </w:pPr>
      <w:r w:rsidRPr="00B97878">
        <w:rPr>
          <w:rFonts w:ascii="Calibri" w:eastAsiaTheme="minorEastAsia" w:hAnsi="Calibri" w:cs="Calibri"/>
        </w:rPr>
        <w:t xml:space="preserve">The purpose of the Partnership is for governments and Aboriginal and Torres Strait Islander parties to </w:t>
      </w:r>
      <w:r w:rsidRPr="00B97878">
        <w:rPr>
          <w:rFonts w:ascii="Calibri" w:eastAsiaTheme="minorEastAsia" w:hAnsi="Calibri" w:cs="Calibri"/>
          <w:color w:val="000000" w:themeColor="text1"/>
          <w:lang w:val="en-GB"/>
        </w:rPr>
        <w:t>develop a joined-up approach to Aboriginal and Torres Strait Islander early childhood care and development policy, with a focus on:</w:t>
      </w:r>
    </w:p>
    <w:p w14:paraId="4F660743" w14:textId="77777777" w:rsidR="00B97878" w:rsidRPr="00B97878" w:rsidRDefault="00B97878" w:rsidP="00B97878">
      <w:pPr>
        <w:pStyle w:val="ListParagraph"/>
        <w:numPr>
          <w:ilvl w:val="0"/>
          <w:numId w:val="1"/>
        </w:numPr>
        <w:spacing w:after="120"/>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ensuring Aboriginal and Torres Strait Islander children (0-5 years) are born healthy and remain strong, nurtured by strong families and thrive in their early years; and</w:t>
      </w:r>
    </w:p>
    <w:p w14:paraId="18316358" w14:textId="77777777" w:rsidR="00B97878" w:rsidRPr="00B97878" w:rsidRDefault="00B97878" w:rsidP="00B97878">
      <w:pPr>
        <w:pStyle w:val="ListParagraph"/>
        <w:numPr>
          <w:ilvl w:val="0"/>
          <w:numId w:val="1"/>
        </w:numPr>
        <w:spacing w:after="120"/>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ensuring children’s safety and care in family and addressing the impacts of child protection systems on children’s health, wellbeing and development.</w:t>
      </w:r>
    </w:p>
    <w:p w14:paraId="39BCDDD1" w14:textId="77777777" w:rsidR="00B97878" w:rsidRPr="00B97878" w:rsidRDefault="00B97878" w:rsidP="00B97878">
      <w:pPr>
        <w:spacing w:after="120"/>
        <w:rPr>
          <w:rFonts w:ascii="Calibri" w:eastAsiaTheme="minorEastAsia" w:hAnsi="Calibri" w:cs="Calibri"/>
        </w:rPr>
      </w:pPr>
      <w:r w:rsidRPr="00B97878">
        <w:rPr>
          <w:rFonts w:ascii="Calibri" w:eastAsiaTheme="minorEastAsia" w:hAnsi="Calibri" w:cs="Calibri"/>
          <w:color w:val="000000" w:themeColor="text1"/>
          <w:lang w:val="en-GB"/>
        </w:rPr>
        <w:t>The primary function of the ECCDPP is to make recommendations to all governments, through Joint Council to improve the early childhood outcomes of Aboriginal and Torres Strait Islander children.</w:t>
      </w:r>
    </w:p>
    <w:p w14:paraId="1D967345" w14:textId="77777777" w:rsidR="00B97878" w:rsidRPr="00B97878" w:rsidRDefault="00B97878" w:rsidP="00B97878">
      <w:pPr>
        <w:pStyle w:val="Heading1"/>
        <w:spacing w:before="240" w:after="0"/>
        <w:rPr>
          <w:rFonts w:ascii="Calibri" w:eastAsiaTheme="minorEastAsia" w:hAnsi="Calibri" w:cs="Calibri"/>
          <w:b/>
          <w:color w:val="auto"/>
          <w:sz w:val="32"/>
          <w:szCs w:val="32"/>
        </w:rPr>
      </w:pPr>
      <w:r w:rsidRPr="00B97878">
        <w:rPr>
          <w:rFonts w:ascii="Calibri" w:eastAsiaTheme="minorEastAsia" w:hAnsi="Calibri" w:cs="Calibri"/>
          <w:b/>
          <w:color w:val="auto"/>
          <w:sz w:val="32"/>
          <w:szCs w:val="32"/>
        </w:rPr>
        <w:t>Partnership Objectives</w:t>
      </w:r>
    </w:p>
    <w:p w14:paraId="2FD0D776" w14:textId="77777777" w:rsidR="00B97878" w:rsidRPr="00B97878" w:rsidRDefault="00B97878" w:rsidP="00B97878">
      <w:pPr>
        <w:pStyle w:val="ListParagraph"/>
        <w:widowControl w:val="0"/>
        <w:numPr>
          <w:ilvl w:val="0"/>
          <w:numId w:val="2"/>
        </w:numPr>
        <w:spacing w:after="120" w:line="240" w:lineRule="auto"/>
        <w:ind w:left="357" w:hanging="357"/>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Establish a joined-up approach between all governments and Aboriginal and Torres Strait Islander community representatives to address early childhood care and development outcomes</w:t>
      </w:r>
      <w:r w:rsidRPr="00B97878">
        <w:rPr>
          <w:rFonts w:ascii="Calibri" w:eastAsiaTheme="minorEastAsia" w:hAnsi="Calibri" w:cs="Calibri"/>
          <w:color w:val="000000" w:themeColor="text1"/>
          <w:sz w:val="20"/>
          <w:szCs w:val="20"/>
          <w:lang w:val="en-GB"/>
        </w:rPr>
        <w:t xml:space="preserve"> </w:t>
      </w:r>
      <w:r w:rsidRPr="00B97878">
        <w:rPr>
          <w:rFonts w:ascii="Calibri" w:eastAsiaTheme="minorEastAsia" w:hAnsi="Calibri" w:cs="Calibri"/>
          <w:color w:val="000000" w:themeColor="text1"/>
          <w:lang w:val="en-GB"/>
        </w:rPr>
        <w:t xml:space="preserve">of Aboriginal and Torres Strait Islander children. </w:t>
      </w:r>
    </w:p>
    <w:p w14:paraId="79E6A8F3" w14:textId="77777777" w:rsidR="00B97878" w:rsidRPr="00B97878" w:rsidRDefault="00B97878" w:rsidP="00B97878">
      <w:pPr>
        <w:pStyle w:val="ListParagraph"/>
        <w:widowControl w:val="0"/>
        <w:numPr>
          <w:ilvl w:val="0"/>
          <w:numId w:val="2"/>
        </w:numPr>
        <w:spacing w:after="120" w:line="240" w:lineRule="auto"/>
        <w:ind w:left="357" w:hanging="357"/>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 xml:space="preserve">Give a focus to the Priority Reforms in the National Agreement, and how they can be harnessed to make the changes needed to ensure that Aboriginal and Torres Strait Islander children are born healthy, supported to thrive with strong families and proud in culture. </w:t>
      </w:r>
    </w:p>
    <w:p w14:paraId="20EC5F60" w14:textId="77777777" w:rsidR="00B97878" w:rsidRPr="00B97878" w:rsidRDefault="00B97878" w:rsidP="00B97878">
      <w:pPr>
        <w:pStyle w:val="ListParagraph"/>
        <w:widowControl w:val="0"/>
        <w:numPr>
          <w:ilvl w:val="0"/>
          <w:numId w:val="2"/>
        </w:numPr>
        <w:spacing w:after="120" w:line="240" w:lineRule="auto"/>
        <w:ind w:left="357" w:hanging="357"/>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Identify specific reforms to support Aboriginal and Torres Strait Islander children to achieve their potential in the early years, to be set up for long-term success.</w:t>
      </w:r>
    </w:p>
    <w:p w14:paraId="2713AB56" w14:textId="77777777" w:rsidR="00B97878" w:rsidRPr="00B97878" w:rsidRDefault="00B97878" w:rsidP="00B97878">
      <w:pPr>
        <w:pStyle w:val="ListParagraph"/>
        <w:widowControl w:val="0"/>
        <w:numPr>
          <w:ilvl w:val="0"/>
          <w:numId w:val="2"/>
        </w:numPr>
        <w:spacing w:after="120" w:line="240" w:lineRule="auto"/>
        <w:ind w:left="357" w:hanging="357"/>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Identify opportunities to work more effectively across governments, reduce gaps and duplication and improve outcomes under Closing the Gap.</w:t>
      </w:r>
    </w:p>
    <w:p w14:paraId="38A0C454" w14:textId="77777777" w:rsidR="00B97878" w:rsidRPr="00B97878" w:rsidRDefault="00B97878" w:rsidP="00B97878">
      <w:pPr>
        <w:pStyle w:val="ListParagraph"/>
        <w:widowControl w:val="0"/>
        <w:numPr>
          <w:ilvl w:val="0"/>
          <w:numId w:val="2"/>
        </w:numPr>
        <w:spacing w:after="120" w:line="240" w:lineRule="auto"/>
        <w:ind w:left="357" w:hanging="357"/>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Identify opportunities to work more effectively across the Coalition of Peaks and community organisations, reduce gaps and duplication and improve outcomes under Closing the Gap.</w:t>
      </w:r>
    </w:p>
    <w:p w14:paraId="0A98AC4D" w14:textId="77777777" w:rsidR="00B97878" w:rsidRPr="00B97878" w:rsidRDefault="00B97878" w:rsidP="00B97878">
      <w:pPr>
        <w:pStyle w:val="ListParagraph"/>
        <w:widowControl w:val="0"/>
        <w:numPr>
          <w:ilvl w:val="0"/>
          <w:numId w:val="2"/>
        </w:numPr>
        <w:spacing w:after="120" w:line="240" w:lineRule="auto"/>
        <w:ind w:left="357" w:hanging="357"/>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Support efforts to implement the National Agreement including meeting targets for the Priority Reform areas and socio-economic outcomes.</w:t>
      </w:r>
    </w:p>
    <w:p w14:paraId="1E16BB06" w14:textId="77777777" w:rsidR="00B97878" w:rsidRPr="00B97878" w:rsidRDefault="00B97878" w:rsidP="00B97878">
      <w:pPr>
        <w:pStyle w:val="ListParagraph"/>
        <w:widowControl w:val="0"/>
        <w:numPr>
          <w:ilvl w:val="0"/>
          <w:numId w:val="2"/>
        </w:numPr>
        <w:spacing w:after="120" w:line="240" w:lineRule="auto"/>
        <w:ind w:left="357" w:hanging="357"/>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 xml:space="preserve">Drive Aboriginal and Torres Strait Islander community-led outcomes on Closing the Gap, and </w:t>
      </w:r>
      <w:r w:rsidRPr="00B97878">
        <w:rPr>
          <w:rFonts w:ascii="Calibri" w:eastAsiaTheme="minorEastAsia" w:hAnsi="Calibri" w:cs="Calibri"/>
          <w:color w:val="000000" w:themeColor="text1"/>
          <w:lang w:val="en-GB"/>
        </w:rPr>
        <w:lastRenderedPageBreak/>
        <w:t>support community-led development initiatives.</w:t>
      </w:r>
    </w:p>
    <w:p w14:paraId="6429BEDE" w14:textId="6D4FBFED" w:rsidR="00B97878" w:rsidRPr="00B97878" w:rsidRDefault="00B97878" w:rsidP="00B97878">
      <w:pPr>
        <w:pStyle w:val="ListParagraph"/>
        <w:numPr>
          <w:ilvl w:val="0"/>
          <w:numId w:val="2"/>
        </w:numPr>
        <w:spacing w:after="120" w:line="240" w:lineRule="auto"/>
        <w:ind w:left="357" w:hanging="357"/>
        <w:contextualSpacing w:val="0"/>
        <w:rPr>
          <w:rFonts w:ascii="Calibri" w:eastAsiaTheme="minorEastAsia" w:hAnsi="Calibri" w:cs="Calibri"/>
          <w:color w:val="000000" w:themeColor="text1"/>
        </w:rPr>
      </w:pPr>
      <w:r w:rsidRPr="00B97878">
        <w:rPr>
          <w:rFonts w:ascii="Calibri" w:eastAsiaTheme="minorEastAsia" w:hAnsi="Calibri" w:cs="Calibri"/>
          <w:color w:val="000000" w:themeColor="text1"/>
          <w:lang w:val="en-GB"/>
        </w:rPr>
        <w:t>Enable Aboriginal and Torres Strait Islander representatives, communities and organisations to negotiate and implement agreements with governments to implement all Priority Reforms and policy specific and place-based strategies to Support Closing the Gap.</w:t>
      </w:r>
    </w:p>
    <w:p w14:paraId="308C471B" w14:textId="6DF0D342" w:rsidR="00B97878" w:rsidRPr="00B97878" w:rsidRDefault="00B97878" w:rsidP="00B97878">
      <w:pPr>
        <w:rPr>
          <w:rFonts w:ascii="Calibri" w:eastAsiaTheme="minorEastAsia" w:hAnsi="Calibri" w:cs="Calibri"/>
          <w:b/>
          <w:bCs/>
        </w:rPr>
      </w:pPr>
      <w:r w:rsidRPr="00B97878">
        <w:rPr>
          <w:rFonts w:ascii="Calibri" w:eastAsiaTheme="minorEastAsia" w:hAnsi="Calibri" w:cs="Calibri"/>
          <w:b/>
          <w:bCs/>
        </w:rPr>
        <w:t>The Partnership will pursue three additional objectives in Year Two, which correspond to the agreed ECCDPP three-year strategic plan</w:t>
      </w:r>
      <w:r>
        <w:rPr>
          <w:rFonts w:ascii="Calibri" w:eastAsiaTheme="minorEastAsia" w:hAnsi="Calibri" w:cs="Calibri"/>
          <w:b/>
          <w:bCs/>
        </w:rPr>
        <w:t>:</w:t>
      </w:r>
    </w:p>
    <w:p w14:paraId="1090A556" w14:textId="77777777" w:rsidR="00B97878" w:rsidRPr="00B97878" w:rsidRDefault="00B97878" w:rsidP="00B97878">
      <w:pPr>
        <w:pStyle w:val="ListParagraph"/>
        <w:numPr>
          <w:ilvl w:val="0"/>
          <w:numId w:val="3"/>
        </w:numPr>
        <w:rPr>
          <w:rFonts w:ascii="Calibri" w:eastAsiaTheme="minorEastAsia" w:hAnsi="Calibri" w:cs="Calibri"/>
        </w:rPr>
      </w:pPr>
      <w:r w:rsidRPr="00B97878">
        <w:rPr>
          <w:rFonts w:ascii="Calibri" w:eastAsiaTheme="minorEastAsia" w:hAnsi="Calibri" w:cs="Calibri"/>
        </w:rPr>
        <w:t>Build on strong community feedback loops established by the Aboriginal and Torres Strait Islander members who are representatives of their communities and those established through previous consultation with communities.</w:t>
      </w:r>
    </w:p>
    <w:p w14:paraId="18239582" w14:textId="77777777" w:rsidR="00B97878" w:rsidRPr="00B97878" w:rsidRDefault="00B97878" w:rsidP="00B97878">
      <w:pPr>
        <w:pStyle w:val="ListParagraph"/>
        <w:numPr>
          <w:ilvl w:val="0"/>
          <w:numId w:val="3"/>
        </w:numPr>
        <w:rPr>
          <w:rFonts w:ascii="Calibri" w:eastAsiaTheme="minorEastAsia" w:hAnsi="Calibri" w:cs="Calibri"/>
        </w:rPr>
      </w:pPr>
      <w:r w:rsidRPr="00B97878">
        <w:rPr>
          <w:rFonts w:ascii="Calibri" w:eastAsiaTheme="minorEastAsia" w:hAnsi="Calibri" w:cs="Calibri"/>
        </w:rPr>
        <w:t>Collaborate with other shared decision-making mechanisms, including Policy and Place-based Partnerships under the National Agreement and Safe and Supported.</w:t>
      </w:r>
    </w:p>
    <w:p w14:paraId="282B57B9" w14:textId="77777777" w:rsidR="00B97878" w:rsidRPr="00B97878" w:rsidRDefault="00B97878" w:rsidP="00B97878">
      <w:pPr>
        <w:pStyle w:val="ListParagraph"/>
        <w:numPr>
          <w:ilvl w:val="0"/>
          <w:numId w:val="3"/>
        </w:numPr>
        <w:rPr>
          <w:rFonts w:ascii="Calibri" w:eastAsiaTheme="minorEastAsia" w:hAnsi="Calibri" w:cs="Calibri"/>
        </w:rPr>
      </w:pPr>
      <w:r w:rsidRPr="00B97878">
        <w:rPr>
          <w:rFonts w:ascii="Calibri" w:eastAsiaTheme="minorEastAsia" w:hAnsi="Calibri" w:cs="Calibri"/>
        </w:rPr>
        <w:t>Pursue dual processes of making recommendations to Joint Council on Closing the Gap and progressing reform priorities via jurisdictional Closing the Gap architecture.</w:t>
      </w:r>
    </w:p>
    <w:p w14:paraId="21D1103A" w14:textId="77777777" w:rsidR="00B97878" w:rsidRPr="00B97878" w:rsidRDefault="00B97878" w:rsidP="00B97878">
      <w:pPr>
        <w:pStyle w:val="Heading1"/>
        <w:spacing w:before="240" w:after="0"/>
        <w:rPr>
          <w:rFonts w:ascii="Calibri" w:eastAsiaTheme="minorEastAsia" w:hAnsi="Calibri" w:cs="Calibri"/>
          <w:b/>
          <w:color w:val="auto"/>
          <w:sz w:val="32"/>
          <w:szCs w:val="32"/>
        </w:rPr>
      </w:pPr>
      <w:r w:rsidRPr="00B97878">
        <w:rPr>
          <w:rFonts w:ascii="Calibri" w:eastAsiaTheme="minorEastAsia" w:hAnsi="Calibri" w:cs="Calibri"/>
          <w:b/>
          <w:color w:val="auto"/>
          <w:sz w:val="32"/>
          <w:szCs w:val="32"/>
        </w:rPr>
        <w:t>Year Two Actions</w:t>
      </w:r>
    </w:p>
    <w:p w14:paraId="6C684780" w14:textId="77777777" w:rsidR="00B97878" w:rsidRPr="00B97878" w:rsidRDefault="00B97878" w:rsidP="00B97878">
      <w:pPr>
        <w:rPr>
          <w:rFonts w:ascii="Calibri" w:eastAsiaTheme="minorEastAsia" w:hAnsi="Calibri" w:cs="Calibri"/>
          <w:color w:val="222222"/>
        </w:rPr>
      </w:pPr>
      <w:r w:rsidRPr="00B97878">
        <w:rPr>
          <w:rFonts w:ascii="Calibri" w:eastAsiaTheme="minorEastAsia" w:hAnsi="Calibri" w:cs="Calibri"/>
        </w:rPr>
        <w:t xml:space="preserve">To achieve its objectives, </w:t>
      </w:r>
      <w:r w:rsidRPr="00B97878">
        <w:rPr>
          <w:rFonts w:ascii="Calibri" w:eastAsiaTheme="minorEastAsia" w:hAnsi="Calibri" w:cs="Calibri"/>
          <w:color w:val="222222"/>
        </w:rPr>
        <w:t>the Partnership will undertake the following actions:</w:t>
      </w:r>
    </w:p>
    <w:tbl>
      <w:tblPr>
        <w:tblStyle w:val="TableGrid"/>
        <w:tblW w:w="0" w:type="auto"/>
        <w:tblLook w:val="04A0" w:firstRow="1" w:lastRow="0" w:firstColumn="1" w:lastColumn="0" w:noHBand="0" w:noVBand="1"/>
      </w:tblPr>
      <w:tblGrid>
        <w:gridCol w:w="1360"/>
        <w:gridCol w:w="7656"/>
      </w:tblGrid>
      <w:tr w:rsidR="00B97878" w:rsidRPr="00B97878" w14:paraId="7F15C594" w14:textId="77777777" w:rsidTr="00B5273B">
        <w:tc>
          <w:tcPr>
            <w:tcW w:w="1413" w:type="dxa"/>
            <w:shd w:val="clear" w:color="auto" w:fill="F1A983" w:themeFill="accent2" w:themeFillTint="99"/>
          </w:tcPr>
          <w:p w14:paraId="778BEFCF" w14:textId="77777777" w:rsidR="00B97878" w:rsidRPr="00B97878" w:rsidRDefault="00B97878" w:rsidP="00B5273B">
            <w:pPr>
              <w:spacing w:after="120"/>
              <w:rPr>
                <w:rFonts w:ascii="Calibri" w:eastAsiaTheme="minorEastAsia" w:hAnsi="Calibri" w:cs="Calibri"/>
                <w:b/>
                <w:bCs/>
                <w:color w:val="222222"/>
              </w:rPr>
            </w:pPr>
            <w:r w:rsidRPr="00B97878">
              <w:rPr>
                <w:rFonts w:ascii="Calibri" w:eastAsiaTheme="minorEastAsia" w:hAnsi="Calibri" w:cs="Calibri"/>
                <w:b/>
                <w:bCs/>
                <w:color w:val="222222"/>
              </w:rPr>
              <w:t xml:space="preserve">Action </w:t>
            </w:r>
          </w:p>
        </w:tc>
        <w:tc>
          <w:tcPr>
            <w:tcW w:w="8215" w:type="dxa"/>
            <w:shd w:val="clear" w:color="auto" w:fill="F1A983" w:themeFill="accent2" w:themeFillTint="99"/>
          </w:tcPr>
          <w:p w14:paraId="4E7BD135" w14:textId="77777777" w:rsidR="00B97878" w:rsidRPr="00B97878" w:rsidRDefault="00B97878" w:rsidP="00B5273B">
            <w:pPr>
              <w:spacing w:after="120"/>
              <w:rPr>
                <w:rFonts w:ascii="Calibri" w:eastAsiaTheme="minorEastAsia" w:hAnsi="Calibri" w:cs="Calibri"/>
                <w:b/>
                <w:bCs/>
                <w:color w:val="222222"/>
              </w:rPr>
            </w:pPr>
            <w:r w:rsidRPr="00B97878">
              <w:rPr>
                <w:rFonts w:ascii="Calibri" w:eastAsiaTheme="minorEastAsia" w:hAnsi="Calibri" w:cs="Calibri"/>
                <w:b/>
                <w:bCs/>
                <w:color w:val="222222"/>
              </w:rPr>
              <w:t>Description</w:t>
            </w:r>
          </w:p>
        </w:tc>
      </w:tr>
      <w:tr w:rsidR="00B97878" w:rsidRPr="00B97878" w14:paraId="76E2B84E" w14:textId="77777777" w:rsidTr="00B5273B">
        <w:tc>
          <w:tcPr>
            <w:tcW w:w="1413" w:type="dxa"/>
            <w:shd w:val="clear" w:color="auto" w:fill="auto"/>
          </w:tcPr>
          <w:p w14:paraId="0149AB1E" w14:textId="77777777" w:rsidR="00B97878" w:rsidRPr="00B97878" w:rsidRDefault="00B97878" w:rsidP="00B5273B">
            <w:pPr>
              <w:spacing w:after="120"/>
              <w:rPr>
                <w:rFonts w:ascii="Calibri" w:eastAsiaTheme="minorEastAsia" w:hAnsi="Calibri" w:cs="Calibri"/>
                <w:color w:val="222222"/>
              </w:rPr>
            </w:pPr>
            <w:r w:rsidRPr="00B97878">
              <w:rPr>
                <w:rFonts w:ascii="Calibri" w:eastAsiaTheme="minorEastAsia" w:hAnsi="Calibri" w:cs="Calibri"/>
                <w:b/>
                <w:bCs/>
                <w:color w:val="222222"/>
              </w:rPr>
              <w:t>Action 1</w:t>
            </w:r>
          </w:p>
        </w:tc>
        <w:tc>
          <w:tcPr>
            <w:tcW w:w="8215" w:type="dxa"/>
            <w:shd w:val="clear" w:color="auto" w:fill="auto"/>
          </w:tcPr>
          <w:p w14:paraId="02364431" w14:textId="77777777" w:rsidR="00B97878" w:rsidRPr="00B97878" w:rsidRDefault="00B97878" w:rsidP="00B5273B">
            <w:pPr>
              <w:spacing w:after="120"/>
              <w:rPr>
                <w:rFonts w:ascii="Calibri" w:eastAsiaTheme="minorEastAsia" w:hAnsi="Calibri" w:cs="Calibri"/>
                <w:color w:val="222222"/>
              </w:rPr>
            </w:pPr>
            <w:r w:rsidRPr="00B97878">
              <w:rPr>
                <w:rFonts w:ascii="Calibri" w:eastAsiaTheme="minorEastAsia" w:hAnsi="Calibri" w:cs="Calibri"/>
                <w:color w:val="222222"/>
              </w:rPr>
              <w:t>Meet quarterly to progress policy and research priorities that have been considered and agreed to by the Partnership.</w:t>
            </w:r>
          </w:p>
        </w:tc>
      </w:tr>
      <w:tr w:rsidR="00B97878" w:rsidRPr="00B97878" w14:paraId="329DC310" w14:textId="77777777" w:rsidTr="00B5273B">
        <w:tc>
          <w:tcPr>
            <w:tcW w:w="1413" w:type="dxa"/>
            <w:shd w:val="clear" w:color="auto" w:fill="F1A983" w:themeFill="accent2" w:themeFillTint="99"/>
          </w:tcPr>
          <w:p w14:paraId="72C58FFD" w14:textId="77777777" w:rsidR="00B97878" w:rsidRPr="00B97878" w:rsidRDefault="00B97878" w:rsidP="00B5273B">
            <w:pPr>
              <w:spacing w:after="120"/>
              <w:rPr>
                <w:rFonts w:ascii="Calibri" w:eastAsiaTheme="minorEastAsia" w:hAnsi="Calibri" w:cs="Calibri"/>
                <w:color w:val="222222"/>
              </w:rPr>
            </w:pPr>
            <w:r w:rsidRPr="00B97878">
              <w:rPr>
                <w:rFonts w:ascii="Calibri" w:eastAsiaTheme="minorEastAsia" w:hAnsi="Calibri" w:cs="Calibri"/>
                <w:b/>
                <w:bCs/>
              </w:rPr>
              <w:t>Action 2</w:t>
            </w:r>
          </w:p>
        </w:tc>
        <w:tc>
          <w:tcPr>
            <w:tcW w:w="8215" w:type="dxa"/>
            <w:shd w:val="clear" w:color="auto" w:fill="F1A983" w:themeFill="accent2" w:themeFillTint="99"/>
          </w:tcPr>
          <w:p w14:paraId="2031D3F9" w14:textId="77777777" w:rsidR="00B97878" w:rsidRPr="00B97878" w:rsidRDefault="00B97878" w:rsidP="00B5273B">
            <w:pPr>
              <w:spacing w:after="120"/>
              <w:rPr>
                <w:rFonts w:ascii="Calibri" w:eastAsiaTheme="minorEastAsia" w:hAnsi="Calibri" w:cs="Calibri"/>
              </w:rPr>
            </w:pPr>
            <w:r w:rsidRPr="00B97878">
              <w:rPr>
                <w:rFonts w:ascii="Calibri" w:eastAsiaTheme="minorEastAsia" w:hAnsi="Calibri" w:cs="Calibri"/>
              </w:rPr>
              <w:t>Make recommendations to Joint Council for all Governments to take tangible action to improve early childhood and wellbeing outcomes for Aboriginal and Torres Strait Islander children and families.</w:t>
            </w:r>
          </w:p>
        </w:tc>
      </w:tr>
      <w:tr w:rsidR="00B97878" w:rsidRPr="00B97878" w14:paraId="3DC62B8F" w14:textId="77777777" w:rsidTr="00B5273B">
        <w:tc>
          <w:tcPr>
            <w:tcW w:w="1413" w:type="dxa"/>
            <w:shd w:val="clear" w:color="auto" w:fill="auto"/>
          </w:tcPr>
          <w:p w14:paraId="6950FADA" w14:textId="77777777" w:rsidR="00B97878" w:rsidRPr="00B97878" w:rsidRDefault="00B97878" w:rsidP="00B5273B">
            <w:pPr>
              <w:spacing w:after="120"/>
              <w:rPr>
                <w:rFonts w:ascii="Calibri" w:eastAsiaTheme="minorEastAsia" w:hAnsi="Calibri" w:cs="Calibri"/>
                <w:color w:val="222222"/>
              </w:rPr>
            </w:pPr>
            <w:r w:rsidRPr="00B97878">
              <w:rPr>
                <w:rFonts w:ascii="Calibri" w:eastAsiaTheme="minorEastAsia" w:hAnsi="Calibri" w:cs="Calibri"/>
                <w:b/>
                <w:bCs/>
              </w:rPr>
              <w:t>Action 3</w:t>
            </w:r>
          </w:p>
        </w:tc>
        <w:tc>
          <w:tcPr>
            <w:tcW w:w="8215" w:type="dxa"/>
            <w:shd w:val="clear" w:color="auto" w:fill="auto"/>
          </w:tcPr>
          <w:p w14:paraId="62B46651" w14:textId="77777777" w:rsidR="00B97878" w:rsidRPr="00B97878" w:rsidRDefault="00B97878" w:rsidP="00B5273B">
            <w:pPr>
              <w:spacing w:after="120"/>
              <w:rPr>
                <w:rFonts w:ascii="Calibri" w:eastAsiaTheme="minorEastAsia" w:hAnsi="Calibri" w:cs="Calibri"/>
                <w:color w:val="222222"/>
              </w:rPr>
            </w:pPr>
            <w:r w:rsidRPr="00B97878">
              <w:rPr>
                <w:rFonts w:ascii="Calibri" w:eastAsiaTheme="minorEastAsia" w:hAnsi="Calibri" w:cs="Calibri"/>
              </w:rPr>
              <w:t xml:space="preserve">Agree on priorities that drive development of policy reforms outlined in the National Aboriginal and Torres Strait Islander Early Childhood Strategy and Early Childhood Care and Development Sector Strengthening Plan and begin work to implement the priorities. </w:t>
            </w:r>
          </w:p>
        </w:tc>
      </w:tr>
      <w:tr w:rsidR="00B97878" w:rsidRPr="00B97878" w14:paraId="4A5F9B52" w14:textId="77777777" w:rsidTr="00B5273B">
        <w:tc>
          <w:tcPr>
            <w:tcW w:w="1413" w:type="dxa"/>
            <w:shd w:val="clear" w:color="auto" w:fill="F1A983" w:themeFill="accent2" w:themeFillTint="99"/>
          </w:tcPr>
          <w:p w14:paraId="7681E9A2" w14:textId="77777777" w:rsidR="00B97878" w:rsidRPr="00B97878" w:rsidRDefault="00B97878" w:rsidP="00B5273B">
            <w:pPr>
              <w:spacing w:after="120"/>
              <w:rPr>
                <w:rFonts w:ascii="Calibri" w:eastAsiaTheme="minorEastAsia" w:hAnsi="Calibri" w:cs="Calibri"/>
              </w:rPr>
            </w:pPr>
            <w:r w:rsidRPr="00B97878">
              <w:rPr>
                <w:rFonts w:ascii="Calibri" w:eastAsiaTheme="minorEastAsia" w:hAnsi="Calibri" w:cs="Calibri"/>
                <w:b/>
                <w:bCs/>
              </w:rPr>
              <w:t>Action 4</w:t>
            </w:r>
          </w:p>
        </w:tc>
        <w:tc>
          <w:tcPr>
            <w:tcW w:w="8215" w:type="dxa"/>
            <w:shd w:val="clear" w:color="auto" w:fill="F1A983" w:themeFill="accent2" w:themeFillTint="99"/>
          </w:tcPr>
          <w:p w14:paraId="70ECE023" w14:textId="77777777" w:rsidR="00B97878" w:rsidRPr="00B97878" w:rsidRDefault="00B97878" w:rsidP="00B5273B">
            <w:pPr>
              <w:spacing w:after="120"/>
              <w:rPr>
                <w:rFonts w:ascii="Calibri" w:eastAsiaTheme="minorEastAsia" w:hAnsi="Calibri" w:cs="Calibri"/>
              </w:rPr>
            </w:pPr>
            <w:r w:rsidRPr="00B97878">
              <w:rPr>
                <w:rFonts w:ascii="Calibri" w:eastAsiaTheme="minorEastAsia" w:hAnsi="Calibri" w:cs="Calibri"/>
              </w:rPr>
              <w:t>Progress intersectional policy priorities with other shared decision-making partnerships, including Safe and Supported, Policy Partnerships and Place-based Partnerships.</w:t>
            </w:r>
          </w:p>
        </w:tc>
      </w:tr>
      <w:tr w:rsidR="00B97878" w:rsidRPr="00B97878" w14:paraId="4DDB4E59" w14:textId="77777777" w:rsidTr="00B5273B">
        <w:tc>
          <w:tcPr>
            <w:tcW w:w="1413" w:type="dxa"/>
            <w:shd w:val="clear" w:color="auto" w:fill="auto"/>
          </w:tcPr>
          <w:p w14:paraId="50D67553" w14:textId="77777777" w:rsidR="00B97878" w:rsidRPr="00B97878" w:rsidRDefault="00B97878" w:rsidP="00B5273B">
            <w:pPr>
              <w:spacing w:after="120"/>
              <w:rPr>
                <w:rFonts w:ascii="Calibri" w:eastAsiaTheme="minorEastAsia" w:hAnsi="Calibri" w:cs="Calibri"/>
              </w:rPr>
            </w:pPr>
            <w:r w:rsidRPr="00B97878">
              <w:rPr>
                <w:rFonts w:ascii="Calibri" w:eastAsiaTheme="minorEastAsia" w:hAnsi="Calibri" w:cs="Calibri"/>
                <w:b/>
                <w:bCs/>
              </w:rPr>
              <w:t>Action 5</w:t>
            </w:r>
          </w:p>
        </w:tc>
        <w:tc>
          <w:tcPr>
            <w:tcW w:w="8215" w:type="dxa"/>
            <w:shd w:val="clear" w:color="auto" w:fill="auto"/>
          </w:tcPr>
          <w:p w14:paraId="4E5FD781" w14:textId="77777777" w:rsidR="00B97878" w:rsidRPr="00B97878" w:rsidRDefault="00B97878" w:rsidP="00B5273B">
            <w:pPr>
              <w:spacing w:after="120"/>
              <w:rPr>
                <w:rFonts w:ascii="Calibri" w:eastAsiaTheme="minorEastAsia" w:hAnsi="Calibri" w:cs="Calibri"/>
              </w:rPr>
            </w:pPr>
            <w:r w:rsidRPr="00B97878">
              <w:rPr>
                <w:rFonts w:ascii="Calibri" w:eastAsiaTheme="minorEastAsia" w:hAnsi="Calibri" w:cs="Calibri"/>
              </w:rPr>
              <w:t xml:space="preserve">Deliver commissioned research to build the Aboriginal and Torres Strait Islander-led evidence base for child and family services and use commissioned research to increase access to ECEC for Aboriginal and Torres Strait Islander families. </w:t>
            </w:r>
          </w:p>
        </w:tc>
      </w:tr>
      <w:tr w:rsidR="00B97878" w:rsidRPr="00B97878" w14:paraId="28E1B8C4" w14:textId="77777777" w:rsidTr="00B5273B">
        <w:tc>
          <w:tcPr>
            <w:tcW w:w="1413" w:type="dxa"/>
            <w:shd w:val="clear" w:color="auto" w:fill="F1A983" w:themeFill="accent2" w:themeFillTint="99"/>
          </w:tcPr>
          <w:p w14:paraId="7159880B" w14:textId="77777777" w:rsidR="00B97878" w:rsidRPr="00B97878" w:rsidRDefault="00B97878" w:rsidP="00B5273B">
            <w:pPr>
              <w:spacing w:after="120"/>
              <w:rPr>
                <w:rFonts w:ascii="Calibri" w:eastAsiaTheme="minorEastAsia" w:hAnsi="Calibri" w:cs="Calibri"/>
                <w:color w:val="222222"/>
              </w:rPr>
            </w:pPr>
            <w:r w:rsidRPr="00B97878">
              <w:rPr>
                <w:rFonts w:ascii="Calibri" w:eastAsiaTheme="minorEastAsia" w:hAnsi="Calibri" w:cs="Calibri"/>
                <w:b/>
                <w:bCs/>
              </w:rPr>
              <w:t>Action 6</w:t>
            </w:r>
          </w:p>
        </w:tc>
        <w:tc>
          <w:tcPr>
            <w:tcW w:w="8215" w:type="dxa"/>
            <w:shd w:val="clear" w:color="auto" w:fill="F1A983" w:themeFill="accent2" w:themeFillTint="99"/>
          </w:tcPr>
          <w:p w14:paraId="12C4F46D" w14:textId="77777777" w:rsidR="00B97878" w:rsidRPr="00B97878" w:rsidRDefault="00B97878" w:rsidP="00B5273B">
            <w:pPr>
              <w:spacing w:after="120"/>
              <w:rPr>
                <w:rFonts w:ascii="Calibri" w:eastAsiaTheme="minorEastAsia" w:hAnsi="Calibri" w:cs="Calibri"/>
                <w:color w:val="222222"/>
              </w:rPr>
            </w:pPr>
            <w:r w:rsidRPr="00B97878">
              <w:rPr>
                <w:rFonts w:ascii="Calibri" w:eastAsiaTheme="minorEastAsia" w:hAnsi="Calibri" w:cs="Calibri"/>
              </w:rPr>
              <w:t xml:space="preserve">Support jurisdictional implementation efforts relating to the findings and recommendations of the Productivity Commission’s Closing the Gap review and provide advice on gaps and areas for greater focus. </w:t>
            </w:r>
          </w:p>
        </w:tc>
      </w:tr>
      <w:tr w:rsidR="00B97878" w:rsidRPr="00B97878" w14:paraId="7EF654AD" w14:textId="77777777" w:rsidTr="00B5273B">
        <w:tc>
          <w:tcPr>
            <w:tcW w:w="1413" w:type="dxa"/>
            <w:shd w:val="clear" w:color="auto" w:fill="auto"/>
          </w:tcPr>
          <w:p w14:paraId="7679EF65" w14:textId="77777777" w:rsidR="00B97878" w:rsidRPr="00B97878" w:rsidRDefault="00B97878" w:rsidP="00B5273B">
            <w:pPr>
              <w:spacing w:after="120"/>
              <w:rPr>
                <w:rFonts w:ascii="Calibri" w:eastAsiaTheme="minorEastAsia" w:hAnsi="Calibri" w:cs="Calibri"/>
                <w:color w:val="222222"/>
              </w:rPr>
            </w:pPr>
            <w:r w:rsidRPr="00B97878">
              <w:rPr>
                <w:rFonts w:ascii="Calibri" w:eastAsiaTheme="minorEastAsia" w:hAnsi="Calibri" w:cs="Calibri"/>
                <w:b/>
                <w:bCs/>
              </w:rPr>
              <w:t>Action 7</w:t>
            </w:r>
          </w:p>
        </w:tc>
        <w:tc>
          <w:tcPr>
            <w:tcW w:w="8215" w:type="dxa"/>
            <w:shd w:val="clear" w:color="auto" w:fill="auto"/>
          </w:tcPr>
          <w:p w14:paraId="3EE1FEBC" w14:textId="77777777" w:rsidR="00B97878" w:rsidRPr="00B97878" w:rsidRDefault="00B97878" w:rsidP="00B5273B">
            <w:pPr>
              <w:spacing w:after="120"/>
              <w:rPr>
                <w:rFonts w:ascii="Calibri" w:eastAsiaTheme="minorEastAsia" w:hAnsi="Calibri" w:cs="Calibri"/>
                <w:color w:val="222222"/>
              </w:rPr>
            </w:pPr>
            <w:r w:rsidRPr="00B97878">
              <w:rPr>
                <w:rFonts w:ascii="Calibri" w:eastAsiaTheme="minorEastAsia" w:hAnsi="Calibri" w:cs="Calibri"/>
              </w:rPr>
              <w:t xml:space="preserve">Develop a strategic communication and engagement plan to support Aboriginal and Torres Strait Islander communities to engage with the work of the Partnership. </w:t>
            </w:r>
            <w:r w:rsidRPr="00B97878">
              <w:rPr>
                <w:rFonts w:ascii="Calibri" w:eastAsiaTheme="minorEastAsia" w:hAnsi="Calibri" w:cs="Calibri"/>
              </w:rPr>
              <w:lastRenderedPageBreak/>
              <w:t>This plan will leverage the strong community feedback loops established by the Aboriginal and Torres Strait Islander members.</w:t>
            </w:r>
          </w:p>
        </w:tc>
      </w:tr>
      <w:tr w:rsidR="00B97878" w:rsidRPr="00B97878" w14:paraId="194CC767" w14:textId="77777777" w:rsidTr="00B5273B">
        <w:tc>
          <w:tcPr>
            <w:tcW w:w="1413" w:type="dxa"/>
            <w:shd w:val="clear" w:color="auto" w:fill="F1A983" w:themeFill="accent2" w:themeFillTint="99"/>
          </w:tcPr>
          <w:p w14:paraId="4B1B5DA5" w14:textId="77777777" w:rsidR="00B97878" w:rsidRPr="00B97878" w:rsidRDefault="00B97878" w:rsidP="00B5273B">
            <w:pPr>
              <w:spacing w:after="120"/>
              <w:rPr>
                <w:rFonts w:ascii="Calibri" w:eastAsiaTheme="minorEastAsia" w:hAnsi="Calibri" w:cs="Calibri"/>
                <w:b/>
                <w:bCs/>
              </w:rPr>
            </w:pPr>
            <w:r w:rsidRPr="00B97878">
              <w:rPr>
                <w:rFonts w:ascii="Calibri" w:eastAsiaTheme="minorEastAsia" w:hAnsi="Calibri" w:cs="Calibri"/>
                <w:b/>
                <w:bCs/>
              </w:rPr>
              <w:lastRenderedPageBreak/>
              <w:t>Action 8</w:t>
            </w:r>
          </w:p>
        </w:tc>
        <w:tc>
          <w:tcPr>
            <w:tcW w:w="8215" w:type="dxa"/>
            <w:shd w:val="clear" w:color="auto" w:fill="F1A983" w:themeFill="accent2" w:themeFillTint="99"/>
          </w:tcPr>
          <w:p w14:paraId="73E452E3" w14:textId="77777777" w:rsidR="00B97878" w:rsidRPr="00B97878" w:rsidRDefault="00B97878" w:rsidP="00B5273B">
            <w:pPr>
              <w:spacing w:after="120"/>
              <w:rPr>
                <w:rFonts w:ascii="Calibri" w:eastAsiaTheme="minorEastAsia" w:hAnsi="Calibri" w:cs="Calibri"/>
              </w:rPr>
            </w:pPr>
            <w:r w:rsidRPr="00B97878">
              <w:rPr>
                <w:rFonts w:ascii="Calibri" w:eastAsiaTheme="minorEastAsia" w:hAnsi="Calibri" w:cs="Calibri"/>
              </w:rPr>
              <w:t xml:space="preserve">Undertake an annual Partnership Health Check to maintain alignment with Strong Partnership Elements (Clause 22 of the National Agreement). </w:t>
            </w:r>
          </w:p>
        </w:tc>
      </w:tr>
      <w:tr w:rsidR="00B97878" w:rsidRPr="00B97878" w14:paraId="4DB64D0D" w14:textId="77777777" w:rsidTr="00B5273B">
        <w:tc>
          <w:tcPr>
            <w:tcW w:w="1413" w:type="dxa"/>
            <w:shd w:val="clear" w:color="auto" w:fill="auto"/>
          </w:tcPr>
          <w:p w14:paraId="318A747D" w14:textId="77777777" w:rsidR="00B97878" w:rsidRPr="00B97878" w:rsidRDefault="00B97878" w:rsidP="00B5273B">
            <w:pPr>
              <w:spacing w:after="120"/>
              <w:rPr>
                <w:rFonts w:ascii="Calibri" w:eastAsiaTheme="minorEastAsia" w:hAnsi="Calibri" w:cs="Calibri"/>
                <w:b/>
                <w:bCs/>
              </w:rPr>
            </w:pPr>
            <w:r w:rsidRPr="00B97878">
              <w:rPr>
                <w:rFonts w:ascii="Calibri" w:eastAsiaTheme="minorEastAsia" w:hAnsi="Calibri" w:cs="Calibri"/>
                <w:b/>
                <w:bCs/>
              </w:rPr>
              <w:t>Action 9</w:t>
            </w:r>
          </w:p>
        </w:tc>
        <w:tc>
          <w:tcPr>
            <w:tcW w:w="8215" w:type="dxa"/>
            <w:shd w:val="clear" w:color="auto" w:fill="auto"/>
          </w:tcPr>
          <w:p w14:paraId="27A3B07C" w14:textId="77777777" w:rsidR="00B97878" w:rsidRPr="00B97878" w:rsidRDefault="00B97878" w:rsidP="00B5273B">
            <w:pPr>
              <w:spacing w:after="120"/>
              <w:rPr>
                <w:rFonts w:ascii="Calibri" w:eastAsiaTheme="minorEastAsia" w:hAnsi="Calibri" w:cs="Calibri"/>
              </w:rPr>
            </w:pPr>
            <w:r w:rsidRPr="00B97878">
              <w:rPr>
                <w:rFonts w:ascii="Calibri" w:eastAsiaTheme="minorEastAsia" w:hAnsi="Calibri" w:cs="Calibri"/>
              </w:rPr>
              <w:t>Develop an Annual Report to Joint Council.</w:t>
            </w:r>
          </w:p>
        </w:tc>
      </w:tr>
      <w:tr w:rsidR="00B97878" w:rsidRPr="00B97878" w14:paraId="1D04DDC7" w14:textId="77777777" w:rsidTr="00B5273B">
        <w:tc>
          <w:tcPr>
            <w:tcW w:w="1413" w:type="dxa"/>
            <w:shd w:val="clear" w:color="auto" w:fill="F1A983" w:themeFill="accent2" w:themeFillTint="99"/>
          </w:tcPr>
          <w:p w14:paraId="65B6DAEA" w14:textId="77777777" w:rsidR="00B97878" w:rsidRPr="00B97878" w:rsidRDefault="00B97878" w:rsidP="00B5273B">
            <w:pPr>
              <w:spacing w:after="120"/>
              <w:rPr>
                <w:rFonts w:ascii="Calibri" w:eastAsiaTheme="minorEastAsia" w:hAnsi="Calibri" w:cs="Calibri"/>
                <w:b/>
                <w:bCs/>
              </w:rPr>
            </w:pPr>
            <w:r w:rsidRPr="00B97878">
              <w:rPr>
                <w:rFonts w:ascii="Calibri" w:eastAsiaTheme="minorEastAsia" w:hAnsi="Calibri" w:cs="Calibri"/>
                <w:b/>
                <w:bCs/>
              </w:rPr>
              <w:t>Action 10</w:t>
            </w:r>
          </w:p>
        </w:tc>
        <w:tc>
          <w:tcPr>
            <w:tcW w:w="8215" w:type="dxa"/>
            <w:shd w:val="clear" w:color="auto" w:fill="F1A983" w:themeFill="accent2" w:themeFillTint="99"/>
          </w:tcPr>
          <w:p w14:paraId="32F93221" w14:textId="77777777" w:rsidR="00B97878" w:rsidRPr="00B97878" w:rsidRDefault="00B97878" w:rsidP="00B5273B">
            <w:pPr>
              <w:spacing w:after="120"/>
              <w:rPr>
                <w:rFonts w:ascii="Calibri" w:eastAsiaTheme="minorEastAsia" w:hAnsi="Calibri" w:cs="Calibri"/>
              </w:rPr>
            </w:pPr>
            <w:r w:rsidRPr="00B97878">
              <w:rPr>
                <w:rFonts w:ascii="Calibri" w:eastAsiaTheme="minorEastAsia" w:hAnsi="Calibri" w:cs="Calibri"/>
              </w:rPr>
              <w:t>Develop a third-year work plan for the Partnership.</w:t>
            </w:r>
          </w:p>
        </w:tc>
      </w:tr>
      <w:tr w:rsidR="00B97878" w:rsidRPr="00B97878" w14:paraId="325F17A7" w14:textId="77777777" w:rsidTr="00B5273B">
        <w:tc>
          <w:tcPr>
            <w:tcW w:w="1413" w:type="dxa"/>
            <w:shd w:val="clear" w:color="auto" w:fill="auto"/>
          </w:tcPr>
          <w:p w14:paraId="5EBCE133" w14:textId="77777777" w:rsidR="00B97878" w:rsidRPr="00B97878" w:rsidRDefault="00B97878" w:rsidP="00B5273B">
            <w:pPr>
              <w:spacing w:after="120"/>
              <w:rPr>
                <w:rFonts w:ascii="Calibri" w:eastAsiaTheme="minorEastAsia" w:hAnsi="Calibri" w:cs="Calibri"/>
                <w:b/>
                <w:bCs/>
              </w:rPr>
            </w:pPr>
            <w:r w:rsidRPr="00B97878">
              <w:rPr>
                <w:rFonts w:ascii="Calibri" w:eastAsiaTheme="minorEastAsia" w:hAnsi="Calibri" w:cs="Calibri"/>
                <w:b/>
                <w:bCs/>
              </w:rPr>
              <w:t>Action 11</w:t>
            </w:r>
          </w:p>
        </w:tc>
        <w:tc>
          <w:tcPr>
            <w:tcW w:w="8215" w:type="dxa"/>
            <w:shd w:val="clear" w:color="auto" w:fill="auto"/>
          </w:tcPr>
          <w:p w14:paraId="0F184D6D" w14:textId="77777777" w:rsidR="00B97878" w:rsidRPr="00B97878" w:rsidRDefault="00B97878" w:rsidP="00B5273B">
            <w:pPr>
              <w:spacing w:after="120"/>
              <w:rPr>
                <w:rFonts w:ascii="Calibri" w:eastAsiaTheme="minorEastAsia" w:hAnsi="Calibri" w:cs="Calibri"/>
              </w:rPr>
            </w:pPr>
            <w:r w:rsidRPr="00B97878">
              <w:rPr>
                <w:rFonts w:ascii="Calibri" w:eastAsiaTheme="minorEastAsia" w:hAnsi="Calibri" w:cs="Calibri"/>
              </w:rPr>
              <w:t>Implement the ECCDPP Probity Framework.</w:t>
            </w:r>
          </w:p>
        </w:tc>
      </w:tr>
    </w:tbl>
    <w:p w14:paraId="5E0D627B" w14:textId="77777777" w:rsidR="00D06400" w:rsidRDefault="00D06400">
      <w:pPr>
        <w:rPr>
          <w:rFonts w:ascii="Calibri" w:hAnsi="Calibri" w:cs="Calibri"/>
        </w:rPr>
      </w:pPr>
    </w:p>
    <w:p w14:paraId="60E4D6BF" w14:textId="1CBB425C" w:rsidR="00B97878" w:rsidRPr="00B97878" w:rsidRDefault="00B97878" w:rsidP="00B97878">
      <w:pPr>
        <w:jc w:val="center"/>
        <w:rPr>
          <w:rFonts w:ascii="Calibri" w:hAnsi="Calibri" w:cs="Calibri"/>
          <w:b/>
          <w:bCs/>
        </w:rPr>
      </w:pPr>
      <w:r w:rsidRPr="00B97878">
        <w:rPr>
          <w:rFonts w:ascii="Calibri" w:hAnsi="Calibri" w:cs="Calibri"/>
          <w:b/>
          <w:bCs/>
        </w:rPr>
        <w:t>END</w:t>
      </w:r>
    </w:p>
    <w:sectPr w:rsidR="00B97878" w:rsidRPr="00B9787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E2974" w14:textId="77777777" w:rsidR="001B4F67" w:rsidRDefault="001B4F67">
      <w:pPr>
        <w:spacing w:after="0" w:line="240" w:lineRule="auto"/>
      </w:pPr>
      <w:r>
        <w:separator/>
      </w:r>
    </w:p>
  </w:endnote>
  <w:endnote w:type="continuationSeparator" w:id="0">
    <w:p w14:paraId="0429808B" w14:textId="77777777" w:rsidR="001B4F67" w:rsidRDefault="001B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4FD46C" w14:paraId="70CD0C35" w14:textId="77777777" w:rsidTr="637CF481">
      <w:trPr>
        <w:trHeight w:val="300"/>
      </w:trPr>
      <w:tc>
        <w:tcPr>
          <w:tcW w:w="3005" w:type="dxa"/>
        </w:tcPr>
        <w:p w14:paraId="5B98A6EA" w14:textId="2D5D2492" w:rsidR="5C4FD46C" w:rsidRDefault="5C4FD46C" w:rsidP="637CF481">
          <w:pPr>
            <w:pStyle w:val="Header"/>
            <w:ind w:left="-115"/>
            <w:rPr>
              <w:rFonts w:ascii="Calibri" w:eastAsia="Calibri" w:hAnsi="Calibri" w:cs="Calibri"/>
            </w:rPr>
          </w:pPr>
        </w:p>
      </w:tc>
      <w:tc>
        <w:tcPr>
          <w:tcW w:w="3005" w:type="dxa"/>
        </w:tcPr>
        <w:p w14:paraId="55BB8A02" w14:textId="243DFE11" w:rsidR="5C4FD46C" w:rsidRDefault="5C4FD46C" w:rsidP="637CF481">
          <w:pPr>
            <w:pStyle w:val="Header"/>
            <w:jc w:val="center"/>
            <w:rPr>
              <w:rFonts w:ascii="Calibri" w:eastAsia="Calibri" w:hAnsi="Calibri" w:cs="Calibri"/>
            </w:rPr>
          </w:pPr>
        </w:p>
      </w:tc>
      <w:tc>
        <w:tcPr>
          <w:tcW w:w="3005" w:type="dxa"/>
        </w:tcPr>
        <w:p w14:paraId="597055C0" w14:textId="6735B9BF" w:rsidR="5C4FD46C" w:rsidRDefault="5C4FD46C" w:rsidP="637CF481">
          <w:pPr>
            <w:pStyle w:val="Header"/>
            <w:ind w:right="-115"/>
            <w:jc w:val="right"/>
            <w:rPr>
              <w:rFonts w:ascii="Calibri" w:eastAsia="Calibri" w:hAnsi="Calibri" w:cs="Calibri"/>
            </w:rPr>
          </w:pPr>
          <w:r w:rsidRPr="637CF481">
            <w:rPr>
              <w:rFonts w:ascii="Calibri" w:eastAsia="Calibri" w:hAnsi="Calibri" w:cs="Calibri"/>
            </w:rPr>
            <w:fldChar w:fldCharType="begin"/>
          </w:r>
          <w:r>
            <w:instrText>PAGE</w:instrText>
          </w:r>
          <w:r w:rsidR="001B4F67">
            <w:fldChar w:fldCharType="separate"/>
          </w:r>
          <w:r w:rsidR="001B4F67">
            <w:rPr>
              <w:noProof/>
            </w:rPr>
            <w:t>1</w:t>
          </w:r>
          <w:r w:rsidRPr="637CF481">
            <w:rPr>
              <w:rFonts w:ascii="Calibri" w:eastAsia="Calibri" w:hAnsi="Calibri" w:cs="Calibri"/>
            </w:rPr>
            <w:fldChar w:fldCharType="end"/>
          </w:r>
        </w:p>
      </w:tc>
    </w:tr>
  </w:tbl>
  <w:p w14:paraId="44D367EF" w14:textId="0ECF775D" w:rsidR="5C4FD46C" w:rsidRDefault="5C4FD46C" w:rsidP="637CF481">
    <w:pPr>
      <w:pStyle w:val="Footer"/>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639F" w14:textId="77777777" w:rsidR="001B4F67" w:rsidRDefault="001B4F67">
      <w:pPr>
        <w:spacing w:after="0" w:line="240" w:lineRule="auto"/>
      </w:pPr>
      <w:r>
        <w:separator/>
      </w:r>
    </w:p>
  </w:footnote>
  <w:footnote w:type="continuationSeparator" w:id="0">
    <w:p w14:paraId="5FDB4B8C" w14:textId="77777777" w:rsidR="001B4F67" w:rsidRDefault="001B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4FD46C" w14:paraId="44AF924F" w14:textId="77777777" w:rsidTr="5C4FD46C">
      <w:trPr>
        <w:trHeight w:val="300"/>
      </w:trPr>
      <w:tc>
        <w:tcPr>
          <w:tcW w:w="3005" w:type="dxa"/>
        </w:tcPr>
        <w:p w14:paraId="00430994" w14:textId="1A926A03" w:rsidR="5C4FD46C" w:rsidRDefault="5C4FD46C" w:rsidP="5C4FD46C">
          <w:pPr>
            <w:pStyle w:val="Header"/>
            <w:ind w:left="-115"/>
          </w:pPr>
          <w:r>
            <w:rPr>
              <w:noProof/>
            </w:rPr>
            <w:drawing>
              <wp:inline distT="0" distB="0" distL="0" distR="0" wp14:anchorId="0C1F2A8B" wp14:editId="3B78595D">
                <wp:extent cx="1685925" cy="800100"/>
                <wp:effectExtent l="0" t="0" r="0" b="0"/>
                <wp:docPr id="1846922407" name="Picture 1846922407" descr="Early Childhood Care and Development Policy Partnership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22407" name="Picture 1846922407" descr="Early Childhood Care and Development Policy Partnership ">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85925" cy="800100"/>
                        </a:xfrm>
                        <a:prstGeom prst="rect">
                          <a:avLst/>
                        </a:prstGeom>
                      </pic:spPr>
                    </pic:pic>
                  </a:graphicData>
                </a:graphic>
              </wp:inline>
            </w:drawing>
          </w:r>
        </w:p>
      </w:tc>
      <w:tc>
        <w:tcPr>
          <w:tcW w:w="3005" w:type="dxa"/>
        </w:tcPr>
        <w:p w14:paraId="20156AC3" w14:textId="18D907DC" w:rsidR="5C4FD46C" w:rsidRDefault="5C4FD46C" w:rsidP="5C4FD46C">
          <w:pPr>
            <w:pStyle w:val="Header"/>
            <w:jc w:val="center"/>
          </w:pPr>
        </w:p>
      </w:tc>
      <w:tc>
        <w:tcPr>
          <w:tcW w:w="3005" w:type="dxa"/>
        </w:tcPr>
        <w:p w14:paraId="693F8113" w14:textId="53D2AA85" w:rsidR="5C4FD46C" w:rsidRDefault="5C4FD46C" w:rsidP="5C4FD46C">
          <w:pPr>
            <w:pStyle w:val="Header"/>
            <w:ind w:right="-115"/>
            <w:jc w:val="right"/>
          </w:pPr>
        </w:p>
      </w:tc>
    </w:tr>
  </w:tbl>
  <w:p w14:paraId="1F8CBFFF" w14:textId="105F1778" w:rsidR="5C4FD46C" w:rsidRDefault="5C4FD46C" w:rsidP="5C4FD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5A53"/>
    <w:multiLevelType w:val="hybridMultilevel"/>
    <w:tmpl w:val="C22E04AC"/>
    <w:lvl w:ilvl="0" w:tplc="FFFFFFFF">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0FA757"/>
    <w:multiLevelType w:val="hybridMultilevel"/>
    <w:tmpl w:val="B4F24A9E"/>
    <w:lvl w:ilvl="0" w:tplc="12883066">
      <w:start w:val="1"/>
      <w:numFmt w:val="bullet"/>
      <w:lvlText w:val=""/>
      <w:lvlJc w:val="left"/>
      <w:pPr>
        <w:ind w:left="720" w:hanging="360"/>
      </w:pPr>
      <w:rPr>
        <w:rFonts w:ascii="Symbol" w:hAnsi="Symbol" w:hint="default"/>
      </w:rPr>
    </w:lvl>
    <w:lvl w:ilvl="1" w:tplc="12C2E124">
      <w:start w:val="1"/>
      <w:numFmt w:val="bullet"/>
      <w:lvlText w:val="o"/>
      <w:lvlJc w:val="left"/>
      <w:pPr>
        <w:ind w:left="1440" w:hanging="360"/>
      </w:pPr>
      <w:rPr>
        <w:rFonts w:ascii="Courier New" w:hAnsi="Courier New" w:hint="default"/>
      </w:rPr>
    </w:lvl>
    <w:lvl w:ilvl="2" w:tplc="B24806C0">
      <w:start w:val="1"/>
      <w:numFmt w:val="bullet"/>
      <w:lvlText w:val=""/>
      <w:lvlJc w:val="left"/>
      <w:pPr>
        <w:ind w:left="2160" w:hanging="360"/>
      </w:pPr>
      <w:rPr>
        <w:rFonts w:ascii="Wingdings" w:hAnsi="Wingdings" w:hint="default"/>
      </w:rPr>
    </w:lvl>
    <w:lvl w:ilvl="3" w:tplc="5A10984E">
      <w:start w:val="1"/>
      <w:numFmt w:val="bullet"/>
      <w:lvlText w:val=""/>
      <w:lvlJc w:val="left"/>
      <w:pPr>
        <w:ind w:left="2880" w:hanging="360"/>
      </w:pPr>
      <w:rPr>
        <w:rFonts w:ascii="Symbol" w:hAnsi="Symbol" w:hint="default"/>
      </w:rPr>
    </w:lvl>
    <w:lvl w:ilvl="4" w:tplc="671AEA54">
      <w:start w:val="1"/>
      <w:numFmt w:val="bullet"/>
      <w:lvlText w:val="o"/>
      <w:lvlJc w:val="left"/>
      <w:pPr>
        <w:ind w:left="3600" w:hanging="360"/>
      </w:pPr>
      <w:rPr>
        <w:rFonts w:ascii="Courier New" w:hAnsi="Courier New" w:hint="default"/>
      </w:rPr>
    </w:lvl>
    <w:lvl w:ilvl="5" w:tplc="55B0D030">
      <w:start w:val="1"/>
      <w:numFmt w:val="bullet"/>
      <w:lvlText w:val=""/>
      <w:lvlJc w:val="left"/>
      <w:pPr>
        <w:ind w:left="4320" w:hanging="360"/>
      </w:pPr>
      <w:rPr>
        <w:rFonts w:ascii="Wingdings" w:hAnsi="Wingdings" w:hint="default"/>
      </w:rPr>
    </w:lvl>
    <w:lvl w:ilvl="6" w:tplc="6A9A277C">
      <w:start w:val="1"/>
      <w:numFmt w:val="bullet"/>
      <w:lvlText w:val=""/>
      <w:lvlJc w:val="left"/>
      <w:pPr>
        <w:ind w:left="5040" w:hanging="360"/>
      </w:pPr>
      <w:rPr>
        <w:rFonts w:ascii="Symbol" w:hAnsi="Symbol" w:hint="default"/>
      </w:rPr>
    </w:lvl>
    <w:lvl w:ilvl="7" w:tplc="072C7A20">
      <w:start w:val="1"/>
      <w:numFmt w:val="bullet"/>
      <w:lvlText w:val="o"/>
      <w:lvlJc w:val="left"/>
      <w:pPr>
        <w:ind w:left="5760" w:hanging="360"/>
      </w:pPr>
      <w:rPr>
        <w:rFonts w:ascii="Courier New" w:hAnsi="Courier New" w:hint="default"/>
      </w:rPr>
    </w:lvl>
    <w:lvl w:ilvl="8" w:tplc="91282E18">
      <w:start w:val="1"/>
      <w:numFmt w:val="bullet"/>
      <w:lvlText w:val=""/>
      <w:lvlJc w:val="left"/>
      <w:pPr>
        <w:ind w:left="6480" w:hanging="360"/>
      </w:pPr>
      <w:rPr>
        <w:rFonts w:ascii="Wingdings" w:hAnsi="Wingdings" w:hint="default"/>
      </w:rPr>
    </w:lvl>
  </w:abstractNum>
  <w:abstractNum w:abstractNumId="2" w15:restartNumberingAfterBreak="0">
    <w:nsid w:val="48356373"/>
    <w:multiLevelType w:val="hybridMultilevel"/>
    <w:tmpl w:val="0BA62CE2"/>
    <w:lvl w:ilvl="0" w:tplc="2A64832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5772068">
    <w:abstractNumId w:val="1"/>
  </w:num>
  <w:num w:numId="2" w16cid:durableId="1535271188">
    <w:abstractNumId w:val="0"/>
  </w:num>
  <w:num w:numId="3" w16cid:durableId="1738045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78"/>
    <w:rsid w:val="00092741"/>
    <w:rsid w:val="001B4F67"/>
    <w:rsid w:val="005B4AEB"/>
    <w:rsid w:val="00743EEB"/>
    <w:rsid w:val="00B97878"/>
    <w:rsid w:val="00D06400"/>
    <w:rsid w:val="00DC4AC9"/>
    <w:rsid w:val="3622FAE8"/>
    <w:rsid w:val="5C4FD46C"/>
    <w:rsid w:val="637CF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0B89"/>
  <w15:chartTrackingRefBased/>
  <w15:docId w15:val="{C2BF1DE9-DEEE-40C2-836C-88E27D58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78"/>
    <w:pPr>
      <w:spacing w:after="200" w:line="276" w:lineRule="auto"/>
    </w:pPr>
    <w:rPr>
      <w:kern w:val="0"/>
      <w14:ligatures w14:val="none"/>
    </w:rPr>
  </w:style>
  <w:style w:type="paragraph" w:styleId="Heading1">
    <w:name w:val="heading 1"/>
    <w:basedOn w:val="Normal"/>
    <w:next w:val="Normal"/>
    <w:link w:val="Heading1Char"/>
    <w:uiPriority w:val="9"/>
    <w:qFormat/>
    <w:rsid w:val="00B97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8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8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8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8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8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8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8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8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8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8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878"/>
    <w:rPr>
      <w:rFonts w:eastAsiaTheme="majorEastAsia" w:cstheme="majorBidi"/>
      <w:color w:val="272727" w:themeColor="text1" w:themeTint="D8"/>
    </w:rPr>
  </w:style>
  <w:style w:type="paragraph" w:styleId="Title">
    <w:name w:val="Title"/>
    <w:basedOn w:val="Normal"/>
    <w:next w:val="Normal"/>
    <w:link w:val="TitleChar"/>
    <w:uiPriority w:val="10"/>
    <w:qFormat/>
    <w:rsid w:val="00B97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878"/>
    <w:pPr>
      <w:spacing w:before="160"/>
      <w:jc w:val="center"/>
    </w:pPr>
    <w:rPr>
      <w:i/>
      <w:iCs/>
      <w:color w:val="404040" w:themeColor="text1" w:themeTint="BF"/>
    </w:rPr>
  </w:style>
  <w:style w:type="character" w:customStyle="1" w:styleId="QuoteChar">
    <w:name w:val="Quote Char"/>
    <w:basedOn w:val="DefaultParagraphFont"/>
    <w:link w:val="Quote"/>
    <w:uiPriority w:val="29"/>
    <w:rsid w:val="00B97878"/>
    <w:rPr>
      <w:i/>
      <w:iCs/>
      <w:color w:val="404040" w:themeColor="text1" w:themeTint="BF"/>
    </w:rPr>
  </w:style>
  <w:style w:type="paragraph" w:styleId="ListParagraph">
    <w:name w:val="List Paragraph"/>
    <w:aliases w:val="0Bullet,Bullet point,CV text,Dot pt,F5 List Paragraph,FooterText,L,List Bullet 1,List Paragraph1,List Paragraph11,List Paragraph111,List Paragraph2,Medium Grid 1 - Accent 21,NFP GP Bulleted List,Numbered Paragraph,Recommendation,AR bullet"/>
    <w:basedOn w:val="Normal"/>
    <w:link w:val="ListParagraphChar"/>
    <w:uiPriority w:val="34"/>
    <w:qFormat/>
    <w:rsid w:val="00B97878"/>
    <w:pPr>
      <w:ind w:left="720"/>
      <w:contextualSpacing/>
    </w:pPr>
  </w:style>
  <w:style w:type="character" w:styleId="IntenseEmphasis">
    <w:name w:val="Intense Emphasis"/>
    <w:basedOn w:val="DefaultParagraphFont"/>
    <w:uiPriority w:val="21"/>
    <w:qFormat/>
    <w:rsid w:val="00B97878"/>
    <w:rPr>
      <w:i/>
      <w:iCs/>
      <w:color w:val="0F4761" w:themeColor="accent1" w:themeShade="BF"/>
    </w:rPr>
  </w:style>
  <w:style w:type="paragraph" w:styleId="IntenseQuote">
    <w:name w:val="Intense Quote"/>
    <w:basedOn w:val="Normal"/>
    <w:next w:val="Normal"/>
    <w:link w:val="IntenseQuoteChar"/>
    <w:uiPriority w:val="30"/>
    <w:qFormat/>
    <w:rsid w:val="00B97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878"/>
    <w:rPr>
      <w:i/>
      <w:iCs/>
      <w:color w:val="0F4761" w:themeColor="accent1" w:themeShade="BF"/>
    </w:rPr>
  </w:style>
  <w:style w:type="character" w:styleId="IntenseReference">
    <w:name w:val="Intense Reference"/>
    <w:basedOn w:val="DefaultParagraphFont"/>
    <w:uiPriority w:val="32"/>
    <w:qFormat/>
    <w:rsid w:val="00B97878"/>
    <w:rPr>
      <w:b/>
      <w:bCs/>
      <w:smallCaps/>
      <w:color w:val="0F4761" w:themeColor="accent1" w:themeShade="BF"/>
      <w:spacing w:val="5"/>
    </w:rPr>
  </w:style>
  <w:style w:type="table" w:styleId="TableGrid">
    <w:name w:val="Table Grid"/>
    <w:basedOn w:val="TableNormal"/>
    <w:uiPriority w:val="39"/>
    <w:rsid w:val="00B978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0Bullet Char,Bullet point Char,CV text Char,Dot pt Char,F5 List Paragraph Char,FooterText Char,L Char,List Bullet 1 Char,List Paragraph1 Char,List Paragraph11 Char,List Paragraph111 Char,List Paragraph2 Char,NFP GP Bulleted List Char"/>
    <w:link w:val="ListParagraph"/>
    <w:uiPriority w:val="34"/>
    <w:qFormat/>
    <w:locked/>
    <w:rsid w:val="00B97878"/>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4F08DDBFEA8468D9064D1AAB0D10C" ma:contentTypeVersion="13" ma:contentTypeDescription="Create a new document." ma:contentTypeScope="" ma:versionID="46846e72b0e1970fc8f3b6d16326ba1b">
  <xsd:schema xmlns:xsd="http://www.w3.org/2001/XMLSchema" xmlns:xs="http://www.w3.org/2001/XMLSchema" xmlns:p="http://schemas.microsoft.com/office/2006/metadata/properties" xmlns:ns2="f3b222b9-6be1-4d76-8d27-dac6982f980a" xmlns:ns3="d00a08e6-6cb8-498e-808a-2131a09184c1" targetNamespace="http://schemas.microsoft.com/office/2006/metadata/properties" ma:root="true" ma:fieldsID="7a63129bcbdfb9529303ac3e9f3920d0" ns2:_="" ns3:_="">
    <xsd:import namespace="f3b222b9-6be1-4d76-8d27-dac6982f980a"/>
    <xsd:import namespace="d00a08e6-6cb8-498e-808a-2131a09184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22b9-6be1-4d76-8d27-dac6982f9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a08e6-6cb8-498e-808a-2131a09184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7f8940-6a1f-4add-b34a-13a8e1ead3e8}" ma:internalName="TaxCatchAll" ma:showField="CatchAllData" ma:web="d00a08e6-6cb8-498e-808a-2131a0918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0a08e6-6cb8-498e-808a-2131a09184c1" xsi:nil="true"/>
    <lcf76f155ced4ddcb4097134ff3c332f xmlns="f3b222b9-6be1-4d76-8d27-dac6982f98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66F87-5A93-47C1-8F1E-8F1078DA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22b9-6be1-4d76-8d27-dac6982f980a"/>
    <ds:schemaRef ds:uri="d00a08e6-6cb8-498e-808a-2131a0918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CDA09-1E5F-44E7-8540-EE8799F86B8F}">
  <ds:schemaRefs>
    <ds:schemaRef ds:uri="http://schemas.microsoft.com/office/2006/metadata/properties"/>
    <ds:schemaRef ds:uri="http://schemas.microsoft.com/office/infopath/2007/PartnerControls"/>
    <ds:schemaRef ds:uri="d00a08e6-6cb8-498e-808a-2131a09184c1"/>
    <ds:schemaRef ds:uri="f3b222b9-6be1-4d76-8d27-dac6982f980a"/>
  </ds:schemaRefs>
</ds:datastoreItem>
</file>

<file path=customXml/itemProps3.xml><?xml version="1.0" encoding="utf-8"?>
<ds:datastoreItem xmlns:ds="http://schemas.openxmlformats.org/officeDocument/2006/customXml" ds:itemID="{69E34E58-1683-49CF-9ED1-7FE3DABFE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Cross</dc:creator>
  <cp:keywords/>
  <dc:description/>
  <cp:lastModifiedBy>EMM Support</cp:lastModifiedBy>
  <cp:revision>2</cp:revision>
  <dcterms:created xsi:type="dcterms:W3CDTF">2024-09-04T21:01:00Z</dcterms:created>
  <dcterms:modified xsi:type="dcterms:W3CDTF">2024-09-04T21:01:00Z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0x0101009304F08DDBFEA8468D9064D1AAB0D10C</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2024-09-04T20:59:53Z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4fff0b16-4521-4971-98f6-49912c4453ea</vt:lpwstr>
  </property>
  <property fmtid="{D5CDD505-2E9C-101B-9397-08002B2CF9AE}" pid="10" name="MSIP_Label_79d889eb-932f-4752-8739-64d25806ef64_ContentBits">
    <vt:lpwstr>0</vt:lpwstr>
  </property>
</Properties>
</file>