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9A80" w14:textId="76DC168B" w:rsidR="00F24031" w:rsidRPr="00202E76" w:rsidRDefault="00F24031" w:rsidP="00736351">
      <w:pPr>
        <w:keepNext/>
        <w:spacing w:before="480" w:after="180" w:line="240" w:lineRule="auto"/>
        <w:outlineLvl w:val="0"/>
        <w:rPr>
          <w:rFonts w:ascii="Corbel" w:eastAsia="Times New Roman" w:hAnsi="Corbel" w:cs="Consolas"/>
          <w:b/>
          <w:caps/>
          <w:color w:val="316F72"/>
          <w:kern w:val="32"/>
          <w:sz w:val="32"/>
          <w:szCs w:val="32"/>
          <w:lang w:eastAsia="en-AU"/>
        </w:rPr>
      </w:pPr>
      <w:r w:rsidRPr="00202E76">
        <w:rPr>
          <w:rFonts w:ascii="Corbel" w:eastAsia="Times New Roman" w:hAnsi="Corbel" w:cs="Consolas"/>
          <w:b/>
          <w:caps/>
          <w:color w:val="316F72"/>
          <w:kern w:val="32"/>
          <w:sz w:val="32"/>
          <w:szCs w:val="32"/>
          <w:lang w:eastAsia="en-AU"/>
        </w:rPr>
        <w:t xml:space="preserve">Appendix </w:t>
      </w:r>
      <w:r w:rsidR="00AC003C">
        <w:rPr>
          <w:rFonts w:ascii="Corbel" w:eastAsia="Times New Roman" w:hAnsi="Corbel" w:cs="Consolas"/>
          <w:b/>
          <w:caps/>
          <w:color w:val="316F72"/>
          <w:kern w:val="32"/>
          <w:sz w:val="32"/>
          <w:szCs w:val="32"/>
          <w:lang w:eastAsia="en-AU"/>
        </w:rPr>
        <w:t>1</w:t>
      </w:r>
      <w:r w:rsidRPr="00202E76">
        <w:rPr>
          <w:rFonts w:ascii="Corbel" w:eastAsia="Times New Roman" w:hAnsi="Corbel" w:cs="Consolas"/>
          <w:b/>
          <w:caps/>
          <w:color w:val="316F72"/>
          <w:kern w:val="32"/>
          <w:sz w:val="32"/>
          <w:szCs w:val="32"/>
          <w:lang w:eastAsia="en-AU"/>
        </w:rPr>
        <w:t xml:space="preserve">: Bilateral agreement between </w:t>
      </w:r>
      <w:r w:rsidR="006A2A3C">
        <w:rPr>
          <w:rFonts w:ascii="Corbel" w:eastAsia="Times New Roman" w:hAnsi="Corbel" w:cs="Consolas"/>
          <w:b/>
          <w:caps/>
          <w:color w:val="316F72"/>
          <w:kern w:val="32"/>
          <w:sz w:val="32"/>
          <w:szCs w:val="32"/>
          <w:lang w:eastAsia="en-AU"/>
        </w:rPr>
        <w:t>the northern territory</w:t>
      </w:r>
      <w:r w:rsidR="00EF0562">
        <w:rPr>
          <w:rFonts w:ascii="Corbel" w:eastAsia="Times New Roman" w:hAnsi="Corbel" w:cs="Consolas"/>
          <w:b/>
          <w:caps/>
          <w:color w:val="316F72"/>
          <w:kern w:val="32"/>
          <w:sz w:val="32"/>
          <w:szCs w:val="32"/>
          <w:lang w:eastAsia="en-AU"/>
        </w:rPr>
        <w:t xml:space="preserve"> </w:t>
      </w:r>
      <w:r w:rsidRPr="00202E76">
        <w:rPr>
          <w:rFonts w:ascii="Corbel" w:eastAsia="Times New Roman" w:hAnsi="Corbel" w:cs="Consolas"/>
          <w:b/>
          <w:caps/>
          <w:color w:val="316F72"/>
          <w:kern w:val="32"/>
          <w:sz w:val="32"/>
          <w:szCs w:val="32"/>
          <w:lang w:eastAsia="en-AU"/>
        </w:rPr>
        <w:t>and the Commonwealth on schools reform</w:t>
      </w:r>
    </w:p>
    <w:p w14:paraId="7B000054" w14:textId="41A42AEE" w:rsidR="00F24031" w:rsidRPr="00202E76" w:rsidRDefault="00F24031" w:rsidP="0073635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4E155CC3" w14:textId="77777777" w:rsidR="007E1C53" w:rsidRPr="00211AE0"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The Northern Territory and the Commonwealth acknowledge the Traditional Owners of the lands and waters on which Australians live, learn and work, and pay respects to their Elders past, present and emerging.</w:t>
      </w:r>
    </w:p>
    <w:p w14:paraId="24947C95" w14:textId="77777777" w:rsidR="007E1C53" w:rsidRPr="00211AE0"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This agreement satisfies the condition in paragraph 22(2)(b) of the </w:t>
      </w:r>
      <w:r w:rsidRPr="001C083A">
        <w:rPr>
          <w:rFonts w:ascii="Corbel" w:eastAsia="Times New Roman" w:hAnsi="Corbel" w:cs="Calibri"/>
          <w:i/>
          <w:iCs/>
          <w:color w:val="000000"/>
          <w:sz w:val="23"/>
          <w:szCs w:val="23"/>
          <w:lang w:eastAsia="en-AU"/>
        </w:rPr>
        <w:t xml:space="preserve">Australian Education Act 2013 </w:t>
      </w:r>
      <w:r w:rsidRPr="00BC6195">
        <w:rPr>
          <w:rFonts w:ascii="Corbel" w:eastAsia="Times New Roman" w:hAnsi="Corbel" w:cs="Calibri"/>
          <w:color w:val="000000"/>
          <w:sz w:val="23"/>
          <w:szCs w:val="23"/>
          <w:lang w:eastAsia="en-AU"/>
        </w:rPr>
        <w:t xml:space="preserve">(the Act) requiring each State and Territory to be party to an agreement with the Commonwealth relating to the implementation of school education reform. </w:t>
      </w:r>
    </w:p>
    <w:p w14:paraId="6F7C2E80" w14:textId="77777777" w:rsidR="007E1C53" w:rsidRPr="00BC6195"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Aboriginal and Torres Strait Islander cultures and knowledge are fundamental to shaping and improving education systems and outcomes for the Northern Territory’s Aboriginal and Torres Strait Islander students. The Northern Territory and the Commonwealth commit to ensuring that the implementation of this Bilateral Agreement is undertaken in a way that will enliven the priority reforms of the National Agreement on Closing the Gap (Closing the Gap Agreement). </w:t>
      </w:r>
    </w:p>
    <w:p w14:paraId="0A10E48E" w14:textId="77777777" w:rsidR="007E1C53" w:rsidRPr="00BC6195"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The Northern Territory and the Commonwealth acknowledge that Australia has a strong education system, but it can be better and fairer. To do that, governments and school systems need to ensure every student is supported to succeed so that no one is held back or left behind.</w:t>
      </w:r>
    </w:p>
    <w:p w14:paraId="451CDF65" w14:textId="77777777" w:rsidR="007E1C53" w:rsidRPr="00BC6195"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The Northern Territory and the Commonwealth reaffirm their commitment to the vision for Australian schooling outlined in the Alice Springs (Mparntwe) Education Declaration (the Mparntwe Education Declaration) for a world class education system that encourages and supports every student to be the very best they can be, no matter where they live or what kind of learning challenges they may face. </w:t>
      </w:r>
    </w:p>
    <w:p w14:paraId="7FB30E4A" w14:textId="77777777" w:rsidR="007E1C53" w:rsidRPr="00BC6195"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The Northern Territory Government and the Commonwealth signed a Statement of Intent on 13 March 2024. The Bilateral Agreement reflects the Statement of Intent and other commitments negotiated between the Northern Territory and the Commonwealth. </w:t>
      </w:r>
    </w:p>
    <w:p w14:paraId="13381C9B" w14:textId="77777777" w:rsidR="007E1C53" w:rsidRPr="00BC6195"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The Heads of Agreement sets out the shared aspirations and objectives of the Commonwealth, states and territories for education reform. This Bilateral Agreement outlines the actions and activities the Northern Territory will undertake to achieve these shared objectives.     </w:t>
      </w:r>
    </w:p>
    <w:p w14:paraId="6AAE1330" w14:textId="77777777" w:rsidR="007E1C53" w:rsidRPr="00211AE0"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This Bilateral Agreement between the Northern Territory and the Commonwealth will commence on 1 January 2025 and expire on 31 December 2029 unless otherwise agreed. </w:t>
      </w:r>
    </w:p>
    <w:p w14:paraId="33231113" w14:textId="1E909A54" w:rsidR="007E1C53" w:rsidRPr="00BC6195" w:rsidRDefault="007E1C53" w:rsidP="317EA70E">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17EA70E">
        <w:rPr>
          <w:rFonts w:ascii="Corbel" w:eastAsia="Times New Roman" w:hAnsi="Corbel" w:cs="Calibri"/>
          <w:color w:val="000000" w:themeColor="text1"/>
          <w:sz w:val="23"/>
          <w:szCs w:val="23"/>
          <w:lang w:eastAsia="en-AU"/>
        </w:rPr>
        <w:t>Under section 22 of the Act, a bilateral agreement must be in place. Clause 25 of the Heads of Agreement indicates that, following the expiry of this Bilateral Agreement, a new bilateral agreement will commence from 1 January 2030.</w:t>
      </w:r>
    </w:p>
    <w:p w14:paraId="6352CA4F" w14:textId="77777777" w:rsidR="007E1C53" w:rsidRPr="00BC6195"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The terms of this Bilateral Agreement do not limit the Northern Territory’s and the Commonwealth’s ability to agree different terms as part of a future bilateral agreement. </w:t>
      </w:r>
    </w:p>
    <w:p w14:paraId="7A2832AE" w14:textId="77777777" w:rsidR="007E1C53" w:rsidRPr="00BC6195" w:rsidRDefault="007E1C53" w:rsidP="00BC6195">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lastRenderedPageBreak/>
        <w:t>In the event the Commonwealth accepts terms to the agreement that are more favourable in bilateral agreements with other jurisdictions, including but not limited to:</w:t>
      </w:r>
    </w:p>
    <w:p w14:paraId="732D3252" w14:textId="04705CC4" w:rsidR="007E1C53" w:rsidRPr="00BC6195" w:rsidRDefault="007E1C53" w:rsidP="00A2593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 xml:space="preserve">an adjustment to the measurement of state funding contribution included in another </w:t>
      </w:r>
      <w:r w:rsidR="00724012" w:rsidRPr="00BC6195">
        <w:rPr>
          <w:rFonts w:ascii="Corbel" w:eastAsia="Times New Roman" w:hAnsi="Corbel" w:cs="Calibri"/>
          <w:color w:val="000000"/>
          <w:sz w:val="23"/>
          <w:szCs w:val="23"/>
          <w:lang w:eastAsia="en-AU"/>
        </w:rPr>
        <w:t>jurisdiction’s</w:t>
      </w:r>
      <w:r w:rsidRPr="00BC6195">
        <w:rPr>
          <w:rFonts w:ascii="Corbel" w:eastAsia="Times New Roman" w:hAnsi="Corbel" w:cs="Calibri"/>
          <w:color w:val="000000"/>
          <w:sz w:val="23"/>
          <w:szCs w:val="23"/>
          <w:lang w:eastAsia="en-AU"/>
        </w:rPr>
        <w:t xml:space="preserve"> bilateral agreement, or </w:t>
      </w:r>
    </w:p>
    <w:p w14:paraId="27F07066" w14:textId="0B804904" w:rsidR="007E1C53" w:rsidRPr="00BC6195" w:rsidRDefault="007E1C53" w:rsidP="00A2593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any agreement the Commonwealth makes with any other state or territory, which favourably impacts on that state’s financial contributions or risk sharing arrangements under the agreement,</w:t>
      </w:r>
    </w:p>
    <w:p w14:paraId="0A932A6D" w14:textId="0CE0CE19" w:rsidR="007E1C53" w:rsidRPr="00A25938" w:rsidRDefault="007E1C53" w:rsidP="00A2593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C6195">
        <w:rPr>
          <w:rFonts w:ascii="Corbel" w:eastAsia="Times New Roman" w:hAnsi="Corbel" w:cs="Calibri"/>
          <w:color w:val="000000"/>
          <w:sz w:val="23"/>
          <w:szCs w:val="23"/>
          <w:lang w:eastAsia="en-AU"/>
        </w:rPr>
        <w:t>any other additional Commonwealth funding for any other state or territory agreed as part of a Better and Fairer Schools Agreement,</w:t>
      </w:r>
    </w:p>
    <w:p w14:paraId="0C5210FD" w14:textId="36EEFCD1" w:rsidR="00901A6F" w:rsidRPr="00815EDA" w:rsidRDefault="007E1C53" w:rsidP="00815EDA">
      <w:pPr>
        <w:pStyle w:val="ListParagraph"/>
        <w:tabs>
          <w:tab w:val="left" w:pos="426"/>
        </w:tabs>
        <w:spacing w:after="240" w:line="260" w:lineRule="exact"/>
        <w:ind w:left="425"/>
        <w:contextualSpacing w:val="0"/>
        <w:jc w:val="both"/>
        <w:rPr>
          <w:rFonts w:ascii="Corbel" w:eastAsia="Times New Roman" w:hAnsi="Corbel" w:cs="Calibri"/>
          <w:color w:val="000000"/>
          <w:sz w:val="23"/>
          <w:szCs w:val="23"/>
          <w:lang w:eastAsia="en-AU"/>
        </w:rPr>
      </w:pPr>
      <w:r w:rsidRPr="00F1740B">
        <w:rPr>
          <w:rFonts w:ascii="Corbel" w:eastAsia="Times New Roman" w:hAnsi="Corbel" w:cs="Calibri"/>
          <w:color w:val="000000"/>
          <w:sz w:val="23"/>
          <w:szCs w:val="23"/>
          <w:lang w:eastAsia="en-AU"/>
        </w:rPr>
        <w:t xml:space="preserve">then these terms will also be made available to </w:t>
      </w:r>
      <w:r>
        <w:rPr>
          <w:rFonts w:ascii="Corbel" w:eastAsia="Times New Roman" w:hAnsi="Corbel" w:cs="Calibri"/>
          <w:color w:val="000000"/>
          <w:sz w:val="23"/>
          <w:szCs w:val="23"/>
          <w:lang w:eastAsia="en-AU"/>
        </w:rPr>
        <w:t>the Northern Territory</w:t>
      </w:r>
      <w:r w:rsidRPr="00F1740B">
        <w:rPr>
          <w:rFonts w:ascii="Corbel" w:eastAsia="Times New Roman" w:hAnsi="Corbel" w:cs="Calibri"/>
          <w:color w:val="000000"/>
          <w:sz w:val="23"/>
          <w:szCs w:val="23"/>
          <w:lang w:eastAsia="en-AU"/>
        </w:rPr>
        <w:t xml:space="preserve"> and this agreement will be updated to take into account the adjustment or material change to circumstance. This </w:t>
      </w:r>
      <w:r>
        <w:rPr>
          <w:rFonts w:ascii="Corbel" w:eastAsia="Times New Roman" w:hAnsi="Corbel" w:cs="Calibri"/>
          <w:color w:val="000000"/>
          <w:sz w:val="23"/>
          <w:szCs w:val="23"/>
          <w:lang w:eastAsia="en-AU"/>
        </w:rPr>
        <w:t>B</w:t>
      </w:r>
      <w:r w:rsidRPr="00F1740B">
        <w:rPr>
          <w:rFonts w:ascii="Corbel" w:eastAsia="Times New Roman" w:hAnsi="Corbel" w:cs="Calibri"/>
          <w:color w:val="000000"/>
          <w:sz w:val="23"/>
          <w:szCs w:val="23"/>
          <w:lang w:eastAsia="en-AU"/>
        </w:rPr>
        <w:t xml:space="preserve">ilateral </w:t>
      </w:r>
      <w:r>
        <w:rPr>
          <w:rFonts w:ascii="Corbel" w:eastAsia="Times New Roman" w:hAnsi="Corbel" w:cs="Calibri"/>
          <w:color w:val="000000"/>
          <w:sz w:val="23"/>
          <w:szCs w:val="23"/>
          <w:lang w:eastAsia="en-AU"/>
        </w:rPr>
        <w:t>A</w:t>
      </w:r>
      <w:r w:rsidRPr="00F1740B">
        <w:rPr>
          <w:rFonts w:ascii="Corbel" w:eastAsia="Times New Roman" w:hAnsi="Corbel" w:cs="Calibri"/>
          <w:color w:val="000000"/>
          <w:sz w:val="23"/>
          <w:szCs w:val="23"/>
          <w:lang w:eastAsia="en-AU"/>
        </w:rPr>
        <w:t xml:space="preserve">greement may also be updated through agreement with the Commonwealth if there is a material change in the </w:t>
      </w:r>
      <w:r w:rsidR="00171BA6">
        <w:rPr>
          <w:rFonts w:ascii="Corbel" w:eastAsia="Times New Roman" w:hAnsi="Corbel" w:cs="Calibri"/>
          <w:color w:val="000000"/>
          <w:sz w:val="23"/>
          <w:szCs w:val="23"/>
          <w:lang w:eastAsia="en-AU"/>
        </w:rPr>
        <w:t xml:space="preserve">Northern </w:t>
      </w:r>
      <w:r w:rsidR="00FA7A34">
        <w:rPr>
          <w:rFonts w:ascii="Corbel" w:eastAsia="Times New Roman" w:hAnsi="Corbel" w:cs="Calibri"/>
          <w:color w:val="000000"/>
          <w:sz w:val="23"/>
          <w:szCs w:val="23"/>
          <w:lang w:eastAsia="en-AU"/>
        </w:rPr>
        <w:t>T</w:t>
      </w:r>
      <w:r w:rsidR="0009646C">
        <w:rPr>
          <w:rFonts w:ascii="Corbel" w:eastAsia="Times New Roman" w:hAnsi="Corbel" w:cs="Calibri"/>
          <w:color w:val="000000"/>
          <w:sz w:val="23"/>
          <w:szCs w:val="23"/>
          <w:lang w:eastAsia="en-AU"/>
        </w:rPr>
        <w:t>erritory’s</w:t>
      </w:r>
      <w:r w:rsidR="00853890">
        <w:rPr>
          <w:rFonts w:ascii="Corbel" w:eastAsia="Times New Roman" w:hAnsi="Corbel" w:cs="Calibri"/>
          <w:color w:val="000000"/>
          <w:sz w:val="23"/>
          <w:szCs w:val="23"/>
          <w:lang w:eastAsia="en-AU"/>
        </w:rPr>
        <w:t xml:space="preserve"> </w:t>
      </w:r>
      <w:r w:rsidRPr="00F1740B">
        <w:rPr>
          <w:rFonts w:ascii="Corbel" w:eastAsia="Times New Roman" w:hAnsi="Corbel" w:cs="Calibri"/>
          <w:color w:val="000000"/>
          <w:sz w:val="23"/>
          <w:szCs w:val="23"/>
          <w:lang w:eastAsia="en-AU"/>
        </w:rPr>
        <w:t xml:space="preserve">circumstances, beyond its reasonable control, which will affect </w:t>
      </w:r>
      <w:r>
        <w:rPr>
          <w:rFonts w:ascii="Corbel" w:eastAsia="Times New Roman" w:hAnsi="Corbel" w:cs="Calibri"/>
          <w:color w:val="000000"/>
          <w:sz w:val="23"/>
          <w:szCs w:val="23"/>
          <w:lang w:eastAsia="en-AU"/>
        </w:rPr>
        <w:t xml:space="preserve">the Northern Territory’s </w:t>
      </w:r>
      <w:r w:rsidRPr="00F1740B">
        <w:rPr>
          <w:rFonts w:ascii="Corbel" w:eastAsia="Times New Roman" w:hAnsi="Corbel" w:cs="Calibri"/>
          <w:color w:val="000000"/>
          <w:sz w:val="23"/>
          <w:szCs w:val="23"/>
          <w:lang w:eastAsia="en-AU"/>
        </w:rPr>
        <w:t>fiscal position or the recognition of the state’s funding contribution.</w:t>
      </w:r>
    </w:p>
    <w:p w14:paraId="5F35B41A" w14:textId="52E2F5BB" w:rsidR="00815EDA" w:rsidRPr="00292C97" w:rsidRDefault="00815EDA" w:rsidP="00292C97">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Territory</w:t>
      </w:r>
      <w:r w:rsidR="00901A6F">
        <w:rPr>
          <w:rFonts w:ascii="Corbel" w:eastAsia="Times New Roman" w:hAnsi="Corbel" w:cs="Corbel"/>
          <w:b/>
          <w:bCs/>
          <w:color w:val="316F72"/>
          <w:sz w:val="28"/>
          <w:szCs w:val="28"/>
          <w:lang w:eastAsia="en-AU"/>
        </w:rPr>
        <w:t xml:space="preserve"> Reform context</w:t>
      </w:r>
    </w:p>
    <w:p w14:paraId="57087092" w14:textId="3A0F0658" w:rsidR="001C083A" w:rsidRPr="001C083A"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 xml:space="preserve">The Northern Territory Department of Education is on a journey to be the most improving education system in Australia and is committed to a strong and equitable public education system where every child has the opportunity to engage, grow and achieve. </w:t>
      </w:r>
    </w:p>
    <w:p w14:paraId="79D38241" w14:textId="77777777" w:rsidR="001C083A" w:rsidRPr="001C083A" w:rsidRDefault="001C083A" w:rsidP="00620B8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The Northern Territory schooling system operates in Australia's most challenging socio</w:t>
      </w:r>
      <w:r w:rsidRPr="001C083A">
        <w:rPr>
          <w:rFonts w:ascii="Corbel" w:eastAsia="Times New Roman" w:hAnsi="Corbel" w:cs="Calibri"/>
          <w:color w:val="000000"/>
          <w:sz w:val="23"/>
          <w:szCs w:val="23"/>
          <w:lang w:eastAsia="en-AU"/>
        </w:rPr>
        <w:noBreakHyphen/>
        <w:t xml:space="preserve">economic and geographic context, requiring significant expertise and resources to deliver quality education for all. </w:t>
      </w:r>
    </w:p>
    <w:p w14:paraId="4238E310" w14:textId="77777777" w:rsidR="001C083A" w:rsidRPr="001C083A"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 xml:space="preserve">The Northern Territory Government is committed to ensuring that every child in the Northern Territory has the best start to life, and through school education, gains a bright future, regardless of where they live. The non-government schooling sector contributes educational choice and diversity by providing students, families and communities options for learning approaches, faith and philosophy. In addition, Homelands Learning Centres are an important part of life for many Aboriginal people in the Northern Territory, representing an active decision to live on traditional lands with social, cultural and economic significance to them. </w:t>
      </w:r>
    </w:p>
    <w:p w14:paraId="1B6BA293" w14:textId="666888B3" w:rsidR="001C083A" w:rsidRPr="001C083A"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 xml:space="preserve">The </w:t>
      </w:r>
      <w:r w:rsidRPr="00292C97">
        <w:rPr>
          <w:rFonts w:ascii="Corbel" w:eastAsia="Times New Roman" w:hAnsi="Corbel" w:cs="Calibri"/>
          <w:i/>
          <w:iCs/>
          <w:color w:val="000000"/>
          <w:sz w:val="23"/>
          <w:szCs w:val="23"/>
          <w:lang w:eastAsia="en-AU"/>
        </w:rPr>
        <w:t>NT Education Engagement Strategy 2022 to 2031</w:t>
      </w:r>
      <w:r w:rsidRPr="00D6400D">
        <w:rPr>
          <w:rFonts w:ascii="Corbel" w:eastAsia="Times New Roman" w:hAnsi="Corbel" w:cs="Calibri"/>
          <w:color w:val="000000"/>
          <w:sz w:val="23"/>
          <w:szCs w:val="23"/>
          <w:lang w:eastAsia="en-AU"/>
        </w:rPr>
        <w:t>,</w:t>
      </w:r>
      <w:r w:rsidRPr="001C083A">
        <w:rPr>
          <w:rFonts w:ascii="Corbel" w:eastAsia="Times New Roman" w:hAnsi="Corbel" w:cs="Calibri"/>
          <w:color w:val="000000"/>
          <w:sz w:val="23"/>
          <w:szCs w:val="23"/>
          <w:lang w:eastAsia="en-AU"/>
        </w:rPr>
        <w:t xml:space="preserve"> developed through public consultation for all education sectors (government and non-government), states that for successful engagement in education, educators must listen, develop trust and collaborate with families, with communities and most of all, with our children and students. The Strategy sets out four foundation elements that need to be in place in educational programs to engage young people in learning: aligned beliefs and motivations; respectful and caring relationship</w:t>
      </w:r>
      <w:r w:rsidR="00E9384A">
        <w:rPr>
          <w:rFonts w:ascii="Corbel" w:eastAsia="Times New Roman" w:hAnsi="Corbel" w:cs="Calibri"/>
          <w:color w:val="000000"/>
          <w:sz w:val="23"/>
          <w:szCs w:val="23"/>
          <w:lang w:eastAsia="en-AU"/>
        </w:rPr>
        <w:t>s</w:t>
      </w:r>
      <w:r w:rsidRPr="001C083A">
        <w:rPr>
          <w:rFonts w:ascii="Corbel" w:eastAsia="Times New Roman" w:hAnsi="Corbel" w:cs="Calibri"/>
          <w:color w:val="000000"/>
          <w:sz w:val="23"/>
          <w:szCs w:val="23"/>
          <w:lang w:eastAsia="en-AU"/>
        </w:rPr>
        <w:t xml:space="preserve">; recognition and inclusion of families’ identity and culture; and safe, supportive and inclusive learning environments. The strategy identifies four goals to increase engagement of children and young people in education: strengthening partnerships with families and communities; ensuring educators are well equipped to support the needs of young people; providing meaningful learning and attending to the emotional, social, psychological and physical needs of the learner. </w:t>
      </w:r>
    </w:p>
    <w:p w14:paraId="0B489901" w14:textId="332C4C26" w:rsidR="001C083A" w:rsidRPr="001C083A"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Implementation of the N</w:t>
      </w:r>
      <w:r w:rsidR="00612728">
        <w:rPr>
          <w:rFonts w:ascii="Corbel" w:eastAsia="Times New Roman" w:hAnsi="Corbel" w:cs="Calibri"/>
          <w:color w:val="000000"/>
          <w:sz w:val="23"/>
          <w:szCs w:val="23"/>
          <w:lang w:eastAsia="en-AU"/>
        </w:rPr>
        <w:t xml:space="preserve">orthern </w:t>
      </w:r>
      <w:r w:rsidRPr="001C083A">
        <w:rPr>
          <w:rFonts w:ascii="Corbel" w:eastAsia="Times New Roman" w:hAnsi="Corbel" w:cs="Calibri"/>
          <w:color w:val="000000"/>
          <w:sz w:val="23"/>
          <w:szCs w:val="23"/>
          <w:lang w:eastAsia="en-AU"/>
        </w:rPr>
        <w:t>T</w:t>
      </w:r>
      <w:r w:rsidR="00612728">
        <w:rPr>
          <w:rFonts w:ascii="Corbel" w:eastAsia="Times New Roman" w:hAnsi="Corbel" w:cs="Calibri"/>
          <w:color w:val="000000"/>
          <w:sz w:val="23"/>
          <w:szCs w:val="23"/>
          <w:lang w:eastAsia="en-AU"/>
        </w:rPr>
        <w:t>erritory</w:t>
      </w:r>
      <w:r w:rsidRPr="001C083A">
        <w:rPr>
          <w:rFonts w:ascii="Corbel" w:eastAsia="Times New Roman" w:hAnsi="Corbel" w:cs="Calibri"/>
          <w:color w:val="000000"/>
          <w:sz w:val="23"/>
          <w:szCs w:val="23"/>
          <w:lang w:eastAsia="en-AU"/>
        </w:rPr>
        <w:t xml:space="preserve">’s </w:t>
      </w:r>
      <w:r w:rsidRPr="00292C97">
        <w:rPr>
          <w:rFonts w:ascii="Corbel" w:eastAsia="Times New Roman" w:hAnsi="Corbel" w:cs="Calibri"/>
          <w:i/>
          <w:iCs/>
          <w:color w:val="000000"/>
          <w:sz w:val="23"/>
          <w:szCs w:val="23"/>
          <w:lang w:eastAsia="en-AU"/>
        </w:rPr>
        <w:t>Education Engagement Strategy</w:t>
      </w:r>
      <w:r w:rsidRPr="001C083A">
        <w:rPr>
          <w:rFonts w:ascii="Corbel" w:eastAsia="Times New Roman" w:hAnsi="Corbel" w:cs="Calibri"/>
          <w:color w:val="000000"/>
          <w:sz w:val="23"/>
          <w:szCs w:val="23"/>
          <w:lang w:eastAsia="en-AU"/>
        </w:rPr>
        <w:t xml:space="preserve"> outlines establishing an Aboriginal education peak body to capture Aboriginal perspectives on </w:t>
      </w:r>
      <w:r w:rsidRPr="001C083A">
        <w:rPr>
          <w:rFonts w:ascii="Corbel" w:eastAsia="Times New Roman" w:hAnsi="Corbel" w:cs="Calibri"/>
          <w:color w:val="000000"/>
          <w:sz w:val="23"/>
          <w:szCs w:val="23"/>
          <w:lang w:eastAsia="en-AU"/>
        </w:rPr>
        <w:lastRenderedPageBreak/>
        <w:t xml:space="preserve">matters of policy development and program delivery to progress Closing the Gap reforms. It builds mechanisms for hearing student voice through the Northern Territory Learning Commission and establishes a Youth Voice Crew. </w:t>
      </w:r>
    </w:p>
    <w:p w14:paraId="7B22664B" w14:textId="689E2A45" w:rsidR="001C083A" w:rsidRPr="00211AE0"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 xml:space="preserve">Reform of early childhood education and school education in the Northern Territory is underpinned by </w:t>
      </w:r>
      <w:r w:rsidRPr="005740AF">
        <w:rPr>
          <w:rFonts w:ascii="Corbel" w:eastAsia="Times New Roman" w:hAnsi="Corbel" w:cs="Calibri"/>
          <w:color w:val="000000"/>
          <w:sz w:val="23"/>
          <w:szCs w:val="23"/>
          <w:lang w:eastAsia="en-AU"/>
        </w:rPr>
        <w:t xml:space="preserve">the </w:t>
      </w:r>
      <w:r w:rsidRPr="00881F10">
        <w:rPr>
          <w:rFonts w:ascii="Corbel" w:eastAsia="Times New Roman" w:hAnsi="Corbel" w:cs="Calibri"/>
          <w:i/>
          <w:iCs/>
          <w:color w:val="000000"/>
          <w:sz w:val="23"/>
          <w:szCs w:val="23"/>
          <w:lang w:eastAsia="en-AU"/>
        </w:rPr>
        <w:t>Education NT Strategy 2021-25</w:t>
      </w:r>
      <w:r w:rsidRPr="001C083A">
        <w:rPr>
          <w:rFonts w:ascii="Corbel" w:eastAsia="Times New Roman" w:hAnsi="Corbel" w:cs="Calibri"/>
          <w:color w:val="000000"/>
          <w:sz w:val="23"/>
          <w:szCs w:val="23"/>
          <w:lang w:eastAsia="en-AU"/>
        </w:rPr>
        <w:t xml:space="preserve">. The </w:t>
      </w:r>
      <w:r w:rsidR="005A64A2">
        <w:rPr>
          <w:rFonts w:ascii="Corbel" w:eastAsia="Times New Roman" w:hAnsi="Corbel" w:cs="Calibri"/>
          <w:color w:val="000000"/>
          <w:sz w:val="23"/>
          <w:szCs w:val="23"/>
          <w:lang w:eastAsia="en-AU"/>
        </w:rPr>
        <w:t>s</w:t>
      </w:r>
      <w:r w:rsidRPr="001C083A">
        <w:rPr>
          <w:rFonts w:ascii="Corbel" w:eastAsia="Times New Roman" w:hAnsi="Corbel" w:cs="Calibri"/>
          <w:color w:val="000000"/>
          <w:sz w:val="23"/>
          <w:szCs w:val="23"/>
          <w:lang w:eastAsia="en-AU"/>
        </w:rPr>
        <w:t>trategy sets out a commitment to a strong public education system that promotes excellence and equity and supports every child to become confident and creative individuals, successful lifelong learners and informed members of the community. It includes seven system priorities:</w:t>
      </w:r>
    </w:p>
    <w:p w14:paraId="71BB4E85" w14:textId="5F8F7E6D" w:rsidR="001C083A" w:rsidRPr="001C083A" w:rsidRDefault="00612DF0" w:rsidP="00881F1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001C083A" w:rsidRPr="001C083A">
        <w:rPr>
          <w:rFonts w:ascii="Corbel" w:eastAsia="Times New Roman" w:hAnsi="Corbel" w:cs="Calibri"/>
          <w:color w:val="000000"/>
          <w:sz w:val="23"/>
          <w:szCs w:val="23"/>
          <w:lang w:eastAsia="en-AU"/>
        </w:rPr>
        <w:t>trengthen instruction for young Territorians through systematic curriculum delivery, knowing our learners, and effective pedagogical practices.</w:t>
      </w:r>
    </w:p>
    <w:p w14:paraId="39C02726" w14:textId="466F782F" w:rsidR="001C083A" w:rsidRPr="001C083A" w:rsidRDefault="00612DF0" w:rsidP="00881F1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C083A" w:rsidRPr="001C083A">
        <w:rPr>
          <w:rFonts w:ascii="Corbel" w:eastAsia="Times New Roman" w:hAnsi="Corbel" w:cs="Calibri"/>
          <w:color w:val="000000"/>
          <w:sz w:val="23"/>
          <w:szCs w:val="23"/>
          <w:lang w:eastAsia="en-AU"/>
        </w:rPr>
        <w:t>mprove cultural responsiveness.</w:t>
      </w:r>
    </w:p>
    <w:p w14:paraId="1BAAA6C3" w14:textId="050BBDF2" w:rsidR="001C083A" w:rsidRPr="001C083A" w:rsidRDefault="00612DF0" w:rsidP="00881F1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1C083A" w:rsidRPr="001C083A">
        <w:rPr>
          <w:rFonts w:ascii="Corbel" w:eastAsia="Times New Roman" w:hAnsi="Corbel" w:cs="Calibri"/>
          <w:color w:val="000000"/>
          <w:sz w:val="23"/>
          <w:szCs w:val="23"/>
          <w:lang w:eastAsia="en-AU"/>
        </w:rPr>
        <w:t>ngage every child and student in learning.</w:t>
      </w:r>
    </w:p>
    <w:p w14:paraId="7CCC4507" w14:textId="6261843E" w:rsidR="001C083A" w:rsidRPr="001C083A" w:rsidRDefault="00612DF0" w:rsidP="00881F1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B</w:t>
      </w:r>
      <w:r w:rsidR="001C083A" w:rsidRPr="001C083A">
        <w:rPr>
          <w:rFonts w:ascii="Corbel" w:eastAsia="Times New Roman" w:hAnsi="Corbel" w:cs="Calibri"/>
          <w:color w:val="000000"/>
          <w:sz w:val="23"/>
          <w:szCs w:val="23"/>
          <w:lang w:eastAsia="en-AU"/>
        </w:rPr>
        <w:t>uilding the foundations for learning.</w:t>
      </w:r>
    </w:p>
    <w:p w14:paraId="4381149B" w14:textId="772E9AAD" w:rsidR="001C083A" w:rsidRPr="001C083A" w:rsidRDefault="00612DF0" w:rsidP="00881F1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001C083A" w:rsidRPr="001C083A">
        <w:rPr>
          <w:rFonts w:ascii="Corbel" w:eastAsia="Times New Roman" w:hAnsi="Corbel" w:cs="Calibri"/>
          <w:color w:val="000000"/>
          <w:sz w:val="23"/>
          <w:szCs w:val="23"/>
          <w:lang w:eastAsia="en-AU"/>
        </w:rPr>
        <w:t>upport successful transitions beyond schooling.</w:t>
      </w:r>
    </w:p>
    <w:p w14:paraId="4A0049E9" w14:textId="1D56EDC1" w:rsidR="001C083A" w:rsidRPr="001C083A" w:rsidRDefault="00612DF0" w:rsidP="00881F1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B</w:t>
      </w:r>
      <w:r w:rsidR="001C083A" w:rsidRPr="001C083A">
        <w:rPr>
          <w:rFonts w:ascii="Corbel" w:eastAsia="Times New Roman" w:hAnsi="Corbel" w:cs="Calibri"/>
          <w:color w:val="000000"/>
          <w:sz w:val="23"/>
          <w:szCs w:val="23"/>
          <w:lang w:eastAsia="en-AU"/>
        </w:rPr>
        <w:t>uilding an expert education workforce.</w:t>
      </w:r>
    </w:p>
    <w:p w14:paraId="0820540D" w14:textId="2FE46CBA" w:rsidR="001C083A" w:rsidRPr="001C083A" w:rsidRDefault="00612DF0" w:rsidP="00881F1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1C083A" w:rsidRPr="001C083A">
        <w:rPr>
          <w:rFonts w:ascii="Corbel" w:eastAsia="Times New Roman" w:hAnsi="Corbel" w:cs="Calibri"/>
          <w:color w:val="000000"/>
          <w:sz w:val="23"/>
          <w:szCs w:val="23"/>
          <w:lang w:eastAsia="en-AU"/>
        </w:rPr>
        <w:t>rovide differentiated support for ECEC services, schools and communities.</w:t>
      </w:r>
    </w:p>
    <w:p w14:paraId="5B45397C" w14:textId="77777777" w:rsidR="001C083A" w:rsidRPr="001C083A"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 xml:space="preserve">The </w:t>
      </w:r>
      <w:r w:rsidRPr="00940AEF">
        <w:rPr>
          <w:rFonts w:ascii="Corbel" w:eastAsia="Times New Roman" w:hAnsi="Corbel" w:cs="Calibri"/>
          <w:i/>
          <w:iCs/>
          <w:color w:val="000000"/>
          <w:sz w:val="23"/>
          <w:szCs w:val="23"/>
          <w:lang w:eastAsia="en-AU"/>
        </w:rPr>
        <w:t>Education NT Strategy 2021-25</w:t>
      </w:r>
      <w:r w:rsidRPr="001C083A">
        <w:rPr>
          <w:rFonts w:ascii="Corbel" w:eastAsia="Times New Roman" w:hAnsi="Corbel" w:cs="Calibri"/>
          <w:color w:val="000000"/>
          <w:sz w:val="23"/>
          <w:szCs w:val="23"/>
          <w:lang w:eastAsia="en-AU"/>
        </w:rPr>
        <w:t xml:space="preserve"> set out strategic actions such as:</w:t>
      </w:r>
    </w:p>
    <w:p w14:paraId="09BB1DD2" w14:textId="4D584110" w:rsidR="001C083A" w:rsidRPr="001C083A" w:rsidRDefault="00EA018C" w:rsidP="00940AEF">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C083A" w:rsidRPr="001C083A">
        <w:rPr>
          <w:rFonts w:ascii="Corbel" w:eastAsia="Times New Roman" w:hAnsi="Corbel" w:cs="Calibri"/>
          <w:color w:val="000000"/>
          <w:sz w:val="23"/>
          <w:szCs w:val="23"/>
          <w:lang w:eastAsia="en-AU"/>
        </w:rPr>
        <w:t xml:space="preserve">mplementing the </w:t>
      </w:r>
      <w:r w:rsidR="001C083A" w:rsidRPr="005740AF">
        <w:rPr>
          <w:rFonts w:ascii="Corbel" w:eastAsia="Times New Roman" w:hAnsi="Corbel" w:cs="Calibri"/>
          <w:i/>
          <w:iCs/>
          <w:color w:val="000000"/>
          <w:sz w:val="23"/>
          <w:szCs w:val="23"/>
          <w:lang w:eastAsia="en-AU"/>
        </w:rPr>
        <w:t>NT Education Leadership Strategy</w:t>
      </w:r>
      <w:r w:rsidR="001C083A" w:rsidRPr="001C083A">
        <w:rPr>
          <w:rFonts w:ascii="Corbel" w:eastAsia="Times New Roman" w:hAnsi="Corbel" w:cs="Calibri"/>
          <w:color w:val="000000"/>
          <w:sz w:val="23"/>
          <w:szCs w:val="23"/>
          <w:lang w:eastAsia="en-AU"/>
        </w:rPr>
        <w:t xml:space="preserve"> which supports continuous school improvement across the system through the identification, development and support of an expert education workforce at each stage or their careers.</w:t>
      </w:r>
    </w:p>
    <w:p w14:paraId="6A73B79C" w14:textId="157F96C3" w:rsidR="001C083A" w:rsidRPr="001C083A" w:rsidRDefault="00EA018C" w:rsidP="00940AEF">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C083A" w:rsidRPr="001C083A">
        <w:rPr>
          <w:rFonts w:ascii="Corbel" w:eastAsia="Times New Roman" w:hAnsi="Corbel" w:cs="Calibri"/>
          <w:color w:val="000000"/>
          <w:sz w:val="23"/>
          <w:szCs w:val="23"/>
          <w:lang w:eastAsia="en-AU"/>
        </w:rPr>
        <w:t xml:space="preserve">mplementing the </w:t>
      </w:r>
      <w:r w:rsidR="001C083A" w:rsidRPr="00940AEF">
        <w:rPr>
          <w:rFonts w:ascii="Corbel" w:eastAsia="Times New Roman" w:hAnsi="Corbel" w:cs="Calibri"/>
          <w:i/>
          <w:iCs/>
          <w:color w:val="000000"/>
          <w:sz w:val="23"/>
          <w:szCs w:val="23"/>
          <w:lang w:eastAsia="en-AU"/>
        </w:rPr>
        <w:t>Framework for Inclusion 2019-2029</w:t>
      </w:r>
      <w:r w:rsidR="001C083A" w:rsidRPr="001C083A">
        <w:rPr>
          <w:rFonts w:ascii="Corbel" w:eastAsia="Times New Roman" w:hAnsi="Corbel" w:cs="Calibri"/>
          <w:color w:val="000000"/>
          <w:sz w:val="23"/>
          <w:szCs w:val="23"/>
          <w:lang w:eastAsia="en-AU"/>
        </w:rPr>
        <w:t xml:space="preserve"> which facilitates a whole-of-school whole-of-system approach to student wellbeing and equitable access to inclusive education. Phase 2 of implementation of the Framework for Inclusion will be developed and implemented over the life of this Bilateral Agreement.  </w:t>
      </w:r>
    </w:p>
    <w:p w14:paraId="7457CFF5" w14:textId="77777777" w:rsidR="001C083A" w:rsidRPr="001C083A" w:rsidRDefault="001C083A" w:rsidP="00940AEF">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740AF">
        <w:rPr>
          <w:rFonts w:ascii="Corbel" w:eastAsia="Times New Roman" w:hAnsi="Corbel" w:cs="Calibri"/>
          <w:i/>
          <w:iCs/>
          <w:color w:val="000000"/>
          <w:sz w:val="23"/>
          <w:szCs w:val="23"/>
          <w:lang w:eastAsia="en-AU"/>
        </w:rPr>
        <w:t>Review of Secondary Education in the Northern Territory</w:t>
      </w:r>
      <w:r w:rsidRPr="001C083A">
        <w:rPr>
          <w:rFonts w:ascii="Corbel" w:eastAsia="Times New Roman" w:hAnsi="Corbel" w:cs="Calibri"/>
          <w:color w:val="000000"/>
          <w:sz w:val="23"/>
          <w:szCs w:val="23"/>
          <w:lang w:eastAsia="en-AU"/>
        </w:rPr>
        <w:t xml:space="preserve"> and the </w:t>
      </w:r>
      <w:r w:rsidRPr="005740AF">
        <w:rPr>
          <w:rFonts w:ascii="Corbel" w:eastAsia="Times New Roman" w:hAnsi="Corbel" w:cs="Calibri"/>
          <w:i/>
          <w:iCs/>
          <w:color w:val="000000"/>
          <w:sz w:val="23"/>
          <w:szCs w:val="23"/>
          <w:lang w:eastAsia="en-AU"/>
        </w:rPr>
        <w:t>Review of Effective Enrolment in the Northern Territory</w:t>
      </w:r>
      <w:r w:rsidRPr="001C083A">
        <w:rPr>
          <w:rFonts w:ascii="Corbel" w:eastAsia="Times New Roman" w:hAnsi="Corbel" w:cs="Calibri"/>
          <w:color w:val="000000"/>
          <w:sz w:val="23"/>
          <w:szCs w:val="23"/>
          <w:lang w:eastAsia="en-AU"/>
        </w:rPr>
        <w:t>, which the Northern Territory Department of Education has committed to implementing its response to the recommendations of both by the end of 2029.</w:t>
      </w:r>
    </w:p>
    <w:p w14:paraId="67D1E69C" w14:textId="33911BE1" w:rsidR="001C083A" w:rsidRPr="001C083A"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740AF">
        <w:rPr>
          <w:rFonts w:ascii="Corbel" w:eastAsia="Times New Roman" w:hAnsi="Corbel" w:cs="Calibri"/>
          <w:i/>
          <w:iCs/>
          <w:color w:val="000000"/>
          <w:sz w:val="23"/>
          <w:szCs w:val="23"/>
          <w:lang w:eastAsia="en-AU"/>
        </w:rPr>
        <w:t>The Review of Secondary Education in the NT</w:t>
      </w:r>
      <w:r w:rsidRPr="001C083A">
        <w:rPr>
          <w:rFonts w:ascii="Corbel" w:eastAsia="Times New Roman" w:hAnsi="Corbel" w:cs="Calibri"/>
          <w:color w:val="000000"/>
          <w:sz w:val="23"/>
          <w:szCs w:val="23"/>
          <w:lang w:eastAsia="en-AU"/>
        </w:rPr>
        <w:t xml:space="preserve"> recommended that the Northern Territory Government “work with the Commonwealth Government to improve visibility of student enrolments, and explore opportunities for ABSTUDY funding that enables delivery of innovative boarding models and supports improved outcomes.” This includes the Commonwealth exploring ways that student outcome data for N</w:t>
      </w:r>
      <w:r w:rsidR="008C50C9">
        <w:rPr>
          <w:rFonts w:ascii="Corbel" w:eastAsia="Times New Roman" w:hAnsi="Corbel" w:cs="Calibri"/>
          <w:color w:val="000000"/>
          <w:sz w:val="23"/>
          <w:szCs w:val="23"/>
          <w:lang w:eastAsia="en-AU"/>
        </w:rPr>
        <w:t xml:space="preserve">orthern </w:t>
      </w:r>
      <w:r w:rsidRPr="001C083A">
        <w:rPr>
          <w:rFonts w:ascii="Corbel" w:eastAsia="Times New Roman" w:hAnsi="Corbel" w:cs="Calibri"/>
          <w:color w:val="000000"/>
          <w:sz w:val="23"/>
          <w:szCs w:val="23"/>
          <w:lang w:eastAsia="en-AU"/>
        </w:rPr>
        <w:t>T</w:t>
      </w:r>
      <w:r w:rsidR="008C50C9">
        <w:rPr>
          <w:rFonts w:ascii="Corbel" w:eastAsia="Times New Roman" w:hAnsi="Corbel" w:cs="Calibri"/>
          <w:color w:val="000000"/>
          <w:sz w:val="23"/>
          <w:szCs w:val="23"/>
          <w:lang w:eastAsia="en-AU"/>
        </w:rPr>
        <w:t>erritory</w:t>
      </w:r>
      <w:r w:rsidRPr="001C083A">
        <w:rPr>
          <w:rFonts w:ascii="Corbel" w:eastAsia="Times New Roman" w:hAnsi="Corbel" w:cs="Calibri"/>
          <w:color w:val="000000"/>
          <w:sz w:val="23"/>
          <w:szCs w:val="23"/>
          <w:lang w:eastAsia="en-AU"/>
        </w:rPr>
        <w:t xml:space="preserve"> students residing at interstate boarding schools can be accessed by the Northern Territory to improve policy and service delivery design.  </w:t>
      </w:r>
    </w:p>
    <w:p w14:paraId="7A88CB34" w14:textId="77777777" w:rsidR="001C083A" w:rsidRPr="001C083A" w:rsidRDefault="001C083A" w:rsidP="001C083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The next Northern Territory Education Strategy will be developed throughout 2024-2025.</w:t>
      </w:r>
    </w:p>
    <w:p w14:paraId="4B18BFAB" w14:textId="2AA6C5C5" w:rsidR="009D422C" w:rsidRPr="005F342C" w:rsidRDefault="001C083A" w:rsidP="005F342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C083A">
        <w:rPr>
          <w:rFonts w:ascii="Corbel" w:eastAsia="Times New Roman" w:hAnsi="Corbel" w:cs="Calibri"/>
          <w:color w:val="000000"/>
          <w:sz w:val="23"/>
          <w:szCs w:val="23"/>
          <w:lang w:eastAsia="en-AU"/>
        </w:rPr>
        <w:t xml:space="preserve">The activities listed above are provided for context and are not considered part of this Bilateral Agreement for the purposes of paragraphs 22(2)(b) and (c) of the Act. </w:t>
      </w:r>
      <w:r w:rsidR="009D422C" w:rsidRPr="005F342C">
        <w:rPr>
          <w:rFonts w:ascii="Corbel" w:eastAsia="Times New Roman" w:hAnsi="Corbel" w:cs="Calibri"/>
          <w:color w:val="000000"/>
          <w:sz w:val="23"/>
          <w:szCs w:val="23"/>
          <w:lang w:eastAsia="en-AU"/>
        </w:rPr>
        <w:br w:type="page"/>
      </w:r>
    </w:p>
    <w:p w14:paraId="6E748D8D" w14:textId="0600831E" w:rsidR="00EB1708" w:rsidRDefault="00EB1708">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1 </w:t>
      </w:r>
      <w:r w:rsidR="00E32F4B" w:rsidRPr="7D2E62D3">
        <w:rPr>
          <w:rFonts w:ascii="Corbel" w:eastAsia="Times New Roman" w:hAnsi="Corbel" w:cs="Corbel"/>
          <w:b/>
          <w:bCs/>
          <w:color w:val="316F72"/>
          <w:sz w:val="32"/>
          <w:szCs w:val="32"/>
          <w:lang w:eastAsia="en-AU"/>
        </w:rPr>
        <w:t xml:space="preserve">— </w:t>
      </w:r>
      <w:r w:rsidRPr="00BE36B9">
        <w:rPr>
          <w:rFonts w:ascii="Corbel" w:eastAsia="Times New Roman" w:hAnsi="Corbel" w:cs="Consolas"/>
          <w:b/>
          <w:caps/>
          <w:color w:val="316F72"/>
          <w:kern w:val="32"/>
          <w:sz w:val="32"/>
          <w:szCs w:val="32"/>
          <w:lang w:eastAsia="en-AU"/>
        </w:rPr>
        <w:t>PURPOSE,</w:t>
      </w:r>
      <w:r w:rsidR="00E32F4B">
        <w:rPr>
          <w:rFonts w:ascii="Corbel" w:eastAsia="Times New Roman" w:hAnsi="Corbel" w:cs="Consolas"/>
          <w:b/>
          <w:caps/>
          <w:color w:val="316F72"/>
          <w:kern w:val="32"/>
          <w:sz w:val="32"/>
          <w:szCs w:val="32"/>
          <w:lang w:eastAsia="en-AU"/>
        </w:rPr>
        <w:t xml:space="preserve"> </w:t>
      </w:r>
      <w:r w:rsidRPr="00BE36B9">
        <w:rPr>
          <w:rFonts w:ascii="Corbel" w:eastAsia="Times New Roman" w:hAnsi="Corbel" w:cs="Consolas"/>
          <w:b/>
          <w:caps/>
          <w:color w:val="316F72"/>
          <w:kern w:val="32"/>
          <w:sz w:val="32"/>
          <w:szCs w:val="32"/>
          <w:lang w:eastAsia="en-AU"/>
        </w:rPr>
        <w:t>OBJECTIVES, OUTCOMES AND IMPROVEMENT MEASURES</w:t>
      </w:r>
    </w:p>
    <w:p w14:paraId="619E6064" w14:textId="682E2667" w:rsidR="009D422C" w:rsidRPr="001F01BC" w:rsidRDefault="00A27030" w:rsidP="001F01BC">
      <w:pPr>
        <w:spacing w:after="160" w:line="259" w:lineRule="auto"/>
        <w:rPr>
          <w:rFonts w:ascii="Corbel" w:eastAsia="Times New Roman" w:hAnsi="Corbel" w:cs="Consolas"/>
          <w:b/>
          <w:caps/>
          <w:color w:val="316F72"/>
          <w:kern w:val="32"/>
          <w:sz w:val="32"/>
          <w:szCs w:val="32"/>
          <w:lang w:eastAsia="en-AU"/>
        </w:rPr>
      </w:pPr>
      <w:r>
        <w:rPr>
          <w:rFonts w:ascii="Corbel" w:eastAsia="Times New Roman" w:hAnsi="Corbel" w:cs="Corbel"/>
          <w:b/>
          <w:bCs/>
          <w:color w:val="316F72"/>
          <w:sz w:val="28"/>
          <w:szCs w:val="28"/>
          <w:lang w:eastAsia="en-AU"/>
        </w:rPr>
        <w:t>O</w:t>
      </w:r>
      <w:r w:rsidRPr="00A27030">
        <w:rPr>
          <w:rFonts w:ascii="Corbel" w:eastAsia="Times New Roman" w:hAnsi="Corbel" w:cs="Corbel"/>
          <w:b/>
          <w:bCs/>
          <w:color w:val="316F72"/>
          <w:sz w:val="28"/>
          <w:szCs w:val="28"/>
          <w:lang w:eastAsia="en-AU"/>
        </w:rPr>
        <w:t>bjectives</w:t>
      </w:r>
      <w:r>
        <w:rPr>
          <w:rFonts w:ascii="Corbel" w:eastAsia="Times New Roman" w:hAnsi="Corbel" w:cs="Consolas"/>
          <w:b/>
          <w:caps/>
          <w:color w:val="316F72"/>
          <w:kern w:val="32"/>
          <w:sz w:val="32"/>
          <w:szCs w:val="32"/>
          <w:lang w:eastAsia="en-AU"/>
        </w:rPr>
        <w:t xml:space="preserve"> </w:t>
      </w:r>
    </w:p>
    <w:p w14:paraId="05BA3753" w14:textId="77777777" w:rsidR="00095C81" w:rsidRPr="00095C81" w:rsidDel="00DC752A" w:rsidRDefault="00095C81" w:rsidP="00095C81">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C81">
        <w:rPr>
          <w:rFonts w:ascii="Corbel" w:eastAsia="Times New Roman" w:hAnsi="Corbel" w:cs="Calibri"/>
          <w:color w:val="000000"/>
          <w:sz w:val="23"/>
          <w:szCs w:val="23"/>
          <w:lang w:eastAsia="en-AU"/>
        </w:rPr>
        <w:t xml:space="preserve">The Northern Territory and the Commonwealth acknowledge that a high-quality school education is critical to ensuring that the Northern Territory’s students will succeed in an increasingly complex world. Australia’s future stability and economic prosperity is reliant on a high-quality, equitable and inclusive school system. </w:t>
      </w:r>
    </w:p>
    <w:p w14:paraId="53E91722" w14:textId="77777777" w:rsidR="00095C81" w:rsidRPr="001467DF" w:rsidRDefault="00095C81" w:rsidP="00095C81">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C81">
        <w:rPr>
          <w:rFonts w:ascii="Corbel" w:eastAsia="Times New Roman" w:hAnsi="Corbel" w:cs="Calibri"/>
          <w:color w:val="000000"/>
          <w:sz w:val="23"/>
          <w:szCs w:val="23"/>
          <w:lang w:eastAsia="en-AU"/>
        </w:rPr>
        <w:t xml:space="preserve">This Bilateral Agreement sets out the reform activities to be undertaken during its term to give effect to national objectives, outcomes, priorities and reforms outlined in the Heads of </w:t>
      </w:r>
      <w:r w:rsidRPr="001467DF">
        <w:rPr>
          <w:rFonts w:ascii="Corbel" w:eastAsia="Times New Roman" w:hAnsi="Corbel" w:cs="Calibri"/>
          <w:color w:val="000000"/>
          <w:sz w:val="23"/>
          <w:szCs w:val="23"/>
          <w:lang w:eastAsia="en-AU"/>
        </w:rPr>
        <w:t xml:space="preserve">Agreement. </w:t>
      </w:r>
    </w:p>
    <w:p w14:paraId="40134668" w14:textId="054DA6E9" w:rsidR="005319CA" w:rsidRPr="001467DF" w:rsidRDefault="005319CA" w:rsidP="00095C81">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467DF">
        <w:rPr>
          <w:rFonts w:ascii="Corbel" w:eastAsia="Times New Roman" w:hAnsi="Corbel" w:cs="Calibri"/>
          <w:color w:val="000000"/>
          <w:sz w:val="23"/>
          <w:szCs w:val="23"/>
          <w:lang w:eastAsia="en-AU"/>
        </w:rPr>
        <w:t>As per Clause 65 of the Heads of Agreement, the Parties seek to deliver upon the following objectives:</w:t>
      </w:r>
    </w:p>
    <w:p w14:paraId="39D819FF" w14:textId="77777777" w:rsidR="0093333C" w:rsidRPr="001467DF" w:rsidRDefault="0093333C" w:rsidP="00570EF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467DF">
        <w:rPr>
          <w:rFonts w:ascii="Corbel" w:eastAsia="Times New Roman" w:hAnsi="Corbel" w:cs="Calibri"/>
          <w:color w:val="000000"/>
          <w:sz w:val="23"/>
          <w:szCs w:val="23"/>
          <w:u w:val="single"/>
          <w:lang w:eastAsia="en-AU"/>
        </w:rPr>
        <w:t>Equity and excellence</w:t>
      </w:r>
      <w:r w:rsidRPr="001467DF">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326A0E66" w14:textId="77777777" w:rsidR="0093333C" w:rsidRPr="001467DF" w:rsidRDefault="0093333C" w:rsidP="00570EF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467DF">
        <w:rPr>
          <w:rFonts w:ascii="Corbel" w:eastAsia="Times New Roman" w:hAnsi="Corbel" w:cs="Calibri"/>
          <w:color w:val="000000"/>
          <w:sz w:val="23"/>
          <w:szCs w:val="23"/>
          <w:u w:val="single"/>
          <w:lang w:eastAsia="en-AU"/>
        </w:rPr>
        <w:t>Wellbeing for learning and engagement</w:t>
      </w:r>
      <w:r w:rsidRPr="001467DF">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18F84C7F" w14:textId="29B732D4" w:rsidR="0093333C" w:rsidRPr="001467DF" w:rsidDel="00DC752A" w:rsidRDefault="0093333C" w:rsidP="00570EF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467DF">
        <w:rPr>
          <w:rFonts w:ascii="Corbel" w:eastAsia="Times New Roman" w:hAnsi="Corbel" w:cs="Calibri"/>
          <w:color w:val="000000"/>
          <w:sz w:val="23"/>
          <w:szCs w:val="23"/>
          <w:u w:val="single"/>
          <w:lang w:eastAsia="en-AU"/>
        </w:rPr>
        <w:t>A strong and sustainable workforce</w:t>
      </w:r>
      <w:r w:rsidRPr="001467DF">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30296518" w14:textId="77777777" w:rsidR="00095C81" w:rsidRPr="00095C81" w:rsidRDefault="00095C81" w:rsidP="00095C81">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C81">
        <w:rPr>
          <w:rFonts w:ascii="Corbel" w:eastAsia="Times New Roman" w:hAnsi="Corbel" w:cs="Calibri"/>
          <w:color w:val="000000"/>
          <w:sz w:val="23"/>
          <w:szCs w:val="23"/>
          <w:lang w:eastAsia="en-AU"/>
        </w:rPr>
        <w:t xml:space="preserve">This Bilateral Agreement also establishes the Northern Territory’s ambition against the national Improvement Measures specified in the Heads of Agreement. </w:t>
      </w:r>
    </w:p>
    <w:p w14:paraId="3F181938" w14:textId="3284D258" w:rsidR="00095C81" w:rsidRPr="00095C81" w:rsidDel="00DC752A" w:rsidRDefault="00095C81" w:rsidP="00095C81">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C81">
        <w:rPr>
          <w:rFonts w:ascii="Corbel" w:eastAsia="Times New Roman" w:hAnsi="Corbel" w:cs="Calibri"/>
          <w:color w:val="000000"/>
          <w:sz w:val="23"/>
          <w:szCs w:val="23"/>
          <w:lang w:eastAsia="en-AU"/>
        </w:rPr>
        <w:t>Both the Northern Territory and the Commonwealth are responsible for working together to achieve the Objectives, Outcomes and Improvement Measures of this Agreement. While the Northern Territory and the Commonwealth are committed to this, Commonwealth funding to the Northern Territory under the Act is not conditional on the achievement of these Objectives, Outcomes and Improvement measures.</w:t>
      </w:r>
    </w:p>
    <w:p w14:paraId="0E82AE8B" w14:textId="2BA3002D" w:rsidR="00EE4971" w:rsidRPr="00041E61" w:rsidRDefault="006652DA" w:rsidP="00041E61">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Improvement Measures</w:t>
      </w:r>
    </w:p>
    <w:p w14:paraId="1A5C8FC1" w14:textId="77777777" w:rsidR="00F61404" w:rsidRPr="00F61404" w:rsidRDefault="00F61404" w:rsidP="00F61404">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61404">
        <w:rPr>
          <w:rFonts w:ascii="Corbel" w:eastAsia="Times New Roman" w:hAnsi="Corbel" w:cs="Calibri"/>
          <w:color w:val="000000"/>
          <w:sz w:val="23"/>
          <w:szCs w:val="23"/>
          <w:lang w:eastAsia="en-AU"/>
        </w:rPr>
        <w:t>The Northern Territory commits to:</w:t>
      </w:r>
    </w:p>
    <w:p w14:paraId="6C03913D" w14:textId="7E7F66D9" w:rsidR="00F61404" w:rsidRPr="00F61404" w:rsidRDefault="00F61404" w:rsidP="00041E61">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61404">
        <w:rPr>
          <w:rFonts w:ascii="Corbel" w:eastAsia="Times New Roman" w:hAnsi="Corbel" w:cs="Calibri"/>
          <w:color w:val="000000"/>
          <w:sz w:val="23"/>
          <w:szCs w:val="23"/>
          <w:lang w:eastAsia="en-AU"/>
        </w:rPr>
        <w:t>the national Improvement Measures outlined in the Heads of Agreement and to pursuing continuous (i.e. year on year) improvement in these measures in the Northern Territory context</w:t>
      </w:r>
    </w:p>
    <w:p w14:paraId="5FE7BEDB" w14:textId="537DE004" w:rsidR="00F61404" w:rsidRPr="00F61404" w:rsidRDefault="00F61404" w:rsidP="00464BE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61404">
        <w:rPr>
          <w:rFonts w:ascii="Corbel" w:eastAsia="Times New Roman" w:hAnsi="Corbel" w:cs="Calibri"/>
          <w:color w:val="000000"/>
          <w:sz w:val="23"/>
          <w:szCs w:val="23"/>
          <w:lang w:eastAsia="en-AU"/>
        </w:rPr>
        <w:t>targets against the national Improvement Measures, as specified below, tak</w:t>
      </w:r>
      <w:r w:rsidR="004D08C2">
        <w:rPr>
          <w:rFonts w:ascii="Corbel" w:eastAsia="Times New Roman" w:hAnsi="Corbel" w:cs="Calibri"/>
          <w:color w:val="000000"/>
          <w:sz w:val="23"/>
          <w:szCs w:val="23"/>
          <w:lang w:eastAsia="en-AU"/>
        </w:rPr>
        <w:t>ing</w:t>
      </w:r>
      <w:r w:rsidRPr="00F61404">
        <w:rPr>
          <w:rFonts w:ascii="Corbel" w:eastAsia="Times New Roman" w:hAnsi="Corbel" w:cs="Calibri"/>
          <w:color w:val="000000"/>
          <w:sz w:val="23"/>
          <w:szCs w:val="23"/>
          <w:lang w:eastAsia="en-AU"/>
        </w:rPr>
        <w:t xml:space="preserve"> into account the Northern Territory’s unique context and starting position to set an ambitious, yet achievable measure of improvement for the duration of this Bilateral Agreement.</w:t>
      </w:r>
    </w:p>
    <w:p w14:paraId="5891AE66" w14:textId="77777777" w:rsidR="00F61404" w:rsidRPr="00F61404" w:rsidRDefault="00F61404" w:rsidP="00F61404">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61404">
        <w:rPr>
          <w:rFonts w:ascii="Corbel" w:eastAsia="Times New Roman" w:hAnsi="Corbel" w:cs="Calibri"/>
          <w:color w:val="000000"/>
          <w:sz w:val="23"/>
          <w:szCs w:val="23"/>
          <w:lang w:eastAsia="en-AU"/>
        </w:rPr>
        <w:lastRenderedPageBreak/>
        <w:t>Table 1 below illustrates the Northern Territory’s jurisdiction specific targets, which will contribute to the achievement of the national Improvement Measures.</w:t>
      </w:r>
    </w:p>
    <w:p w14:paraId="67DC6CE6" w14:textId="77777777" w:rsidR="00F61404" w:rsidRPr="00F61404" w:rsidRDefault="00F61404" w:rsidP="00F61404">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61404">
        <w:rPr>
          <w:rFonts w:ascii="Corbel" w:eastAsia="Times New Roman" w:hAnsi="Corbel" w:cs="Calibri"/>
          <w:color w:val="000000"/>
          <w:sz w:val="23"/>
          <w:szCs w:val="23"/>
          <w:lang w:eastAsia="en-AU"/>
        </w:rPr>
        <w:t xml:space="preserve">Unless otherwise indicated in the guidelines issued for Annual Implementation Reports (see Part 4 of this Bilateral Agreement), the Commonwealth will collect the Northern Territory’s data for the purposes of national reporting from existing data collections. </w:t>
      </w:r>
    </w:p>
    <w:p w14:paraId="0E4A9856" w14:textId="1902E5CD" w:rsidR="00F61404" w:rsidRPr="00F61404" w:rsidRDefault="00F61404" w:rsidP="00F61404">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61404">
        <w:rPr>
          <w:rFonts w:ascii="Corbel" w:eastAsia="Times New Roman" w:hAnsi="Corbel" w:cs="Calibri"/>
          <w:color w:val="000000"/>
          <w:sz w:val="23"/>
          <w:szCs w:val="23"/>
          <w:lang w:eastAsia="en-AU"/>
        </w:rPr>
        <w:t xml:space="preserve">As outlined in Part 5 of </w:t>
      </w:r>
      <w:r w:rsidR="002329F3">
        <w:rPr>
          <w:rFonts w:ascii="Corbel" w:eastAsia="Times New Roman" w:hAnsi="Corbel" w:cs="Calibri"/>
          <w:color w:val="000000"/>
          <w:sz w:val="23"/>
          <w:szCs w:val="23"/>
          <w:lang w:eastAsia="en-AU"/>
        </w:rPr>
        <w:t>the Heads of Agreement</w:t>
      </w:r>
      <w:r w:rsidRPr="00F61404">
        <w:rPr>
          <w:rFonts w:ascii="Corbel" w:eastAsia="Times New Roman" w:hAnsi="Corbel" w:cs="Calibri"/>
          <w:color w:val="000000"/>
          <w:sz w:val="23"/>
          <w:szCs w:val="23"/>
          <w:lang w:eastAsia="en-AU"/>
        </w:rPr>
        <w:t xml:space="preserve">, the Commonwealth will publicly report on the Northern Territory’s progress against the Improvement Measures in an education dashboard. This reporting will: </w:t>
      </w:r>
    </w:p>
    <w:p w14:paraId="5EC2DA7B" w14:textId="54E2D2EA" w:rsidR="00F61404" w:rsidRPr="00F61404" w:rsidRDefault="003C5D74" w:rsidP="00464BE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F61404" w:rsidRPr="00F61404">
        <w:rPr>
          <w:rFonts w:ascii="Corbel" w:eastAsia="Times New Roman" w:hAnsi="Corbel" w:cs="Calibri"/>
          <w:color w:val="000000"/>
          <w:sz w:val="23"/>
          <w:szCs w:val="23"/>
          <w:lang w:eastAsia="en-AU"/>
        </w:rPr>
        <w:t>ndicate the Northern Territory’s direction of travel against the national targets outlined in the Heads of Agreement (i.e. improving, no change, or worsening)</w:t>
      </w:r>
      <w:r>
        <w:rPr>
          <w:rFonts w:ascii="Corbel" w:eastAsia="Times New Roman" w:hAnsi="Corbel" w:cs="Calibri"/>
          <w:color w:val="000000"/>
          <w:sz w:val="23"/>
          <w:szCs w:val="23"/>
          <w:lang w:eastAsia="en-AU"/>
        </w:rPr>
        <w:t>.</w:t>
      </w:r>
    </w:p>
    <w:p w14:paraId="74448635" w14:textId="61B45787" w:rsidR="00F61404" w:rsidRPr="00F61404" w:rsidRDefault="003C5D74" w:rsidP="00464BE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F61404" w:rsidRPr="00F61404">
        <w:rPr>
          <w:rFonts w:ascii="Corbel" w:eastAsia="Times New Roman" w:hAnsi="Corbel" w:cs="Calibri"/>
          <w:color w:val="000000"/>
          <w:sz w:val="23"/>
          <w:szCs w:val="23"/>
          <w:lang w:eastAsia="en-AU"/>
        </w:rPr>
        <w:t xml:space="preserve">nclude numerical values for the Northern Territory’s </w:t>
      </w:r>
      <w:r w:rsidR="00FC419D">
        <w:rPr>
          <w:rFonts w:ascii="Corbel" w:eastAsia="Times New Roman" w:hAnsi="Corbel" w:cs="Calibri"/>
          <w:color w:val="000000"/>
          <w:sz w:val="23"/>
          <w:szCs w:val="23"/>
          <w:lang w:eastAsia="en-AU"/>
        </w:rPr>
        <w:t xml:space="preserve">jurisdiction specific </w:t>
      </w:r>
      <w:r w:rsidR="00F61404" w:rsidRPr="00F61404">
        <w:rPr>
          <w:rFonts w:ascii="Corbel" w:eastAsia="Times New Roman" w:hAnsi="Corbel" w:cs="Calibri"/>
          <w:color w:val="000000"/>
          <w:sz w:val="23"/>
          <w:szCs w:val="23"/>
          <w:lang w:eastAsia="en-AU"/>
        </w:rPr>
        <w:t>targets outlined in Table 1 of this Bilateral Agreement.</w:t>
      </w:r>
    </w:p>
    <w:p w14:paraId="03DDA42E" w14:textId="77777777" w:rsidR="00F61404" w:rsidRPr="00F61404" w:rsidRDefault="00F61404" w:rsidP="2702AE40">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702AE40">
        <w:rPr>
          <w:rFonts w:ascii="Corbel" w:eastAsia="Times New Roman" w:hAnsi="Corbel" w:cs="Calibri"/>
          <w:color w:val="000000" w:themeColor="text1"/>
          <w:sz w:val="23"/>
          <w:szCs w:val="23"/>
          <w:lang w:eastAsia="en-AU"/>
        </w:rPr>
        <w:t>As per clauses 73 and 74 of the Heads of Agreement, priority equity cohorts include Aboriginal and Torres Strait Islander students, students living in regional, rural and remote locations, students with disability and students from educationally disadvantaged backgrounds. The Northern Territory and the Commonwealth agree that Improvement Measures will be disaggregated by cohorts where available, noting that for the Northern Territory all students are classified as priority equity cohorts.</w:t>
      </w:r>
    </w:p>
    <w:p w14:paraId="4EC79E40" w14:textId="5A74E2E8" w:rsidR="00531BE6" w:rsidRDefault="00F61404" w:rsidP="00741276">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61404">
        <w:rPr>
          <w:rFonts w:ascii="Corbel" w:eastAsia="Times New Roman" w:hAnsi="Corbel" w:cs="Calibri"/>
          <w:color w:val="000000"/>
          <w:sz w:val="23"/>
          <w:szCs w:val="23"/>
          <w:lang w:eastAsia="en-AU"/>
        </w:rPr>
        <w:t>The Northern Territory and Commonwealth agree to improving the accuracy of the Year 12 certification measures for the Northern Territory articulated in Table 1.</w:t>
      </w:r>
    </w:p>
    <w:p w14:paraId="371DC793" w14:textId="6EEAC422" w:rsidR="00CE6B27" w:rsidRPr="00B82E28" w:rsidRDefault="00CE6B27" w:rsidP="00CE6B27">
      <w:pPr>
        <w:spacing w:after="120" w:line="260" w:lineRule="exact"/>
        <w:jc w:val="both"/>
        <w:rPr>
          <w:rFonts w:ascii="Corbel" w:eastAsia="Times New Roman" w:hAnsi="Corbel" w:cs="Calibri"/>
          <w:i/>
          <w:iCs/>
          <w:sz w:val="23"/>
          <w:szCs w:val="23"/>
          <w:lang w:eastAsia="en-AU"/>
        </w:rPr>
      </w:pPr>
      <w:r w:rsidRPr="00B82E28">
        <w:rPr>
          <w:rFonts w:ascii="Corbel" w:eastAsia="Times New Roman" w:hAnsi="Corbel" w:cs="Calibri"/>
          <w:i/>
          <w:iCs/>
          <w:sz w:val="23"/>
          <w:szCs w:val="23"/>
          <w:lang w:eastAsia="en-AU"/>
        </w:rPr>
        <w:t xml:space="preserve">Table 1: </w:t>
      </w:r>
      <w:r w:rsidR="00B82E28" w:rsidRPr="00B82E28">
        <w:rPr>
          <w:rFonts w:ascii="Corbel" w:eastAsia="Times New Roman" w:hAnsi="Corbel" w:cs="Calibri"/>
          <w:i/>
          <w:iCs/>
          <w:sz w:val="23"/>
          <w:szCs w:val="23"/>
          <w:lang w:eastAsia="en-AU"/>
        </w:rPr>
        <w:t xml:space="preserve">the </w:t>
      </w:r>
      <w:r w:rsidRPr="00B82E28">
        <w:rPr>
          <w:rFonts w:ascii="Corbel" w:eastAsia="Times New Roman" w:hAnsi="Corbel" w:cs="Calibri"/>
          <w:i/>
          <w:iCs/>
          <w:sz w:val="23"/>
          <w:szCs w:val="23"/>
          <w:lang w:eastAsia="en-AU"/>
        </w:rPr>
        <w:t>Northern Territory’s targets against the Improvement Measures</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5"/>
        <w:gridCol w:w="6870"/>
      </w:tblGrid>
      <w:tr w:rsidR="00CE6B27" w:rsidRPr="00211AE0" w14:paraId="4540F603" w14:textId="77777777" w:rsidTr="00F33F9F">
        <w:trPr>
          <w:trHeight w:val="300"/>
        </w:trPr>
        <w:tc>
          <w:tcPr>
            <w:tcW w:w="2145" w:type="dxa"/>
            <w:tcBorders>
              <w:top w:val="single" w:sz="8" w:space="0" w:color="auto"/>
              <w:left w:val="single" w:sz="8" w:space="0" w:color="auto"/>
              <w:bottom w:val="single" w:sz="8" w:space="0" w:color="auto"/>
              <w:right w:val="single" w:sz="8" w:space="0" w:color="auto"/>
            </w:tcBorders>
          </w:tcPr>
          <w:p w14:paraId="0C7E1A1D" w14:textId="77777777" w:rsidR="00CE6B27" w:rsidRPr="00211AE0" w:rsidRDefault="00CE6B27" w:rsidP="00F33F9F">
            <w:pPr>
              <w:spacing w:after="0"/>
              <w:rPr>
                <w:rFonts w:ascii="Corbel" w:eastAsia="Corbel" w:hAnsi="Corbel"/>
                <w:color w:val="000000" w:themeColor="text1"/>
              </w:rPr>
            </w:pPr>
            <w:r w:rsidRPr="00211AE0">
              <w:rPr>
                <w:rFonts w:ascii="Corbel" w:eastAsia="Corbel" w:hAnsi="Corbel"/>
                <w:b/>
                <w:bCs/>
                <w:color w:val="000000" w:themeColor="text1"/>
              </w:rPr>
              <w:t>Priority area</w:t>
            </w:r>
            <w:r w:rsidRPr="00211AE0">
              <w:rPr>
                <w:rFonts w:ascii="Corbel" w:eastAsia="Corbel" w:hAnsi="Corbel"/>
                <w:color w:val="000000" w:themeColor="text1"/>
              </w:rPr>
              <w:t xml:space="preserve"> </w:t>
            </w:r>
          </w:p>
        </w:tc>
        <w:tc>
          <w:tcPr>
            <w:tcW w:w="6870" w:type="dxa"/>
            <w:tcBorders>
              <w:top w:val="single" w:sz="8" w:space="0" w:color="auto"/>
              <w:left w:val="single" w:sz="8" w:space="0" w:color="auto"/>
              <w:bottom w:val="single" w:sz="8" w:space="0" w:color="auto"/>
              <w:right w:val="single" w:sz="8" w:space="0" w:color="auto"/>
            </w:tcBorders>
          </w:tcPr>
          <w:p w14:paraId="5CBC777E" w14:textId="77777777" w:rsidR="00CE6B27" w:rsidRPr="00D84E41" w:rsidRDefault="00CE6B27" w:rsidP="00F33F9F">
            <w:pPr>
              <w:spacing w:after="0"/>
              <w:rPr>
                <w:rFonts w:ascii="Corbel" w:eastAsia="Corbel" w:hAnsi="Corbel"/>
                <w:color w:val="000000" w:themeColor="text1"/>
                <w:sz w:val="23"/>
                <w:szCs w:val="23"/>
              </w:rPr>
            </w:pPr>
            <w:r w:rsidRPr="00D84E41">
              <w:rPr>
                <w:rFonts w:ascii="Corbel" w:eastAsia="Corbel" w:hAnsi="Corbel"/>
                <w:b/>
                <w:color w:val="000000" w:themeColor="text1"/>
                <w:sz w:val="23"/>
                <w:szCs w:val="23"/>
              </w:rPr>
              <w:t>Northern Territory’s targets against the National Improvement Measures</w:t>
            </w:r>
          </w:p>
        </w:tc>
      </w:tr>
      <w:tr w:rsidR="00CE6B27" w:rsidRPr="00211AE0" w14:paraId="1EF13E6E" w14:textId="77777777" w:rsidTr="00F33F9F">
        <w:trPr>
          <w:trHeight w:val="1260"/>
        </w:trPr>
        <w:tc>
          <w:tcPr>
            <w:tcW w:w="2145" w:type="dxa"/>
            <w:vMerge w:val="restart"/>
            <w:tcBorders>
              <w:top w:val="single" w:sz="8" w:space="0" w:color="auto"/>
              <w:left w:val="single" w:sz="8" w:space="0" w:color="auto"/>
              <w:right w:val="single" w:sz="8" w:space="0" w:color="auto"/>
            </w:tcBorders>
          </w:tcPr>
          <w:p w14:paraId="682AB7BD" w14:textId="77777777" w:rsidR="00CE6B27" w:rsidRPr="00211AE0" w:rsidRDefault="00CE6B27" w:rsidP="00F33F9F">
            <w:pPr>
              <w:spacing w:after="0"/>
              <w:rPr>
                <w:rFonts w:ascii="Corbel" w:eastAsia="Corbel" w:hAnsi="Corbel"/>
                <w:color w:val="000000" w:themeColor="text1"/>
              </w:rPr>
            </w:pPr>
            <w:r w:rsidRPr="00211AE0">
              <w:rPr>
                <w:rFonts w:ascii="Corbel" w:eastAsia="Corbel" w:hAnsi="Corbel"/>
                <w:b/>
                <w:bCs/>
                <w:color w:val="000000" w:themeColor="text1"/>
              </w:rPr>
              <w:t>Equity and Excellence</w:t>
            </w:r>
            <w:r w:rsidRPr="00211AE0">
              <w:rPr>
                <w:rFonts w:ascii="Corbel" w:eastAsia="Corbel" w:hAnsi="Corbel"/>
                <w:color w:val="000000" w:themeColor="text1"/>
              </w:rPr>
              <w:t xml:space="preserve"> </w:t>
            </w:r>
          </w:p>
          <w:p w14:paraId="49D7C805" w14:textId="77777777" w:rsidR="00CE6B27" w:rsidRPr="00211AE0" w:rsidRDefault="00CE6B27" w:rsidP="00F33F9F">
            <w:pPr>
              <w:spacing w:after="0"/>
              <w:rPr>
                <w:rFonts w:ascii="Corbel" w:eastAsia="Corbel" w:hAnsi="Corbel"/>
                <w:color w:val="000000" w:themeColor="text1"/>
              </w:rPr>
            </w:pPr>
            <w:r w:rsidRPr="00211AE0">
              <w:rPr>
                <w:rFonts w:ascii="Corbel" w:eastAsia="Corbel" w:hAnsi="Corbel"/>
                <w:color w:val="000000" w:themeColor="text1"/>
              </w:rPr>
              <w:t xml:space="preserve"> </w:t>
            </w:r>
          </w:p>
          <w:p w14:paraId="7621330B" w14:textId="77777777" w:rsidR="00CE6B27" w:rsidRPr="00211AE0" w:rsidRDefault="00CE6B27" w:rsidP="00F33F9F">
            <w:pPr>
              <w:spacing w:after="0"/>
              <w:rPr>
                <w:rFonts w:ascii="Corbel" w:eastAsia="Corbel" w:hAnsi="Corbel"/>
                <w:color w:val="000000" w:themeColor="text1"/>
              </w:rPr>
            </w:pPr>
          </w:p>
          <w:p w14:paraId="72B014EB" w14:textId="77777777" w:rsidR="00CE6B27" w:rsidRPr="00211AE0" w:rsidRDefault="00CE6B27" w:rsidP="00F33F9F">
            <w:pPr>
              <w:spacing w:after="0"/>
              <w:rPr>
                <w:rFonts w:ascii="Corbel" w:eastAsia="Corbel" w:hAnsi="Corbel"/>
                <w:color w:val="000000" w:themeColor="text1"/>
              </w:rPr>
            </w:pPr>
          </w:p>
        </w:tc>
        <w:tc>
          <w:tcPr>
            <w:tcW w:w="6870" w:type="dxa"/>
            <w:tcBorders>
              <w:top w:val="single" w:sz="8" w:space="0" w:color="auto"/>
              <w:left w:val="single" w:sz="8" w:space="0" w:color="auto"/>
              <w:bottom w:val="single" w:sz="8" w:space="0" w:color="auto"/>
              <w:right w:val="single" w:sz="8" w:space="0" w:color="auto"/>
            </w:tcBorders>
          </w:tcPr>
          <w:p w14:paraId="681F792C" w14:textId="77777777" w:rsidR="00CE6B27" w:rsidRPr="00D84E41" w:rsidRDefault="00CE6B27" w:rsidP="00F33F9F">
            <w:pPr>
              <w:spacing w:after="0"/>
              <w:rPr>
                <w:rFonts w:ascii="Corbel" w:eastAsia="Calibri" w:hAnsi="Corbel" w:cs="Calibri"/>
                <w:b/>
                <w:color w:val="000000" w:themeColor="text1"/>
                <w:sz w:val="23"/>
                <w:szCs w:val="23"/>
              </w:rPr>
            </w:pPr>
            <w:r w:rsidRPr="00D84E41">
              <w:rPr>
                <w:rFonts w:ascii="Corbel" w:eastAsia="Calibri" w:hAnsi="Corbel" w:cs="Calibri"/>
                <w:b/>
                <w:color w:val="000000" w:themeColor="text1"/>
                <w:sz w:val="23"/>
                <w:szCs w:val="23"/>
              </w:rPr>
              <w:t>Year 12 certification:</w:t>
            </w:r>
          </w:p>
          <w:p w14:paraId="1A788C4A" w14:textId="77777777" w:rsidR="00CE6B27" w:rsidRPr="00D84E41" w:rsidRDefault="00CE6B27" w:rsidP="00F33F9F">
            <w:pPr>
              <w:spacing w:after="0"/>
              <w:rPr>
                <w:rFonts w:ascii="Corbel" w:eastAsia="Calibri" w:hAnsi="Corbel" w:cs="Calibri"/>
                <w:i/>
                <w:color w:val="000000" w:themeColor="text1"/>
                <w:sz w:val="23"/>
                <w:szCs w:val="23"/>
              </w:rPr>
            </w:pPr>
            <w:r w:rsidRPr="00D84E41">
              <w:rPr>
                <w:rFonts w:ascii="Corbel" w:eastAsia="Calibri" w:hAnsi="Corbel" w:cs="Calibri"/>
                <w:i/>
                <w:color w:val="000000" w:themeColor="text1"/>
                <w:sz w:val="23"/>
                <w:szCs w:val="23"/>
              </w:rPr>
              <w:t>Recognising that finishing school education is key to ensuring students have the skills and confidence they need to become successful lifelong learners, confident and creative individuals and active and informed citizens</w:t>
            </w:r>
            <w:r w:rsidRPr="00D84E41">
              <w:rPr>
                <w:rFonts w:ascii="Corbel" w:eastAsia="Calibri" w:hAnsi="Corbel" w:cs="Calibri"/>
                <w:color w:val="000000" w:themeColor="text1"/>
                <w:sz w:val="23"/>
                <w:szCs w:val="23"/>
              </w:rPr>
              <w:t xml:space="preserve">, </w:t>
            </w:r>
            <w:r w:rsidRPr="00211AE0">
              <w:rPr>
                <w:rFonts w:ascii="Corbel" w:eastAsia="Times New Roman" w:hAnsi="Corbel" w:cs="Calibri"/>
                <w:i/>
                <w:iCs/>
                <w:sz w:val="23"/>
                <w:szCs w:val="23"/>
                <w:lang w:eastAsia="en-AU"/>
              </w:rPr>
              <w:t>the Northern Territory and the Commonwealth</w:t>
            </w:r>
            <w:r w:rsidRPr="00211AE0">
              <w:rPr>
                <w:rFonts w:ascii="Corbel" w:eastAsia="Times New Roman" w:hAnsi="Corbel" w:cs="Calibri"/>
                <w:sz w:val="23"/>
                <w:szCs w:val="23"/>
                <w:lang w:eastAsia="en-AU"/>
              </w:rPr>
              <w:t xml:space="preserve"> </w:t>
            </w:r>
            <w:r w:rsidRPr="00D84E41">
              <w:rPr>
                <w:rFonts w:ascii="Corbel" w:eastAsia="Calibri" w:hAnsi="Corbel" w:cs="Calibri"/>
                <w:i/>
                <w:color w:val="000000" w:themeColor="text1"/>
                <w:sz w:val="23"/>
                <w:szCs w:val="23"/>
              </w:rPr>
              <w:t xml:space="preserve">agree to the following </w:t>
            </w:r>
            <w:r>
              <w:rPr>
                <w:rFonts w:ascii="Corbel" w:eastAsia="Calibri" w:hAnsi="Corbel" w:cs="Calibri"/>
                <w:i/>
                <w:color w:val="000000" w:themeColor="text1"/>
                <w:sz w:val="23"/>
                <w:szCs w:val="23"/>
              </w:rPr>
              <w:t>I</w:t>
            </w:r>
            <w:r w:rsidRPr="00D84E41">
              <w:rPr>
                <w:rFonts w:ascii="Corbel" w:eastAsia="Calibri" w:hAnsi="Corbel" w:cs="Calibri"/>
                <w:i/>
                <w:color w:val="000000" w:themeColor="text1"/>
                <w:sz w:val="23"/>
                <w:szCs w:val="23"/>
              </w:rPr>
              <w:t xml:space="preserve">mprovement </w:t>
            </w:r>
            <w:r>
              <w:rPr>
                <w:rFonts w:ascii="Corbel" w:eastAsia="Calibri" w:hAnsi="Corbel" w:cs="Calibri"/>
                <w:i/>
                <w:color w:val="000000" w:themeColor="text1"/>
                <w:sz w:val="23"/>
                <w:szCs w:val="23"/>
              </w:rPr>
              <w:t>M</w:t>
            </w:r>
            <w:r w:rsidRPr="00D84E41">
              <w:rPr>
                <w:rFonts w:ascii="Corbel" w:eastAsia="Calibri" w:hAnsi="Corbel" w:cs="Calibri"/>
                <w:i/>
                <w:color w:val="000000" w:themeColor="text1"/>
                <w:sz w:val="23"/>
                <w:szCs w:val="23"/>
              </w:rPr>
              <w:t>easure:</w:t>
            </w:r>
          </w:p>
          <w:p w14:paraId="1DAABDAA" w14:textId="77777777" w:rsidR="00CE6B27" w:rsidRPr="00D84E41" w:rsidRDefault="00CE6B27" w:rsidP="00F33F9F">
            <w:pPr>
              <w:spacing w:after="0"/>
              <w:rPr>
                <w:rFonts w:ascii="Corbel" w:eastAsia="Calibri" w:hAnsi="Corbel" w:cs="Calibri"/>
                <w:color w:val="000000" w:themeColor="text1"/>
                <w:sz w:val="23"/>
                <w:szCs w:val="23"/>
              </w:rPr>
            </w:pPr>
          </w:p>
          <w:p w14:paraId="3A3AE0E0" w14:textId="77777777" w:rsidR="00CE6B27" w:rsidRDefault="00CE6B27" w:rsidP="005E1D7C">
            <w:pPr>
              <w:pStyle w:val="Default"/>
              <w:numPr>
                <w:ilvl w:val="0"/>
                <w:numId w:val="28"/>
              </w:numPr>
              <w:rPr>
                <w:rFonts w:cstheme="minorBidi"/>
                <w:sz w:val="23"/>
                <w:szCs w:val="23"/>
              </w:rPr>
            </w:pPr>
            <w:r w:rsidRPr="00D84E41">
              <w:rPr>
                <w:rFonts w:cstheme="minorBidi"/>
                <w:sz w:val="23"/>
                <w:szCs w:val="23"/>
              </w:rPr>
              <w:t>By 2030, increase the proportion of students with Year 12 (or equivalent) certification by 7.5 percentage points compared with 2022</w:t>
            </w:r>
            <w:r>
              <w:rPr>
                <w:rFonts w:cstheme="minorBidi"/>
                <w:sz w:val="23"/>
                <w:szCs w:val="23"/>
              </w:rPr>
              <w:t xml:space="preserve"> results</w:t>
            </w:r>
            <w:r w:rsidRPr="00D84E41">
              <w:rPr>
                <w:rFonts w:cstheme="minorBidi"/>
                <w:sz w:val="23"/>
                <w:szCs w:val="23"/>
              </w:rPr>
              <w:t>,</w:t>
            </w:r>
            <w:r>
              <w:rPr>
                <w:rFonts w:cstheme="minorBidi"/>
                <w:sz w:val="23"/>
                <w:szCs w:val="23"/>
              </w:rPr>
              <w:t xml:space="preserve"> for all students,</w:t>
            </w:r>
          </w:p>
          <w:p w14:paraId="7FD1BB1A" w14:textId="77777777" w:rsidR="00CE6B27" w:rsidRPr="00D84E41" w:rsidRDefault="00CE6B27" w:rsidP="005E1D7C">
            <w:pPr>
              <w:pStyle w:val="Default"/>
              <w:numPr>
                <w:ilvl w:val="1"/>
                <w:numId w:val="28"/>
              </w:numPr>
              <w:rPr>
                <w:rFonts w:cstheme="minorBidi"/>
                <w:sz w:val="23"/>
                <w:szCs w:val="23"/>
              </w:rPr>
            </w:pPr>
            <w:r w:rsidRPr="00375631">
              <w:rPr>
                <w:rFonts w:cstheme="minorBidi"/>
                <w:sz w:val="23"/>
                <w:szCs w:val="23"/>
              </w:rPr>
              <w:t>and</w:t>
            </w:r>
            <w:r>
              <w:rPr>
                <w:rFonts w:cstheme="minorBidi"/>
                <w:sz w:val="23"/>
                <w:szCs w:val="23"/>
              </w:rPr>
              <w:t xml:space="preserve"> trend upwards </w:t>
            </w:r>
            <w:r w:rsidRPr="00375631">
              <w:rPr>
                <w:rFonts w:cstheme="minorBidi"/>
                <w:sz w:val="23"/>
                <w:szCs w:val="23"/>
              </w:rPr>
              <w:t>compared with 2022, for the following priority equity cohorts</w:t>
            </w:r>
            <w:r w:rsidRPr="00D84E41">
              <w:rPr>
                <w:rFonts w:cstheme="minorBidi"/>
                <w:sz w:val="23"/>
                <w:szCs w:val="23"/>
              </w:rPr>
              <w:t>:</w:t>
            </w:r>
          </w:p>
          <w:p w14:paraId="2C03CA75" w14:textId="77777777" w:rsidR="00CE6B27" w:rsidRPr="00D84E41" w:rsidRDefault="00CE6B27" w:rsidP="005E1D7C">
            <w:pPr>
              <w:pStyle w:val="Default"/>
              <w:numPr>
                <w:ilvl w:val="0"/>
                <w:numId w:val="30"/>
              </w:numPr>
              <w:rPr>
                <w:rFonts w:cstheme="minorHAnsi"/>
                <w:sz w:val="23"/>
                <w:szCs w:val="23"/>
              </w:rPr>
            </w:pPr>
            <w:r>
              <w:rPr>
                <w:rFonts w:cstheme="minorHAnsi"/>
                <w:sz w:val="23"/>
                <w:szCs w:val="23"/>
              </w:rPr>
              <w:t>r</w:t>
            </w:r>
            <w:r w:rsidRPr="00D84E41">
              <w:rPr>
                <w:rFonts w:cstheme="minorHAnsi"/>
                <w:sz w:val="23"/>
                <w:szCs w:val="23"/>
              </w:rPr>
              <w:t xml:space="preserve">egional and remote locations including: </w:t>
            </w:r>
          </w:p>
          <w:p w14:paraId="287AC7A4" w14:textId="77777777" w:rsidR="00CE6B27" w:rsidRPr="00D64A66" w:rsidRDefault="00CE6B27" w:rsidP="005E1D7C">
            <w:pPr>
              <w:pStyle w:val="Default"/>
              <w:numPr>
                <w:ilvl w:val="1"/>
                <w:numId w:val="30"/>
              </w:numPr>
              <w:rPr>
                <w:rFonts w:cstheme="minorBidi"/>
                <w:sz w:val="23"/>
                <w:szCs w:val="23"/>
              </w:rPr>
            </w:pPr>
            <w:r w:rsidRPr="3A384CFA">
              <w:rPr>
                <w:rFonts w:cstheme="minorBidi"/>
                <w:sz w:val="23"/>
                <w:szCs w:val="23"/>
              </w:rPr>
              <w:t xml:space="preserve">remote and very remote (combined as per the National Report on Schooling in Australia and the Report on Government Services); and </w:t>
            </w:r>
          </w:p>
          <w:p w14:paraId="0949AFF4" w14:textId="2EED5FF4" w:rsidR="00CE6B27" w:rsidRPr="00D64A66" w:rsidRDefault="00CE6B27" w:rsidP="005E1D7C">
            <w:pPr>
              <w:pStyle w:val="Default"/>
              <w:numPr>
                <w:ilvl w:val="0"/>
                <w:numId w:val="30"/>
              </w:numPr>
              <w:rPr>
                <w:rFonts w:cstheme="minorHAnsi"/>
                <w:sz w:val="23"/>
                <w:szCs w:val="23"/>
              </w:rPr>
            </w:pPr>
            <w:r w:rsidRPr="00D64A66">
              <w:rPr>
                <w:rFonts w:cstheme="minorHAnsi"/>
                <w:sz w:val="23"/>
                <w:szCs w:val="23"/>
              </w:rPr>
              <w:t>low SES backgrounds</w:t>
            </w:r>
            <w:r>
              <w:rPr>
                <w:rFonts w:cstheme="minorHAnsi"/>
                <w:sz w:val="23"/>
                <w:szCs w:val="23"/>
              </w:rPr>
              <w:t>.</w:t>
            </w:r>
          </w:p>
          <w:p w14:paraId="6AEFE128" w14:textId="77777777" w:rsidR="00CE6B27" w:rsidRPr="00D84E41" w:rsidRDefault="00CE6B27" w:rsidP="00F33F9F">
            <w:pPr>
              <w:spacing w:after="0"/>
              <w:rPr>
                <w:rFonts w:ascii="Corbel" w:eastAsia="Calibri" w:hAnsi="Corbel" w:cs="Calibri"/>
                <w:color w:val="000000" w:themeColor="text1"/>
                <w:sz w:val="23"/>
                <w:szCs w:val="23"/>
              </w:rPr>
            </w:pPr>
          </w:p>
          <w:p w14:paraId="0F9D9A3E" w14:textId="77777777" w:rsidR="00CE6B27" w:rsidRPr="00D84E41" w:rsidRDefault="00CE6B27" w:rsidP="00264E85">
            <w:pPr>
              <w:keepNext/>
              <w:spacing w:after="0"/>
              <w:rPr>
                <w:rFonts w:ascii="Corbel" w:eastAsia="Calibri" w:hAnsi="Corbel" w:cs="Calibri"/>
                <w:b/>
                <w:color w:val="000000" w:themeColor="text1"/>
                <w:sz w:val="23"/>
                <w:szCs w:val="23"/>
              </w:rPr>
            </w:pPr>
            <w:r w:rsidRPr="00D84E41">
              <w:rPr>
                <w:rFonts w:ascii="Corbel" w:eastAsia="Calibri" w:hAnsi="Corbel" w:cs="Calibri"/>
                <w:b/>
                <w:color w:val="000000" w:themeColor="text1"/>
                <w:sz w:val="23"/>
                <w:szCs w:val="23"/>
              </w:rPr>
              <w:lastRenderedPageBreak/>
              <w:t>Baseline – ACARA (all sectors)</w:t>
            </w:r>
          </w:p>
          <w:tbl>
            <w:tblPr>
              <w:tblStyle w:val="TableGrid"/>
              <w:tblW w:w="0" w:type="auto"/>
              <w:tblLayout w:type="fixed"/>
              <w:tblLook w:val="04A0" w:firstRow="1" w:lastRow="0" w:firstColumn="1" w:lastColumn="0" w:noHBand="0" w:noVBand="1"/>
            </w:tblPr>
            <w:tblGrid>
              <w:gridCol w:w="3158"/>
              <w:gridCol w:w="3158"/>
            </w:tblGrid>
            <w:tr w:rsidR="00CE6B27" w:rsidRPr="00211AE0" w14:paraId="28A0BBA3" w14:textId="77777777" w:rsidTr="00F33F9F">
              <w:trPr>
                <w:trHeight w:val="283"/>
              </w:trPr>
              <w:tc>
                <w:tcPr>
                  <w:tcW w:w="3158" w:type="dxa"/>
                </w:tcPr>
                <w:p w14:paraId="2C3306C7" w14:textId="77777777" w:rsidR="00CE6B27" w:rsidRPr="00D84E41" w:rsidRDefault="00CE6B27" w:rsidP="00F33F9F">
                  <w:pPr>
                    <w:spacing w:after="0"/>
                    <w:rPr>
                      <w:rFonts w:ascii="Corbel" w:eastAsia="Calibri" w:hAnsi="Corbel" w:cs="Calibri"/>
                      <w:color w:val="000000" w:themeColor="text1"/>
                      <w:sz w:val="23"/>
                      <w:szCs w:val="23"/>
                    </w:rPr>
                  </w:pPr>
                </w:p>
              </w:tc>
              <w:tc>
                <w:tcPr>
                  <w:tcW w:w="3158" w:type="dxa"/>
                </w:tcPr>
                <w:p w14:paraId="3C97DA5B" w14:textId="77777777" w:rsidR="00CE6B27" w:rsidRPr="00D84E41" w:rsidRDefault="00CE6B27" w:rsidP="00F33F9F">
                  <w:pPr>
                    <w:spacing w:after="0"/>
                    <w:rPr>
                      <w:rFonts w:ascii="Corbel" w:eastAsia="Calibri" w:hAnsi="Corbel" w:cs="Calibri"/>
                      <w:color w:val="000000" w:themeColor="text1"/>
                      <w:sz w:val="23"/>
                      <w:szCs w:val="23"/>
                    </w:rPr>
                  </w:pPr>
                  <w:r w:rsidRPr="00D84E41">
                    <w:rPr>
                      <w:rFonts w:ascii="Corbel" w:eastAsia="Calibri" w:hAnsi="Corbel" w:cs="Calibri"/>
                      <w:color w:val="000000" w:themeColor="text1"/>
                      <w:sz w:val="23"/>
                      <w:szCs w:val="23"/>
                    </w:rPr>
                    <w:t>2022 baseline</w:t>
                  </w:r>
                </w:p>
              </w:tc>
            </w:tr>
            <w:tr w:rsidR="00CE6B27" w:rsidRPr="00211AE0" w14:paraId="4A339890" w14:textId="77777777" w:rsidTr="00F33F9F">
              <w:trPr>
                <w:trHeight w:val="295"/>
              </w:trPr>
              <w:tc>
                <w:tcPr>
                  <w:tcW w:w="3158" w:type="dxa"/>
                </w:tcPr>
                <w:p w14:paraId="394B293E" w14:textId="77777777" w:rsidR="00CE6B27" w:rsidRPr="00D84E41" w:rsidRDefault="00CE6B27" w:rsidP="00F33F9F">
                  <w:pPr>
                    <w:spacing w:after="0"/>
                    <w:rPr>
                      <w:rFonts w:ascii="Corbel" w:eastAsia="Calibri" w:hAnsi="Corbel" w:cs="Calibri"/>
                      <w:color w:val="000000" w:themeColor="text1"/>
                      <w:sz w:val="23"/>
                      <w:szCs w:val="23"/>
                    </w:rPr>
                  </w:pPr>
                  <w:r w:rsidRPr="00D84E41">
                    <w:rPr>
                      <w:rFonts w:ascii="Corbel" w:eastAsia="Calibri" w:hAnsi="Corbel" w:cs="Calibri"/>
                      <w:color w:val="000000" w:themeColor="text1"/>
                      <w:sz w:val="23"/>
                      <w:szCs w:val="23"/>
                    </w:rPr>
                    <w:t>All</w:t>
                  </w:r>
                </w:p>
              </w:tc>
              <w:tc>
                <w:tcPr>
                  <w:tcW w:w="3158" w:type="dxa"/>
                </w:tcPr>
                <w:p w14:paraId="1379FEE0" w14:textId="77777777" w:rsidR="00CE6B27" w:rsidRPr="00D84E41" w:rsidRDefault="00CE6B27" w:rsidP="00F33F9F">
                  <w:pPr>
                    <w:spacing w:after="0"/>
                    <w:rPr>
                      <w:rFonts w:ascii="Corbel" w:eastAsia="Calibri" w:hAnsi="Corbel" w:cs="Calibri"/>
                      <w:color w:val="000000" w:themeColor="text1"/>
                      <w:sz w:val="23"/>
                      <w:szCs w:val="23"/>
                    </w:rPr>
                  </w:pPr>
                  <w:r w:rsidRPr="3A384CFA">
                    <w:rPr>
                      <w:rFonts w:ascii="Corbel" w:eastAsia="Calibri" w:hAnsi="Corbel" w:cs="Calibri"/>
                      <w:color w:val="000000" w:themeColor="text1"/>
                      <w:sz w:val="23"/>
                      <w:szCs w:val="23"/>
                    </w:rPr>
                    <w:t xml:space="preserve">41.6% </w:t>
                  </w:r>
                </w:p>
              </w:tc>
            </w:tr>
            <w:tr w:rsidR="00CE6B27" w:rsidRPr="00211AE0" w14:paraId="12E496F8" w14:textId="77777777" w:rsidTr="00F33F9F">
              <w:trPr>
                <w:trHeight w:val="283"/>
              </w:trPr>
              <w:tc>
                <w:tcPr>
                  <w:tcW w:w="3158" w:type="dxa"/>
                </w:tcPr>
                <w:p w14:paraId="3870A734" w14:textId="77777777" w:rsidR="00CE6B27" w:rsidRPr="00D84E41" w:rsidRDefault="00CE6B27" w:rsidP="00F33F9F">
                  <w:pPr>
                    <w:spacing w:after="0"/>
                    <w:rPr>
                      <w:rFonts w:ascii="Corbel" w:eastAsia="Calibri" w:hAnsi="Corbel" w:cs="Calibri"/>
                      <w:color w:val="000000" w:themeColor="text1"/>
                      <w:sz w:val="23"/>
                      <w:szCs w:val="23"/>
                    </w:rPr>
                  </w:pPr>
                  <w:r>
                    <w:rPr>
                      <w:rFonts w:ascii="Corbel" w:eastAsia="Calibri" w:hAnsi="Corbel" w:cs="Calibri"/>
                      <w:color w:val="000000" w:themeColor="text1"/>
                      <w:sz w:val="23"/>
                      <w:szCs w:val="23"/>
                    </w:rPr>
                    <w:t>Remote and Very Remote</w:t>
                  </w:r>
                </w:p>
              </w:tc>
              <w:tc>
                <w:tcPr>
                  <w:tcW w:w="3158" w:type="dxa"/>
                </w:tcPr>
                <w:p w14:paraId="54CB3607" w14:textId="77777777" w:rsidR="00CE6B27" w:rsidRPr="00D84E41" w:rsidRDefault="00CE6B27" w:rsidP="00F33F9F">
                  <w:pPr>
                    <w:spacing w:after="0"/>
                    <w:rPr>
                      <w:rFonts w:ascii="Corbel" w:eastAsia="Calibri" w:hAnsi="Corbel" w:cs="Calibri"/>
                      <w:color w:val="000000" w:themeColor="text1"/>
                      <w:sz w:val="23"/>
                      <w:szCs w:val="23"/>
                    </w:rPr>
                  </w:pPr>
                  <w:r w:rsidRPr="00D84E41">
                    <w:rPr>
                      <w:rFonts w:ascii="Corbel" w:eastAsia="Calibri" w:hAnsi="Corbel" w:cs="Calibri"/>
                      <w:color w:val="000000" w:themeColor="text1"/>
                      <w:sz w:val="23"/>
                      <w:szCs w:val="23"/>
                    </w:rPr>
                    <w:t>18.8%</w:t>
                  </w:r>
                </w:p>
              </w:tc>
            </w:tr>
            <w:tr w:rsidR="00CE6B27" w:rsidRPr="00211AE0" w14:paraId="22C413CD" w14:textId="77777777" w:rsidTr="00F33F9F">
              <w:trPr>
                <w:trHeight w:val="295"/>
              </w:trPr>
              <w:tc>
                <w:tcPr>
                  <w:tcW w:w="3158" w:type="dxa"/>
                </w:tcPr>
                <w:p w14:paraId="66805533" w14:textId="77777777" w:rsidR="00CE6B27" w:rsidRPr="00D84E41" w:rsidRDefault="00CE6B27" w:rsidP="00F33F9F">
                  <w:pPr>
                    <w:spacing w:after="0"/>
                    <w:rPr>
                      <w:rFonts w:ascii="Corbel" w:eastAsia="Calibri" w:hAnsi="Corbel" w:cs="Calibri"/>
                      <w:color w:val="000000" w:themeColor="text1"/>
                      <w:sz w:val="23"/>
                      <w:szCs w:val="23"/>
                    </w:rPr>
                  </w:pPr>
                  <w:r w:rsidRPr="00D84E41">
                    <w:rPr>
                      <w:rFonts w:ascii="Corbel" w:eastAsia="Calibri" w:hAnsi="Corbel" w:cs="Calibri"/>
                      <w:color w:val="000000" w:themeColor="text1"/>
                      <w:sz w:val="23"/>
                      <w:szCs w:val="23"/>
                    </w:rPr>
                    <w:t>Low SES</w:t>
                  </w:r>
                </w:p>
              </w:tc>
              <w:tc>
                <w:tcPr>
                  <w:tcW w:w="3158" w:type="dxa"/>
                </w:tcPr>
                <w:p w14:paraId="64516CB4" w14:textId="77777777" w:rsidR="00CE6B27" w:rsidRPr="00D84E41" w:rsidRDefault="00CE6B27" w:rsidP="00F33F9F">
                  <w:pPr>
                    <w:spacing w:after="0"/>
                    <w:rPr>
                      <w:rFonts w:ascii="Corbel" w:eastAsia="Calibri" w:hAnsi="Corbel" w:cs="Calibri"/>
                      <w:color w:val="000000" w:themeColor="text1"/>
                      <w:sz w:val="23"/>
                      <w:szCs w:val="23"/>
                    </w:rPr>
                  </w:pPr>
                  <w:r w:rsidRPr="00D84E41">
                    <w:rPr>
                      <w:rFonts w:ascii="Corbel" w:eastAsia="Calibri" w:hAnsi="Corbel" w:cs="Calibri"/>
                      <w:color w:val="000000" w:themeColor="text1"/>
                      <w:sz w:val="23"/>
                      <w:szCs w:val="23"/>
                    </w:rPr>
                    <w:t>24.1%</w:t>
                  </w:r>
                </w:p>
              </w:tc>
            </w:tr>
          </w:tbl>
          <w:p w14:paraId="57387437" w14:textId="77777777" w:rsidR="00CE6B27" w:rsidRPr="00D84E41" w:rsidRDefault="00CE6B27" w:rsidP="00F33F9F">
            <w:pPr>
              <w:spacing w:after="0"/>
              <w:rPr>
                <w:rFonts w:ascii="Corbel" w:eastAsia="Calibri" w:hAnsi="Corbel" w:cs="Calibri"/>
                <w:color w:val="000000" w:themeColor="text1"/>
                <w:sz w:val="23"/>
                <w:szCs w:val="23"/>
              </w:rPr>
            </w:pPr>
          </w:p>
          <w:p w14:paraId="2BCF4C88" w14:textId="77777777" w:rsidR="00CE6B27" w:rsidRPr="00D84E41" w:rsidRDefault="00CE6B27" w:rsidP="00F33F9F">
            <w:pPr>
              <w:spacing w:after="0"/>
              <w:rPr>
                <w:rFonts w:ascii="Corbel" w:eastAsia="Calibri" w:hAnsi="Corbel" w:cs="Calibri"/>
                <w:i/>
                <w:color w:val="000000" w:themeColor="text1"/>
                <w:sz w:val="23"/>
                <w:szCs w:val="23"/>
              </w:rPr>
            </w:pPr>
            <w:r w:rsidRPr="00D84E41">
              <w:rPr>
                <w:rFonts w:ascii="Corbel" w:eastAsia="Calibri" w:hAnsi="Corbel" w:cs="Calibri"/>
                <w:i/>
                <w:color w:val="000000" w:themeColor="text1"/>
                <w:sz w:val="23"/>
                <w:szCs w:val="23"/>
              </w:rPr>
              <w:t>Note: Certification rates are estimated by calculating the number of students who meet the requirements of a Senior Secondary Certificate or equivalent expressed as a percentage of the potential Year 12 population. The potential Year 12 population is an estimate of a single year age group which could have attended Year 12 that year, calculated as the estimated resident population (ERP) aged 15 to 19 divided by five.</w:t>
            </w:r>
          </w:p>
          <w:p w14:paraId="4AB7BC1F" w14:textId="77777777" w:rsidR="00CE6B27" w:rsidRPr="00D84E41" w:rsidRDefault="00CE6B27" w:rsidP="00F33F9F">
            <w:pPr>
              <w:spacing w:after="0"/>
              <w:rPr>
                <w:rFonts w:ascii="Corbel" w:eastAsia="Calibri" w:hAnsi="Corbel" w:cs="Calibri"/>
                <w:i/>
                <w:color w:val="000000" w:themeColor="text1"/>
                <w:sz w:val="23"/>
                <w:szCs w:val="23"/>
              </w:rPr>
            </w:pPr>
          </w:p>
          <w:p w14:paraId="05B8CC61" w14:textId="77777777" w:rsidR="00CE6B27" w:rsidRPr="0065289F" w:rsidRDefault="00CE6B27" w:rsidP="00F33F9F">
            <w:pPr>
              <w:rPr>
                <w:rFonts w:ascii="Corbel" w:hAnsi="Corbel"/>
                <w:i/>
                <w:iCs/>
                <w:sz w:val="23"/>
                <w:szCs w:val="23"/>
              </w:rPr>
            </w:pPr>
            <w:r w:rsidRPr="0065289F">
              <w:rPr>
                <w:rFonts w:ascii="Corbel" w:hAnsi="Corbel"/>
                <w:i/>
                <w:iCs/>
                <w:sz w:val="23"/>
                <w:szCs w:val="23"/>
              </w:rPr>
              <w:t>An impact on the NT certification rate is the unknown number of Northern Territory residents undertaking Year 12 in interstate boarding schools each year, contributing to the denominator but not the numerator for the certification rate calculation.</w:t>
            </w:r>
          </w:p>
          <w:p w14:paraId="1D8553EC" w14:textId="7A24F38B" w:rsidR="00CE6B27" w:rsidRPr="00D84E41" w:rsidRDefault="00CE6B27" w:rsidP="00F33F9F">
            <w:pPr>
              <w:spacing w:after="0"/>
              <w:rPr>
                <w:rFonts w:ascii="Corbel" w:eastAsia="Calibri" w:hAnsi="Corbel" w:cs="Calibri"/>
                <w:i/>
                <w:color w:val="000000" w:themeColor="text1"/>
                <w:sz w:val="23"/>
                <w:szCs w:val="23"/>
              </w:rPr>
            </w:pPr>
            <w:r w:rsidRPr="00D84E41">
              <w:rPr>
                <w:rFonts w:ascii="Corbel" w:eastAsia="Calibri" w:hAnsi="Corbel" w:cs="Calibri"/>
                <w:i/>
                <w:color w:val="000000" w:themeColor="text1"/>
                <w:sz w:val="23"/>
                <w:szCs w:val="23"/>
              </w:rPr>
              <w:t>As per the Heads of Agreement (</w:t>
            </w:r>
            <w:r>
              <w:rPr>
                <w:rFonts w:ascii="Corbel" w:eastAsia="Calibri" w:hAnsi="Corbel" w:cs="Calibri"/>
                <w:i/>
                <w:color w:val="000000" w:themeColor="text1"/>
                <w:sz w:val="23"/>
                <w:szCs w:val="23"/>
              </w:rPr>
              <w:t>Part 2</w:t>
            </w:r>
            <w:r w:rsidRPr="00D84E41">
              <w:rPr>
                <w:rFonts w:ascii="Corbel" w:eastAsia="Calibri" w:hAnsi="Corbel" w:cs="Calibri"/>
                <w:i/>
                <w:color w:val="000000" w:themeColor="text1"/>
                <w:sz w:val="23"/>
                <w:szCs w:val="23"/>
              </w:rPr>
              <w:t xml:space="preserve">) a sub measure that captures the alternative pathways available to young people (including </w:t>
            </w:r>
            <w:r w:rsidR="00C20DC9">
              <w:rPr>
                <w:rFonts w:ascii="Corbel" w:eastAsia="Calibri" w:hAnsi="Corbel" w:cs="Calibri"/>
                <w:i/>
                <w:color w:val="000000" w:themeColor="text1"/>
                <w:sz w:val="23"/>
                <w:szCs w:val="23"/>
              </w:rPr>
              <w:t xml:space="preserve">Vocational </w:t>
            </w:r>
            <w:r w:rsidR="00D93457">
              <w:rPr>
                <w:rFonts w:ascii="Corbel" w:eastAsia="Calibri" w:hAnsi="Corbel" w:cs="Calibri"/>
                <w:i/>
                <w:color w:val="000000" w:themeColor="text1"/>
                <w:sz w:val="23"/>
                <w:szCs w:val="23"/>
              </w:rPr>
              <w:t>Education</w:t>
            </w:r>
            <w:r w:rsidR="00C20DC9">
              <w:rPr>
                <w:rFonts w:ascii="Corbel" w:eastAsia="Calibri" w:hAnsi="Corbel" w:cs="Calibri"/>
                <w:i/>
                <w:color w:val="000000" w:themeColor="text1"/>
                <w:sz w:val="23"/>
                <w:szCs w:val="23"/>
              </w:rPr>
              <w:t xml:space="preserve"> and Training (</w:t>
            </w:r>
            <w:r w:rsidRPr="00D84E41">
              <w:rPr>
                <w:rFonts w:ascii="Corbel" w:eastAsia="Calibri" w:hAnsi="Corbel" w:cs="Calibri"/>
                <w:i/>
                <w:color w:val="000000" w:themeColor="text1"/>
                <w:sz w:val="23"/>
                <w:szCs w:val="23"/>
              </w:rPr>
              <w:t>VET</w:t>
            </w:r>
            <w:r w:rsidR="00C20DC9">
              <w:rPr>
                <w:rFonts w:ascii="Corbel" w:eastAsia="Calibri" w:hAnsi="Corbel" w:cs="Calibri"/>
                <w:i/>
                <w:color w:val="000000" w:themeColor="text1"/>
                <w:sz w:val="23"/>
                <w:szCs w:val="23"/>
              </w:rPr>
              <w:t>)</w:t>
            </w:r>
            <w:r w:rsidRPr="00D84E41">
              <w:rPr>
                <w:rFonts w:ascii="Corbel" w:eastAsia="Calibri" w:hAnsi="Corbel" w:cs="Calibri"/>
                <w:i/>
                <w:color w:val="000000" w:themeColor="text1"/>
                <w:sz w:val="23"/>
                <w:szCs w:val="23"/>
              </w:rPr>
              <w:t xml:space="preserve">, traineeships and apprenticeships, at the </w:t>
            </w:r>
            <w:r w:rsidR="002D32A5">
              <w:rPr>
                <w:rFonts w:ascii="Corbel" w:eastAsia="Calibri" w:hAnsi="Corbel" w:cs="Calibri"/>
                <w:i/>
                <w:color w:val="000000" w:themeColor="text1"/>
                <w:sz w:val="23"/>
                <w:szCs w:val="23"/>
              </w:rPr>
              <w:t>Australian Qualifications Framework (</w:t>
            </w:r>
            <w:r w:rsidRPr="00D84E41">
              <w:rPr>
                <w:rFonts w:ascii="Corbel" w:eastAsia="Calibri" w:hAnsi="Corbel" w:cs="Calibri"/>
                <w:i/>
                <w:color w:val="000000" w:themeColor="text1"/>
                <w:sz w:val="23"/>
                <w:szCs w:val="23"/>
              </w:rPr>
              <w:t>AQF</w:t>
            </w:r>
            <w:r w:rsidR="002D32A5">
              <w:rPr>
                <w:rFonts w:ascii="Corbel" w:eastAsia="Calibri" w:hAnsi="Corbel" w:cs="Calibri"/>
                <w:i/>
                <w:color w:val="000000" w:themeColor="text1"/>
                <w:sz w:val="23"/>
                <w:szCs w:val="23"/>
              </w:rPr>
              <w:t>)</w:t>
            </w:r>
            <w:r w:rsidRPr="00D84E41">
              <w:rPr>
                <w:rFonts w:ascii="Corbel" w:eastAsia="Calibri" w:hAnsi="Corbel" w:cs="Calibri"/>
                <w:i/>
                <w:color w:val="000000" w:themeColor="text1"/>
                <w:sz w:val="23"/>
                <w:szCs w:val="23"/>
              </w:rPr>
              <w:t xml:space="preserve"> Certificate III and above level) will be progressively developed over the course of the agreement.</w:t>
            </w:r>
          </w:p>
        </w:tc>
      </w:tr>
      <w:tr w:rsidR="00CE6B27" w:rsidRPr="00211AE0" w14:paraId="30BC1699" w14:textId="77777777" w:rsidTr="00F33F9F">
        <w:trPr>
          <w:trHeight w:val="1260"/>
        </w:trPr>
        <w:tc>
          <w:tcPr>
            <w:tcW w:w="2145" w:type="dxa"/>
            <w:vMerge/>
          </w:tcPr>
          <w:p w14:paraId="27F4D68F" w14:textId="77777777" w:rsidR="00CE6B27" w:rsidRPr="00211AE0" w:rsidRDefault="00CE6B27" w:rsidP="00F33F9F">
            <w:pPr>
              <w:spacing w:after="0"/>
              <w:rPr>
                <w:rFonts w:ascii="Corbel" w:eastAsia="Corbel" w:hAnsi="Corbel"/>
                <w:b/>
                <w:bCs/>
                <w:color w:val="000000" w:themeColor="text1"/>
              </w:rPr>
            </w:pPr>
          </w:p>
        </w:tc>
        <w:tc>
          <w:tcPr>
            <w:tcW w:w="6870" w:type="dxa"/>
            <w:tcBorders>
              <w:top w:val="single" w:sz="8" w:space="0" w:color="auto"/>
              <w:left w:val="single" w:sz="8" w:space="0" w:color="auto"/>
              <w:bottom w:val="single" w:sz="8" w:space="0" w:color="auto"/>
              <w:right w:val="single" w:sz="8" w:space="0" w:color="auto"/>
            </w:tcBorders>
          </w:tcPr>
          <w:p w14:paraId="76D7E232" w14:textId="77777777" w:rsidR="00CE6B27" w:rsidRPr="00211AE0" w:rsidRDefault="00CE6B27" w:rsidP="00F33F9F">
            <w:pPr>
              <w:spacing w:after="0" w:line="240" w:lineRule="auto"/>
              <w:textAlignment w:val="baseline"/>
              <w:rPr>
                <w:rFonts w:ascii="Corbel" w:eastAsia="Times New Roman" w:hAnsi="Corbel" w:cstheme="minorHAnsi"/>
                <w:b/>
                <w:bCs/>
                <w:color w:val="000000" w:themeColor="text1"/>
                <w:lang w:eastAsia="en-AU"/>
              </w:rPr>
            </w:pPr>
            <w:r w:rsidRPr="3A384CFA">
              <w:rPr>
                <w:rFonts w:ascii="Corbel" w:eastAsia="Times New Roman" w:hAnsi="Corbel"/>
                <w:b/>
                <w:bCs/>
                <w:color w:val="000000" w:themeColor="text1"/>
                <w:lang w:eastAsia="en-AU"/>
              </w:rPr>
              <w:t>Pathways for success:</w:t>
            </w:r>
          </w:p>
          <w:p w14:paraId="530D857C" w14:textId="1C46E7F1" w:rsidR="00CE6B27" w:rsidRPr="0047649A" w:rsidRDefault="00CE6B27" w:rsidP="00F33F9F">
            <w:pPr>
              <w:spacing w:after="0" w:line="240" w:lineRule="auto"/>
              <w:textAlignment w:val="baseline"/>
              <w:rPr>
                <w:rFonts w:ascii="Corbel" w:eastAsia="Times New Roman" w:hAnsi="Corbel"/>
                <w:i/>
                <w:iCs/>
                <w:color w:val="000000" w:themeColor="text1"/>
                <w:sz w:val="23"/>
                <w:szCs w:val="23"/>
                <w:lang w:eastAsia="en-AU"/>
              </w:rPr>
            </w:pPr>
            <w:r w:rsidRPr="3A384CFA">
              <w:rPr>
                <w:rFonts w:ascii="Corbel" w:eastAsia="Times New Roman" w:hAnsi="Corbel"/>
                <w:i/>
                <w:iCs/>
                <w:color w:val="000000" w:themeColor="text1"/>
                <w:sz w:val="23"/>
                <w:szCs w:val="23"/>
                <w:lang w:eastAsia="en-AU"/>
              </w:rPr>
              <w:t xml:space="preserve">Recognising that schools play an essential role in supporting students to complete both in-school senior secondary qualification and non-school VET qualifications, the Northern Territory and the Commonwealth agree to the following improvement measures, which aligns with </w:t>
            </w:r>
            <w:r w:rsidR="002D32A5">
              <w:rPr>
                <w:rFonts w:ascii="Corbel" w:eastAsia="Times New Roman" w:hAnsi="Corbel"/>
                <w:i/>
                <w:iCs/>
                <w:color w:val="000000" w:themeColor="text1"/>
                <w:sz w:val="23"/>
                <w:szCs w:val="23"/>
                <w:lang w:eastAsia="en-AU"/>
              </w:rPr>
              <w:t xml:space="preserve">the </w:t>
            </w:r>
            <w:r w:rsidRPr="3A384CFA">
              <w:rPr>
                <w:rFonts w:ascii="Corbel" w:eastAsia="Times New Roman" w:hAnsi="Corbel"/>
                <w:i/>
                <w:iCs/>
                <w:color w:val="000000" w:themeColor="text1"/>
                <w:sz w:val="23"/>
                <w:szCs w:val="23"/>
                <w:lang w:eastAsia="en-AU"/>
              </w:rPr>
              <w:t>ambition articulated in the Better and Fairer Schools Head Agreement and the Closing the Gap Agreement:</w:t>
            </w:r>
          </w:p>
          <w:p w14:paraId="48C6C07C" w14:textId="77777777" w:rsidR="00CE6B27" w:rsidRDefault="00CE6B27" w:rsidP="00F33F9F">
            <w:pPr>
              <w:spacing w:after="0" w:line="240" w:lineRule="auto"/>
              <w:textAlignment w:val="baseline"/>
              <w:rPr>
                <w:rFonts w:ascii="Corbel" w:eastAsia="Times New Roman" w:hAnsi="Corbel" w:cstheme="minorHAnsi"/>
                <w:i/>
                <w:iCs/>
                <w:color w:val="000000" w:themeColor="text1"/>
                <w:lang w:eastAsia="en-AU"/>
              </w:rPr>
            </w:pPr>
          </w:p>
          <w:p w14:paraId="0BD3381B" w14:textId="77777777" w:rsidR="00CE6B27" w:rsidRPr="00D72349" w:rsidRDefault="00CE6B27" w:rsidP="00F33F9F">
            <w:pPr>
              <w:textAlignment w:val="baseline"/>
              <w:rPr>
                <w:rFonts w:ascii="Corbel" w:hAnsi="Corbel"/>
                <w:color w:val="000000"/>
                <w:sz w:val="23"/>
                <w:szCs w:val="23"/>
                <w:lang w:eastAsia="en-AU"/>
              </w:rPr>
            </w:pPr>
            <w:r w:rsidRPr="3A384CFA">
              <w:rPr>
                <w:rFonts w:ascii="Corbel" w:hAnsi="Corbel"/>
                <w:color w:val="000000" w:themeColor="text1"/>
                <w:sz w:val="23"/>
                <w:szCs w:val="23"/>
                <w:lang w:eastAsia="en-AU"/>
              </w:rPr>
              <w:t>The Northern Territory commits to reporting progress against the following national measures outlined in the Heads of Agreement when Census data is available:</w:t>
            </w:r>
          </w:p>
          <w:p w14:paraId="411C1C3B" w14:textId="77777777" w:rsidR="00CE6B27" w:rsidRPr="00D72349" w:rsidRDefault="00CE6B27" w:rsidP="005E1D7C">
            <w:pPr>
              <w:pStyle w:val="ListParagraph"/>
              <w:numPr>
                <w:ilvl w:val="0"/>
                <w:numId w:val="28"/>
              </w:numPr>
              <w:spacing w:after="0" w:line="240" w:lineRule="auto"/>
              <w:textAlignment w:val="baseline"/>
              <w:rPr>
                <w:rFonts w:ascii="Corbel" w:hAnsi="Corbel"/>
                <w:color w:val="000000"/>
                <w:sz w:val="23"/>
                <w:szCs w:val="23"/>
                <w:lang w:eastAsia="en-AU"/>
              </w:rPr>
            </w:pPr>
            <w:r w:rsidRPr="00D72349">
              <w:rPr>
                <w:rFonts w:ascii="Corbel" w:hAnsi="Corbel"/>
                <w:color w:val="000000"/>
                <w:sz w:val="23"/>
                <w:szCs w:val="23"/>
              </w:rPr>
              <w:t>By 2031, increase the proportion of people (age 20-24) attaining Year 12 or equivalent qualification to 96 per cent; and</w:t>
            </w:r>
          </w:p>
          <w:p w14:paraId="6E73D4A7" w14:textId="77777777" w:rsidR="00CE6B27" w:rsidRPr="00D72349" w:rsidRDefault="00CE6B27" w:rsidP="005E1D7C">
            <w:pPr>
              <w:pStyle w:val="ListParagraph"/>
              <w:numPr>
                <w:ilvl w:val="0"/>
                <w:numId w:val="28"/>
              </w:numPr>
              <w:spacing w:after="0" w:line="240" w:lineRule="auto"/>
              <w:textAlignment w:val="baseline"/>
              <w:rPr>
                <w:rFonts w:ascii="Corbel" w:hAnsi="Corbel"/>
                <w:color w:val="000000"/>
                <w:sz w:val="23"/>
                <w:szCs w:val="23"/>
              </w:rPr>
            </w:pPr>
            <w:r w:rsidRPr="3A384CFA">
              <w:rPr>
                <w:rFonts w:ascii="Corbel" w:hAnsi="Corbel"/>
                <w:color w:val="000000" w:themeColor="text1"/>
                <w:sz w:val="23"/>
                <w:szCs w:val="23"/>
              </w:rPr>
              <w:t xml:space="preserve">By 2031, increase the proportion of Aboriginal and Torres Strait Islander people (age 20-24) attaining year 12 or equivalent qualification to 96 per cent. </w:t>
            </w:r>
          </w:p>
          <w:p w14:paraId="6CB206F9" w14:textId="77777777" w:rsidR="00CE6B27" w:rsidRPr="00390379" w:rsidRDefault="00CE6B27" w:rsidP="00F33F9F">
            <w:pPr>
              <w:textAlignment w:val="baseline"/>
              <w:rPr>
                <w:rFonts w:ascii="Corbel" w:hAnsi="Corbel"/>
                <w:sz w:val="23"/>
                <w:szCs w:val="23"/>
                <w:lang w:eastAsia="en-AU"/>
              </w:rPr>
            </w:pPr>
          </w:p>
          <w:p w14:paraId="04C2657D" w14:textId="7636E8A1" w:rsidR="00CE6B27" w:rsidRPr="0065289F" w:rsidRDefault="00CE6B27" w:rsidP="00F33F9F">
            <w:pPr>
              <w:rPr>
                <w:rFonts w:ascii="Corbel" w:hAnsi="Corbel"/>
                <w:i/>
                <w:iCs/>
                <w:color w:val="000000" w:themeColor="text1"/>
                <w:lang w:eastAsia="en-AU"/>
              </w:rPr>
            </w:pPr>
            <w:r w:rsidRPr="3A384CFA">
              <w:rPr>
                <w:rFonts w:ascii="Corbel" w:hAnsi="Corbel"/>
                <w:i/>
                <w:iCs/>
              </w:rPr>
              <w:t xml:space="preserve">Note: The Northern Territory baseline (per the 2021 Census) for the proportion of people (age 20-24) attaining Year 12 or equivalent </w:t>
            </w:r>
            <w:r w:rsidRPr="3A384CFA">
              <w:rPr>
                <w:rFonts w:ascii="Corbel" w:hAnsi="Corbel"/>
                <w:i/>
                <w:iCs/>
              </w:rPr>
              <w:lastRenderedPageBreak/>
              <w:t>qualification is 70.9</w:t>
            </w:r>
            <w:r w:rsidR="00275E17">
              <w:rPr>
                <w:rFonts w:ascii="Corbel" w:hAnsi="Corbel"/>
                <w:i/>
                <w:iCs/>
              </w:rPr>
              <w:t xml:space="preserve"> per cent</w:t>
            </w:r>
            <w:r w:rsidRPr="3A384CFA">
              <w:rPr>
                <w:rFonts w:ascii="Corbel" w:hAnsi="Corbel"/>
                <w:i/>
                <w:iCs/>
              </w:rPr>
              <w:t xml:space="preserve"> and the proportion of people (age 20-24) attaining Year 12 or equivalent qualification for Aboriginal and Torres Strait Islanders is 40.2</w:t>
            </w:r>
            <w:r w:rsidR="00807717">
              <w:rPr>
                <w:rFonts w:ascii="Corbel" w:hAnsi="Corbel"/>
                <w:i/>
                <w:iCs/>
              </w:rPr>
              <w:t>per cent</w:t>
            </w:r>
            <w:r w:rsidRPr="3A384CFA">
              <w:rPr>
                <w:rFonts w:ascii="Corbel" w:hAnsi="Corbel"/>
                <w:i/>
                <w:iCs/>
              </w:rPr>
              <w:t>.</w:t>
            </w:r>
          </w:p>
        </w:tc>
      </w:tr>
      <w:tr w:rsidR="00CE6B27" w:rsidRPr="00211AE0" w14:paraId="689FC864" w14:textId="77777777" w:rsidTr="00F33F9F">
        <w:trPr>
          <w:trHeight w:val="300"/>
        </w:trPr>
        <w:tc>
          <w:tcPr>
            <w:tcW w:w="2145" w:type="dxa"/>
            <w:vMerge/>
          </w:tcPr>
          <w:p w14:paraId="3ABBA92C" w14:textId="77777777" w:rsidR="00CE6B27" w:rsidRPr="00211AE0" w:rsidRDefault="00CE6B27" w:rsidP="00F33F9F">
            <w:pPr>
              <w:spacing w:after="0"/>
              <w:rPr>
                <w:rFonts w:ascii="Corbel" w:eastAsia="Corbel" w:hAnsi="Corbel"/>
                <w:color w:val="000000" w:themeColor="text1"/>
              </w:rPr>
            </w:pPr>
            <w:bookmarkStart w:id="0" w:name="_Hlk169459000"/>
          </w:p>
        </w:tc>
        <w:tc>
          <w:tcPr>
            <w:tcW w:w="6870" w:type="dxa"/>
            <w:tcBorders>
              <w:top w:val="single" w:sz="8" w:space="0" w:color="auto"/>
              <w:left w:val="single" w:sz="8" w:space="0" w:color="auto"/>
              <w:bottom w:val="single" w:sz="8" w:space="0" w:color="auto"/>
              <w:right w:val="single" w:sz="8" w:space="0" w:color="auto"/>
            </w:tcBorders>
          </w:tcPr>
          <w:p w14:paraId="4C55E2A9" w14:textId="77777777" w:rsidR="00CE6B27" w:rsidRPr="008E400A" w:rsidRDefault="00CE6B27" w:rsidP="00F33F9F">
            <w:pPr>
              <w:spacing w:after="0"/>
              <w:rPr>
                <w:rFonts w:ascii="Corbel" w:eastAsia="Calibri" w:hAnsi="Corbel" w:cs="Calibri"/>
                <w:b/>
                <w:color w:val="000000" w:themeColor="text1"/>
                <w:sz w:val="23"/>
                <w:szCs w:val="23"/>
              </w:rPr>
            </w:pPr>
            <w:r w:rsidRPr="008E400A">
              <w:rPr>
                <w:rFonts w:ascii="Corbel" w:eastAsia="Calibri" w:hAnsi="Corbel" w:cs="Calibri"/>
                <w:b/>
                <w:color w:val="000000" w:themeColor="text1"/>
                <w:sz w:val="23"/>
                <w:szCs w:val="23"/>
              </w:rPr>
              <w:t>Learning equity:</w:t>
            </w:r>
          </w:p>
          <w:p w14:paraId="15E559E5" w14:textId="77777777" w:rsidR="00CE6B27" w:rsidRPr="009E3ADB" w:rsidRDefault="00CE6B27" w:rsidP="00F33F9F">
            <w:pPr>
              <w:spacing w:after="0"/>
              <w:rPr>
                <w:rFonts w:ascii="Corbel" w:eastAsia="Calibri" w:hAnsi="Corbel" w:cs="Calibri"/>
                <w:i/>
                <w:iCs/>
                <w:color w:val="000000" w:themeColor="text1"/>
                <w:sz w:val="23"/>
                <w:szCs w:val="23"/>
              </w:rPr>
            </w:pPr>
            <w:r w:rsidRPr="3A384CFA">
              <w:rPr>
                <w:rFonts w:ascii="Corbel" w:eastAsia="Calibri" w:hAnsi="Corbel" w:cs="Calibri"/>
                <w:i/>
                <w:iCs/>
                <w:color w:val="000000" w:themeColor="text1"/>
                <w:sz w:val="23"/>
                <w:szCs w:val="23"/>
              </w:rPr>
              <w:t xml:space="preserve">To ensure that schooling delivers learning to all students, the Northern Territory and the Commonwealth agree to the following Improvement Measure focused on increasing proficiency in the skills needed to engage across the curriculum and striving for success for priority equity cohorts:  </w:t>
            </w:r>
          </w:p>
          <w:p w14:paraId="1AB65A45" w14:textId="77777777" w:rsidR="00CE6B27" w:rsidRPr="008E400A" w:rsidRDefault="00CE6B27" w:rsidP="00F33F9F">
            <w:pPr>
              <w:spacing w:after="0"/>
              <w:rPr>
                <w:rFonts w:ascii="Corbel" w:eastAsia="Calibri" w:hAnsi="Corbel" w:cs="Calibri"/>
                <w:i/>
                <w:color w:val="000000" w:themeColor="text1"/>
                <w:sz w:val="23"/>
                <w:szCs w:val="23"/>
              </w:rPr>
            </w:pPr>
          </w:p>
          <w:p w14:paraId="60B1C5C2" w14:textId="77777777" w:rsidR="00CE6B27" w:rsidRPr="008E400A" w:rsidRDefault="00CE6B27" w:rsidP="005E1D7C">
            <w:pPr>
              <w:pStyle w:val="ListParagraph"/>
              <w:numPr>
                <w:ilvl w:val="0"/>
                <w:numId w:val="33"/>
              </w:numPr>
              <w:spacing w:after="0" w:line="240" w:lineRule="auto"/>
              <w:contextualSpacing w:val="0"/>
              <w:rPr>
                <w:rFonts w:ascii="Corbel" w:hAnsi="Corbel"/>
                <w:sz w:val="23"/>
                <w:szCs w:val="23"/>
              </w:rPr>
            </w:pPr>
            <w:r w:rsidRPr="008E400A">
              <w:rPr>
                <w:rFonts w:ascii="Corbel" w:hAnsi="Corbel"/>
                <w:sz w:val="23"/>
                <w:szCs w:val="23"/>
              </w:rPr>
              <w:t>By 2030, in the National Assessment Program–Literacy and Numeracy (NAPLAN) for Reading of Years 3, 5, 7 and 9:</w:t>
            </w:r>
          </w:p>
          <w:p w14:paraId="1EFC8243" w14:textId="5A7F1101" w:rsidR="00CE6B27" w:rsidRPr="008E400A" w:rsidRDefault="00CE6B27" w:rsidP="005E1D7C">
            <w:pPr>
              <w:pStyle w:val="ListParagraph"/>
              <w:numPr>
                <w:ilvl w:val="1"/>
                <w:numId w:val="32"/>
              </w:numPr>
              <w:spacing w:after="0" w:line="240" w:lineRule="auto"/>
              <w:ind w:right="221"/>
              <w:contextualSpacing w:val="0"/>
              <w:rPr>
                <w:rFonts w:ascii="Corbel" w:hAnsi="Corbel" w:cs="Times New Roman"/>
                <w:sz w:val="23"/>
                <w:szCs w:val="23"/>
              </w:rPr>
            </w:pPr>
            <w:r w:rsidRPr="008E400A">
              <w:rPr>
                <w:rFonts w:ascii="Corbel" w:hAnsi="Corbel"/>
                <w:sz w:val="23"/>
                <w:szCs w:val="23"/>
              </w:rPr>
              <w:t>reduce the proportion of all students in the Needs Additional Support</w:t>
            </w:r>
            <w:r w:rsidR="00BF6388">
              <w:rPr>
                <w:rFonts w:ascii="Corbel" w:hAnsi="Corbel"/>
                <w:sz w:val="23"/>
                <w:szCs w:val="23"/>
              </w:rPr>
              <w:t xml:space="preserve"> </w:t>
            </w:r>
            <w:r w:rsidRPr="008E400A">
              <w:rPr>
                <w:rFonts w:ascii="Corbel" w:hAnsi="Corbel"/>
                <w:sz w:val="23"/>
                <w:szCs w:val="23"/>
              </w:rPr>
              <w:t>proficiency level by 10 per cent; and</w:t>
            </w:r>
          </w:p>
          <w:p w14:paraId="581E1590" w14:textId="77777777" w:rsidR="00CE6B27" w:rsidRPr="008E400A" w:rsidRDefault="00CE6B27" w:rsidP="005E1D7C">
            <w:pPr>
              <w:pStyle w:val="ListParagraph"/>
              <w:numPr>
                <w:ilvl w:val="1"/>
                <w:numId w:val="32"/>
              </w:numPr>
              <w:spacing w:after="0" w:line="240" w:lineRule="auto"/>
              <w:ind w:right="221"/>
              <w:contextualSpacing w:val="0"/>
              <w:rPr>
                <w:rFonts w:ascii="Corbel" w:hAnsi="Corbel" w:cs="Times New Roman"/>
                <w:sz w:val="23"/>
                <w:szCs w:val="23"/>
              </w:rPr>
            </w:pPr>
            <w:r w:rsidRPr="008E400A">
              <w:rPr>
                <w:rFonts w:ascii="Corbel" w:hAnsi="Corbel"/>
                <w:sz w:val="23"/>
                <w:szCs w:val="23"/>
              </w:rPr>
              <w:t>increase the proportion of all students in the Strong and Exceeding proficiency levels by 10 per cent.</w:t>
            </w:r>
          </w:p>
          <w:p w14:paraId="152E0B42" w14:textId="77777777" w:rsidR="00CE6B27" w:rsidRPr="008E400A" w:rsidRDefault="00CE6B27" w:rsidP="00F33F9F">
            <w:pPr>
              <w:pStyle w:val="ListParagraph"/>
              <w:spacing w:after="0" w:line="240" w:lineRule="auto"/>
              <w:ind w:left="1440" w:right="221"/>
              <w:rPr>
                <w:rFonts w:ascii="Corbel" w:hAnsi="Corbel" w:cs="Times New Roman"/>
                <w:sz w:val="23"/>
                <w:szCs w:val="23"/>
              </w:rPr>
            </w:pPr>
          </w:p>
          <w:p w14:paraId="2272A391" w14:textId="77777777" w:rsidR="00CE6B27" w:rsidRPr="008E400A" w:rsidRDefault="00CE6B27" w:rsidP="005E1D7C">
            <w:pPr>
              <w:pStyle w:val="ListParagraph"/>
              <w:numPr>
                <w:ilvl w:val="0"/>
                <w:numId w:val="33"/>
              </w:numPr>
              <w:spacing w:after="0" w:line="240" w:lineRule="auto"/>
              <w:contextualSpacing w:val="0"/>
              <w:rPr>
                <w:rFonts w:ascii="Corbel" w:hAnsi="Corbel"/>
                <w:sz w:val="23"/>
                <w:szCs w:val="23"/>
              </w:rPr>
            </w:pPr>
            <w:r w:rsidRPr="008E400A">
              <w:rPr>
                <w:rFonts w:ascii="Corbel" w:hAnsi="Corbel"/>
                <w:sz w:val="23"/>
                <w:szCs w:val="23"/>
              </w:rPr>
              <w:t>By 2030, in the National Assessment Program–Literacy and Numeracy (NAPLAN) for Numeracy, of Years 3, 5, 7 and 9:</w:t>
            </w:r>
          </w:p>
          <w:p w14:paraId="22F9BB2F" w14:textId="69CCF2DB" w:rsidR="00CE6B27" w:rsidRPr="008E400A" w:rsidRDefault="00CE6B27" w:rsidP="005E1D7C">
            <w:pPr>
              <w:pStyle w:val="ListParagraph"/>
              <w:numPr>
                <w:ilvl w:val="1"/>
                <w:numId w:val="32"/>
              </w:numPr>
              <w:spacing w:after="0" w:line="240" w:lineRule="auto"/>
              <w:ind w:right="221"/>
              <w:contextualSpacing w:val="0"/>
              <w:rPr>
                <w:rFonts w:ascii="Corbel" w:hAnsi="Corbel" w:cs="Times New Roman"/>
                <w:sz w:val="23"/>
                <w:szCs w:val="23"/>
              </w:rPr>
            </w:pPr>
            <w:r w:rsidRPr="008E400A">
              <w:rPr>
                <w:rFonts w:ascii="Corbel" w:hAnsi="Corbel"/>
                <w:sz w:val="23"/>
                <w:szCs w:val="23"/>
              </w:rPr>
              <w:t>reduce the proportion of all students in the Needs Additional Support proficiency level by 10 per cent; and</w:t>
            </w:r>
          </w:p>
          <w:p w14:paraId="618EB4D1" w14:textId="77777777" w:rsidR="00CE6B27" w:rsidRPr="008E400A" w:rsidRDefault="00CE6B27" w:rsidP="005E1D7C">
            <w:pPr>
              <w:pStyle w:val="ListParagraph"/>
              <w:numPr>
                <w:ilvl w:val="1"/>
                <w:numId w:val="32"/>
              </w:numPr>
              <w:spacing w:after="0" w:line="240" w:lineRule="auto"/>
              <w:ind w:right="221"/>
              <w:contextualSpacing w:val="0"/>
              <w:rPr>
                <w:rFonts w:ascii="Corbel" w:hAnsi="Corbel" w:cs="Times New Roman"/>
                <w:sz w:val="23"/>
                <w:szCs w:val="23"/>
              </w:rPr>
            </w:pPr>
            <w:r w:rsidRPr="008E400A">
              <w:rPr>
                <w:rFonts w:ascii="Corbel" w:hAnsi="Corbel"/>
                <w:sz w:val="23"/>
                <w:szCs w:val="23"/>
              </w:rPr>
              <w:t xml:space="preserve">increase the proportion of all students in the Strong and Exceeding proficiency levels by 10 per cent. </w:t>
            </w:r>
          </w:p>
          <w:p w14:paraId="3ABB9F5A" w14:textId="46F3F0FB" w:rsidR="00CE6B27" w:rsidRPr="008E400A" w:rsidRDefault="00CE6B27" w:rsidP="00F33F9F">
            <w:pPr>
              <w:spacing w:after="0" w:line="240" w:lineRule="auto"/>
              <w:ind w:right="221"/>
              <w:rPr>
                <w:rFonts w:ascii="Corbel" w:hAnsi="Corbel" w:cs="Times New Roman"/>
                <w:sz w:val="23"/>
                <w:szCs w:val="23"/>
              </w:rPr>
            </w:pPr>
          </w:p>
          <w:p w14:paraId="4ADD08FA" w14:textId="09E2DA30" w:rsidR="00CE6B27" w:rsidRPr="008E400A" w:rsidRDefault="00CE6B27" w:rsidP="005E1D7C">
            <w:pPr>
              <w:pStyle w:val="ListParagraph"/>
              <w:numPr>
                <w:ilvl w:val="0"/>
                <w:numId w:val="32"/>
              </w:numPr>
              <w:spacing w:after="0" w:line="240" w:lineRule="auto"/>
              <w:contextualSpacing w:val="0"/>
              <w:rPr>
                <w:rFonts w:ascii="Corbel" w:hAnsi="Corbel"/>
                <w:sz w:val="23"/>
                <w:szCs w:val="23"/>
              </w:rPr>
            </w:pPr>
            <w:r w:rsidRPr="008E400A">
              <w:rPr>
                <w:rFonts w:ascii="Corbel" w:hAnsi="Corbel"/>
                <w:sz w:val="23"/>
                <w:szCs w:val="23"/>
              </w:rPr>
              <w:t xml:space="preserve">and </w:t>
            </w:r>
            <w:r w:rsidR="00F87F0F">
              <w:rPr>
                <w:rFonts w:ascii="Corbel" w:hAnsi="Corbel"/>
                <w:sz w:val="23"/>
                <w:szCs w:val="23"/>
              </w:rPr>
              <w:t>trend upwards in</w:t>
            </w:r>
            <w:r w:rsidR="00F87F0F" w:rsidRPr="008E400A">
              <w:rPr>
                <w:rFonts w:ascii="Corbel" w:hAnsi="Corbel"/>
                <w:sz w:val="23"/>
                <w:szCs w:val="23"/>
              </w:rPr>
              <w:t xml:space="preserve"> </w:t>
            </w:r>
            <w:r w:rsidRPr="008E400A">
              <w:rPr>
                <w:rFonts w:ascii="Corbel" w:hAnsi="Corbel"/>
                <w:sz w:val="23"/>
                <w:szCs w:val="23"/>
              </w:rPr>
              <w:t>the proportion of priority equity cohort students (including Aboriginal and Torres Strait Islander students</w:t>
            </w:r>
            <w:r w:rsidR="00F87F0F">
              <w:rPr>
                <w:rFonts w:ascii="Corbel" w:hAnsi="Corbel"/>
                <w:sz w:val="23"/>
                <w:szCs w:val="23"/>
              </w:rPr>
              <w:t>, remote and very remote, and parental education (Year 11</w:t>
            </w:r>
            <w:r w:rsidR="00833F45">
              <w:rPr>
                <w:rFonts w:ascii="Corbel" w:hAnsi="Corbel"/>
                <w:sz w:val="23"/>
                <w:szCs w:val="23"/>
              </w:rPr>
              <w:t xml:space="preserve"> or below</w:t>
            </w:r>
            <w:r w:rsidR="00F87F0F">
              <w:rPr>
                <w:rFonts w:ascii="Corbel" w:hAnsi="Corbel"/>
                <w:sz w:val="23"/>
                <w:szCs w:val="23"/>
              </w:rPr>
              <w:t>))</w:t>
            </w:r>
            <w:r w:rsidRPr="008E400A">
              <w:rPr>
                <w:rFonts w:ascii="Corbel" w:hAnsi="Corbel"/>
                <w:sz w:val="23"/>
                <w:szCs w:val="23"/>
              </w:rPr>
              <w:t xml:space="preserve"> in the Strong and Exceeding proficiency levels.</w:t>
            </w:r>
          </w:p>
          <w:p w14:paraId="1CAE2B06" w14:textId="77777777" w:rsidR="00CE6B27" w:rsidRPr="00717DCF" w:rsidRDefault="00CE6B27" w:rsidP="00F33F9F">
            <w:pPr>
              <w:spacing w:after="0"/>
              <w:rPr>
                <w:rFonts w:ascii="Corbel" w:eastAsia="Calibri" w:hAnsi="Corbel" w:cs="Calibri"/>
                <w:sz w:val="23"/>
                <w:szCs w:val="23"/>
              </w:rPr>
            </w:pPr>
          </w:p>
          <w:p w14:paraId="60B5549A" w14:textId="77777777" w:rsidR="00CE6B27" w:rsidRPr="00717DCF" w:rsidRDefault="00CE6B27" w:rsidP="00F33F9F">
            <w:pPr>
              <w:spacing w:after="0"/>
              <w:rPr>
                <w:rFonts w:ascii="Corbel" w:eastAsia="Calibri" w:hAnsi="Corbel" w:cs="Calibri"/>
                <w:b/>
                <w:bCs/>
                <w:sz w:val="23"/>
                <w:szCs w:val="23"/>
              </w:rPr>
            </w:pPr>
            <w:r w:rsidRPr="00717DCF">
              <w:rPr>
                <w:rFonts w:ascii="Corbel" w:eastAsia="Calibri" w:hAnsi="Corbel" w:cs="Calibri"/>
                <w:b/>
                <w:bCs/>
                <w:sz w:val="23"/>
                <w:szCs w:val="23"/>
              </w:rPr>
              <w:t>Baseline and target</w:t>
            </w:r>
          </w:p>
          <w:p w14:paraId="277B8677" w14:textId="77777777" w:rsidR="00CE6B27" w:rsidRPr="008E400A" w:rsidRDefault="00CE6B27" w:rsidP="00F33F9F">
            <w:pPr>
              <w:rPr>
                <w:rFonts w:ascii="Corbel" w:hAnsi="Corbel"/>
                <w:sz w:val="23"/>
                <w:szCs w:val="23"/>
                <w:lang w:val="en-US"/>
              </w:rPr>
            </w:pPr>
            <w:r w:rsidRPr="008E400A">
              <w:rPr>
                <w:rFonts w:ascii="Corbel" w:hAnsi="Corbel"/>
                <w:sz w:val="23"/>
                <w:szCs w:val="23"/>
                <w:lang w:val="en-US"/>
              </w:rPr>
              <w:t>2023 baseline results and 2030 targets</w:t>
            </w:r>
          </w:p>
          <w:tbl>
            <w:tblPr>
              <w:tblW w:w="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134"/>
              <w:gridCol w:w="1093"/>
            </w:tblGrid>
            <w:tr w:rsidR="00CE6B27" w:rsidRPr="00717DCF" w14:paraId="3193F8AC" w14:textId="77777777" w:rsidTr="00F33F9F">
              <w:trPr>
                <w:trHeight w:val="300"/>
              </w:trPr>
              <w:tc>
                <w:tcPr>
                  <w:tcW w:w="2263" w:type="dxa"/>
                  <w:shd w:val="clear" w:color="auto" w:fill="auto"/>
                  <w:noWrap/>
                  <w:vAlign w:val="bottom"/>
                  <w:hideMark/>
                </w:tcPr>
                <w:p w14:paraId="48E259FF" w14:textId="11DDEC9F"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Measure</w:t>
                  </w:r>
                </w:p>
              </w:tc>
              <w:tc>
                <w:tcPr>
                  <w:tcW w:w="1418" w:type="dxa"/>
                  <w:shd w:val="clear" w:color="auto" w:fill="auto"/>
                  <w:noWrap/>
                  <w:vAlign w:val="bottom"/>
                  <w:hideMark/>
                </w:tcPr>
                <w:p w14:paraId="2EA37284"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Domain</w:t>
                  </w:r>
                </w:p>
              </w:tc>
              <w:tc>
                <w:tcPr>
                  <w:tcW w:w="1134" w:type="dxa"/>
                  <w:shd w:val="clear" w:color="auto" w:fill="auto"/>
                  <w:noWrap/>
                  <w:vAlign w:val="bottom"/>
                  <w:hideMark/>
                </w:tcPr>
                <w:p w14:paraId="4F6CF47D"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 xml:space="preserve">2023 </w:t>
                  </w:r>
                </w:p>
                <w:p w14:paraId="21EC44A4"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NT Actual</w:t>
                  </w:r>
                </w:p>
              </w:tc>
              <w:tc>
                <w:tcPr>
                  <w:tcW w:w="1093" w:type="dxa"/>
                  <w:shd w:val="clear" w:color="auto" w:fill="auto"/>
                  <w:noWrap/>
                  <w:vAlign w:val="bottom"/>
                  <w:hideMark/>
                </w:tcPr>
                <w:p w14:paraId="00120A45"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 xml:space="preserve">2030 </w:t>
                  </w:r>
                </w:p>
                <w:p w14:paraId="4F209F81"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NT Target</w:t>
                  </w:r>
                </w:p>
              </w:tc>
            </w:tr>
            <w:tr w:rsidR="00CE6B27" w:rsidRPr="00717DCF" w14:paraId="68AA5419" w14:textId="77777777" w:rsidTr="00F33F9F">
              <w:trPr>
                <w:trHeight w:val="300"/>
              </w:trPr>
              <w:tc>
                <w:tcPr>
                  <w:tcW w:w="2263" w:type="dxa"/>
                  <w:vMerge w:val="restart"/>
                  <w:shd w:val="clear" w:color="auto" w:fill="auto"/>
                  <w:vAlign w:val="center"/>
                  <w:hideMark/>
                </w:tcPr>
                <w:p w14:paraId="14B7B9AD" w14:textId="5F4F4C25"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 xml:space="preserve">Proportion of </w:t>
                  </w:r>
                  <w:r w:rsidR="00D05BDC">
                    <w:rPr>
                      <w:rFonts w:ascii="Corbel" w:eastAsia="Times New Roman" w:hAnsi="Corbel" w:cs="Calibri"/>
                      <w:color w:val="000000"/>
                      <w:sz w:val="23"/>
                      <w:szCs w:val="23"/>
                      <w:lang w:eastAsia="en-AU"/>
                    </w:rPr>
                    <w:t>Needs Additional Support (</w:t>
                  </w:r>
                  <w:r w:rsidRPr="008E400A">
                    <w:rPr>
                      <w:rFonts w:ascii="Corbel" w:eastAsia="Times New Roman" w:hAnsi="Corbel" w:cs="Calibri"/>
                      <w:color w:val="000000"/>
                      <w:sz w:val="23"/>
                      <w:szCs w:val="23"/>
                      <w:lang w:eastAsia="en-AU"/>
                    </w:rPr>
                    <w:t>NAS</w:t>
                  </w:r>
                  <w:r w:rsidR="00D05BDC">
                    <w:rPr>
                      <w:rFonts w:ascii="Corbel" w:eastAsia="Times New Roman" w:hAnsi="Corbel" w:cs="Calibri"/>
                      <w:color w:val="000000"/>
                      <w:sz w:val="23"/>
                      <w:szCs w:val="23"/>
                      <w:lang w:eastAsia="en-AU"/>
                    </w:rPr>
                    <w:t>)</w:t>
                  </w:r>
                  <w:r w:rsidRPr="008E400A">
                    <w:rPr>
                      <w:rFonts w:ascii="Corbel" w:eastAsia="Times New Roman" w:hAnsi="Corbel" w:cs="Calibri"/>
                      <w:color w:val="000000"/>
                      <w:sz w:val="23"/>
                      <w:szCs w:val="23"/>
                      <w:lang w:eastAsia="en-AU"/>
                    </w:rPr>
                    <w:t xml:space="preserve"> </w:t>
                  </w:r>
                </w:p>
              </w:tc>
              <w:tc>
                <w:tcPr>
                  <w:tcW w:w="1418" w:type="dxa"/>
                  <w:shd w:val="clear" w:color="auto" w:fill="auto"/>
                  <w:noWrap/>
                  <w:vAlign w:val="bottom"/>
                  <w:hideMark/>
                </w:tcPr>
                <w:p w14:paraId="675AD77F"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Reading</w:t>
                  </w:r>
                </w:p>
              </w:tc>
              <w:tc>
                <w:tcPr>
                  <w:tcW w:w="1134" w:type="dxa"/>
                  <w:shd w:val="clear" w:color="auto" w:fill="auto"/>
                  <w:noWrap/>
                  <w:vAlign w:val="bottom"/>
                  <w:hideMark/>
                </w:tcPr>
                <w:p w14:paraId="2309FF13"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33.3%</w:t>
                  </w:r>
                </w:p>
              </w:tc>
              <w:tc>
                <w:tcPr>
                  <w:tcW w:w="1093" w:type="dxa"/>
                  <w:shd w:val="clear" w:color="auto" w:fill="auto"/>
                  <w:noWrap/>
                  <w:hideMark/>
                </w:tcPr>
                <w:p w14:paraId="518B50DF" w14:textId="14AC309F"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hAnsi="Corbel"/>
                      <w:color w:val="000000"/>
                      <w:sz w:val="23"/>
                      <w:szCs w:val="23"/>
                      <w:lang w:eastAsia="en-AU"/>
                    </w:rPr>
                    <w:t>30.0%</w:t>
                  </w:r>
                </w:p>
              </w:tc>
            </w:tr>
            <w:tr w:rsidR="00CE6B27" w:rsidRPr="00717DCF" w14:paraId="0B89FDD7" w14:textId="77777777" w:rsidTr="00F33F9F">
              <w:trPr>
                <w:trHeight w:val="300"/>
              </w:trPr>
              <w:tc>
                <w:tcPr>
                  <w:tcW w:w="2263" w:type="dxa"/>
                  <w:vMerge/>
                  <w:vAlign w:val="center"/>
                  <w:hideMark/>
                </w:tcPr>
                <w:p w14:paraId="69694229"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p>
              </w:tc>
              <w:tc>
                <w:tcPr>
                  <w:tcW w:w="1418" w:type="dxa"/>
                  <w:shd w:val="clear" w:color="auto" w:fill="auto"/>
                  <w:noWrap/>
                  <w:vAlign w:val="bottom"/>
                  <w:hideMark/>
                </w:tcPr>
                <w:p w14:paraId="061BFB23"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Numeracy</w:t>
                  </w:r>
                </w:p>
              </w:tc>
              <w:tc>
                <w:tcPr>
                  <w:tcW w:w="1134" w:type="dxa"/>
                  <w:shd w:val="clear" w:color="auto" w:fill="auto"/>
                  <w:noWrap/>
                  <w:vAlign w:val="bottom"/>
                  <w:hideMark/>
                </w:tcPr>
                <w:p w14:paraId="7A7E11D4"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35.6%</w:t>
                  </w:r>
                </w:p>
              </w:tc>
              <w:tc>
                <w:tcPr>
                  <w:tcW w:w="1093" w:type="dxa"/>
                  <w:shd w:val="clear" w:color="auto" w:fill="auto"/>
                  <w:noWrap/>
                  <w:hideMark/>
                </w:tcPr>
                <w:p w14:paraId="517EE0FC" w14:textId="0EE9C69E"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hAnsi="Corbel"/>
                      <w:color w:val="000000"/>
                      <w:sz w:val="23"/>
                      <w:szCs w:val="23"/>
                      <w:lang w:eastAsia="en-AU"/>
                    </w:rPr>
                    <w:t>32.0%</w:t>
                  </w:r>
                </w:p>
              </w:tc>
            </w:tr>
            <w:tr w:rsidR="00CE6B27" w:rsidRPr="00717DCF" w14:paraId="70DFCF2B" w14:textId="77777777" w:rsidTr="00F33F9F">
              <w:trPr>
                <w:trHeight w:val="300"/>
              </w:trPr>
              <w:tc>
                <w:tcPr>
                  <w:tcW w:w="2263" w:type="dxa"/>
                  <w:vMerge w:val="restart"/>
                  <w:shd w:val="clear" w:color="auto" w:fill="auto"/>
                  <w:vAlign w:val="center"/>
                  <w:hideMark/>
                </w:tcPr>
                <w:p w14:paraId="47DBCFDC"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Proportion of Strong and Exceeding</w:t>
                  </w:r>
                </w:p>
              </w:tc>
              <w:tc>
                <w:tcPr>
                  <w:tcW w:w="1418" w:type="dxa"/>
                  <w:shd w:val="clear" w:color="auto" w:fill="auto"/>
                  <w:noWrap/>
                  <w:vAlign w:val="bottom"/>
                  <w:hideMark/>
                </w:tcPr>
                <w:p w14:paraId="56C211F2"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Reading</w:t>
                  </w:r>
                </w:p>
              </w:tc>
              <w:tc>
                <w:tcPr>
                  <w:tcW w:w="1134" w:type="dxa"/>
                  <w:shd w:val="clear" w:color="auto" w:fill="auto"/>
                  <w:noWrap/>
                  <w:vAlign w:val="bottom"/>
                  <w:hideMark/>
                </w:tcPr>
                <w:p w14:paraId="6E3767BF"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41.0%</w:t>
                  </w:r>
                </w:p>
              </w:tc>
              <w:tc>
                <w:tcPr>
                  <w:tcW w:w="1093" w:type="dxa"/>
                  <w:shd w:val="clear" w:color="auto" w:fill="auto"/>
                  <w:noWrap/>
                  <w:hideMark/>
                </w:tcPr>
                <w:p w14:paraId="5E940DBC" w14:textId="674277CF"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hAnsi="Corbel"/>
                      <w:color w:val="000000"/>
                      <w:sz w:val="23"/>
                      <w:szCs w:val="23"/>
                      <w:lang w:eastAsia="en-AU"/>
                    </w:rPr>
                    <w:t>45.1%</w:t>
                  </w:r>
                </w:p>
              </w:tc>
            </w:tr>
            <w:tr w:rsidR="00CE6B27" w:rsidRPr="00717DCF" w14:paraId="7F238A62" w14:textId="77777777" w:rsidTr="00F33F9F">
              <w:trPr>
                <w:trHeight w:val="300"/>
              </w:trPr>
              <w:tc>
                <w:tcPr>
                  <w:tcW w:w="2263" w:type="dxa"/>
                  <w:vMerge/>
                  <w:vAlign w:val="center"/>
                  <w:hideMark/>
                </w:tcPr>
                <w:p w14:paraId="551B97B6"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p>
              </w:tc>
              <w:tc>
                <w:tcPr>
                  <w:tcW w:w="1418" w:type="dxa"/>
                  <w:shd w:val="clear" w:color="auto" w:fill="auto"/>
                  <w:noWrap/>
                  <w:vAlign w:val="bottom"/>
                  <w:hideMark/>
                </w:tcPr>
                <w:p w14:paraId="1E97FAF5" w14:textId="77777777" w:rsidR="00CE6B27" w:rsidRPr="008E400A" w:rsidRDefault="00CE6B27" w:rsidP="00F33F9F">
                  <w:pPr>
                    <w:spacing w:after="0" w:line="240" w:lineRule="auto"/>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Numeracy</w:t>
                  </w:r>
                </w:p>
              </w:tc>
              <w:tc>
                <w:tcPr>
                  <w:tcW w:w="1134" w:type="dxa"/>
                  <w:shd w:val="clear" w:color="auto" w:fill="auto"/>
                  <w:noWrap/>
                  <w:vAlign w:val="bottom"/>
                  <w:hideMark/>
                </w:tcPr>
                <w:p w14:paraId="47835AAD" w14:textId="77777777"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eastAsia="Times New Roman" w:hAnsi="Corbel" w:cs="Calibri"/>
                      <w:color w:val="000000"/>
                      <w:sz w:val="23"/>
                      <w:szCs w:val="23"/>
                      <w:lang w:eastAsia="en-AU"/>
                    </w:rPr>
                    <w:t>37.6%</w:t>
                  </w:r>
                </w:p>
              </w:tc>
              <w:tc>
                <w:tcPr>
                  <w:tcW w:w="1093" w:type="dxa"/>
                  <w:shd w:val="clear" w:color="auto" w:fill="auto"/>
                  <w:noWrap/>
                  <w:hideMark/>
                </w:tcPr>
                <w:p w14:paraId="153A783D" w14:textId="6D534A15" w:rsidR="00CE6B27" w:rsidRPr="008E400A" w:rsidRDefault="00CE6B27" w:rsidP="00F33F9F">
                  <w:pPr>
                    <w:spacing w:after="0" w:line="240" w:lineRule="auto"/>
                    <w:jc w:val="center"/>
                    <w:rPr>
                      <w:rFonts w:ascii="Corbel" w:eastAsia="Times New Roman" w:hAnsi="Corbel" w:cs="Calibri"/>
                      <w:color w:val="000000"/>
                      <w:sz w:val="23"/>
                      <w:szCs w:val="23"/>
                      <w:lang w:eastAsia="en-AU"/>
                    </w:rPr>
                  </w:pPr>
                  <w:r w:rsidRPr="008E400A">
                    <w:rPr>
                      <w:rFonts w:ascii="Corbel" w:hAnsi="Corbel"/>
                      <w:color w:val="000000"/>
                      <w:sz w:val="23"/>
                      <w:szCs w:val="23"/>
                      <w:lang w:eastAsia="en-AU"/>
                    </w:rPr>
                    <w:t>41.4%</w:t>
                  </w:r>
                </w:p>
              </w:tc>
            </w:tr>
          </w:tbl>
          <w:p w14:paraId="41DD7A0B" w14:textId="239C7EB0" w:rsidR="00CE6B27" w:rsidRPr="00717DCF" w:rsidRDefault="00714DA3" w:rsidP="00E617AD">
            <w:pPr>
              <w:spacing w:after="160" w:line="259" w:lineRule="auto"/>
              <w:rPr>
                <w:rFonts w:ascii="Corbel" w:eastAsia="Calibri" w:hAnsi="Corbel" w:cs="Calibri"/>
                <w:b/>
                <w:sz w:val="23"/>
                <w:szCs w:val="23"/>
              </w:rPr>
            </w:pPr>
            <w:r>
              <w:rPr>
                <w:rFonts w:ascii="Corbel" w:hAnsi="Corbel"/>
                <w:sz w:val="23"/>
                <w:szCs w:val="23"/>
                <w:lang w:val="en-US"/>
              </w:rPr>
              <w:t xml:space="preserve">Note: </w:t>
            </w:r>
            <w:r w:rsidRPr="00DE23B9">
              <w:rPr>
                <w:rFonts w:ascii="Corbel" w:hAnsi="Corbel"/>
                <w:sz w:val="23"/>
                <w:szCs w:val="23"/>
                <w:lang w:val="en-US"/>
              </w:rPr>
              <w:t xml:space="preserve">Parties will monitor NAPLAN participation and exemption rates, to ensure these do not impact efforts to measure and improve </w:t>
            </w:r>
            <w:r w:rsidRPr="00DE23B9">
              <w:rPr>
                <w:rFonts w:ascii="Corbel" w:hAnsi="Corbel"/>
                <w:sz w:val="23"/>
                <w:szCs w:val="23"/>
                <w:lang w:val="en-US"/>
              </w:rPr>
              <w:lastRenderedPageBreak/>
              <w:t>proficiency levels of all students and for students from priority equity groups.</w:t>
            </w:r>
          </w:p>
        </w:tc>
      </w:tr>
      <w:bookmarkEnd w:id="0"/>
      <w:tr w:rsidR="00CE6B27" w:rsidRPr="00211AE0" w14:paraId="50CD67D0" w14:textId="77777777" w:rsidTr="00F33F9F">
        <w:trPr>
          <w:trHeight w:val="300"/>
        </w:trPr>
        <w:tc>
          <w:tcPr>
            <w:tcW w:w="2145" w:type="dxa"/>
            <w:tcBorders>
              <w:top w:val="single" w:sz="8" w:space="0" w:color="auto"/>
              <w:left w:val="single" w:sz="8" w:space="0" w:color="auto"/>
              <w:bottom w:val="single" w:sz="8" w:space="0" w:color="auto"/>
              <w:right w:val="single" w:sz="8" w:space="0" w:color="auto"/>
            </w:tcBorders>
          </w:tcPr>
          <w:p w14:paraId="54D7A0B5" w14:textId="77777777" w:rsidR="00CE6B27" w:rsidRPr="00211AE0" w:rsidRDefault="00CE6B27" w:rsidP="00F33F9F">
            <w:pPr>
              <w:spacing w:after="0"/>
              <w:rPr>
                <w:rFonts w:ascii="Corbel" w:eastAsia="Corbel" w:hAnsi="Corbel"/>
                <w:b/>
                <w:bCs/>
                <w:color w:val="000000" w:themeColor="text1"/>
              </w:rPr>
            </w:pPr>
            <w:r w:rsidRPr="00211AE0">
              <w:rPr>
                <w:rFonts w:ascii="Corbel" w:eastAsia="Corbel" w:hAnsi="Corbel"/>
                <w:b/>
                <w:bCs/>
                <w:color w:val="000000" w:themeColor="text1"/>
              </w:rPr>
              <w:lastRenderedPageBreak/>
              <w:t>Wellbeing for Learning and Engagement</w:t>
            </w:r>
          </w:p>
        </w:tc>
        <w:tc>
          <w:tcPr>
            <w:tcW w:w="6870" w:type="dxa"/>
            <w:tcBorders>
              <w:top w:val="single" w:sz="8" w:space="0" w:color="auto"/>
              <w:left w:val="single" w:sz="8" w:space="0" w:color="auto"/>
              <w:bottom w:val="single" w:sz="8" w:space="0" w:color="auto"/>
              <w:right w:val="single" w:sz="8" w:space="0" w:color="auto"/>
            </w:tcBorders>
          </w:tcPr>
          <w:p w14:paraId="6F3D2DAC" w14:textId="77777777" w:rsidR="00CE6B27" w:rsidRPr="00D84E41" w:rsidRDefault="00CE6B27" w:rsidP="00F33F9F">
            <w:pPr>
              <w:spacing w:after="0" w:line="257" w:lineRule="auto"/>
              <w:rPr>
                <w:rFonts w:ascii="Corbel" w:eastAsia="Calibri" w:hAnsi="Corbel" w:cs="Calibri"/>
                <w:b/>
                <w:sz w:val="23"/>
                <w:szCs w:val="23"/>
              </w:rPr>
            </w:pPr>
            <w:r w:rsidRPr="00D84E41">
              <w:rPr>
                <w:rFonts w:ascii="Corbel" w:eastAsia="Calibri" w:hAnsi="Corbel" w:cs="Calibri"/>
                <w:b/>
                <w:sz w:val="23"/>
                <w:szCs w:val="23"/>
              </w:rPr>
              <w:t>Student attendance:</w:t>
            </w:r>
          </w:p>
          <w:p w14:paraId="190E0B3C" w14:textId="77777777" w:rsidR="00CE6B27" w:rsidRPr="00D84E41" w:rsidRDefault="00CE6B27" w:rsidP="00F33F9F">
            <w:pPr>
              <w:spacing w:line="257" w:lineRule="auto"/>
              <w:rPr>
                <w:rFonts w:ascii="Corbel" w:eastAsia="Calibri" w:hAnsi="Corbel" w:cs="Calibri"/>
                <w:i/>
                <w:sz w:val="23"/>
                <w:szCs w:val="23"/>
              </w:rPr>
            </w:pPr>
            <w:r w:rsidRPr="00D84E41">
              <w:rPr>
                <w:rFonts w:ascii="Corbel" w:eastAsia="Calibri" w:hAnsi="Corbel" w:cs="Calibri"/>
                <w:i/>
                <w:sz w:val="23"/>
                <w:szCs w:val="23"/>
              </w:rPr>
              <w:t xml:space="preserve">Recognising that reform efforts to lift learning outcomes and improve wellbeing can be effective only if students are attending schools, the </w:t>
            </w:r>
            <w:r w:rsidRPr="00D84E41">
              <w:rPr>
                <w:rFonts w:ascii="Corbel" w:eastAsia="Times New Roman" w:hAnsi="Corbel" w:cs="Calibri"/>
                <w:i/>
                <w:sz w:val="23"/>
                <w:szCs w:val="23"/>
                <w:lang w:eastAsia="en-AU"/>
              </w:rPr>
              <w:t>Northern Territory and the Commonwealth</w:t>
            </w:r>
            <w:r w:rsidRPr="00D84E41">
              <w:rPr>
                <w:rFonts w:ascii="Corbel" w:eastAsia="Times New Roman" w:hAnsi="Corbel" w:cs="Calibri"/>
                <w:sz w:val="23"/>
                <w:szCs w:val="23"/>
                <w:lang w:eastAsia="en-AU"/>
              </w:rPr>
              <w:t xml:space="preserve"> </w:t>
            </w:r>
            <w:r w:rsidRPr="00D84E41">
              <w:rPr>
                <w:rFonts w:ascii="Corbel" w:eastAsia="Calibri" w:hAnsi="Corbel" w:cs="Calibri"/>
                <w:i/>
                <w:sz w:val="23"/>
                <w:szCs w:val="23"/>
              </w:rPr>
              <w:t>agree to the following improvement measure:</w:t>
            </w:r>
          </w:p>
          <w:p w14:paraId="4AD1B811" w14:textId="338764CC" w:rsidR="00CE6B27" w:rsidRPr="00211AE0" w:rsidRDefault="00CE6B27" w:rsidP="005E1D7C">
            <w:pPr>
              <w:pStyle w:val="ListParagraph"/>
              <w:numPr>
                <w:ilvl w:val="0"/>
                <w:numId w:val="27"/>
              </w:numPr>
              <w:tabs>
                <w:tab w:val="left" w:pos="720"/>
              </w:tabs>
              <w:spacing w:after="240" w:line="257" w:lineRule="auto"/>
              <w:contextualSpacing w:val="0"/>
              <w:rPr>
                <w:rFonts w:ascii="Corbel" w:eastAsia="Calibri" w:hAnsi="Corbel" w:cs="Calibri"/>
                <w:sz w:val="23"/>
                <w:szCs w:val="23"/>
              </w:rPr>
            </w:pPr>
            <w:r w:rsidRPr="00211AE0">
              <w:rPr>
                <w:rFonts w:ascii="Corbel" w:eastAsia="Calibri" w:hAnsi="Corbel" w:cs="Calibri"/>
                <w:sz w:val="23"/>
                <w:szCs w:val="23"/>
              </w:rPr>
              <w:t xml:space="preserve">By 2030, </w:t>
            </w:r>
            <w:r>
              <w:rPr>
                <w:rFonts w:ascii="Corbel" w:eastAsia="Calibri" w:hAnsi="Corbel" w:cs="Calibri"/>
                <w:sz w:val="23"/>
                <w:szCs w:val="23"/>
              </w:rPr>
              <w:t>increase the overall</w:t>
            </w:r>
            <w:r w:rsidRPr="00211AE0">
              <w:rPr>
                <w:rFonts w:ascii="Corbel" w:eastAsia="Calibri" w:hAnsi="Corbel" w:cs="Calibri"/>
                <w:sz w:val="23"/>
                <w:szCs w:val="23"/>
              </w:rPr>
              <w:t xml:space="preserve"> Student Attendance Rate</w:t>
            </w:r>
            <w:r>
              <w:rPr>
                <w:rFonts w:ascii="Corbel" w:eastAsia="Calibri" w:hAnsi="Corbel" w:cs="Calibri"/>
                <w:sz w:val="23"/>
                <w:szCs w:val="23"/>
              </w:rPr>
              <w:t xml:space="preserve"> in the Northern Territory to</w:t>
            </w:r>
            <w:r w:rsidRPr="00211AE0">
              <w:rPr>
                <w:rFonts w:ascii="Corbel" w:eastAsia="Calibri" w:hAnsi="Corbel" w:cs="Calibri"/>
                <w:sz w:val="23"/>
                <w:szCs w:val="23"/>
              </w:rPr>
              <w:t xml:space="preserve"> </w:t>
            </w:r>
            <w:r>
              <w:rPr>
                <w:rFonts w:ascii="Corbel" w:eastAsia="Calibri" w:hAnsi="Corbel" w:cs="Calibri"/>
                <w:sz w:val="23"/>
                <w:szCs w:val="23"/>
              </w:rPr>
              <w:t>79.7</w:t>
            </w:r>
            <w:r w:rsidR="00807717">
              <w:rPr>
                <w:rFonts w:ascii="Corbel" w:eastAsia="Calibri" w:hAnsi="Corbel" w:cs="Calibri"/>
                <w:sz w:val="23"/>
                <w:szCs w:val="23"/>
              </w:rPr>
              <w:t xml:space="preserve"> per cent</w:t>
            </w:r>
            <w:r w:rsidRPr="00211AE0">
              <w:rPr>
                <w:rFonts w:ascii="Corbel" w:eastAsia="Calibri" w:hAnsi="Corbel" w:cs="Calibri"/>
                <w:sz w:val="23"/>
                <w:szCs w:val="23"/>
              </w:rPr>
              <w:t xml:space="preserve"> (2019 levels):</w:t>
            </w:r>
          </w:p>
          <w:p w14:paraId="6A8F31A6" w14:textId="77777777" w:rsidR="00CE6B27" w:rsidRPr="00D84E41" w:rsidRDefault="00CE6B27" w:rsidP="005E1D7C">
            <w:pPr>
              <w:pStyle w:val="ListParagraph"/>
              <w:numPr>
                <w:ilvl w:val="1"/>
                <w:numId w:val="27"/>
              </w:numPr>
              <w:spacing w:after="0" w:line="257" w:lineRule="auto"/>
              <w:contextualSpacing w:val="0"/>
              <w:rPr>
                <w:rFonts w:ascii="Corbel" w:eastAsia="Corbel" w:hAnsi="Corbel" w:cs="Corbel"/>
                <w:sz w:val="23"/>
                <w:szCs w:val="23"/>
              </w:rPr>
            </w:pPr>
            <w:r>
              <w:rPr>
                <w:rFonts w:ascii="Corbel" w:eastAsia="Corbel" w:hAnsi="Corbel" w:cs="Corbel"/>
                <w:color w:val="000000" w:themeColor="text1"/>
                <w:sz w:val="23"/>
                <w:szCs w:val="23"/>
              </w:rPr>
              <w:t>a</w:t>
            </w:r>
            <w:r w:rsidRPr="00D84E41">
              <w:rPr>
                <w:rFonts w:ascii="Corbel" w:eastAsia="Corbel" w:hAnsi="Corbel" w:cs="Corbel"/>
                <w:color w:val="000000" w:themeColor="text1"/>
                <w:sz w:val="23"/>
                <w:szCs w:val="23"/>
              </w:rPr>
              <w:t>nd</w:t>
            </w:r>
            <w:r>
              <w:rPr>
                <w:rFonts w:ascii="Corbel" w:eastAsia="Corbel" w:hAnsi="Corbel" w:cs="Corbel"/>
                <w:color w:val="000000" w:themeColor="text1"/>
                <w:sz w:val="23"/>
                <w:szCs w:val="23"/>
              </w:rPr>
              <w:t xml:space="preserve"> return to 2019 levels</w:t>
            </w:r>
            <w:r w:rsidRPr="00D84E41">
              <w:rPr>
                <w:rFonts w:ascii="Corbel" w:eastAsia="Corbel" w:hAnsi="Corbel" w:cs="Corbel"/>
                <w:color w:val="000000" w:themeColor="text1"/>
                <w:sz w:val="23"/>
                <w:szCs w:val="23"/>
              </w:rPr>
              <w:t xml:space="preserve"> for the </w:t>
            </w:r>
            <w:r w:rsidRPr="00D84E41">
              <w:rPr>
                <w:rFonts w:ascii="Corbel" w:eastAsia="Calibri" w:hAnsi="Corbel" w:cs="Calibri"/>
                <w:color w:val="000000" w:themeColor="text1"/>
                <w:sz w:val="23"/>
                <w:szCs w:val="23"/>
              </w:rPr>
              <w:t>following priority equity cohorts</w:t>
            </w:r>
            <w:r w:rsidRPr="00D84E41">
              <w:rPr>
                <w:rFonts w:ascii="Corbel" w:eastAsia="Corbel" w:hAnsi="Corbel" w:cs="Corbel"/>
                <w:color w:val="000000" w:themeColor="text1"/>
                <w:sz w:val="23"/>
                <w:szCs w:val="23"/>
              </w:rPr>
              <w:t xml:space="preserve">: </w:t>
            </w:r>
          </w:p>
          <w:p w14:paraId="1270A678" w14:textId="77777777" w:rsidR="00CE6B27" w:rsidRPr="00D84E41" w:rsidRDefault="00CE6B27" w:rsidP="005E1D7C">
            <w:pPr>
              <w:pStyle w:val="ListParagraph"/>
              <w:numPr>
                <w:ilvl w:val="2"/>
                <w:numId w:val="27"/>
              </w:numPr>
              <w:spacing w:after="0" w:line="257" w:lineRule="auto"/>
              <w:rPr>
                <w:rFonts w:ascii="Corbel" w:eastAsia="Corbel" w:hAnsi="Corbel" w:cs="Corbel"/>
                <w:sz w:val="23"/>
                <w:szCs w:val="23"/>
              </w:rPr>
            </w:pPr>
            <w:r w:rsidRPr="3A384CFA">
              <w:rPr>
                <w:rFonts w:ascii="Corbel" w:eastAsia="Corbel" w:hAnsi="Corbel" w:cs="Corbel"/>
                <w:color w:val="000000" w:themeColor="text1"/>
                <w:sz w:val="23"/>
                <w:szCs w:val="23"/>
              </w:rPr>
              <w:t xml:space="preserve">Aboriginal and Torres Strait Islander students; </w:t>
            </w:r>
          </w:p>
          <w:p w14:paraId="06AEF20F" w14:textId="77777777" w:rsidR="00CE6B27" w:rsidRPr="007B06CB" w:rsidRDefault="00CE6B27" w:rsidP="005E1D7C">
            <w:pPr>
              <w:pStyle w:val="ListParagraph"/>
              <w:numPr>
                <w:ilvl w:val="2"/>
                <w:numId w:val="27"/>
              </w:numPr>
              <w:spacing w:after="0" w:line="257" w:lineRule="auto"/>
              <w:contextualSpacing w:val="0"/>
              <w:rPr>
                <w:rFonts w:ascii="Corbel" w:eastAsia="Calibri" w:hAnsi="Corbel" w:cs="Calibri"/>
                <w:color w:val="000000" w:themeColor="text1"/>
                <w:sz w:val="23"/>
                <w:szCs w:val="23"/>
              </w:rPr>
            </w:pPr>
            <w:r w:rsidRPr="00C852E5">
              <w:rPr>
                <w:rFonts w:ascii="Corbel" w:eastAsia="Calibri" w:hAnsi="Corbel" w:cs="Calibri"/>
                <w:color w:val="000000" w:themeColor="text1"/>
                <w:sz w:val="23"/>
                <w:szCs w:val="23"/>
              </w:rPr>
              <w:t>students from remote locations</w:t>
            </w:r>
            <w:r>
              <w:rPr>
                <w:rFonts w:ascii="Corbel" w:eastAsia="Calibri" w:hAnsi="Corbel" w:cs="Calibri"/>
                <w:color w:val="000000" w:themeColor="text1"/>
                <w:sz w:val="23"/>
                <w:szCs w:val="23"/>
              </w:rPr>
              <w:t>;</w:t>
            </w:r>
            <w:r w:rsidRPr="007B06CB">
              <w:rPr>
                <w:rFonts w:ascii="Corbel" w:eastAsia="Calibri" w:hAnsi="Corbel" w:cs="Calibri"/>
                <w:color w:val="000000" w:themeColor="text1"/>
                <w:sz w:val="23"/>
                <w:szCs w:val="23"/>
              </w:rPr>
              <w:t xml:space="preserve"> </w:t>
            </w:r>
          </w:p>
          <w:p w14:paraId="0088E03A" w14:textId="346BE73D" w:rsidR="00CE6B27" w:rsidRPr="00226967" w:rsidRDefault="00CE6B27" w:rsidP="005E1D7C">
            <w:pPr>
              <w:pStyle w:val="ListParagraph"/>
              <w:numPr>
                <w:ilvl w:val="2"/>
                <w:numId w:val="27"/>
              </w:numPr>
              <w:spacing w:after="0" w:line="257" w:lineRule="auto"/>
              <w:contextualSpacing w:val="0"/>
            </w:pPr>
            <w:r>
              <w:rPr>
                <w:rFonts w:ascii="Corbel" w:eastAsia="Calibri" w:hAnsi="Corbel" w:cs="Calibri"/>
                <w:color w:val="000000" w:themeColor="text1"/>
                <w:sz w:val="23"/>
                <w:szCs w:val="23"/>
              </w:rPr>
              <w:t>s</w:t>
            </w:r>
            <w:r w:rsidRPr="007B06CB">
              <w:rPr>
                <w:rFonts w:ascii="Corbel" w:eastAsia="Calibri" w:hAnsi="Corbel" w:cs="Calibri"/>
                <w:color w:val="000000" w:themeColor="text1"/>
                <w:sz w:val="23"/>
                <w:szCs w:val="23"/>
              </w:rPr>
              <w:t>tudents from very remote</w:t>
            </w:r>
            <w:r w:rsidR="00EF3653">
              <w:rPr>
                <w:rFonts w:ascii="Corbel" w:eastAsia="Calibri" w:hAnsi="Corbel" w:cs="Calibri"/>
                <w:color w:val="000000" w:themeColor="text1"/>
                <w:sz w:val="23"/>
                <w:szCs w:val="23"/>
              </w:rPr>
              <w:t xml:space="preserve"> locations</w:t>
            </w:r>
            <w:r>
              <w:rPr>
                <w:rFonts w:ascii="Corbel" w:eastAsia="Calibri" w:hAnsi="Corbel" w:cs="Calibri"/>
                <w:color w:val="000000" w:themeColor="text1"/>
                <w:sz w:val="23"/>
                <w:szCs w:val="23"/>
              </w:rPr>
              <w:t>;</w:t>
            </w:r>
            <w:r w:rsidRPr="007B06CB">
              <w:rPr>
                <w:rFonts w:ascii="Corbel" w:eastAsia="Calibri" w:hAnsi="Corbel" w:cs="Calibri"/>
                <w:color w:val="000000" w:themeColor="text1"/>
                <w:sz w:val="23"/>
                <w:szCs w:val="23"/>
              </w:rPr>
              <w:t xml:space="preserve"> </w:t>
            </w:r>
            <w:r w:rsidRPr="00C852E5">
              <w:rPr>
                <w:rFonts w:ascii="Corbel" w:eastAsia="Calibri" w:hAnsi="Corbel" w:cs="Calibri"/>
                <w:color w:val="000000" w:themeColor="text1"/>
                <w:sz w:val="23"/>
                <w:szCs w:val="23"/>
              </w:rPr>
              <w:t xml:space="preserve"> </w:t>
            </w:r>
          </w:p>
          <w:p w14:paraId="1E0EBC15" w14:textId="77777777" w:rsidR="00CE6B27" w:rsidRPr="00226967" w:rsidRDefault="00CE6B27" w:rsidP="005E1D7C">
            <w:pPr>
              <w:pStyle w:val="ListParagraph"/>
              <w:numPr>
                <w:ilvl w:val="2"/>
                <w:numId w:val="27"/>
              </w:numPr>
              <w:spacing w:after="240" w:line="257" w:lineRule="auto"/>
              <w:contextualSpacing w:val="0"/>
            </w:pPr>
            <w:r w:rsidRPr="00226967">
              <w:rPr>
                <w:rFonts w:ascii="Corbel" w:eastAsia="Corbel" w:hAnsi="Corbel" w:cs="Corbel"/>
                <w:sz w:val="23"/>
                <w:szCs w:val="23"/>
              </w:rPr>
              <w:t>low socio- education advantage schools</w:t>
            </w:r>
            <w:r w:rsidRPr="00226967">
              <w:rPr>
                <w:rFonts w:ascii="Corbel" w:eastAsia="Corbel" w:hAnsi="Corbel" w:cs="Corbel"/>
                <w:color w:val="000000" w:themeColor="text1"/>
                <w:sz w:val="23"/>
                <w:szCs w:val="23"/>
              </w:rPr>
              <w:t xml:space="preserve"> </w:t>
            </w:r>
            <w:r w:rsidRPr="00226967">
              <w:rPr>
                <w:rFonts w:ascii="Corbel" w:eastAsia="Corbel" w:hAnsi="Corbel" w:cs="Corbel"/>
                <w:sz w:val="23"/>
                <w:szCs w:val="23"/>
              </w:rPr>
              <w:t xml:space="preserve">*. </w:t>
            </w:r>
          </w:p>
          <w:p w14:paraId="36522F26" w14:textId="7DB1B8F1" w:rsidR="00CE6B27" w:rsidRPr="00226967" w:rsidRDefault="00CE6B27" w:rsidP="00F33F9F">
            <w:pPr>
              <w:spacing w:after="0"/>
              <w:rPr>
                <w:rFonts w:ascii="Corbel" w:eastAsia="Calibri" w:hAnsi="Corbel" w:cs="Calibri"/>
                <w:color w:val="000000" w:themeColor="text1"/>
                <w:sz w:val="23"/>
                <w:szCs w:val="23"/>
              </w:rPr>
            </w:pPr>
            <w:r w:rsidRPr="00226967">
              <w:rPr>
                <w:rFonts w:ascii="Corbel" w:eastAsia="Calibri" w:hAnsi="Corbel" w:cs="Calibri"/>
                <w:sz w:val="23"/>
                <w:szCs w:val="23"/>
              </w:rPr>
              <w:t>Note: Student Attendance Rate i</w:t>
            </w:r>
            <w:r w:rsidRPr="00226967">
              <w:rPr>
                <w:rFonts w:ascii="Corbel" w:eastAsiaTheme="minorEastAsia" w:hAnsi="Corbel"/>
                <w:color w:val="000000" w:themeColor="text1"/>
                <w:sz w:val="23"/>
                <w:szCs w:val="23"/>
              </w:rPr>
              <w:t xml:space="preserve">s the number of </w:t>
            </w:r>
            <w:r w:rsidR="00DD65B5">
              <w:rPr>
                <w:rFonts w:ascii="Corbel" w:eastAsiaTheme="minorEastAsia" w:hAnsi="Corbel"/>
                <w:color w:val="000000" w:themeColor="text1"/>
                <w:sz w:val="23"/>
                <w:szCs w:val="23"/>
              </w:rPr>
              <w:t>full</w:t>
            </w:r>
            <w:r w:rsidR="00DD65B5">
              <w:rPr>
                <w:rFonts w:ascii="Corbel" w:eastAsiaTheme="minorEastAsia" w:hAnsi="Corbel"/>
                <w:color w:val="000000" w:themeColor="text1"/>
                <w:sz w:val="23"/>
                <w:szCs w:val="23"/>
              </w:rPr>
              <w:noBreakHyphen/>
              <w:t xml:space="preserve">time equivalent </w:t>
            </w:r>
            <w:r w:rsidRPr="00226967">
              <w:rPr>
                <w:rFonts w:ascii="Corbel" w:eastAsiaTheme="minorEastAsia" w:hAnsi="Corbel"/>
                <w:color w:val="000000" w:themeColor="text1"/>
                <w:sz w:val="23"/>
                <w:szCs w:val="23"/>
              </w:rPr>
              <w:t xml:space="preserve">student-days attended by full time students in Years </w:t>
            </w:r>
            <w:r w:rsidR="00060ABD">
              <w:rPr>
                <w:rFonts w:ascii="Corbel" w:eastAsiaTheme="minorEastAsia" w:hAnsi="Corbel"/>
                <w:color w:val="000000" w:themeColor="text1"/>
                <w:sz w:val="23"/>
                <w:szCs w:val="23"/>
              </w:rPr>
              <w:t>1</w:t>
            </w:r>
            <w:r w:rsidRPr="00226967">
              <w:rPr>
                <w:rFonts w:ascii="Corbel" w:eastAsiaTheme="minorEastAsia" w:hAnsi="Corbel"/>
                <w:color w:val="000000" w:themeColor="text1"/>
                <w:sz w:val="23"/>
                <w:szCs w:val="23"/>
              </w:rPr>
              <w:t xml:space="preserve"> to 10 as a percentage of the total number of possible student-days</w:t>
            </w:r>
            <w:r w:rsidRPr="00226967">
              <w:rPr>
                <w:rFonts w:ascii="Corbel" w:eastAsia="Calibri" w:hAnsi="Corbel" w:cs="Calibri"/>
                <w:color w:val="000000" w:themeColor="text1"/>
                <w:sz w:val="23"/>
                <w:szCs w:val="23"/>
              </w:rPr>
              <w:t xml:space="preserve">. </w:t>
            </w:r>
          </w:p>
          <w:p w14:paraId="09E788A8" w14:textId="29910587" w:rsidR="00CE6B27" w:rsidRPr="00D84E41" w:rsidRDefault="00CE6B27" w:rsidP="00F33F9F">
            <w:pPr>
              <w:tabs>
                <w:tab w:val="left" w:pos="720"/>
              </w:tabs>
              <w:spacing w:after="240" w:line="257" w:lineRule="auto"/>
              <w:rPr>
                <w:rFonts w:ascii="Corbel" w:eastAsia="Calibri" w:hAnsi="Corbel" w:cs="Calibri"/>
                <w:sz w:val="23"/>
                <w:szCs w:val="23"/>
              </w:rPr>
            </w:pPr>
            <w:r w:rsidRPr="00226967">
              <w:rPr>
                <w:rFonts w:ascii="Corbel" w:eastAsia="Calibri" w:hAnsi="Corbel" w:cs="Calibri"/>
                <w:sz w:val="23"/>
                <w:szCs w:val="23"/>
              </w:rPr>
              <w:t>* low</w:t>
            </w:r>
            <w:r w:rsidRPr="00FB3DC2">
              <w:rPr>
                <w:rFonts w:ascii="Corbel" w:eastAsia="Calibri" w:hAnsi="Corbel" w:cs="Calibri"/>
                <w:sz w:val="23"/>
                <w:szCs w:val="23"/>
              </w:rPr>
              <w:t xml:space="preserve"> socio-education advantage schools</w:t>
            </w:r>
            <w:r w:rsidRPr="00226967">
              <w:rPr>
                <w:rFonts w:ascii="Corbel" w:eastAsia="Calibri" w:hAnsi="Corbel" w:cs="Calibri"/>
                <w:sz w:val="23"/>
                <w:szCs w:val="23"/>
              </w:rPr>
              <w:t xml:space="preserve"> </w:t>
            </w:r>
            <w:r>
              <w:rPr>
                <w:rFonts w:ascii="Corbel" w:eastAsia="Calibri" w:hAnsi="Corbel" w:cs="Calibri"/>
                <w:sz w:val="23"/>
                <w:szCs w:val="23"/>
              </w:rPr>
              <w:t>are</w:t>
            </w:r>
            <w:r w:rsidRPr="00226967">
              <w:rPr>
                <w:rFonts w:ascii="Corbel" w:eastAsia="Calibri" w:hAnsi="Corbel" w:cs="Calibri"/>
                <w:sz w:val="23"/>
                <w:szCs w:val="23"/>
              </w:rPr>
              <w:t xml:space="preserve"> defined as </w:t>
            </w:r>
            <w:r w:rsidRPr="00FB3DC2">
              <w:rPr>
                <w:rFonts w:ascii="Corbel" w:eastAsia="Calibri" w:hAnsi="Corbel" w:cs="Calibri"/>
                <w:sz w:val="23"/>
                <w:szCs w:val="23"/>
              </w:rPr>
              <w:t xml:space="preserve">schools </w:t>
            </w:r>
            <w:r w:rsidRPr="00226967">
              <w:rPr>
                <w:rFonts w:ascii="Corbel" w:eastAsia="Calibri" w:hAnsi="Corbel" w:cs="Calibri"/>
                <w:sz w:val="23"/>
                <w:szCs w:val="23"/>
              </w:rPr>
              <w:t xml:space="preserve">in the 1st ICSEA Quarter – as currently reported in the </w:t>
            </w:r>
            <w:r w:rsidR="001E29B4">
              <w:rPr>
                <w:rFonts w:ascii="Corbel" w:eastAsia="Calibri" w:hAnsi="Corbel" w:cs="Calibri"/>
                <w:sz w:val="23"/>
                <w:szCs w:val="23"/>
              </w:rPr>
              <w:t>National Report on Schooling in Australia</w:t>
            </w:r>
            <w:r w:rsidRPr="00226967">
              <w:rPr>
                <w:rFonts w:ascii="Corbel" w:eastAsia="Calibri" w:hAnsi="Corbel" w:cs="Calibri"/>
                <w:sz w:val="23"/>
                <w:szCs w:val="23"/>
              </w:rPr>
              <w:t>.</w:t>
            </w:r>
          </w:p>
          <w:p w14:paraId="12724789" w14:textId="77777777" w:rsidR="00CE6B27" w:rsidRPr="00D84E41" w:rsidRDefault="00CE6B27" w:rsidP="00F33F9F">
            <w:pPr>
              <w:tabs>
                <w:tab w:val="left" w:pos="720"/>
              </w:tabs>
              <w:spacing w:after="240" w:line="257" w:lineRule="auto"/>
              <w:rPr>
                <w:rFonts w:ascii="Corbel" w:eastAsia="Corbel" w:hAnsi="Corbel" w:cstheme="minorHAnsi"/>
                <w:b/>
                <w:color w:val="000000" w:themeColor="text1"/>
                <w:sz w:val="23"/>
                <w:szCs w:val="23"/>
              </w:rPr>
            </w:pPr>
            <w:r w:rsidRPr="00D84E41">
              <w:rPr>
                <w:rFonts w:ascii="Corbel" w:eastAsia="Calibri" w:hAnsi="Corbel" w:cs="Calibri"/>
                <w:b/>
                <w:sz w:val="23"/>
                <w:szCs w:val="23"/>
              </w:rPr>
              <w:t>Baseline</w:t>
            </w:r>
          </w:p>
          <w:tbl>
            <w:tblPr>
              <w:tblStyle w:val="TableGrid"/>
              <w:tblW w:w="0" w:type="auto"/>
              <w:tblLayout w:type="fixed"/>
              <w:tblLook w:val="04A0" w:firstRow="1" w:lastRow="0" w:firstColumn="1" w:lastColumn="0" w:noHBand="0" w:noVBand="1"/>
            </w:tblPr>
            <w:tblGrid>
              <w:gridCol w:w="3069"/>
              <w:gridCol w:w="3069"/>
            </w:tblGrid>
            <w:tr w:rsidR="00CE6B27" w:rsidRPr="00211AE0" w14:paraId="2B542381" w14:textId="77777777" w:rsidTr="00F33F9F">
              <w:trPr>
                <w:trHeight w:val="521"/>
              </w:trPr>
              <w:tc>
                <w:tcPr>
                  <w:tcW w:w="3069" w:type="dxa"/>
                </w:tcPr>
                <w:p w14:paraId="452F1694" w14:textId="77777777" w:rsidR="00CE6B27" w:rsidRPr="00D84E41" w:rsidRDefault="00CE6B27" w:rsidP="00F33F9F">
                  <w:pPr>
                    <w:tabs>
                      <w:tab w:val="left" w:pos="720"/>
                    </w:tabs>
                    <w:spacing w:after="240" w:line="257" w:lineRule="auto"/>
                    <w:rPr>
                      <w:rFonts w:ascii="Corbel" w:eastAsia="Corbel" w:hAnsi="Corbel" w:cstheme="minorHAnsi"/>
                      <w:color w:val="000000" w:themeColor="text1"/>
                      <w:sz w:val="23"/>
                      <w:szCs w:val="23"/>
                    </w:rPr>
                  </w:pPr>
                </w:p>
              </w:tc>
              <w:tc>
                <w:tcPr>
                  <w:tcW w:w="3069" w:type="dxa"/>
                </w:tcPr>
                <w:p w14:paraId="3A82145E" w14:textId="77777777" w:rsidR="00CE6B27" w:rsidRPr="00ED234B" w:rsidRDefault="00CE6B27" w:rsidP="00F33F9F">
                  <w:pPr>
                    <w:tabs>
                      <w:tab w:val="left" w:pos="720"/>
                    </w:tabs>
                    <w:spacing w:after="240" w:line="257" w:lineRule="auto"/>
                    <w:rPr>
                      <w:rFonts w:ascii="Corbel" w:eastAsia="Corbel" w:hAnsi="Corbel" w:cstheme="minorHAnsi"/>
                      <w:bCs/>
                      <w:color w:val="000000" w:themeColor="text1"/>
                      <w:sz w:val="23"/>
                      <w:szCs w:val="23"/>
                    </w:rPr>
                  </w:pPr>
                  <w:r w:rsidRPr="00ED234B">
                    <w:rPr>
                      <w:rFonts w:ascii="Corbel" w:eastAsia="Corbel" w:hAnsi="Corbel" w:cstheme="minorHAnsi"/>
                      <w:bCs/>
                      <w:color w:val="000000" w:themeColor="text1"/>
                      <w:sz w:val="23"/>
                      <w:szCs w:val="23"/>
                    </w:rPr>
                    <w:t>2023</w:t>
                  </w:r>
                </w:p>
              </w:tc>
            </w:tr>
            <w:tr w:rsidR="00CE6B27" w:rsidRPr="00211AE0" w14:paraId="5761FAEF" w14:textId="77777777" w:rsidTr="00F33F9F">
              <w:trPr>
                <w:trHeight w:val="508"/>
              </w:trPr>
              <w:tc>
                <w:tcPr>
                  <w:tcW w:w="3069" w:type="dxa"/>
                </w:tcPr>
                <w:p w14:paraId="55E2DF08" w14:textId="77777777" w:rsidR="00CE6B27" w:rsidRPr="00ED234B" w:rsidRDefault="00CE6B27" w:rsidP="00F33F9F">
                  <w:pPr>
                    <w:tabs>
                      <w:tab w:val="left" w:pos="720"/>
                    </w:tabs>
                    <w:spacing w:after="240" w:line="257" w:lineRule="auto"/>
                    <w:rPr>
                      <w:rFonts w:ascii="Corbel" w:eastAsia="Corbel" w:hAnsi="Corbel" w:cstheme="minorHAnsi"/>
                      <w:bCs/>
                      <w:color w:val="000000" w:themeColor="text1"/>
                      <w:sz w:val="23"/>
                      <w:szCs w:val="23"/>
                    </w:rPr>
                  </w:pPr>
                  <w:r w:rsidRPr="00ED234B">
                    <w:rPr>
                      <w:rFonts w:ascii="Corbel" w:eastAsia="Corbel" w:hAnsi="Corbel" w:cstheme="minorHAnsi"/>
                      <w:bCs/>
                      <w:color w:val="000000" w:themeColor="text1"/>
                      <w:sz w:val="23"/>
                      <w:szCs w:val="23"/>
                    </w:rPr>
                    <w:t>All</w:t>
                  </w:r>
                </w:p>
              </w:tc>
              <w:tc>
                <w:tcPr>
                  <w:tcW w:w="3069" w:type="dxa"/>
                </w:tcPr>
                <w:p w14:paraId="7B932792" w14:textId="77777777" w:rsidR="00CE6B27" w:rsidRPr="00D84E41" w:rsidRDefault="00CE6B27" w:rsidP="00F33F9F">
                  <w:pPr>
                    <w:tabs>
                      <w:tab w:val="left" w:pos="720"/>
                    </w:tabs>
                    <w:spacing w:after="240" w:line="257" w:lineRule="auto"/>
                    <w:rPr>
                      <w:rFonts w:ascii="Corbel" w:eastAsia="Corbel" w:hAnsi="Corbel" w:cstheme="minorHAnsi"/>
                      <w:color w:val="000000" w:themeColor="text1"/>
                      <w:sz w:val="23"/>
                      <w:szCs w:val="23"/>
                    </w:rPr>
                  </w:pPr>
                  <w:r w:rsidRPr="00D84E41">
                    <w:rPr>
                      <w:rFonts w:ascii="Corbel" w:eastAsia="Corbel" w:hAnsi="Corbel" w:cstheme="minorHAnsi"/>
                      <w:color w:val="000000" w:themeColor="text1"/>
                      <w:sz w:val="23"/>
                      <w:szCs w:val="23"/>
                    </w:rPr>
                    <w:t>77.2%</w:t>
                  </w:r>
                </w:p>
              </w:tc>
            </w:tr>
            <w:tr w:rsidR="00CE6B27" w:rsidRPr="00211AE0" w14:paraId="29E589F9" w14:textId="77777777" w:rsidTr="00F33F9F">
              <w:trPr>
                <w:trHeight w:val="521"/>
              </w:trPr>
              <w:tc>
                <w:tcPr>
                  <w:tcW w:w="3069" w:type="dxa"/>
                </w:tcPr>
                <w:p w14:paraId="64E47611" w14:textId="77777777" w:rsidR="00CE6B27" w:rsidRPr="00ED234B" w:rsidRDefault="00CE6B27" w:rsidP="00F33F9F">
                  <w:pPr>
                    <w:tabs>
                      <w:tab w:val="left" w:pos="720"/>
                    </w:tabs>
                    <w:spacing w:after="240" w:line="257" w:lineRule="auto"/>
                    <w:rPr>
                      <w:rFonts w:ascii="Corbel" w:eastAsia="Corbel" w:hAnsi="Corbel" w:cstheme="minorHAnsi"/>
                      <w:bCs/>
                      <w:color w:val="000000" w:themeColor="text1"/>
                      <w:sz w:val="23"/>
                      <w:szCs w:val="23"/>
                    </w:rPr>
                  </w:pPr>
                  <w:r w:rsidRPr="00ED234B">
                    <w:rPr>
                      <w:rFonts w:ascii="Corbel" w:eastAsia="Corbel" w:hAnsi="Corbel" w:cstheme="minorHAnsi"/>
                      <w:bCs/>
                      <w:color w:val="000000" w:themeColor="text1"/>
                      <w:sz w:val="23"/>
                      <w:szCs w:val="23"/>
                    </w:rPr>
                    <w:t>First Nations</w:t>
                  </w:r>
                </w:p>
              </w:tc>
              <w:tc>
                <w:tcPr>
                  <w:tcW w:w="3069" w:type="dxa"/>
                </w:tcPr>
                <w:p w14:paraId="2B9262D0" w14:textId="77777777" w:rsidR="00CE6B27" w:rsidRPr="00D84E41" w:rsidRDefault="00CE6B27" w:rsidP="00F33F9F">
                  <w:pPr>
                    <w:tabs>
                      <w:tab w:val="left" w:pos="720"/>
                    </w:tabs>
                    <w:spacing w:after="240" w:line="257" w:lineRule="auto"/>
                    <w:rPr>
                      <w:rFonts w:ascii="Corbel" w:eastAsia="Corbel" w:hAnsi="Corbel" w:cstheme="minorHAnsi"/>
                      <w:color w:val="000000" w:themeColor="text1"/>
                      <w:sz w:val="23"/>
                      <w:szCs w:val="23"/>
                    </w:rPr>
                  </w:pPr>
                  <w:r w:rsidRPr="00D84E41">
                    <w:rPr>
                      <w:rFonts w:ascii="Corbel" w:eastAsia="Corbel" w:hAnsi="Corbel" w:cstheme="minorHAnsi"/>
                      <w:color w:val="000000" w:themeColor="text1"/>
                      <w:sz w:val="23"/>
                      <w:szCs w:val="23"/>
                    </w:rPr>
                    <w:t>59%</w:t>
                  </w:r>
                </w:p>
              </w:tc>
            </w:tr>
            <w:tr w:rsidR="00CE6B27" w:rsidRPr="00211AE0" w14:paraId="189D4768" w14:textId="77777777" w:rsidTr="00F33F9F">
              <w:trPr>
                <w:trHeight w:val="508"/>
              </w:trPr>
              <w:tc>
                <w:tcPr>
                  <w:tcW w:w="3069" w:type="dxa"/>
                </w:tcPr>
                <w:p w14:paraId="65EAE913" w14:textId="77777777" w:rsidR="00CE6B27" w:rsidRPr="00ED234B" w:rsidRDefault="00CE6B27" w:rsidP="00F33F9F">
                  <w:pPr>
                    <w:tabs>
                      <w:tab w:val="left" w:pos="720"/>
                    </w:tabs>
                    <w:spacing w:after="240" w:line="257" w:lineRule="auto"/>
                    <w:rPr>
                      <w:rFonts w:ascii="Corbel" w:eastAsia="Corbel" w:hAnsi="Corbel" w:cstheme="minorHAnsi"/>
                      <w:bCs/>
                      <w:color w:val="000000" w:themeColor="text1"/>
                      <w:sz w:val="23"/>
                      <w:szCs w:val="23"/>
                    </w:rPr>
                  </w:pPr>
                  <w:r w:rsidRPr="00ED234B">
                    <w:rPr>
                      <w:rFonts w:ascii="Corbel" w:eastAsia="Corbel" w:hAnsi="Corbel" w:cstheme="minorHAnsi"/>
                      <w:bCs/>
                      <w:color w:val="000000" w:themeColor="text1"/>
                      <w:sz w:val="23"/>
                      <w:szCs w:val="23"/>
                    </w:rPr>
                    <w:t>Remote and Very Remote</w:t>
                  </w:r>
                </w:p>
              </w:tc>
              <w:tc>
                <w:tcPr>
                  <w:tcW w:w="3069" w:type="dxa"/>
                </w:tcPr>
                <w:p w14:paraId="7FFC7303" w14:textId="77777777" w:rsidR="00CE6B27" w:rsidRPr="00D84E41" w:rsidRDefault="00CE6B27" w:rsidP="00E52664">
                  <w:pPr>
                    <w:pStyle w:val="ListParagraph"/>
                    <w:numPr>
                      <w:ilvl w:val="0"/>
                      <w:numId w:val="33"/>
                    </w:numPr>
                    <w:tabs>
                      <w:tab w:val="left" w:pos="720"/>
                    </w:tabs>
                    <w:spacing w:after="240" w:line="257" w:lineRule="auto"/>
                    <w:rPr>
                      <w:rFonts w:ascii="Corbel" w:eastAsia="Corbel" w:hAnsi="Corbel" w:cstheme="minorHAnsi"/>
                      <w:color w:val="000000" w:themeColor="text1"/>
                      <w:sz w:val="23"/>
                      <w:szCs w:val="23"/>
                    </w:rPr>
                  </w:pPr>
                  <w:r w:rsidRPr="00D84E41">
                    <w:rPr>
                      <w:rFonts w:ascii="Corbel" w:eastAsia="Corbel" w:hAnsi="Corbel" w:cstheme="minorHAnsi"/>
                      <w:color w:val="000000" w:themeColor="text1"/>
                      <w:sz w:val="23"/>
                      <w:szCs w:val="23"/>
                    </w:rPr>
                    <w:t>Remote: 71.9%</w:t>
                  </w:r>
                </w:p>
                <w:p w14:paraId="12D536A0" w14:textId="77777777" w:rsidR="00CE6B27" w:rsidRPr="00D84E41" w:rsidRDefault="00CE6B27" w:rsidP="00E52664">
                  <w:pPr>
                    <w:pStyle w:val="ListParagraph"/>
                    <w:numPr>
                      <w:ilvl w:val="0"/>
                      <w:numId w:val="33"/>
                    </w:numPr>
                    <w:tabs>
                      <w:tab w:val="left" w:pos="720"/>
                    </w:tabs>
                    <w:spacing w:after="240" w:line="257" w:lineRule="auto"/>
                    <w:rPr>
                      <w:rFonts w:ascii="Corbel" w:eastAsia="Corbel" w:hAnsi="Corbel" w:cstheme="minorHAnsi"/>
                      <w:color w:val="000000" w:themeColor="text1"/>
                      <w:sz w:val="23"/>
                      <w:szCs w:val="23"/>
                    </w:rPr>
                  </w:pPr>
                  <w:r w:rsidRPr="00D84E41">
                    <w:rPr>
                      <w:rFonts w:ascii="Corbel" w:eastAsia="Corbel" w:hAnsi="Corbel" w:cstheme="minorHAnsi"/>
                      <w:color w:val="000000" w:themeColor="text1"/>
                      <w:sz w:val="23"/>
                      <w:szCs w:val="23"/>
                    </w:rPr>
                    <w:t>Very remote: 51.8%</w:t>
                  </w:r>
                </w:p>
              </w:tc>
            </w:tr>
            <w:tr w:rsidR="00CE6B27" w:rsidRPr="00211AE0" w14:paraId="038C7A42" w14:textId="77777777" w:rsidTr="00F33F9F">
              <w:trPr>
                <w:trHeight w:val="521"/>
              </w:trPr>
              <w:tc>
                <w:tcPr>
                  <w:tcW w:w="3069" w:type="dxa"/>
                </w:tcPr>
                <w:p w14:paraId="64C92BDC" w14:textId="77777777" w:rsidR="00CE6B27" w:rsidRPr="00ED234B" w:rsidRDefault="00CE6B27" w:rsidP="00F33F9F">
                  <w:pPr>
                    <w:tabs>
                      <w:tab w:val="left" w:pos="720"/>
                    </w:tabs>
                    <w:spacing w:after="240" w:line="257" w:lineRule="auto"/>
                    <w:rPr>
                      <w:rFonts w:ascii="Corbel" w:eastAsia="Corbel" w:hAnsi="Corbel" w:cstheme="minorHAnsi"/>
                      <w:bCs/>
                      <w:color w:val="000000" w:themeColor="text1"/>
                      <w:sz w:val="23"/>
                      <w:szCs w:val="23"/>
                    </w:rPr>
                  </w:pPr>
                  <w:r w:rsidRPr="00ED234B">
                    <w:rPr>
                      <w:rFonts w:ascii="Corbel" w:eastAsia="Corbel" w:hAnsi="Corbel" w:cstheme="minorHAnsi"/>
                      <w:bCs/>
                      <w:color w:val="000000" w:themeColor="text1"/>
                      <w:sz w:val="23"/>
                      <w:szCs w:val="23"/>
                    </w:rPr>
                    <w:t>Low socio-education advantage schools</w:t>
                  </w:r>
                </w:p>
              </w:tc>
              <w:tc>
                <w:tcPr>
                  <w:tcW w:w="3069" w:type="dxa"/>
                </w:tcPr>
                <w:p w14:paraId="14A470EA" w14:textId="77777777" w:rsidR="00CE6B27" w:rsidRPr="00D84E41" w:rsidRDefault="00CE6B27" w:rsidP="00F33F9F">
                  <w:pPr>
                    <w:tabs>
                      <w:tab w:val="left" w:pos="720"/>
                    </w:tabs>
                    <w:spacing w:after="240" w:line="257" w:lineRule="auto"/>
                    <w:rPr>
                      <w:rFonts w:ascii="Corbel" w:eastAsia="Corbel" w:hAnsi="Corbel" w:cstheme="minorHAnsi"/>
                      <w:color w:val="000000" w:themeColor="text1"/>
                      <w:sz w:val="23"/>
                      <w:szCs w:val="23"/>
                    </w:rPr>
                  </w:pPr>
                  <w:r w:rsidRPr="00013A7F">
                    <w:rPr>
                      <w:rFonts w:ascii="Corbel" w:eastAsia="Corbel" w:hAnsi="Corbel" w:cstheme="minorHAnsi"/>
                      <w:color w:val="000000" w:themeColor="text1"/>
                      <w:sz w:val="23"/>
                      <w:szCs w:val="23"/>
                    </w:rPr>
                    <w:t>64.1%</w:t>
                  </w:r>
                </w:p>
              </w:tc>
            </w:tr>
          </w:tbl>
          <w:p w14:paraId="3F3AE0C3" w14:textId="77777777" w:rsidR="00CE6B27" w:rsidRPr="00D84E41" w:rsidRDefault="00CE6B27" w:rsidP="00F33F9F">
            <w:pPr>
              <w:spacing w:after="0" w:line="260" w:lineRule="exact"/>
              <w:rPr>
                <w:rFonts w:ascii="Corbel" w:eastAsia="Corbel" w:hAnsi="Corbel" w:cstheme="minorHAnsi"/>
                <w:color w:val="000000" w:themeColor="text1"/>
                <w:sz w:val="23"/>
                <w:szCs w:val="23"/>
              </w:rPr>
            </w:pPr>
          </w:p>
        </w:tc>
      </w:tr>
      <w:tr w:rsidR="00CE6B27" w:rsidRPr="00211AE0" w14:paraId="4C0675C1" w14:textId="77777777" w:rsidTr="00F33F9F">
        <w:trPr>
          <w:trHeight w:val="547"/>
        </w:trPr>
        <w:tc>
          <w:tcPr>
            <w:tcW w:w="2145" w:type="dxa"/>
            <w:tcBorders>
              <w:top w:val="single" w:sz="8" w:space="0" w:color="auto"/>
              <w:left w:val="single" w:sz="8" w:space="0" w:color="auto"/>
              <w:bottom w:val="single" w:sz="8" w:space="0" w:color="auto"/>
              <w:right w:val="single" w:sz="8" w:space="0" w:color="auto"/>
            </w:tcBorders>
          </w:tcPr>
          <w:p w14:paraId="731481A2" w14:textId="77777777" w:rsidR="00CE6B27" w:rsidRPr="00211AE0" w:rsidRDefault="00CE6B27" w:rsidP="00F33F9F">
            <w:pPr>
              <w:spacing w:after="0"/>
              <w:rPr>
                <w:rFonts w:ascii="Corbel" w:eastAsia="Corbel" w:hAnsi="Corbel"/>
                <w:b/>
                <w:bCs/>
                <w:color w:val="000000" w:themeColor="text1"/>
              </w:rPr>
            </w:pPr>
            <w:r w:rsidRPr="00211AE0">
              <w:rPr>
                <w:rFonts w:ascii="Corbel" w:eastAsia="Corbel" w:hAnsi="Corbel"/>
                <w:b/>
                <w:bCs/>
                <w:color w:val="000000" w:themeColor="text1"/>
              </w:rPr>
              <w:t>A Strong and Sustainable Workforce</w:t>
            </w:r>
          </w:p>
        </w:tc>
        <w:tc>
          <w:tcPr>
            <w:tcW w:w="6870" w:type="dxa"/>
            <w:tcBorders>
              <w:top w:val="single" w:sz="8" w:space="0" w:color="auto"/>
              <w:left w:val="single" w:sz="8" w:space="0" w:color="auto"/>
              <w:bottom w:val="single" w:sz="8" w:space="0" w:color="auto"/>
              <w:right w:val="single" w:sz="8" w:space="0" w:color="auto"/>
            </w:tcBorders>
          </w:tcPr>
          <w:p w14:paraId="74BE1358" w14:textId="77777777" w:rsidR="00CE6B27" w:rsidRPr="00D84E41" w:rsidRDefault="00CE6B27" w:rsidP="00F33F9F">
            <w:pPr>
              <w:spacing w:after="0" w:line="257" w:lineRule="auto"/>
              <w:rPr>
                <w:rFonts w:ascii="Corbel" w:eastAsia="Calibri" w:hAnsi="Corbel" w:cs="Calibri"/>
                <w:b/>
                <w:sz w:val="23"/>
                <w:szCs w:val="23"/>
              </w:rPr>
            </w:pPr>
            <w:r w:rsidRPr="00D84E41">
              <w:rPr>
                <w:rFonts w:ascii="Corbel" w:eastAsia="Calibri" w:hAnsi="Corbel" w:cs="Calibri"/>
                <w:b/>
                <w:sz w:val="23"/>
                <w:szCs w:val="23"/>
              </w:rPr>
              <w:t>Building the workforce (only reported nationally):</w:t>
            </w:r>
          </w:p>
          <w:p w14:paraId="3AF8FB99" w14:textId="77777777" w:rsidR="00CE6B27" w:rsidRPr="00D84E41" w:rsidRDefault="00CE6B27" w:rsidP="00F33F9F">
            <w:pPr>
              <w:spacing w:after="160" w:line="257" w:lineRule="auto"/>
              <w:rPr>
                <w:rFonts w:ascii="Corbel" w:eastAsia="Calibri" w:hAnsi="Corbel" w:cs="Calibri"/>
                <w:i/>
                <w:sz w:val="23"/>
                <w:szCs w:val="23"/>
              </w:rPr>
            </w:pPr>
            <w:r w:rsidRPr="00D84E41">
              <w:rPr>
                <w:rFonts w:ascii="Corbel" w:eastAsia="Calibri" w:hAnsi="Corbel" w:cs="Calibri"/>
                <w:i/>
                <w:sz w:val="23"/>
                <w:szCs w:val="23"/>
              </w:rPr>
              <w:t xml:space="preserve">Recognising the importance of building the Australian teacher workforce by focusing on building a pipeline of teachers and supporting them to develop rewarding and long-standing careers, the </w:t>
            </w:r>
            <w:r w:rsidRPr="00D84E41">
              <w:rPr>
                <w:rFonts w:ascii="Corbel" w:eastAsia="Times New Roman" w:hAnsi="Corbel" w:cs="Calibri"/>
                <w:i/>
                <w:sz w:val="23"/>
                <w:szCs w:val="23"/>
                <w:lang w:eastAsia="en-AU"/>
              </w:rPr>
              <w:t>Northern Territory and the Commonwealth</w:t>
            </w:r>
            <w:r w:rsidRPr="00D84E41">
              <w:rPr>
                <w:rFonts w:ascii="Corbel" w:eastAsia="Times New Roman" w:hAnsi="Corbel" w:cs="Calibri"/>
                <w:sz w:val="23"/>
                <w:szCs w:val="23"/>
                <w:lang w:eastAsia="en-AU"/>
              </w:rPr>
              <w:t xml:space="preserve"> </w:t>
            </w:r>
            <w:r w:rsidRPr="00D84E41">
              <w:rPr>
                <w:rFonts w:ascii="Corbel" w:eastAsia="Calibri" w:hAnsi="Corbel" w:cs="Calibri"/>
                <w:i/>
                <w:sz w:val="23"/>
                <w:szCs w:val="23"/>
              </w:rPr>
              <w:t>commit to the following improvement measure:</w:t>
            </w:r>
          </w:p>
          <w:p w14:paraId="7CD8F452" w14:textId="77777777" w:rsidR="00CE6B27" w:rsidRPr="00820B2E" w:rsidRDefault="00CE6B27" w:rsidP="005E1D7C">
            <w:pPr>
              <w:pStyle w:val="ListParagraph"/>
              <w:numPr>
                <w:ilvl w:val="0"/>
                <w:numId w:val="31"/>
              </w:numPr>
              <w:spacing w:after="160" w:line="257" w:lineRule="auto"/>
              <w:rPr>
                <w:rFonts w:ascii="Corbel" w:eastAsia="Calibri" w:hAnsi="Corbel" w:cs="Calibri"/>
                <w:sz w:val="23"/>
                <w:szCs w:val="23"/>
              </w:rPr>
            </w:pPr>
            <w:r w:rsidRPr="00820B2E">
              <w:rPr>
                <w:rFonts w:ascii="Corbel" w:eastAsia="Calibri" w:hAnsi="Corbel" w:cs="Calibri"/>
                <w:sz w:val="23"/>
                <w:szCs w:val="23"/>
              </w:rPr>
              <w:lastRenderedPageBreak/>
              <w:t xml:space="preserve">By 2035, increase the engagement rate (completed or still enrolled)* for domestic students enrolled in initial teacher education </w:t>
            </w:r>
            <w:r>
              <w:rPr>
                <w:rFonts w:ascii="Corbel" w:eastAsia="Calibri" w:hAnsi="Corbel" w:cs="Calibri"/>
                <w:sz w:val="23"/>
                <w:szCs w:val="23"/>
              </w:rPr>
              <w:t xml:space="preserve">(ITE) </w:t>
            </w:r>
            <w:r w:rsidRPr="00820B2E">
              <w:rPr>
                <w:rFonts w:ascii="Corbel" w:eastAsia="Calibri" w:hAnsi="Corbel" w:cs="Calibri"/>
                <w:sz w:val="23"/>
                <w:szCs w:val="23"/>
              </w:rPr>
              <w:t>by 10 percentage points; and</w:t>
            </w:r>
          </w:p>
          <w:p w14:paraId="2A21E287" w14:textId="552B1E62" w:rsidR="00CE6B27" w:rsidRPr="00F56F55" w:rsidRDefault="00CE6B27" w:rsidP="005E1D7C">
            <w:pPr>
              <w:numPr>
                <w:ilvl w:val="0"/>
                <w:numId w:val="31"/>
              </w:numPr>
              <w:spacing w:after="160" w:line="257" w:lineRule="auto"/>
              <w:rPr>
                <w:rFonts w:ascii="Corbel" w:eastAsia="Calibri" w:hAnsi="Corbel"/>
                <w:i/>
                <w:sz w:val="23"/>
                <w:szCs w:val="23"/>
              </w:rPr>
            </w:pPr>
            <w:r w:rsidRPr="00820B2E">
              <w:rPr>
                <w:rFonts w:ascii="Corbel" w:eastAsia="Calibri" w:hAnsi="Corbel" w:cs="Calibri"/>
                <w:i/>
                <w:iCs/>
                <w:sz w:val="23"/>
                <w:szCs w:val="23"/>
              </w:rPr>
              <w:t xml:space="preserve">The Parties will seek to develop by 31 December </w:t>
            </w:r>
            <w:r w:rsidRPr="0AED10D3">
              <w:rPr>
                <w:rFonts w:ascii="Corbel" w:eastAsia="Calibri" w:hAnsi="Corbel" w:cs="Calibri"/>
                <w:i/>
                <w:iCs/>
                <w:sz w:val="23"/>
                <w:szCs w:val="23"/>
              </w:rPr>
              <w:t>2027</w:t>
            </w:r>
            <w:r w:rsidRPr="00820B2E">
              <w:rPr>
                <w:rFonts w:ascii="Corbel" w:eastAsia="Calibri" w:hAnsi="Corbel" w:cs="Calibri"/>
                <w:i/>
                <w:iCs/>
                <w:sz w:val="23"/>
                <w:szCs w:val="23"/>
              </w:rPr>
              <w:t xml:space="preserve">, an early career retention measure that captures the number and proportion of teachers who remain engaged as teachers after three/five years. </w:t>
            </w:r>
            <w:r w:rsidR="005D6D50">
              <w:rPr>
                <w:rFonts w:ascii="Corbel" w:eastAsia="Calibri" w:hAnsi="Corbel" w:cs="Calibri"/>
                <w:i/>
                <w:iCs/>
                <w:sz w:val="23"/>
                <w:szCs w:val="23"/>
              </w:rPr>
              <w:t>^</w:t>
            </w:r>
          </w:p>
          <w:p w14:paraId="70FC2EE1" w14:textId="77777777" w:rsidR="00CE6B27" w:rsidRPr="00D84E41" w:rsidRDefault="00CE6B27" w:rsidP="00F33F9F">
            <w:pPr>
              <w:spacing w:after="160" w:line="257" w:lineRule="auto"/>
              <w:rPr>
                <w:rFonts w:ascii="Corbel" w:eastAsia="Calibri" w:hAnsi="Corbel"/>
                <w:i/>
                <w:sz w:val="23"/>
                <w:szCs w:val="23"/>
              </w:rPr>
            </w:pPr>
            <w:r w:rsidRPr="00D84E41">
              <w:rPr>
                <w:rFonts w:ascii="Corbel" w:eastAsia="Calibri" w:hAnsi="Corbel"/>
                <w:i/>
                <w:sz w:val="23"/>
                <w:szCs w:val="23"/>
              </w:rPr>
              <w:t>Note: these will be reported nationally only.</w:t>
            </w:r>
          </w:p>
          <w:p w14:paraId="159F65C7" w14:textId="4F5F8640" w:rsidR="00CE6B27" w:rsidRPr="00E919B3" w:rsidRDefault="00CE6B27" w:rsidP="00F33F9F">
            <w:pPr>
              <w:spacing w:after="160" w:line="257" w:lineRule="auto"/>
              <w:jc w:val="both"/>
              <w:rPr>
                <w:rFonts w:ascii="Corbel" w:eastAsia="Corbel" w:hAnsi="Corbel" w:cs="Corbel"/>
                <w:color w:val="000000" w:themeColor="text1"/>
                <w:sz w:val="23"/>
                <w:szCs w:val="23"/>
              </w:rPr>
            </w:pPr>
            <w:r w:rsidRPr="00E919B3">
              <w:rPr>
                <w:rFonts w:ascii="Corbel" w:eastAsia="Corbel" w:hAnsi="Corbel" w:cs="Corbel"/>
                <w:color w:val="000000" w:themeColor="text1"/>
                <w:sz w:val="23"/>
                <w:szCs w:val="23"/>
              </w:rPr>
              <w:t xml:space="preserve">*The engagement rate captures </w:t>
            </w:r>
            <w:r w:rsidR="00DD65B5">
              <w:rPr>
                <w:rFonts w:ascii="Corbel" w:eastAsia="Corbel" w:hAnsi="Corbel" w:cs="Corbel"/>
                <w:color w:val="000000" w:themeColor="text1"/>
                <w:sz w:val="23"/>
                <w:szCs w:val="23"/>
              </w:rPr>
              <w:t>initial teacher education</w:t>
            </w:r>
            <w:r w:rsidRPr="00E919B3">
              <w:rPr>
                <w:rFonts w:ascii="Corbel" w:eastAsia="Corbel" w:hAnsi="Corbel" w:cs="Corbel"/>
                <w:color w:val="000000" w:themeColor="text1"/>
                <w:sz w:val="23"/>
                <w:szCs w:val="23"/>
              </w:rPr>
              <w:t xml:space="preserve"> students who have either completed their qualification or still ongoing (at the 6 year point for undergraduates and at the 4 year point for postgraduates).</w:t>
            </w:r>
          </w:p>
          <w:p w14:paraId="1F103679" w14:textId="4B435D18" w:rsidR="00CE6B27" w:rsidRPr="00D84E41" w:rsidRDefault="00CE6B27" w:rsidP="00F33F9F">
            <w:pPr>
              <w:rPr>
                <w:rFonts w:ascii="Corbel" w:hAnsi="Corbel"/>
                <w:sz w:val="23"/>
                <w:szCs w:val="23"/>
              </w:rPr>
            </w:pPr>
            <w:r w:rsidRPr="007D506C">
              <w:rPr>
                <w:rFonts w:ascii="Corbel" w:eastAsia="Corbel" w:hAnsi="Corbel" w:cs="Corbel"/>
                <w:color w:val="000000" w:themeColor="text1"/>
                <w:sz w:val="23"/>
                <w:szCs w:val="23"/>
              </w:rPr>
              <w:t>^</w:t>
            </w:r>
            <w:r w:rsidRPr="007D506C">
              <w:rPr>
                <w:rFonts w:ascii="Corbel" w:eastAsia="Corbel" w:hAnsi="Corbel" w:cs="Corbel"/>
                <w:i/>
                <w:color w:val="000000" w:themeColor="text1"/>
                <w:sz w:val="23"/>
                <w:szCs w:val="23"/>
              </w:rPr>
              <w:t xml:space="preserve"> Through the </w:t>
            </w:r>
            <w:r w:rsidR="00BF3AE6">
              <w:rPr>
                <w:rFonts w:ascii="Corbel" w:eastAsia="Corbel" w:hAnsi="Corbel" w:cs="Corbel"/>
                <w:i/>
                <w:color w:val="000000" w:themeColor="text1"/>
                <w:sz w:val="23"/>
                <w:szCs w:val="23"/>
              </w:rPr>
              <w:t>National Enabling Initiative</w:t>
            </w:r>
            <w:r w:rsidR="00BF3AE6" w:rsidRPr="007D506C">
              <w:rPr>
                <w:rFonts w:ascii="Corbel" w:eastAsia="Corbel" w:hAnsi="Corbel" w:cs="Corbel"/>
                <w:i/>
                <w:color w:val="000000" w:themeColor="text1"/>
                <w:sz w:val="23"/>
                <w:szCs w:val="23"/>
              </w:rPr>
              <w:t xml:space="preserve"> </w:t>
            </w:r>
            <w:r w:rsidRPr="007D506C">
              <w:rPr>
                <w:rFonts w:ascii="Corbel" w:eastAsia="Corbel" w:hAnsi="Corbel" w:cs="Corbel"/>
                <w:i/>
                <w:color w:val="000000" w:themeColor="text1"/>
                <w:sz w:val="23"/>
                <w:szCs w:val="23"/>
              </w:rPr>
              <w:t xml:space="preserve">at </w:t>
            </w:r>
            <w:r>
              <w:rPr>
                <w:rFonts w:ascii="Corbel" w:eastAsia="Corbel" w:hAnsi="Corbel" w:cs="Corbel"/>
                <w:i/>
                <w:color w:val="000000" w:themeColor="text1"/>
                <w:sz w:val="23"/>
                <w:szCs w:val="23"/>
              </w:rPr>
              <w:t>c</w:t>
            </w:r>
            <w:r w:rsidRPr="007D506C">
              <w:rPr>
                <w:rFonts w:ascii="Corbel" w:eastAsia="Corbel" w:hAnsi="Corbel" w:cs="Corbel"/>
                <w:i/>
                <w:color w:val="000000" w:themeColor="text1"/>
                <w:sz w:val="23"/>
                <w:szCs w:val="23"/>
              </w:rPr>
              <w:t xml:space="preserve">lause </w:t>
            </w:r>
            <w:r>
              <w:rPr>
                <w:rFonts w:ascii="Corbel" w:eastAsia="Corbel" w:hAnsi="Corbel" w:cs="Corbel"/>
                <w:i/>
                <w:iCs/>
                <w:color w:val="000000" w:themeColor="text1"/>
                <w:sz w:val="23"/>
                <w:szCs w:val="23"/>
              </w:rPr>
              <w:t>88(d)</w:t>
            </w:r>
            <w:r w:rsidRPr="007D506C">
              <w:rPr>
                <w:rFonts w:ascii="Corbel" w:eastAsia="Corbel" w:hAnsi="Corbel" w:cs="Corbel"/>
                <w:i/>
                <w:color w:val="000000" w:themeColor="text1"/>
                <w:sz w:val="23"/>
                <w:szCs w:val="23"/>
              </w:rPr>
              <w:t xml:space="preserve"> </w:t>
            </w:r>
            <w:r>
              <w:rPr>
                <w:rFonts w:ascii="Corbel" w:eastAsia="Corbel" w:hAnsi="Corbel" w:cs="Corbel"/>
                <w:i/>
                <w:color w:val="000000" w:themeColor="text1"/>
                <w:sz w:val="23"/>
                <w:szCs w:val="23"/>
              </w:rPr>
              <w:t>of the Head</w:t>
            </w:r>
            <w:r w:rsidR="00554F52">
              <w:rPr>
                <w:rFonts w:ascii="Corbel" w:eastAsia="Corbel" w:hAnsi="Corbel" w:cs="Corbel"/>
                <w:i/>
                <w:color w:val="000000" w:themeColor="text1"/>
                <w:sz w:val="23"/>
                <w:szCs w:val="23"/>
              </w:rPr>
              <w:t xml:space="preserve">s of </w:t>
            </w:r>
            <w:r>
              <w:rPr>
                <w:rFonts w:ascii="Corbel" w:eastAsia="Corbel" w:hAnsi="Corbel" w:cs="Corbel"/>
                <w:i/>
                <w:color w:val="000000" w:themeColor="text1"/>
                <w:sz w:val="23"/>
                <w:szCs w:val="23"/>
              </w:rPr>
              <w:t xml:space="preserve">Agreement </w:t>
            </w:r>
            <w:r w:rsidRPr="007D506C">
              <w:rPr>
                <w:rFonts w:ascii="Corbel" w:eastAsia="Corbel" w:hAnsi="Corbel" w:cs="Corbel"/>
                <w:i/>
                <w:color w:val="000000" w:themeColor="text1"/>
                <w:sz w:val="23"/>
                <w:szCs w:val="23"/>
              </w:rPr>
              <w:t xml:space="preserve">the Parties will develop methodology, baseline and future targets by 31 December </w:t>
            </w:r>
            <w:r w:rsidRPr="007D506C">
              <w:rPr>
                <w:rFonts w:ascii="Corbel" w:eastAsia="Corbel" w:hAnsi="Corbel" w:cs="Corbel"/>
                <w:i/>
                <w:iCs/>
                <w:color w:val="000000" w:themeColor="text1"/>
                <w:sz w:val="23"/>
                <w:szCs w:val="23"/>
              </w:rPr>
              <w:t>2027</w:t>
            </w:r>
            <w:r w:rsidRPr="007D506C">
              <w:rPr>
                <w:rFonts w:ascii="Corbel" w:eastAsia="Corbel" w:hAnsi="Corbel" w:cs="Corbel"/>
                <w:i/>
                <w:color w:val="000000" w:themeColor="text1"/>
                <w:sz w:val="23"/>
                <w:szCs w:val="23"/>
              </w:rPr>
              <w:t>.</w:t>
            </w:r>
          </w:p>
        </w:tc>
      </w:tr>
      <w:tr w:rsidR="00CE6B27" w:rsidRPr="00211AE0" w14:paraId="480F87B5" w14:textId="77777777" w:rsidTr="00F33F9F">
        <w:trPr>
          <w:trHeight w:val="300"/>
        </w:trPr>
        <w:tc>
          <w:tcPr>
            <w:tcW w:w="2145" w:type="dxa"/>
            <w:tcBorders>
              <w:top w:val="single" w:sz="8" w:space="0" w:color="auto"/>
              <w:left w:val="single" w:sz="8" w:space="0" w:color="auto"/>
              <w:bottom w:val="single" w:sz="8" w:space="0" w:color="auto"/>
              <w:right w:val="single" w:sz="8" w:space="0" w:color="auto"/>
            </w:tcBorders>
          </w:tcPr>
          <w:p w14:paraId="2EE056FD" w14:textId="77777777" w:rsidR="00CE6B27" w:rsidRPr="00211AE0" w:rsidRDefault="00CE6B27" w:rsidP="00F33F9F">
            <w:pPr>
              <w:spacing w:after="0"/>
              <w:rPr>
                <w:rFonts w:ascii="Corbel" w:eastAsia="Corbel" w:hAnsi="Corbel"/>
                <w:b/>
                <w:bCs/>
                <w:color w:val="000000" w:themeColor="text1"/>
              </w:rPr>
            </w:pPr>
            <w:bookmarkStart w:id="1" w:name="_Hlk169011079"/>
            <w:r w:rsidRPr="00211AE0">
              <w:rPr>
                <w:rFonts w:ascii="Corbel" w:eastAsia="Corbel" w:hAnsi="Corbel"/>
                <w:b/>
                <w:bCs/>
                <w:color w:val="000000" w:themeColor="text1"/>
              </w:rPr>
              <w:lastRenderedPageBreak/>
              <w:t>A Strong and Sustainable workforce</w:t>
            </w:r>
            <w:bookmarkEnd w:id="1"/>
          </w:p>
        </w:tc>
        <w:tc>
          <w:tcPr>
            <w:tcW w:w="6870" w:type="dxa"/>
            <w:tcBorders>
              <w:top w:val="single" w:sz="8" w:space="0" w:color="auto"/>
              <w:left w:val="single" w:sz="8" w:space="0" w:color="auto"/>
              <w:bottom w:val="single" w:sz="8" w:space="0" w:color="auto"/>
              <w:right w:val="single" w:sz="8" w:space="0" w:color="auto"/>
            </w:tcBorders>
            <w:vAlign w:val="center"/>
          </w:tcPr>
          <w:p w14:paraId="6F75F4A2" w14:textId="77777777" w:rsidR="00CE6B27" w:rsidRPr="00D84E41" w:rsidRDefault="00CE6B27" w:rsidP="00F33F9F">
            <w:pPr>
              <w:spacing w:after="0" w:line="257" w:lineRule="auto"/>
              <w:rPr>
                <w:rFonts w:ascii="Corbel" w:eastAsia="Calibri" w:hAnsi="Corbel" w:cs="Calibri"/>
                <w:b/>
                <w:sz w:val="23"/>
                <w:szCs w:val="23"/>
              </w:rPr>
            </w:pPr>
            <w:r w:rsidRPr="00D84E41">
              <w:rPr>
                <w:rFonts w:ascii="Corbel" w:eastAsia="Calibri" w:hAnsi="Corbel" w:cs="Calibri"/>
                <w:b/>
                <w:sz w:val="23"/>
                <w:szCs w:val="23"/>
              </w:rPr>
              <w:t>Strengthening the Aboriginal and Torres Strait Islander Workforce (only reported nationally):</w:t>
            </w:r>
          </w:p>
          <w:p w14:paraId="1B36EB0E" w14:textId="77777777" w:rsidR="00CE6B27" w:rsidRPr="00D84E41" w:rsidRDefault="00CE6B27" w:rsidP="00F33F9F">
            <w:pPr>
              <w:spacing w:line="257" w:lineRule="auto"/>
              <w:rPr>
                <w:rFonts w:ascii="Corbel" w:eastAsia="Calibri" w:hAnsi="Corbel" w:cs="Calibri"/>
                <w:i/>
                <w:sz w:val="23"/>
                <w:szCs w:val="23"/>
              </w:rPr>
            </w:pPr>
            <w:r w:rsidRPr="00D84E41">
              <w:rPr>
                <w:rFonts w:ascii="Corbel" w:eastAsia="Calibri" w:hAnsi="Corbel" w:cs="Calibri"/>
                <w:i/>
                <w:sz w:val="23"/>
                <w:szCs w:val="23"/>
              </w:rPr>
              <w:t xml:space="preserve">Recognising the importance of developing a workforce that better reflects the Australian community, the </w:t>
            </w:r>
            <w:r w:rsidRPr="00D84E41">
              <w:rPr>
                <w:rFonts w:ascii="Corbel" w:eastAsia="Times New Roman" w:hAnsi="Corbel" w:cs="Calibri"/>
                <w:i/>
                <w:sz w:val="23"/>
                <w:szCs w:val="23"/>
                <w:lang w:eastAsia="en-AU"/>
              </w:rPr>
              <w:t>Northern Territory and the Commonwealth</w:t>
            </w:r>
            <w:r w:rsidRPr="00D84E41">
              <w:rPr>
                <w:rFonts w:ascii="Corbel" w:eastAsia="Times New Roman" w:hAnsi="Corbel" w:cs="Calibri"/>
                <w:sz w:val="23"/>
                <w:szCs w:val="23"/>
                <w:lang w:eastAsia="en-AU"/>
              </w:rPr>
              <w:t xml:space="preserve"> </w:t>
            </w:r>
            <w:r w:rsidRPr="00D84E41">
              <w:rPr>
                <w:rFonts w:ascii="Corbel" w:eastAsia="Calibri" w:hAnsi="Corbel" w:cs="Calibri"/>
                <w:i/>
                <w:sz w:val="23"/>
                <w:szCs w:val="23"/>
              </w:rPr>
              <w:t>commit to the following improvement measure:</w:t>
            </w:r>
          </w:p>
          <w:p w14:paraId="24E449D6" w14:textId="77777777" w:rsidR="00CE6B27" w:rsidRPr="00D84E41" w:rsidRDefault="00CE6B27" w:rsidP="005E1D7C">
            <w:pPr>
              <w:pStyle w:val="ListParagraph"/>
              <w:numPr>
                <w:ilvl w:val="0"/>
                <w:numId w:val="29"/>
              </w:numPr>
              <w:spacing w:after="160" w:line="257" w:lineRule="auto"/>
              <w:rPr>
                <w:rFonts w:ascii="Corbel" w:eastAsia="Calibri" w:hAnsi="Corbel" w:cs="Calibri"/>
                <w:sz w:val="23"/>
                <w:szCs w:val="23"/>
              </w:rPr>
            </w:pPr>
            <w:r w:rsidRPr="00D84E41">
              <w:rPr>
                <w:rFonts w:ascii="Corbel" w:eastAsia="Calibri" w:hAnsi="Corbel" w:cs="Calibri"/>
                <w:sz w:val="23"/>
                <w:szCs w:val="23"/>
              </w:rPr>
              <w:t xml:space="preserve">By 2035, increase the engagement rate (completed or still enrolled)* for domestic students enrolled in initial teacher education who identify as Aboriginal and/or Torres Strait Islander by 10 percentage points. </w:t>
            </w:r>
          </w:p>
          <w:p w14:paraId="64F150BC" w14:textId="052E7F39" w:rsidR="00CE6B27" w:rsidRPr="00D84E41" w:rsidRDefault="00CE6B27" w:rsidP="00F33F9F">
            <w:pPr>
              <w:spacing w:after="0" w:line="257" w:lineRule="auto"/>
              <w:rPr>
                <w:rFonts w:ascii="Corbel" w:hAnsi="Corbel"/>
                <w:sz w:val="23"/>
                <w:szCs w:val="23"/>
              </w:rPr>
            </w:pPr>
            <w:r w:rsidRPr="00D84E41">
              <w:rPr>
                <w:rFonts w:ascii="Corbel" w:eastAsia="Calibri" w:hAnsi="Corbel" w:cs="Calibri"/>
                <w:sz w:val="23"/>
                <w:szCs w:val="23"/>
              </w:rPr>
              <w:t>*</w:t>
            </w:r>
            <w:r w:rsidRPr="00D84E41">
              <w:rPr>
                <w:rFonts w:ascii="Corbel" w:eastAsia="Calibri" w:hAnsi="Corbel"/>
                <w:sz w:val="23"/>
                <w:szCs w:val="23"/>
              </w:rPr>
              <w:t xml:space="preserve">As per the previous </w:t>
            </w:r>
            <w:r w:rsidR="005174E3">
              <w:rPr>
                <w:rFonts w:ascii="Corbel" w:eastAsia="Calibri" w:hAnsi="Corbel"/>
                <w:sz w:val="23"/>
                <w:szCs w:val="23"/>
              </w:rPr>
              <w:t>initial teacher education</w:t>
            </w:r>
            <w:r w:rsidRPr="00D84E41">
              <w:rPr>
                <w:rFonts w:ascii="Corbel" w:eastAsia="Calibri" w:hAnsi="Corbel"/>
                <w:sz w:val="23"/>
                <w:szCs w:val="23"/>
              </w:rPr>
              <w:t xml:space="preserve"> target, the </w:t>
            </w:r>
            <w:r w:rsidRPr="00D84E41">
              <w:rPr>
                <w:rFonts w:ascii="Corbel" w:eastAsia="Calibri" w:hAnsi="Corbel" w:cs="Calibri"/>
                <w:sz w:val="23"/>
                <w:szCs w:val="23"/>
              </w:rPr>
              <w:t>engagement rate</w:t>
            </w:r>
            <w:r w:rsidRPr="00D84E41">
              <w:rPr>
                <w:rFonts w:ascii="Corbel" w:eastAsia="Calibri" w:hAnsi="Corbel"/>
                <w:sz w:val="23"/>
                <w:szCs w:val="23"/>
              </w:rPr>
              <w:t xml:space="preserve"> </w:t>
            </w:r>
            <w:r w:rsidRPr="00D84E41">
              <w:rPr>
                <w:rFonts w:ascii="Corbel" w:hAnsi="Corbel"/>
                <w:sz w:val="23"/>
                <w:szCs w:val="23"/>
              </w:rPr>
              <w:t xml:space="preserve">captures </w:t>
            </w:r>
            <w:r w:rsidR="005174E3">
              <w:rPr>
                <w:rFonts w:ascii="Corbel" w:hAnsi="Corbel"/>
                <w:sz w:val="23"/>
                <w:szCs w:val="23"/>
              </w:rPr>
              <w:t>initial teacher education</w:t>
            </w:r>
            <w:r w:rsidRPr="00D84E41">
              <w:rPr>
                <w:rFonts w:ascii="Corbel" w:hAnsi="Corbel"/>
                <w:sz w:val="23"/>
                <w:szCs w:val="23"/>
              </w:rPr>
              <w:t xml:space="preserve"> students who have either completed their qualification or still ongoing (at the 6 year point for undergraduates and at the 4 year point for postgraduates).</w:t>
            </w:r>
          </w:p>
          <w:p w14:paraId="18B32CC4" w14:textId="77777777" w:rsidR="00CE6B27" w:rsidRDefault="00CE6B27" w:rsidP="00F33F9F">
            <w:pPr>
              <w:spacing w:after="0" w:line="257" w:lineRule="auto"/>
              <w:rPr>
                <w:rFonts w:ascii="Corbel" w:hAnsi="Corbel"/>
                <w:sz w:val="23"/>
                <w:szCs w:val="23"/>
              </w:rPr>
            </w:pPr>
          </w:p>
          <w:p w14:paraId="2CC92755" w14:textId="2D597DC4" w:rsidR="00CE6B27" w:rsidRPr="00D84E41" w:rsidRDefault="00CE6B27" w:rsidP="00F33F9F">
            <w:pPr>
              <w:rPr>
                <w:rFonts w:ascii="Corbel" w:hAnsi="Corbel"/>
                <w:sz w:val="23"/>
                <w:szCs w:val="23"/>
              </w:rPr>
            </w:pPr>
            <w:r w:rsidRPr="3A384CFA">
              <w:rPr>
                <w:rFonts w:ascii="Corbel" w:hAnsi="Corbel"/>
                <w:sz w:val="23"/>
                <w:szCs w:val="23"/>
              </w:rPr>
              <w:t>The Northern Territory Department of Education has an agency Aboriginal employment target of 21.6</w:t>
            </w:r>
            <w:r w:rsidR="002F3BA5">
              <w:rPr>
                <w:rFonts w:ascii="Corbel" w:hAnsi="Corbel"/>
                <w:sz w:val="23"/>
                <w:szCs w:val="23"/>
              </w:rPr>
              <w:t xml:space="preserve"> per cent</w:t>
            </w:r>
            <w:r w:rsidRPr="3A384CFA">
              <w:rPr>
                <w:rFonts w:ascii="Corbel" w:hAnsi="Corbel"/>
                <w:sz w:val="23"/>
                <w:szCs w:val="23"/>
              </w:rPr>
              <w:t xml:space="preserve"> by the end of 2025, as set by the Northern Territory Office for the Commissioner of Public Employment.</w:t>
            </w:r>
          </w:p>
          <w:p w14:paraId="3BF6B056" w14:textId="77777777" w:rsidR="00CE6B27" w:rsidRPr="005A3834" w:rsidRDefault="00CE6B27" w:rsidP="00F33F9F">
            <w:pPr>
              <w:spacing w:after="0" w:line="257" w:lineRule="auto"/>
              <w:rPr>
                <w:rFonts w:ascii="Corbel" w:hAnsi="Corbel"/>
                <w:i/>
                <w:sz w:val="23"/>
                <w:szCs w:val="23"/>
              </w:rPr>
            </w:pPr>
            <w:r w:rsidRPr="00D84E41">
              <w:rPr>
                <w:rFonts w:ascii="Corbel" w:hAnsi="Corbel"/>
                <w:i/>
                <w:sz w:val="23"/>
                <w:szCs w:val="23"/>
              </w:rPr>
              <w:t xml:space="preserve">Note: workforce numbers do not include Aboriginal staff employed by school councils or boards. </w:t>
            </w:r>
          </w:p>
          <w:p w14:paraId="01D79F86" w14:textId="77777777" w:rsidR="00CE6B27" w:rsidRPr="00D84E41" w:rsidRDefault="00CE6B27" w:rsidP="00F33F9F">
            <w:pPr>
              <w:spacing w:after="0" w:line="257" w:lineRule="auto"/>
              <w:rPr>
                <w:rFonts w:ascii="Corbel" w:eastAsia="Calibri" w:hAnsi="Corbel" w:cs="Calibri"/>
                <w:i/>
                <w:sz w:val="23"/>
                <w:szCs w:val="23"/>
              </w:rPr>
            </w:pPr>
          </w:p>
        </w:tc>
      </w:tr>
    </w:tbl>
    <w:p w14:paraId="2C2F4131" w14:textId="64D8E23B" w:rsidR="005D5695" w:rsidRDefault="005D5695" w:rsidP="409599FA">
      <w:pPr>
        <w:keepNext/>
        <w:keepLines/>
        <w:spacing w:after="240" w:line="260" w:lineRule="exact"/>
        <w:rPr>
          <w:rFonts w:ascii="Corbel" w:eastAsia="Times New Roman" w:hAnsi="Corbel" w:cs="Corbel"/>
          <w:b/>
          <w:color w:val="316F72"/>
          <w:sz w:val="32"/>
          <w:szCs w:val="32"/>
          <w:lang w:eastAsia="en-AU"/>
        </w:rPr>
      </w:pPr>
      <w:r>
        <w:rPr>
          <w:rFonts w:ascii="Corbel" w:eastAsia="Times New Roman" w:hAnsi="Corbel" w:cs="Corbel"/>
          <w:b/>
          <w:color w:val="316F72"/>
          <w:sz w:val="32"/>
          <w:szCs w:val="32"/>
          <w:lang w:eastAsia="en-AU"/>
        </w:rPr>
        <w:br w:type="page"/>
      </w:r>
    </w:p>
    <w:p w14:paraId="5A481262" w14:textId="1138B57A" w:rsidR="007A0B8A" w:rsidRPr="00BE36B9" w:rsidRDefault="007A0B8A" w:rsidP="007A0B8A">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2</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FUNDING</w:t>
      </w:r>
    </w:p>
    <w:p w14:paraId="06050AC9" w14:textId="07CFA902" w:rsidR="00AB6C07" w:rsidRPr="00890181" w:rsidRDefault="007A0B8A" w:rsidP="00890181">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0A320905" w14:textId="77777777" w:rsidR="0068026F" w:rsidRPr="0068026F" w:rsidRDefault="0068026F" w:rsidP="0068026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8026F">
        <w:rPr>
          <w:rFonts w:ascii="Corbel" w:eastAsia="Times New Roman" w:hAnsi="Corbel" w:cs="Calibri"/>
          <w:color w:val="000000"/>
          <w:sz w:val="23"/>
          <w:szCs w:val="23"/>
          <w:lang w:eastAsia="en-AU"/>
        </w:rPr>
        <w:t xml:space="preserve">Under section 22A of the Act, the Northern Territory must meet its funding contributions for the government and non-government sectors as a condition of receiving Commonwealth funding. </w:t>
      </w:r>
    </w:p>
    <w:p w14:paraId="3C90A99B" w14:textId="77777777" w:rsidR="0068026F" w:rsidRPr="0068026F" w:rsidRDefault="0068026F" w:rsidP="0068026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8026F">
        <w:rPr>
          <w:rFonts w:ascii="Corbel" w:eastAsia="Times New Roman" w:hAnsi="Corbel" w:cs="Calibri"/>
          <w:color w:val="000000"/>
          <w:sz w:val="23"/>
          <w:szCs w:val="23"/>
          <w:lang w:eastAsia="en-AU"/>
        </w:rPr>
        <w:t>The Northern Territory’s funding contributions for the government and non-government sectors for 2025 onwards must be in accordance with section 22A of the Act and will determine the default requirement if this Bilateral Agreement is terminated by either party.</w:t>
      </w:r>
    </w:p>
    <w:p w14:paraId="14C78045" w14:textId="0A03AAA6" w:rsidR="0068026F" w:rsidRDefault="0068026F" w:rsidP="0068026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8026F">
        <w:rPr>
          <w:rFonts w:ascii="Corbel" w:eastAsia="Times New Roman" w:hAnsi="Corbel" w:cs="Calibri"/>
          <w:color w:val="000000"/>
          <w:sz w:val="23"/>
          <w:szCs w:val="23"/>
          <w:lang w:eastAsia="en-AU"/>
        </w:rPr>
        <w:t xml:space="preserve">The Northern Territory’s funding contributions for the government and non-government sectors agreed in this Bilateral Agreement are outlined in </w:t>
      </w:r>
      <w:r w:rsidR="0084680C">
        <w:rPr>
          <w:rFonts w:ascii="Corbel" w:eastAsia="Times New Roman" w:hAnsi="Corbel" w:cs="Calibri"/>
          <w:color w:val="000000"/>
          <w:sz w:val="23"/>
          <w:szCs w:val="23"/>
          <w:lang w:eastAsia="en-AU"/>
        </w:rPr>
        <w:t>T</w:t>
      </w:r>
      <w:r w:rsidRPr="0068026F">
        <w:rPr>
          <w:rFonts w:ascii="Corbel" w:eastAsia="Times New Roman" w:hAnsi="Corbel" w:cs="Calibri"/>
          <w:color w:val="000000"/>
          <w:sz w:val="23"/>
          <w:szCs w:val="23"/>
          <w:lang w:eastAsia="en-AU"/>
        </w:rPr>
        <w:t xml:space="preserve">able 2 below for each year from 2025 to 2029. The minimum funding contributions are expressed as a percentage of the Schooling Resource Standard (SRS) as defined in Part 3 of the Act. </w:t>
      </w:r>
    </w:p>
    <w:p w14:paraId="0BFCD1A3" w14:textId="60725C16" w:rsidR="00356B17" w:rsidRPr="00356B17" w:rsidRDefault="00356B17" w:rsidP="00356B17">
      <w:pPr>
        <w:spacing w:after="240" w:line="260" w:lineRule="exact"/>
        <w:jc w:val="both"/>
        <w:rPr>
          <w:rFonts w:ascii="Corbel" w:eastAsia="Times New Roman" w:hAnsi="Corbel" w:cs="Calibri"/>
          <w:i/>
          <w:iCs/>
          <w:sz w:val="23"/>
          <w:szCs w:val="23"/>
          <w:lang w:eastAsia="en-AU"/>
        </w:rPr>
      </w:pPr>
      <w:r w:rsidRPr="00356B17">
        <w:rPr>
          <w:rFonts w:ascii="Corbel" w:eastAsia="Times New Roman" w:hAnsi="Corbel" w:cs="Calibri"/>
          <w:i/>
          <w:iCs/>
          <w:sz w:val="23"/>
          <w:szCs w:val="23"/>
          <w:lang w:eastAsia="en-AU"/>
        </w:rPr>
        <w:t>Table 2</w:t>
      </w:r>
      <w:r w:rsidR="00B82E28">
        <w:rPr>
          <w:rFonts w:ascii="Corbel" w:eastAsia="Times New Roman" w:hAnsi="Corbel" w:cs="Calibri"/>
          <w:i/>
          <w:iCs/>
          <w:sz w:val="23"/>
          <w:szCs w:val="23"/>
          <w:lang w:eastAsia="en-AU"/>
        </w:rPr>
        <w:t>:</w:t>
      </w:r>
      <w:r w:rsidRPr="00356B17">
        <w:rPr>
          <w:rFonts w:ascii="Corbel" w:eastAsia="Times New Roman" w:hAnsi="Corbel" w:cs="Calibri"/>
          <w:i/>
          <w:iCs/>
          <w:sz w:val="23"/>
          <w:szCs w:val="23"/>
          <w:lang w:eastAsia="en-AU"/>
        </w:rPr>
        <w:t xml:space="preserve"> </w:t>
      </w:r>
      <w:r w:rsidRPr="00356B17">
        <w:rPr>
          <w:rFonts w:ascii="Corbel" w:eastAsia="Corbel" w:hAnsi="Corbel" w:cs="Corbel"/>
          <w:i/>
          <w:iCs/>
          <w:sz w:val="23"/>
          <w:szCs w:val="23"/>
        </w:rPr>
        <w:t>the Northern Territory’s</w:t>
      </w:r>
      <w:r w:rsidRPr="00356B17">
        <w:rPr>
          <w:rFonts w:ascii="Corbel" w:eastAsia="Times New Roman" w:hAnsi="Corbel" w:cs="Calibri"/>
          <w:i/>
          <w:iCs/>
          <w:sz w:val="23"/>
          <w:szCs w:val="23"/>
          <w:lang w:eastAsia="en-AU"/>
        </w:rPr>
        <w:t xml:space="preserve"> agreed funding shares for the government and non-government sectors, 2025 to 2029 </w:t>
      </w:r>
    </w:p>
    <w:tbl>
      <w:tblPr>
        <w:tblStyle w:val="TableGrid1"/>
        <w:tblW w:w="5000" w:type="pct"/>
        <w:tblCellMar>
          <w:top w:w="57" w:type="dxa"/>
          <w:bottom w:w="57" w:type="dxa"/>
        </w:tblCellMar>
        <w:tblLook w:val="04A0" w:firstRow="1" w:lastRow="0" w:firstColumn="1" w:lastColumn="0" w:noHBand="0" w:noVBand="1"/>
      </w:tblPr>
      <w:tblGrid>
        <w:gridCol w:w="1682"/>
        <w:gridCol w:w="1463"/>
        <w:gridCol w:w="1461"/>
        <w:gridCol w:w="1462"/>
        <w:gridCol w:w="1460"/>
        <w:gridCol w:w="1498"/>
      </w:tblGrid>
      <w:tr w:rsidR="00356B17" w:rsidRPr="00211AE0" w14:paraId="610AFBF4" w14:textId="77777777" w:rsidTr="00F33F9F">
        <w:trPr>
          <w:trHeight w:val="238"/>
          <w:tblHeader/>
        </w:trPr>
        <w:tc>
          <w:tcPr>
            <w:tcW w:w="931" w:type="pct"/>
            <w:shd w:val="clear" w:color="auto" w:fill="316F72"/>
            <w:vAlign w:val="center"/>
          </w:tcPr>
          <w:p w14:paraId="7D030C57" w14:textId="77777777" w:rsidR="00356B17" w:rsidRPr="00211AE0" w:rsidRDefault="00356B17" w:rsidP="00F33F9F">
            <w:pPr>
              <w:spacing w:before="120"/>
              <w:contextualSpacing/>
              <w:jc w:val="center"/>
              <w:rPr>
                <w:b/>
                <w:color w:val="FFFFFF"/>
                <w:spacing w:val="20"/>
              </w:rPr>
            </w:pPr>
            <w:r w:rsidRPr="00211AE0">
              <w:rPr>
                <w:b/>
                <w:color w:val="FFFFFF"/>
                <w:spacing w:val="20"/>
              </w:rPr>
              <w:t>Sector</w:t>
            </w:r>
          </w:p>
        </w:tc>
        <w:tc>
          <w:tcPr>
            <w:tcW w:w="810" w:type="pct"/>
            <w:shd w:val="clear" w:color="auto" w:fill="316F72"/>
            <w:vAlign w:val="center"/>
          </w:tcPr>
          <w:p w14:paraId="78FD534C" w14:textId="77777777" w:rsidR="00356B17" w:rsidRPr="00211AE0" w:rsidRDefault="00356B17" w:rsidP="00F33F9F">
            <w:pPr>
              <w:spacing w:before="120"/>
              <w:contextualSpacing/>
              <w:jc w:val="center"/>
              <w:rPr>
                <w:b/>
                <w:color w:val="FFFFFF"/>
                <w:spacing w:val="20"/>
              </w:rPr>
            </w:pPr>
            <w:r w:rsidRPr="00211AE0">
              <w:rPr>
                <w:b/>
                <w:color w:val="FFFFFF"/>
                <w:spacing w:val="20"/>
              </w:rPr>
              <w:t>2025</w:t>
            </w:r>
          </w:p>
        </w:tc>
        <w:tc>
          <w:tcPr>
            <w:tcW w:w="809" w:type="pct"/>
            <w:shd w:val="clear" w:color="auto" w:fill="316F72"/>
            <w:vAlign w:val="center"/>
          </w:tcPr>
          <w:p w14:paraId="297187D1" w14:textId="77777777" w:rsidR="00356B17" w:rsidRPr="00211AE0" w:rsidRDefault="00356B17" w:rsidP="00F33F9F">
            <w:pPr>
              <w:spacing w:before="120"/>
              <w:contextualSpacing/>
              <w:jc w:val="center"/>
              <w:rPr>
                <w:b/>
                <w:color w:val="FFFFFF"/>
                <w:spacing w:val="20"/>
              </w:rPr>
            </w:pPr>
            <w:r w:rsidRPr="00211AE0">
              <w:rPr>
                <w:b/>
                <w:color w:val="FFFFFF"/>
                <w:spacing w:val="20"/>
              </w:rPr>
              <w:t>2026</w:t>
            </w:r>
          </w:p>
        </w:tc>
        <w:tc>
          <w:tcPr>
            <w:tcW w:w="810" w:type="pct"/>
            <w:shd w:val="clear" w:color="auto" w:fill="316F72"/>
            <w:vAlign w:val="center"/>
          </w:tcPr>
          <w:p w14:paraId="0374247C" w14:textId="77777777" w:rsidR="00356B17" w:rsidRPr="00211AE0" w:rsidRDefault="00356B17" w:rsidP="00F33F9F">
            <w:pPr>
              <w:contextualSpacing/>
              <w:jc w:val="center"/>
              <w:rPr>
                <w:b/>
                <w:color w:val="FFFFFF"/>
                <w:spacing w:val="20"/>
              </w:rPr>
            </w:pPr>
            <w:r w:rsidRPr="00211AE0">
              <w:rPr>
                <w:b/>
                <w:color w:val="FFFFFF"/>
                <w:spacing w:val="20"/>
              </w:rPr>
              <w:t>2027</w:t>
            </w:r>
          </w:p>
        </w:tc>
        <w:tc>
          <w:tcPr>
            <w:tcW w:w="809" w:type="pct"/>
            <w:shd w:val="clear" w:color="auto" w:fill="316F72"/>
            <w:vAlign w:val="center"/>
          </w:tcPr>
          <w:p w14:paraId="19A86E6F" w14:textId="77777777" w:rsidR="00356B17" w:rsidRPr="00211AE0" w:rsidRDefault="00356B17" w:rsidP="00F33F9F">
            <w:pPr>
              <w:contextualSpacing/>
              <w:jc w:val="center"/>
              <w:rPr>
                <w:b/>
                <w:color w:val="FFFFFF"/>
                <w:spacing w:val="20"/>
              </w:rPr>
            </w:pPr>
            <w:r w:rsidRPr="00211AE0">
              <w:rPr>
                <w:b/>
                <w:color w:val="FFFFFF"/>
                <w:spacing w:val="20"/>
              </w:rPr>
              <w:t>2028</w:t>
            </w:r>
          </w:p>
        </w:tc>
        <w:tc>
          <w:tcPr>
            <w:tcW w:w="830" w:type="pct"/>
            <w:shd w:val="clear" w:color="auto" w:fill="316F72"/>
            <w:vAlign w:val="center"/>
          </w:tcPr>
          <w:p w14:paraId="6DA15371" w14:textId="77777777" w:rsidR="00356B17" w:rsidRPr="00211AE0" w:rsidRDefault="00356B17" w:rsidP="00F33F9F">
            <w:pPr>
              <w:contextualSpacing/>
              <w:jc w:val="center"/>
              <w:rPr>
                <w:b/>
                <w:color w:val="FFFFFF"/>
                <w:spacing w:val="20"/>
              </w:rPr>
            </w:pPr>
            <w:r w:rsidRPr="00211AE0">
              <w:rPr>
                <w:b/>
                <w:color w:val="FFFFFF"/>
                <w:spacing w:val="20"/>
              </w:rPr>
              <w:t>2029</w:t>
            </w:r>
          </w:p>
        </w:tc>
      </w:tr>
      <w:tr w:rsidR="00356B17" w:rsidRPr="00211AE0" w14:paraId="67FAA677" w14:textId="77777777" w:rsidTr="00F33F9F">
        <w:trPr>
          <w:trHeight w:val="359"/>
        </w:trPr>
        <w:tc>
          <w:tcPr>
            <w:tcW w:w="931" w:type="pct"/>
          </w:tcPr>
          <w:p w14:paraId="7D709AAD" w14:textId="77777777" w:rsidR="00356B17" w:rsidRPr="00211AE0" w:rsidRDefault="00356B17" w:rsidP="00F33F9F">
            <w:pPr>
              <w:rPr>
                <w:color w:val="000000"/>
              </w:rPr>
            </w:pPr>
            <w:r w:rsidRPr="00211AE0">
              <w:rPr>
                <w:color w:val="000000"/>
              </w:rPr>
              <w:t>Government</w:t>
            </w:r>
          </w:p>
        </w:tc>
        <w:tc>
          <w:tcPr>
            <w:tcW w:w="810" w:type="pct"/>
            <w:vAlign w:val="center"/>
          </w:tcPr>
          <w:p w14:paraId="63EAD349" w14:textId="77777777" w:rsidR="00356B17" w:rsidRPr="00211AE0" w:rsidRDefault="00356B17" w:rsidP="00F33F9F">
            <w:r w:rsidRPr="00211AE0">
              <w:t>59.00%</w:t>
            </w:r>
          </w:p>
        </w:tc>
        <w:tc>
          <w:tcPr>
            <w:tcW w:w="809" w:type="pct"/>
            <w:shd w:val="clear" w:color="auto" w:fill="auto"/>
          </w:tcPr>
          <w:p w14:paraId="42B87BD9" w14:textId="77777777" w:rsidR="00356B17" w:rsidRPr="00211AE0" w:rsidRDefault="00356B17" w:rsidP="00F33F9F">
            <w:r w:rsidRPr="00211AE0">
              <w:t>59.15%</w:t>
            </w:r>
          </w:p>
        </w:tc>
        <w:tc>
          <w:tcPr>
            <w:tcW w:w="810" w:type="pct"/>
            <w:shd w:val="clear" w:color="auto" w:fill="auto"/>
          </w:tcPr>
          <w:p w14:paraId="3A7415FD" w14:textId="77777777" w:rsidR="00356B17" w:rsidRPr="00211AE0" w:rsidRDefault="00356B17" w:rsidP="00F33F9F">
            <w:r w:rsidRPr="00211AE0">
              <w:t>59.30%</w:t>
            </w:r>
          </w:p>
        </w:tc>
        <w:tc>
          <w:tcPr>
            <w:tcW w:w="809" w:type="pct"/>
          </w:tcPr>
          <w:p w14:paraId="127C62CE" w14:textId="77777777" w:rsidR="00356B17" w:rsidRPr="00211AE0" w:rsidRDefault="00356B17" w:rsidP="00F33F9F">
            <w:r w:rsidRPr="00211AE0">
              <w:t>59.5</w:t>
            </w:r>
            <w:r>
              <w:t>5</w:t>
            </w:r>
            <w:r w:rsidRPr="00211AE0">
              <w:t>%</w:t>
            </w:r>
          </w:p>
        </w:tc>
        <w:tc>
          <w:tcPr>
            <w:tcW w:w="830" w:type="pct"/>
          </w:tcPr>
          <w:p w14:paraId="48E72EC9" w14:textId="77777777" w:rsidR="00356B17" w:rsidRPr="00211AE0" w:rsidRDefault="00356B17" w:rsidP="00F33F9F">
            <w:r w:rsidRPr="00211AE0">
              <w:t>60.00%</w:t>
            </w:r>
          </w:p>
        </w:tc>
      </w:tr>
      <w:tr w:rsidR="00356B17" w:rsidRPr="00211AE0" w14:paraId="109AC211" w14:textId="77777777" w:rsidTr="00F33F9F">
        <w:trPr>
          <w:trHeight w:val="359"/>
        </w:trPr>
        <w:tc>
          <w:tcPr>
            <w:tcW w:w="931" w:type="pct"/>
          </w:tcPr>
          <w:p w14:paraId="15D10E15" w14:textId="77777777" w:rsidR="00356B17" w:rsidRPr="00211AE0" w:rsidRDefault="00356B17" w:rsidP="00F33F9F">
            <w:pPr>
              <w:rPr>
                <w:color w:val="000000"/>
              </w:rPr>
            </w:pPr>
            <w:r w:rsidRPr="00211AE0">
              <w:rPr>
                <w:color w:val="000000"/>
              </w:rPr>
              <w:t>Non-government</w:t>
            </w:r>
          </w:p>
        </w:tc>
        <w:tc>
          <w:tcPr>
            <w:tcW w:w="810" w:type="pct"/>
            <w:vAlign w:val="center"/>
          </w:tcPr>
          <w:p w14:paraId="1015EFDB" w14:textId="77777777" w:rsidR="00356B17" w:rsidRPr="00211AE0" w:rsidRDefault="00356B17" w:rsidP="00F33F9F">
            <w:r w:rsidRPr="00211AE0">
              <w:t>15.80%</w:t>
            </w:r>
          </w:p>
        </w:tc>
        <w:tc>
          <w:tcPr>
            <w:tcW w:w="809" w:type="pct"/>
            <w:shd w:val="clear" w:color="auto" w:fill="auto"/>
            <w:vAlign w:val="center"/>
          </w:tcPr>
          <w:p w14:paraId="349F6F30" w14:textId="77777777" w:rsidR="00356B17" w:rsidRPr="00211AE0" w:rsidRDefault="00356B17" w:rsidP="00F33F9F">
            <w:r w:rsidRPr="00211AE0">
              <w:t>15.80%</w:t>
            </w:r>
          </w:p>
        </w:tc>
        <w:tc>
          <w:tcPr>
            <w:tcW w:w="810" w:type="pct"/>
            <w:shd w:val="clear" w:color="auto" w:fill="auto"/>
            <w:vAlign w:val="center"/>
          </w:tcPr>
          <w:p w14:paraId="63795AFA" w14:textId="77777777" w:rsidR="00356B17" w:rsidRPr="00211AE0" w:rsidRDefault="00356B17" w:rsidP="00F33F9F">
            <w:r w:rsidRPr="00211AE0">
              <w:t>15.80%</w:t>
            </w:r>
          </w:p>
        </w:tc>
        <w:tc>
          <w:tcPr>
            <w:tcW w:w="809" w:type="pct"/>
            <w:vAlign w:val="center"/>
          </w:tcPr>
          <w:p w14:paraId="41A42128" w14:textId="77777777" w:rsidR="00356B17" w:rsidRPr="00211AE0" w:rsidRDefault="00356B17" w:rsidP="00F33F9F">
            <w:r w:rsidRPr="00211AE0">
              <w:t>15.80%</w:t>
            </w:r>
          </w:p>
        </w:tc>
        <w:tc>
          <w:tcPr>
            <w:tcW w:w="830" w:type="pct"/>
            <w:vAlign w:val="center"/>
          </w:tcPr>
          <w:p w14:paraId="5098CA6E" w14:textId="77777777" w:rsidR="00356B17" w:rsidRPr="00211AE0" w:rsidRDefault="00356B17" w:rsidP="00F33F9F">
            <w:r w:rsidRPr="00211AE0">
              <w:t>20%</w:t>
            </w:r>
          </w:p>
        </w:tc>
      </w:tr>
    </w:tbl>
    <w:p w14:paraId="230586EF" w14:textId="77777777" w:rsidR="00395E3E" w:rsidRPr="00395E3E" w:rsidRDefault="00395E3E" w:rsidP="00395E3E">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95E3E">
        <w:rPr>
          <w:rFonts w:ascii="Corbel" w:eastAsia="Times New Roman" w:hAnsi="Corbel" w:cs="Calibri"/>
          <w:color w:val="000000"/>
          <w:sz w:val="23"/>
          <w:szCs w:val="23"/>
          <w:lang w:eastAsia="en-AU"/>
        </w:rPr>
        <w:t>The funding contributions outlined above have been agreed based on the following rationale:</w:t>
      </w:r>
    </w:p>
    <w:p w14:paraId="26163573" w14:textId="2DE043A2" w:rsidR="00395E3E" w:rsidRPr="00395E3E" w:rsidRDefault="00DF4FEE" w:rsidP="0009295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395E3E" w:rsidRPr="00395E3E">
        <w:rPr>
          <w:rFonts w:ascii="Corbel" w:eastAsia="Times New Roman" w:hAnsi="Corbel" w:cs="Calibri"/>
          <w:color w:val="000000"/>
          <w:sz w:val="23"/>
          <w:szCs w:val="23"/>
          <w:lang w:eastAsia="en-AU"/>
        </w:rPr>
        <w:t>he final share for government schools in the Northern Territory will be at least 60 per cent of the SRS by 2029.</w:t>
      </w:r>
    </w:p>
    <w:p w14:paraId="3D0D4037" w14:textId="0D4E9A38" w:rsidR="00395E3E" w:rsidRPr="00395E3E" w:rsidRDefault="00DF4FEE" w:rsidP="0009295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395E3E" w:rsidRPr="00395E3E">
        <w:rPr>
          <w:rFonts w:ascii="Corbel" w:eastAsia="Times New Roman" w:hAnsi="Corbel" w:cs="Calibri"/>
          <w:color w:val="000000"/>
          <w:sz w:val="23"/>
          <w:szCs w:val="23"/>
          <w:lang w:eastAsia="en-AU"/>
        </w:rPr>
        <w:t xml:space="preserve">he final share for non-government schools in the Northern Territory will reach 20 per cent of the SRS by 2029. </w:t>
      </w:r>
    </w:p>
    <w:p w14:paraId="406543BD" w14:textId="73AE4EB3" w:rsidR="00395E3E" w:rsidRPr="00395E3E" w:rsidRDefault="00DF4FEE" w:rsidP="0009295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395E3E" w:rsidRPr="00395E3E">
        <w:rPr>
          <w:rFonts w:ascii="Corbel" w:eastAsia="Times New Roman" w:hAnsi="Corbel" w:cs="Calibri"/>
          <w:color w:val="000000"/>
          <w:sz w:val="23"/>
          <w:szCs w:val="23"/>
          <w:lang w:eastAsia="en-AU"/>
        </w:rPr>
        <w:t>he Northern Territory will use its needs-based funding model for government schools to direct additional funding towards the implementation of National Reform Directions and National Enabling Initiatives (as defined in Part 4 of the Heads of Agreement) and to benefit priority students and schools.</w:t>
      </w:r>
    </w:p>
    <w:p w14:paraId="07E487A0" w14:textId="16031D2F" w:rsidR="00395E3E" w:rsidRPr="00395E3E" w:rsidRDefault="00DF4FEE" w:rsidP="0009295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F</w:t>
      </w:r>
      <w:r w:rsidR="00395E3E" w:rsidRPr="00395E3E">
        <w:rPr>
          <w:rFonts w:ascii="Corbel" w:eastAsia="Times New Roman" w:hAnsi="Corbel" w:cs="Calibri"/>
          <w:color w:val="000000"/>
          <w:sz w:val="23"/>
          <w:szCs w:val="23"/>
          <w:lang w:eastAsia="en-AU"/>
        </w:rPr>
        <w:t>unding levels provided to government and non-government schools in 2024 through the On-</w:t>
      </w:r>
      <w:r w:rsidR="00BC64FD">
        <w:rPr>
          <w:rFonts w:ascii="Corbel" w:eastAsia="Times New Roman" w:hAnsi="Corbel" w:cs="Calibri"/>
          <w:color w:val="000000"/>
          <w:sz w:val="23"/>
          <w:szCs w:val="23"/>
          <w:lang w:eastAsia="en-AU"/>
        </w:rPr>
        <w:t>C</w:t>
      </w:r>
      <w:r w:rsidR="00395E3E" w:rsidRPr="00395E3E">
        <w:rPr>
          <w:rFonts w:ascii="Corbel" w:eastAsia="Times New Roman" w:hAnsi="Corbel" w:cs="Calibri"/>
          <w:color w:val="000000"/>
          <w:sz w:val="23"/>
          <w:szCs w:val="23"/>
          <w:lang w:eastAsia="en-AU"/>
        </w:rPr>
        <w:t xml:space="preserve">ountry learning measure </w:t>
      </w:r>
      <w:r w:rsidR="00BA702A" w:rsidRPr="005E21F0">
        <w:rPr>
          <w:rFonts w:ascii="Corbel" w:eastAsia="Times New Roman" w:hAnsi="Corbel" w:cs="Calibri"/>
          <w:color w:val="000000"/>
          <w:sz w:val="23"/>
          <w:szCs w:val="23"/>
          <w:lang w:eastAsia="en-AU"/>
        </w:rPr>
        <w:t xml:space="preserve">announced as part of the </w:t>
      </w:r>
      <w:r w:rsidR="000D6CB9" w:rsidRPr="005E21F0">
        <w:rPr>
          <w:rFonts w:ascii="Corbel" w:eastAsia="Times New Roman" w:hAnsi="Corbel" w:cs="Calibri"/>
          <w:color w:val="000000"/>
          <w:sz w:val="23"/>
          <w:szCs w:val="23"/>
          <w:lang w:eastAsia="en-AU"/>
        </w:rPr>
        <w:t xml:space="preserve">plan for a </w:t>
      </w:r>
      <w:r w:rsidR="000D6CB9" w:rsidRPr="005E21F0">
        <w:rPr>
          <w:rFonts w:ascii="Corbel" w:eastAsia="Times New Roman" w:hAnsi="Corbel" w:cs="Calibri"/>
          <w:i/>
          <w:iCs/>
          <w:color w:val="000000"/>
          <w:sz w:val="23"/>
          <w:szCs w:val="23"/>
          <w:lang w:eastAsia="en-AU"/>
        </w:rPr>
        <w:t>Better, Safer Future for Central Australia</w:t>
      </w:r>
      <w:r w:rsidR="000D6CB9" w:rsidRPr="005E21F0">
        <w:rPr>
          <w:rFonts w:ascii="Corbel" w:eastAsia="Times New Roman" w:hAnsi="Corbel" w:cs="Calibri"/>
          <w:color w:val="000000"/>
          <w:sz w:val="23"/>
          <w:szCs w:val="23"/>
          <w:lang w:eastAsia="en-AU"/>
        </w:rPr>
        <w:t>,</w:t>
      </w:r>
      <w:r w:rsidR="000D6CB9">
        <w:rPr>
          <w:rFonts w:ascii="Corbel" w:eastAsia="Times New Roman" w:hAnsi="Corbel" w:cs="Calibri"/>
          <w:color w:val="000000"/>
          <w:sz w:val="23"/>
          <w:szCs w:val="23"/>
          <w:lang w:eastAsia="en-AU"/>
        </w:rPr>
        <w:t xml:space="preserve"> </w:t>
      </w:r>
      <w:r w:rsidR="00395E3E" w:rsidRPr="00395E3E">
        <w:rPr>
          <w:rFonts w:ascii="Corbel" w:eastAsia="Times New Roman" w:hAnsi="Corbel" w:cs="Calibri"/>
          <w:color w:val="000000"/>
          <w:sz w:val="23"/>
          <w:szCs w:val="23"/>
          <w:lang w:eastAsia="en-AU"/>
        </w:rPr>
        <w:t>will be maintained from 2025.</w:t>
      </w:r>
    </w:p>
    <w:p w14:paraId="6533B00F" w14:textId="77777777" w:rsidR="00395E3E" w:rsidRPr="00395E3E" w:rsidRDefault="00395E3E" w:rsidP="00395E3E">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95E3E">
        <w:rPr>
          <w:rFonts w:ascii="Corbel" w:eastAsia="Times New Roman" w:hAnsi="Corbel" w:cs="Calibri"/>
          <w:color w:val="000000"/>
          <w:sz w:val="23"/>
          <w:szCs w:val="23"/>
          <w:lang w:eastAsia="en-AU"/>
        </w:rPr>
        <w:t>The Northern Territory will commence a review of the non-government school funding model in 2025, in consultation with Northern Territory non-government sector heads.</w:t>
      </w:r>
    </w:p>
    <w:p w14:paraId="0AF60C5D" w14:textId="609D0402" w:rsidR="00395E3E" w:rsidRPr="00395E3E" w:rsidRDefault="00395E3E" w:rsidP="00C37B91">
      <w:pPr>
        <w:pStyle w:val="ListParagraph"/>
        <w:keepNext/>
        <w:keepLines/>
        <w:numPr>
          <w:ilvl w:val="0"/>
          <w:numId w:val="24"/>
        </w:numPr>
        <w:tabs>
          <w:tab w:val="left" w:pos="426"/>
        </w:tabs>
        <w:spacing w:after="240" w:line="260" w:lineRule="exact"/>
        <w:ind w:left="425" w:hanging="425"/>
        <w:jc w:val="both"/>
        <w:rPr>
          <w:rFonts w:ascii="Corbel" w:eastAsia="Times New Roman" w:hAnsi="Corbel" w:cs="Calibri"/>
          <w:color w:val="000000" w:themeColor="text1"/>
          <w:sz w:val="23"/>
          <w:szCs w:val="23"/>
          <w:lang w:eastAsia="en-AU"/>
        </w:rPr>
      </w:pPr>
      <w:r w:rsidRPr="2702AE40">
        <w:rPr>
          <w:rFonts w:ascii="Corbel" w:eastAsia="Times New Roman" w:hAnsi="Corbel" w:cs="Calibri"/>
          <w:color w:val="000000" w:themeColor="text1"/>
          <w:sz w:val="23"/>
          <w:szCs w:val="23"/>
          <w:lang w:eastAsia="en-AU"/>
        </w:rPr>
        <w:lastRenderedPageBreak/>
        <w:t>The Commonwealth will match the additional funding for government schools through increasing the Commonwealth’s share to 40 per cent of the SRS. The Commonwealth’s share</w:t>
      </w:r>
      <w:r w:rsidR="59146BBD" w:rsidRPr="2702AE40">
        <w:rPr>
          <w:rFonts w:ascii="Corbel" w:eastAsia="Times New Roman" w:hAnsi="Corbel" w:cs="Calibri"/>
          <w:color w:val="000000" w:themeColor="text1"/>
          <w:sz w:val="23"/>
          <w:szCs w:val="23"/>
          <w:lang w:eastAsia="en-AU"/>
        </w:rPr>
        <w:t xml:space="preserve"> of the SRS</w:t>
      </w:r>
      <w:r w:rsidRPr="2702AE40">
        <w:rPr>
          <w:rFonts w:ascii="Corbel" w:eastAsia="Times New Roman" w:hAnsi="Corbel" w:cs="Calibri"/>
          <w:color w:val="000000" w:themeColor="text1"/>
          <w:sz w:val="23"/>
          <w:szCs w:val="23"/>
          <w:lang w:eastAsia="en-AU"/>
        </w:rPr>
        <w:t xml:space="preserve"> for the Northern Territory’s government school</w:t>
      </w:r>
      <w:r w:rsidR="73B44A3F" w:rsidRPr="2702AE40">
        <w:rPr>
          <w:rFonts w:ascii="Corbel" w:eastAsia="Times New Roman" w:hAnsi="Corbel" w:cs="Calibri"/>
          <w:color w:val="000000" w:themeColor="text1"/>
          <w:sz w:val="23"/>
          <w:szCs w:val="23"/>
          <w:lang w:eastAsia="en-AU"/>
        </w:rPr>
        <w:t>s</w:t>
      </w:r>
      <w:r w:rsidRPr="2702AE40">
        <w:rPr>
          <w:rFonts w:ascii="Corbel" w:eastAsia="Times New Roman" w:hAnsi="Corbel" w:cs="Calibri"/>
          <w:color w:val="000000" w:themeColor="text1"/>
          <w:sz w:val="23"/>
          <w:szCs w:val="23"/>
          <w:lang w:eastAsia="en-AU"/>
        </w:rPr>
        <w:t xml:space="preserve"> </w:t>
      </w:r>
      <w:r w:rsidR="3F7FB458" w:rsidRPr="2702AE40">
        <w:rPr>
          <w:rFonts w:ascii="Corbel" w:eastAsia="Times New Roman" w:hAnsi="Corbel" w:cs="Calibri"/>
          <w:color w:val="000000" w:themeColor="text1"/>
          <w:sz w:val="23"/>
          <w:szCs w:val="23"/>
          <w:lang w:eastAsia="en-AU"/>
        </w:rPr>
        <w:t>is</w:t>
      </w:r>
      <w:r w:rsidRPr="2702AE40">
        <w:rPr>
          <w:rFonts w:ascii="Corbel" w:eastAsia="Times New Roman" w:hAnsi="Corbel" w:cs="Calibri"/>
          <w:color w:val="000000" w:themeColor="text1"/>
          <w:sz w:val="23"/>
          <w:szCs w:val="23"/>
          <w:lang w:eastAsia="en-AU"/>
        </w:rPr>
        <w:t xml:space="preserve"> set out in </w:t>
      </w:r>
      <w:r w:rsidR="00404CC5" w:rsidRPr="2702AE40">
        <w:rPr>
          <w:rFonts w:ascii="Corbel" w:eastAsia="Times New Roman" w:hAnsi="Corbel" w:cs="Calibri"/>
          <w:color w:val="000000" w:themeColor="text1"/>
          <w:sz w:val="23"/>
          <w:szCs w:val="23"/>
          <w:lang w:eastAsia="en-AU"/>
        </w:rPr>
        <w:t>the legislation</w:t>
      </w:r>
      <w:r w:rsidRPr="2702AE40">
        <w:rPr>
          <w:rFonts w:ascii="Corbel" w:eastAsia="Times New Roman" w:hAnsi="Corbel" w:cs="Calibri"/>
          <w:color w:val="000000" w:themeColor="text1"/>
          <w:sz w:val="23"/>
          <w:szCs w:val="23"/>
          <w:lang w:eastAsia="en-AU"/>
        </w:rPr>
        <w:t>. The Commonwealth’s agreed shares for the Northern Territory’s government school sector from 2025 to 2029 are as follows:</w:t>
      </w:r>
    </w:p>
    <w:p w14:paraId="1C450841" w14:textId="77777777" w:rsidR="00395E3E" w:rsidRPr="00E17AD8" w:rsidRDefault="00395E3E" w:rsidP="00C37B91">
      <w:pPr>
        <w:keepNext/>
        <w:spacing w:after="240" w:line="260" w:lineRule="exact"/>
        <w:ind w:left="-74"/>
        <w:jc w:val="both"/>
        <w:rPr>
          <w:rFonts w:ascii="Corbel" w:hAnsi="Corbel"/>
          <w:i/>
          <w:iCs/>
          <w:sz w:val="23"/>
          <w:szCs w:val="23"/>
        </w:rPr>
      </w:pPr>
      <w:r>
        <w:rPr>
          <w:rFonts w:ascii="Corbel" w:hAnsi="Corbel"/>
          <w:i/>
          <w:iCs/>
          <w:sz w:val="23"/>
          <w:szCs w:val="23"/>
        </w:rPr>
        <w:t xml:space="preserve">Table 3: </w:t>
      </w:r>
      <w:r w:rsidRPr="00B87D2B">
        <w:rPr>
          <w:rFonts w:ascii="Corbel" w:eastAsia="Corbel" w:hAnsi="Corbel" w:cs="Corbel"/>
          <w:i/>
          <w:iCs/>
          <w:sz w:val="23"/>
          <w:szCs w:val="23"/>
        </w:rPr>
        <w:t>the Commonwealth’s</w:t>
      </w:r>
      <w:r w:rsidRPr="00B87D2B">
        <w:rPr>
          <w:rFonts w:ascii="Corbel" w:eastAsia="Times New Roman" w:hAnsi="Corbel" w:cs="Calibri"/>
          <w:i/>
          <w:iCs/>
          <w:sz w:val="23"/>
          <w:szCs w:val="23"/>
          <w:lang w:eastAsia="en-AU"/>
        </w:rPr>
        <w:t xml:space="preserve"> agreed funding shares for the Northern Territory’s government sector, 2025 to 2029</w:t>
      </w:r>
    </w:p>
    <w:tbl>
      <w:tblPr>
        <w:tblStyle w:val="TableGrid1"/>
        <w:tblW w:w="8731" w:type="dxa"/>
        <w:tblLook w:val="04A0" w:firstRow="1" w:lastRow="0" w:firstColumn="1" w:lastColumn="0" w:noHBand="0" w:noVBand="1"/>
      </w:tblPr>
      <w:tblGrid>
        <w:gridCol w:w="2766"/>
        <w:gridCol w:w="1211"/>
        <w:gridCol w:w="1089"/>
        <w:gridCol w:w="1089"/>
        <w:gridCol w:w="1089"/>
        <w:gridCol w:w="1487"/>
      </w:tblGrid>
      <w:tr w:rsidR="00395E3E" w14:paraId="0237D9AE" w14:textId="77777777" w:rsidTr="00F33F9F">
        <w:trPr>
          <w:trHeight w:val="365"/>
        </w:trPr>
        <w:tc>
          <w:tcPr>
            <w:tcW w:w="2766" w:type="dxa"/>
            <w:hideMark/>
          </w:tcPr>
          <w:p w14:paraId="1F5A6F7F" w14:textId="77777777" w:rsidR="00395E3E" w:rsidRPr="00A51DE5" w:rsidRDefault="00395E3E" w:rsidP="00F33F9F">
            <w:pPr>
              <w:textAlignment w:val="baseline"/>
              <w:rPr>
                <w:rFonts w:cs="Segoe UI"/>
                <w:sz w:val="18"/>
                <w:szCs w:val="18"/>
              </w:rPr>
            </w:pPr>
            <w:r w:rsidRPr="00A51DE5">
              <w:rPr>
                <w:rFonts w:cs="Arial"/>
              </w:rPr>
              <w:t> </w:t>
            </w:r>
          </w:p>
        </w:tc>
        <w:tc>
          <w:tcPr>
            <w:tcW w:w="1211" w:type="dxa"/>
            <w:shd w:val="clear" w:color="auto" w:fill="316F72"/>
            <w:hideMark/>
          </w:tcPr>
          <w:p w14:paraId="6B74125B" w14:textId="77777777" w:rsidR="00395E3E" w:rsidRPr="00A51DE5" w:rsidRDefault="00395E3E" w:rsidP="00F33F9F">
            <w:pPr>
              <w:jc w:val="center"/>
              <w:textAlignment w:val="baseline"/>
              <w:rPr>
                <w:rFonts w:cs="Segoe UI"/>
                <w:b/>
                <w:bCs/>
                <w:sz w:val="18"/>
                <w:szCs w:val="18"/>
              </w:rPr>
            </w:pPr>
            <w:r w:rsidRPr="00A51DE5">
              <w:rPr>
                <w:rFonts w:cs="Arial"/>
                <w:b/>
                <w:bCs/>
                <w:color w:val="FFFFFF"/>
              </w:rPr>
              <w:t>2025 </w:t>
            </w:r>
          </w:p>
        </w:tc>
        <w:tc>
          <w:tcPr>
            <w:tcW w:w="1089" w:type="dxa"/>
            <w:shd w:val="clear" w:color="auto" w:fill="316F72"/>
            <w:hideMark/>
          </w:tcPr>
          <w:p w14:paraId="5EF1283D" w14:textId="77777777" w:rsidR="00395E3E" w:rsidRPr="00A51DE5" w:rsidRDefault="00395E3E" w:rsidP="00F33F9F">
            <w:pPr>
              <w:jc w:val="center"/>
              <w:textAlignment w:val="baseline"/>
              <w:rPr>
                <w:rFonts w:cs="Segoe UI"/>
                <w:b/>
                <w:bCs/>
                <w:sz w:val="18"/>
                <w:szCs w:val="18"/>
              </w:rPr>
            </w:pPr>
            <w:r w:rsidRPr="00A51DE5">
              <w:rPr>
                <w:rFonts w:cs="Arial"/>
                <w:b/>
                <w:bCs/>
                <w:color w:val="FFFFFF"/>
              </w:rPr>
              <w:t>2026 </w:t>
            </w:r>
          </w:p>
        </w:tc>
        <w:tc>
          <w:tcPr>
            <w:tcW w:w="1089" w:type="dxa"/>
            <w:shd w:val="clear" w:color="auto" w:fill="316F72"/>
            <w:hideMark/>
          </w:tcPr>
          <w:p w14:paraId="64A19DAD" w14:textId="77777777" w:rsidR="00395E3E" w:rsidRPr="00A51DE5" w:rsidRDefault="00395E3E" w:rsidP="00F33F9F">
            <w:pPr>
              <w:jc w:val="center"/>
              <w:textAlignment w:val="baseline"/>
              <w:rPr>
                <w:rFonts w:cs="Segoe UI"/>
                <w:b/>
                <w:bCs/>
                <w:sz w:val="18"/>
                <w:szCs w:val="18"/>
              </w:rPr>
            </w:pPr>
            <w:r w:rsidRPr="00A51DE5">
              <w:rPr>
                <w:rFonts w:cs="Arial"/>
                <w:b/>
                <w:bCs/>
                <w:color w:val="FFFFFF"/>
              </w:rPr>
              <w:t>2027 </w:t>
            </w:r>
          </w:p>
        </w:tc>
        <w:tc>
          <w:tcPr>
            <w:tcW w:w="1089" w:type="dxa"/>
            <w:shd w:val="clear" w:color="auto" w:fill="316F72"/>
            <w:hideMark/>
          </w:tcPr>
          <w:p w14:paraId="272AD6CF" w14:textId="77777777" w:rsidR="00395E3E" w:rsidRPr="00A51DE5" w:rsidRDefault="00395E3E" w:rsidP="00F33F9F">
            <w:pPr>
              <w:jc w:val="center"/>
              <w:textAlignment w:val="baseline"/>
              <w:rPr>
                <w:rFonts w:cs="Segoe UI"/>
                <w:b/>
                <w:bCs/>
                <w:sz w:val="18"/>
                <w:szCs w:val="18"/>
              </w:rPr>
            </w:pPr>
            <w:r w:rsidRPr="00A51DE5">
              <w:rPr>
                <w:rFonts w:cs="Arial"/>
                <w:b/>
                <w:bCs/>
                <w:color w:val="FFFFFF"/>
              </w:rPr>
              <w:t>2028 </w:t>
            </w:r>
          </w:p>
        </w:tc>
        <w:tc>
          <w:tcPr>
            <w:tcW w:w="1487" w:type="dxa"/>
            <w:shd w:val="clear" w:color="auto" w:fill="316F72"/>
            <w:hideMark/>
          </w:tcPr>
          <w:p w14:paraId="317F7853" w14:textId="77777777" w:rsidR="00395E3E" w:rsidRPr="00A51DE5" w:rsidRDefault="00395E3E" w:rsidP="00F33F9F">
            <w:pPr>
              <w:jc w:val="center"/>
              <w:textAlignment w:val="baseline"/>
              <w:rPr>
                <w:rFonts w:cs="Segoe UI"/>
                <w:b/>
                <w:bCs/>
                <w:sz w:val="18"/>
                <w:szCs w:val="18"/>
              </w:rPr>
            </w:pPr>
            <w:r w:rsidRPr="00A51DE5">
              <w:rPr>
                <w:rFonts w:cs="Arial"/>
                <w:b/>
                <w:bCs/>
                <w:color w:val="FFFFFF"/>
              </w:rPr>
              <w:t>2029 </w:t>
            </w:r>
          </w:p>
        </w:tc>
      </w:tr>
      <w:tr w:rsidR="00395E3E" w14:paraId="5B59650F" w14:textId="77777777" w:rsidTr="00F33F9F">
        <w:trPr>
          <w:trHeight w:val="465"/>
        </w:trPr>
        <w:tc>
          <w:tcPr>
            <w:tcW w:w="2766" w:type="dxa"/>
            <w:hideMark/>
          </w:tcPr>
          <w:p w14:paraId="33A68D4D" w14:textId="77777777" w:rsidR="00395E3E" w:rsidRPr="00A51DE5" w:rsidRDefault="00395E3E" w:rsidP="00F33F9F">
            <w:pPr>
              <w:textAlignment w:val="baseline"/>
              <w:rPr>
                <w:rFonts w:cs="Segoe UI"/>
                <w:sz w:val="18"/>
                <w:szCs w:val="18"/>
              </w:rPr>
            </w:pPr>
            <w:r w:rsidRPr="00A51DE5">
              <w:rPr>
                <w:rFonts w:cs="Arial"/>
              </w:rPr>
              <w:t>Government schools </w:t>
            </w:r>
          </w:p>
        </w:tc>
        <w:tc>
          <w:tcPr>
            <w:tcW w:w="1211" w:type="dxa"/>
            <w:hideMark/>
          </w:tcPr>
          <w:p w14:paraId="17879972" w14:textId="77777777" w:rsidR="00395E3E" w:rsidRPr="00A51DE5" w:rsidRDefault="00395E3E" w:rsidP="00F33F9F">
            <w:pPr>
              <w:jc w:val="right"/>
              <w:textAlignment w:val="baseline"/>
              <w:rPr>
                <w:rFonts w:cs="Segoe UI"/>
                <w:sz w:val="18"/>
                <w:szCs w:val="18"/>
              </w:rPr>
            </w:pPr>
            <w:r w:rsidRPr="00A51DE5">
              <w:rPr>
                <w:rFonts w:cs="Arial"/>
              </w:rPr>
              <w:t>24.92% </w:t>
            </w:r>
          </w:p>
        </w:tc>
        <w:tc>
          <w:tcPr>
            <w:tcW w:w="1089" w:type="dxa"/>
            <w:hideMark/>
          </w:tcPr>
          <w:p w14:paraId="4816660F" w14:textId="77777777" w:rsidR="00395E3E" w:rsidRPr="00A51DE5" w:rsidRDefault="00395E3E" w:rsidP="00F33F9F">
            <w:pPr>
              <w:jc w:val="right"/>
              <w:textAlignment w:val="baseline"/>
              <w:rPr>
                <w:rFonts w:cs="Segoe UI"/>
                <w:sz w:val="18"/>
                <w:szCs w:val="18"/>
              </w:rPr>
            </w:pPr>
            <w:r w:rsidRPr="00A51DE5">
              <w:rPr>
                <w:rFonts w:cs="Arial"/>
              </w:rPr>
              <w:t>28.69% </w:t>
            </w:r>
          </w:p>
        </w:tc>
        <w:tc>
          <w:tcPr>
            <w:tcW w:w="1089" w:type="dxa"/>
            <w:hideMark/>
          </w:tcPr>
          <w:p w14:paraId="1E561768" w14:textId="77777777" w:rsidR="00395E3E" w:rsidRPr="00A51DE5" w:rsidRDefault="00395E3E" w:rsidP="00F33F9F">
            <w:pPr>
              <w:jc w:val="right"/>
              <w:textAlignment w:val="baseline"/>
              <w:rPr>
                <w:rFonts w:cs="Segoe UI"/>
                <w:sz w:val="18"/>
                <w:szCs w:val="18"/>
              </w:rPr>
            </w:pPr>
            <w:r w:rsidRPr="00A51DE5">
              <w:rPr>
                <w:rFonts w:cs="Arial"/>
              </w:rPr>
              <w:t>32.46% </w:t>
            </w:r>
          </w:p>
        </w:tc>
        <w:tc>
          <w:tcPr>
            <w:tcW w:w="1089" w:type="dxa"/>
            <w:hideMark/>
          </w:tcPr>
          <w:p w14:paraId="67CCAEF8" w14:textId="77777777" w:rsidR="00395E3E" w:rsidRPr="00A51DE5" w:rsidRDefault="00395E3E" w:rsidP="00F33F9F">
            <w:pPr>
              <w:jc w:val="right"/>
              <w:textAlignment w:val="baseline"/>
              <w:rPr>
                <w:rFonts w:cs="Segoe UI"/>
                <w:sz w:val="18"/>
                <w:szCs w:val="18"/>
              </w:rPr>
            </w:pPr>
            <w:r w:rsidRPr="00A51DE5">
              <w:rPr>
                <w:rFonts w:cs="Arial"/>
              </w:rPr>
              <w:t>36.23% </w:t>
            </w:r>
          </w:p>
        </w:tc>
        <w:tc>
          <w:tcPr>
            <w:tcW w:w="1487" w:type="dxa"/>
            <w:hideMark/>
          </w:tcPr>
          <w:p w14:paraId="32615728" w14:textId="54E7CFB7" w:rsidR="00395E3E" w:rsidRPr="00A51DE5" w:rsidRDefault="00395E3E" w:rsidP="00F33F9F">
            <w:pPr>
              <w:jc w:val="right"/>
              <w:textAlignment w:val="baseline"/>
              <w:rPr>
                <w:rFonts w:cs="Segoe UI"/>
                <w:sz w:val="18"/>
                <w:szCs w:val="18"/>
              </w:rPr>
            </w:pPr>
            <w:r w:rsidRPr="00A51DE5">
              <w:rPr>
                <w:rFonts w:cs="Arial"/>
              </w:rPr>
              <w:t>40.00% </w:t>
            </w:r>
          </w:p>
        </w:tc>
      </w:tr>
    </w:tbl>
    <w:p w14:paraId="0F86CDE3" w14:textId="77777777" w:rsidR="00395E3E" w:rsidRPr="007F157A" w:rsidRDefault="00395E3E" w:rsidP="007F157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F157A">
        <w:rPr>
          <w:rFonts w:ascii="Corbel" w:eastAsia="Times New Roman" w:hAnsi="Corbel" w:cs="Calibri"/>
          <w:color w:val="000000"/>
          <w:sz w:val="23"/>
          <w:szCs w:val="23"/>
          <w:lang w:eastAsia="en-AU"/>
        </w:rPr>
        <w:t>The Commonwealth’s funding increase is conditional on:</w:t>
      </w:r>
    </w:p>
    <w:p w14:paraId="41954459" w14:textId="174DA866" w:rsidR="00395E3E" w:rsidRPr="007F157A" w:rsidRDefault="00395E3E" w:rsidP="007F157A">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7F157A">
        <w:rPr>
          <w:rFonts w:ascii="Corbel" w:eastAsia="Times New Roman" w:hAnsi="Corbel" w:cs="Calibri"/>
          <w:color w:val="000000"/>
          <w:sz w:val="23"/>
          <w:szCs w:val="23"/>
          <w:lang w:eastAsia="en-AU"/>
        </w:rPr>
        <w:t>the Northern Territory implementing its response to the Review of Secondary Education, implementing the findings of the Review of Effective Enrolment, and implementing the reforms and meeting the reporting requirements as set out in this Bilateral Agreement. Table 4 outlines the implementation plan for both of these reviews</w:t>
      </w:r>
    </w:p>
    <w:p w14:paraId="166BDDBB" w14:textId="77777777" w:rsidR="00395E3E" w:rsidRPr="007F157A" w:rsidRDefault="00395E3E" w:rsidP="007F157A">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7F157A">
        <w:rPr>
          <w:rFonts w:ascii="Corbel" w:eastAsia="Times New Roman" w:hAnsi="Corbel" w:cs="Calibri"/>
          <w:color w:val="000000"/>
          <w:sz w:val="23"/>
          <w:szCs w:val="23"/>
          <w:lang w:eastAsia="en-AU"/>
        </w:rPr>
        <w:t>the Northern Territory Government increasing its funding share to 60 percent by 2029.</w:t>
      </w:r>
    </w:p>
    <w:p w14:paraId="432608C7" w14:textId="77777777" w:rsidR="00395E3E" w:rsidRPr="007F157A" w:rsidRDefault="00395E3E" w:rsidP="007F157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F157A">
        <w:rPr>
          <w:rFonts w:ascii="Corbel" w:eastAsia="Times New Roman" w:hAnsi="Corbel" w:cs="Calibri"/>
          <w:color w:val="000000"/>
          <w:sz w:val="23"/>
          <w:szCs w:val="23"/>
          <w:lang w:eastAsia="en-AU"/>
        </w:rPr>
        <w:t xml:space="preserve">In December 2023, National Cabinet agreed that funding for foundational supports for students with disability is to be agreed through new Federal Funding Agreements, with additional costs split between the Commonwealth, states and territories and final details to be settled through the Council of Federal Financial Relations. </w:t>
      </w:r>
    </w:p>
    <w:p w14:paraId="252B9CD3" w14:textId="66BBDD8D" w:rsidR="00395E3E" w:rsidRPr="007F157A" w:rsidRDefault="00395E3E" w:rsidP="007F157A">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F157A">
        <w:rPr>
          <w:rFonts w:ascii="Corbel" w:eastAsia="Times New Roman" w:hAnsi="Corbel" w:cs="Calibri"/>
          <w:color w:val="000000"/>
          <w:sz w:val="23"/>
          <w:szCs w:val="23"/>
          <w:lang w:eastAsia="en-AU"/>
        </w:rPr>
        <w:t xml:space="preserve">Disability reforms, including those related to changes to the National Disability Insurance Scheme (NDIS) including </w:t>
      </w:r>
      <w:r w:rsidR="00BF6C51">
        <w:rPr>
          <w:rFonts w:ascii="Corbel" w:eastAsia="Times New Roman" w:hAnsi="Corbel" w:cs="Calibri"/>
          <w:color w:val="000000"/>
          <w:sz w:val="23"/>
          <w:szCs w:val="23"/>
          <w:lang w:eastAsia="en-AU"/>
        </w:rPr>
        <w:t>f</w:t>
      </w:r>
      <w:r w:rsidRPr="007F157A">
        <w:rPr>
          <w:rFonts w:ascii="Corbel" w:eastAsia="Times New Roman" w:hAnsi="Corbel" w:cs="Calibri"/>
          <w:color w:val="000000"/>
          <w:sz w:val="23"/>
          <w:szCs w:val="23"/>
          <w:lang w:eastAsia="en-AU"/>
        </w:rPr>
        <w:t xml:space="preserve">oundational </w:t>
      </w:r>
      <w:r w:rsidR="00BF6C51">
        <w:rPr>
          <w:rFonts w:ascii="Corbel" w:eastAsia="Times New Roman" w:hAnsi="Corbel" w:cs="Calibri"/>
          <w:color w:val="000000"/>
          <w:sz w:val="23"/>
          <w:szCs w:val="23"/>
          <w:lang w:eastAsia="en-AU"/>
        </w:rPr>
        <w:t>s</w:t>
      </w:r>
      <w:r w:rsidRPr="007F157A">
        <w:rPr>
          <w:rFonts w:ascii="Corbel" w:eastAsia="Times New Roman" w:hAnsi="Corbel" w:cs="Calibri"/>
          <w:color w:val="000000"/>
          <w:sz w:val="23"/>
          <w:szCs w:val="23"/>
          <w:lang w:eastAsia="en-AU"/>
        </w:rPr>
        <w:t>upports, may impact Northern Territory’s education services. Commonwealth funding under the Heads of Agreement and this Bilateral Agreement is not for those purposes.</w:t>
      </w:r>
    </w:p>
    <w:p w14:paraId="5F443BC7" w14:textId="2CD81B85" w:rsidR="00E61333" w:rsidRPr="007F157A" w:rsidRDefault="00395E3E" w:rsidP="2702AE40">
      <w:pPr>
        <w:pStyle w:val="ListParagraph"/>
        <w:numPr>
          <w:ilvl w:val="0"/>
          <w:numId w:val="24"/>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2702AE40">
        <w:rPr>
          <w:rFonts w:ascii="Corbel" w:eastAsia="Times New Roman" w:hAnsi="Corbel" w:cs="Calibri"/>
          <w:color w:val="000000" w:themeColor="text1"/>
          <w:sz w:val="23"/>
          <w:szCs w:val="23"/>
          <w:lang w:eastAsia="en-AU"/>
        </w:rPr>
        <w:t xml:space="preserve">Consistent with clause 44 of the </w:t>
      </w:r>
      <w:r w:rsidR="00040B85" w:rsidRPr="2702AE40">
        <w:rPr>
          <w:rFonts w:ascii="Corbel" w:eastAsia="Times New Roman" w:hAnsi="Corbel" w:cs="Calibri"/>
          <w:color w:val="000000" w:themeColor="text1"/>
          <w:sz w:val="23"/>
          <w:szCs w:val="23"/>
          <w:lang w:eastAsia="en-AU"/>
        </w:rPr>
        <w:t xml:space="preserve">Heads of </w:t>
      </w:r>
      <w:r w:rsidRPr="2702AE40">
        <w:rPr>
          <w:rFonts w:ascii="Corbel" w:eastAsia="Times New Roman" w:hAnsi="Corbel" w:cs="Calibri"/>
          <w:color w:val="000000" w:themeColor="text1"/>
          <w:sz w:val="23"/>
          <w:szCs w:val="23"/>
          <w:lang w:eastAsia="en-AU"/>
        </w:rPr>
        <w:t>Agreement and in the event of a change to the SRS that results in an impact on state contribution requirements, Ministers will agree to vary the contribution shares set out in clause 3</w:t>
      </w:r>
      <w:r w:rsidR="00E464AA">
        <w:rPr>
          <w:rFonts w:ascii="Corbel" w:eastAsia="Times New Roman" w:hAnsi="Corbel" w:cs="Calibri"/>
          <w:color w:val="000000" w:themeColor="text1"/>
          <w:sz w:val="23"/>
          <w:szCs w:val="23"/>
          <w:lang w:eastAsia="en-AU"/>
        </w:rPr>
        <w:t>5</w:t>
      </w:r>
      <w:r w:rsidRPr="2702AE40">
        <w:rPr>
          <w:rFonts w:ascii="Corbel" w:eastAsia="Times New Roman" w:hAnsi="Corbel" w:cs="Calibri"/>
          <w:color w:val="000000" w:themeColor="text1"/>
          <w:sz w:val="23"/>
          <w:szCs w:val="23"/>
          <w:lang w:eastAsia="en-AU"/>
        </w:rPr>
        <w:t xml:space="preserve"> in this Bilateral Agreement to ensure that the state contribution amount is not impacted. The amended amount should represent the funding calculated as if the SRS settings are applied that were in operation at the time the agreement commenced. The Commonwealth will facilitate this process by </w:t>
      </w:r>
      <w:r w:rsidR="598575ED" w:rsidRPr="2702AE40">
        <w:rPr>
          <w:rFonts w:ascii="Corbel" w:eastAsia="Times New Roman" w:hAnsi="Corbel" w:cs="Calibri"/>
          <w:color w:val="000000" w:themeColor="text1"/>
          <w:sz w:val="23"/>
          <w:szCs w:val="23"/>
          <w:lang w:eastAsia="en-AU"/>
        </w:rPr>
        <w:t>providing the</w:t>
      </w:r>
      <w:r w:rsidRPr="2702AE40">
        <w:rPr>
          <w:rFonts w:ascii="Corbel" w:eastAsia="Times New Roman" w:hAnsi="Corbel" w:cs="Calibri"/>
          <w:color w:val="000000" w:themeColor="text1"/>
          <w:sz w:val="23"/>
          <w:szCs w:val="23"/>
          <w:lang w:eastAsia="en-AU"/>
        </w:rPr>
        <w:t xml:space="preserve"> data required to enable the Northern Territory to calculate the amount of its contribution on an unchanged basis.</w:t>
      </w:r>
    </w:p>
    <w:p w14:paraId="4E65F7AD" w14:textId="4870159C" w:rsidR="00C355C5" w:rsidRPr="00B253AF" w:rsidRDefault="00644C7D" w:rsidP="00B253A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Measurement of contributions</w:t>
      </w:r>
    </w:p>
    <w:p w14:paraId="6BBDA37D" w14:textId="3978B484" w:rsidR="00B253AF" w:rsidRPr="00B253AF" w:rsidRDefault="00B253AF" w:rsidP="00B253A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 xml:space="preserve">For the purpose of this Schedule, the Northern Territory and the Commonwealth have agreed the costs that are measured towards the Northern Territory’s funding contribution requirements for the government and non-government sectors. In assessing compliance with section 22A of the Act, the National School Resourcing Board's </w:t>
      </w:r>
      <w:r w:rsidR="008D49D4">
        <w:rPr>
          <w:rFonts w:ascii="Corbel" w:eastAsia="Times New Roman" w:hAnsi="Corbel" w:cs="Calibri"/>
          <w:color w:val="000000"/>
          <w:sz w:val="23"/>
          <w:szCs w:val="23"/>
          <w:lang w:eastAsia="en-AU"/>
        </w:rPr>
        <w:t>(the Board)</w:t>
      </w:r>
      <w:r w:rsidR="008A4DD6">
        <w:rPr>
          <w:rFonts w:ascii="Corbel" w:eastAsia="Times New Roman" w:hAnsi="Corbel" w:cs="Calibri"/>
          <w:color w:val="000000"/>
          <w:sz w:val="23"/>
          <w:szCs w:val="23"/>
          <w:lang w:eastAsia="en-AU"/>
        </w:rPr>
        <w:t xml:space="preserve"> </w:t>
      </w:r>
      <w:r w:rsidRPr="00B253AF">
        <w:rPr>
          <w:rFonts w:ascii="Corbel" w:eastAsia="Times New Roman" w:hAnsi="Corbel" w:cs="Calibri"/>
          <w:color w:val="000000"/>
          <w:sz w:val="23"/>
          <w:szCs w:val="23"/>
          <w:lang w:eastAsia="en-AU"/>
        </w:rPr>
        <w:t>Terms of Reference will direct the Board to use this agreed methodology for measurement of the Northern Territory’s contribution, including as set out in clauses 4</w:t>
      </w:r>
      <w:r w:rsidR="00104A59">
        <w:rPr>
          <w:rFonts w:ascii="Corbel" w:eastAsia="Times New Roman" w:hAnsi="Corbel" w:cs="Calibri"/>
          <w:color w:val="000000"/>
          <w:sz w:val="23"/>
          <w:szCs w:val="23"/>
          <w:lang w:eastAsia="en-AU"/>
        </w:rPr>
        <w:t>4</w:t>
      </w:r>
      <w:r w:rsidRPr="00B253AF">
        <w:rPr>
          <w:rFonts w:ascii="Corbel" w:eastAsia="Times New Roman" w:hAnsi="Corbel" w:cs="Calibri"/>
          <w:color w:val="000000"/>
          <w:sz w:val="23"/>
          <w:szCs w:val="23"/>
          <w:lang w:eastAsia="en-AU"/>
        </w:rPr>
        <w:t xml:space="preserve"> and </w:t>
      </w:r>
      <w:r w:rsidR="006024A6">
        <w:rPr>
          <w:rFonts w:ascii="Corbel" w:eastAsia="Times New Roman" w:hAnsi="Corbel" w:cs="Calibri"/>
          <w:color w:val="000000"/>
          <w:sz w:val="23"/>
          <w:szCs w:val="23"/>
          <w:lang w:eastAsia="en-AU"/>
        </w:rPr>
        <w:t>7</w:t>
      </w:r>
      <w:r w:rsidR="00867C06">
        <w:rPr>
          <w:rFonts w:ascii="Corbel" w:eastAsia="Times New Roman" w:hAnsi="Corbel" w:cs="Calibri"/>
          <w:color w:val="000000"/>
          <w:sz w:val="23"/>
          <w:szCs w:val="23"/>
          <w:lang w:eastAsia="en-AU"/>
        </w:rPr>
        <w:t>5</w:t>
      </w:r>
      <w:r w:rsidRPr="00B253AF">
        <w:rPr>
          <w:rFonts w:ascii="Corbel" w:eastAsia="Times New Roman" w:hAnsi="Corbel" w:cs="Calibri"/>
          <w:color w:val="000000"/>
          <w:sz w:val="23"/>
          <w:szCs w:val="23"/>
          <w:lang w:eastAsia="en-AU"/>
        </w:rPr>
        <w:t xml:space="preserve"> of this Bilateral Agreement.</w:t>
      </w:r>
    </w:p>
    <w:p w14:paraId="6535E75F" w14:textId="77777777" w:rsidR="00B253AF" w:rsidRPr="00B253AF" w:rsidRDefault="00B253AF" w:rsidP="00B253A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 xml:space="preserve">Consistent with the calculation of the SRS, the Northern Territory funding contributions will be measured consistent with the existing Australian Curriculum, Assessment and Reporting Authority (ACARA) financial data reporting methodology for state Net Recurrent Income </w:t>
      </w:r>
      <w:r w:rsidRPr="00B253AF">
        <w:rPr>
          <w:rFonts w:ascii="Corbel" w:eastAsia="Times New Roman" w:hAnsi="Corbel" w:cs="Calibri"/>
          <w:color w:val="000000"/>
          <w:sz w:val="23"/>
          <w:szCs w:val="23"/>
          <w:lang w:eastAsia="en-AU"/>
        </w:rPr>
        <w:lastRenderedPageBreak/>
        <w:t>Per Student (NRIPS) for school years Year 1 minus 1 to Year 12, excluding funding for full fee paying overseas students, along with the following additional funding types:</w:t>
      </w:r>
    </w:p>
    <w:p w14:paraId="5FFA162E" w14:textId="72574F43" w:rsidR="00B253AF" w:rsidRPr="00B253AF" w:rsidRDefault="00B253AF" w:rsidP="009D6A1E">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 xml:space="preserve">up to 4 per cent of the total SRS for the government sector each year for funding for costs contributing to the provision of education in schools, which may only include, at the </w:t>
      </w:r>
      <w:r w:rsidR="00CC6A86">
        <w:rPr>
          <w:rFonts w:ascii="Corbel" w:eastAsia="Times New Roman" w:hAnsi="Corbel" w:cs="Calibri"/>
          <w:color w:val="000000"/>
          <w:sz w:val="23"/>
          <w:szCs w:val="23"/>
          <w:lang w:eastAsia="en-AU"/>
        </w:rPr>
        <w:t>Territory’s</w:t>
      </w:r>
      <w:r w:rsidR="00CC6A86" w:rsidRPr="00B253AF">
        <w:rPr>
          <w:rFonts w:ascii="Corbel" w:eastAsia="Times New Roman" w:hAnsi="Corbel" w:cs="Calibri"/>
          <w:color w:val="000000"/>
          <w:sz w:val="23"/>
          <w:szCs w:val="23"/>
          <w:lang w:eastAsia="en-AU"/>
        </w:rPr>
        <w:t xml:space="preserve"> </w:t>
      </w:r>
      <w:r w:rsidRPr="00B253AF">
        <w:rPr>
          <w:rFonts w:ascii="Corbel" w:eastAsia="Times New Roman" w:hAnsi="Corbel" w:cs="Calibri"/>
          <w:color w:val="000000"/>
          <w:sz w:val="23"/>
          <w:szCs w:val="23"/>
          <w:lang w:eastAsia="en-AU"/>
        </w:rPr>
        <w:t xml:space="preserve">full discretion: </w:t>
      </w:r>
    </w:p>
    <w:p w14:paraId="1831C76B" w14:textId="77777777" w:rsidR="00B253AF" w:rsidRPr="00B253AF" w:rsidRDefault="00B253AF" w:rsidP="009D6A1E">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direct school transport; and</w:t>
      </w:r>
    </w:p>
    <w:p w14:paraId="48BC0C24" w14:textId="77777777" w:rsidR="00B253AF" w:rsidRPr="00B253AF" w:rsidRDefault="00B253AF" w:rsidP="009D6A1E">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capital depreciation.</w:t>
      </w:r>
    </w:p>
    <w:p w14:paraId="712AAAB9" w14:textId="3F6BB215" w:rsidR="00B253AF" w:rsidRPr="00B253AF" w:rsidRDefault="0077655C" w:rsidP="009D6A1E">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B253AF" w:rsidRPr="00B253AF">
        <w:rPr>
          <w:rFonts w:ascii="Corbel" w:eastAsia="Times New Roman" w:hAnsi="Corbel" w:cs="Calibri"/>
          <w:color w:val="000000"/>
          <w:sz w:val="23"/>
          <w:szCs w:val="23"/>
          <w:lang w:eastAsia="en-AU"/>
        </w:rPr>
        <w:t>ll recurrent funding provided by government for the purpose of:</w:t>
      </w:r>
    </w:p>
    <w:p w14:paraId="0CE47FC2" w14:textId="18269EDF" w:rsidR="00B253AF" w:rsidRPr="00B253AF" w:rsidRDefault="00B253AF" w:rsidP="009D6A1E">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the Northern Territory Board of Studies</w:t>
      </w:r>
    </w:p>
    <w:p w14:paraId="3505F564" w14:textId="77777777" w:rsidR="00B253AF" w:rsidRPr="00B253AF" w:rsidRDefault="00B253AF" w:rsidP="009D6A1E">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 xml:space="preserve">the Teacher Registration Board of the Northern Territory. </w:t>
      </w:r>
    </w:p>
    <w:p w14:paraId="40A3D4D8" w14:textId="32295498" w:rsidR="00B253AF" w:rsidRPr="00B253AF" w:rsidRDefault="0077655C" w:rsidP="00E231E0">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B253AF" w:rsidRPr="00B253AF">
        <w:rPr>
          <w:rFonts w:ascii="Corbel" w:eastAsia="Times New Roman" w:hAnsi="Corbel" w:cs="Calibri"/>
          <w:color w:val="000000"/>
          <w:sz w:val="23"/>
          <w:szCs w:val="23"/>
          <w:lang w:eastAsia="en-AU"/>
        </w:rPr>
        <w:t>ll funding for the purpose of the National Reforms and National Enabling Initiatives outlined in Part 3 of this Bilateral Agreement or Part 4 of the Head</w:t>
      </w:r>
      <w:r w:rsidR="005855F6">
        <w:rPr>
          <w:rFonts w:ascii="Corbel" w:eastAsia="Times New Roman" w:hAnsi="Corbel" w:cs="Calibri"/>
          <w:color w:val="000000"/>
          <w:sz w:val="23"/>
          <w:szCs w:val="23"/>
          <w:lang w:eastAsia="en-AU"/>
        </w:rPr>
        <w:t>s of</w:t>
      </w:r>
      <w:r w:rsidR="00B253AF" w:rsidRPr="00B253AF">
        <w:rPr>
          <w:rFonts w:ascii="Corbel" w:eastAsia="Times New Roman" w:hAnsi="Corbel" w:cs="Calibri"/>
          <w:color w:val="000000"/>
          <w:sz w:val="23"/>
          <w:szCs w:val="23"/>
          <w:lang w:eastAsia="en-AU"/>
        </w:rPr>
        <w:t xml:space="preserve"> Agreement (with the exception of any capital funding)</w:t>
      </w:r>
    </w:p>
    <w:p w14:paraId="6829424D" w14:textId="77777777" w:rsidR="00B253AF" w:rsidRPr="00B253AF" w:rsidRDefault="00B253AF" w:rsidP="0077655C">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any accounting standard changes as agreed between the Commonwealth and state and territory Ministers for Education, that affect the measurement of recurrent funding where the NRIPS methodology has not been adjusted to negate this impact e.g. AASB 16.</w:t>
      </w:r>
    </w:p>
    <w:p w14:paraId="11E16A07" w14:textId="2FF866E1" w:rsidR="00B253AF" w:rsidRPr="00B253AF" w:rsidRDefault="00B253AF" w:rsidP="00B253AF">
      <w:pPr>
        <w:pStyle w:val="ListParagraph"/>
        <w:numPr>
          <w:ilvl w:val="0"/>
          <w:numId w:val="24"/>
        </w:numPr>
        <w:tabs>
          <w:tab w:val="left" w:pos="426"/>
        </w:tabs>
        <w:spacing w:after="240" w:line="260" w:lineRule="exact"/>
        <w:ind w:left="425" w:hanging="425"/>
        <w:contextualSpacing w:val="0"/>
        <w:jc w:val="both"/>
        <w:rPr>
          <w:color w:val="000000"/>
        </w:rPr>
      </w:pPr>
      <w:r w:rsidRPr="00B253AF">
        <w:rPr>
          <w:rFonts w:ascii="Corbel" w:eastAsia="Times New Roman" w:hAnsi="Corbel" w:cs="Calibri"/>
          <w:color w:val="000000"/>
          <w:sz w:val="23"/>
          <w:szCs w:val="23"/>
          <w:lang w:eastAsia="en-AU"/>
        </w:rPr>
        <w:t xml:space="preserve">The </w:t>
      </w:r>
      <w:r w:rsidR="006A2520">
        <w:rPr>
          <w:rFonts w:ascii="Corbel" w:eastAsia="Times New Roman" w:hAnsi="Corbel" w:cs="Calibri"/>
          <w:color w:val="000000"/>
          <w:sz w:val="23"/>
          <w:szCs w:val="23"/>
          <w:lang w:eastAsia="en-AU"/>
        </w:rPr>
        <w:t>P</w:t>
      </w:r>
      <w:r w:rsidRPr="00B253AF">
        <w:rPr>
          <w:rFonts w:ascii="Corbel" w:eastAsia="Times New Roman" w:hAnsi="Corbel" w:cs="Calibri"/>
          <w:color w:val="000000"/>
          <w:sz w:val="23"/>
          <w:szCs w:val="23"/>
          <w:lang w:eastAsia="en-AU"/>
        </w:rPr>
        <w:t xml:space="preserve">arties acknowledge the importance of boarding as a pathway and option for students from remote and very remote areas to access secondary </w:t>
      </w:r>
      <w:r w:rsidR="00A84C04">
        <w:rPr>
          <w:rFonts w:ascii="Corbel" w:eastAsia="Times New Roman" w:hAnsi="Corbel" w:cs="Calibri"/>
          <w:color w:val="000000"/>
          <w:sz w:val="23"/>
          <w:szCs w:val="23"/>
          <w:lang w:eastAsia="en-AU"/>
        </w:rPr>
        <w:t>e</w:t>
      </w:r>
      <w:r w:rsidRPr="00B253AF">
        <w:rPr>
          <w:rFonts w:ascii="Corbel" w:eastAsia="Times New Roman" w:hAnsi="Corbel" w:cs="Calibri"/>
          <w:color w:val="000000"/>
          <w:sz w:val="23"/>
          <w:szCs w:val="23"/>
          <w:lang w:eastAsia="en-AU"/>
        </w:rPr>
        <w:t>ducation, and that this is particularly important in the Northern Territory. As a result, the Northern Territory is required to provide government-run facilities where there is no market or subsidise non</w:t>
      </w:r>
      <w:r w:rsidRPr="00B253AF">
        <w:rPr>
          <w:rFonts w:ascii="Corbel" w:eastAsia="Times New Roman" w:hAnsi="Corbel" w:cs="Calibri"/>
          <w:color w:val="000000"/>
          <w:sz w:val="23"/>
          <w:szCs w:val="23"/>
          <w:lang w:eastAsia="en-AU"/>
        </w:rPr>
        <w:noBreakHyphen/>
        <w:t>government boarding facilities as they are otherwise not economically viable.</w:t>
      </w:r>
    </w:p>
    <w:p w14:paraId="0FAD5128" w14:textId="77777777" w:rsidR="00B253AF" w:rsidRPr="00B253AF" w:rsidRDefault="00B253AF" w:rsidP="00B253A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253AF">
        <w:rPr>
          <w:rFonts w:ascii="Corbel" w:eastAsia="Times New Roman" w:hAnsi="Corbel" w:cs="Calibri"/>
          <w:color w:val="000000"/>
          <w:sz w:val="23"/>
          <w:szCs w:val="23"/>
          <w:lang w:eastAsia="en-AU"/>
        </w:rPr>
        <w:t>If the reported contribution for the Northern Territory for a year falls short of meeting the required contribution for a sector by an immaterial amount, this will not be considered non</w:t>
      </w:r>
      <w:r w:rsidRPr="00B253AF">
        <w:rPr>
          <w:rFonts w:ascii="Corbel" w:eastAsia="Times New Roman" w:hAnsi="Corbel" w:cs="Calibri"/>
          <w:color w:val="000000"/>
          <w:sz w:val="23"/>
          <w:szCs w:val="23"/>
          <w:lang w:eastAsia="en-AU"/>
        </w:rPr>
        <w:noBreakHyphen/>
        <w:t>compliant with section 22A of the Act. An immaterial amount is less than or equal to 0.6 per cent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w:t>
      </w:r>
    </w:p>
    <w:p w14:paraId="34B64BC0" w14:textId="0852AC79" w:rsidR="00AF0F33" w:rsidRPr="00B253AF" w:rsidRDefault="00B253AF" w:rsidP="2702AE40">
      <w:pPr>
        <w:pStyle w:val="ListParagraph"/>
        <w:numPr>
          <w:ilvl w:val="0"/>
          <w:numId w:val="24"/>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2702AE40">
        <w:rPr>
          <w:rFonts w:ascii="Corbel" w:eastAsia="Times New Roman" w:hAnsi="Corbel" w:cs="Calibri"/>
          <w:color w:val="000000" w:themeColor="text1"/>
          <w:sz w:val="23"/>
          <w:szCs w:val="23"/>
          <w:lang w:eastAsia="en-AU"/>
        </w:rPr>
        <w:t>In assessing compliance with this agreement, the Commonwealth Minister will request the Board, through the Board's Terms of Reference for its review of section 22A of the Act,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p>
    <w:p w14:paraId="7D44D436" w14:textId="77777777" w:rsidR="00C355C5" w:rsidRDefault="00C355C5">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1980AD30" w14:textId="013C6678" w:rsidR="001517ED" w:rsidRPr="00F11827" w:rsidRDefault="00106886" w:rsidP="00F11827">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3</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NATIONAL REFORMS</w:t>
      </w:r>
    </w:p>
    <w:p w14:paraId="4EDF4F60" w14:textId="77777777" w:rsidR="00F11827" w:rsidRPr="00F11827" w:rsidRDefault="00F11827" w:rsidP="00F11827">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1827">
        <w:rPr>
          <w:rFonts w:ascii="Corbel" w:eastAsia="Times New Roman" w:hAnsi="Corbel" w:cs="Calibri"/>
          <w:color w:val="000000"/>
          <w:sz w:val="23"/>
          <w:szCs w:val="23"/>
          <w:lang w:eastAsia="en-AU"/>
        </w:rPr>
        <w:t>The National Reform Direction activities agreed in this Bilateral Agreement align with the National Reform Directions of the Heads of Agreement and the Northern Territory commits to supporting and advancing initiatives aligned to each of the National Reform Directions.</w:t>
      </w:r>
    </w:p>
    <w:p w14:paraId="1CC3FAA0" w14:textId="6D01C0A5" w:rsidR="0077655C" w:rsidRPr="00F11827" w:rsidRDefault="00F11827" w:rsidP="00F11827">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1827">
        <w:rPr>
          <w:rFonts w:ascii="Corbel" w:eastAsia="Times New Roman" w:hAnsi="Corbel" w:cs="Calibri"/>
          <w:color w:val="000000"/>
          <w:sz w:val="23"/>
          <w:szCs w:val="23"/>
          <w:lang w:eastAsia="en-AU"/>
        </w:rPr>
        <w:t>Approved Authorities of non-government schools in the Northern Territory must adhere to their ongoing policy requirements under subsections 77(2) and (2A) of the Act). As per clauses </w:t>
      </w:r>
      <w:r w:rsidR="00F77ADB">
        <w:rPr>
          <w:rFonts w:ascii="Corbel" w:eastAsia="Times New Roman" w:hAnsi="Corbel" w:cs="Calibri"/>
          <w:color w:val="000000"/>
          <w:sz w:val="23"/>
          <w:szCs w:val="23"/>
          <w:lang w:eastAsia="en-AU"/>
        </w:rPr>
        <w:t>56</w:t>
      </w:r>
      <w:r w:rsidRPr="00F11827">
        <w:rPr>
          <w:rFonts w:ascii="Corbel" w:eastAsia="Times New Roman" w:hAnsi="Corbel" w:cs="Calibri"/>
          <w:color w:val="000000"/>
          <w:sz w:val="23"/>
          <w:szCs w:val="23"/>
          <w:lang w:eastAsia="en-AU"/>
        </w:rPr>
        <w:t xml:space="preserve"> and </w:t>
      </w:r>
      <w:r w:rsidR="00F77ADB">
        <w:rPr>
          <w:rFonts w:ascii="Corbel" w:eastAsia="Times New Roman" w:hAnsi="Corbel" w:cs="Calibri"/>
          <w:color w:val="000000"/>
          <w:sz w:val="23"/>
          <w:szCs w:val="23"/>
          <w:lang w:eastAsia="en-AU"/>
        </w:rPr>
        <w:t>57</w:t>
      </w:r>
      <w:r w:rsidRPr="00F11827">
        <w:rPr>
          <w:rFonts w:ascii="Corbel" w:eastAsia="Times New Roman" w:hAnsi="Corbel" w:cs="Calibri"/>
          <w:color w:val="000000"/>
          <w:sz w:val="23"/>
          <w:szCs w:val="23"/>
          <w:lang w:eastAsia="en-AU"/>
        </w:rPr>
        <w:t xml:space="preserve"> of the Heads of Agreement, Approved Authorities of non-government schools in the Northern Territory are required to cooperate with the Northern Territory government in the implementation of this Bilateral Agreement.</w:t>
      </w:r>
    </w:p>
    <w:p w14:paraId="0FC037C7" w14:textId="4092F7AF" w:rsidR="005369BB" w:rsidRPr="001579E4" w:rsidRDefault="00C67A2F" w:rsidP="001579E4">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National Reform Directions</w:t>
      </w:r>
    </w:p>
    <w:p w14:paraId="48F4D609" w14:textId="77777777" w:rsidR="001579E4" w:rsidRPr="001579E4" w:rsidRDefault="001579E4" w:rsidP="001579E4">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The Northern Territory commits to the following actions to give effect to the National Reform Directions as outlined in the Heads of Agreement:</w:t>
      </w:r>
    </w:p>
    <w:p w14:paraId="3E8FB626" w14:textId="75E188DA" w:rsidR="001579E4" w:rsidRPr="00E317E4" w:rsidRDefault="001579E4" w:rsidP="00E317E4">
      <w:pPr>
        <w:tabs>
          <w:tab w:val="left" w:pos="426"/>
        </w:tabs>
        <w:spacing w:after="240" w:line="260" w:lineRule="exact"/>
        <w:jc w:val="both"/>
        <w:rPr>
          <w:rFonts w:ascii="Corbel" w:eastAsia="Times New Roman" w:hAnsi="Corbel" w:cs="Calibri"/>
          <w:color w:val="000000"/>
          <w:sz w:val="23"/>
          <w:szCs w:val="23"/>
          <w:u w:val="single"/>
          <w:lang w:eastAsia="en-AU"/>
        </w:rPr>
      </w:pPr>
      <w:r w:rsidRPr="003B7726">
        <w:rPr>
          <w:rFonts w:ascii="Corbel" w:eastAsia="Times New Roman" w:hAnsi="Corbel" w:cs="Calibri"/>
          <w:color w:val="000000"/>
          <w:sz w:val="23"/>
          <w:szCs w:val="23"/>
          <w:u w:val="single"/>
          <w:lang w:eastAsia="en-AU"/>
        </w:rPr>
        <w:t>Equity and Excellence:</w:t>
      </w:r>
    </w:p>
    <w:p w14:paraId="303CD8B5" w14:textId="269E34C8" w:rsidR="001579E4" w:rsidRPr="00CE4559" w:rsidRDefault="001579E4" w:rsidP="00CE4559">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Whole-of-system and/or whole-of-school approaches that identify student learning needs early and provide tiered and targeted, intensive supports, in line with</w:t>
      </w:r>
      <w:r w:rsidR="0036053C">
        <w:rPr>
          <w:rFonts w:ascii="Corbel" w:eastAsia="Times New Roman" w:hAnsi="Corbel" w:cs="Calibri"/>
          <w:color w:val="000000"/>
          <w:sz w:val="23"/>
          <w:szCs w:val="23"/>
          <w:lang w:eastAsia="en-AU"/>
        </w:rPr>
        <w:t xml:space="preserve"> </w:t>
      </w:r>
      <w:r w:rsidR="0036053C" w:rsidRPr="00C12780">
        <w:rPr>
          <w:rFonts w:ascii="Corbel" w:eastAsia="Times New Roman" w:hAnsi="Corbel" w:cs="Calibri"/>
          <w:color w:val="000000"/>
          <w:sz w:val="23"/>
          <w:szCs w:val="23"/>
          <w:lang w:eastAsia="en-AU"/>
        </w:rPr>
        <w:t>evidence</w:t>
      </w:r>
      <w:r w:rsidR="00DC3475" w:rsidRPr="00C12780">
        <w:rPr>
          <w:rFonts w:ascii="Corbel" w:eastAsia="Times New Roman" w:hAnsi="Corbel" w:cs="Calibri"/>
          <w:color w:val="000000"/>
          <w:sz w:val="23"/>
          <w:szCs w:val="23"/>
          <w:lang w:eastAsia="en-AU"/>
        </w:rPr>
        <w:t>-based teaching and</w:t>
      </w:r>
      <w:r w:rsidR="00DC3475">
        <w:rPr>
          <w:rFonts w:ascii="Corbel" w:eastAsia="Times New Roman" w:hAnsi="Corbel" w:cs="Calibri"/>
          <w:color w:val="000000"/>
          <w:sz w:val="23"/>
          <w:szCs w:val="23"/>
          <w:lang w:eastAsia="en-AU"/>
        </w:rPr>
        <w:t xml:space="preserve"> </w:t>
      </w:r>
      <w:r w:rsidRPr="001579E4">
        <w:rPr>
          <w:rFonts w:ascii="Corbel" w:eastAsia="Times New Roman" w:hAnsi="Corbel" w:cs="Calibri"/>
          <w:color w:val="000000"/>
          <w:sz w:val="23"/>
          <w:szCs w:val="23"/>
          <w:lang w:eastAsia="en-AU"/>
        </w:rPr>
        <w:t>a ‘multi</w:t>
      </w:r>
      <w:r w:rsidRPr="001579E4">
        <w:rPr>
          <w:rFonts w:ascii="Corbel" w:eastAsia="Times New Roman" w:hAnsi="Corbel" w:cs="Calibri"/>
          <w:color w:val="000000"/>
          <w:sz w:val="23"/>
          <w:szCs w:val="23"/>
          <w:lang w:eastAsia="en-AU"/>
        </w:rPr>
        <w:noBreakHyphen/>
        <w:t>tiered systems of support’ (MTSS) approach. This approach includes:</w:t>
      </w:r>
    </w:p>
    <w:p w14:paraId="29525652" w14:textId="759133EE" w:rsidR="001579E4" w:rsidRPr="001579E4" w:rsidRDefault="0046581F" w:rsidP="00CE4559">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ontinuing to strengthen instruction in classroom</w:t>
      </w:r>
      <w:r w:rsidR="002C10FC">
        <w:rPr>
          <w:rFonts w:ascii="Corbel" w:eastAsia="Times New Roman" w:hAnsi="Corbel" w:cs="Calibri"/>
          <w:color w:val="000000"/>
          <w:sz w:val="23"/>
          <w:szCs w:val="23"/>
          <w:lang w:eastAsia="en-AU"/>
        </w:rPr>
        <w:t>s</w:t>
      </w:r>
      <w:r w:rsidR="001579E4" w:rsidRPr="001579E4">
        <w:rPr>
          <w:rFonts w:ascii="Corbel" w:eastAsia="Times New Roman" w:hAnsi="Corbel" w:cs="Calibri"/>
          <w:color w:val="000000"/>
          <w:sz w:val="23"/>
          <w:szCs w:val="23"/>
          <w:lang w:eastAsia="en-AU"/>
        </w:rPr>
        <w:t xml:space="preserve"> across the Territory including: </w:t>
      </w:r>
    </w:p>
    <w:p w14:paraId="56C654F7" w14:textId="52173AE3" w:rsidR="001579E4" w:rsidRPr="001579E4" w:rsidRDefault="0046581F" w:rsidP="00CE4559">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mplementation of the Northern Territory Indigenous Languages and Culture Curriculum providing schools with the opportunity to teach Aboriginal language and or culture as part of the Australian Curriculum and the N</w:t>
      </w:r>
      <w:r w:rsidR="00837CB7">
        <w:rPr>
          <w:rFonts w:ascii="Corbel" w:eastAsia="Times New Roman" w:hAnsi="Corbel" w:cs="Calibri"/>
          <w:color w:val="000000"/>
          <w:sz w:val="23"/>
          <w:szCs w:val="23"/>
          <w:lang w:eastAsia="en-AU"/>
        </w:rPr>
        <w:t>orthern Territory Certificate of Education and Training</w:t>
      </w:r>
      <w:r w:rsidR="001579E4" w:rsidRPr="001579E4">
        <w:rPr>
          <w:rFonts w:ascii="Corbel" w:eastAsia="Times New Roman" w:hAnsi="Corbel" w:cs="Calibri"/>
          <w:color w:val="000000"/>
          <w:sz w:val="23"/>
          <w:szCs w:val="23"/>
          <w:lang w:eastAsia="en-AU"/>
        </w:rPr>
        <w:t xml:space="preserve"> through 4 pathways: L1 First Language Learner pathway; LR Language Revival pathway; L2 Language Learner pathway and LC Language and Cultural Awareness pathways</w:t>
      </w:r>
    </w:p>
    <w:p w14:paraId="11B66505" w14:textId="39EECE71" w:rsidR="001579E4" w:rsidRPr="001579E4" w:rsidRDefault="0046581F" w:rsidP="00CE4559">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001579E4" w:rsidRPr="001579E4">
        <w:rPr>
          <w:rFonts w:ascii="Corbel" w:eastAsia="Times New Roman" w:hAnsi="Corbel" w:cs="Calibri"/>
          <w:color w:val="000000"/>
          <w:sz w:val="23"/>
          <w:szCs w:val="23"/>
          <w:lang w:eastAsia="en-AU"/>
        </w:rPr>
        <w:t>upporting implementation of the Australian Curriculum Version 9.0 including the Aboriginal and Torres Strait Islander Histories and Cultures as a cross</w:t>
      </w:r>
      <w:r w:rsidR="00DC3475">
        <w:rPr>
          <w:rFonts w:ascii="Corbel" w:eastAsia="Times New Roman" w:hAnsi="Corbel" w:cs="Calibri"/>
          <w:color w:val="000000"/>
          <w:sz w:val="23"/>
          <w:szCs w:val="23"/>
          <w:lang w:eastAsia="en-AU"/>
        </w:rPr>
        <w:t>-</w:t>
      </w:r>
      <w:r w:rsidR="001579E4" w:rsidRPr="001579E4">
        <w:rPr>
          <w:rFonts w:ascii="Corbel" w:eastAsia="Times New Roman" w:hAnsi="Corbel" w:cs="Calibri"/>
          <w:color w:val="000000"/>
          <w:sz w:val="23"/>
          <w:szCs w:val="23"/>
          <w:lang w:eastAsia="en-AU"/>
        </w:rPr>
        <w:t xml:space="preserve">curriculum priority </w:t>
      </w:r>
    </w:p>
    <w:p w14:paraId="1D4E29C4" w14:textId="71C2AE24" w:rsidR="001579E4" w:rsidRPr="001579E4" w:rsidRDefault="00F24DBF" w:rsidP="00CE4559">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In government schools, </w:t>
      </w:r>
      <w:r w:rsidR="001579E4" w:rsidRPr="001579E4">
        <w:rPr>
          <w:rFonts w:ascii="Corbel" w:eastAsia="Times New Roman" w:hAnsi="Corbel" w:cs="Calibri"/>
          <w:color w:val="000000"/>
          <w:sz w:val="23"/>
          <w:szCs w:val="23"/>
          <w:lang w:eastAsia="en-AU"/>
        </w:rPr>
        <w:t>undertaking the following additional effort</w:t>
      </w:r>
      <w:r w:rsidR="00BC5C5B">
        <w:rPr>
          <w:rFonts w:ascii="Corbel" w:eastAsia="Times New Roman" w:hAnsi="Corbel" w:cs="Calibri"/>
          <w:color w:val="000000"/>
          <w:sz w:val="23"/>
          <w:szCs w:val="23"/>
          <w:lang w:eastAsia="en-AU"/>
        </w:rPr>
        <w:t>, across sectors</w:t>
      </w:r>
      <w:r w:rsidR="001579E4" w:rsidRPr="001579E4">
        <w:rPr>
          <w:rFonts w:ascii="Corbel" w:eastAsia="Times New Roman" w:hAnsi="Corbel" w:cs="Calibri"/>
          <w:color w:val="000000"/>
          <w:sz w:val="23"/>
          <w:szCs w:val="23"/>
          <w:lang w:eastAsia="en-AU"/>
        </w:rPr>
        <w:t>:</w:t>
      </w:r>
    </w:p>
    <w:p w14:paraId="5AA4F97A" w14:textId="20144692" w:rsidR="001579E4" w:rsidRPr="001579E4" w:rsidRDefault="0046581F" w:rsidP="00CE4559">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esigning and implementing a Territory wide structured literacy and numeracy approach based on a</w:t>
      </w:r>
      <w:r w:rsidR="00B82C1F">
        <w:rPr>
          <w:rFonts w:ascii="Corbel" w:eastAsia="Times New Roman" w:hAnsi="Corbel" w:cs="Calibri"/>
          <w:color w:val="000000"/>
          <w:sz w:val="23"/>
          <w:szCs w:val="23"/>
          <w:lang w:eastAsia="en-AU"/>
        </w:rPr>
        <w:t>n</w:t>
      </w:r>
      <w:r w:rsidR="001579E4" w:rsidRPr="001579E4">
        <w:rPr>
          <w:rFonts w:ascii="Corbel" w:eastAsia="Times New Roman" w:hAnsi="Corbel" w:cs="Calibri"/>
          <w:color w:val="000000"/>
          <w:sz w:val="23"/>
          <w:szCs w:val="23"/>
          <w:lang w:eastAsia="en-AU"/>
        </w:rPr>
        <w:t xml:space="preserve"> MTSS model, which is differentiated by school size, context and performance</w:t>
      </w:r>
    </w:p>
    <w:p w14:paraId="06039CC8" w14:textId="7A8370A6" w:rsidR="001579E4" w:rsidRPr="001579E4" w:rsidRDefault="0046581F" w:rsidP="00CE4559">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eveloping best practice guidelines for intensive targeted support to students identified as requiring additional assistance to meet proficiency standards, including small group tutoring</w:t>
      </w:r>
    </w:p>
    <w:p w14:paraId="53A267DE" w14:textId="1F857E01" w:rsidR="001579E4" w:rsidRPr="001579E4" w:rsidRDefault="007C56D1" w:rsidP="00CE4559">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F</w:t>
      </w:r>
      <w:r w:rsidR="001579E4" w:rsidRPr="001579E4">
        <w:rPr>
          <w:rFonts w:ascii="Corbel" w:eastAsia="Times New Roman" w:hAnsi="Corbel" w:cs="Calibri"/>
          <w:color w:val="000000"/>
          <w:sz w:val="23"/>
          <w:szCs w:val="23"/>
          <w:lang w:eastAsia="en-AU"/>
        </w:rPr>
        <w:t>or remote schools, providing support staff with lesson plans and tools to deliver small-group tutoring aligned with best practice</w:t>
      </w:r>
    </w:p>
    <w:p w14:paraId="3C7DB69C" w14:textId="3A1CA2C3" w:rsidR="001579E4" w:rsidRPr="00B92768" w:rsidRDefault="001579E4" w:rsidP="00B92768">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A Year 1 phonics check and an early years of schooling numeracy check (once available) in all schools, to support teachers and school leaders to identify student learning needs early.</w:t>
      </w:r>
    </w:p>
    <w:p w14:paraId="6E849BF1" w14:textId="1C7205D7" w:rsidR="001579E4" w:rsidRPr="00B92768" w:rsidRDefault="007C56D1" w:rsidP="00B9276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ontinuing to mandate</w:t>
      </w:r>
      <w:r w:rsidR="001D63D9">
        <w:rPr>
          <w:rFonts w:ascii="Corbel" w:eastAsia="Times New Roman" w:hAnsi="Corbel" w:cs="Calibri"/>
          <w:color w:val="000000"/>
          <w:sz w:val="23"/>
          <w:szCs w:val="23"/>
          <w:lang w:eastAsia="en-AU"/>
        </w:rPr>
        <w:t xml:space="preserve"> </w:t>
      </w:r>
      <w:r w:rsidR="008A07E0">
        <w:rPr>
          <w:rFonts w:ascii="Corbel" w:eastAsia="Times New Roman" w:hAnsi="Corbel" w:cs="Calibri"/>
          <w:color w:val="000000"/>
          <w:sz w:val="23"/>
          <w:szCs w:val="23"/>
          <w:lang w:eastAsia="en-AU"/>
        </w:rPr>
        <w:t xml:space="preserve">a </w:t>
      </w:r>
      <w:r w:rsidR="001579E4" w:rsidRPr="001579E4">
        <w:rPr>
          <w:rFonts w:ascii="Corbel" w:eastAsia="Times New Roman" w:hAnsi="Corbel" w:cs="Calibri"/>
          <w:color w:val="000000"/>
          <w:sz w:val="23"/>
          <w:szCs w:val="23"/>
          <w:lang w:eastAsia="en-AU"/>
        </w:rPr>
        <w:t>Year 1 phonics check from 2026 in government schools.</w:t>
      </w:r>
    </w:p>
    <w:p w14:paraId="705F66D5" w14:textId="14A4B0E8" w:rsidR="001579E4" w:rsidRPr="001579E4" w:rsidRDefault="007C56D1" w:rsidP="00B9276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U</w:t>
      </w:r>
      <w:r w:rsidR="001579E4" w:rsidRPr="001579E4">
        <w:rPr>
          <w:rFonts w:ascii="Corbel" w:eastAsia="Times New Roman" w:hAnsi="Corbel" w:cs="Calibri"/>
          <w:color w:val="000000"/>
          <w:sz w:val="23"/>
          <w:szCs w:val="23"/>
          <w:lang w:eastAsia="en-AU"/>
        </w:rPr>
        <w:t>ndertaking the following additional effort</w:t>
      </w:r>
      <w:r w:rsidR="00B81285">
        <w:rPr>
          <w:rFonts w:ascii="Corbel" w:eastAsia="Times New Roman" w:hAnsi="Corbel" w:cs="Calibri"/>
          <w:color w:val="000000"/>
          <w:sz w:val="23"/>
          <w:szCs w:val="23"/>
          <w:lang w:eastAsia="en-AU"/>
        </w:rPr>
        <w:t>, across sectors</w:t>
      </w:r>
      <w:r w:rsidR="001579E4" w:rsidRPr="001579E4">
        <w:rPr>
          <w:rFonts w:ascii="Corbel" w:eastAsia="Times New Roman" w:hAnsi="Corbel" w:cs="Calibri"/>
          <w:color w:val="000000"/>
          <w:sz w:val="23"/>
          <w:szCs w:val="23"/>
          <w:lang w:eastAsia="en-AU"/>
        </w:rPr>
        <w:t>:</w:t>
      </w:r>
    </w:p>
    <w:p w14:paraId="16F8E401" w14:textId="5F3F9CD7" w:rsidR="001579E4" w:rsidRPr="001579E4" w:rsidRDefault="007C56D1" w:rsidP="00B92768">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M</w:t>
      </w:r>
      <w:r w:rsidR="001579E4" w:rsidRPr="001579E4">
        <w:rPr>
          <w:rFonts w:ascii="Corbel" w:eastAsia="Times New Roman" w:hAnsi="Corbel" w:cs="Calibri"/>
          <w:color w:val="000000"/>
          <w:sz w:val="23"/>
          <w:szCs w:val="23"/>
          <w:lang w:eastAsia="en-AU"/>
        </w:rPr>
        <w:t xml:space="preserve">aking available to </w:t>
      </w:r>
      <w:r w:rsidR="00F24DBF">
        <w:rPr>
          <w:rFonts w:ascii="Corbel" w:eastAsia="Times New Roman" w:hAnsi="Corbel" w:cs="Calibri"/>
          <w:color w:val="000000"/>
          <w:sz w:val="23"/>
          <w:szCs w:val="23"/>
          <w:lang w:eastAsia="en-AU"/>
        </w:rPr>
        <w:t xml:space="preserve">all </w:t>
      </w:r>
      <w:r w:rsidR="001579E4" w:rsidRPr="001579E4">
        <w:rPr>
          <w:rFonts w:ascii="Corbel" w:eastAsia="Times New Roman" w:hAnsi="Corbel" w:cs="Calibri"/>
          <w:color w:val="000000"/>
          <w:sz w:val="23"/>
          <w:szCs w:val="23"/>
          <w:lang w:eastAsia="en-AU"/>
        </w:rPr>
        <w:t xml:space="preserve">schools a </w:t>
      </w:r>
      <w:r w:rsidR="00097D76">
        <w:rPr>
          <w:rFonts w:ascii="Corbel" w:eastAsia="Times New Roman" w:hAnsi="Corbel" w:cs="Calibri"/>
          <w:color w:val="000000"/>
          <w:sz w:val="23"/>
          <w:szCs w:val="23"/>
          <w:lang w:eastAsia="en-AU"/>
        </w:rPr>
        <w:t>n</w:t>
      </w:r>
      <w:r w:rsidR="001579E4" w:rsidRPr="001579E4">
        <w:rPr>
          <w:rFonts w:ascii="Corbel" w:eastAsia="Times New Roman" w:hAnsi="Corbel" w:cs="Calibri"/>
          <w:color w:val="000000"/>
          <w:sz w:val="23"/>
          <w:szCs w:val="23"/>
          <w:lang w:eastAsia="en-AU"/>
        </w:rPr>
        <w:t xml:space="preserve">umeracy </w:t>
      </w:r>
      <w:r>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heck in the early years of schooling, once the national tool is available</w:t>
      </w:r>
    </w:p>
    <w:p w14:paraId="654FC01F" w14:textId="2670D1F4" w:rsidR="001579E4" w:rsidRPr="001579E4" w:rsidRDefault="007C56D1" w:rsidP="00B92768">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R</w:t>
      </w:r>
      <w:r w:rsidR="001579E4" w:rsidRPr="001579E4">
        <w:rPr>
          <w:rFonts w:ascii="Corbel" w:eastAsia="Times New Roman" w:hAnsi="Corbel" w:cs="Calibri"/>
          <w:color w:val="000000"/>
          <w:sz w:val="23"/>
          <w:szCs w:val="23"/>
          <w:lang w:eastAsia="en-AU"/>
        </w:rPr>
        <w:t xml:space="preserve">eporting annually school participation rates in the Year 1 Phonics check and the </w:t>
      </w:r>
      <w:r w:rsidR="0021683A">
        <w:rPr>
          <w:rFonts w:ascii="Corbel" w:eastAsia="Times New Roman" w:hAnsi="Corbel" w:cs="Calibri"/>
          <w:color w:val="000000"/>
          <w:sz w:val="23"/>
          <w:szCs w:val="23"/>
          <w:lang w:eastAsia="en-AU"/>
        </w:rPr>
        <w:t>n</w:t>
      </w:r>
      <w:r w:rsidR="001579E4" w:rsidRPr="001579E4">
        <w:rPr>
          <w:rFonts w:ascii="Corbel" w:eastAsia="Times New Roman" w:hAnsi="Corbel" w:cs="Calibri"/>
          <w:color w:val="000000"/>
          <w:sz w:val="23"/>
          <w:szCs w:val="23"/>
          <w:lang w:eastAsia="en-AU"/>
        </w:rPr>
        <w:t xml:space="preserve">umeracy </w:t>
      </w:r>
      <w:r w:rsidR="0021683A">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heck (once available)</w:t>
      </w:r>
    </w:p>
    <w:p w14:paraId="3641B301" w14:textId="45A7AD81" w:rsidR="001579E4" w:rsidRPr="00AA6F11" w:rsidRDefault="001579E4" w:rsidP="00AA6F11">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Initiatives that encourage student uptake of high-quality science, technology, engineering and mathematics (STEM) education opportunities.</w:t>
      </w:r>
    </w:p>
    <w:p w14:paraId="117D0A47" w14:textId="6DD84CD9" w:rsidR="001579E4" w:rsidRPr="001579E4" w:rsidRDefault="00F24DBF" w:rsidP="00AA6F11">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continuing to</w:t>
      </w:r>
      <w:r w:rsidR="00AA6F11">
        <w:rPr>
          <w:rFonts w:ascii="Corbel" w:eastAsia="Times New Roman" w:hAnsi="Corbel" w:cs="Calibri"/>
          <w:color w:val="000000"/>
          <w:sz w:val="23"/>
          <w:szCs w:val="23"/>
          <w:lang w:eastAsia="en-AU"/>
        </w:rPr>
        <w:t>:</w:t>
      </w:r>
      <w:r w:rsidR="001579E4" w:rsidRPr="001579E4">
        <w:rPr>
          <w:rFonts w:ascii="Corbel" w:eastAsia="Times New Roman" w:hAnsi="Corbel" w:cs="Calibri"/>
          <w:color w:val="000000"/>
          <w:sz w:val="23"/>
          <w:szCs w:val="23"/>
          <w:lang w:eastAsia="en-AU"/>
        </w:rPr>
        <w:t xml:space="preserve"> </w:t>
      </w:r>
    </w:p>
    <w:p w14:paraId="05000244" w14:textId="6765A8B4" w:rsidR="001579E4" w:rsidRPr="001579E4" w:rsidRDefault="00FE55A6" w:rsidP="00AA6F11">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evelop the On-Country Learning science resources for remote schools</w:t>
      </w:r>
    </w:p>
    <w:p w14:paraId="6C638E37" w14:textId="79F9A716" w:rsidR="001579E4" w:rsidRPr="001579E4" w:rsidRDefault="00FE55A6" w:rsidP="00AA6F11">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F</w:t>
      </w:r>
      <w:r w:rsidR="001579E4" w:rsidRPr="001579E4">
        <w:rPr>
          <w:rFonts w:ascii="Corbel" w:eastAsia="Times New Roman" w:hAnsi="Corbel" w:cs="Calibri"/>
          <w:color w:val="000000"/>
          <w:sz w:val="23"/>
          <w:szCs w:val="23"/>
          <w:lang w:eastAsia="en-AU"/>
        </w:rPr>
        <w:t>und activities that support STEM careers</w:t>
      </w:r>
    </w:p>
    <w:p w14:paraId="4253D7EE" w14:textId="798C01C2" w:rsidR="001579E4" w:rsidRPr="001579E4" w:rsidRDefault="004E40B5" w:rsidP="00AA6F11">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Plan for and </w:t>
      </w:r>
      <w:r w:rsidR="001579E4" w:rsidRPr="001579E4">
        <w:rPr>
          <w:rFonts w:ascii="Corbel" w:eastAsia="Times New Roman" w:hAnsi="Corbel" w:cs="Calibri"/>
          <w:color w:val="000000"/>
          <w:sz w:val="23"/>
          <w:szCs w:val="23"/>
          <w:lang w:eastAsia="en-AU"/>
        </w:rPr>
        <w:t>deliver the inaugural Aboriginal STEM Congress in Darwin in 2025</w:t>
      </w:r>
    </w:p>
    <w:p w14:paraId="1121672F" w14:textId="5C25C407" w:rsidR="001579E4" w:rsidRPr="00AA6F11" w:rsidRDefault="001579E4" w:rsidP="00AA6F11">
      <w:pPr>
        <w:tabs>
          <w:tab w:val="left" w:pos="426"/>
        </w:tabs>
        <w:spacing w:after="240" w:line="260" w:lineRule="exact"/>
        <w:jc w:val="both"/>
        <w:rPr>
          <w:rFonts w:ascii="Corbel" w:eastAsia="Times New Roman" w:hAnsi="Corbel" w:cs="Calibri"/>
          <w:color w:val="000000"/>
          <w:sz w:val="23"/>
          <w:szCs w:val="23"/>
          <w:u w:val="single"/>
          <w:lang w:eastAsia="en-AU"/>
        </w:rPr>
      </w:pPr>
      <w:r w:rsidRPr="00AA6F11">
        <w:rPr>
          <w:rFonts w:ascii="Corbel" w:eastAsia="Times New Roman" w:hAnsi="Corbel" w:cs="Calibri"/>
          <w:color w:val="000000"/>
          <w:sz w:val="23"/>
          <w:szCs w:val="23"/>
          <w:u w:val="single"/>
          <w:lang w:eastAsia="en-AU"/>
        </w:rPr>
        <w:t>Wellbeing for learning and engagement:</w:t>
      </w:r>
    </w:p>
    <w:p w14:paraId="49802C8C" w14:textId="77777777" w:rsidR="001579E4" w:rsidRPr="001579E4" w:rsidRDefault="001579E4" w:rsidP="001579E4">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Initiatives that support connections between schools and other non-school services to support students to come to school ready to learn. </w:t>
      </w:r>
    </w:p>
    <w:p w14:paraId="5539D2B8" w14:textId="091ACD43" w:rsidR="001579E4" w:rsidRPr="001579E4" w:rsidRDefault="00FE55A6" w:rsidP="00AA6F11">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ontinuing to pilot with schools new models of staffing that support student wellbeing</w:t>
      </w:r>
      <w:r w:rsidR="00F24DBF">
        <w:rPr>
          <w:rFonts w:ascii="Corbel" w:eastAsia="Times New Roman" w:hAnsi="Corbel" w:cs="Calibri"/>
          <w:color w:val="000000"/>
          <w:sz w:val="23"/>
          <w:szCs w:val="23"/>
          <w:lang w:eastAsia="en-AU"/>
        </w:rPr>
        <w:t xml:space="preserve"> in government schools</w:t>
      </w:r>
      <w:r w:rsidR="001579E4" w:rsidRPr="001579E4">
        <w:rPr>
          <w:rFonts w:ascii="Corbel" w:eastAsia="Times New Roman" w:hAnsi="Corbel" w:cs="Calibri"/>
          <w:color w:val="000000"/>
          <w:sz w:val="23"/>
          <w:szCs w:val="23"/>
          <w:lang w:eastAsia="en-AU"/>
        </w:rPr>
        <w:t>.</w:t>
      </w:r>
    </w:p>
    <w:p w14:paraId="2655D136" w14:textId="6441432D" w:rsidR="001579E4" w:rsidRPr="0066577A" w:rsidRDefault="00FE55A6" w:rsidP="00AA6F11">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6577A">
        <w:rPr>
          <w:rFonts w:ascii="Corbel" w:eastAsia="Times New Roman" w:hAnsi="Corbel" w:cs="Calibri"/>
          <w:color w:val="000000"/>
          <w:sz w:val="23"/>
          <w:szCs w:val="23"/>
          <w:lang w:eastAsia="en-AU"/>
        </w:rPr>
        <w:t>U</w:t>
      </w:r>
      <w:r w:rsidR="001579E4" w:rsidRPr="0066577A">
        <w:rPr>
          <w:rFonts w:ascii="Corbel" w:eastAsia="Times New Roman" w:hAnsi="Corbel" w:cs="Calibri"/>
          <w:color w:val="000000"/>
          <w:sz w:val="23"/>
          <w:szCs w:val="23"/>
          <w:lang w:eastAsia="en-AU"/>
        </w:rPr>
        <w:t xml:space="preserve">ndertaking additional effort to expand multi-disciplinary teams and implement MTSS within </w:t>
      </w:r>
      <w:r w:rsidR="00F24DBF" w:rsidRPr="0066577A">
        <w:rPr>
          <w:rFonts w:ascii="Corbel" w:eastAsia="Times New Roman" w:hAnsi="Corbel" w:cs="Calibri"/>
          <w:color w:val="000000"/>
          <w:sz w:val="23"/>
          <w:szCs w:val="23"/>
          <w:lang w:eastAsia="en-AU"/>
        </w:rPr>
        <w:t xml:space="preserve">government </w:t>
      </w:r>
      <w:r w:rsidR="001579E4" w:rsidRPr="0066577A">
        <w:rPr>
          <w:rFonts w:ascii="Corbel" w:eastAsia="Times New Roman" w:hAnsi="Corbel" w:cs="Calibri"/>
          <w:color w:val="000000"/>
          <w:sz w:val="23"/>
          <w:szCs w:val="23"/>
          <w:lang w:eastAsia="en-AU"/>
        </w:rPr>
        <w:t xml:space="preserve">schools and across the system through regionalised delivery models, for example, student wellbeing officers.  </w:t>
      </w:r>
    </w:p>
    <w:p w14:paraId="6BEF9C92" w14:textId="36BB0C42" w:rsidR="001579E4" w:rsidRPr="00B40193" w:rsidRDefault="00FE55A6" w:rsidP="00B40193">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001579E4" w:rsidRPr="001579E4">
        <w:rPr>
          <w:rFonts w:ascii="Corbel" w:eastAsia="Times New Roman" w:hAnsi="Corbel" w:cs="Calibri"/>
          <w:color w:val="000000"/>
          <w:sz w:val="23"/>
          <w:szCs w:val="23"/>
          <w:lang w:eastAsia="en-AU"/>
        </w:rPr>
        <w:t xml:space="preserve">tructured initiatives that support wellbeing for learning and engagement. </w:t>
      </w:r>
    </w:p>
    <w:p w14:paraId="62566CCC" w14:textId="7865DBC8" w:rsidR="001579E4" w:rsidRPr="001579E4" w:rsidRDefault="00F24DBF" w:rsidP="00B4019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 xml:space="preserve">continuing to </w:t>
      </w:r>
    </w:p>
    <w:p w14:paraId="2898AD58" w14:textId="0B2C589B" w:rsidR="001579E4" w:rsidRDefault="00FE55A6" w:rsidP="409599FA">
      <w:pPr>
        <w:pStyle w:val="ListParagraph"/>
        <w:numPr>
          <w:ilvl w:val="2"/>
          <w:numId w:val="24"/>
        </w:numPr>
        <w:tabs>
          <w:tab w:val="left" w:pos="426"/>
        </w:tabs>
        <w:spacing w:after="240" w:line="260" w:lineRule="exact"/>
        <w:jc w:val="both"/>
        <w:rPr>
          <w:rFonts w:ascii="Corbel" w:eastAsia="Times New Roman" w:hAnsi="Corbel" w:cs="Calibri"/>
          <w:color w:val="000000" w:themeColor="text1"/>
          <w:sz w:val="23"/>
          <w:szCs w:val="23"/>
          <w:lang w:eastAsia="en-AU"/>
        </w:rPr>
      </w:pPr>
      <w:r>
        <w:rPr>
          <w:rFonts w:ascii="Corbel" w:eastAsia="Times New Roman" w:hAnsi="Corbel" w:cs="Calibri"/>
          <w:color w:val="000000" w:themeColor="text1"/>
          <w:sz w:val="23"/>
          <w:szCs w:val="23"/>
          <w:lang w:eastAsia="en-AU"/>
        </w:rPr>
        <w:t>I</w:t>
      </w:r>
      <w:r w:rsidR="001579E4" w:rsidRPr="409599FA">
        <w:rPr>
          <w:rFonts w:ascii="Corbel" w:eastAsia="Times New Roman" w:hAnsi="Corbel" w:cs="Calibri"/>
          <w:color w:val="000000" w:themeColor="text1"/>
          <w:sz w:val="23"/>
          <w:szCs w:val="23"/>
          <w:lang w:eastAsia="en-AU"/>
        </w:rPr>
        <w:t xml:space="preserve">mplement the </w:t>
      </w:r>
      <w:r w:rsidR="001579E4" w:rsidRPr="409599FA">
        <w:rPr>
          <w:rFonts w:ascii="Corbel" w:eastAsia="Times New Roman" w:hAnsi="Corbel" w:cs="Calibri"/>
          <w:i/>
          <w:color w:val="000000" w:themeColor="text1"/>
          <w:sz w:val="23"/>
          <w:szCs w:val="23"/>
          <w:lang w:eastAsia="en-AU"/>
        </w:rPr>
        <w:t>Framework for Inclusion 2019-2029</w:t>
      </w:r>
    </w:p>
    <w:p w14:paraId="0258B2E0" w14:textId="77777777" w:rsidR="003528CF" w:rsidRPr="00B40193" w:rsidRDefault="003528CF" w:rsidP="005740AF">
      <w:pPr>
        <w:pStyle w:val="ListParagraph"/>
        <w:tabs>
          <w:tab w:val="left" w:pos="426"/>
        </w:tabs>
        <w:spacing w:after="240" w:line="260" w:lineRule="exact"/>
        <w:ind w:left="1233"/>
        <w:jc w:val="both"/>
        <w:rPr>
          <w:rFonts w:ascii="Corbel" w:eastAsia="Times New Roman" w:hAnsi="Corbel" w:cs="Calibri"/>
          <w:color w:val="000000" w:themeColor="text1"/>
          <w:sz w:val="23"/>
          <w:szCs w:val="23"/>
          <w:lang w:eastAsia="en-AU"/>
        </w:rPr>
      </w:pPr>
    </w:p>
    <w:p w14:paraId="043EDDA4" w14:textId="3F4FDFCA" w:rsidR="001579E4" w:rsidRPr="001579E4" w:rsidRDefault="00FE55A6" w:rsidP="00B40193">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esign and implement a revised funding model for students with a disability</w:t>
      </w:r>
    </w:p>
    <w:p w14:paraId="7AC999CB" w14:textId="76492C09" w:rsidR="001579E4" w:rsidRPr="001579E4" w:rsidRDefault="00FE55A6" w:rsidP="00B40193">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1579E4" w:rsidRPr="001579E4">
        <w:rPr>
          <w:rFonts w:ascii="Corbel" w:eastAsia="Times New Roman" w:hAnsi="Corbel" w:cs="Calibri"/>
          <w:color w:val="000000"/>
          <w:sz w:val="23"/>
          <w:szCs w:val="23"/>
          <w:lang w:eastAsia="en-AU"/>
        </w:rPr>
        <w:t>rovide schools with resources, tools, fact sheets and professional learning for whole school approaches to mental health and wellbeing</w:t>
      </w:r>
    </w:p>
    <w:p w14:paraId="231DE9F3" w14:textId="702B456F" w:rsidR="001579E4" w:rsidRPr="001579E4" w:rsidRDefault="00A755A2" w:rsidP="00B40193">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1579E4" w:rsidRPr="001579E4">
        <w:rPr>
          <w:rFonts w:ascii="Corbel" w:eastAsia="Times New Roman" w:hAnsi="Corbel" w:cs="Calibri"/>
          <w:color w:val="000000"/>
          <w:sz w:val="23"/>
          <w:szCs w:val="23"/>
          <w:lang w:eastAsia="en-AU"/>
        </w:rPr>
        <w:t>rovide Positive Behaviour Intervention and Support</w:t>
      </w:r>
    </w:p>
    <w:p w14:paraId="4DA4C3A7" w14:textId="59625938" w:rsidR="001579E4" w:rsidRPr="001579E4" w:rsidRDefault="00A755A2" w:rsidP="00B40193">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evelop consultative and decision-making mechanisms to capture Aboriginal perspectives and student voice on matters of policy development and program delivery</w:t>
      </w:r>
    </w:p>
    <w:p w14:paraId="2E45EA19" w14:textId="13DA7C63" w:rsidR="001579E4" w:rsidRPr="00B40193" w:rsidRDefault="001579E4" w:rsidP="00911E02">
      <w:pPr>
        <w:pStyle w:val="ListParagraph"/>
        <w:keepNext/>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lastRenderedPageBreak/>
        <w:t xml:space="preserve">Initiatives which support student engagement in learning, for example greater student participation, attendance, inclusion and/or enhanced school-family engagement.  </w:t>
      </w:r>
    </w:p>
    <w:p w14:paraId="4B3293CD" w14:textId="75CE9FDC" w:rsidR="001579E4" w:rsidRPr="001579E4" w:rsidRDefault="00A755A2" w:rsidP="006A4FE7">
      <w:pPr>
        <w:pStyle w:val="ListParagraph"/>
        <w:keepNext/>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ontinuing to:</w:t>
      </w:r>
    </w:p>
    <w:p w14:paraId="6E5D0DB1" w14:textId="2D05AD56"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 xml:space="preserve">mplement the </w:t>
      </w:r>
      <w:r w:rsidR="001579E4" w:rsidRPr="006D354C">
        <w:rPr>
          <w:rFonts w:ascii="Corbel" w:eastAsia="Times New Roman" w:hAnsi="Corbel" w:cs="Calibri"/>
          <w:i/>
          <w:iCs/>
          <w:color w:val="000000"/>
          <w:sz w:val="23"/>
          <w:szCs w:val="23"/>
          <w:lang w:eastAsia="en-AU"/>
        </w:rPr>
        <w:t>Education Engagement Strategy 2022-2031</w:t>
      </w:r>
      <w:r w:rsidR="001579E4" w:rsidRPr="001579E4">
        <w:rPr>
          <w:rFonts w:ascii="Corbel" w:eastAsia="Times New Roman" w:hAnsi="Corbel" w:cs="Calibri"/>
          <w:color w:val="000000"/>
          <w:sz w:val="23"/>
          <w:szCs w:val="23"/>
          <w:lang w:eastAsia="en-AU"/>
        </w:rPr>
        <w:t xml:space="preserve"> which identifies goals and actions to increase the engagement of children and young people in education programs in the Northern Territory</w:t>
      </w:r>
      <w:r w:rsidR="00F24DBF">
        <w:rPr>
          <w:rFonts w:ascii="Corbel" w:eastAsia="Times New Roman" w:hAnsi="Corbel" w:cs="Calibri"/>
          <w:color w:val="000000"/>
          <w:sz w:val="23"/>
          <w:szCs w:val="23"/>
          <w:lang w:eastAsia="en-AU"/>
        </w:rPr>
        <w:t xml:space="preserve"> across all sectors</w:t>
      </w:r>
    </w:p>
    <w:p w14:paraId="02E32090" w14:textId="4DD7769C"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 xml:space="preserve">mplement the </w:t>
      </w:r>
      <w:r w:rsidR="001579E4" w:rsidRPr="006D354C">
        <w:rPr>
          <w:rFonts w:ascii="Corbel" w:eastAsia="Times New Roman" w:hAnsi="Corbel" w:cs="Calibri"/>
          <w:i/>
          <w:iCs/>
          <w:color w:val="000000"/>
          <w:sz w:val="23"/>
          <w:szCs w:val="23"/>
          <w:lang w:eastAsia="en-AU"/>
        </w:rPr>
        <w:t>Quality Standards Framework for Flexible Education Programs</w:t>
      </w:r>
      <w:r w:rsidR="001579E4" w:rsidRPr="001579E4">
        <w:rPr>
          <w:rFonts w:ascii="Corbel" w:eastAsia="Times New Roman" w:hAnsi="Corbel" w:cs="Calibri"/>
          <w:color w:val="000000"/>
          <w:sz w:val="23"/>
          <w:szCs w:val="23"/>
          <w:lang w:eastAsia="en-AU"/>
        </w:rPr>
        <w:t xml:space="preserve"> to guide </w:t>
      </w:r>
      <w:r w:rsidR="00F24DBF">
        <w:rPr>
          <w:rFonts w:ascii="Corbel" w:eastAsia="Times New Roman" w:hAnsi="Corbel" w:cs="Calibri"/>
          <w:color w:val="000000"/>
          <w:sz w:val="23"/>
          <w:szCs w:val="23"/>
          <w:lang w:eastAsia="en-AU"/>
        </w:rPr>
        <w:t xml:space="preserve">all </w:t>
      </w:r>
      <w:r w:rsidR="001579E4" w:rsidRPr="001579E4">
        <w:rPr>
          <w:rFonts w:ascii="Corbel" w:eastAsia="Times New Roman" w:hAnsi="Corbel" w:cs="Calibri"/>
          <w:color w:val="000000"/>
          <w:sz w:val="23"/>
          <w:szCs w:val="23"/>
          <w:lang w:eastAsia="en-AU"/>
        </w:rPr>
        <w:t>schools</w:t>
      </w:r>
      <w:r w:rsidR="004143A7">
        <w:rPr>
          <w:rFonts w:ascii="Corbel" w:eastAsia="Times New Roman" w:hAnsi="Corbel" w:cs="Calibri"/>
          <w:color w:val="000000"/>
          <w:sz w:val="23"/>
          <w:szCs w:val="23"/>
          <w:lang w:eastAsia="en-AU"/>
        </w:rPr>
        <w:t xml:space="preserve"> </w:t>
      </w:r>
      <w:r w:rsidR="001579E4" w:rsidRPr="001579E4">
        <w:rPr>
          <w:rFonts w:ascii="Corbel" w:eastAsia="Times New Roman" w:hAnsi="Corbel" w:cs="Calibri"/>
          <w:color w:val="000000"/>
          <w:sz w:val="23"/>
          <w:szCs w:val="23"/>
          <w:lang w:eastAsia="en-AU"/>
        </w:rPr>
        <w:t>and flexible education program providers to consider what quality flexible education looks like and support the planning and development of culturally responsive, inclusive programs that embrace diversity</w:t>
      </w:r>
    </w:p>
    <w:p w14:paraId="5E64DF18" w14:textId="5DEE2B9E"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mplement the Aboriginal Students Aspiration Program which engages Aboriginal students</w:t>
      </w:r>
      <w:r w:rsidR="00F24DBF">
        <w:rPr>
          <w:rFonts w:ascii="Corbel" w:eastAsia="Times New Roman" w:hAnsi="Corbel" w:cs="Calibri"/>
          <w:color w:val="000000"/>
          <w:sz w:val="23"/>
          <w:szCs w:val="23"/>
          <w:lang w:eastAsia="en-AU"/>
        </w:rPr>
        <w:t xml:space="preserve"> from government schools</w:t>
      </w:r>
      <w:r w:rsidR="001579E4" w:rsidRPr="001579E4">
        <w:rPr>
          <w:rFonts w:ascii="Corbel" w:eastAsia="Times New Roman" w:hAnsi="Corbel" w:cs="Calibri"/>
          <w:color w:val="000000"/>
          <w:sz w:val="23"/>
          <w:szCs w:val="23"/>
          <w:lang w:eastAsia="en-AU"/>
        </w:rPr>
        <w:t>, parents and the business community in a partnership designed to improve student engagement and support them to find future pathways, academic or vocational</w:t>
      </w:r>
    </w:p>
    <w:p w14:paraId="5BFCC829" w14:textId="41759AC2" w:rsidR="001579E4" w:rsidRPr="006D354C" w:rsidRDefault="00F24DBF" w:rsidP="006D354C">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undertaking the following additional effort:</w:t>
      </w:r>
    </w:p>
    <w:p w14:paraId="0B97B353" w14:textId="3EDA5CC1"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mplementing in full the recommendations of the Secondary Review, including:</w:t>
      </w:r>
    </w:p>
    <w:p w14:paraId="55C7363E" w14:textId="5A253B64" w:rsidR="001579E4" w:rsidRPr="001579E4" w:rsidRDefault="00A755A2" w:rsidP="006D354C">
      <w:pPr>
        <w:pStyle w:val="ListParagraph"/>
        <w:numPr>
          <w:ilvl w:val="3"/>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mproving transitions between stages of schooling and settings.</w:t>
      </w:r>
    </w:p>
    <w:p w14:paraId="5678C01D" w14:textId="61645F04" w:rsidR="001579E4" w:rsidRPr="001579E4" w:rsidRDefault="00A755A2" w:rsidP="006D354C">
      <w:pPr>
        <w:pStyle w:val="ListParagraph"/>
        <w:numPr>
          <w:ilvl w:val="3"/>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1579E4" w:rsidRPr="001579E4">
        <w:rPr>
          <w:rFonts w:ascii="Corbel" w:eastAsia="Times New Roman" w:hAnsi="Corbel" w:cs="Calibri"/>
          <w:color w:val="000000"/>
          <w:sz w:val="23"/>
          <w:szCs w:val="23"/>
          <w:lang w:eastAsia="en-AU"/>
        </w:rPr>
        <w:t>xpanding models of successful practice, underpinned by teaching and learning rigour, that supports access to secondary education and pathways in remote and very remote communities.</w:t>
      </w:r>
    </w:p>
    <w:p w14:paraId="716EFF56" w14:textId="629E07AC" w:rsidR="001579E4" w:rsidRPr="001579E4" w:rsidRDefault="00A755A2" w:rsidP="006D354C">
      <w:pPr>
        <w:pStyle w:val="ListParagraph"/>
        <w:numPr>
          <w:ilvl w:val="3"/>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M</w:t>
      </w:r>
      <w:r w:rsidR="001579E4" w:rsidRPr="001579E4">
        <w:rPr>
          <w:rFonts w:ascii="Corbel" w:eastAsia="Times New Roman" w:hAnsi="Corbel" w:cs="Calibri"/>
          <w:color w:val="000000"/>
          <w:sz w:val="23"/>
          <w:szCs w:val="23"/>
          <w:lang w:eastAsia="en-AU"/>
        </w:rPr>
        <w:t>oving away from the middle school model and establishing comprehensive schools, over time.</w:t>
      </w:r>
    </w:p>
    <w:p w14:paraId="4A46682C" w14:textId="63994EEA" w:rsidR="001579E4" w:rsidRPr="001579E4" w:rsidRDefault="00A755A2" w:rsidP="006D354C">
      <w:pPr>
        <w:pStyle w:val="ListParagraph"/>
        <w:numPr>
          <w:ilvl w:val="3"/>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esigning and implementing pathways through a system wide Pathways Plan connected to industry across the Northern Territory, including delivery of contextually relevant pathways tailored to school and community aspirations.</w:t>
      </w:r>
    </w:p>
    <w:p w14:paraId="3A680A6D" w14:textId="66AF6297" w:rsidR="001579E4" w:rsidRPr="006D354C"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1579E4" w:rsidRPr="001579E4">
        <w:rPr>
          <w:rFonts w:ascii="Corbel" w:eastAsia="Times New Roman" w:hAnsi="Corbel" w:cs="Calibri"/>
          <w:color w:val="000000"/>
          <w:sz w:val="23"/>
          <w:szCs w:val="23"/>
          <w:lang w:eastAsia="en-AU"/>
        </w:rPr>
        <w:t xml:space="preserve">nabling schools to better support disengaged students by implementing enrolment-based funding from 2025, addressing the remaining recommendations from the Review of Effective Enrolment with a focus on implementing programs and services to re-engage, and keep engaged, Northern Territory students. </w:t>
      </w:r>
    </w:p>
    <w:p w14:paraId="68B85EE5" w14:textId="455B544B" w:rsidR="001579E4" w:rsidRPr="006D354C" w:rsidRDefault="001579E4" w:rsidP="006D354C">
      <w:pPr>
        <w:tabs>
          <w:tab w:val="left" w:pos="426"/>
        </w:tabs>
        <w:spacing w:after="240" w:line="260" w:lineRule="exact"/>
        <w:jc w:val="both"/>
        <w:rPr>
          <w:rFonts w:ascii="Corbel" w:eastAsia="Times New Roman" w:hAnsi="Corbel" w:cs="Calibri"/>
          <w:color w:val="000000"/>
          <w:sz w:val="23"/>
          <w:szCs w:val="23"/>
          <w:u w:val="single"/>
          <w:lang w:eastAsia="en-AU"/>
        </w:rPr>
      </w:pPr>
      <w:r w:rsidRPr="006D354C">
        <w:rPr>
          <w:rFonts w:ascii="Corbel" w:eastAsia="Times New Roman" w:hAnsi="Corbel" w:cs="Calibri"/>
          <w:color w:val="000000"/>
          <w:sz w:val="23"/>
          <w:szCs w:val="23"/>
          <w:u w:val="single"/>
          <w:lang w:eastAsia="en-AU"/>
        </w:rPr>
        <w:t>A strong and sustainable workforce:</w:t>
      </w:r>
    </w:p>
    <w:p w14:paraId="76D3CDE2" w14:textId="391A92A5" w:rsidR="001579E4" w:rsidRPr="006D354C" w:rsidRDefault="001579E4" w:rsidP="006D354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 xml:space="preserve">Initiatives to develop, recognise, reward and/or deploy highly expert teachers, particularly in schools which need additional support, for example Highly Accomplished or Lead Teachers or equivalents.  </w:t>
      </w:r>
    </w:p>
    <w:p w14:paraId="09EC88CC" w14:textId="2BBC88CA" w:rsidR="001579E4" w:rsidRPr="006D354C" w:rsidRDefault="00A755A2" w:rsidP="006D354C">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ontinuing to provide financial incentives for Highly Accomplished or Lead Teachers</w:t>
      </w:r>
      <w:r w:rsidR="00E741A7">
        <w:rPr>
          <w:rFonts w:ascii="Corbel" w:eastAsia="Times New Roman" w:hAnsi="Corbel" w:cs="Calibri"/>
          <w:color w:val="000000"/>
          <w:sz w:val="23"/>
          <w:szCs w:val="23"/>
          <w:lang w:eastAsia="en-AU"/>
        </w:rPr>
        <w:t>.</w:t>
      </w:r>
    </w:p>
    <w:p w14:paraId="5248BFF1" w14:textId="77777777" w:rsidR="001579E4" w:rsidRPr="001579E4" w:rsidRDefault="001579E4" w:rsidP="00B240B6">
      <w:pPr>
        <w:pStyle w:val="ListParagraph"/>
        <w:keepNext/>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lastRenderedPageBreak/>
        <w:t xml:space="preserve">Access to high quality and evidence-based professional learning for teachers and school leaders and the provision of quality-assured curriculum resources that have been developed in partnership with the teaching profession. </w:t>
      </w:r>
    </w:p>
    <w:p w14:paraId="4BF8657B" w14:textId="2A05BC89" w:rsidR="001579E4" w:rsidRPr="001579E4" w:rsidRDefault="00A755A2" w:rsidP="006A4FE7">
      <w:pPr>
        <w:pStyle w:val="ListParagraph"/>
        <w:keepNext/>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1579E4" w:rsidRPr="001579E4">
        <w:rPr>
          <w:rFonts w:ascii="Corbel" w:eastAsia="Times New Roman" w:hAnsi="Corbel" w:cs="Calibri"/>
          <w:color w:val="000000"/>
          <w:sz w:val="23"/>
          <w:szCs w:val="23"/>
          <w:lang w:eastAsia="en-AU"/>
        </w:rPr>
        <w:t>ontinuing to strengthen instruction across the Territory by:</w:t>
      </w:r>
    </w:p>
    <w:p w14:paraId="3B95E743" w14:textId="65889AD0" w:rsidR="00DA0818" w:rsidRDefault="00DA0818"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Supporting the Northern Territory Board of Studies to provide advice to the Minister for Education and the Chief Executive</w:t>
      </w:r>
    </w:p>
    <w:p w14:paraId="1359ECDD" w14:textId="44A8135A"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mplementing a Territory-wide approach to curriculum delivery and assessment across all stages of schooling, from birth to year 12</w:t>
      </w:r>
      <w:r w:rsidR="00DA0818">
        <w:rPr>
          <w:rFonts w:ascii="Corbel" w:eastAsia="Times New Roman" w:hAnsi="Corbel" w:cs="Calibri"/>
          <w:color w:val="000000"/>
          <w:sz w:val="23"/>
          <w:szCs w:val="23"/>
          <w:lang w:eastAsia="en-AU"/>
        </w:rPr>
        <w:t xml:space="preserve"> across government schools</w:t>
      </w:r>
    </w:p>
    <w:p w14:paraId="7BE09134" w14:textId="04CE20F7"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 xml:space="preserve">mplementing the EsseNTial curriculum English and Mathematics resources package with its scope and sequence and teaching and learning plans, with assessments and teaching strategies for </w:t>
      </w:r>
      <w:r w:rsidR="00DA0818">
        <w:rPr>
          <w:rFonts w:ascii="Corbel" w:eastAsia="Times New Roman" w:hAnsi="Corbel" w:cs="Calibri"/>
          <w:color w:val="000000"/>
          <w:sz w:val="23"/>
          <w:szCs w:val="23"/>
          <w:lang w:eastAsia="en-AU"/>
        </w:rPr>
        <w:t xml:space="preserve">government </w:t>
      </w:r>
      <w:r w:rsidR="001579E4" w:rsidRPr="001579E4">
        <w:rPr>
          <w:rFonts w:ascii="Corbel" w:eastAsia="Times New Roman" w:hAnsi="Corbel" w:cs="Calibri"/>
          <w:color w:val="000000"/>
          <w:sz w:val="23"/>
          <w:szCs w:val="23"/>
          <w:lang w:eastAsia="en-AU"/>
        </w:rPr>
        <w:t>schools that need these resources</w:t>
      </w:r>
    </w:p>
    <w:p w14:paraId="712F7D8F" w14:textId="72D36464"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M</w:t>
      </w:r>
      <w:r w:rsidR="001579E4" w:rsidRPr="001579E4">
        <w:rPr>
          <w:rFonts w:ascii="Corbel" w:eastAsia="Times New Roman" w:hAnsi="Corbel" w:cs="Calibri"/>
          <w:color w:val="000000"/>
          <w:sz w:val="23"/>
          <w:szCs w:val="23"/>
          <w:lang w:eastAsia="en-AU"/>
        </w:rPr>
        <w:t>andating the revised government schools Curriculum, Assessment, Reporting and Certification Policy to ensure schools are implementing intended curriculum and students requiring additional supports are identified early</w:t>
      </w:r>
    </w:p>
    <w:p w14:paraId="43BFC1D0" w14:textId="092C58DD" w:rsidR="001579E4" w:rsidRPr="006D354C" w:rsidRDefault="00DA0818" w:rsidP="006D354C">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undertaking the following additional effort:</w:t>
      </w:r>
    </w:p>
    <w:p w14:paraId="428AD61E" w14:textId="047532B1" w:rsidR="001579E4" w:rsidRPr="006D354C"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1579E4" w:rsidRPr="001579E4">
        <w:rPr>
          <w:rFonts w:ascii="Corbel" w:eastAsia="Times New Roman" w:hAnsi="Corbel" w:cs="Calibri"/>
          <w:color w:val="000000"/>
          <w:sz w:val="23"/>
          <w:szCs w:val="23"/>
          <w:lang w:eastAsia="en-AU"/>
        </w:rPr>
        <w:t xml:space="preserve">roviding coaching and professional development to teachers and school leaders to support consistency and effectiveness in implementing evidence-based approaches to MTSS for student learning.  </w:t>
      </w:r>
    </w:p>
    <w:p w14:paraId="63452798" w14:textId="19728FAF" w:rsidR="001579E4" w:rsidRPr="001579E4" w:rsidRDefault="001579E4" w:rsidP="2702AE40">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B0F9E">
        <w:rPr>
          <w:rFonts w:ascii="Corbel" w:eastAsia="Times New Roman" w:hAnsi="Corbel" w:cs="Calibri"/>
          <w:color w:val="000000"/>
          <w:sz w:val="23"/>
          <w:szCs w:val="23"/>
          <w:lang w:eastAsia="en-AU"/>
        </w:rPr>
        <w:t xml:space="preserve">Initiatives to strengthen teacher and school leader wellbeing, including actions to </w:t>
      </w:r>
      <w:r w:rsidR="0BFAB7E4" w:rsidRPr="002B0F9E">
        <w:rPr>
          <w:rFonts w:ascii="Corbel" w:eastAsia="Times New Roman" w:hAnsi="Corbel" w:cs="Calibri"/>
          <w:color w:val="000000"/>
          <w:sz w:val="23"/>
          <w:szCs w:val="23"/>
          <w:lang w:eastAsia="en-AU"/>
        </w:rPr>
        <w:t xml:space="preserve">support </w:t>
      </w:r>
      <w:r w:rsidRPr="002B0F9E">
        <w:rPr>
          <w:rFonts w:ascii="Corbel" w:eastAsia="Times New Roman" w:hAnsi="Corbel" w:cs="Calibri"/>
          <w:color w:val="000000"/>
          <w:sz w:val="23"/>
          <w:szCs w:val="23"/>
          <w:lang w:eastAsia="en-AU"/>
        </w:rPr>
        <w:t>safe and respectful schools, strengthen Aboriginal and Torres Strait Islander cultural safety, and reduce teacher and school leader workload.</w:t>
      </w:r>
    </w:p>
    <w:p w14:paraId="6F0CE53B" w14:textId="7CF621DB" w:rsidR="001579E4" w:rsidRPr="001579E4" w:rsidRDefault="00DA0818" w:rsidP="006D354C">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continuing to:</w:t>
      </w:r>
    </w:p>
    <w:p w14:paraId="5CC301AB" w14:textId="32BF472A"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1579E4" w:rsidRPr="001579E4">
        <w:rPr>
          <w:rFonts w:ascii="Corbel" w:eastAsia="Times New Roman" w:hAnsi="Corbel" w:cs="Calibri"/>
          <w:color w:val="000000"/>
          <w:sz w:val="23"/>
          <w:szCs w:val="23"/>
          <w:lang w:eastAsia="en-AU"/>
        </w:rPr>
        <w:t xml:space="preserve">mplement the Northern Territory’s </w:t>
      </w:r>
      <w:r w:rsidR="001579E4" w:rsidRPr="006D354C">
        <w:rPr>
          <w:rFonts w:ascii="Corbel" w:eastAsia="Times New Roman" w:hAnsi="Corbel" w:cs="Calibri"/>
          <w:i/>
          <w:iCs/>
          <w:color w:val="000000"/>
          <w:sz w:val="23"/>
          <w:szCs w:val="23"/>
          <w:lang w:eastAsia="en-AU"/>
        </w:rPr>
        <w:t>Workload Reduction Action Plan (WRAP)</w:t>
      </w:r>
      <w:r w:rsidR="001579E4" w:rsidRPr="001579E4">
        <w:rPr>
          <w:rFonts w:ascii="Corbel" w:eastAsia="Times New Roman" w:hAnsi="Corbel" w:cs="Calibri"/>
          <w:color w:val="000000"/>
          <w:sz w:val="23"/>
          <w:szCs w:val="23"/>
          <w:lang w:eastAsia="en-AU"/>
        </w:rPr>
        <w:t xml:space="preserve"> and the </w:t>
      </w:r>
      <w:r w:rsidR="001579E4" w:rsidRPr="006D354C">
        <w:rPr>
          <w:rFonts w:ascii="Corbel" w:eastAsia="Times New Roman" w:hAnsi="Corbel" w:cs="Calibri"/>
          <w:i/>
          <w:iCs/>
          <w:color w:val="000000"/>
          <w:sz w:val="23"/>
          <w:szCs w:val="23"/>
          <w:lang w:eastAsia="en-AU"/>
        </w:rPr>
        <w:t>NT School Leader Wellbeing Action Plan 2021-25</w:t>
      </w:r>
    </w:p>
    <w:p w14:paraId="4023D310" w14:textId="6F19F364"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eliver on the 18 recommendations of the NT Occupational Violence and Aggression in Schools report</w:t>
      </w:r>
    </w:p>
    <w:p w14:paraId="70E86FB5" w14:textId="52EB6BC0" w:rsidR="001579E4" w:rsidRPr="006D354C" w:rsidRDefault="00DA0818" w:rsidP="000F3A49">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 xml:space="preserve">undertaking additional effort to implement the new Education Management </w:t>
      </w:r>
      <w:r w:rsidR="00FE7430">
        <w:rPr>
          <w:rFonts w:ascii="Corbel" w:eastAsia="Times New Roman" w:hAnsi="Corbel" w:cs="Calibri"/>
          <w:color w:val="000000"/>
          <w:sz w:val="23"/>
          <w:szCs w:val="23"/>
          <w:lang w:eastAsia="en-AU"/>
        </w:rPr>
        <w:t>System</w:t>
      </w:r>
      <w:r w:rsidR="001579E4" w:rsidRPr="001579E4">
        <w:rPr>
          <w:rFonts w:ascii="Corbel" w:eastAsia="Times New Roman" w:hAnsi="Corbel" w:cs="Calibri"/>
          <w:color w:val="000000"/>
          <w:sz w:val="23"/>
          <w:szCs w:val="23"/>
          <w:lang w:eastAsia="en-AU"/>
        </w:rPr>
        <w:t xml:space="preserve"> (EM</w:t>
      </w:r>
      <w:r w:rsidR="00FE7430">
        <w:rPr>
          <w:rFonts w:ascii="Corbel" w:eastAsia="Times New Roman" w:hAnsi="Corbel" w:cs="Calibri"/>
          <w:color w:val="000000"/>
          <w:sz w:val="23"/>
          <w:szCs w:val="23"/>
          <w:lang w:eastAsia="en-AU"/>
        </w:rPr>
        <w:t>S</w:t>
      </w:r>
      <w:r w:rsidR="002E5A88">
        <w:rPr>
          <w:rFonts w:ascii="Corbel" w:eastAsia="Times New Roman" w:hAnsi="Corbel" w:cs="Calibri"/>
          <w:color w:val="000000"/>
          <w:sz w:val="23"/>
          <w:szCs w:val="23"/>
          <w:lang w:eastAsia="en-AU"/>
        </w:rPr>
        <w:t>)</w:t>
      </w:r>
      <w:r w:rsidR="001579E4" w:rsidRPr="001579E4">
        <w:rPr>
          <w:rFonts w:ascii="Corbel" w:eastAsia="Times New Roman" w:hAnsi="Corbel" w:cs="Calibri"/>
          <w:color w:val="000000"/>
          <w:sz w:val="23"/>
          <w:szCs w:val="23"/>
          <w:lang w:eastAsia="en-AU"/>
        </w:rPr>
        <w:t>, with a focus on reducing workload for teachers and school leaders; by creating a child centred view of each student’s enrolment, attendance, locations, achievement and wellbeing.</w:t>
      </w:r>
    </w:p>
    <w:p w14:paraId="7A280858" w14:textId="3A7FDAA3" w:rsidR="001579E4" w:rsidRPr="006D354C" w:rsidRDefault="001579E4" w:rsidP="00AE4D20">
      <w:pPr>
        <w:pStyle w:val="ListParagraph"/>
        <w:keepNext/>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 xml:space="preserve">Initiatives to increase teacher attraction and retention, including those that encourage students to take up a career in teaching and increase the diversity of the teacher workforce, especially by increasing the number of Aboriginal and Torres Strait Islander educators, or through implementing actions under the </w:t>
      </w:r>
      <w:r w:rsidRPr="00FB4999">
        <w:rPr>
          <w:rFonts w:ascii="Corbel" w:eastAsia="Times New Roman" w:hAnsi="Corbel" w:cs="Calibri"/>
          <w:i/>
          <w:iCs/>
          <w:color w:val="000000"/>
          <w:sz w:val="23"/>
          <w:szCs w:val="23"/>
          <w:lang w:eastAsia="en-AU"/>
        </w:rPr>
        <w:t>National Teacher Workforce Action Plan</w:t>
      </w:r>
      <w:r w:rsidRPr="001579E4">
        <w:rPr>
          <w:rFonts w:ascii="Corbel" w:eastAsia="Times New Roman" w:hAnsi="Corbel" w:cs="Calibri"/>
          <w:color w:val="000000"/>
          <w:sz w:val="23"/>
          <w:szCs w:val="23"/>
          <w:lang w:eastAsia="en-AU"/>
        </w:rPr>
        <w:t xml:space="preserve"> and/or </w:t>
      </w:r>
      <w:r w:rsidRPr="001579E4">
        <w:rPr>
          <w:rFonts w:ascii="Corbel" w:eastAsia="Times New Roman" w:hAnsi="Corbel" w:cs="Calibri"/>
          <w:color w:val="000000"/>
          <w:sz w:val="23"/>
          <w:szCs w:val="23"/>
          <w:lang w:eastAsia="en-AU"/>
        </w:rPr>
        <w:lastRenderedPageBreak/>
        <w:t xml:space="preserve">recommendations of </w:t>
      </w:r>
      <w:r w:rsidR="00830361" w:rsidRPr="00AE4D20">
        <w:rPr>
          <w:rFonts w:ascii="Corbel" w:eastAsia="Times New Roman" w:hAnsi="Corbel" w:cs="Calibri"/>
          <w:i/>
          <w:color w:val="000000"/>
          <w:sz w:val="23"/>
          <w:szCs w:val="23"/>
          <w:lang w:eastAsia="en-AU"/>
        </w:rPr>
        <w:t>Strong Beginnings: Report of the Teacher Education Expert Panel</w:t>
      </w:r>
      <w:r w:rsidRPr="001579E4">
        <w:rPr>
          <w:rFonts w:ascii="Corbel" w:eastAsia="Times New Roman" w:hAnsi="Corbel" w:cs="Calibri"/>
          <w:color w:val="000000"/>
          <w:sz w:val="23"/>
          <w:szCs w:val="23"/>
          <w:lang w:eastAsia="en-AU"/>
        </w:rPr>
        <w:t>. This will include:</w:t>
      </w:r>
    </w:p>
    <w:p w14:paraId="6CD5079C" w14:textId="0BE84ABD" w:rsidR="001579E4" w:rsidRPr="001579E4" w:rsidRDefault="00DA0818" w:rsidP="00AE4D20">
      <w:pPr>
        <w:pStyle w:val="ListParagraph"/>
        <w:keepNext/>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continuing to</w:t>
      </w:r>
      <w:r w:rsidR="006B1E88">
        <w:rPr>
          <w:rFonts w:ascii="Corbel" w:eastAsia="Times New Roman" w:hAnsi="Corbel" w:cs="Calibri"/>
          <w:color w:val="000000"/>
          <w:sz w:val="23"/>
          <w:szCs w:val="23"/>
          <w:lang w:eastAsia="en-AU"/>
        </w:rPr>
        <w:t>:</w:t>
      </w:r>
      <w:r w:rsidR="001579E4" w:rsidRPr="001579E4">
        <w:rPr>
          <w:rFonts w:ascii="Corbel" w:eastAsia="Times New Roman" w:hAnsi="Corbel" w:cs="Calibri"/>
          <w:color w:val="000000"/>
          <w:sz w:val="23"/>
          <w:szCs w:val="23"/>
          <w:lang w:eastAsia="en-AU"/>
        </w:rPr>
        <w:t xml:space="preserve"> </w:t>
      </w:r>
    </w:p>
    <w:p w14:paraId="4391DE63" w14:textId="519B3B10"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1579E4" w:rsidRPr="001579E4">
        <w:rPr>
          <w:rFonts w:ascii="Corbel" w:eastAsia="Times New Roman" w:hAnsi="Corbel" w:cs="Calibri"/>
          <w:color w:val="000000"/>
          <w:sz w:val="23"/>
          <w:szCs w:val="23"/>
          <w:lang w:eastAsia="en-AU"/>
        </w:rPr>
        <w:t>mbed training and support for non-Aboriginal staff to support inclusive and culturally responsive practices</w:t>
      </w:r>
    </w:p>
    <w:p w14:paraId="4E0D5966" w14:textId="4B35B8D7" w:rsidR="001579E4" w:rsidRPr="001579E4" w:rsidRDefault="00A755A2" w:rsidP="006D354C">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D</w:t>
      </w:r>
      <w:r w:rsidR="001579E4" w:rsidRPr="001579E4">
        <w:rPr>
          <w:rFonts w:ascii="Corbel" w:eastAsia="Times New Roman" w:hAnsi="Corbel" w:cs="Calibri"/>
          <w:color w:val="000000"/>
          <w:sz w:val="23"/>
          <w:szCs w:val="23"/>
          <w:lang w:eastAsia="en-AU"/>
        </w:rPr>
        <w:t>eliver the Remote Aboriginal Teacher Education Program (RATE) to support more</w:t>
      </w:r>
      <w:r w:rsidR="00DA0818">
        <w:rPr>
          <w:rFonts w:ascii="Corbel" w:eastAsia="Times New Roman" w:hAnsi="Corbel" w:cs="Calibri"/>
          <w:color w:val="000000"/>
          <w:sz w:val="23"/>
          <w:szCs w:val="23"/>
          <w:lang w:eastAsia="en-AU"/>
        </w:rPr>
        <w:t xml:space="preserve"> Aboriginal and Torres Strait Islander</w:t>
      </w:r>
      <w:r w:rsidR="001579E4" w:rsidRPr="001579E4">
        <w:rPr>
          <w:rFonts w:ascii="Corbel" w:eastAsia="Times New Roman" w:hAnsi="Corbel" w:cs="Calibri"/>
          <w:color w:val="000000"/>
          <w:sz w:val="23"/>
          <w:szCs w:val="23"/>
          <w:lang w:eastAsia="en-AU"/>
        </w:rPr>
        <w:t xml:space="preserve"> people</w:t>
      </w:r>
      <w:r w:rsidR="00DA0818">
        <w:rPr>
          <w:rFonts w:ascii="Corbel" w:eastAsia="Times New Roman" w:hAnsi="Corbel" w:cs="Calibri"/>
          <w:color w:val="000000"/>
          <w:sz w:val="23"/>
          <w:szCs w:val="23"/>
          <w:lang w:eastAsia="en-AU"/>
        </w:rPr>
        <w:t>s</w:t>
      </w:r>
      <w:r w:rsidR="001579E4" w:rsidRPr="001579E4">
        <w:rPr>
          <w:rFonts w:ascii="Corbel" w:eastAsia="Times New Roman" w:hAnsi="Corbel" w:cs="Calibri"/>
          <w:color w:val="000000"/>
          <w:sz w:val="23"/>
          <w:szCs w:val="23"/>
          <w:lang w:eastAsia="en-AU"/>
        </w:rPr>
        <w:t xml:space="preserve"> to become qualified educators</w:t>
      </w:r>
    </w:p>
    <w:p w14:paraId="712B8B4C" w14:textId="67F1901A" w:rsidR="001579E4" w:rsidRPr="001579E4" w:rsidRDefault="00DA0818" w:rsidP="00404679">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For government schools, </w:t>
      </w:r>
      <w:r w:rsidR="001579E4" w:rsidRPr="001579E4">
        <w:rPr>
          <w:rFonts w:ascii="Corbel" w:eastAsia="Times New Roman" w:hAnsi="Corbel" w:cs="Calibri"/>
          <w:color w:val="000000"/>
          <w:sz w:val="23"/>
          <w:szCs w:val="23"/>
          <w:lang w:eastAsia="en-AU"/>
        </w:rPr>
        <w:t>undertaking the following additional effort:</w:t>
      </w:r>
    </w:p>
    <w:p w14:paraId="2E8BDC5F" w14:textId="6700FCC0" w:rsidR="001579E4" w:rsidRPr="001579E4" w:rsidRDefault="00A755A2" w:rsidP="00404679">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1579E4" w:rsidRPr="001579E4">
        <w:rPr>
          <w:rFonts w:ascii="Corbel" w:eastAsia="Times New Roman" w:hAnsi="Corbel" w:cs="Calibri"/>
          <w:color w:val="000000"/>
          <w:sz w:val="23"/>
          <w:szCs w:val="23"/>
          <w:lang w:eastAsia="en-AU"/>
        </w:rPr>
        <w:t xml:space="preserve">xpanding opportunities and building greater understanding and recognition of Aboriginal educator’s knowledges with the development of an Aboriginal Workforce Strategy that includes professional learning designed by </w:t>
      </w:r>
      <w:r w:rsidR="00DA0818">
        <w:rPr>
          <w:rFonts w:ascii="Corbel" w:eastAsia="Times New Roman" w:hAnsi="Corbel" w:cs="Calibri"/>
          <w:color w:val="000000"/>
          <w:sz w:val="23"/>
          <w:szCs w:val="23"/>
          <w:lang w:eastAsia="en-AU"/>
        </w:rPr>
        <w:t xml:space="preserve">Aboriginal and Torres Strait Islander </w:t>
      </w:r>
      <w:r w:rsidR="001579E4" w:rsidRPr="001579E4">
        <w:rPr>
          <w:rFonts w:ascii="Corbel" w:eastAsia="Times New Roman" w:hAnsi="Corbel" w:cs="Calibri"/>
          <w:color w:val="000000"/>
          <w:sz w:val="23"/>
          <w:szCs w:val="23"/>
          <w:lang w:eastAsia="en-AU"/>
        </w:rPr>
        <w:t>people</w:t>
      </w:r>
      <w:r w:rsidR="00DA0818">
        <w:rPr>
          <w:rFonts w:ascii="Corbel" w:eastAsia="Times New Roman" w:hAnsi="Corbel" w:cs="Calibri"/>
          <w:color w:val="000000"/>
          <w:sz w:val="23"/>
          <w:szCs w:val="23"/>
          <w:lang w:eastAsia="en-AU"/>
        </w:rPr>
        <w:t>s</w:t>
      </w:r>
      <w:r w:rsidR="001579E4" w:rsidRPr="001579E4">
        <w:rPr>
          <w:rFonts w:ascii="Corbel" w:eastAsia="Times New Roman" w:hAnsi="Corbel" w:cs="Calibri"/>
          <w:color w:val="000000"/>
          <w:sz w:val="23"/>
          <w:szCs w:val="23"/>
          <w:lang w:eastAsia="en-AU"/>
        </w:rPr>
        <w:t xml:space="preserve"> (including RATE)</w:t>
      </w:r>
    </w:p>
    <w:p w14:paraId="4691E26E" w14:textId="46DBB870" w:rsidR="001579E4" w:rsidRPr="001579E4" w:rsidRDefault="00A755A2" w:rsidP="00404679">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1579E4" w:rsidRPr="001579E4">
        <w:rPr>
          <w:rFonts w:ascii="Corbel" w:eastAsia="Times New Roman" w:hAnsi="Corbel" w:cs="Calibri"/>
          <w:color w:val="000000"/>
          <w:sz w:val="23"/>
          <w:szCs w:val="23"/>
          <w:lang w:eastAsia="en-AU"/>
        </w:rPr>
        <w:t xml:space="preserve">xpanding activities to increase the diversity of the education workforce, particularly security of employment for </w:t>
      </w:r>
      <w:r w:rsidR="00DA0818">
        <w:rPr>
          <w:rFonts w:ascii="Corbel" w:eastAsia="Times New Roman" w:hAnsi="Corbel" w:cs="Calibri"/>
          <w:color w:val="000000"/>
          <w:sz w:val="23"/>
          <w:szCs w:val="23"/>
          <w:lang w:eastAsia="en-AU"/>
        </w:rPr>
        <w:t xml:space="preserve">Aboriginal and Torres Strait Islander </w:t>
      </w:r>
      <w:r w:rsidR="001579E4" w:rsidRPr="001579E4">
        <w:rPr>
          <w:rFonts w:ascii="Corbel" w:eastAsia="Times New Roman" w:hAnsi="Corbel" w:cs="Calibri"/>
          <w:color w:val="000000"/>
          <w:sz w:val="23"/>
          <w:szCs w:val="23"/>
          <w:lang w:eastAsia="en-AU"/>
        </w:rPr>
        <w:t>staff employed in schools</w:t>
      </w:r>
    </w:p>
    <w:p w14:paraId="65A87F75" w14:textId="30F08974" w:rsidR="001579E4" w:rsidRPr="001579E4" w:rsidRDefault="00DD5D93" w:rsidP="001579E4">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Information regarding i</w:t>
      </w:r>
      <w:r w:rsidR="001579E4" w:rsidRPr="001579E4">
        <w:rPr>
          <w:rFonts w:ascii="Corbel" w:eastAsia="Times New Roman" w:hAnsi="Corbel" w:cs="Calibri"/>
          <w:color w:val="000000"/>
          <w:sz w:val="23"/>
          <w:szCs w:val="23"/>
          <w:lang w:eastAsia="en-AU"/>
        </w:rPr>
        <w:t xml:space="preserve">mplementation of the </w:t>
      </w:r>
      <w:r>
        <w:rPr>
          <w:rFonts w:ascii="Corbel" w:eastAsia="Times New Roman" w:hAnsi="Corbel" w:cs="Calibri"/>
          <w:color w:val="000000"/>
          <w:sz w:val="23"/>
          <w:szCs w:val="23"/>
          <w:lang w:eastAsia="en-AU"/>
        </w:rPr>
        <w:t xml:space="preserve">additional effort </w:t>
      </w:r>
      <w:r w:rsidR="001579E4" w:rsidRPr="001579E4">
        <w:rPr>
          <w:rFonts w:ascii="Corbel" w:eastAsia="Times New Roman" w:hAnsi="Corbel" w:cs="Calibri"/>
          <w:color w:val="000000"/>
          <w:sz w:val="23"/>
          <w:szCs w:val="23"/>
          <w:lang w:eastAsia="en-AU"/>
        </w:rPr>
        <w:t xml:space="preserve">outlined above is </w:t>
      </w:r>
      <w:r w:rsidR="00B94F39">
        <w:rPr>
          <w:rFonts w:ascii="Corbel" w:eastAsia="Times New Roman" w:hAnsi="Corbel" w:cs="Calibri"/>
          <w:color w:val="000000"/>
          <w:sz w:val="23"/>
          <w:szCs w:val="23"/>
          <w:lang w:eastAsia="en-AU"/>
        </w:rPr>
        <w:t xml:space="preserve">provided </w:t>
      </w:r>
      <w:r w:rsidR="001579E4" w:rsidRPr="001579E4">
        <w:rPr>
          <w:rFonts w:ascii="Corbel" w:eastAsia="Times New Roman" w:hAnsi="Corbel" w:cs="Calibri"/>
          <w:color w:val="000000"/>
          <w:sz w:val="23"/>
          <w:szCs w:val="23"/>
          <w:lang w:eastAsia="en-AU"/>
        </w:rPr>
        <w:t xml:space="preserve">further in Table 4. </w:t>
      </w:r>
    </w:p>
    <w:p w14:paraId="50D33AD2" w14:textId="16D5F465" w:rsidR="00EC1DEA" w:rsidRPr="00404679" w:rsidRDefault="001579E4" w:rsidP="00404679">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79E4">
        <w:rPr>
          <w:rFonts w:ascii="Corbel" w:eastAsia="Times New Roman" w:hAnsi="Corbel" w:cs="Calibri"/>
          <w:color w:val="000000"/>
          <w:sz w:val="23"/>
          <w:szCs w:val="23"/>
          <w:lang w:eastAsia="en-AU"/>
        </w:rPr>
        <w:t xml:space="preserve">Reporting on the activities undertaken in respect of the above National Reform Directions will </w:t>
      </w:r>
      <w:r w:rsidR="00B94F39">
        <w:rPr>
          <w:rFonts w:ascii="Corbel" w:eastAsia="Times New Roman" w:hAnsi="Corbel" w:cs="Calibri"/>
          <w:color w:val="000000"/>
          <w:sz w:val="23"/>
          <w:szCs w:val="23"/>
          <w:lang w:eastAsia="en-AU"/>
        </w:rPr>
        <w:t>occur</w:t>
      </w:r>
      <w:r w:rsidRPr="001579E4">
        <w:rPr>
          <w:rFonts w:ascii="Corbel" w:eastAsia="Times New Roman" w:hAnsi="Corbel" w:cs="Calibri"/>
          <w:color w:val="000000"/>
          <w:sz w:val="23"/>
          <w:szCs w:val="23"/>
          <w:lang w:eastAsia="en-AU"/>
        </w:rPr>
        <w:t xml:space="preserve"> through an Annual Implementation Report, as outlined in Part 4. For the avoidance of doubt, reporting on reforms will be limited to the actions described as “additional effort” and will exclude those described as “continuing”. </w:t>
      </w:r>
    </w:p>
    <w:p w14:paraId="73FC9397" w14:textId="44C821F3" w:rsidR="00EC1DEA" w:rsidRPr="00EC1DEA" w:rsidRDefault="00EC1DEA" w:rsidP="00EC1DEA">
      <w:pPr>
        <w:keepNext/>
        <w:spacing w:before="180" w:after="120" w:line="240" w:lineRule="auto"/>
        <w:outlineLvl w:val="1"/>
        <w:rPr>
          <w:rFonts w:ascii="Corbel" w:eastAsia="Times New Roman" w:hAnsi="Corbel" w:cs="Corbel"/>
          <w:b/>
          <w:bCs/>
          <w:color w:val="316F72"/>
          <w:sz w:val="28"/>
          <w:szCs w:val="28"/>
          <w:lang w:eastAsia="en-AU"/>
        </w:rPr>
      </w:pPr>
      <w:r w:rsidRPr="00EC1DEA">
        <w:rPr>
          <w:rFonts w:ascii="Corbel" w:eastAsia="Times New Roman" w:hAnsi="Corbel" w:cs="Corbel"/>
          <w:b/>
          <w:bCs/>
          <w:color w:val="316F72"/>
          <w:sz w:val="28"/>
          <w:szCs w:val="28"/>
          <w:lang w:eastAsia="en-AU"/>
        </w:rPr>
        <w:t xml:space="preserve">National </w:t>
      </w:r>
      <w:r>
        <w:rPr>
          <w:rFonts w:ascii="Corbel" w:eastAsia="Times New Roman" w:hAnsi="Corbel" w:cs="Corbel"/>
          <w:b/>
          <w:bCs/>
          <w:color w:val="316F72"/>
          <w:sz w:val="28"/>
          <w:szCs w:val="28"/>
          <w:lang w:eastAsia="en-AU"/>
        </w:rPr>
        <w:t>Enabling Initiatives</w:t>
      </w:r>
    </w:p>
    <w:p w14:paraId="3BEA88E2" w14:textId="2AC2C2A0" w:rsidR="00E50212" w:rsidRPr="00E50212" w:rsidRDefault="00E50212" w:rsidP="00E50212">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50212">
        <w:rPr>
          <w:rFonts w:ascii="Corbel" w:eastAsia="Times New Roman" w:hAnsi="Corbel" w:cs="Calibri"/>
          <w:color w:val="000000"/>
          <w:sz w:val="23"/>
          <w:szCs w:val="23"/>
          <w:lang w:eastAsia="en-AU"/>
        </w:rPr>
        <w:t>The Northern Territory commits to the following actions to give effect to the Enabling Initiatives as outlined in the Heads of Agreement, and fulfil commitments as per Schedules B and C of the Heads of Agreement:</w:t>
      </w:r>
    </w:p>
    <w:p w14:paraId="2F9219DF" w14:textId="0CB14919" w:rsidR="00E50212" w:rsidRPr="00E50212" w:rsidRDefault="00177D2B" w:rsidP="00E50212">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E50212" w:rsidRPr="00E50212">
        <w:rPr>
          <w:rFonts w:ascii="Corbel" w:eastAsia="Times New Roman" w:hAnsi="Corbel" w:cs="Calibri"/>
          <w:color w:val="000000"/>
          <w:sz w:val="23"/>
          <w:szCs w:val="23"/>
          <w:lang w:eastAsia="en-AU"/>
        </w:rPr>
        <w:t xml:space="preserve">ontribute any required data and information and expertise to the Review of the SRS base and loadings calculation methodology. </w:t>
      </w:r>
    </w:p>
    <w:p w14:paraId="12F75CB3" w14:textId="084DF6D0" w:rsidR="00E50212" w:rsidRPr="00E50212" w:rsidRDefault="00177D2B" w:rsidP="00E50212">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E50212" w:rsidRPr="00E50212">
        <w:rPr>
          <w:rFonts w:ascii="Corbel" w:eastAsia="Times New Roman" w:hAnsi="Corbel" w:cs="Calibri"/>
          <w:color w:val="000000"/>
          <w:sz w:val="23"/>
          <w:szCs w:val="23"/>
          <w:lang w:eastAsia="en-AU"/>
        </w:rPr>
        <w:t>ontribute to the implementation of the unique student identifier (USI) to ensure all Northern Territory school students receive an USI.  </w:t>
      </w:r>
    </w:p>
    <w:p w14:paraId="36AC0CF4" w14:textId="32023BEA" w:rsidR="00E50212" w:rsidRPr="00E50212" w:rsidRDefault="00177D2B" w:rsidP="00E50212">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E50212" w:rsidRPr="00E50212">
        <w:rPr>
          <w:rFonts w:ascii="Corbel" w:eastAsia="Times New Roman" w:hAnsi="Corbel" w:cs="Calibri"/>
          <w:color w:val="000000"/>
          <w:sz w:val="23"/>
          <w:szCs w:val="23"/>
          <w:lang w:eastAsia="en-AU"/>
        </w:rPr>
        <w:t>ontribute to collective work to</w:t>
      </w:r>
      <w:r w:rsidR="00E50212" w:rsidRPr="00E50212" w:rsidDel="000F7530">
        <w:rPr>
          <w:rFonts w:ascii="Corbel" w:eastAsia="Times New Roman" w:hAnsi="Corbel" w:cs="Calibri"/>
          <w:color w:val="000000"/>
          <w:sz w:val="23"/>
          <w:szCs w:val="23"/>
          <w:lang w:eastAsia="en-AU"/>
        </w:rPr>
        <w:t xml:space="preserve"> </w:t>
      </w:r>
      <w:r w:rsidR="00E50212" w:rsidRPr="00E50212">
        <w:rPr>
          <w:rFonts w:ascii="Corbel" w:eastAsia="Times New Roman" w:hAnsi="Corbel" w:cs="Calibri"/>
          <w:color w:val="000000"/>
          <w:sz w:val="23"/>
          <w:szCs w:val="23"/>
          <w:lang w:eastAsia="en-AU"/>
        </w:rPr>
        <w:t>understand and provide policy and program advice to Education Ministers on:</w:t>
      </w:r>
    </w:p>
    <w:p w14:paraId="0179C2E3" w14:textId="7D26D4E2" w:rsidR="00E50212" w:rsidRPr="00E50212" w:rsidRDefault="003A12E3" w:rsidP="00E50212">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00E50212" w:rsidRPr="00E50212">
        <w:rPr>
          <w:rFonts w:ascii="Corbel" w:eastAsia="Times New Roman" w:hAnsi="Corbel" w:cs="Calibri"/>
          <w:color w:val="000000"/>
          <w:sz w:val="23"/>
          <w:szCs w:val="23"/>
          <w:lang w:eastAsia="en-AU"/>
        </w:rPr>
        <w:t>ocioeconomic diversity, its impact on schools and student learning and best practice approaches to addressing these impacts.</w:t>
      </w:r>
    </w:p>
    <w:p w14:paraId="37363490" w14:textId="0916A778" w:rsidR="00E50212" w:rsidRPr="00E50212" w:rsidRDefault="003A12E3" w:rsidP="00E50212">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00E50212" w:rsidRPr="00E50212">
        <w:rPr>
          <w:rFonts w:ascii="Corbel" w:eastAsia="Times New Roman" w:hAnsi="Corbel" w:cs="Calibri"/>
          <w:color w:val="000000"/>
          <w:sz w:val="23"/>
          <w:szCs w:val="23"/>
          <w:lang w:eastAsia="en-AU"/>
        </w:rPr>
        <w:t>chool attendance, its impact on learning, and mechanisms to advance evidence based approaches to addressing non-attendance, including school refusal.</w:t>
      </w:r>
    </w:p>
    <w:p w14:paraId="358B57B3" w14:textId="25AD89C2" w:rsidR="00E50212" w:rsidRPr="00E50212" w:rsidRDefault="00177D2B" w:rsidP="00576286">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E50212" w:rsidRPr="00E50212">
        <w:rPr>
          <w:rFonts w:ascii="Corbel" w:eastAsia="Times New Roman" w:hAnsi="Corbel" w:cs="Calibri"/>
          <w:color w:val="000000"/>
          <w:sz w:val="23"/>
          <w:szCs w:val="23"/>
          <w:lang w:eastAsia="en-AU"/>
        </w:rPr>
        <w:t xml:space="preserve">ontribute data where available, and information and expertise to inform a Review of the Measurement Framework for Schooling in Australia to ensure it remains a relevant tool. This may include student level outcome data, appropriate disaggregated data, and information to inform possible new and updated measures. The Review’s Terms of Reference are to be </w:t>
      </w:r>
      <w:r w:rsidR="00E50212" w:rsidRPr="00E50212">
        <w:rPr>
          <w:rFonts w:ascii="Corbel" w:eastAsia="Times New Roman" w:hAnsi="Corbel" w:cs="Calibri"/>
          <w:color w:val="000000"/>
          <w:sz w:val="23"/>
          <w:szCs w:val="23"/>
          <w:lang w:eastAsia="en-AU"/>
        </w:rPr>
        <w:lastRenderedPageBreak/>
        <w:t xml:space="preserve">agreed by Education Ministers Meeting and will include consideration of the costs and benefits of: </w:t>
      </w:r>
    </w:p>
    <w:p w14:paraId="3DB035BC" w14:textId="76186F2B" w:rsidR="00E50212" w:rsidRPr="00E50212" w:rsidRDefault="003A12E3" w:rsidP="00576286">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E50212" w:rsidRPr="00E50212">
        <w:rPr>
          <w:rFonts w:ascii="Corbel" w:eastAsia="Times New Roman" w:hAnsi="Corbel" w:cs="Calibri"/>
          <w:color w:val="000000"/>
          <w:sz w:val="23"/>
          <w:szCs w:val="23"/>
          <w:lang w:eastAsia="en-AU"/>
        </w:rPr>
        <w:t xml:space="preserve"> new measure of student engagement.</w:t>
      </w:r>
    </w:p>
    <w:p w14:paraId="2C0A409E" w14:textId="668996D1" w:rsidR="00E50212" w:rsidRPr="00E50212" w:rsidRDefault="003A12E3" w:rsidP="00576286">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E50212" w:rsidRPr="00E50212">
        <w:rPr>
          <w:rFonts w:ascii="Corbel" w:eastAsia="Times New Roman" w:hAnsi="Corbel" w:cs="Calibri"/>
          <w:color w:val="000000"/>
          <w:sz w:val="23"/>
          <w:szCs w:val="23"/>
          <w:lang w:eastAsia="en-AU"/>
        </w:rPr>
        <w:t xml:space="preserve"> new equity in learning gain measure, to enable measurement of student learning growth.</w:t>
      </w:r>
    </w:p>
    <w:p w14:paraId="205DC6A4" w14:textId="0A5F1EBB" w:rsidR="00E50212" w:rsidRPr="00E50212" w:rsidDel="00196CAA" w:rsidRDefault="003A12E3" w:rsidP="00576286">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w:t>
      </w:r>
      <w:r w:rsidR="00E50212" w:rsidRPr="00E50212">
        <w:rPr>
          <w:rFonts w:ascii="Corbel" w:eastAsia="Times New Roman" w:hAnsi="Corbel" w:cs="Calibri"/>
          <w:color w:val="000000"/>
          <w:sz w:val="23"/>
          <w:szCs w:val="23"/>
          <w:lang w:eastAsia="en-AU"/>
        </w:rPr>
        <w:t>ational measures of access, participation and outcomes for students with disability to establish a better understanding of the education experiences and outcomes of students with disability.</w:t>
      </w:r>
    </w:p>
    <w:p w14:paraId="489A41DE" w14:textId="42D0C0B9" w:rsidR="00E50212" w:rsidRPr="00E50212" w:rsidRDefault="003A12E3" w:rsidP="00576286">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E50212" w:rsidRPr="00E50212" w:rsidDel="00196CAA">
        <w:rPr>
          <w:rFonts w:ascii="Corbel" w:eastAsia="Times New Roman" w:hAnsi="Corbel" w:cs="Calibri"/>
          <w:color w:val="000000"/>
          <w:sz w:val="23"/>
          <w:szCs w:val="23"/>
          <w:lang w:eastAsia="en-AU"/>
        </w:rPr>
        <w:t>xtending the Australian Teacher Workforce Dataset to ensure that comprehensive data, based on teacher registration, is collected to better understand workforce trends including on early career retention and diversity</w:t>
      </w:r>
      <w:r w:rsidR="00E50212" w:rsidRPr="00E50212">
        <w:rPr>
          <w:rFonts w:ascii="Corbel" w:eastAsia="Times New Roman" w:hAnsi="Corbel" w:cs="Calibri"/>
          <w:color w:val="000000"/>
          <w:sz w:val="23"/>
          <w:szCs w:val="23"/>
          <w:lang w:eastAsia="en-AU"/>
        </w:rPr>
        <w:t>, and extending the Australian Teacher Workforce Survey to capture data on out-of-field teaching</w:t>
      </w:r>
      <w:r w:rsidR="00E50212" w:rsidRPr="00E50212" w:rsidDel="00196CAA">
        <w:rPr>
          <w:rFonts w:ascii="Corbel" w:eastAsia="Times New Roman" w:hAnsi="Corbel" w:cs="Calibri"/>
          <w:color w:val="000000"/>
          <w:sz w:val="23"/>
          <w:szCs w:val="23"/>
          <w:lang w:eastAsia="en-AU"/>
        </w:rPr>
        <w:t>.</w:t>
      </w:r>
    </w:p>
    <w:p w14:paraId="60DDB5A4" w14:textId="45FC20BF" w:rsidR="00E50212" w:rsidRPr="00E50212" w:rsidDel="00196CAA" w:rsidRDefault="00177D2B" w:rsidP="00576286">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00E50212" w:rsidRPr="00E50212">
        <w:rPr>
          <w:rFonts w:ascii="Corbel" w:eastAsia="Times New Roman" w:hAnsi="Corbel" w:cs="Calibri"/>
          <w:color w:val="000000"/>
          <w:sz w:val="23"/>
          <w:szCs w:val="23"/>
          <w:lang w:eastAsia="en-AU"/>
        </w:rPr>
        <w:t xml:space="preserve">upporting development of an early years of schooling numeracy check to support teachers to assess their students’ numeracy skills and identify and respond to students who need tailored support. </w:t>
      </w:r>
    </w:p>
    <w:p w14:paraId="3D9EC398" w14:textId="649F58D6" w:rsidR="00F1255C" w:rsidRPr="001D7425" w:rsidRDefault="00E50212" w:rsidP="001D7425">
      <w:pPr>
        <w:pStyle w:val="ListParagraph"/>
        <w:numPr>
          <w:ilvl w:val="0"/>
          <w:numId w:val="24"/>
        </w:numPr>
        <w:tabs>
          <w:tab w:val="left" w:pos="426"/>
        </w:tabs>
        <w:spacing w:after="240" w:line="260" w:lineRule="exact"/>
        <w:ind w:left="425" w:hanging="425"/>
        <w:contextualSpacing w:val="0"/>
        <w:jc w:val="both"/>
        <w:rPr>
          <w:rFonts w:ascii="Corbel" w:eastAsia="Corbel" w:hAnsi="Corbel" w:cs="Corbel"/>
          <w:color w:val="000000" w:themeColor="text1"/>
          <w:sz w:val="23"/>
          <w:szCs w:val="23"/>
        </w:rPr>
      </w:pPr>
      <w:r w:rsidRPr="00E50212">
        <w:rPr>
          <w:rFonts w:ascii="Corbel" w:eastAsia="Times New Roman" w:hAnsi="Corbel" w:cs="Calibri"/>
          <w:color w:val="000000"/>
          <w:sz w:val="23"/>
          <w:szCs w:val="23"/>
          <w:lang w:eastAsia="en-AU"/>
        </w:rPr>
        <w:t>As per clause 89 of the Heads of Agreement, the Northern Territory will contribute to the development of a</w:t>
      </w:r>
      <w:r w:rsidRPr="3A384CFA">
        <w:rPr>
          <w:rFonts w:ascii="Corbel" w:eastAsia="Corbel" w:hAnsi="Corbel" w:cs="Corbel"/>
          <w:color w:val="000000" w:themeColor="text1"/>
          <w:sz w:val="23"/>
          <w:szCs w:val="23"/>
        </w:rPr>
        <w:t xml:space="preserve"> Project Plan for each of the National Enabling Initiatives in clause 88 of the Heads of Agreement and provide the Commonwealth with the data or information necessary for the Commonwealth to fulfil its annual reporting obligations on National Enabling Initiatives, as per clause 95 of the Heads of Agreement.</w:t>
      </w:r>
    </w:p>
    <w:p w14:paraId="4FA67D5B" w14:textId="785D6DAB" w:rsidR="00C25DF6" w:rsidRPr="00C25DF6" w:rsidRDefault="00C25DF6" w:rsidP="00C25DF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Implementation</w:t>
      </w:r>
    </w:p>
    <w:p w14:paraId="50701874" w14:textId="2A254F5B" w:rsidR="00300FF8" w:rsidRPr="00300FF8" w:rsidRDefault="00300FF8" w:rsidP="00300FF8">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00FF8">
        <w:rPr>
          <w:rFonts w:ascii="Corbel" w:eastAsia="Times New Roman" w:hAnsi="Corbel" w:cs="Calibri"/>
          <w:color w:val="000000"/>
          <w:sz w:val="23"/>
          <w:szCs w:val="23"/>
          <w:lang w:eastAsia="en-AU"/>
        </w:rPr>
        <w:t>In committing to the above reforms, the Northern Territory commits to the actions and milestones set out in Table 4.</w:t>
      </w:r>
    </w:p>
    <w:p w14:paraId="7766E84A" w14:textId="77777777" w:rsidR="00300FF8" w:rsidRPr="00300FF8" w:rsidRDefault="00300FF8" w:rsidP="00300FF8">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00FF8">
        <w:rPr>
          <w:rFonts w:ascii="Corbel" w:eastAsia="Times New Roman" w:hAnsi="Corbel" w:cs="Calibri"/>
          <w:color w:val="000000"/>
          <w:sz w:val="23"/>
          <w:szCs w:val="23"/>
          <w:lang w:eastAsia="en-AU"/>
        </w:rPr>
        <w:t>The Northern Territory Government undertakes to work with the non-government school sector in the Northern Territory in the implementation of the reforms outlined in this bilateral agreement as follows:</w:t>
      </w:r>
    </w:p>
    <w:p w14:paraId="41EA4A08" w14:textId="536FB795" w:rsidR="00300FF8" w:rsidRPr="00300FF8" w:rsidRDefault="003A12E3" w:rsidP="00300FF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300FF8" w:rsidRPr="00300FF8">
        <w:rPr>
          <w:rFonts w:ascii="Corbel" w:eastAsia="Times New Roman" w:hAnsi="Corbel" w:cs="Calibri"/>
          <w:color w:val="000000"/>
          <w:sz w:val="23"/>
          <w:szCs w:val="23"/>
          <w:lang w:eastAsia="en-AU"/>
        </w:rPr>
        <w:t>ontinuing existing consultation channels and representation of the sectors through the Sector Heads, the Non-Government Schools Advisory Council, and on the Board and Committees of the Northern Territory Board of Studies.</w:t>
      </w:r>
    </w:p>
    <w:p w14:paraId="5426E527" w14:textId="346ACFEC" w:rsidR="00300FF8" w:rsidRPr="00300FF8" w:rsidRDefault="003A12E3" w:rsidP="00300FF8">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300FF8" w:rsidRPr="00300FF8">
        <w:rPr>
          <w:rFonts w:ascii="Corbel" w:eastAsia="Times New Roman" w:hAnsi="Corbel" w:cs="Calibri"/>
          <w:color w:val="000000"/>
          <w:sz w:val="23"/>
          <w:szCs w:val="23"/>
          <w:lang w:eastAsia="en-AU"/>
        </w:rPr>
        <w:t>stablishing further mechanisms for consultation in the implementation of specific reforms including any relevant forums established under the NT Executive Council of Aboriginal Affairs, any regional advisory groups, the Aboriginal education peak to be established, student voice, local decision making and treaty.</w:t>
      </w:r>
    </w:p>
    <w:p w14:paraId="5EF511D5" w14:textId="783562DC" w:rsidR="00300FF8" w:rsidRPr="0059445F" w:rsidRDefault="00300FF8" w:rsidP="0059445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00FF8">
        <w:rPr>
          <w:rFonts w:ascii="Corbel" w:eastAsia="Times New Roman" w:hAnsi="Corbel" w:cs="Calibri"/>
          <w:color w:val="000000"/>
          <w:sz w:val="23"/>
          <w:szCs w:val="23"/>
          <w:lang w:eastAsia="en-AU"/>
        </w:rPr>
        <w:t xml:space="preserve">In accordance with subsection 77 (2A) of the Act, non-government approved authorities are required to cooperate with their local State or Territory government in the implementation of this Agreement. </w:t>
      </w:r>
    </w:p>
    <w:p w14:paraId="4D234245" w14:textId="648C5F6A" w:rsidR="00300FF8" w:rsidRPr="0059445F" w:rsidRDefault="00300FF8" w:rsidP="0059445F">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00FF8">
        <w:rPr>
          <w:rFonts w:ascii="Corbel" w:eastAsia="Times New Roman" w:hAnsi="Corbel" w:cs="Calibri"/>
          <w:color w:val="000000"/>
          <w:sz w:val="23"/>
          <w:szCs w:val="23"/>
          <w:lang w:eastAsia="en-AU"/>
        </w:rPr>
        <w:t xml:space="preserve">The non-government sector in the Northern Territory, as per clause 57 in the Heads of Agreement, should cooperate with the Northern Territory Government to implement the National Reform Directions and National Enabling Initiatives. Activities against National Reform Directions undertaken by the Northern Territory non-government sector will be </w:t>
      </w:r>
      <w:r w:rsidRPr="00300FF8">
        <w:rPr>
          <w:rFonts w:ascii="Corbel" w:eastAsia="Times New Roman" w:hAnsi="Corbel" w:cs="Calibri"/>
          <w:color w:val="000000"/>
          <w:sz w:val="23"/>
          <w:szCs w:val="23"/>
          <w:lang w:eastAsia="en-AU"/>
        </w:rPr>
        <w:lastRenderedPageBreak/>
        <w:t>included in reports by the non-government representative bodies provided to the Australian Government as set out in Part 5 in the Heads of Agreement.</w:t>
      </w:r>
    </w:p>
    <w:p w14:paraId="5CB235B2" w14:textId="77777777" w:rsidR="00300FF8" w:rsidRPr="00300FF8" w:rsidRDefault="00300FF8" w:rsidP="00300FF8">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00FF8">
        <w:rPr>
          <w:rFonts w:ascii="Corbel" w:eastAsia="Times New Roman" w:hAnsi="Corbel" w:cs="Calibri"/>
          <w:color w:val="000000"/>
          <w:sz w:val="23"/>
          <w:szCs w:val="23"/>
          <w:lang w:eastAsia="en-AU"/>
        </w:rPr>
        <w:t>The Commonwealth will not impose financial or other sanctions on the Northern Territory for a failure by the Northern Territory non-government school sector to cooperate with this Bilateral Agreement, as per clause 87 of the Heads of Agreement. Nor will the Commonwealth impose sanctions on the non-government school sector for a failure of the Northern Territory to cooperate with them in the implementation of this Bilateral Agreement.</w:t>
      </w:r>
    </w:p>
    <w:p w14:paraId="18F00755" w14:textId="77777777" w:rsidR="00C43C7B" w:rsidRDefault="00C43C7B" w:rsidP="00DA17AF">
      <w:pPr>
        <w:tabs>
          <w:tab w:val="left" w:pos="426"/>
        </w:tabs>
        <w:spacing w:after="240" w:line="260" w:lineRule="exact"/>
        <w:jc w:val="both"/>
        <w:rPr>
          <w:rFonts w:ascii="Corbel" w:eastAsia="Times New Roman" w:hAnsi="Corbel" w:cs="Calibri"/>
          <w:color w:val="000000"/>
          <w:sz w:val="23"/>
          <w:szCs w:val="23"/>
          <w:lang w:eastAsia="en-AU"/>
        </w:rPr>
      </w:pPr>
    </w:p>
    <w:p w14:paraId="107DDC96" w14:textId="77777777" w:rsidR="00C43C7B" w:rsidRDefault="00C43C7B" w:rsidP="00C43C7B">
      <w:pPr>
        <w:rPr>
          <w:rFonts w:ascii="Corbel" w:eastAsia="Times New Roman" w:hAnsi="Corbel" w:cs="Calibri"/>
          <w:color w:val="000000"/>
          <w:sz w:val="23"/>
          <w:szCs w:val="23"/>
          <w:lang w:eastAsia="en-AU"/>
        </w:rPr>
      </w:pPr>
    </w:p>
    <w:p w14:paraId="39C60D94" w14:textId="77777777" w:rsidR="00C43C7B" w:rsidRDefault="00C43C7B" w:rsidP="00C43C7B">
      <w:pPr>
        <w:rPr>
          <w:rFonts w:ascii="Corbel" w:eastAsia="Times New Roman" w:hAnsi="Corbel" w:cs="Calibri"/>
          <w:color w:val="000000"/>
          <w:sz w:val="23"/>
          <w:szCs w:val="23"/>
          <w:lang w:eastAsia="en-AU"/>
        </w:rPr>
      </w:pPr>
    </w:p>
    <w:p w14:paraId="00C60BC6" w14:textId="77777777" w:rsidR="00C43C7B" w:rsidRPr="00C43C7B" w:rsidRDefault="00C43C7B" w:rsidP="00C43C7B">
      <w:pPr>
        <w:rPr>
          <w:rFonts w:ascii="Corbel" w:eastAsia="Times New Roman" w:hAnsi="Corbel" w:cs="Calibri"/>
          <w:sz w:val="23"/>
          <w:szCs w:val="23"/>
          <w:lang w:eastAsia="en-AU"/>
        </w:rPr>
        <w:sectPr w:rsidR="00C43C7B" w:rsidRPr="00C43C7B" w:rsidSect="00D473E3">
          <w:footerReference w:type="default" r:id="rId11"/>
          <w:pgSz w:w="11906" w:h="16838"/>
          <w:pgMar w:top="1440" w:right="1440" w:bottom="1440" w:left="1440" w:header="708" w:footer="708" w:gutter="0"/>
          <w:cols w:space="708"/>
          <w:docGrid w:linePitch="360"/>
        </w:sectPr>
      </w:pPr>
    </w:p>
    <w:p w14:paraId="6B76FD7E" w14:textId="242C8627" w:rsidR="00AE6BD0" w:rsidRPr="00126232" w:rsidRDefault="00AE6BD0" w:rsidP="00126232">
      <w:pPr>
        <w:keepNext/>
        <w:spacing w:before="180" w:after="120" w:line="240" w:lineRule="auto"/>
        <w:outlineLvl w:val="1"/>
        <w:rPr>
          <w:rFonts w:ascii="Corbel" w:eastAsia="Times New Roman" w:hAnsi="Corbel" w:cs="Corbel"/>
          <w:b/>
          <w:bCs/>
          <w:color w:val="316F72"/>
          <w:sz w:val="28"/>
          <w:szCs w:val="28"/>
          <w:lang w:eastAsia="en-AU"/>
        </w:rPr>
      </w:pPr>
      <w:r w:rsidRPr="00126232">
        <w:rPr>
          <w:rFonts w:ascii="Corbel" w:eastAsia="Times New Roman" w:hAnsi="Corbel" w:cs="Corbel"/>
          <w:b/>
          <w:bCs/>
          <w:color w:val="316F72"/>
          <w:sz w:val="28"/>
          <w:szCs w:val="28"/>
          <w:lang w:eastAsia="en-AU"/>
        </w:rPr>
        <w:lastRenderedPageBreak/>
        <w:t xml:space="preserve">National Reform Directions Implementation </w:t>
      </w:r>
      <w:r w:rsidR="009B2ECA" w:rsidRPr="00126232">
        <w:rPr>
          <w:rFonts w:ascii="Corbel" w:eastAsia="Times New Roman" w:hAnsi="Corbel" w:cs="Corbel"/>
          <w:b/>
          <w:bCs/>
          <w:color w:val="316F72"/>
          <w:sz w:val="28"/>
          <w:szCs w:val="28"/>
          <w:lang w:eastAsia="en-AU"/>
        </w:rPr>
        <w:t>M</w:t>
      </w:r>
      <w:r w:rsidRPr="00126232">
        <w:rPr>
          <w:rFonts w:ascii="Corbel" w:eastAsia="Times New Roman" w:hAnsi="Corbel" w:cs="Corbel"/>
          <w:b/>
          <w:bCs/>
          <w:color w:val="316F72"/>
          <w:sz w:val="28"/>
          <w:szCs w:val="28"/>
          <w:lang w:eastAsia="en-AU"/>
        </w:rPr>
        <w:t>ilestones</w:t>
      </w:r>
    </w:p>
    <w:p w14:paraId="19713EAE" w14:textId="3DD5D2D0" w:rsidR="004D22A2" w:rsidRPr="004D22A2" w:rsidRDefault="004D22A2" w:rsidP="004D22A2">
      <w:pPr>
        <w:spacing w:after="120" w:line="260" w:lineRule="exact"/>
        <w:jc w:val="both"/>
        <w:rPr>
          <w:rFonts w:ascii="Corbel" w:eastAsia="Times New Roman" w:hAnsi="Corbel" w:cs="Calibri"/>
          <w:i/>
          <w:iCs/>
          <w:sz w:val="23"/>
          <w:szCs w:val="23"/>
          <w:lang w:eastAsia="en-AU"/>
        </w:rPr>
      </w:pPr>
      <w:r w:rsidRPr="0594E11E">
        <w:rPr>
          <w:rFonts w:ascii="Corbel" w:eastAsia="Times New Roman" w:hAnsi="Corbel" w:cs="Calibri"/>
          <w:i/>
          <w:iCs/>
          <w:sz w:val="23"/>
          <w:szCs w:val="23"/>
          <w:lang w:eastAsia="en-AU"/>
        </w:rPr>
        <w:t>Table 4 – Northern Territory bilateral school reform implementation plan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gridCol w:w="1722"/>
        <w:gridCol w:w="3438"/>
      </w:tblGrid>
      <w:tr w:rsidR="20DDB6CD" w14:paraId="33FAA5A6" w14:textId="77777777" w:rsidTr="008F378F">
        <w:trPr>
          <w:trHeight w:val="270"/>
        </w:trPr>
        <w:tc>
          <w:tcPr>
            <w:tcW w:w="8760" w:type="dxa"/>
            <w:tcBorders>
              <w:top w:val="single" w:sz="24" w:space="0" w:color="316F72"/>
              <w:left w:val="single" w:sz="6" w:space="0" w:color="316F72"/>
              <w:bottom w:val="single" w:sz="24" w:space="0" w:color="316F72"/>
              <w:right w:val="single" w:sz="6" w:space="0" w:color="316F72"/>
            </w:tcBorders>
            <w:tcMar>
              <w:left w:w="105" w:type="dxa"/>
              <w:right w:w="105" w:type="dxa"/>
            </w:tcMar>
          </w:tcPr>
          <w:p w14:paraId="6E00E158" w14:textId="0FD46817" w:rsidR="20DDB6CD" w:rsidRDefault="20DDB6CD" w:rsidP="00301F4D">
            <w:pPr>
              <w:spacing w:before="120" w:after="120" w:line="260" w:lineRule="exact"/>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rPr>
              <w:t>Reform and Milestones</w:t>
            </w:r>
          </w:p>
        </w:tc>
        <w:tc>
          <w:tcPr>
            <w:tcW w:w="1722" w:type="dxa"/>
            <w:tcBorders>
              <w:top w:val="single" w:sz="24" w:space="0" w:color="316F72"/>
              <w:left w:val="single" w:sz="6" w:space="0" w:color="316F72"/>
              <w:bottom w:val="single" w:sz="24" w:space="0" w:color="316F72"/>
              <w:right w:val="single" w:sz="6" w:space="0" w:color="316F72"/>
            </w:tcBorders>
            <w:tcMar>
              <w:left w:w="105" w:type="dxa"/>
              <w:right w:w="105" w:type="dxa"/>
            </w:tcMar>
          </w:tcPr>
          <w:p w14:paraId="4A05AAF3" w14:textId="4244345C" w:rsidR="20DDB6CD" w:rsidRDefault="20DDB6CD" w:rsidP="00301F4D">
            <w:pPr>
              <w:spacing w:before="120" w:after="120" w:line="260" w:lineRule="exact"/>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rPr>
              <w:t>Sector</w:t>
            </w:r>
          </w:p>
        </w:tc>
        <w:tc>
          <w:tcPr>
            <w:tcW w:w="3438" w:type="dxa"/>
            <w:tcBorders>
              <w:top w:val="single" w:sz="24" w:space="0" w:color="316F72"/>
              <w:left w:val="single" w:sz="6" w:space="0" w:color="316F72"/>
              <w:bottom w:val="single" w:sz="24" w:space="0" w:color="316F72"/>
              <w:right w:val="single" w:sz="6" w:space="0" w:color="316F72"/>
            </w:tcBorders>
            <w:tcMar>
              <w:left w:w="105" w:type="dxa"/>
              <w:right w:w="105" w:type="dxa"/>
            </w:tcMar>
          </w:tcPr>
          <w:p w14:paraId="20748CE4" w14:textId="764E8DE5" w:rsidR="20DDB6CD" w:rsidRDefault="20DDB6CD" w:rsidP="00301F4D">
            <w:pPr>
              <w:spacing w:before="120" w:after="120" w:line="260" w:lineRule="exact"/>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rPr>
              <w:t>Timing</w:t>
            </w:r>
          </w:p>
        </w:tc>
      </w:tr>
      <w:tr w:rsidR="20DDB6CD" w14:paraId="3714E51E" w14:textId="77777777" w:rsidTr="0594E11E">
        <w:trPr>
          <w:trHeight w:val="495"/>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07FB713A" w14:textId="3A5EDDE1" w:rsidR="20DDB6CD" w:rsidRDefault="20DDB6CD" w:rsidP="00387287">
            <w:pPr>
              <w:spacing w:before="120" w:after="120" w:line="260" w:lineRule="exact"/>
              <w:jc w:val="both"/>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rPr>
              <w:t>Reform A – Equity and Excellence</w:t>
            </w:r>
          </w:p>
        </w:tc>
      </w:tr>
      <w:tr w:rsidR="20DDB6CD" w14:paraId="00F50D09" w14:textId="77777777" w:rsidTr="0594E11E">
        <w:trPr>
          <w:trHeight w:val="450"/>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45F68209" w14:textId="432BC238" w:rsidR="20DDB6CD" w:rsidRDefault="20DDB6CD" w:rsidP="00387287">
            <w:pPr>
              <w:spacing w:before="120" w:after="120" w:line="260" w:lineRule="exact"/>
              <w:jc w:val="both"/>
              <w:rPr>
                <w:rFonts w:ascii="Corbel" w:eastAsia="Corbel" w:hAnsi="Corbel" w:cs="Corbel"/>
                <w:color w:val="000000" w:themeColor="text1"/>
                <w:sz w:val="23"/>
                <w:szCs w:val="23"/>
                <w:u w:val="single"/>
              </w:rPr>
            </w:pPr>
            <w:r w:rsidRPr="0594E11E">
              <w:rPr>
                <w:rFonts w:ascii="Corbel" w:eastAsia="Corbel" w:hAnsi="Corbel" w:cs="Corbel"/>
                <w:b/>
                <w:bCs/>
                <w:color w:val="000000" w:themeColor="text1"/>
                <w:sz w:val="23"/>
                <w:szCs w:val="23"/>
                <w:u w:val="single"/>
              </w:rPr>
              <w:t xml:space="preserve">Whole-of-system and/or whole-of-school approaches that identify student learning needs early and provide tiered and targeted, intensive supports, in line with a ‘multi-tiered systems of support’ (MTSS) approach. </w:t>
            </w:r>
          </w:p>
        </w:tc>
      </w:tr>
      <w:tr w:rsidR="20DDB6CD" w14:paraId="19330F5E" w14:textId="77777777" w:rsidTr="008F378F">
        <w:trPr>
          <w:trHeight w:val="720"/>
        </w:trPr>
        <w:tc>
          <w:tcPr>
            <w:tcW w:w="8760"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37583A67" w14:textId="1C5DA2E1" w:rsidR="20DDB6CD" w:rsidRDefault="4220FD5C" w:rsidP="00387287">
            <w:pPr>
              <w:pStyle w:val="ListParagraph"/>
              <w:numPr>
                <w:ilvl w:val="0"/>
                <w:numId w:val="23"/>
              </w:numPr>
              <w:spacing w:after="0" w:line="240" w:lineRule="auto"/>
              <w:jc w:val="both"/>
            </w:pPr>
            <w:r w:rsidRPr="0D8530A8">
              <w:rPr>
                <w:rFonts w:ascii="Corbel" w:eastAsia="Corbel" w:hAnsi="Corbel" w:cs="Corbel"/>
                <w:color w:val="000000" w:themeColor="text1"/>
                <w:sz w:val="23"/>
                <w:szCs w:val="23"/>
              </w:rPr>
              <w:t>Design and implement a Territory wide structured literacy and numeracy approach based on a</w:t>
            </w:r>
            <w:r w:rsidR="004B2131">
              <w:rPr>
                <w:rFonts w:ascii="Corbel" w:eastAsia="Corbel" w:hAnsi="Corbel" w:cs="Corbel"/>
                <w:color w:val="000000" w:themeColor="text1"/>
                <w:sz w:val="23"/>
                <w:szCs w:val="23"/>
              </w:rPr>
              <w:t>n</w:t>
            </w:r>
            <w:r w:rsidRPr="0D8530A8">
              <w:rPr>
                <w:rFonts w:ascii="Corbel" w:eastAsia="Corbel" w:hAnsi="Corbel" w:cs="Corbel"/>
                <w:color w:val="000000" w:themeColor="text1"/>
                <w:sz w:val="23"/>
                <w:szCs w:val="23"/>
              </w:rPr>
              <w:t xml:space="preserve"> MTSS model, which is differentiated by school size, context and performance.</w:t>
            </w:r>
          </w:p>
        </w:tc>
        <w:tc>
          <w:tcPr>
            <w:tcW w:w="1722"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717755AC" w14:textId="58507D9D" w:rsidR="20DDB6CD" w:rsidRDefault="0062773A" w:rsidP="00387287">
            <w:pPr>
              <w:spacing w:before="120" w:after="120" w:line="260" w:lineRule="exact"/>
              <w:jc w:val="both"/>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26CFF969" w14:textId="7262B694" w:rsidR="20DDB6CD" w:rsidRDefault="00596D1B" w:rsidP="00387287">
            <w:pPr>
              <w:spacing w:before="120" w:after="120" w:line="260" w:lineRule="exact"/>
              <w:jc w:val="both"/>
              <w:rPr>
                <w:rFonts w:ascii="Corbel" w:eastAsia="Corbel" w:hAnsi="Corbel" w:cs="Corbel"/>
                <w:color w:val="000000" w:themeColor="text1"/>
                <w:sz w:val="23"/>
                <w:szCs w:val="23"/>
              </w:rPr>
            </w:pPr>
            <w:r>
              <w:rPr>
                <w:rFonts w:ascii="Corbel" w:hAnsi="Corbel"/>
                <w:color w:val="000000"/>
                <w:sz w:val="23"/>
                <w:szCs w:val="23"/>
                <w:lang w:eastAsia="en-AU"/>
              </w:rPr>
              <w:t>Commencing 2025, with staged rollout</w:t>
            </w:r>
          </w:p>
        </w:tc>
      </w:tr>
      <w:tr w:rsidR="20DDB6CD" w14:paraId="17B0F01D" w14:textId="77777777" w:rsidTr="008F378F">
        <w:trPr>
          <w:trHeight w:val="540"/>
        </w:trPr>
        <w:tc>
          <w:tcPr>
            <w:tcW w:w="8760" w:type="dxa"/>
            <w:tcBorders>
              <w:top w:val="dotted" w:sz="6" w:space="0" w:color="316F72"/>
              <w:left w:val="single" w:sz="6" w:space="0" w:color="316F72"/>
              <w:bottom w:val="dotted" w:sz="4" w:space="0" w:color="auto"/>
              <w:right w:val="single" w:sz="6" w:space="0" w:color="316F72"/>
            </w:tcBorders>
            <w:tcMar>
              <w:left w:w="105" w:type="dxa"/>
              <w:right w:w="105" w:type="dxa"/>
            </w:tcMar>
          </w:tcPr>
          <w:p w14:paraId="5AD12D4B" w14:textId="3BA3993F" w:rsidR="20DDB6CD" w:rsidRDefault="56C5CA98" w:rsidP="00387287">
            <w:pPr>
              <w:pStyle w:val="ListParagraph"/>
              <w:numPr>
                <w:ilvl w:val="0"/>
                <w:numId w:val="23"/>
              </w:numPr>
              <w:spacing w:after="0" w:line="240" w:lineRule="auto"/>
              <w:jc w:val="both"/>
            </w:pPr>
            <w:r w:rsidRPr="004B2131">
              <w:rPr>
                <w:rFonts w:ascii="Corbel" w:eastAsia="Corbel" w:hAnsi="Corbel" w:cs="Corbel"/>
                <w:color w:val="000000" w:themeColor="text1"/>
                <w:sz w:val="23"/>
                <w:szCs w:val="23"/>
              </w:rPr>
              <w:t>Develop best practice guidelines for intensive targeted support to students identified as requiring additional assistance to meet proficiency standards, including small group tutoring</w:t>
            </w:r>
            <w:r w:rsidR="00855958">
              <w:rPr>
                <w:rFonts w:ascii="Corbel" w:eastAsia="Corbel" w:hAnsi="Corbel" w:cs="Corbel"/>
                <w:color w:val="000000" w:themeColor="text1"/>
                <w:sz w:val="23"/>
                <w:szCs w:val="23"/>
              </w:rPr>
              <w:t>.</w:t>
            </w:r>
          </w:p>
        </w:tc>
        <w:tc>
          <w:tcPr>
            <w:tcW w:w="1722" w:type="dxa"/>
            <w:tcBorders>
              <w:top w:val="dotted" w:sz="6" w:space="0" w:color="316F72"/>
              <w:left w:val="single" w:sz="6" w:space="0" w:color="316F72"/>
              <w:bottom w:val="dotted" w:sz="4" w:space="0" w:color="auto"/>
              <w:right w:val="single" w:sz="6" w:space="0" w:color="316F72"/>
            </w:tcBorders>
            <w:tcMar>
              <w:left w:w="105" w:type="dxa"/>
              <w:right w:w="105" w:type="dxa"/>
            </w:tcMar>
          </w:tcPr>
          <w:p w14:paraId="354F7CC5" w14:textId="79A8E472" w:rsidR="20DDB6CD" w:rsidRDefault="007D0858" w:rsidP="00387287">
            <w:pPr>
              <w:spacing w:before="120" w:after="120" w:line="260" w:lineRule="exact"/>
              <w:jc w:val="both"/>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dotted" w:sz="6" w:space="0" w:color="316F72"/>
              <w:left w:val="single" w:sz="6" w:space="0" w:color="316F72"/>
              <w:bottom w:val="dotted" w:sz="4" w:space="0" w:color="auto"/>
              <w:right w:val="single" w:sz="6" w:space="0" w:color="316F72"/>
            </w:tcBorders>
            <w:tcMar>
              <w:left w:w="105" w:type="dxa"/>
              <w:right w:w="105" w:type="dxa"/>
            </w:tcMar>
          </w:tcPr>
          <w:p w14:paraId="0BD21409" w14:textId="33C47983" w:rsidR="20DDB6CD" w:rsidRDefault="00596D1B" w:rsidP="00387287">
            <w:pPr>
              <w:spacing w:before="120" w:after="120" w:line="260" w:lineRule="exact"/>
              <w:jc w:val="both"/>
              <w:rPr>
                <w:rFonts w:ascii="Corbel" w:eastAsia="Corbel" w:hAnsi="Corbel" w:cs="Corbel"/>
                <w:color w:val="000000" w:themeColor="text1"/>
                <w:sz w:val="23"/>
                <w:szCs w:val="23"/>
              </w:rPr>
            </w:pPr>
            <w:r>
              <w:rPr>
                <w:rFonts w:ascii="Corbel" w:hAnsi="Corbel"/>
                <w:color w:val="000000"/>
                <w:sz w:val="23"/>
                <w:szCs w:val="23"/>
                <w:lang w:eastAsia="en-AU"/>
              </w:rPr>
              <w:t>Commencing 2025, with staged rollout</w:t>
            </w:r>
          </w:p>
        </w:tc>
      </w:tr>
      <w:tr w:rsidR="0D8530A8" w14:paraId="46EE28FA" w14:textId="77777777" w:rsidTr="008F378F">
        <w:trPr>
          <w:trHeight w:val="540"/>
        </w:trPr>
        <w:tc>
          <w:tcPr>
            <w:tcW w:w="8760" w:type="dxa"/>
            <w:tcBorders>
              <w:top w:val="dotted" w:sz="4" w:space="0" w:color="auto"/>
              <w:left w:val="single" w:sz="6" w:space="0" w:color="316F72"/>
              <w:bottom w:val="single" w:sz="6" w:space="0" w:color="316F72"/>
              <w:right w:val="single" w:sz="6" w:space="0" w:color="316F72"/>
            </w:tcBorders>
            <w:tcMar>
              <w:left w:w="105" w:type="dxa"/>
              <w:right w:w="105" w:type="dxa"/>
            </w:tcMar>
          </w:tcPr>
          <w:p w14:paraId="6F06638A" w14:textId="284E0047" w:rsidR="56C5CA98" w:rsidRDefault="56C5CA98" w:rsidP="00387287">
            <w:pPr>
              <w:pStyle w:val="ListParagraph"/>
              <w:numPr>
                <w:ilvl w:val="0"/>
                <w:numId w:val="23"/>
              </w:numPr>
              <w:spacing w:line="260" w:lineRule="exact"/>
              <w:jc w:val="both"/>
            </w:pPr>
            <w:r w:rsidRPr="0D8530A8">
              <w:rPr>
                <w:rFonts w:ascii="Corbel" w:eastAsia="Corbel" w:hAnsi="Corbel" w:cs="Corbel"/>
                <w:color w:val="000000" w:themeColor="text1"/>
                <w:sz w:val="23"/>
                <w:szCs w:val="23"/>
              </w:rPr>
              <w:t>For remote schools, provid</w:t>
            </w:r>
            <w:r w:rsidR="005D2B18">
              <w:rPr>
                <w:rFonts w:ascii="Corbel" w:eastAsia="Corbel" w:hAnsi="Corbel" w:cs="Corbel"/>
                <w:color w:val="000000" w:themeColor="text1"/>
                <w:sz w:val="23"/>
                <w:szCs w:val="23"/>
              </w:rPr>
              <w:t>e</w:t>
            </w:r>
            <w:r w:rsidRPr="0D8530A8">
              <w:rPr>
                <w:rFonts w:ascii="Corbel" w:eastAsia="Corbel" w:hAnsi="Corbel" w:cs="Corbel"/>
                <w:color w:val="000000" w:themeColor="text1"/>
                <w:sz w:val="23"/>
                <w:szCs w:val="23"/>
              </w:rPr>
              <w:t xml:space="preserve"> support staff with lesson plans and tools to deliver small-group tutoring aligned with best practice.</w:t>
            </w:r>
          </w:p>
        </w:tc>
        <w:tc>
          <w:tcPr>
            <w:tcW w:w="1722" w:type="dxa"/>
            <w:tcBorders>
              <w:top w:val="dotted" w:sz="4" w:space="0" w:color="auto"/>
              <w:left w:val="single" w:sz="6" w:space="0" w:color="316F72"/>
              <w:bottom w:val="single" w:sz="6" w:space="0" w:color="316F72"/>
              <w:right w:val="single" w:sz="6" w:space="0" w:color="316F72"/>
            </w:tcBorders>
            <w:tcMar>
              <w:left w:w="105" w:type="dxa"/>
              <w:right w:w="105" w:type="dxa"/>
            </w:tcMar>
          </w:tcPr>
          <w:p w14:paraId="4F467666" w14:textId="3B444642" w:rsidR="0D8530A8" w:rsidRDefault="007D0858" w:rsidP="00387287">
            <w:pPr>
              <w:spacing w:line="260" w:lineRule="exact"/>
              <w:jc w:val="both"/>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dotted" w:sz="4" w:space="0" w:color="auto"/>
              <w:left w:val="single" w:sz="6" w:space="0" w:color="316F72"/>
              <w:bottom w:val="single" w:sz="6" w:space="0" w:color="316F72"/>
              <w:right w:val="single" w:sz="6" w:space="0" w:color="316F72"/>
            </w:tcBorders>
            <w:tcMar>
              <w:left w:w="105" w:type="dxa"/>
              <w:right w:w="105" w:type="dxa"/>
            </w:tcMar>
          </w:tcPr>
          <w:p w14:paraId="3A54B9C7" w14:textId="1C241FDC" w:rsidR="56C5CA98" w:rsidRDefault="00596D1B" w:rsidP="00387287">
            <w:pPr>
              <w:spacing w:line="260" w:lineRule="exact"/>
              <w:jc w:val="both"/>
              <w:rPr>
                <w:rFonts w:ascii="Corbel" w:eastAsia="Corbel" w:hAnsi="Corbel" w:cs="Corbel"/>
                <w:color w:val="000000" w:themeColor="text1"/>
                <w:sz w:val="23"/>
                <w:szCs w:val="23"/>
              </w:rPr>
            </w:pPr>
            <w:r>
              <w:rPr>
                <w:rFonts w:ascii="Corbel" w:hAnsi="Corbel"/>
                <w:color w:val="000000"/>
                <w:sz w:val="23"/>
                <w:szCs w:val="23"/>
                <w:lang w:eastAsia="en-AU"/>
              </w:rPr>
              <w:t>Commencing 2025, with staged rollout</w:t>
            </w:r>
          </w:p>
        </w:tc>
      </w:tr>
      <w:tr w:rsidR="00604134" w14:paraId="6C6F9293" w14:textId="77777777" w:rsidTr="00176C20">
        <w:trPr>
          <w:trHeight w:val="540"/>
        </w:trPr>
        <w:tc>
          <w:tcPr>
            <w:tcW w:w="13920" w:type="dxa"/>
            <w:gridSpan w:val="3"/>
            <w:tcBorders>
              <w:top w:val="dotted" w:sz="4" w:space="0" w:color="auto"/>
              <w:left w:val="single" w:sz="6" w:space="0" w:color="316F72"/>
              <w:bottom w:val="single" w:sz="6" w:space="0" w:color="316F72"/>
              <w:right w:val="single" w:sz="6" w:space="0" w:color="316F72"/>
            </w:tcBorders>
            <w:tcMar>
              <w:left w:w="105" w:type="dxa"/>
              <w:right w:w="105" w:type="dxa"/>
            </w:tcMar>
          </w:tcPr>
          <w:p w14:paraId="139C40D3" w14:textId="0645ABF7" w:rsidR="00604134" w:rsidRDefault="00604134" w:rsidP="00387287">
            <w:pPr>
              <w:spacing w:line="260" w:lineRule="exact"/>
              <w:jc w:val="both"/>
              <w:rPr>
                <w:rFonts w:ascii="Corbel" w:hAnsi="Corbel"/>
                <w:color w:val="000000"/>
                <w:sz w:val="23"/>
                <w:szCs w:val="23"/>
                <w:lang w:eastAsia="en-AU"/>
              </w:rPr>
            </w:pPr>
            <w:r w:rsidRPr="0594E11E">
              <w:rPr>
                <w:rFonts w:ascii="Corbel" w:eastAsia="Corbel" w:hAnsi="Corbel" w:cs="Corbel"/>
                <w:b/>
                <w:bCs/>
                <w:color w:val="000000" w:themeColor="text1"/>
                <w:sz w:val="23"/>
                <w:szCs w:val="23"/>
                <w:u w:val="single"/>
              </w:rPr>
              <w:t xml:space="preserve">A Year 1 phonics check and an early years of schooling numeracy check (once available) </w:t>
            </w:r>
            <w:r w:rsidR="00E63B98">
              <w:rPr>
                <w:rFonts w:ascii="Corbel" w:eastAsia="Corbel" w:hAnsi="Corbel" w:cs="Corbel"/>
                <w:b/>
                <w:bCs/>
                <w:color w:val="000000" w:themeColor="text1"/>
                <w:sz w:val="23"/>
                <w:szCs w:val="23"/>
                <w:u w:val="single"/>
              </w:rPr>
              <w:t xml:space="preserve">in all schools </w:t>
            </w:r>
            <w:r w:rsidRPr="0594E11E">
              <w:rPr>
                <w:rFonts w:ascii="Corbel" w:eastAsia="Corbel" w:hAnsi="Corbel" w:cs="Corbel"/>
                <w:b/>
                <w:bCs/>
                <w:color w:val="000000" w:themeColor="text1"/>
                <w:sz w:val="23"/>
                <w:szCs w:val="23"/>
                <w:u w:val="single"/>
              </w:rPr>
              <w:t>to support teachers and school leaders to identify student learning needs early.</w:t>
            </w:r>
          </w:p>
        </w:tc>
      </w:tr>
      <w:tr w:rsidR="00604134" w14:paraId="152580B5" w14:textId="77777777" w:rsidTr="00D60745">
        <w:trPr>
          <w:trHeight w:val="540"/>
        </w:trPr>
        <w:tc>
          <w:tcPr>
            <w:tcW w:w="8760" w:type="dxa"/>
            <w:tcBorders>
              <w:top w:val="dotted" w:sz="4" w:space="0" w:color="auto"/>
              <w:left w:val="single" w:sz="6" w:space="0" w:color="316F72"/>
              <w:bottom w:val="dotted" w:sz="4" w:space="0" w:color="auto"/>
              <w:right w:val="single" w:sz="6" w:space="0" w:color="316F72"/>
            </w:tcBorders>
            <w:tcMar>
              <w:left w:w="105" w:type="dxa"/>
              <w:right w:w="105" w:type="dxa"/>
            </w:tcMar>
          </w:tcPr>
          <w:p w14:paraId="3889CBB8" w14:textId="4BF05B91" w:rsidR="00604134" w:rsidRPr="0D8530A8" w:rsidRDefault="00604134" w:rsidP="00387287">
            <w:pPr>
              <w:pStyle w:val="ListParagraph"/>
              <w:numPr>
                <w:ilvl w:val="0"/>
                <w:numId w:val="23"/>
              </w:numPr>
              <w:spacing w:line="260" w:lineRule="exact"/>
              <w:jc w:val="both"/>
              <w:rPr>
                <w:rFonts w:ascii="Corbel" w:eastAsia="Corbel" w:hAnsi="Corbel" w:cs="Corbel"/>
                <w:color w:val="000000" w:themeColor="text1"/>
                <w:sz w:val="23"/>
                <w:szCs w:val="23"/>
              </w:rPr>
            </w:pPr>
            <w:r w:rsidRPr="0D8530A8">
              <w:rPr>
                <w:rFonts w:ascii="Corbel" w:eastAsia="Corbel" w:hAnsi="Corbel" w:cs="Corbel"/>
                <w:color w:val="000000" w:themeColor="text1"/>
                <w:sz w:val="23"/>
                <w:szCs w:val="23"/>
              </w:rPr>
              <w:t>Mak</w:t>
            </w:r>
            <w:r>
              <w:rPr>
                <w:rFonts w:ascii="Corbel" w:eastAsia="Corbel" w:hAnsi="Corbel" w:cs="Corbel"/>
                <w:color w:val="000000" w:themeColor="text1"/>
                <w:sz w:val="23"/>
                <w:szCs w:val="23"/>
              </w:rPr>
              <w:t>e</w:t>
            </w:r>
            <w:r w:rsidRPr="0D8530A8">
              <w:rPr>
                <w:rFonts w:ascii="Corbel" w:eastAsia="Corbel" w:hAnsi="Corbel" w:cs="Corbel"/>
                <w:color w:val="000000" w:themeColor="text1"/>
                <w:sz w:val="23"/>
                <w:szCs w:val="23"/>
              </w:rPr>
              <w:t xml:space="preserve"> available to </w:t>
            </w:r>
            <w:r>
              <w:rPr>
                <w:rFonts w:ascii="Corbel" w:eastAsia="Corbel" w:hAnsi="Corbel" w:cs="Corbel"/>
                <w:color w:val="000000" w:themeColor="text1"/>
                <w:sz w:val="23"/>
                <w:szCs w:val="23"/>
              </w:rPr>
              <w:t xml:space="preserve">all </w:t>
            </w:r>
            <w:r w:rsidRPr="0D8530A8">
              <w:rPr>
                <w:rFonts w:ascii="Corbel" w:eastAsia="Corbel" w:hAnsi="Corbel" w:cs="Corbel"/>
                <w:color w:val="000000" w:themeColor="text1"/>
                <w:sz w:val="23"/>
                <w:szCs w:val="23"/>
              </w:rPr>
              <w:t xml:space="preserve">schools a </w:t>
            </w:r>
            <w:r w:rsidR="00886456">
              <w:rPr>
                <w:rFonts w:ascii="Corbel" w:eastAsia="Corbel" w:hAnsi="Corbel" w:cs="Corbel"/>
                <w:color w:val="000000" w:themeColor="text1"/>
                <w:sz w:val="23"/>
                <w:szCs w:val="23"/>
              </w:rPr>
              <w:t>n</w:t>
            </w:r>
            <w:r w:rsidRPr="0D8530A8">
              <w:rPr>
                <w:rFonts w:ascii="Corbel" w:eastAsia="Corbel" w:hAnsi="Corbel" w:cs="Corbel"/>
                <w:color w:val="000000" w:themeColor="text1"/>
                <w:sz w:val="23"/>
                <w:szCs w:val="23"/>
              </w:rPr>
              <w:t xml:space="preserve">umeracy </w:t>
            </w:r>
            <w:r w:rsidR="00886456">
              <w:rPr>
                <w:rFonts w:ascii="Corbel" w:eastAsia="Corbel" w:hAnsi="Corbel" w:cs="Corbel"/>
                <w:color w:val="000000" w:themeColor="text1"/>
                <w:sz w:val="23"/>
                <w:szCs w:val="23"/>
              </w:rPr>
              <w:t>c</w:t>
            </w:r>
            <w:r w:rsidRPr="0D8530A8">
              <w:rPr>
                <w:rFonts w:ascii="Corbel" w:eastAsia="Corbel" w:hAnsi="Corbel" w:cs="Corbel"/>
                <w:color w:val="000000" w:themeColor="text1"/>
                <w:sz w:val="23"/>
                <w:szCs w:val="23"/>
              </w:rPr>
              <w:t>heck in the early years of schooling, once the national tool is available.</w:t>
            </w:r>
          </w:p>
        </w:tc>
        <w:tc>
          <w:tcPr>
            <w:tcW w:w="1722" w:type="dxa"/>
            <w:tcBorders>
              <w:top w:val="dotted" w:sz="4" w:space="0" w:color="auto"/>
              <w:left w:val="single" w:sz="6" w:space="0" w:color="316F72"/>
              <w:bottom w:val="dotted" w:sz="4" w:space="0" w:color="auto"/>
              <w:right w:val="single" w:sz="6" w:space="0" w:color="316F72"/>
            </w:tcBorders>
            <w:tcMar>
              <w:left w:w="105" w:type="dxa"/>
              <w:right w:w="105" w:type="dxa"/>
            </w:tcMar>
          </w:tcPr>
          <w:p w14:paraId="19591834" w14:textId="68D15A27" w:rsidR="00604134" w:rsidRDefault="00604134" w:rsidP="00387287">
            <w:pPr>
              <w:spacing w:line="260" w:lineRule="exact"/>
              <w:jc w:val="both"/>
              <w:rPr>
                <w:rFonts w:ascii="Corbel" w:eastAsia="Corbel" w:hAnsi="Corbel" w:cs="Corbel"/>
                <w:color w:val="000000" w:themeColor="text1"/>
                <w:sz w:val="23"/>
                <w:szCs w:val="23"/>
              </w:rPr>
            </w:pPr>
            <w:r>
              <w:rPr>
                <w:rFonts w:ascii="Corbel" w:eastAsia="Corbel" w:hAnsi="Corbel" w:cs="Corbel"/>
                <w:color w:val="000000" w:themeColor="text1"/>
                <w:sz w:val="23"/>
                <w:szCs w:val="23"/>
              </w:rPr>
              <w:t>All</w:t>
            </w:r>
          </w:p>
        </w:tc>
        <w:tc>
          <w:tcPr>
            <w:tcW w:w="3438" w:type="dxa"/>
            <w:tcBorders>
              <w:top w:val="dotted" w:sz="4" w:space="0" w:color="auto"/>
              <w:left w:val="single" w:sz="6" w:space="0" w:color="316F72"/>
              <w:bottom w:val="dotted" w:sz="4" w:space="0" w:color="auto"/>
              <w:right w:val="single" w:sz="6" w:space="0" w:color="316F72"/>
            </w:tcBorders>
            <w:tcMar>
              <w:left w:w="105" w:type="dxa"/>
              <w:right w:w="105" w:type="dxa"/>
            </w:tcMar>
          </w:tcPr>
          <w:p w14:paraId="0A024BE0" w14:textId="427C7B03" w:rsidR="00604134" w:rsidRDefault="00604134" w:rsidP="00387287">
            <w:pPr>
              <w:spacing w:line="260" w:lineRule="exact"/>
              <w:jc w:val="both"/>
              <w:rPr>
                <w:rFonts w:ascii="Corbel" w:hAnsi="Corbel"/>
                <w:color w:val="000000"/>
                <w:sz w:val="23"/>
                <w:szCs w:val="23"/>
                <w:lang w:eastAsia="en-AU"/>
              </w:rPr>
            </w:pPr>
            <w:r>
              <w:rPr>
                <w:rFonts w:ascii="Corbel" w:eastAsia="Corbel" w:hAnsi="Corbel" w:cs="Corbel"/>
                <w:color w:val="000000" w:themeColor="text1"/>
                <w:sz w:val="23"/>
                <w:szCs w:val="23"/>
              </w:rPr>
              <w:t>Once available</w:t>
            </w:r>
          </w:p>
        </w:tc>
      </w:tr>
      <w:tr w:rsidR="00604134" w14:paraId="13446E1A" w14:textId="77777777" w:rsidTr="008F378F">
        <w:trPr>
          <w:trHeight w:val="540"/>
        </w:trPr>
        <w:tc>
          <w:tcPr>
            <w:tcW w:w="8760" w:type="dxa"/>
            <w:tcBorders>
              <w:top w:val="dotted" w:sz="4" w:space="0" w:color="auto"/>
              <w:left w:val="single" w:sz="6" w:space="0" w:color="316F72"/>
              <w:bottom w:val="single" w:sz="6" w:space="0" w:color="316F72"/>
              <w:right w:val="single" w:sz="6" w:space="0" w:color="316F72"/>
            </w:tcBorders>
            <w:tcMar>
              <w:left w:w="105" w:type="dxa"/>
              <w:right w:w="105" w:type="dxa"/>
            </w:tcMar>
          </w:tcPr>
          <w:p w14:paraId="1BF9CE2C" w14:textId="55B3C49F" w:rsidR="00604134" w:rsidRPr="0D8530A8" w:rsidRDefault="00604134" w:rsidP="00387287">
            <w:pPr>
              <w:pStyle w:val="ListParagraph"/>
              <w:numPr>
                <w:ilvl w:val="0"/>
                <w:numId w:val="23"/>
              </w:numPr>
              <w:spacing w:line="260" w:lineRule="exact"/>
              <w:jc w:val="both"/>
              <w:rPr>
                <w:rFonts w:ascii="Corbel" w:eastAsia="Corbel" w:hAnsi="Corbel" w:cs="Corbel"/>
                <w:color w:val="000000" w:themeColor="text1"/>
                <w:sz w:val="23"/>
                <w:szCs w:val="23"/>
              </w:rPr>
            </w:pPr>
            <w:r w:rsidRPr="0D8530A8">
              <w:rPr>
                <w:rFonts w:ascii="Corbel" w:eastAsia="Corbel" w:hAnsi="Corbel" w:cs="Corbel"/>
                <w:color w:val="000000" w:themeColor="text1"/>
                <w:sz w:val="23"/>
                <w:szCs w:val="23"/>
              </w:rPr>
              <w:t>Report annually school participation rates in the Year 1 Phonics check and the Numeracy Check (once available).</w:t>
            </w:r>
          </w:p>
        </w:tc>
        <w:tc>
          <w:tcPr>
            <w:tcW w:w="1722" w:type="dxa"/>
            <w:tcBorders>
              <w:top w:val="dotted" w:sz="4" w:space="0" w:color="auto"/>
              <w:left w:val="single" w:sz="6" w:space="0" w:color="316F72"/>
              <w:bottom w:val="single" w:sz="6" w:space="0" w:color="316F72"/>
              <w:right w:val="single" w:sz="6" w:space="0" w:color="316F72"/>
            </w:tcBorders>
            <w:tcMar>
              <w:left w:w="105" w:type="dxa"/>
              <w:right w:w="105" w:type="dxa"/>
            </w:tcMar>
          </w:tcPr>
          <w:p w14:paraId="59673E88" w14:textId="6C8AD948" w:rsidR="00604134" w:rsidRDefault="00604134" w:rsidP="00387287">
            <w:pPr>
              <w:spacing w:line="260" w:lineRule="exact"/>
              <w:jc w:val="both"/>
              <w:rPr>
                <w:rFonts w:ascii="Corbel" w:eastAsia="Corbel" w:hAnsi="Corbel" w:cs="Corbel"/>
                <w:color w:val="000000" w:themeColor="text1"/>
                <w:sz w:val="23"/>
                <w:szCs w:val="23"/>
              </w:rPr>
            </w:pPr>
            <w:r>
              <w:rPr>
                <w:rFonts w:ascii="Corbel" w:eastAsia="Corbel" w:hAnsi="Corbel" w:cs="Corbel"/>
                <w:color w:val="000000" w:themeColor="text1"/>
                <w:sz w:val="23"/>
                <w:szCs w:val="23"/>
              </w:rPr>
              <w:t>All</w:t>
            </w:r>
          </w:p>
        </w:tc>
        <w:tc>
          <w:tcPr>
            <w:tcW w:w="3438" w:type="dxa"/>
            <w:tcBorders>
              <w:top w:val="dotted" w:sz="4" w:space="0" w:color="auto"/>
              <w:left w:val="single" w:sz="6" w:space="0" w:color="316F72"/>
              <w:bottom w:val="single" w:sz="6" w:space="0" w:color="316F72"/>
              <w:right w:val="single" w:sz="6" w:space="0" w:color="316F72"/>
            </w:tcBorders>
            <w:tcMar>
              <w:left w:w="105" w:type="dxa"/>
              <w:right w:w="105" w:type="dxa"/>
            </w:tcMar>
          </w:tcPr>
          <w:p w14:paraId="25BE90F9" w14:textId="77777777" w:rsidR="00604134" w:rsidRDefault="00604134" w:rsidP="00387287">
            <w:pPr>
              <w:spacing w:before="120" w:after="120" w:line="260" w:lineRule="exact"/>
              <w:jc w:val="both"/>
              <w:rPr>
                <w:rFonts w:ascii="Corbel" w:hAnsi="Corbel"/>
                <w:color w:val="000000"/>
                <w:sz w:val="23"/>
                <w:szCs w:val="23"/>
                <w:lang w:eastAsia="en-AU"/>
              </w:rPr>
            </w:pPr>
            <w:r w:rsidRPr="00527332">
              <w:rPr>
                <w:rFonts w:ascii="Corbel" w:hAnsi="Corbel"/>
                <w:color w:val="000000"/>
                <w:sz w:val="23"/>
                <w:szCs w:val="23"/>
                <w:lang w:eastAsia="en-AU"/>
              </w:rPr>
              <w:t>Phonics Check reporting commencing 2026</w:t>
            </w:r>
          </w:p>
          <w:p w14:paraId="68D6CB5C" w14:textId="1ACC7700" w:rsidR="00604134" w:rsidRDefault="00604134" w:rsidP="00387287">
            <w:pPr>
              <w:spacing w:line="260" w:lineRule="exact"/>
              <w:jc w:val="both"/>
              <w:rPr>
                <w:rFonts w:ascii="Corbel" w:hAnsi="Corbel"/>
                <w:color w:val="000000"/>
                <w:sz w:val="23"/>
                <w:szCs w:val="23"/>
                <w:lang w:eastAsia="en-AU"/>
              </w:rPr>
            </w:pPr>
            <w:r>
              <w:rPr>
                <w:rFonts w:ascii="Corbel" w:hAnsi="Corbel"/>
                <w:color w:val="000000"/>
                <w:sz w:val="23"/>
                <w:szCs w:val="23"/>
                <w:lang w:eastAsia="en-AU"/>
              </w:rPr>
              <w:t>Numeracy Check reporting once national tool is available</w:t>
            </w:r>
          </w:p>
        </w:tc>
      </w:tr>
      <w:tr w:rsidR="20DDB6CD" w14:paraId="63385925" w14:textId="77777777" w:rsidTr="0594E11E">
        <w:trPr>
          <w:trHeight w:val="465"/>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30C9F0F2" w14:textId="7FA3AD0C" w:rsidR="20DDB6CD" w:rsidRDefault="20DDB6CD" w:rsidP="00301F4D">
            <w:pPr>
              <w:keepNext/>
              <w:spacing w:before="120" w:after="120" w:line="260" w:lineRule="exact"/>
              <w:jc w:val="both"/>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rPr>
              <w:lastRenderedPageBreak/>
              <w:t xml:space="preserve">Reform B – Wellbeing for Learning and Engagement </w:t>
            </w:r>
          </w:p>
        </w:tc>
      </w:tr>
      <w:tr w:rsidR="20DDB6CD" w14:paraId="51FDA2EF" w14:textId="77777777" w:rsidTr="0594E11E">
        <w:trPr>
          <w:trHeight w:val="165"/>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13E1F33D" w14:textId="5C5A11BF" w:rsidR="20DDB6CD" w:rsidRDefault="20DDB6CD" w:rsidP="00634076">
            <w:pPr>
              <w:spacing w:before="120" w:after="120" w:line="260" w:lineRule="exact"/>
              <w:jc w:val="both"/>
              <w:rPr>
                <w:rFonts w:ascii="Corbel" w:eastAsia="Corbel" w:hAnsi="Corbel" w:cs="Corbel"/>
                <w:b/>
                <w:bCs/>
                <w:color w:val="000000" w:themeColor="text1"/>
                <w:sz w:val="23"/>
                <w:szCs w:val="23"/>
                <w:u w:val="single"/>
              </w:rPr>
            </w:pPr>
            <w:r w:rsidRPr="0594E11E">
              <w:rPr>
                <w:rFonts w:ascii="Corbel" w:eastAsia="Corbel" w:hAnsi="Corbel" w:cs="Corbel"/>
                <w:b/>
                <w:bCs/>
                <w:color w:val="000000" w:themeColor="text1"/>
                <w:sz w:val="23"/>
                <w:szCs w:val="23"/>
                <w:u w:val="single"/>
              </w:rPr>
              <w:t>Initiatives that support connections between schools and other non-school services to support students to come to school ready to learn</w:t>
            </w:r>
            <w:r w:rsidR="3A520E3D" w:rsidRPr="0594E11E">
              <w:rPr>
                <w:rFonts w:ascii="Corbel" w:eastAsia="Corbel" w:hAnsi="Corbel" w:cs="Corbel"/>
                <w:b/>
                <w:bCs/>
                <w:color w:val="000000" w:themeColor="text1"/>
                <w:sz w:val="23"/>
                <w:szCs w:val="23"/>
                <w:u w:val="single"/>
              </w:rPr>
              <w:t>.</w:t>
            </w:r>
          </w:p>
        </w:tc>
      </w:tr>
      <w:tr w:rsidR="20DDB6CD" w14:paraId="20412425" w14:textId="77777777" w:rsidTr="008F378F">
        <w:trPr>
          <w:trHeight w:val="30"/>
        </w:trPr>
        <w:tc>
          <w:tcPr>
            <w:tcW w:w="8760"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0462A1B9" w14:textId="2289B08E" w:rsidR="20DDB6CD" w:rsidRDefault="1B594ED6" w:rsidP="2B3D4DF4">
            <w:pPr>
              <w:pStyle w:val="ListParagraph"/>
              <w:numPr>
                <w:ilvl w:val="0"/>
                <w:numId w:val="18"/>
              </w:numPr>
              <w:spacing w:before="120" w:after="120" w:line="260" w:lineRule="exact"/>
              <w:jc w:val="both"/>
            </w:pPr>
            <w:r w:rsidRPr="2B3D4DF4">
              <w:rPr>
                <w:rFonts w:ascii="Corbel" w:eastAsia="Corbel" w:hAnsi="Corbel" w:cs="Corbel"/>
                <w:color w:val="000000" w:themeColor="text1"/>
                <w:sz w:val="23"/>
                <w:szCs w:val="23"/>
              </w:rPr>
              <w:t xml:space="preserve">Expand multi-disciplinary teams and implement MTSS within </w:t>
            </w:r>
            <w:r w:rsidR="00BB57C3">
              <w:rPr>
                <w:rFonts w:ascii="Corbel" w:eastAsia="Corbel" w:hAnsi="Corbel" w:cs="Corbel"/>
                <w:color w:val="000000" w:themeColor="text1"/>
                <w:sz w:val="23"/>
                <w:szCs w:val="23"/>
              </w:rPr>
              <w:t xml:space="preserve">government </w:t>
            </w:r>
            <w:r w:rsidRPr="2B3D4DF4">
              <w:rPr>
                <w:rFonts w:ascii="Corbel" w:eastAsia="Corbel" w:hAnsi="Corbel" w:cs="Corbel"/>
                <w:color w:val="000000" w:themeColor="text1"/>
                <w:sz w:val="23"/>
                <w:szCs w:val="23"/>
              </w:rPr>
              <w:t xml:space="preserve">schools and across the system through regionalised delivery models, for example, student wellbeing officers.  </w:t>
            </w:r>
          </w:p>
        </w:tc>
        <w:tc>
          <w:tcPr>
            <w:tcW w:w="1722"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7F472B06" w14:textId="416572F0" w:rsidR="20DDB6CD" w:rsidRDefault="00BB57C3" w:rsidP="00301F4D">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40A88A3A" w14:textId="18B040AE" w:rsidR="20DDB6CD" w:rsidRDefault="00635A78" w:rsidP="0594E11E">
            <w:pPr>
              <w:spacing w:before="120" w:after="120" w:line="260" w:lineRule="exact"/>
              <w:rPr>
                <w:rFonts w:ascii="Corbel" w:eastAsia="Corbel" w:hAnsi="Corbel" w:cs="Corbel"/>
                <w:sz w:val="23"/>
                <w:szCs w:val="23"/>
              </w:rPr>
            </w:pPr>
            <w:r>
              <w:rPr>
                <w:rFonts w:ascii="Corbel" w:eastAsia="Times New Roman" w:hAnsi="Corbel" w:cs="Arial"/>
                <w:color w:val="000000" w:themeColor="text1"/>
                <w:sz w:val="23"/>
                <w:szCs w:val="23"/>
                <w:lang w:eastAsia="en-AU"/>
              </w:rPr>
              <w:t>Commencing 2025, with staged rollout</w:t>
            </w:r>
          </w:p>
        </w:tc>
      </w:tr>
      <w:tr w:rsidR="20DDB6CD" w14:paraId="79DF8672" w14:textId="77777777" w:rsidTr="0594E11E">
        <w:trPr>
          <w:trHeight w:val="30"/>
        </w:trPr>
        <w:tc>
          <w:tcPr>
            <w:tcW w:w="13920" w:type="dxa"/>
            <w:gridSpan w:val="3"/>
            <w:tcBorders>
              <w:top w:val="dotted" w:sz="6" w:space="0" w:color="316F72"/>
              <w:left w:val="single" w:sz="6" w:space="0" w:color="316F72"/>
              <w:bottom w:val="dotted" w:sz="6" w:space="0" w:color="316F72"/>
              <w:right w:val="single" w:sz="6" w:space="0" w:color="316F72"/>
            </w:tcBorders>
            <w:tcMar>
              <w:left w:w="105" w:type="dxa"/>
              <w:right w:w="105" w:type="dxa"/>
            </w:tcMar>
          </w:tcPr>
          <w:p w14:paraId="45E45144" w14:textId="0E13467B" w:rsidR="20DDB6CD" w:rsidRDefault="20DDB6CD" w:rsidP="00634076">
            <w:pPr>
              <w:spacing w:before="120" w:after="120" w:line="260" w:lineRule="exact"/>
              <w:jc w:val="both"/>
              <w:rPr>
                <w:rFonts w:ascii="Corbel" w:eastAsia="Corbel" w:hAnsi="Corbel" w:cs="Corbel"/>
                <w:b/>
                <w:bCs/>
                <w:color w:val="000000" w:themeColor="text1"/>
                <w:sz w:val="23"/>
                <w:szCs w:val="23"/>
                <w:u w:val="single"/>
              </w:rPr>
            </w:pPr>
            <w:r w:rsidRPr="0594E11E">
              <w:rPr>
                <w:rFonts w:ascii="Corbel" w:eastAsia="Corbel" w:hAnsi="Corbel" w:cs="Corbel"/>
                <w:b/>
                <w:bCs/>
                <w:color w:val="000000" w:themeColor="text1"/>
                <w:sz w:val="23"/>
                <w:szCs w:val="23"/>
                <w:u w:val="single"/>
              </w:rPr>
              <w:t>Initiatives which support student engagement in learning, for example greater student participation, attendance, inclusion and/or enhanced school-family engagement.</w:t>
            </w:r>
          </w:p>
        </w:tc>
      </w:tr>
      <w:tr w:rsidR="00E96FAE" w14:paraId="516844B0" w14:textId="77777777" w:rsidTr="00945834">
        <w:trPr>
          <w:trHeight w:val="30"/>
        </w:trPr>
        <w:tc>
          <w:tcPr>
            <w:tcW w:w="8760" w:type="dxa"/>
            <w:tcBorders>
              <w:top w:val="single" w:sz="6" w:space="0" w:color="316F72"/>
              <w:left w:val="single" w:sz="6" w:space="0" w:color="316F72"/>
              <w:bottom w:val="nil"/>
              <w:right w:val="single" w:sz="6" w:space="0" w:color="316F72"/>
            </w:tcBorders>
            <w:tcMar>
              <w:left w:w="105" w:type="dxa"/>
              <w:right w:w="105" w:type="dxa"/>
            </w:tcMar>
          </w:tcPr>
          <w:p w14:paraId="7587C6E1" w14:textId="0E2B365B" w:rsidR="00E96FAE" w:rsidRPr="00E77DBA" w:rsidRDefault="00E96FAE" w:rsidP="00E77DBA">
            <w:pPr>
              <w:pStyle w:val="ListParagraph"/>
              <w:numPr>
                <w:ilvl w:val="0"/>
                <w:numId w:val="3"/>
              </w:numPr>
              <w:jc w:val="both"/>
              <w:rPr>
                <w:rFonts w:ascii="Corbel" w:eastAsia="Corbel" w:hAnsi="Corbel" w:cs="Corbel"/>
                <w:color w:val="000000" w:themeColor="text1"/>
                <w:sz w:val="23"/>
                <w:szCs w:val="23"/>
              </w:rPr>
            </w:pPr>
            <w:r>
              <w:rPr>
                <w:rFonts w:ascii="Corbel" w:eastAsia="Corbel" w:hAnsi="Corbel" w:cs="Corbel"/>
                <w:color w:val="000000" w:themeColor="text1"/>
                <w:sz w:val="23"/>
                <w:szCs w:val="23"/>
              </w:rPr>
              <w:t>Implementing in full the recommendations of the Review of Secondary Education in the NT</w:t>
            </w:r>
            <w:r>
              <w:rPr>
                <w:rStyle w:val="FootnoteReference"/>
                <w:rFonts w:ascii="Corbel" w:eastAsia="Corbel" w:hAnsi="Corbel" w:cs="Corbel"/>
                <w:color w:val="000000" w:themeColor="text1"/>
                <w:sz w:val="23"/>
                <w:szCs w:val="23"/>
              </w:rPr>
              <w:footnoteReference w:id="2"/>
            </w:r>
            <w:r>
              <w:rPr>
                <w:rFonts w:ascii="Corbel" w:eastAsia="Corbel" w:hAnsi="Corbel" w:cs="Corbel"/>
                <w:color w:val="000000" w:themeColor="text1"/>
                <w:sz w:val="23"/>
                <w:szCs w:val="23"/>
              </w:rPr>
              <w:t>:</w:t>
            </w:r>
          </w:p>
        </w:tc>
        <w:tc>
          <w:tcPr>
            <w:tcW w:w="1722" w:type="dxa"/>
            <w:vMerge w:val="restart"/>
            <w:tcBorders>
              <w:top w:val="single" w:sz="6" w:space="0" w:color="316F72"/>
              <w:left w:val="single" w:sz="6" w:space="0" w:color="316F72"/>
              <w:right w:val="single" w:sz="6" w:space="0" w:color="316F72"/>
            </w:tcBorders>
            <w:tcMar>
              <w:left w:w="105" w:type="dxa"/>
              <w:right w:w="105" w:type="dxa"/>
            </w:tcMar>
          </w:tcPr>
          <w:p w14:paraId="74E5924E" w14:textId="44091769" w:rsidR="00E96FAE" w:rsidRDefault="00E96FAE" w:rsidP="008C71D1">
            <w:pPr>
              <w:spacing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single" w:sz="6" w:space="0" w:color="316F72"/>
              <w:left w:val="single" w:sz="6" w:space="0" w:color="316F72"/>
              <w:bottom w:val="nil"/>
              <w:right w:val="single" w:sz="6" w:space="0" w:color="316F72"/>
            </w:tcBorders>
            <w:tcMar>
              <w:left w:w="105" w:type="dxa"/>
              <w:right w:w="105" w:type="dxa"/>
            </w:tcMar>
          </w:tcPr>
          <w:p w14:paraId="262AC22F" w14:textId="022A52D2" w:rsidR="00E96FAE" w:rsidRDefault="00E96FAE" w:rsidP="008C71D1">
            <w:pPr>
              <w:spacing w:line="260" w:lineRule="exact"/>
              <w:rPr>
                <w:rFonts w:ascii="Corbel" w:eastAsia="Corbel" w:hAnsi="Corbel" w:cs="Corbel"/>
                <w:color w:val="000000" w:themeColor="text1"/>
                <w:sz w:val="23"/>
                <w:szCs w:val="23"/>
              </w:rPr>
            </w:pPr>
          </w:p>
        </w:tc>
      </w:tr>
      <w:tr w:rsidR="00E96FAE" w14:paraId="159F8ABF" w14:textId="77777777" w:rsidTr="00AA11C3">
        <w:trPr>
          <w:trHeight w:val="30"/>
        </w:trPr>
        <w:tc>
          <w:tcPr>
            <w:tcW w:w="8760" w:type="dxa"/>
            <w:tcBorders>
              <w:top w:val="nil"/>
              <w:left w:val="single" w:sz="6" w:space="0" w:color="316F72"/>
              <w:bottom w:val="nil"/>
              <w:right w:val="single" w:sz="6" w:space="0" w:color="316F72"/>
            </w:tcBorders>
            <w:tcMar>
              <w:left w:w="105" w:type="dxa"/>
              <w:right w:w="105" w:type="dxa"/>
            </w:tcMar>
          </w:tcPr>
          <w:p w14:paraId="62A9F8E3" w14:textId="4E412C0E" w:rsidR="00E96FAE" w:rsidRPr="00E77DBA" w:rsidRDefault="00E96FAE" w:rsidP="00E77DBA">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Expand credentialing and recognition of learning (e.g., through SACE, micro-credentialling, and Learner Profiles).</w:t>
            </w:r>
          </w:p>
        </w:tc>
        <w:tc>
          <w:tcPr>
            <w:tcW w:w="1722" w:type="dxa"/>
            <w:vMerge/>
            <w:tcBorders>
              <w:left w:val="single" w:sz="6" w:space="0" w:color="316F72"/>
              <w:right w:val="single" w:sz="6" w:space="0" w:color="316F72"/>
            </w:tcBorders>
            <w:tcMar>
              <w:left w:w="105" w:type="dxa"/>
              <w:right w:w="105" w:type="dxa"/>
            </w:tcMar>
          </w:tcPr>
          <w:p w14:paraId="2DBDFE19"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6CC9D28E" w14:textId="2192AA73"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Underway</w:t>
            </w:r>
          </w:p>
        </w:tc>
      </w:tr>
      <w:tr w:rsidR="00E96FAE" w14:paraId="3340F723" w14:textId="77777777" w:rsidTr="002B6405">
        <w:trPr>
          <w:trHeight w:val="30"/>
        </w:trPr>
        <w:tc>
          <w:tcPr>
            <w:tcW w:w="8760" w:type="dxa"/>
            <w:tcBorders>
              <w:top w:val="nil"/>
              <w:left w:val="single" w:sz="6" w:space="0" w:color="316F72"/>
              <w:bottom w:val="nil"/>
              <w:right w:val="single" w:sz="6" w:space="0" w:color="316F72"/>
            </w:tcBorders>
            <w:tcMar>
              <w:left w:w="105" w:type="dxa"/>
              <w:right w:w="105" w:type="dxa"/>
            </w:tcMar>
          </w:tcPr>
          <w:p w14:paraId="17558F44" w14:textId="0771F2EB"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8D13F1">
              <w:rPr>
                <w:rFonts w:ascii="Corbel" w:eastAsia="Corbel" w:hAnsi="Corbel" w:cs="Corbel"/>
                <w:color w:val="000000" w:themeColor="text1"/>
                <w:sz w:val="23"/>
                <w:szCs w:val="23"/>
              </w:rPr>
              <w:t>Design, pilot and implement an assessment, from Year 9, to record and certify achievement of (or progress towards) the core literacy and numeracy standard.</w:t>
            </w:r>
          </w:p>
        </w:tc>
        <w:tc>
          <w:tcPr>
            <w:tcW w:w="1722" w:type="dxa"/>
            <w:vMerge/>
            <w:tcBorders>
              <w:left w:val="single" w:sz="6" w:space="0" w:color="316F72"/>
              <w:right w:val="single" w:sz="6" w:space="0" w:color="316F72"/>
            </w:tcBorders>
            <w:tcMar>
              <w:left w:w="105" w:type="dxa"/>
              <w:right w:w="105" w:type="dxa"/>
            </w:tcMar>
          </w:tcPr>
          <w:p w14:paraId="4865DD3F"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06E5A6E9" w14:textId="12A1C51D"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2026</w:t>
            </w:r>
          </w:p>
        </w:tc>
      </w:tr>
      <w:tr w:rsidR="00E96FAE" w14:paraId="3DF383DC" w14:textId="77777777" w:rsidTr="002B6405">
        <w:trPr>
          <w:trHeight w:val="30"/>
        </w:trPr>
        <w:tc>
          <w:tcPr>
            <w:tcW w:w="8760" w:type="dxa"/>
            <w:tcBorders>
              <w:top w:val="nil"/>
              <w:left w:val="single" w:sz="6" w:space="0" w:color="316F72"/>
              <w:bottom w:val="nil"/>
              <w:right w:val="single" w:sz="6" w:space="0" w:color="316F72"/>
            </w:tcBorders>
            <w:tcMar>
              <w:left w:w="105" w:type="dxa"/>
              <w:right w:w="105" w:type="dxa"/>
            </w:tcMar>
          </w:tcPr>
          <w:p w14:paraId="1A52445E" w14:textId="3980E8C7"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8D13F1">
              <w:rPr>
                <w:rFonts w:ascii="Corbel" w:eastAsia="Corbel" w:hAnsi="Corbel" w:cs="Corbel"/>
                <w:color w:val="000000" w:themeColor="text1"/>
                <w:sz w:val="23"/>
                <w:szCs w:val="23"/>
              </w:rPr>
              <w:t>Develop and implement a Pathways Plan across the Northern Territory.</w:t>
            </w:r>
          </w:p>
        </w:tc>
        <w:tc>
          <w:tcPr>
            <w:tcW w:w="1722" w:type="dxa"/>
            <w:vMerge/>
            <w:tcBorders>
              <w:left w:val="single" w:sz="6" w:space="0" w:color="316F72"/>
              <w:right w:val="single" w:sz="6" w:space="0" w:color="316F72"/>
            </w:tcBorders>
            <w:tcMar>
              <w:left w:w="105" w:type="dxa"/>
              <w:right w:w="105" w:type="dxa"/>
            </w:tcMar>
          </w:tcPr>
          <w:p w14:paraId="61157EBF"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10AC52DC" w14:textId="63139A03"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2025</w:t>
            </w:r>
          </w:p>
        </w:tc>
      </w:tr>
      <w:tr w:rsidR="00E96FAE" w14:paraId="07DDD97D" w14:textId="77777777" w:rsidTr="002B6405">
        <w:trPr>
          <w:trHeight w:val="30"/>
        </w:trPr>
        <w:tc>
          <w:tcPr>
            <w:tcW w:w="8760" w:type="dxa"/>
            <w:tcBorders>
              <w:top w:val="nil"/>
              <w:left w:val="single" w:sz="6" w:space="0" w:color="316F72"/>
              <w:bottom w:val="nil"/>
              <w:right w:val="single" w:sz="6" w:space="0" w:color="316F72"/>
            </w:tcBorders>
            <w:tcMar>
              <w:left w:w="105" w:type="dxa"/>
              <w:right w:w="105" w:type="dxa"/>
            </w:tcMar>
          </w:tcPr>
          <w:p w14:paraId="4607F5B9" w14:textId="216EF81B"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8D13F1">
              <w:rPr>
                <w:rFonts w:ascii="Corbel" w:eastAsia="Corbel" w:hAnsi="Corbel" w:cs="Corbel"/>
                <w:color w:val="000000" w:themeColor="text1"/>
                <w:sz w:val="23"/>
                <w:szCs w:val="23"/>
              </w:rPr>
              <w:t>Foster deliberate transition support between schooling stages and settings, while strengthening primary school engagement to ensure student readiness.</w:t>
            </w:r>
          </w:p>
        </w:tc>
        <w:tc>
          <w:tcPr>
            <w:tcW w:w="1722" w:type="dxa"/>
            <w:vMerge/>
            <w:tcBorders>
              <w:left w:val="single" w:sz="6" w:space="0" w:color="316F72"/>
              <w:bottom w:val="nil"/>
              <w:right w:val="single" w:sz="6" w:space="0" w:color="316F72"/>
            </w:tcBorders>
            <w:tcMar>
              <w:left w:w="105" w:type="dxa"/>
              <w:right w:w="105" w:type="dxa"/>
            </w:tcMar>
          </w:tcPr>
          <w:p w14:paraId="3A6A9758"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263CDC58" w14:textId="020852F0"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2025</w:t>
            </w:r>
          </w:p>
        </w:tc>
      </w:tr>
      <w:tr w:rsidR="00E96FAE" w14:paraId="1941D9F7" w14:textId="77777777" w:rsidTr="002B6405">
        <w:trPr>
          <w:trHeight w:val="30"/>
        </w:trPr>
        <w:tc>
          <w:tcPr>
            <w:tcW w:w="8760" w:type="dxa"/>
            <w:tcBorders>
              <w:top w:val="nil"/>
              <w:left w:val="single" w:sz="6" w:space="0" w:color="316F72"/>
              <w:bottom w:val="single" w:sz="6" w:space="0" w:color="316F72"/>
              <w:right w:val="single" w:sz="6" w:space="0" w:color="316F72"/>
            </w:tcBorders>
            <w:tcMar>
              <w:left w:w="105" w:type="dxa"/>
              <w:right w:w="105" w:type="dxa"/>
            </w:tcMar>
          </w:tcPr>
          <w:p w14:paraId="69BAC1E8" w14:textId="3930E72B"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8D13F1">
              <w:rPr>
                <w:rFonts w:ascii="Corbel" w:eastAsia="Corbel" w:hAnsi="Corbel" w:cs="Corbel"/>
                <w:color w:val="000000" w:themeColor="text1"/>
                <w:sz w:val="23"/>
                <w:szCs w:val="23"/>
              </w:rPr>
              <w:t>Move away from the middle school model and establish comprehensive schools, in current settings, over time.</w:t>
            </w:r>
          </w:p>
        </w:tc>
        <w:tc>
          <w:tcPr>
            <w:tcW w:w="1722" w:type="dxa"/>
            <w:vMerge/>
            <w:tcBorders>
              <w:top w:val="nil"/>
              <w:left w:val="single" w:sz="6" w:space="0" w:color="316F72"/>
              <w:bottom w:val="single" w:sz="6" w:space="0" w:color="316F72"/>
              <w:right w:val="single" w:sz="6" w:space="0" w:color="316F72"/>
            </w:tcBorders>
            <w:tcMar>
              <w:left w:w="105" w:type="dxa"/>
              <w:right w:w="105" w:type="dxa"/>
            </w:tcMar>
          </w:tcPr>
          <w:p w14:paraId="3CADD605"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single" w:sz="6" w:space="0" w:color="316F72"/>
              <w:right w:val="single" w:sz="6" w:space="0" w:color="316F72"/>
            </w:tcBorders>
            <w:tcMar>
              <w:left w:w="105" w:type="dxa"/>
              <w:right w:w="105" w:type="dxa"/>
            </w:tcMar>
          </w:tcPr>
          <w:p w14:paraId="73F85781" w14:textId="14627F9B"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over 2025-2027</w:t>
            </w:r>
          </w:p>
        </w:tc>
      </w:tr>
      <w:tr w:rsidR="00E96FAE" w14:paraId="77BC25B4" w14:textId="77777777" w:rsidTr="002B6405">
        <w:trPr>
          <w:trHeight w:val="30"/>
        </w:trPr>
        <w:tc>
          <w:tcPr>
            <w:tcW w:w="8760" w:type="dxa"/>
            <w:tcBorders>
              <w:top w:val="single" w:sz="6" w:space="0" w:color="316F72"/>
              <w:left w:val="single" w:sz="6" w:space="0" w:color="316F72"/>
              <w:bottom w:val="nil"/>
              <w:right w:val="single" w:sz="6" w:space="0" w:color="316F72"/>
            </w:tcBorders>
            <w:tcMar>
              <w:left w:w="105" w:type="dxa"/>
              <w:right w:w="105" w:type="dxa"/>
            </w:tcMar>
          </w:tcPr>
          <w:p w14:paraId="1FE5E9B9" w14:textId="242141C7"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8D13F1">
              <w:rPr>
                <w:rFonts w:ascii="Corbel" w:eastAsia="Corbel" w:hAnsi="Corbel" w:cs="Corbel"/>
                <w:color w:val="000000" w:themeColor="text1"/>
                <w:sz w:val="23"/>
                <w:szCs w:val="23"/>
              </w:rPr>
              <w:lastRenderedPageBreak/>
              <w:t>Build on and roll out guidance, support and resources for core curriculum design and implementation.</w:t>
            </w:r>
          </w:p>
        </w:tc>
        <w:tc>
          <w:tcPr>
            <w:tcW w:w="1722" w:type="dxa"/>
            <w:vMerge/>
            <w:tcBorders>
              <w:top w:val="single" w:sz="6" w:space="0" w:color="316F72"/>
              <w:left w:val="single" w:sz="6" w:space="0" w:color="316F72"/>
              <w:right w:val="single" w:sz="6" w:space="0" w:color="316F72"/>
            </w:tcBorders>
            <w:tcMar>
              <w:left w:w="105" w:type="dxa"/>
              <w:right w:w="105" w:type="dxa"/>
            </w:tcMar>
          </w:tcPr>
          <w:p w14:paraId="524423E4"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single" w:sz="6" w:space="0" w:color="316F72"/>
              <w:left w:val="single" w:sz="6" w:space="0" w:color="316F72"/>
              <w:bottom w:val="nil"/>
              <w:right w:val="single" w:sz="6" w:space="0" w:color="316F72"/>
            </w:tcBorders>
            <w:tcMar>
              <w:left w:w="105" w:type="dxa"/>
              <w:right w:w="105" w:type="dxa"/>
            </w:tcMar>
          </w:tcPr>
          <w:p w14:paraId="1B21B8D3" w14:textId="21C61C8D"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2025</w:t>
            </w:r>
          </w:p>
        </w:tc>
      </w:tr>
      <w:tr w:rsidR="00E96FAE" w14:paraId="77A2E330" w14:textId="77777777" w:rsidTr="00E95BF9">
        <w:trPr>
          <w:trHeight w:val="30"/>
        </w:trPr>
        <w:tc>
          <w:tcPr>
            <w:tcW w:w="8760" w:type="dxa"/>
            <w:tcBorders>
              <w:top w:val="nil"/>
              <w:left w:val="single" w:sz="6" w:space="0" w:color="316F72"/>
              <w:bottom w:val="nil"/>
              <w:right w:val="single" w:sz="6" w:space="0" w:color="316F72"/>
            </w:tcBorders>
            <w:tcMar>
              <w:left w:w="105" w:type="dxa"/>
              <w:right w:w="105" w:type="dxa"/>
            </w:tcMar>
          </w:tcPr>
          <w:p w14:paraId="361751C2" w14:textId="2AE52B03"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8D13F1">
              <w:rPr>
                <w:rFonts w:ascii="Corbel" w:eastAsia="Corbel" w:hAnsi="Corbel" w:cs="Corbel"/>
                <w:color w:val="000000" w:themeColor="text1"/>
                <w:sz w:val="23"/>
                <w:szCs w:val="23"/>
              </w:rPr>
              <w:t>Build on and roll out guidance and support for flexible learning approaches, expanding to all settings across the system.</w:t>
            </w:r>
          </w:p>
        </w:tc>
        <w:tc>
          <w:tcPr>
            <w:tcW w:w="1722" w:type="dxa"/>
            <w:vMerge/>
            <w:tcBorders>
              <w:left w:val="single" w:sz="6" w:space="0" w:color="316F72"/>
              <w:right w:val="single" w:sz="6" w:space="0" w:color="316F72"/>
            </w:tcBorders>
            <w:tcMar>
              <w:left w:w="105" w:type="dxa"/>
              <w:right w:w="105" w:type="dxa"/>
            </w:tcMar>
          </w:tcPr>
          <w:p w14:paraId="37A85B90"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50CD8638" w14:textId="48422364"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2025</w:t>
            </w:r>
          </w:p>
        </w:tc>
      </w:tr>
      <w:tr w:rsidR="00E96FAE" w14:paraId="16653978" w14:textId="77777777" w:rsidTr="00E95BF9">
        <w:trPr>
          <w:trHeight w:val="30"/>
        </w:trPr>
        <w:tc>
          <w:tcPr>
            <w:tcW w:w="8760" w:type="dxa"/>
            <w:tcBorders>
              <w:top w:val="nil"/>
              <w:left w:val="single" w:sz="6" w:space="0" w:color="316F72"/>
              <w:bottom w:val="nil"/>
              <w:right w:val="single" w:sz="6" w:space="0" w:color="316F72"/>
            </w:tcBorders>
            <w:tcMar>
              <w:left w:w="105" w:type="dxa"/>
              <w:right w:w="105" w:type="dxa"/>
            </w:tcMar>
          </w:tcPr>
          <w:p w14:paraId="3A258572" w14:textId="34AFE303"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8D13F1">
              <w:rPr>
                <w:rFonts w:ascii="Corbel" w:eastAsia="Corbel" w:hAnsi="Corbel" w:cs="Corbel"/>
                <w:color w:val="000000" w:themeColor="text1"/>
                <w:sz w:val="23"/>
                <w:szCs w:val="23"/>
              </w:rPr>
              <w:t>Expand regionalised delivery models to increase access and enable pathways to attaining the NTCET.</w:t>
            </w:r>
          </w:p>
        </w:tc>
        <w:tc>
          <w:tcPr>
            <w:tcW w:w="1722" w:type="dxa"/>
            <w:vMerge/>
            <w:tcBorders>
              <w:left w:val="single" w:sz="6" w:space="0" w:color="316F72"/>
              <w:right w:val="single" w:sz="6" w:space="0" w:color="316F72"/>
            </w:tcBorders>
            <w:tcMar>
              <w:left w:w="105" w:type="dxa"/>
              <w:right w:w="105" w:type="dxa"/>
            </w:tcMar>
          </w:tcPr>
          <w:p w14:paraId="4C7D322B"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79FA6798" w14:textId="2C5488D3"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Commenced in Central Region, with phased implementation over 2025-2026</w:t>
            </w:r>
          </w:p>
        </w:tc>
      </w:tr>
      <w:tr w:rsidR="00E96FAE" w14:paraId="23EB43F5" w14:textId="77777777" w:rsidTr="00E95BF9">
        <w:trPr>
          <w:trHeight w:val="30"/>
        </w:trPr>
        <w:tc>
          <w:tcPr>
            <w:tcW w:w="8760" w:type="dxa"/>
            <w:tcBorders>
              <w:top w:val="nil"/>
              <w:left w:val="single" w:sz="6" w:space="0" w:color="316F72"/>
              <w:bottom w:val="nil"/>
              <w:right w:val="single" w:sz="6" w:space="0" w:color="316F72"/>
            </w:tcBorders>
            <w:tcMar>
              <w:left w:w="105" w:type="dxa"/>
              <w:right w:w="105" w:type="dxa"/>
            </w:tcMar>
          </w:tcPr>
          <w:p w14:paraId="55CBB3F9" w14:textId="40CF13A0"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533CB7">
              <w:rPr>
                <w:rFonts w:ascii="Corbel" w:eastAsia="Corbel" w:hAnsi="Corbel" w:cs="Corbel"/>
                <w:color w:val="000000" w:themeColor="text1"/>
                <w:sz w:val="23"/>
                <w:szCs w:val="23"/>
              </w:rPr>
              <w:t>Enhance and embed the systemic role of distance education schools.</w:t>
            </w:r>
          </w:p>
        </w:tc>
        <w:tc>
          <w:tcPr>
            <w:tcW w:w="1722" w:type="dxa"/>
            <w:vMerge/>
            <w:tcBorders>
              <w:left w:val="single" w:sz="6" w:space="0" w:color="316F72"/>
              <w:right w:val="single" w:sz="6" w:space="0" w:color="316F72"/>
            </w:tcBorders>
            <w:tcMar>
              <w:left w:w="105" w:type="dxa"/>
              <w:right w:w="105" w:type="dxa"/>
            </w:tcMar>
          </w:tcPr>
          <w:p w14:paraId="02C42FA7"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3B64C521" w14:textId="4211C3CB"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2026</w:t>
            </w:r>
          </w:p>
        </w:tc>
      </w:tr>
      <w:tr w:rsidR="00E96FAE" w14:paraId="0E8A16C0" w14:textId="77777777" w:rsidTr="00E95BF9">
        <w:trPr>
          <w:trHeight w:val="30"/>
        </w:trPr>
        <w:tc>
          <w:tcPr>
            <w:tcW w:w="8760" w:type="dxa"/>
            <w:tcBorders>
              <w:top w:val="nil"/>
              <w:left w:val="single" w:sz="6" w:space="0" w:color="316F72"/>
              <w:bottom w:val="nil"/>
              <w:right w:val="single" w:sz="6" w:space="0" w:color="316F72"/>
            </w:tcBorders>
            <w:tcMar>
              <w:left w:w="105" w:type="dxa"/>
              <w:right w:w="105" w:type="dxa"/>
            </w:tcMar>
          </w:tcPr>
          <w:p w14:paraId="7A4B92A9" w14:textId="6330AD2D"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533CB7">
              <w:rPr>
                <w:rFonts w:ascii="Corbel" w:eastAsia="Corbel" w:hAnsi="Corbel" w:cs="Corbel"/>
                <w:color w:val="000000" w:themeColor="text1"/>
                <w:sz w:val="23"/>
                <w:szCs w:val="23"/>
              </w:rPr>
              <w:t>Expand models of practice (e.g. Learning on Country) that emphasise two-way learning, Aboriginal governance, ownership and authority, and cultural safety and appropriateness.</w:t>
            </w:r>
          </w:p>
        </w:tc>
        <w:tc>
          <w:tcPr>
            <w:tcW w:w="1722" w:type="dxa"/>
            <w:vMerge/>
            <w:tcBorders>
              <w:left w:val="single" w:sz="6" w:space="0" w:color="316F72"/>
              <w:right w:val="single" w:sz="6" w:space="0" w:color="316F72"/>
            </w:tcBorders>
            <w:tcMar>
              <w:left w:w="105" w:type="dxa"/>
              <w:right w:w="105" w:type="dxa"/>
            </w:tcMar>
          </w:tcPr>
          <w:p w14:paraId="40465834"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65B291A3" w14:textId="3E9124FA"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Commenced in Central Region, with phased implementation over 2025-2026</w:t>
            </w:r>
          </w:p>
        </w:tc>
      </w:tr>
      <w:tr w:rsidR="00E96FAE" w14:paraId="2B3D8A05" w14:textId="77777777" w:rsidTr="00E95BF9">
        <w:trPr>
          <w:trHeight w:val="30"/>
        </w:trPr>
        <w:tc>
          <w:tcPr>
            <w:tcW w:w="8760" w:type="dxa"/>
            <w:tcBorders>
              <w:top w:val="nil"/>
              <w:left w:val="single" w:sz="6" w:space="0" w:color="316F72"/>
              <w:bottom w:val="nil"/>
              <w:right w:val="single" w:sz="6" w:space="0" w:color="316F72"/>
            </w:tcBorders>
            <w:tcMar>
              <w:left w:w="105" w:type="dxa"/>
              <w:right w:w="105" w:type="dxa"/>
            </w:tcMar>
          </w:tcPr>
          <w:p w14:paraId="2B028193" w14:textId="5D707F32"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533CB7">
              <w:rPr>
                <w:rFonts w:ascii="Corbel" w:eastAsia="Corbel" w:hAnsi="Corbel" w:cs="Corbel"/>
                <w:color w:val="000000" w:themeColor="text1"/>
                <w:sz w:val="23"/>
                <w:szCs w:val="23"/>
              </w:rPr>
              <w:t>Provide a model of expectations and structures for community engagement and partnerships.</w:t>
            </w:r>
          </w:p>
        </w:tc>
        <w:tc>
          <w:tcPr>
            <w:tcW w:w="1722" w:type="dxa"/>
            <w:vMerge/>
            <w:tcBorders>
              <w:left w:val="single" w:sz="6" w:space="0" w:color="316F72"/>
              <w:right w:val="single" w:sz="6" w:space="0" w:color="316F72"/>
            </w:tcBorders>
            <w:tcMar>
              <w:left w:w="105" w:type="dxa"/>
              <w:right w:w="105" w:type="dxa"/>
            </w:tcMar>
          </w:tcPr>
          <w:p w14:paraId="1A31B5B4"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001470F1" w14:textId="614469AE"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2025</w:t>
            </w:r>
          </w:p>
        </w:tc>
      </w:tr>
      <w:tr w:rsidR="00E96FAE" w14:paraId="39B492A2" w14:textId="77777777" w:rsidTr="002B6405">
        <w:trPr>
          <w:trHeight w:val="30"/>
        </w:trPr>
        <w:tc>
          <w:tcPr>
            <w:tcW w:w="8760" w:type="dxa"/>
            <w:tcBorders>
              <w:top w:val="nil"/>
              <w:left w:val="single" w:sz="6" w:space="0" w:color="316F72"/>
              <w:bottom w:val="nil"/>
              <w:right w:val="single" w:sz="6" w:space="0" w:color="316F72"/>
            </w:tcBorders>
            <w:tcMar>
              <w:left w:w="105" w:type="dxa"/>
              <w:right w:w="105" w:type="dxa"/>
            </w:tcMar>
          </w:tcPr>
          <w:p w14:paraId="6EFC5CCF" w14:textId="3FCC97ED"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533CB7">
              <w:rPr>
                <w:rFonts w:ascii="Corbel" w:eastAsia="Corbel" w:hAnsi="Corbel" w:cs="Corbel"/>
                <w:color w:val="000000" w:themeColor="text1"/>
                <w:sz w:val="23"/>
                <w:szCs w:val="23"/>
              </w:rPr>
              <w:t>Provide regional support for schools to facilitate partnerships and pathways (coordinating VET, work experience opportunities, career advice, and supporting work readiness).</w:t>
            </w:r>
          </w:p>
        </w:tc>
        <w:tc>
          <w:tcPr>
            <w:tcW w:w="1722" w:type="dxa"/>
            <w:vMerge/>
            <w:tcBorders>
              <w:left w:val="single" w:sz="6" w:space="0" w:color="316F72"/>
              <w:right w:val="single" w:sz="6" w:space="0" w:color="316F72"/>
            </w:tcBorders>
            <w:tcMar>
              <w:left w:w="105" w:type="dxa"/>
              <w:right w:w="105" w:type="dxa"/>
            </w:tcMar>
          </w:tcPr>
          <w:p w14:paraId="62816CAE"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1A33363D" w14:textId="18971067"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2025 in Central Region, with staged implementation</w:t>
            </w:r>
          </w:p>
        </w:tc>
      </w:tr>
      <w:tr w:rsidR="00E96FAE" w14:paraId="3736AAE6" w14:textId="77777777" w:rsidTr="002B6405">
        <w:trPr>
          <w:trHeight w:val="30"/>
        </w:trPr>
        <w:tc>
          <w:tcPr>
            <w:tcW w:w="8760" w:type="dxa"/>
            <w:tcBorders>
              <w:top w:val="nil"/>
              <w:left w:val="single" w:sz="6" w:space="0" w:color="316F72"/>
              <w:bottom w:val="nil"/>
              <w:right w:val="single" w:sz="6" w:space="0" w:color="316F72"/>
            </w:tcBorders>
            <w:tcMar>
              <w:left w:w="105" w:type="dxa"/>
              <w:right w:w="105" w:type="dxa"/>
            </w:tcMar>
          </w:tcPr>
          <w:p w14:paraId="342322EB" w14:textId="26ED351E"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533CB7">
              <w:rPr>
                <w:rFonts w:ascii="Corbel" w:eastAsia="Corbel" w:hAnsi="Corbel" w:cs="Corbel"/>
                <w:color w:val="000000" w:themeColor="text1"/>
                <w:sz w:val="23"/>
                <w:szCs w:val="23"/>
              </w:rPr>
              <w:t>Implement a workforce development strategy and pipeline (educators and leadership), to enable secondary schooling provision and cultural, social, wellbeing support.</w:t>
            </w:r>
          </w:p>
        </w:tc>
        <w:tc>
          <w:tcPr>
            <w:tcW w:w="1722" w:type="dxa"/>
            <w:vMerge/>
            <w:tcBorders>
              <w:left w:val="single" w:sz="6" w:space="0" w:color="316F72"/>
              <w:bottom w:val="nil"/>
              <w:right w:val="single" w:sz="6" w:space="0" w:color="316F72"/>
            </w:tcBorders>
            <w:tcMar>
              <w:left w:w="105" w:type="dxa"/>
              <w:right w:w="105" w:type="dxa"/>
            </w:tcMar>
          </w:tcPr>
          <w:p w14:paraId="42FF6969"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nil"/>
              <w:right w:val="single" w:sz="6" w:space="0" w:color="316F72"/>
            </w:tcBorders>
            <w:tcMar>
              <w:left w:w="105" w:type="dxa"/>
              <w:right w:w="105" w:type="dxa"/>
            </w:tcMar>
          </w:tcPr>
          <w:p w14:paraId="5B7BCB64" w14:textId="765D113D"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Commencing 2025</w:t>
            </w:r>
          </w:p>
        </w:tc>
      </w:tr>
      <w:tr w:rsidR="00E96FAE" w14:paraId="2D35E1C0" w14:textId="77777777" w:rsidTr="00441A02">
        <w:trPr>
          <w:trHeight w:val="30"/>
        </w:trPr>
        <w:tc>
          <w:tcPr>
            <w:tcW w:w="8760" w:type="dxa"/>
            <w:tcBorders>
              <w:top w:val="nil"/>
              <w:left w:val="single" w:sz="6" w:space="0" w:color="316F72"/>
              <w:bottom w:val="single" w:sz="6" w:space="0" w:color="316F72"/>
              <w:right w:val="single" w:sz="6" w:space="0" w:color="316F72"/>
            </w:tcBorders>
            <w:tcMar>
              <w:left w:w="105" w:type="dxa"/>
              <w:right w:w="105" w:type="dxa"/>
            </w:tcMar>
          </w:tcPr>
          <w:p w14:paraId="668C40BA" w14:textId="751B8774" w:rsidR="00E96FAE" w:rsidRDefault="00E96FAE" w:rsidP="00E77DBA">
            <w:pPr>
              <w:pStyle w:val="ListParagraph"/>
              <w:numPr>
                <w:ilvl w:val="1"/>
                <w:numId w:val="3"/>
              </w:numPr>
              <w:jc w:val="both"/>
              <w:rPr>
                <w:rFonts w:ascii="Corbel" w:eastAsia="Corbel" w:hAnsi="Corbel" w:cs="Corbel"/>
                <w:color w:val="000000" w:themeColor="text1"/>
                <w:sz w:val="23"/>
                <w:szCs w:val="23"/>
              </w:rPr>
            </w:pPr>
            <w:r w:rsidRPr="00533CB7">
              <w:rPr>
                <w:rFonts w:ascii="Corbel" w:eastAsia="Corbel" w:hAnsi="Corbel" w:cs="Corbel"/>
                <w:color w:val="000000" w:themeColor="text1"/>
                <w:sz w:val="23"/>
                <w:szCs w:val="23"/>
              </w:rPr>
              <w:t>Implement a small school supplement model for schools that provide secondary education.</w:t>
            </w:r>
          </w:p>
        </w:tc>
        <w:tc>
          <w:tcPr>
            <w:tcW w:w="1722" w:type="dxa"/>
            <w:vMerge/>
            <w:tcBorders>
              <w:top w:val="nil"/>
              <w:left w:val="single" w:sz="6" w:space="0" w:color="316F72"/>
              <w:bottom w:val="single" w:sz="6" w:space="0" w:color="316F72"/>
              <w:right w:val="single" w:sz="6" w:space="0" w:color="316F72"/>
            </w:tcBorders>
            <w:tcMar>
              <w:left w:w="105" w:type="dxa"/>
              <w:right w:w="105" w:type="dxa"/>
            </w:tcMar>
          </w:tcPr>
          <w:p w14:paraId="2D9C106A" w14:textId="77777777" w:rsidR="00E96FAE" w:rsidRDefault="00E96FAE" w:rsidP="00E77DBA">
            <w:pPr>
              <w:spacing w:line="260" w:lineRule="exact"/>
              <w:rPr>
                <w:rFonts w:ascii="Corbel" w:eastAsia="Corbel" w:hAnsi="Corbel" w:cs="Corbel"/>
                <w:color w:val="000000" w:themeColor="text1"/>
                <w:sz w:val="23"/>
                <w:szCs w:val="23"/>
              </w:rPr>
            </w:pPr>
          </w:p>
        </w:tc>
        <w:tc>
          <w:tcPr>
            <w:tcW w:w="3438" w:type="dxa"/>
            <w:tcBorders>
              <w:top w:val="nil"/>
              <w:left w:val="single" w:sz="6" w:space="0" w:color="316F72"/>
              <w:bottom w:val="single" w:sz="6" w:space="0" w:color="316F72"/>
              <w:right w:val="single" w:sz="6" w:space="0" w:color="316F72"/>
            </w:tcBorders>
            <w:tcMar>
              <w:left w:w="105" w:type="dxa"/>
              <w:right w:w="105" w:type="dxa"/>
            </w:tcMar>
          </w:tcPr>
          <w:p w14:paraId="572E7B1D" w14:textId="6B6B387C" w:rsidR="00E96FAE" w:rsidRDefault="00E96FAE" w:rsidP="00E77DBA">
            <w:pPr>
              <w:spacing w:before="120" w:after="120" w:line="260" w:lineRule="exact"/>
              <w:rPr>
                <w:rFonts w:ascii="Corbel" w:eastAsia="Corbel" w:hAnsi="Corbel" w:cs="Corbel"/>
                <w:color w:val="000000" w:themeColor="text1"/>
                <w:sz w:val="23"/>
                <w:szCs w:val="23"/>
              </w:rPr>
            </w:pPr>
            <w:r w:rsidRPr="00B26EA7">
              <w:rPr>
                <w:rFonts w:ascii="Corbel" w:eastAsia="Corbel" w:hAnsi="Corbel" w:cs="Corbel"/>
                <w:color w:val="000000" w:themeColor="text1"/>
                <w:sz w:val="23"/>
                <w:szCs w:val="23"/>
              </w:rPr>
              <w:t>Underway</w:t>
            </w:r>
          </w:p>
        </w:tc>
      </w:tr>
      <w:tr w:rsidR="008C71D1" w14:paraId="295FC530" w14:textId="77777777" w:rsidTr="00441A02">
        <w:trPr>
          <w:trHeight w:val="30"/>
        </w:trPr>
        <w:tc>
          <w:tcPr>
            <w:tcW w:w="8760"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3D76977B" w14:textId="77777777" w:rsidR="008C71D1" w:rsidRDefault="008C71D1" w:rsidP="008C71D1">
            <w:pPr>
              <w:pStyle w:val="ListParagraph"/>
              <w:numPr>
                <w:ilvl w:val="0"/>
                <w:numId w:val="3"/>
              </w:numPr>
              <w:jc w:val="both"/>
              <w:rPr>
                <w:rFonts w:ascii="Corbel" w:eastAsia="Corbel" w:hAnsi="Corbel" w:cs="Corbel"/>
                <w:color w:val="000000" w:themeColor="text1"/>
                <w:sz w:val="23"/>
                <w:szCs w:val="23"/>
              </w:rPr>
            </w:pPr>
            <w:r w:rsidRPr="00766396">
              <w:rPr>
                <w:rFonts w:ascii="Corbel" w:eastAsia="Corbel" w:hAnsi="Corbel" w:cs="Corbel"/>
                <w:color w:val="000000" w:themeColor="text1"/>
                <w:sz w:val="23"/>
                <w:szCs w:val="23"/>
              </w:rPr>
              <w:lastRenderedPageBreak/>
              <w:t xml:space="preserve">Implement enrolment-based funding from 2025 and address the remaining recommendations from the Review of Effective Enrolment with a focus on implementing programs and services to re-engage, and keep engaged, NT students. </w:t>
            </w:r>
          </w:p>
          <w:p w14:paraId="03723F9E" w14:textId="77777777" w:rsidR="002709B0" w:rsidRDefault="002709B0" w:rsidP="002709B0">
            <w:pPr>
              <w:pStyle w:val="ListParagraph"/>
              <w:ind w:left="360"/>
              <w:jc w:val="both"/>
              <w:rPr>
                <w:rFonts w:ascii="Corbel" w:eastAsia="Corbel" w:hAnsi="Corbel" w:cs="Corbel"/>
                <w:color w:val="000000" w:themeColor="text1"/>
                <w:sz w:val="23"/>
                <w:szCs w:val="23"/>
              </w:rPr>
            </w:pPr>
          </w:p>
          <w:p w14:paraId="40A097D0"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Communicate the intent to move towards an enrolment-based, rather than attendance-based, methodology as the basis for allocating needs-based funding to schools.</w:t>
            </w:r>
          </w:p>
          <w:p w14:paraId="3EE4327F" w14:textId="14A1F684"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Identify and implement opportunities for the inclusion of targeted funding, and other grants and programs into the</w:t>
            </w:r>
            <w:r w:rsidR="00B110A4">
              <w:rPr>
                <w:rFonts w:ascii="Corbel" w:eastAsia="Corbel" w:hAnsi="Corbel" w:cs="Corbel"/>
                <w:color w:val="000000" w:themeColor="text1"/>
                <w:sz w:val="23"/>
                <w:szCs w:val="23"/>
              </w:rPr>
              <w:t xml:space="preserve"> School Resourcing Model</w:t>
            </w:r>
            <w:r w:rsidRPr="009A3EFF">
              <w:rPr>
                <w:rFonts w:ascii="Corbel" w:eastAsia="Corbel" w:hAnsi="Corbel" w:cs="Corbel"/>
                <w:color w:val="000000" w:themeColor="text1"/>
                <w:sz w:val="23"/>
                <w:szCs w:val="23"/>
              </w:rPr>
              <w:t xml:space="preserve"> </w:t>
            </w:r>
            <w:r w:rsidR="00B110A4">
              <w:rPr>
                <w:rFonts w:ascii="Corbel" w:eastAsia="Corbel" w:hAnsi="Corbel" w:cs="Corbel"/>
                <w:color w:val="000000" w:themeColor="text1"/>
                <w:sz w:val="23"/>
                <w:szCs w:val="23"/>
              </w:rPr>
              <w:t>(</w:t>
            </w:r>
            <w:r w:rsidRPr="009A3EFF">
              <w:rPr>
                <w:rFonts w:ascii="Corbel" w:eastAsia="Corbel" w:hAnsi="Corbel" w:cs="Corbel"/>
                <w:color w:val="000000" w:themeColor="text1"/>
                <w:sz w:val="23"/>
                <w:szCs w:val="23"/>
              </w:rPr>
              <w:t>SRM</w:t>
            </w:r>
            <w:r w:rsidR="00B110A4">
              <w:rPr>
                <w:rFonts w:ascii="Corbel" w:eastAsia="Corbel" w:hAnsi="Corbel" w:cs="Corbel"/>
                <w:color w:val="000000" w:themeColor="text1"/>
                <w:sz w:val="23"/>
                <w:szCs w:val="23"/>
              </w:rPr>
              <w:t>)</w:t>
            </w:r>
            <w:r w:rsidRPr="009A3EFF">
              <w:rPr>
                <w:rFonts w:ascii="Corbel" w:eastAsia="Corbel" w:hAnsi="Corbel" w:cs="Corbel"/>
                <w:color w:val="000000" w:themeColor="text1"/>
                <w:sz w:val="23"/>
                <w:szCs w:val="23"/>
              </w:rPr>
              <w:t>.</w:t>
            </w:r>
          </w:p>
          <w:p w14:paraId="3A06589F"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Develop detailed enrolment count procedures and eligibility criteria for inclusion in the count for the purposes of school funding allocation.</w:t>
            </w:r>
          </w:p>
          <w:p w14:paraId="529F2BE2"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Develop a detailed methodology of the enrolment-based funding approach.</w:t>
            </w:r>
          </w:p>
          <w:p w14:paraId="243AF9D0"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Transition fully over time to a methodology based on enrolment count, as part of SRM (i.e., without attendance components), alongside any additional school supports to assist the transition to the revised funding methodology. Monitor and adjust this model over time.</w:t>
            </w:r>
          </w:p>
          <w:p w14:paraId="43CC8EAC"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Re-design the minimum funding floor.</w:t>
            </w:r>
          </w:p>
          <w:p w14:paraId="6D874515"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Develop and implement school supports that assist schools to manage budgets over time.</w:t>
            </w:r>
          </w:p>
          <w:p w14:paraId="06F12C86"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Explore the opportunity to improve the appropriateness of the funding methodology to small schools.</w:t>
            </w:r>
          </w:p>
          <w:p w14:paraId="51E61AEE"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Develop and implement a minimum funding guarantee.</w:t>
            </w:r>
          </w:p>
          <w:p w14:paraId="6D62A875" w14:textId="77777777" w:rsidR="008C71D1" w:rsidRDefault="008C71D1" w:rsidP="008C71D1">
            <w:pPr>
              <w:pStyle w:val="ListParagraph"/>
              <w:numPr>
                <w:ilvl w:val="1"/>
                <w:numId w:val="3"/>
              </w:numPr>
              <w:jc w:val="both"/>
              <w:rPr>
                <w:rFonts w:ascii="Corbel" w:eastAsia="Corbel" w:hAnsi="Corbel" w:cs="Corbel"/>
                <w:color w:val="000000" w:themeColor="text1"/>
                <w:sz w:val="23"/>
                <w:szCs w:val="23"/>
              </w:rPr>
            </w:pPr>
            <w:r w:rsidRPr="009A3EFF">
              <w:rPr>
                <w:rFonts w:ascii="Corbel" w:eastAsia="Corbel" w:hAnsi="Corbel" w:cs="Corbel"/>
                <w:color w:val="000000" w:themeColor="text1"/>
                <w:sz w:val="23"/>
                <w:szCs w:val="23"/>
              </w:rPr>
              <w:t>Move towards a student count methodology that is based on an average of week 4 term 1 in the current school year, and August Age Grade Census in the previous year.</w:t>
            </w:r>
          </w:p>
          <w:p w14:paraId="1D489E29" w14:textId="2597F6DC" w:rsidR="008C71D1" w:rsidRPr="009A3EFF" w:rsidRDefault="008C71D1" w:rsidP="002709B0">
            <w:pPr>
              <w:pStyle w:val="ListParagraph"/>
              <w:ind w:left="1080"/>
              <w:jc w:val="both"/>
              <w:rPr>
                <w:rFonts w:ascii="Corbel" w:eastAsia="Corbel" w:hAnsi="Corbel" w:cs="Corbel"/>
                <w:color w:val="000000" w:themeColor="text1"/>
                <w:sz w:val="23"/>
                <w:szCs w:val="23"/>
              </w:rPr>
            </w:pPr>
          </w:p>
        </w:tc>
        <w:tc>
          <w:tcPr>
            <w:tcW w:w="1722"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05416A31" w14:textId="53A9A59E" w:rsidR="008C71D1" w:rsidRDefault="008C71D1" w:rsidP="008C71D1">
            <w:pPr>
              <w:spacing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6A699240" w14:textId="492C2803" w:rsidR="008C71D1" w:rsidRDefault="008C71D1" w:rsidP="008C71D1">
            <w:pPr>
              <w:spacing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All recommendations completed by 2025</w:t>
            </w:r>
          </w:p>
        </w:tc>
      </w:tr>
      <w:tr w:rsidR="008C71D1" w14:paraId="35DF6F61" w14:textId="77777777" w:rsidTr="0594E11E">
        <w:trPr>
          <w:trHeight w:val="255"/>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6D7FD976" w14:textId="05C24FB7" w:rsidR="008C71D1" w:rsidRDefault="008C71D1" w:rsidP="008C71D1">
            <w:pPr>
              <w:spacing w:before="120" w:after="120" w:line="260" w:lineRule="exact"/>
              <w:jc w:val="both"/>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rPr>
              <w:lastRenderedPageBreak/>
              <w:t xml:space="preserve">Reform C – A Strong and Sustainable Workforce </w:t>
            </w:r>
          </w:p>
        </w:tc>
      </w:tr>
      <w:tr w:rsidR="008C71D1" w14:paraId="731761A5" w14:textId="77777777" w:rsidTr="0594E11E">
        <w:trPr>
          <w:trHeight w:val="405"/>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105758AE" w14:textId="58FBAD12" w:rsidR="008C71D1" w:rsidRDefault="008C71D1" w:rsidP="000A71C6">
            <w:pPr>
              <w:spacing w:before="120" w:after="120" w:line="260" w:lineRule="exact"/>
              <w:jc w:val="both"/>
              <w:rPr>
                <w:rFonts w:ascii="Corbel" w:eastAsia="Corbel" w:hAnsi="Corbel" w:cs="Corbel"/>
                <w:b/>
                <w:bCs/>
                <w:color w:val="000000" w:themeColor="text1"/>
                <w:sz w:val="23"/>
                <w:szCs w:val="23"/>
                <w:u w:val="single"/>
              </w:rPr>
            </w:pPr>
            <w:r w:rsidRPr="0594E11E">
              <w:rPr>
                <w:rFonts w:ascii="Corbel" w:eastAsia="Corbel" w:hAnsi="Corbel" w:cs="Corbel"/>
                <w:b/>
                <w:bCs/>
                <w:color w:val="000000" w:themeColor="text1"/>
                <w:sz w:val="23"/>
                <w:szCs w:val="23"/>
                <w:u w:val="single"/>
              </w:rPr>
              <w:t>Access to high quality and evidence-based professional learning for teachers and school leaders and the provision of quality-assured curriculum resources that have been developed in partnership with the teaching profession.</w:t>
            </w:r>
          </w:p>
        </w:tc>
      </w:tr>
      <w:tr w:rsidR="008C71D1" w14:paraId="2AE9F6D9" w14:textId="77777777" w:rsidTr="008F378F">
        <w:trPr>
          <w:trHeight w:val="975"/>
        </w:trPr>
        <w:tc>
          <w:tcPr>
            <w:tcW w:w="8760"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5B041C21" w14:textId="7CB2C642" w:rsidR="008C71D1" w:rsidRDefault="008C71D1" w:rsidP="008C71D1">
            <w:pPr>
              <w:pStyle w:val="ListParagraph"/>
              <w:numPr>
                <w:ilvl w:val="0"/>
                <w:numId w:val="18"/>
              </w:numPr>
              <w:spacing w:before="120" w:after="120" w:line="260" w:lineRule="exact"/>
              <w:jc w:val="both"/>
              <w:rPr>
                <w:rFonts w:ascii="Corbel" w:eastAsia="Corbel" w:hAnsi="Corbel" w:cs="Corbel"/>
                <w:color w:val="000000" w:themeColor="text1"/>
                <w:sz w:val="23"/>
                <w:szCs w:val="23"/>
              </w:rPr>
            </w:pPr>
            <w:r w:rsidRPr="0594E11E">
              <w:rPr>
                <w:rFonts w:ascii="Corbel" w:eastAsia="Corbel" w:hAnsi="Corbel" w:cs="Corbel"/>
                <w:color w:val="000000" w:themeColor="text1"/>
                <w:sz w:val="23"/>
                <w:szCs w:val="23"/>
              </w:rPr>
              <w:t>Provid</w:t>
            </w:r>
            <w:r w:rsidR="00067312">
              <w:rPr>
                <w:rFonts w:ascii="Corbel" w:eastAsia="Corbel" w:hAnsi="Corbel" w:cs="Corbel"/>
                <w:color w:val="000000" w:themeColor="text1"/>
                <w:sz w:val="23"/>
                <w:szCs w:val="23"/>
              </w:rPr>
              <w:t>e</w:t>
            </w:r>
            <w:r w:rsidRPr="0594E11E">
              <w:rPr>
                <w:rFonts w:ascii="Corbel" w:eastAsia="Corbel" w:hAnsi="Corbel" w:cs="Corbel"/>
                <w:color w:val="000000" w:themeColor="text1"/>
                <w:sz w:val="23"/>
                <w:szCs w:val="23"/>
              </w:rPr>
              <w:t xml:space="preserve"> coaching and professional development to teachers and school leaders to support consistency and effectiveness in implementing evidence-based approaches to MTSS for student learning.  </w:t>
            </w:r>
            <w:r w:rsidRPr="0594E11E">
              <w:t xml:space="preserve"> </w:t>
            </w:r>
          </w:p>
        </w:tc>
        <w:tc>
          <w:tcPr>
            <w:tcW w:w="1722"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47D7E70D" w14:textId="602169C9" w:rsidR="008C71D1" w:rsidRDefault="008C71D1" w:rsidP="008C71D1">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5A8E9376" w14:textId="5163A2F5" w:rsidR="008C71D1" w:rsidRDefault="008C71D1" w:rsidP="008C71D1">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Commencing 2026, with staged rollout</w:t>
            </w:r>
          </w:p>
        </w:tc>
      </w:tr>
      <w:tr w:rsidR="008C71D1" w14:paraId="359B6E2A" w14:textId="77777777" w:rsidTr="0594E11E">
        <w:trPr>
          <w:trHeight w:val="525"/>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7D8515C5" w14:textId="18B1B09A" w:rsidR="008C71D1" w:rsidRDefault="008C71D1" w:rsidP="000A71C6">
            <w:pPr>
              <w:pStyle w:val="paragraph"/>
              <w:spacing w:beforeAutospacing="0" w:after="0" w:afterAutospacing="0" w:line="240" w:lineRule="auto"/>
              <w:jc w:val="both"/>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u w:val="single"/>
              </w:rPr>
              <w:t>Initiatives to strengthen teacher and school leader wellbeing, for example actions to support safe and respectful schools, strengthen Aboriginal and Torres Strait Islander cultural safety, and reduce teacher and school leader workload.</w:t>
            </w:r>
          </w:p>
        </w:tc>
      </w:tr>
      <w:tr w:rsidR="008C71D1" w14:paraId="05425776" w14:textId="77777777" w:rsidTr="008F378F">
        <w:trPr>
          <w:trHeight w:val="1018"/>
        </w:trPr>
        <w:tc>
          <w:tcPr>
            <w:tcW w:w="8760"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5337A43D" w14:textId="2BB10EC5" w:rsidR="008C71D1" w:rsidRDefault="008C71D1" w:rsidP="008C71D1">
            <w:pPr>
              <w:pStyle w:val="ListParagraph"/>
              <w:numPr>
                <w:ilvl w:val="0"/>
                <w:numId w:val="18"/>
              </w:numPr>
              <w:spacing w:before="120" w:after="120" w:line="260" w:lineRule="exact"/>
              <w:jc w:val="both"/>
            </w:pPr>
            <w:r w:rsidRPr="0594E11E">
              <w:rPr>
                <w:rFonts w:ascii="Corbel" w:eastAsia="Corbel" w:hAnsi="Corbel" w:cs="Corbel"/>
                <w:color w:val="000000" w:themeColor="text1"/>
                <w:sz w:val="23"/>
                <w:szCs w:val="23"/>
              </w:rPr>
              <w:t xml:space="preserve">Implement the new Education Management </w:t>
            </w:r>
            <w:r w:rsidR="001729F8">
              <w:rPr>
                <w:rFonts w:ascii="Corbel" w:eastAsia="Corbel" w:hAnsi="Corbel" w:cs="Corbel"/>
                <w:color w:val="000000" w:themeColor="text1"/>
                <w:sz w:val="23"/>
                <w:szCs w:val="23"/>
              </w:rPr>
              <w:t>System</w:t>
            </w:r>
            <w:r w:rsidRPr="0594E11E">
              <w:rPr>
                <w:rFonts w:ascii="Corbel" w:eastAsia="Corbel" w:hAnsi="Corbel" w:cs="Corbel"/>
                <w:color w:val="000000" w:themeColor="text1"/>
                <w:sz w:val="23"/>
                <w:szCs w:val="23"/>
              </w:rPr>
              <w:t xml:space="preserve"> (EM</w:t>
            </w:r>
            <w:r w:rsidR="001729F8">
              <w:rPr>
                <w:rFonts w:ascii="Corbel" w:eastAsia="Corbel" w:hAnsi="Corbel" w:cs="Corbel"/>
                <w:color w:val="000000" w:themeColor="text1"/>
                <w:sz w:val="23"/>
                <w:szCs w:val="23"/>
              </w:rPr>
              <w:t>S</w:t>
            </w:r>
            <w:r w:rsidRPr="0594E11E">
              <w:rPr>
                <w:rFonts w:ascii="Corbel" w:eastAsia="Corbel" w:hAnsi="Corbel" w:cs="Corbel"/>
                <w:color w:val="000000" w:themeColor="text1"/>
                <w:sz w:val="23"/>
                <w:szCs w:val="23"/>
              </w:rPr>
              <w:t>), with a focus on reducing workload for teachers and school leaders; by creating a child centred view of each student’s enrolment, attendance, locations, achievement and wellbeing.</w:t>
            </w:r>
          </w:p>
        </w:tc>
        <w:tc>
          <w:tcPr>
            <w:tcW w:w="1722"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70348624" w14:textId="56A4A39B" w:rsidR="008C71D1" w:rsidRDefault="008C71D1" w:rsidP="008C71D1">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single" w:sz="6" w:space="0" w:color="316F72"/>
              <w:left w:val="single" w:sz="6" w:space="0" w:color="316F72"/>
              <w:bottom w:val="single" w:sz="6" w:space="0" w:color="316F72"/>
              <w:right w:val="single" w:sz="6" w:space="0" w:color="316F72"/>
            </w:tcBorders>
            <w:tcMar>
              <w:left w:w="105" w:type="dxa"/>
              <w:right w:w="105" w:type="dxa"/>
            </w:tcMar>
          </w:tcPr>
          <w:p w14:paraId="0624B2FF" w14:textId="77777777" w:rsidR="008C71D1" w:rsidRPr="00FD3E57" w:rsidRDefault="008C71D1" w:rsidP="008C71D1">
            <w:pPr>
              <w:spacing w:before="120" w:after="120" w:line="260" w:lineRule="exact"/>
              <w:rPr>
                <w:rFonts w:ascii="Corbel" w:eastAsia="Corbel" w:hAnsi="Corbel" w:cs="Corbel"/>
                <w:color w:val="000000" w:themeColor="text1"/>
                <w:sz w:val="23"/>
                <w:szCs w:val="23"/>
              </w:rPr>
            </w:pPr>
            <w:r w:rsidRPr="00FD3E57">
              <w:rPr>
                <w:rFonts w:ascii="Corbel" w:eastAsia="Corbel" w:hAnsi="Corbel" w:cs="Corbel"/>
                <w:color w:val="000000" w:themeColor="text1"/>
                <w:sz w:val="23"/>
                <w:szCs w:val="23"/>
              </w:rPr>
              <w:t>Procurement commencing 2025</w:t>
            </w:r>
          </w:p>
          <w:p w14:paraId="48F383A1" w14:textId="77777777" w:rsidR="008C71D1" w:rsidRPr="00FD3E57" w:rsidRDefault="008C71D1" w:rsidP="008C71D1">
            <w:pPr>
              <w:spacing w:before="120" w:after="120" w:line="260" w:lineRule="exact"/>
              <w:rPr>
                <w:rFonts w:ascii="Corbel" w:eastAsia="Corbel" w:hAnsi="Corbel" w:cs="Corbel"/>
                <w:color w:val="000000" w:themeColor="text1"/>
                <w:sz w:val="23"/>
                <w:szCs w:val="23"/>
              </w:rPr>
            </w:pPr>
            <w:r w:rsidRPr="00FD3E57">
              <w:rPr>
                <w:rFonts w:ascii="Corbel" w:eastAsia="Corbel" w:hAnsi="Corbel" w:cs="Corbel"/>
                <w:color w:val="000000" w:themeColor="text1"/>
                <w:sz w:val="23"/>
                <w:szCs w:val="23"/>
              </w:rPr>
              <w:t>Technical readiness activities 2025-2027</w:t>
            </w:r>
          </w:p>
          <w:p w14:paraId="4A8918E6" w14:textId="410D8AA9" w:rsidR="008C71D1" w:rsidRDefault="008C71D1" w:rsidP="008C71D1">
            <w:pPr>
              <w:spacing w:before="120" w:after="120" w:line="260" w:lineRule="exact"/>
              <w:rPr>
                <w:rFonts w:ascii="Corbel" w:eastAsia="Corbel" w:hAnsi="Corbel" w:cs="Corbel"/>
                <w:color w:val="000000" w:themeColor="text1"/>
                <w:sz w:val="23"/>
                <w:szCs w:val="23"/>
              </w:rPr>
            </w:pPr>
            <w:r w:rsidRPr="00FD3E57">
              <w:rPr>
                <w:rFonts w:ascii="Corbel" w:eastAsia="Corbel" w:hAnsi="Corbel" w:cs="Corbel"/>
                <w:color w:val="000000" w:themeColor="text1"/>
                <w:sz w:val="23"/>
                <w:szCs w:val="23"/>
              </w:rPr>
              <w:t>Staged implementation commencing 2028</w:t>
            </w:r>
          </w:p>
        </w:tc>
      </w:tr>
      <w:tr w:rsidR="008C71D1" w14:paraId="01FDC963" w14:textId="77777777" w:rsidTr="0594E11E">
        <w:trPr>
          <w:trHeight w:val="510"/>
        </w:trPr>
        <w:tc>
          <w:tcPr>
            <w:tcW w:w="13920" w:type="dxa"/>
            <w:gridSpan w:val="3"/>
            <w:tcBorders>
              <w:top w:val="single" w:sz="6" w:space="0" w:color="316F72"/>
              <w:left w:val="single" w:sz="6" w:space="0" w:color="316F72"/>
              <w:bottom w:val="single" w:sz="6" w:space="0" w:color="316F72"/>
              <w:right w:val="single" w:sz="6" w:space="0" w:color="316F72"/>
            </w:tcBorders>
            <w:tcMar>
              <w:left w:w="105" w:type="dxa"/>
              <w:right w:w="105" w:type="dxa"/>
            </w:tcMar>
          </w:tcPr>
          <w:p w14:paraId="5255A3A1" w14:textId="1C0E18A1" w:rsidR="008C71D1" w:rsidRDefault="008C71D1" w:rsidP="000A71C6">
            <w:pPr>
              <w:spacing w:before="120" w:after="120" w:line="260" w:lineRule="exact"/>
              <w:jc w:val="both"/>
              <w:rPr>
                <w:rFonts w:ascii="Corbel" w:eastAsia="Corbel" w:hAnsi="Corbel" w:cs="Corbel"/>
                <w:color w:val="000000" w:themeColor="text1"/>
                <w:sz w:val="23"/>
                <w:szCs w:val="23"/>
              </w:rPr>
            </w:pPr>
            <w:r w:rsidRPr="0D8530A8">
              <w:rPr>
                <w:rFonts w:ascii="Corbel" w:eastAsia="Corbel" w:hAnsi="Corbel" w:cs="Corbel"/>
                <w:b/>
                <w:bCs/>
                <w:color w:val="000000" w:themeColor="text1"/>
                <w:sz w:val="23"/>
                <w:szCs w:val="23"/>
                <w:u w:val="single"/>
              </w:rPr>
              <w:t xml:space="preserve">Initiatives to increase teacher attraction and retention, including those that encourage students to take up a career in teaching and increase the diversity of the teacher workforce, especially by increasing the number of First Nations educators, or through implementing actions under the National Teacher Workforce Action Plan and/or recommendations of </w:t>
            </w:r>
            <w:r w:rsidR="00E0601E" w:rsidRPr="003F33AC">
              <w:rPr>
                <w:rFonts w:ascii="Corbel" w:eastAsia="Corbel" w:hAnsi="Corbel" w:cs="Corbel"/>
                <w:b/>
                <w:bCs/>
                <w:color w:val="000000" w:themeColor="text1"/>
                <w:sz w:val="23"/>
                <w:szCs w:val="23"/>
                <w:u w:val="single"/>
              </w:rPr>
              <w:t>Strong Beginnings: Report of the Teacher Education Expert Panel</w:t>
            </w:r>
            <w:r w:rsidRPr="0D8530A8">
              <w:rPr>
                <w:rFonts w:ascii="Corbel" w:eastAsia="Corbel" w:hAnsi="Corbel" w:cs="Corbel"/>
                <w:b/>
                <w:bCs/>
                <w:color w:val="000000" w:themeColor="text1"/>
                <w:sz w:val="23"/>
                <w:szCs w:val="23"/>
                <w:u w:val="single"/>
              </w:rPr>
              <w:t>.</w:t>
            </w:r>
          </w:p>
        </w:tc>
      </w:tr>
      <w:tr w:rsidR="008C71D1" w14:paraId="0BB25F1F" w14:textId="77777777" w:rsidTr="008F378F">
        <w:trPr>
          <w:trHeight w:val="660"/>
        </w:trPr>
        <w:tc>
          <w:tcPr>
            <w:tcW w:w="8760"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60D07D73" w14:textId="4E70F1C1" w:rsidR="008C71D1" w:rsidRDefault="008C71D1" w:rsidP="008C71D1">
            <w:pPr>
              <w:pStyle w:val="ListParagraph"/>
              <w:numPr>
                <w:ilvl w:val="0"/>
                <w:numId w:val="10"/>
              </w:numPr>
              <w:spacing w:before="120" w:after="120" w:line="260" w:lineRule="exact"/>
              <w:jc w:val="both"/>
            </w:pPr>
            <w:r w:rsidRPr="0594E11E">
              <w:rPr>
                <w:rFonts w:ascii="Corbel" w:eastAsia="Corbel" w:hAnsi="Corbel" w:cs="Corbel"/>
                <w:color w:val="000000" w:themeColor="text1"/>
                <w:sz w:val="23"/>
                <w:szCs w:val="23"/>
              </w:rPr>
              <w:t xml:space="preserve">Expand opportunities and building greater understanding and recognition of Aboriginal educator’s knowledges with the development of an Aboriginal Workforce Strategy that includes professional learning designed by </w:t>
            </w:r>
            <w:r>
              <w:rPr>
                <w:rFonts w:ascii="Corbel" w:eastAsia="Corbel" w:hAnsi="Corbel" w:cs="Corbel"/>
                <w:color w:val="000000" w:themeColor="text1"/>
                <w:sz w:val="23"/>
                <w:szCs w:val="23"/>
              </w:rPr>
              <w:t xml:space="preserve">Aboriginal and Torres Strait Islander </w:t>
            </w:r>
            <w:r w:rsidRPr="0594E11E">
              <w:rPr>
                <w:rFonts w:ascii="Corbel" w:eastAsia="Corbel" w:hAnsi="Corbel" w:cs="Corbel"/>
                <w:color w:val="000000" w:themeColor="text1"/>
                <w:sz w:val="23"/>
                <w:szCs w:val="23"/>
              </w:rPr>
              <w:t>people</w:t>
            </w:r>
            <w:r>
              <w:rPr>
                <w:rFonts w:ascii="Corbel" w:eastAsia="Corbel" w:hAnsi="Corbel" w:cs="Corbel"/>
                <w:color w:val="000000" w:themeColor="text1"/>
                <w:sz w:val="23"/>
                <w:szCs w:val="23"/>
              </w:rPr>
              <w:t>s</w:t>
            </w:r>
            <w:r w:rsidRPr="0594E11E">
              <w:rPr>
                <w:rFonts w:ascii="Corbel" w:eastAsia="Corbel" w:hAnsi="Corbel" w:cs="Corbel"/>
                <w:color w:val="000000" w:themeColor="text1"/>
                <w:sz w:val="23"/>
                <w:szCs w:val="23"/>
              </w:rPr>
              <w:t xml:space="preserve"> (including the Remote Aboriginal Teacher Education Program (RATE)).</w:t>
            </w:r>
          </w:p>
        </w:tc>
        <w:tc>
          <w:tcPr>
            <w:tcW w:w="1722"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758C840D" w14:textId="0785817C" w:rsidR="008C71D1" w:rsidRDefault="008C71D1" w:rsidP="008C71D1">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single" w:sz="6" w:space="0" w:color="316F72"/>
              <w:left w:val="single" w:sz="6" w:space="0" w:color="316F72"/>
              <w:bottom w:val="dotted" w:sz="6" w:space="0" w:color="316F72"/>
              <w:right w:val="single" w:sz="6" w:space="0" w:color="316F72"/>
            </w:tcBorders>
            <w:tcMar>
              <w:left w:w="105" w:type="dxa"/>
              <w:right w:w="105" w:type="dxa"/>
            </w:tcMar>
          </w:tcPr>
          <w:p w14:paraId="66311D8A" w14:textId="473109C6" w:rsidR="008C71D1" w:rsidRDefault="008C71D1" w:rsidP="008C71D1">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Commencing 2025, with staged rollout</w:t>
            </w:r>
          </w:p>
        </w:tc>
      </w:tr>
      <w:tr w:rsidR="008C71D1" w14:paraId="7AD3C5E1" w14:textId="77777777" w:rsidTr="008F378F">
        <w:trPr>
          <w:trHeight w:val="570"/>
        </w:trPr>
        <w:tc>
          <w:tcPr>
            <w:tcW w:w="8760" w:type="dxa"/>
            <w:tcBorders>
              <w:top w:val="dotted" w:sz="6" w:space="0" w:color="316F72"/>
              <w:left w:val="single" w:sz="6" w:space="0" w:color="316F72"/>
              <w:bottom w:val="single" w:sz="6" w:space="0" w:color="316F72"/>
              <w:right w:val="single" w:sz="6" w:space="0" w:color="316F72"/>
            </w:tcBorders>
            <w:tcMar>
              <w:left w:w="105" w:type="dxa"/>
              <w:right w:w="105" w:type="dxa"/>
            </w:tcMar>
          </w:tcPr>
          <w:p w14:paraId="290E0FC0" w14:textId="3D563087" w:rsidR="008C71D1" w:rsidRDefault="008C71D1" w:rsidP="008C71D1">
            <w:pPr>
              <w:pStyle w:val="ListParagraph"/>
              <w:keepLines/>
              <w:numPr>
                <w:ilvl w:val="0"/>
                <w:numId w:val="10"/>
              </w:numPr>
              <w:spacing w:before="120" w:after="120" w:line="260" w:lineRule="exact"/>
              <w:jc w:val="both"/>
            </w:pPr>
            <w:r w:rsidRPr="0594E11E">
              <w:rPr>
                <w:rFonts w:ascii="Corbel" w:eastAsia="Corbel" w:hAnsi="Corbel" w:cs="Corbel"/>
                <w:color w:val="000000" w:themeColor="text1"/>
                <w:sz w:val="23"/>
                <w:szCs w:val="23"/>
              </w:rPr>
              <w:t xml:space="preserve">Expand activities to increase the diversity of the education workforce, particularly security of employment for </w:t>
            </w:r>
            <w:r>
              <w:rPr>
                <w:rFonts w:ascii="Corbel" w:eastAsia="Corbel" w:hAnsi="Corbel" w:cs="Corbel"/>
                <w:color w:val="000000" w:themeColor="text1"/>
                <w:sz w:val="23"/>
                <w:szCs w:val="23"/>
              </w:rPr>
              <w:t>Aboriginal and Torres Strait Islander</w:t>
            </w:r>
            <w:r w:rsidRPr="0594E11E">
              <w:rPr>
                <w:rFonts w:ascii="Corbel" w:eastAsia="Corbel" w:hAnsi="Corbel" w:cs="Corbel"/>
                <w:color w:val="000000" w:themeColor="text1"/>
                <w:sz w:val="23"/>
                <w:szCs w:val="23"/>
              </w:rPr>
              <w:t xml:space="preserve"> staff employed in schools.</w:t>
            </w:r>
          </w:p>
        </w:tc>
        <w:tc>
          <w:tcPr>
            <w:tcW w:w="1722" w:type="dxa"/>
            <w:tcBorders>
              <w:top w:val="dotted" w:sz="6" w:space="0" w:color="316F72"/>
              <w:left w:val="single" w:sz="6" w:space="0" w:color="316F72"/>
              <w:bottom w:val="single" w:sz="6" w:space="0" w:color="316F72"/>
              <w:right w:val="single" w:sz="6" w:space="0" w:color="316F72"/>
            </w:tcBorders>
            <w:tcMar>
              <w:left w:w="105" w:type="dxa"/>
              <w:right w:w="105" w:type="dxa"/>
            </w:tcMar>
          </w:tcPr>
          <w:p w14:paraId="32BB2AB5" w14:textId="3F814BC5" w:rsidR="008C71D1" w:rsidRDefault="008C71D1" w:rsidP="008C71D1">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Government</w:t>
            </w:r>
          </w:p>
        </w:tc>
        <w:tc>
          <w:tcPr>
            <w:tcW w:w="3438" w:type="dxa"/>
            <w:tcBorders>
              <w:top w:val="dotted" w:sz="6" w:space="0" w:color="316F72"/>
              <w:left w:val="single" w:sz="6" w:space="0" w:color="316F72"/>
              <w:bottom w:val="single" w:sz="6" w:space="0" w:color="316F72"/>
              <w:right w:val="single" w:sz="6" w:space="0" w:color="316F72"/>
            </w:tcBorders>
            <w:tcMar>
              <w:left w:w="105" w:type="dxa"/>
              <w:right w:w="105" w:type="dxa"/>
            </w:tcMar>
          </w:tcPr>
          <w:p w14:paraId="54C4F46E" w14:textId="3F6D0694" w:rsidR="008C71D1" w:rsidRDefault="008C71D1" w:rsidP="008C71D1">
            <w:pPr>
              <w:spacing w:before="120" w:after="120" w:line="260" w:lineRule="exact"/>
              <w:rPr>
                <w:rFonts w:ascii="Corbel" w:eastAsia="Corbel" w:hAnsi="Corbel" w:cs="Corbel"/>
                <w:color w:val="000000" w:themeColor="text1"/>
                <w:sz w:val="23"/>
                <w:szCs w:val="23"/>
              </w:rPr>
            </w:pPr>
            <w:r>
              <w:rPr>
                <w:rFonts w:ascii="Corbel" w:eastAsia="Corbel" w:hAnsi="Corbel" w:cs="Corbel"/>
                <w:color w:val="000000" w:themeColor="text1"/>
                <w:sz w:val="23"/>
                <w:szCs w:val="23"/>
              </w:rPr>
              <w:t>Commencing 2026, with staged rollout</w:t>
            </w:r>
          </w:p>
        </w:tc>
      </w:tr>
    </w:tbl>
    <w:p w14:paraId="04E240DF" w14:textId="621356A3" w:rsidR="00087989" w:rsidRDefault="00087989" w:rsidP="00DA17AF">
      <w:pPr>
        <w:tabs>
          <w:tab w:val="left" w:pos="426"/>
        </w:tabs>
        <w:spacing w:after="240" w:line="260" w:lineRule="exact"/>
        <w:jc w:val="both"/>
        <w:rPr>
          <w:rFonts w:ascii="Corbel" w:eastAsia="Times New Roman" w:hAnsi="Corbel" w:cs="Calibri"/>
          <w:color w:val="000000"/>
          <w:sz w:val="23"/>
          <w:szCs w:val="23"/>
          <w:lang w:eastAsia="en-AU"/>
        </w:rPr>
        <w:sectPr w:rsidR="00087989" w:rsidSect="00C43C7B">
          <w:pgSz w:w="16838" w:h="11906" w:orient="landscape"/>
          <w:pgMar w:top="1440" w:right="1440" w:bottom="1440" w:left="1440" w:header="708" w:footer="708" w:gutter="0"/>
          <w:cols w:space="708"/>
          <w:docGrid w:linePitch="360"/>
        </w:sectPr>
      </w:pPr>
    </w:p>
    <w:p w14:paraId="3A7BCCEB" w14:textId="5D1CC61C" w:rsidR="00FC2D96" w:rsidRPr="00BE36B9" w:rsidRDefault="00FC2D96" w:rsidP="00FC2D96">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4</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REporting REquirements</w:t>
      </w:r>
    </w:p>
    <w:p w14:paraId="0941DDC8" w14:textId="6D4A7284" w:rsidR="005566AC" w:rsidRPr="00FC2D96" w:rsidRDefault="00FC2D96" w:rsidP="00FC2D9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Requirements for annual reporting to the Commonwealth</w:t>
      </w:r>
    </w:p>
    <w:p w14:paraId="1440C27D" w14:textId="77777777" w:rsidR="00120547" w:rsidRPr="00120547" w:rsidRDefault="00120547" w:rsidP="00120547">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20547">
        <w:rPr>
          <w:rFonts w:ascii="Corbel" w:eastAsia="Times New Roman" w:hAnsi="Corbel" w:cs="Calibri"/>
          <w:color w:val="000000"/>
          <w:sz w:val="23"/>
          <w:szCs w:val="23"/>
          <w:lang w:eastAsia="en-AU"/>
        </w:rPr>
        <w:t>The following clauses set out the annual reporting arrangements for the Northern Territory for a year (Year T).</w:t>
      </w:r>
    </w:p>
    <w:p w14:paraId="00B5E80B" w14:textId="7E77357F" w:rsidR="00FD67ED" w:rsidRPr="00120547" w:rsidRDefault="00120547" w:rsidP="00120547">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20547">
        <w:rPr>
          <w:rFonts w:ascii="Corbel" w:eastAsia="Times New Roman" w:hAnsi="Corbel" w:cs="Calibri"/>
          <w:color w:val="000000"/>
          <w:sz w:val="23"/>
          <w:szCs w:val="23"/>
          <w:lang w:eastAsia="en-AU"/>
        </w:rPr>
        <w:t>As set out in Part 5, clause 100 of the Heads of Agreement, the Northern Territory will also be required to ensure full and accessible information on their needs-based funding arrangement is publicly available, in line with section 78(5) of the Act. </w:t>
      </w:r>
    </w:p>
    <w:p w14:paraId="58109CE8" w14:textId="78C67586" w:rsidR="00FD67ED" w:rsidRPr="0040706D" w:rsidRDefault="0040706D" w:rsidP="00FD67ED">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Funding Report</w:t>
      </w:r>
    </w:p>
    <w:p w14:paraId="236FE215"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Commonwealth will provide the Northern Territory with a Funding Estimation Tool in January Year T+1 prior to the Northern Territory’s annual report with the final Schooling Resource Standard (SRS) data for Year T for the purpose of the National School Resourcing Board’s (the Board) review of the Northern Territory’s compliance with Section 22(A) of the Act.</w:t>
      </w:r>
    </w:p>
    <w:p w14:paraId="1641047E"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As outlined in Part 5, clause 101(e) of the Heads of Agreement, the Northern Territory minister responsible for school education, or their delegate (i.e. the Director General (or equivalent) of the Department responsible for school education) must provide an Annual Funding Report to the Commonwealth Education Minister, or their delegate such as the Departmental Secretary, for each calendar year of the bilateral agreement.</w:t>
      </w:r>
    </w:p>
    <w:p w14:paraId="5756067A" w14:textId="5C0CF455"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Northern Territory must provide its Annual Funding Report for Year T to the Commonwealth no later than 30 November Year T+1 (i.e. 30 November of the following year)</w:t>
      </w:r>
      <w:r w:rsidR="00BE7C5A">
        <w:rPr>
          <w:rFonts w:ascii="Corbel" w:eastAsia="Times New Roman" w:hAnsi="Corbel" w:cs="Calibri"/>
          <w:color w:val="000000"/>
          <w:sz w:val="23"/>
          <w:szCs w:val="23"/>
          <w:lang w:eastAsia="en-AU"/>
        </w:rPr>
        <w:t>.</w:t>
      </w:r>
    </w:p>
    <w:p w14:paraId="1A4352B6"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Annual Funding Report must set out the following:</w:t>
      </w:r>
    </w:p>
    <w:p w14:paraId="23C8C22C" w14:textId="17FED563" w:rsidR="005E1D7C" w:rsidRPr="005E1D7C" w:rsidRDefault="003A12E3" w:rsidP="0021386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5E1D7C" w:rsidRPr="005E1D7C">
        <w:rPr>
          <w:rFonts w:ascii="Corbel" w:eastAsia="Times New Roman" w:hAnsi="Corbel" w:cs="Calibri"/>
          <w:color w:val="000000"/>
          <w:sz w:val="23"/>
          <w:szCs w:val="23"/>
          <w:lang w:eastAsia="en-AU"/>
        </w:rPr>
        <w:t>he total amount of funding provided by the Northern Territory for government schools in the Northern Territory for Year T as measured in line with clause 4</w:t>
      </w:r>
      <w:r w:rsidR="00B530CB">
        <w:rPr>
          <w:rFonts w:ascii="Corbel" w:eastAsia="Times New Roman" w:hAnsi="Corbel" w:cs="Calibri"/>
          <w:color w:val="000000"/>
          <w:sz w:val="23"/>
          <w:szCs w:val="23"/>
          <w:lang w:eastAsia="en-AU"/>
        </w:rPr>
        <w:t>4</w:t>
      </w:r>
      <w:r w:rsidR="005E1D7C" w:rsidRPr="005E1D7C">
        <w:rPr>
          <w:rFonts w:ascii="Corbel" w:eastAsia="Times New Roman" w:hAnsi="Corbel" w:cs="Calibri"/>
          <w:color w:val="000000"/>
          <w:sz w:val="23"/>
          <w:szCs w:val="23"/>
          <w:lang w:eastAsia="en-AU"/>
        </w:rPr>
        <w:t xml:space="preserve"> of this Bilateral Agreement. </w:t>
      </w:r>
    </w:p>
    <w:p w14:paraId="67CDD258" w14:textId="714BFCE4" w:rsidR="005E1D7C" w:rsidRPr="005E1D7C" w:rsidRDefault="003A12E3" w:rsidP="0021386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5E1D7C" w:rsidRPr="005E1D7C">
        <w:rPr>
          <w:rFonts w:ascii="Corbel" w:eastAsia="Times New Roman" w:hAnsi="Corbel" w:cs="Calibri"/>
          <w:color w:val="000000"/>
          <w:sz w:val="23"/>
          <w:szCs w:val="23"/>
          <w:lang w:eastAsia="en-AU"/>
        </w:rPr>
        <w:t>he total amount of funding provided by the Northern Territory for non-government schools in the Northern Territory for Year T as measured in line with clause 4</w:t>
      </w:r>
      <w:r w:rsidR="00B530CB">
        <w:rPr>
          <w:rFonts w:ascii="Corbel" w:eastAsia="Times New Roman" w:hAnsi="Corbel" w:cs="Calibri"/>
          <w:color w:val="000000"/>
          <w:sz w:val="23"/>
          <w:szCs w:val="23"/>
          <w:lang w:eastAsia="en-AU"/>
        </w:rPr>
        <w:t>4</w:t>
      </w:r>
      <w:r w:rsidR="005E1D7C" w:rsidRPr="005E1D7C">
        <w:rPr>
          <w:rFonts w:ascii="Corbel" w:eastAsia="Times New Roman" w:hAnsi="Corbel" w:cs="Calibri"/>
          <w:color w:val="000000"/>
          <w:sz w:val="23"/>
          <w:szCs w:val="23"/>
          <w:lang w:eastAsia="en-AU"/>
        </w:rPr>
        <w:t xml:space="preserve"> of this Bilateral Agreement. </w:t>
      </w:r>
    </w:p>
    <w:p w14:paraId="5E0B7B4B" w14:textId="0D23914F" w:rsidR="005E1D7C" w:rsidRPr="005E1D7C" w:rsidRDefault="003A12E3" w:rsidP="0021386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5E1D7C" w:rsidRPr="005E1D7C">
        <w:rPr>
          <w:rFonts w:ascii="Corbel" w:eastAsia="Times New Roman" w:hAnsi="Corbel" w:cs="Calibri"/>
          <w:color w:val="000000"/>
          <w:sz w:val="23"/>
          <w:szCs w:val="23"/>
          <w:lang w:eastAsia="en-AU"/>
        </w:rPr>
        <w:t>otal full time equivalent enrolments for Year T, relating to the amounts in (a) and (b) above.</w:t>
      </w:r>
    </w:p>
    <w:p w14:paraId="7985D9B7" w14:textId="5CEBC30E" w:rsidR="005E1D7C" w:rsidRPr="005E1D7C" w:rsidRDefault="003A12E3" w:rsidP="0021386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5E1D7C" w:rsidRPr="005E1D7C">
        <w:rPr>
          <w:rFonts w:ascii="Corbel" w:eastAsia="Times New Roman" w:hAnsi="Corbel" w:cs="Calibri"/>
          <w:color w:val="000000"/>
          <w:sz w:val="23"/>
          <w:szCs w:val="23"/>
          <w:lang w:eastAsia="en-AU"/>
        </w:rPr>
        <w:t>he amount for each funding type set out in clause 4</w:t>
      </w:r>
      <w:r w:rsidR="00B530CB">
        <w:rPr>
          <w:rFonts w:ascii="Corbel" w:eastAsia="Times New Roman" w:hAnsi="Corbel" w:cs="Calibri"/>
          <w:color w:val="000000"/>
          <w:sz w:val="23"/>
          <w:szCs w:val="23"/>
          <w:lang w:eastAsia="en-AU"/>
        </w:rPr>
        <w:t>4</w:t>
      </w:r>
      <w:r w:rsidR="005E1D7C" w:rsidRPr="005E1D7C">
        <w:rPr>
          <w:rFonts w:ascii="Corbel" w:eastAsia="Times New Roman" w:hAnsi="Corbel" w:cs="Calibri"/>
          <w:color w:val="000000"/>
          <w:sz w:val="23"/>
          <w:szCs w:val="23"/>
          <w:lang w:eastAsia="en-AU"/>
        </w:rPr>
        <w:t xml:space="preserve"> of this Bilateral Agreement. </w:t>
      </w:r>
    </w:p>
    <w:p w14:paraId="1EFE29C8" w14:textId="2D2F4623" w:rsidR="005E1D7C" w:rsidRPr="005E1D7C" w:rsidRDefault="003A12E3" w:rsidP="00213863">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5E1D7C" w:rsidRPr="005E1D7C">
        <w:rPr>
          <w:rFonts w:ascii="Corbel" w:eastAsia="Times New Roman" w:hAnsi="Corbel" w:cs="Calibri"/>
          <w:color w:val="000000"/>
          <w:sz w:val="23"/>
          <w:szCs w:val="23"/>
          <w:lang w:eastAsia="en-AU"/>
        </w:rPr>
        <w:t>he amount of funding consistent with the specified NRIPS methodology.</w:t>
      </w:r>
    </w:p>
    <w:p w14:paraId="1795B181"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For the avoidance of doubt, each amount included in the Annual Funding Report must have been:</w:t>
      </w:r>
    </w:p>
    <w:p w14:paraId="64C75F27" w14:textId="77777777" w:rsidR="005E1D7C" w:rsidRPr="005E1D7C" w:rsidRDefault="005E1D7C" w:rsidP="00C7724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 xml:space="preserve">spent by the Northern Territory Government for schools for Year T (including centralised funds expended by the department for schools and funds allocated for schools that are not spent within Year T but are spent within remainder of the financial year or subsequent years by schools), or approved authorities, </w:t>
      </w:r>
    </w:p>
    <w:p w14:paraId="4F9A4B56" w14:textId="77777777" w:rsidR="005E1D7C" w:rsidRPr="005E1D7C" w:rsidRDefault="005E1D7C" w:rsidP="00C7724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 xml:space="preserve">or spent by schools or approved authorities for schools for Year T, and </w:t>
      </w:r>
    </w:p>
    <w:p w14:paraId="6D48F8DB" w14:textId="77777777" w:rsidR="005E1D7C" w:rsidRPr="005E1D7C" w:rsidRDefault="005E1D7C" w:rsidP="00C7724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lastRenderedPageBreak/>
        <w:t xml:space="preserve">not counted towards another reporting year for the purposes of this agreement, and not counted towards another Commonwealth-State agreement, without the explicit consent of the Commonwealth. </w:t>
      </w:r>
    </w:p>
    <w:p w14:paraId="237FE8DD" w14:textId="40DCC22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 xml:space="preserve">It should be noted that clause </w:t>
      </w:r>
      <w:r w:rsidR="00F501FA">
        <w:rPr>
          <w:rFonts w:ascii="Corbel" w:eastAsia="Times New Roman" w:hAnsi="Corbel" w:cs="Calibri"/>
          <w:color w:val="000000"/>
          <w:sz w:val="23"/>
          <w:szCs w:val="23"/>
          <w:lang w:eastAsia="en-AU"/>
        </w:rPr>
        <w:t>7</w:t>
      </w:r>
      <w:r w:rsidR="00351B25">
        <w:rPr>
          <w:rFonts w:ascii="Corbel" w:eastAsia="Times New Roman" w:hAnsi="Corbel" w:cs="Calibri"/>
          <w:color w:val="000000"/>
          <w:sz w:val="23"/>
          <w:szCs w:val="23"/>
          <w:lang w:eastAsia="en-AU"/>
        </w:rPr>
        <w:t>6</w:t>
      </w:r>
      <w:r w:rsidRPr="005E1D7C">
        <w:rPr>
          <w:rFonts w:ascii="Corbel" w:eastAsia="Times New Roman" w:hAnsi="Corbel" w:cs="Calibri"/>
          <w:color w:val="000000"/>
          <w:sz w:val="23"/>
          <w:szCs w:val="23"/>
          <w:lang w:eastAsia="en-AU"/>
        </w:rPr>
        <w:t xml:space="preserve"> does not prevent the Northern Territory from reporting budgeted amounts in its report.</w:t>
      </w:r>
    </w:p>
    <w:p w14:paraId="7D153123"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Each amount included in the report for a sector must have been allocated or expended for that sector. Note: this means the Northern Territory cannot count funding allocated or expended for one sector against the allocation or expenditure of another sector.</w:t>
      </w:r>
    </w:p>
    <w:p w14:paraId="310AF72A"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Each amount included in the report must be net of any Australian Government funding.</w:t>
      </w:r>
    </w:p>
    <w:p w14:paraId="2877936A" w14:textId="57FD26BF" w:rsidR="005E1D7C" w:rsidRPr="00DA7597" w:rsidRDefault="005E1D7C" w:rsidP="00DA7597">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Annual Funding Report provides the option for a statement explaining:</w:t>
      </w:r>
    </w:p>
    <w:p w14:paraId="0E5F1ACF" w14:textId="36DAD7C2" w:rsidR="005E1D7C" w:rsidRPr="005E1D7C" w:rsidRDefault="003A12E3" w:rsidP="00DA759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5E1D7C" w:rsidRPr="005E1D7C">
        <w:rPr>
          <w:rFonts w:ascii="Corbel" w:eastAsia="Times New Roman" w:hAnsi="Corbel" w:cs="Calibri"/>
          <w:color w:val="000000"/>
          <w:sz w:val="23"/>
          <w:szCs w:val="23"/>
          <w:lang w:eastAsia="en-AU"/>
        </w:rPr>
        <w:t xml:space="preserve">ny material variances (positive or negative) in the total amount of Northern Territory funding contribution that is between Year T and Year T-1 T for: </w:t>
      </w:r>
    </w:p>
    <w:p w14:paraId="71942DBF" w14:textId="6BE166CB" w:rsidR="005E1D7C" w:rsidRPr="005E1D7C" w:rsidRDefault="005E1D7C" w:rsidP="00DA7597">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government schools in the Northern Territory</w:t>
      </w:r>
      <w:r w:rsidR="00625B57">
        <w:rPr>
          <w:rFonts w:ascii="Corbel" w:eastAsia="Times New Roman" w:hAnsi="Corbel" w:cs="Calibri"/>
          <w:color w:val="000000"/>
          <w:sz w:val="23"/>
          <w:szCs w:val="23"/>
          <w:lang w:eastAsia="en-AU"/>
        </w:rPr>
        <w:t>,</w:t>
      </w:r>
      <w:r w:rsidRPr="005E1D7C">
        <w:rPr>
          <w:rFonts w:ascii="Corbel" w:eastAsia="Times New Roman" w:hAnsi="Corbel" w:cs="Calibri"/>
          <w:color w:val="000000"/>
          <w:sz w:val="23"/>
          <w:szCs w:val="23"/>
          <w:lang w:eastAsia="en-AU"/>
        </w:rPr>
        <w:t xml:space="preserve"> and </w:t>
      </w:r>
    </w:p>
    <w:p w14:paraId="5CABDB37" w14:textId="0493EB5F" w:rsidR="005E1D7C" w:rsidRPr="005E1D7C" w:rsidRDefault="005E1D7C" w:rsidP="00DA7597">
      <w:pPr>
        <w:pStyle w:val="ListParagraph"/>
        <w:numPr>
          <w:ilvl w:val="2"/>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non-government schools in the Northern Territory</w:t>
      </w:r>
      <w:r w:rsidR="003A12E3">
        <w:rPr>
          <w:rFonts w:ascii="Corbel" w:eastAsia="Times New Roman" w:hAnsi="Corbel" w:cs="Calibri"/>
          <w:color w:val="000000"/>
          <w:sz w:val="23"/>
          <w:szCs w:val="23"/>
          <w:lang w:eastAsia="en-AU"/>
        </w:rPr>
        <w:t>.</w:t>
      </w:r>
    </w:p>
    <w:p w14:paraId="4805BD4C" w14:textId="154BCF42" w:rsidR="005E1D7C" w:rsidRPr="005E1D7C" w:rsidRDefault="003A12E3" w:rsidP="00DA759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5E1D7C" w:rsidRPr="005E1D7C">
        <w:rPr>
          <w:rFonts w:ascii="Corbel" w:eastAsia="Times New Roman" w:hAnsi="Corbel" w:cs="Calibri"/>
          <w:color w:val="000000"/>
          <w:sz w:val="23"/>
          <w:szCs w:val="23"/>
          <w:lang w:eastAsia="en-AU"/>
        </w:rPr>
        <w:t>ny adjustments to the Northern Territory funding contribution (i.e. timing adjustments) outside of the specified NRIPS methodology.</w:t>
      </w:r>
    </w:p>
    <w:p w14:paraId="1F3BF12A" w14:textId="701132E6"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4</w:t>
      </w:r>
      <w:r w:rsidR="00351B25">
        <w:rPr>
          <w:rFonts w:ascii="Corbel" w:eastAsia="Times New Roman" w:hAnsi="Corbel" w:cs="Calibri"/>
          <w:color w:val="000000"/>
          <w:sz w:val="23"/>
          <w:szCs w:val="23"/>
          <w:lang w:eastAsia="en-AU"/>
        </w:rPr>
        <w:t>4</w:t>
      </w:r>
      <w:r w:rsidRPr="005E1D7C">
        <w:rPr>
          <w:rFonts w:ascii="Corbel" w:eastAsia="Times New Roman" w:hAnsi="Corbel" w:cs="Calibri"/>
          <w:color w:val="000000"/>
          <w:sz w:val="23"/>
          <w:szCs w:val="23"/>
          <w:lang w:eastAsia="en-AU"/>
        </w:rPr>
        <w:t xml:space="preserve"> of this Bilateral Agreement by one of the following:  </w:t>
      </w:r>
    </w:p>
    <w:p w14:paraId="599FA8F4" w14:textId="77777777" w:rsidR="005E1D7C" w:rsidRPr="005E1D7C" w:rsidRDefault="005E1D7C" w:rsidP="00DA759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Auditor-General of Northern Territory; or</w:t>
      </w:r>
    </w:p>
    <w:p w14:paraId="5D218A88" w14:textId="77777777" w:rsidR="005E1D7C" w:rsidRPr="005E1D7C" w:rsidRDefault="005E1D7C" w:rsidP="00DA759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 xml:space="preserve">an independent qualified accountant; or </w:t>
      </w:r>
    </w:p>
    <w:p w14:paraId="6ACC60D7" w14:textId="77777777" w:rsidR="005E1D7C" w:rsidRPr="005E1D7C" w:rsidRDefault="005E1D7C" w:rsidP="00DA759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an independent qualified accountant engaged by ACARA for NRIPS funding; or</w:t>
      </w:r>
    </w:p>
    <w:p w14:paraId="3DAC055A" w14:textId="77777777" w:rsidR="005E1D7C" w:rsidRPr="005E1D7C" w:rsidRDefault="005E1D7C" w:rsidP="00DA7597">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Director General or equivalent of the education portfolio for the state or territory, but only up to 0.1 per cent of the SRS for the Northern Territory for all reported funding.</w:t>
      </w:r>
    </w:p>
    <w:p w14:paraId="0B56213E" w14:textId="7DFD3A08"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Annual Funding Report may also provide an explanation and supporting evidence for the Board’s consideration of any shortfall between the total amount reported for Year T and the agreed funding contributions for Year T in clause 3</w:t>
      </w:r>
      <w:r w:rsidR="00A71AC4">
        <w:rPr>
          <w:rFonts w:ascii="Corbel" w:eastAsia="Times New Roman" w:hAnsi="Corbel" w:cs="Calibri"/>
          <w:color w:val="000000"/>
          <w:sz w:val="23"/>
          <w:szCs w:val="23"/>
          <w:lang w:eastAsia="en-AU"/>
        </w:rPr>
        <w:t>5</w:t>
      </w:r>
      <w:r w:rsidRPr="005E1D7C">
        <w:rPr>
          <w:rFonts w:ascii="Corbel" w:eastAsia="Times New Roman" w:hAnsi="Corbel" w:cs="Calibri"/>
          <w:color w:val="000000"/>
          <w:sz w:val="23"/>
          <w:szCs w:val="23"/>
          <w:lang w:eastAsia="en-AU"/>
        </w:rPr>
        <w:t xml:space="preserve"> of this Bilateral Agreement.</w:t>
      </w:r>
    </w:p>
    <w:p w14:paraId="02460F4F"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The Commonwealth will provide the Northern Territory’s Annual Funding Report to the Board for assessment of the Northern Territory’s compliance for Year T with section 22A of the Act, including any funding requirements specified in this Bilateral Agreement.</w:t>
      </w:r>
    </w:p>
    <w:p w14:paraId="54C5FDA0" w14:textId="77777777" w:rsidR="005E1D7C" w:rsidRPr="005E1D7C" w:rsidRDefault="005E1D7C" w:rsidP="005E1D7C">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t xml:space="preserve">The Commonwealth may request additional information from the Northern Territory on behalf of the Board, to be provided within 21 days. If the Northern Territory does not provide information or advice in this timeframe, the Board will make an assessment based on the information and evidence available. Such requests will be consistent with clause 98 of the Heads of Agreement which stipulates that as far as practical, reporting requirements will leverage existing reporting processes and data sources and unless explicitly stated otherwise, will not impose any additional burden on schools. </w:t>
      </w:r>
    </w:p>
    <w:p w14:paraId="2885580F" w14:textId="1DFF5520" w:rsidR="005566AC" w:rsidRPr="00F078ED" w:rsidRDefault="005E1D7C" w:rsidP="00F078ED">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E1D7C">
        <w:rPr>
          <w:rFonts w:ascii="Corbel" w:eastAsia="Times New Roman" w:hAnsi="Corbel" w:cs="Calibri"/>
          <w:color w:val="000000"/>
          <w:sz w:val="23"/>
          <w:szCs w:val="23"/>
          <w:lang w:eastAsia="en-AU"/>
        </w:rPr>
        <w:lastRenderedPageBreak/>
        <w:t>The Northern Territory will have an opportunity to provide further information for the Board’s consideration following their receipt of the Board’s draft findings.</w:t>
      </w:r>
    </w:p>
    <w:p w14:paraId="6209FBA5" w14:textId="42CC5CB2" w:rsidR="00FB7430" w:rsidRPr="00FB7430" w:rsidRDefault="00FB7430" w:rsidP="00FB7430">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Implementation Report</w:t>
      </w:r>
    </w:p>
    <w:p w14:paraId="1D2BD95C" w14:textId="3A060701" w:rsidR="00195E96" w:rsidRPr="00195E96" w:rsidRDefault="00195E96" w:rsidP="00195E96">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As outlined in Part 5, clause 101(a) of the Heads of Agreement, the Director General or equivalent of the education portfolio for the state or territory must provide an Annual Implementation Report to the Secretary of the Australian Government’s Department of Education for each calendar year of this Bilateral Agreement, for the purpose of assessing compliance with Section 22(2)(c) of the Act.</w:t>
      </w:r>
    </w:p>
    <w:p w14:paraId="363E67ED" w14:textId="77777777" w:rsidR="00195E96" w:rsidRPr="00195E96" w:rsidRDefault="00195E96" w:rsidP="00195E96">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1325D035" w14:textId="77777777" w:rsidR="00195E96" w:rsidRPr="00195E96" w:rsidRDefault="00195E96" w:rsidP="00195E96">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 xml:space="preserve">The Annual Implementation Report for a calendar year is required by 30 November Year T+1 (i.e. 30 November of the following year), or a date as agreed by the Commonwealth and the Northern Territory. </w:t>
      </w:r>
    </w:p>
    <w:p w14:paraId="2CB14451" w14:textId="77777777" w:rsidR="00195E96" w:rsidRPr="00195E96" w:rsidRDefault="00195E96" w:rsidP="00195E96">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The Annual Implementation Report must include:</w:t>
      </w:r>
    </w:p>
    <w:p w14:paraId="2796A0B5" w14:textId="2C02B19B" w:rsidR="00195E96" w:rsidRPr="00195E96" w:rsidRDefault="00195E96" w:rsidP="00195E96">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progress towards agreed reform activity as outlined in Table 4 of this Bilateral Agreement including the National Reform Directions and implementation of the Northern Territory’s response to the Review of Secondary Education and the Review of Effective Enrolment</w:t>
      </w:r>
    </w:p>
    <w:p w14:paraId="58A00BF4" w14:textId="185ACC8E" w:rsidR="00195E96" w:rsidRPr="00195E96" w:rsidRDefault="00195E96" w:rsidP="00195E96">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how much additional funding from the Commonwealth is to be directed to implement or augment the National Reform Direction</w:t>
      </w:r>
    </w:p>
    <w:p w14:paraId="0EF7856E" w14:textId="5CD4BAE4" w:rsidR="00195E96" w:rsidRPr="00195E96" w:rsidRDefault="00195E96" w:rsidP="00195E96">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information on how the implementation of each of the National Reform Directions has been targeted to priority equity cohorts, where applicable (as defined in the Heads of Agreement) and, where relevant, to schools which need additional support</w:t>
      </w:r>
    </w:p>
    <w:p w14:paraId="48C6951E" w14:textId="33DD0A89" w:rsidR="00195E96" w:rsidRPr="00195E96" w:rsidRDefault="00195E96" w:rsidP="00195E96">
      <w:pPr>
        <w:pStyle w:val="ListParagraph"/>
        <w:numPr>
          <w:ilvl w:val="1"/>
          <w:numId w:val="24"/>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Pr="00195E96">
        <w:rPr>
          <w:rFonts w:ascii="Corbel" w:eastAsia="Times New Roman" w:hAnsi="Corbel" w:cs="Calibri"/>
          <w:color w:val="000000"/>
          <w:sz w:val="23"/>
          <w:szCs w:val="23"/>
          <w:lang w:eastAsia="en-AU"/>
        </w:rPr>
        <w:t>rogress towards improvement measures specified in Table 1 of this bilateral agreement, only where not currently reported to the Commonwealth.</w:t>
      </w:r>
    </w:p>
    <w:p w14:paraId="7E96412F" w14:textId="055376AB" w:rsidR="00FC2D96" w:rsidRDefault="00195E96" w:rsidP="00195E96">
      <w:pPr>
        <w:pStyle w:val="ListParagraph"/>
        <w:numPr>
          <w:ilvl w:val="0"/>
          <w:numId w:val="24"/>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95E96">
        <w:rPr>
          <w:rFonts w:ascii="Corbel" w:eastAsia="Times New Roman" w:hAnsi="Corbel" w:cs="Calibri"/>
          <w:color w:val="000000"/>
          <w:sz w:val="23"/>
          <w:szCs w:val="23"/>
          <w:lang w:eastAsia="en-AU"/>
        </w:rPr>
        <w:t>For the avoidance of doubt, the Northern Territory’s Annual Implementation Report should focus on government school implementation and Improvement Measures, noting that as per clause 104 in the Heads of Agreement, non-government representative bodies will provide an Annual Implementation Report for Year T to the Commonwealth for each calendar year by 30 November Year T + 1.</w:t>
      </w:r>
    </w:p>
    <w:p w14:paraId="6181EE6E" w14:textId="74BDDE83" w:rsidR="006C362E" w:rsidRDefault="006C362E">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711C0EA1" w14:textId="77777777" w:rsidR="00101260" w:rsidRDefault="00101260"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43438C">
        <w:rPr>
          <w:rFonts w:ascii="Corbel" w:eastAsia="Times New Roman" w:hAnsi="Corbel" w:cs="Consolas"/>
          <w:b/>
          <w:caps/>
          <w:color w:val="316F72"/>
          <w:kern w:val="32"/>
          <w:sz w:val="32"/>
          <w:szCs w:val="32"/>
          <w:lang w:eastAsia="en-AU"/>
        </w:rPr>
        <w:lastRenderedPageBreak/>
        <w:t xml:space="preserve">SIGNATURES </w:t>
      </w:r>
    </w:p>
    <w:tbl>
      <w:tblPr>
        <w:tblW w:w="9781" w:type="dxa"/>
        <w:jc w:val="center"/>
        <w:tblLayout w:type="fixed"/>
        <w:tblLook w:val="01E0" w:firstRow="1" w:lastRow="1" w:firstColumn="1" w:lastColumn="1" w:noHBand="0" w:noVBand="0"/>
      </w:tblPr>
      <w:tblGrid>
        <w:gridCol w:w="4679"/>
        <w:gridCol w:w="708"/>
        <w:gridCol w:w="4394"/>
      </w:tblGrid>
      <w:tr w:rsidR="00C44364" w:rsidRPr="00211AE0" w14:paraId="66122384" w14:textId="77777777" w:rsidTr="00826166">
        <w:trPr>
          <w:cantSplit/>
          <w:jc w:val="center"/>
        </w:trPr>
        <w:tc>
          <w:tcPr>
            <w:tcW w:w="4679" w:type="dxa"/>
          </w:tcPr>
          <w:p w14:paraId="153BE2C5" w14:textId="77777777" w:rsidR="00C44364" w:rsidRDefault="007E3069" w:rsidP="007E3069">
            <w:pPr>
              <w:keepNext/>
              <w:keepLines/>
              <w:spacing w:after="120" w:line="240" w:lineRule="auto"/>
              <w:rPr>
                <w:rFonts w:ascii="Corbel" w:eastAsia="Times New Roman" w:hAnsi="Corbel" w:cs="Book Antiqua"/>
                <w:i/>
                <w:iCs/>
                <w:lang w:eastAsia="en-AU"/>
              </w:rPr>
            </w:pPr>
            <w:r w:rsidRPr="00783076">
              <w:rPr>
                <w:rFonts w:ascii="Corbel" w:eastAsia="Times New Roman" w:hAnsi="Corbel" w:cs="Consolas"/>
                <w:b/>
                <w:caps/>
                <w:color w:val="316F72"/>
                <w:kern w:val="32"/>
                <w:sz w:val="32"/>
                <w:szCs w:val="32"/>
                <w:lang w:eastAsia="en-AU"/>
              </w:rPr>
              <w:drawing>
                <wp:anchor distT="0" distB="0" distL="114300" distR="114300" simplePos="0" relativeHeight="251658240" behindDoc="0" locked="0" layoutInCell="1" allowOverlap="1" wp14:anchorId="451B1C73" wp14:editId="0715C515">
                  <wp:simplePos x="0" y="0"/>
                  <wp:positionH relativeFrom="column">
                    <wp:posOffset>170815</wp:posOffset>
                  </wp:positionH>
                  <wp:positionV relativeFrom="paragraph">
                    <wp:posOffset>476250</wp:posOffset>
                  </wp:positionV>
                  <wp:extent cx="2372400" cy="2095200"/>
                  <wp:effectExtent l="0" t="0" r="889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604" t="38951" r="54011" b="276"/>
                          <a:stretch/>
                        </pic:blipFill>
                        <pic:spPr bwMode="auto">
                          <a:xfrm>
                            <a:off x="0" y="0"/>
                            <a:ext cx="2372400" cy="209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4364" w:rsidRPr="00211AE0">
              <w:rPr>
                <w:rFonts w:ascii="Corbel" w:eastAsia="Times New Roman" w:hAnsi="Corbel" w:cs="Times New Roman"/>
                <w:b/>
                <w:bCs/>
                <w:lang w:eastAsia="en-AU"/>
              </w:rPr>
              <w:t>Signed</w:t>
            </w:r>
            <w:r w:rsidR="00C44364" w:rsidRPr="00211AE0">
              <w:rPr>
                <w:rFonts w:ascii="Corbel" w:eastAsia="Times New Roman" w:hAnsi="Corbel" w:cs="Book Antiqua"/>
                <w:i/>
                <w:iCs/>
                <w:lang w:eastAsia="en-AU"/>
              </w:rPr>
              <w:t xml:space="preserve"> for and on behalf of the Commonwealth</w:t>
            </w:r>
            <w:r w:rsidR="00996D41">
              <w:rPr>
                <w:rFonts w:ascii="Corbel" w:eastAsia="Times New Roman" w:hAnsi="Corbel" w:cs="Book Antiqua"/>
                <w:i/>
                <w:iCs/>
                <w:lang w:eastAsia="en-AU"/>
              </w:rPr>
              <w:t> </w:t>
            </w:r>
            <w:r w:rsidR="00C44364" w:rsidRPr="00211AE0">
              <w:rPr>
                <w:rFonts w:ascii="Corbel" w:eastAsia="Times New Roman" w:hAnsi="Corbel" w:cs="Book Antiqua"/>
                <w:i/>
                <w:iCs/>
                <w:lang w:eastAsia="en-AU"/>
              </w:rPr>
              <w:t>of</w:t>
            </w:r>
            <w:r w:rsidR="00996D41">
              <w:rPr>
                <w:rFonts w:ascii="Corbel" w:eastAsia="Times New Roman" w:hAnsi="Corbel" w:cs="Book Antiqua"/>
                <w:i/>
                <w:iCs/>
                <w:lang w:eastAsia="en-AU"/>
              </w:rPr>
              <w:t> </w:t>
            </w:r>
            <w:r w:rsidR="00C44364" w:rsidRPr="00211AE0">
              <w:rPr>
                <w:rFonts w:ascii="Corbel" w:eastAsia="Times New Roman" w:hAnsi="Corbel" w:cs="Book Antiqua"/>
                <w:i/>
                <w:iCs/>
                <w:lang w:eastAsia="en-AU"/>
              </w:rPr>
              <w:t>Australia by</w:t>
            </w:r>
          </w:p>
          <w:p w14:paraId="3E55B15A" w14:textId="01424B1F" w:rsidR="007E3069" w:rsidRPr="007E3069" w:rsidRDefault="007E3069" w:rsidP="007E3069">
            <w:pPr>
              <w:keepNext/>
              <w:keepLines/>
              <w:spacing w:after="120" w:line="240" w:lineRule="auto"/>
              <w:rPr>
                <w:rFonts w:ascii="Corbel" w:eastAsia="Times New Roman" w:hAnsi="Corbel" w:cs="Book Antiqua"/>
                <w:i/>
                <w:iCs/>
                <w:lang w:eastAsia="en-AU"/>
              </w:rPr>
            </w:pPr>
          </w:p>
        </w:tc>
        <w:tc>
          <w:tcPr>
            <w:tcW w:w="708" w:type="dxa"/>
            <w:tcMar>
              <w:top w:w="0" w:type="dxa"/>
              <w:left w:w="0" w:type="dxa"/>
              <w:bottom w:w="0" w:type="dxa"/>
              <w:right w:w="0" w:type="dxa"/>
            </w:tcMar>
          </w:tcPr>
          <w:p w14:paraId="7881A5C7" w14:textId="77777777" w:rsidR="00C44364" w:rsidRPr="00211AE0" w:rsidRDefault="00C44364" w:rsidP="00F33F9F">
            <w:pPr>
              <w:keepNext/>
              <w:keepLines/>
              <w:spacing w:after="240" w:line="260" w:lineRule="exact"/>
              <w:rPr>
                <w:rFonts w:ascii="Corbel" w:eastAsia="Times New Roman" w:hAnsi="Corbel" w:cs="Corbel"/>
                <w:sz w:val="23"/>
                <w:szCs w:val="23"/>
                <w:lang w:eastAsia="en-AU"/>
              </w:rPr>
            </w:pPr>
          </w:p>
        </w:tc>
        <w:tc>
          <w:tcPr>
            <w:tcW w:w="4394" w:type="dxa"/>
          </w:tcPr>
          <w:p w14:paraId="3F602256" w14:textId="15B6EE4D" w:rsidR="00C44364" w:rsidRPr="007E3069" w:rsidRDefault="007E3069" w:rsidP="007E3069">
            <w:pPr>
              <w:keepNext/>
              <w:keepLines/>
              <w:spacing w:after="120" w:line="240" w:lineRule="auto"/>
              <w:rPr>
                <w:rFonts w:ascii="Corbel" w:eastAsia="Times New Roman" w:hAnsi="Corbel" w:cs="Book Antiqua"/>
                <w:i/>
                <w:iCs/>
                <w:lang w:eastAsia="en-AU"/>
              </w:rPr>
            </w:pPr>
            <w:r w:rsidRPr="00783076">
              <w:rPr>
                <w:rFonts w:ascii="Corbel" w:eastAsia="Times New Roman" w:hAnsi="Corbel" w:cs="Consolas"/>
                <w:b/>
                <w:caps/>
                <w:color w:val="316F72"/>
                <w:kern w:val="32"/>
                <w:sz w:val="32"/>
                <w:szCs w:val="32"/>
                <w:lang w:eastAsia="en-AU"/>
              </w:rPr>
              <w:drawing>
                <wp:anchor distT="0" distB="0" distL="114300" distR="114300" simplePos="0" relativeHeight="251659264" behindDoc="0" locked="0" layoutInCell="1" allowOverlap="1" wp14:anchorId="508364D6" wp14:editId="4F49FDB7">
                  <wp:simplePos x="0" y="0"/>
                  <wp:positionH relativeFrom="column">
                    <wp:posOffset>45720</wp:posOffset>
                  </wp:positionH>
                  <wp:positionV relativeFrom="paragraph">
                    <wp:posOffset>513715</wp:posOffset>
                  </wp:positionV>
                  <wp:extent cx="2266950" cy="1866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7755" t="38951" r="-179" b="6906"/>
                          <a:stretch/>
                        </pic:blipFill>
                        <pic:spPr bwMode="auto">
                          <a:xfrm>
                            <a:off x="0" y="0"/>
                            <a:ext cx="2266950"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364" w:rsidRPr="00211AE0">
              <w:rPr>
                <w:rFonts w:ascii="Corbel" w:eastAsia="Times New Roman" w:hAnsi="Corbel" w:cs="Times New Roman"/>
                <w:b/>
                <w:bCs/>
                <w:lang w:eastAsia="en-AU"/>
              </w:rPr>
              <w:t>Signed</w:t>
            </w:r>
            <w:r w:rsidR="00C44364" w:rsidRPr="00211AE0">
              <w:rPr>
                <w:rFonts w:ascii="Corbel" w:eastAsia="Times New Roman" w:hAnsi="Corbel" w:cs="Book Antiqua"/>
                <w:i/>
                <w:iCs/>
                <w:lang w:eastAsia="en-AU"/>
              </w:rPr>
              <w:t xml:space="preserve"> for and on behalf of </w:t>
            </w:r>
            <w:r w:rsidR="00C44364" w:rsidRPr="00211AE0">
              <w:rPr>
                <w:rFonts w:ascii="Corbel" w:eastAsia="Times New Roman" w:hAnsi="Corbel" w:cs="Book Antiqua"/>
                <w:i/>
                <w:iCs/>
                <w:lang w:eastAsia="en-AU"/>
              </w:rPr>
              <w:br/>
            </w:r>
            <w:r w:rsidR="00C44364" w:rsidRPr="00211AE0">
              <w:rPr>
                <w:rFonts w:ascii="Corbel" w:hAnsi="Corbel"/>
                <w:i/>
                <w:iCs/>
              </w:rPr>
              <w:t>the Northern Territory</w:t>
            </w:r>
            <w:r w:rsidR="00C44364" w:rsidRPr="00211AE0">
              <w:rPr>
                <w:rFonts w:ascii="Corbel" w:eastAsia="Times New Roman" w:hAnsi="Corbel" w:cs="Book Antiqua"/>
                <w:i/>
                <w:iCs/>
                <w:lang w:eastAsia="en-AU"/>
              </w:rPr>
              <w:t xml:space="preserve"> by</w:t>
            </w:r>
          </w:p>
        </w:tc>
      </w:tr>
    </w:tbl>
    <w:p w14:paraId="6E299EF0"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0CA0A465" w14:textId="1A7CF228" w:rsidR="00C43C7B" w:rsidRPr="004F780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sectPr w:rsidR="00C43C7B" w:rsidRPr="004F780B">
          <w:pgSz w:w="11906" w:h="16838"/>
          <w:pgMar w:top="1440" w:right="1440" w:bottom="1440" w:left="1440" w:header="708" w:footer="708" w:gutter="0"/>
          <w:cols w:space="708"/>
          <w:docGrid w:linePitch="360"/>
        </w:sectPr>
      </w:pPr>
    </w:p>
    <w:p w14:paraId="3AE183A2" w14:textId="77777777" w:rsidR="00565490" w:rsidRPr="005362CB" w:rsidRDefault="00565490" w:rsidP="00565490">
      <w:pPr>
        <w:keepNext/>
        <w:keepLines/>
        <w:tabs>
          <w:tab w:val="left" w:pos="3569"/>
        </w:tabs>
        <w:spacing w:before="480" w:after="180" w:line="240" w:lineRule="auto"/>
        <w:outlineLvl w:val="0"/>
        <w:rPr>
          <w:highlight w:val="yellow"/>
        </w:rPr>
      </w:pPr>
      <w:bookmarkStart w:id="2" w:name="_Toc169597011"/>
      <w:r w:rsidRPr="3A384CFA">
        <w:rPr>
          <w:rFonts w:ascii="Corbel" w:eastAsia="Times New Roman" w:hAnsi="Corbel" w:cs="Consolas"/>
          <w:b/>
          <w:bCs/>
          <w:caps/>
          <w:color w:val="316F72"/>
          <w:kern w:val="32"/>
          <w:sz w:val="32"/>
          <w:szCs w:val="32"/>
          <w:lang w:eastAsia="en-AU"/>
        </w:rPr>
        <w:lastRenderedPageBreak/>
        <w:t>Attachment A:</w:t>
      </w:r>
      <w:r w:rsidRPr="3A384CFA" w:rsidDel="008E1DF1">
        <w:rPr>
          <w:rFonts w:ascii="Corbel" w:eastAsia="Times New Roman" w:hAnsi="Corbel" w:cs="Consolas"/>
          <w:b/>
          <w:bCs/>
          <w:caps/>
          <w:color w:val="316F72"/>
          <w:kern w:val="32"/>
          <w:sz w:val="32"/>
          <w:szCs w:val="32"/>
          <w:lang w:eastAsia="en-AU"/>
        </w:rPr>
        <w:t xml:space="preserve"> </w:t>
      </w:r>
      <w:r w:rsidRPr="3A384CFA">
        <w:rPr>
          <w:rFonts w:ascii="Corbel" w:eastAsia="Times New Roman" w:hAnsi="Corbel" w:cs="Consolas"/>
          <w:b/>
          <w:bCs/>
          <w:caps/>
          <w:color w:val="316F72"/>
          <w:kern w:val="32"/>
          <w:sz w:val="32"/>
          <w:szCs w:val="32"/>
          <w:lang w:eastAsia="en-AU"/>
        </w:rPr>
        <w:t>Annual Implementation Report template</w:t>
      </w:r>
      <w:bookmarkEnd w:id="2"/>
      <w:r w:rsidRPr="00A83381">
        <w:rPr>
          <w:sz w:val="32"/>
          <w:szCs w:val="32"/>
        </w:rPr>
        <w:t xml:space="preserve"> </w:t>
      </w:r>
      <w:r w:rsidRPr="1E440BE3">
        <w:rPr>
          <w:sz w:val="32"/>
          <w:szCs w:val="32"/>
        </w:rPr>
        <w:t xml:space="preserve"> </w:t>
      </w:r>
    </w:p>
    <w:p w14:paraId="78839FB6" w14:textId="77777777" w:rsidR="00565490" w:rsidRPr="00CB12C2" w:rsidRDefault="00565490" w:rsidP="00565490">
      <w:pPr>
        <w:keepNext/>
        <w:keepLines/>
        <w:spacing w:after="240" w:line="260" w:lineRule="exact"/>
        <w:jc w:val="both"/>
      </w:pPr>
      <w:r w:rsidRPr="00A83381">
        <w:rPr>
          <w:rFonts w:ascii="Corbel" w:eastAsia="Times New Roman" w:hAnsi="Corbel" w:cs="Corbel"/>
          <w:b/>
          <w:bCs/>
          <w:color w:val="316F72"/>
          <w:sz w:val="28"/>
          <w:szCs w:val="28"/>
          <w:lang w:eastAsia="en-AU"/>
        </w:rPr>
        <w:t>Purpose of this reporting template</w:t>
      </w:r>
    </w:p>
    <w:p w14:paraId="6C92FC5B" w14:textId="77777777" w:rsidR="00565490" w:rsidRDefault="00565490" w:rsidP="00565490">
      <w:pPr>
        <w:rPr>
          <w:rFonts w:eastAsiaTheme="minorEastAsia" w:cs="Calibri"/>
          <w:color w:val="000000" w:themeColor="text1"/>
        </w:rPr>
      </w:pPr>
      <w:r w:rsidRPr="00CF7595">
        <w:rPr>
          <w:rFonts w:eastAsiaTheme="minorEastAsia" w:cs="Calibri"/>
          <w:color w:val="000000" w:themeColor="text1"/>
        </w:rPr>
        <w:t xml:space="preserve">This </w:t>
      </w:r>
      <w:r>
        <w:rPr>
          <w:rFonts w:eastAsiaTheme="minorEastAsia" w:cs="Calibri"/>
          <w:color w:val="000000" w:themeColor="text1"/>
        </w:rPr>
        <w:t>Annual Implementation Report</w:t>
      </w:r>
      <w:r w:rsidRPr="004E237C">
        <w:rPr>
          <w:rFonts w:eastAsiaTheme="minorEastAsia" w:cs="Calibri"/>
          <w:color w:val="000000" w:themeColor="text1"/>
        </w:rPr>
        <w:t xml:space="preserve"> reporting template contributes to achieving the transparency and accountability commitments under the Better and Fairer Schools Agreement. </w:t>
      </w:r>
      <w:r>
        <w:rPr>
          <w:rFonts w:eastAsiaTheme="minorEastAsia" w:cs="Calibri"/>
          <w:color w:val="000000" w:themeColor="text1"/>
        </w:rPr>
        <w:t xml:space="preserve">The Northern Territory will fill in the Annual Implementation Report annually and report it to the Australian Government Department of Education; non-government representative bodies will also be required to fill in their own template (see Schedule E of the Heads of Agreement). </w:t>
      </w:r>
    </w:p>
    <w:p w14:paraId="143014C9" w14:textId="2A39CB04" w:rsidR="00043C17" w:rsidRPr="00043C17" w:rsidRDefault="00043C17" w:rsidP="00565490">
      <w:pPr>
        <w:rPr>
          <w:rFonts w:eastAsiaTheme="minorEastAsia" w:cs="Calibri"/>
        </w:rPr>
      </w:pPr>
      <w:r w:rsidRPr="714D3977">
        <w:rPr>
          <w:rFonts w:eastAsiaTheme="minorEastAsia"/>
        </w:rPr>
        <w:t>Reporting on the</w:t>
      </w:r>
      <w:r>
        <w:rPr>
          <w:rFonts w:eastAsiaTheme="minorEastAsia"/>
        </w:rPr>
        <w:t xml:space="preserve"> Implementation of the Northern Territory Government’s response to the</w:t>
      </w:r>
      <w:r w:rsidRPr="714D3977">
        <w:rPr>
          <w:rFonts w:eastAsiaTheme="minorEastAsia"/>
        </w:rPr>
        <w:t xml:space="preserve"> </w:t>
      </w:r>
      <w:r w:rsidRPr="00301F4D">
        <w:rPr>
          <w:rFonts w:eastAsiaTheme="minorEastAsia"/>
          <w:i/>
          <w:iCs/>
        </w:rPr>
        <w:t>Review of Effective Enrolment</w:t>
      </w:r>
      <w:r w:rsidRPr="714D3977">
        <w:rPr>
          <w:rFonts w:eastAsiaTheme="minorEastAsia"/>
        </w:rPr>
        <w:t xml:space="preserve"> and </w:t>
      </w:r>
      <w:r w:rsidRPr="00301F4D">
        <w:rPr>
          <w:rFonts w:eastAsiaTheme="minorEastAsia"/>
          <w:i/>
          <w:iCs/>
        </w:rPr>
        <w:t>Review of Secondary Education</w:t>
      </w:r>
      <w:r w:rsidRPr="714D3977">
        <w:rPr>
          <w:rFonts w:eastAsiaTheme="minorEastAsia"/>
        </w:rPr>
        <w:t xml:space="preserve"> will be included in </w:t>
      </w:r>
      <w:r>
        <w:rPr>
          <w:rFonts w:eastAsiaTheme="minorEastAsia"/>
        </w:rPr>
        <w:t xml:space="preserve">this </w:t>
      </w:r>
      <w:r w:rsidRPr="025FF76D">
        <w:rPr>
          <w:rFonts w:eastAsiaTheme="minorEastAsia"/>
        </w:rPr>
        <w:t>Annual Implementation Report.</w:t>
      </w:r>
    </w:p>
    <w:p w14:paraId="2BC698FD" w14:textId="77777777" w:rsidR="00565490" w:rsidRPr="004E237C" w:rsidRDefault="00565490" w:rsidP="00565490">
      <w:pPr>
        <w:keepNext/>
        <w:keepLines/>
        <w:spacing w:after="240" w:line="260" w:lineRule="exact"/>
        <w:jc w:val="both"/>
        <w:rPr>
          <w:rFonts w:eastAsiaTheme="minorEastAsia"/>
        </w:rPr>
      </w:pPr>
      <w:r w:rsidRPr="00A83381">
        <w:rPr>
          <w:rFonts w:ascii="Corbel" w:eastAsia="Times New Roman" w:hAnsi="Corbel" w:cs="Corbel"/>
          <w:b/>
          <w:bCs/>
          <w:color w:val="316F72"/>
          <w:sz w:val="28"/>
          <w:szCs w:val="28"/>
          <w:lang w:eastAsia="en-AU"/>
        </w:rPr>
        <w:t>National Reform Directions</w:t>
      </w:r>
      <w:r>
        <w:rPr>
          <w:rFonts w:eastAsiaTheme="minorEastAsia"/>
        </w:rPr>
        <w:t xml:space="preserve"> </w:t>
      </w:r>
      <w:r>
        <w:tab/>
      </w:r>
    </w:p>
    <w:p w14:paraId="7CE7FAC6" w14:textId="77777777" w:rsidR="00565490" w:rsidRPr="00955F8A" w:rsidRDefault="00565490" w:rsidP="00565490">
      <w:pPr>
        <w:keepNext/>
        <w:rPr>
          <w:rFonts w:eastAsiaTheme="minorEastAsia"/>
        </w:rPr>
      </w:pPr>
      <w:r>
        <w:rPr>
          <w:rFonts w:eastAsiaTheme="minorEastAsia" w:cs="Calibri"/>
        </w:rPr>
        <w:t>The Northern Territory is</w:t>
      </w:r>
      <w:r w:rsidRPr="1D916E64">
        <w:rPr>
          <w:rFonts w:eastAsiaTheme="minorEastAsia" w:cs="Calibri"/>
        </w:rPr>
        <w:t xml:space="preserve"> required to fill in the below table outlining their implementation of National Reform </w:t>
      </w:r>
      <w:r w:rsidRPr="1D916E64">
        <w:t>Directions</w:t>
      </w:r>
      <w:r>
        <w:t xml:space="preserve"> where there is allocation of additional Commonwealth investment</w:t>
      </w:r>
      <w:r w:rsidRPr="1D916E64">
        <w:rPr>
          <w:rFonts w:eastAsiaTheme="minorEastAsia" w:cs="Calibri"/>
        </w:rPr>
        <w:t xml:space="preserve">. If work is already underway in the </w:t>
      </w:r>
      <w:r>
        <w:rPr>
          <w:rFonts w:eastAsiaTheme="minorEastAsia" w:cs="Calibri"/>
        </w:rPr>
        <w:t>Northern Territory</w:t>
      </w:r>
      <w:r w:rsidRPr="1D916E64">
        <w:rPr>
          <w:rFonts w:eastAsiaTheme="minorEastAsia" w:cs="Calibri"/>
        </w:rPr>
        <w:t xml:space="preserve"> in relation to a National Reform Direction</w:t>
      </w:r>
      <w:r>
        <w:rPr>
          <w:rFonts w:eastAsiaTheme="minorEastAsia" w:cs="Calibri"/>
        </w:rPr>
        <w:t>,</w:t>
      </w:r>
      <w:r w:rsidRPr="1D916E64">
        <w:rPr>
          <w:rFonts w:eastAsiaTheme="minorEastAsia" w:cs="Calibri"/>
        </w:rPr>
        <w:t xml:space="preserve"> then the </w:t>
      </w:r>
      <w:r>
        <w:rPr>
          <w:rFonts w:eastAsiaTheme="minorEastAsia" w:cs="Calibri"/>
        </w:rPr>
        <w:t>Northern Territor</w:t>
      </w:r>
      <w:r w:rsidRPr="1D916E64">
        <w:rPr>
          <w:rFonts w:eastAsiaTheme="minorEastAsia" w:cs="Calibri"/>
        </w:rPr>
        <w:t xml:space="preserve">y can choose to report qualitative information on the progress of the National Reform Direction. </w:t>
      </w:r>
    </w:p>
    <w:p w14:paraId="6A8C681A" w14:textId="77777777" w:rsidR="00565490" w:rsidRDefault="00565490" w:rsidP="00565490">
      <w:pPr>
        <w:keepNext/>
        <w:rPr>
          <w:rFonts w:eastAsiaTheme="minorEastAsia"/>
        </w:rPr>
      </w:pPr>
    </w:p>
    <w:tbl>
      <w:tblPr>
        <w:tblStyle w:val="TableGrid"/>
        <w:tblW w:w="13892" w:type="dxa"/>
        <w:tblInd w:w="-5" w:type="dxa"/>
        <w:tblLayout w:type="fixed"/>
        <w:tblLook w:val="04A0" w:firstRow="1" w:lastRow="0" w:firstColumn="1" w:lastColumn="0" w:noHBand="0" w:noVBand="1"/>
      </w:tblPr>
      <w:tblGrid>
        <w:gridCol w:w="3331"/>
        <w:gridCol w:w="4041"/>
        <w:gridCol w:w="2362"/>
        <w:gridCol w:w="2362"/>
        <w:gridCol w:w="1796"/>
      </w:tblGrid>
      <w:tr w:rsidR="00360CB8" w:rsidRPr="004E237C" w14:paraId="48428F10" w14:textId="77777777">
        <w:tc>
          <w:tcPr>
            <w:tcW w:w="3331" w:type="dxa"/>
            <w:shd w:val="clear" w:color="auto" w:fill="D9D9D9" w:themeFill="background1" w:themeFillShade="D9"/>
          </w:tcPr>
          <w:p w14:paraId="2782961F" w14:textId="77777777" w:rsidR="00565490" w:rsidRPr="004E237C" w:rsidRDefault="00565490" w:rsidP="00F33F9F">
            <w:pPr>
              <w:pStyle w:val="ListParagraph"/>
              <w:spacing w:before="120" w:after="120"/>
              <w:ind w:left="0"/>
              <w:jc w:val="center"/>
              <w:rPr>
                <w:rFonts w:cs="Calibri"/>
                <w:b/>
                <w:color w:val="000000" w:themeColor="text1"/>
              </w:rPr>
            </w:pPr>
            <w:r w:rsidRPr="004E237C">
              <w:rPr>
                <w:rFonts w:cs="Calibri"/>
                <w:b/>
                <w:color w:val="000000" w:themeColor="text1"/>
              </w:rPr>
              <w:t>National Reform</w:t>
            </w:r>
            <w:r>
              <w:rPr>
                <w:rFonts w:cs="Calibri"/>
                <w:b/>
                <w:color w:val="000000" w:themeColor="text1"/>
              </w:rPr>
              <w:t xml:space="preserve"> Directions</w:t>
            </w:r>
          </w:p>
        </w:tc>
        <w:tc>
          <w:tcPr>
            <w:tcW w:w="4041" w:type="dxa"/>
            <w:shd w:val="clear" w:color="auto" w:fill="D9D9D9" w:themeFill="background1" w:themeFillShade="D9"/>
          </w:tcPr>
          <w:p w14:paraId="57C5F395" w14:textId="77777777" w:rsidR="00565490" w:rsidRPr="004E237C" w:rsidRDefault="00565490" w:rsidP="00F33F9F">
            <w:pPr>
              <w:pStyle w:val="ListParagraph"/>
              <w:spacing w:before="120" w:after="120"/>
              <w:ind w:left="0"/>
              <w:jc w:val="center"/>
              <w:rPr>
                <w:rFonts w:cs="Calibri"/>
                <w:b/>
                <w:bCs/>
                <w:color w:val="000000" w:themeColor="text1"/>
              </w:rPr>
            </w:pPr>
            <w:r>
              <w:rPr>
                <w:rFonts w:cs="Calibri"/>
                <w:b/>
                <w:bCs/>
                <w:color w:val="000000" w:themeColor="text1"/>
              </w:rPr>
              <w:t>Allocation of a</w:t>
            </w:r>
            <w:r w:rsidRPr="00390F5C">
              <w:rPr>
                <w:rFonts w:cs="Calibri"/>
                <w:b/>
                <w:bCs/>
                <w:color w:val="000000" w:themeColor="text1"/>
              </w:rPr>
              <w:t>dditional Commonwealth investment</w:t>
            </w:r>
          </w:p>
        </w:tc>
        <w:tc>
          <w:tcPr>
            <w:tcW w:w="2362" w:type="dxa"/>
            <w:shd w:val="clear" w:color="auto" w:fill="D9D9D9" w:themeFill="background1" w:themeFillShade="D9"/>
          </w:tcPr>
          <w:p w14:paraId="601E908A" w14:textId="77777777" w:rsidR="00565490" w:rsidRPr="004E237C" w:rsidRDefault="00565490" w:rsidP="00F33F9F">
            <w:pPr>
              <w:pStyle w:val="ListParagraph"/>
              <w:spacing w:before="120" w:after="120"/>
              <w:ind w:left="0"/>
              <w:jc w:val="center"/>
              <w:rPr>
                <w:rFonts w:cs="Calibri"/>
                <w:b/>
                <w:color w:val="000000" w:themeColor="text1"/>
              </w:rPr>
            </w:pPr>
            <w:r w:rsidRPr="004E237C">
              <w:rPr>
                <w:rFonts w:cs="Calibri"/>
                <w:b/>
                <w:color w:val="000000" w:themeColor="text1"/>
              </w:rPr>
              <w:t xml:space="preserve">Description of local implementation </w:t>
            </w:r>
          </w:p>
        </w:tc>
        <w:tc>
          <w:tcPr>
            <w:tcW w:w="2362" w:type="dxa"/>
            <w:shd w:val="clear" w:color="auto" w:fill="D9D9D9" w:themeFill="background1" w:themeFillShade="D9"/>
          </w:tcPr>
          <w:p w14:paraId="0F9BF02D" w14:textId="77777777" w:rsidR="00565490" w:rsidRPr="004E237C" w:rsidRDefault="00565490" w:rsidP="00F33F9F">
            <w:pPr>
              <w:pStyle w:val="ListParagraph"/>
              <w:spacing w:before="120" w:after="120"/>
              <w:ind w:left="0"/>
              <w:jc w:val="center"/>
              <w:rPr>
                <w:rFonts w:cs="Calibri"/>
                <w:b/>
                <w:color w:val="000000" w:themeColor="text1"/>
              </w:rPr>
            </w:pPr>
            <w:r w:rsidRPr="0034590A">
              <w:rPr>
                <w:rFonts w:cs="Calibri"/>
                <w:b/>
                <w:color w:val="000000" w:themeColor="text1"/>
              </w:rPr>
              <w:t>Outline the focus on priority equity cohorts</w:t>
            </w:r>
            <w:r>
              <w:rPr>
                <w:rFonts w:cs="Calibri"/>
                <w:b/>
                <w:color w:val="000000" w:themeColor="text1"/>
              </w:rPr>
              <w:t xml:space="preserve"> and schools needing additional support (where applicable)</w:t>
            </w:r>
          </w:p>
        </w:tc>
        <w:tc>
          <w:tcPr>
            <w:tcW w:w="1796" w:type="dxa"/>
            <w:shd w:val="clear" w:color="auto" w:fill="D9D9D9" w:themeFill="background1" w:themeFillShade="D9"/>
          </w:tcPr>
          <w:p w14:paraId="6C59B35B" w14:textId="77777777" w:rsidR="00565490" w:rsidRPr="004E237C" w:rsidRDefault="00565490" w:rsidP="00F33F9F">
            <w:pPr>
              <w:pStyle w:val="ListParagraph"/>
              <w:spacing w:before="120" w:after="120"/>
              <w:ind w:left="0"/>
              <w:jc w:val="center"/>
              <w:rPr>
                <w:rFonts w:cs="Calibri"/>
                <w:b/>
                <w:bCs/>
                <w:color w:val="000000" w:themeColor="text1"/>
              </w:rPr>
            </w:pPr>
            <w:r>
              <w:rPr>
                <w:rFonts w:cs="Calibri"/>
                <w:b/>
                <w:bCs/>
                <w:color w:val="000000" w:themeColor="text1"/>
              </w:rPr>
              <w:t>Details of qualitative or quantitative impact</w:t>
            </w:r>
            <w:r w:rsidRPr="004E237C">
              <w:rPr>
                <w:rFonts w:cs="Calibri"/>
                <w:b/>
                <w:bCs/>
                <w:color w:val="000000" w:themeColor="text1"/>
              </w:rPr>
              <w:t xml:space="preserve"> </w:t>
            </w:r>
          </w:p>
        </w:tc>
      </w:tr>
      <w:tr w:rsidR="00565490" w:rsidRPr="004E237C" w14:paraId="47389ED1" w14:textId="77777777">
        <w:tc>
          <w:tcPr>
            <w:tcW w:w="3331" w:type="dxa"/>
          </w:tcPr>
          <w:p w14:paraId="3C772CF5" w14:textId="77777777" w:rsidR="00565490" w:rsidRPr="00181C52" w:rsidRDefault="00565490" w:rsidP="00F33F9F">
            <w:pPr>
              <w:pStyle w:val="ListParagraph"/>
              <w:ind w:left="0"/>
              <w:rPr>
                <w:sz w:val="23"/>
                <w:szCs w:val="23"/>
              </w:rPr>
            </w:pPr>
            <w:r w:rsidRPr="00181C52">
              <w:rPr>
                <w:sz w:val="23"/>
                <w:szCs w:val="23"/>
              </w:rPr>
              <w:t xml:space="preserve">[For example] </w:t>
            </w:r>
          </w:p>
          <w:p w14:paraId="43048C2B" w14:textId="77777777" w:rsidR="00565490" w:rsidRPr="00181C52" w:rsidRDefault="00565490" w:rsidP="00F33F9F">
            <w:pPr>
              <w:pStyle w:val="ListParagraph"/>
              <w:ind w:left="0"/>
              <w:rPr>
                <w:rFonts w:cs="Calibri"/>
                <w:color w:val="000000" w:themeColor="text1"/>
                <w:sz w:val="23"/>
                <w:szCs w:val="23"/>
              </w:rPr>
            </w:pPr>
            <w:r w:rsidRPr="00181C52">
              <w:rPr>
                <w:sz w:val="23"/>
                <w:szCs w:val="23"/>
              </w:rPr>
              <w:t xml:space="preserve">Structured initiatives that support wellbeing for learning and engagement, for example in-school wellbeing coordinators or </w:t>
            </w:r>
            <w:r w:rsidRPr="00181C52">
              <w:rPr>
                <w:sz w:val="23"/>
                <w:szCs w:val="23"/>
              </w:rPr>
              <w:lastRenderedPageBreak/>
              <w:t>access to School Counsellors, psychologists, mental health workers and</w:t>
            </w:r>
            <w:r>
              <w:rPr>
                <w:sz w:val="23"/>
                <w:szCs w:val="23"/>
              </w:rPr>
              <w:t>/or</w:t>
            </w:r>
            <w:r w:rsidRPr="00181C52">
              <w:rPr>
                <w:sz w:val="23"/>
                <w:szCs w:val="23"/>
              </w:rPr>
              <w:t xml:space="preserve"> youth health nurses.</w:t>
            </w:r>
          </w:p>
        </w:tc>
        <w:tc>
          <w:tcPr>
            <w:tcW w:w="4041" w:type="dxa"/>
          </w:tcPr>
          <w:p w14:paraId="20822D4F" w14:textId="77777777" w:rsidR="00565490" w:rsidRPr="00181C52" w:rsidRDefault="00565490" w:rsidP="00F33F9F">
            <w:pPr>
              <w:rPr>
                <w:lang w:val="en-US"/>
              </w:rPr>
            </w:pPr>
            <w:r w:rsidRPr="2B40E6BD">
              <w:rPr>
                <w:rFonts w:cs="Calibri"/>
                <w:color w:val="000000" w:themeColor="text1"/>
                <w:lang w:val="en-US"/>
              </w:rPr>
              <w:lastRenderedPageBreak/>
              <w:t xml:space="preserve">How much of the Commonwealth additional investment is being targeted to this work. </w:t>
            </w:r>
          </w:p>
        </w:tc>
        <w:tc>
          <w:tcPr>
            <w:tcW w:w="2362" w:type="dxa"/>
          </w:tcPr>
          <w:p w14:paraId="3D10E174" w14:textId="77777777" w:rsidR="00565490" w:rsidRPr="00181C52" w:rsidRDefault="00565490" w:rsidP="00F33F9F">
            <w:pPr>
              <w:pStyle w:val="ListParagraph"/>
              <w:ind w:left="0"/>
              <w:rPr>
                <w:rFonts w:cs="Calibri"/>
                <w:color w:val="000000" w:themeColor="text1"/>
                <w:sz w:val="23"/>
                <w:szCs w:val="23"/>
              </w:rPr>
            </w:pPr>
          </w:p>
        </w:tc>
        <w:tc>
          <w:tcPr>
            <w:tcW w:w="2362" w:type="dxa"/>
          </w:tcPr>
          <w:p w14:paraId="4BA5E9FE" w14:textId="77777777" w:rsidR="00565490" w:rsidRPr="00181C52" w:rsidRDefault="00565490" w:rsidP="00F33F9F">
            <w:pPr>
              <w:pStyle w:val="ListParagraph"/>
              <w:ind w:left="0"/>
              <w:rPr>
                <w:rFonts w:cs="Calibri"/>
                <w:color w:val="000000" w:themeColor="text1"/>
                <w:sz w:val="23"/>
                <w:szCs w:val="23"/>
              </w:rPr>
            </w:pPr>
          </w:p>
        </w:tc>
        <w:tc>
          <w:tcPr>
            <w:tcW w:w="1796" w:type="dxa"/>
          </w:tcPr>
          <w:p w14:paraId="370EA0B9" w14:textId="77777777" w:rsidR="00565490" w:rsidRPr="00181C52" w:rsidRDefault="00565490" w:rsidP="00F33F9F">
            <w:pPr>
              <w:pStyle w:val="ListParagraph"/>
              <w:ind w:left="0"/>
              <w:rPr>
                <w:rFonts w:cs="Calibri"/>
                <w:color w:val="000000" w:themeColor="text1"/>
                <w:sz w:val="23"/>
                <w:szCs w:val="23"/>
              </w:rPr>
            </w:pPr>
            <w:r w:rsidRPr="00181C52">
              <w:rPr>
                <w:rFonts w:cs="Calibri"/>
                <w:color w:val="000000" w:themeColor="text1"/>
                <w:sz w:val="23"/>
                <w:szCs w:val="23"/>
              </w:rPr>
              <w:t xml:space="preserve">For example, </w:t>
            </w:r>
            <w:r>
              <w:rPr>
                <w:rFonts w:cs="Calibri"/>
                <w:color w:val="000000" w:themeColor="text1"/>
                <w:sz w:val="23"/>
                <w:szCs w:val="23"/>
              </w:rPr>
              <w:t>r</w:t>
            </w:r>
            <w:r w:rsidRPr="00181C52">
              <w:rPr>
                <w:rFonts w:cs="Calibri"/>
                <w:color w:val="000000" w:themeColor="text1"/>
                <w:sz w:val="23"/>
                <w:szCs w:val="23"/>
              </w:rPr>
              <w:t xml:space="preserve">atio of wellbeing functions to </w:t>
            </w:r>
            <w:r w:rsidRPr="00181C52">
              <w:rPr>
                <w:rFonts w:cs="Calibri"/>
                <w:color w:val="000000" w:themeColor="text1"/>
                <w:sz w:val="23"/>
                <w:szCs w:val="23"/>
              </w:rPr>
              <w:lastRenderedPageBreak/>
              <w:t>students, where applicable.</w:t>
            </w:r>
          </w:p>
        </w:tc>
      </w:tr>
      <w:tr w:rsidR="00565490" w:rsidRPr="004E237C" w14:paraId="772F9AB6" w14:textId="77777777">
        <w:tc>
          <w:tcPr>
            <w:tcW w:w="3331" w:type="dxa"/>
          </w:tcPr>
          <w:p w14:paraId="623187F3" w14:textId="77777777" w:rsidR="00565490" w:rsidRPr="004E237C" w:rsidRDefault="00565490" w:rsidP="00F33F9F">
            <w:r w:rsidRPr="005C6076">
              <w:rPr>
                <w:rFonts w:cs="Calibri"/>
                <w:color w:val="000000" w:themeColor="text1"/>
              </w:rPr>
              <w:lastRenderedPageBreak/>
              <w:t>[National Reform Direction]</w:t>
            </w:r>
          </w:p>
        </w:tc>
        <w:tc>
          <w:tcPr>
            <w:tcW w:w="4041" w:type="dxa"/>
          </w:tcPr>
          <w:p w14:paraId="21394ED2" w14:textId="77777777" w:rsidR="00565490" w:rsidRPr="005C6076" w:rsidRDefault="00565490" w:rsidP="00F33F9F">
            <w:pPr>
              <w:pStyle w:val="ListParagraph"/>
              <w:ind w:left="0"/>
              <w:rPr>
                <w:rFonts w:cs="Calibri"/>
                <w:color w:val="000000" w:themeColor="text1"/>
                <w:sz w:val="23"/>
                <w:szCs w:val="23"/>
              </w:rPr>
            </w:pPr>
          </w:p>
        </w:tc>
        <w:tc>
          <w:tcPr>
            <w:tcW w:w="2362" w:type="dxa"/>
          </w:tcPr>
          <w:p w14:paraId="2E918417" w14:textId="77777777" w:rsidR="00565490" w:rsidRPr="005C6076" w:rsidRDefault="00565490" w:rsidP="00F33F9F">
            <w:pPr>
              <w:pStyle w:val="ListParagraph"/>
              <w:ind w:left="0"/>
              <w:rPr>
                <w:rFonts w:cs="Calibri"/>
                <w:color w:val="000000" w:themeColor="text1"/>
                <w:sz w:val="23"/>
                <w:szCs w:val="23"/>
              </w:rPr>
            </w:pPr>
          </w:p>
        </w:tc>
        <w:tc>
          <w:tcPr>
            <w:tcW w:w="2362" w:type="dxa"/>
          </w:tcPr>
          <w:p w14:paraId="1F8529DE" w14:textId="77777777" w:rsidR="00565490" w:rsidRPr="005C6076" w:rsidRDefault="00565490" w:rsidP="00F33F9F">
            <w:pPr>
              <w:pStyle w:val="ListParagraph"/>
              <w:ind w:left="0"/>
              <w:rPr>
                <w:rFonts w:cs="Calibri"/>
                <w:color w:val="000000" w:themeColor="text1"/>
                <w:sz w:val="23"/>
                <w:szCs w:val="23"/>
              </w:rPr>
            </w:pPr>
          </w:p>
        </w:tc>
        <w:tc>
          <w:tcPr>
            <w:tcW w:w="1796" w:type="dxa"/>
          </w:tcPr>
          <w:p w14:paraId="52A3F660" w14:textId="77777777" w:rsidR="00565490" w:rsidRPr="005C6076" w:rsidRDefault="00565490" w:rsidP="00F33F9F">
            <w:pPr>
              <w:pStyle w:val="ListParagraph"/>
              <w:ind w:left="0"/>
              <w:rPr>
                <w:rFonts w:cs="Calibri"/>
                <w:color w:val="000000" w:themeColor="text1"/>
                <w:sz w:val="23"/>
                <w:szCs w:val="23"/>
              </w:rPr>
            </w:pPr>
          </w:p>
        </w:tc>
      </w:tr>
    </w:tbl>
    <w:p w14:paraId="784F3026" w14:textId="77777777" w:rsidR="00565490" w:rsidRDefault="00565490" w:rsidP="00565490">
      <w:pPr>
        <w:keepNext/>
        <w:keepLines/>
        <w:spacing w:after="240" w:line="260" w:lineRule="exact"/>
        <w:jc w:val="both"/>
        <w:rPr>
          <w:rFonts w:ascii="Corbel" w:eastAsia="Times New Roman" w:hAnsi="Corbel" w:cs="Corbel"/>
          <w:b/>
          <w:bCs/>
          <w:color w:val="316F72"/>
          <w:sz w:val="28"/>
          <w:szCs w:val="28"/>
          <w:lang w:eastAsia="en-AU"/>
        </w:rPr>
      </w:pPr>
    </w:p>
    <w:p w14:paraId="10F721B6" w14:textId="77777777" w:rsidR="00565490" w:rsidRPr="00A83381" w:rsidRDefault="00565490" w:rsidP="00565490">
      <w:pPr>
        <w:keepNext/>
        <w:keepLines/>
        <w:spacing w:after="240" w:line="260" w:lineRule="exact"/>
        <w:jc w:val="both"/>
        <w:rPr>
          <w:rFonts w:ascii="Corbel" w:eastAsia="Times New Roman" w:hAnsi="Corbel" w:cs="Corbel"/>
          <w:b/>
          <w:bCs/>
          <w:color w:val="316F72"/>
          <w:sz w:val="28"/>
          <w:szCs w:val="28"/>
          <w:lang w:eastAsia="en-AU"/>
        </w:rPr>
      </w:pPr>
      <w:r w:rsidRPr="00A83381">
        <w:rPr>
          <w:rFonts w:ascii="Corbel" w:eastAsia="Times New Roman" w:hAnsi="Corbel"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00565490" w:rsidRPr="004E237C" w14:paraId="42D492CD" w14:textId="77777777">
        <w:trPr>
          <w:trHeight w:val="300"/>
        </w:trPr>
        <w:tc>
          <w:tcPr>
            <w:tcW w:w="1677" w:type="pct"/>
            <w:shd w:val="clear" w:color="auto" w:fill="D9D9D9" w:themeFill="background1" w:themeFillShade="D9"/>
          </w:tcPr>
          <w:p w14:paraId="73D4F8FD" w14:textId="77777777" w:rsidR="00565490" w:rsidRPr="004E237C" w:rsidRDefault="00565490" w:rsidP="00F33F9F">
            <w:pPr>
              <w:spacing w:before="120" w:after="120"/>
              <w:jc w:val="center"/>
              <w:rPr>
                <w:rFonts w:cs="Calibri"/>
                <w:b/>
                <w:sz w:val="24"/>
                <w:szCs w:val="24"/>
              </w:rPr>
            </w:pPr>
            <w:r>
              <w:rPr>
                <w:rFonts w:cs="Calibri"/>
                <w:b/>
                <w:sz w:val="24"/>
                <w:szCs w:val="24"/>
              </w:rPr>
              <w:t xml:space="preserve">National Reform Direction </w:t>
            </w:r>
          </w:p>
        </w:tc>
        <w:tc>
          <w:tcPr>
            <w:tcW w:w="1674" w:type="pct"/>
            <w:shd w:val="clear" w:color="auto" w:fill="D9D9D9" w:themeFill="background1" w:themeFillShade="D9"/>
          </w:tcPr>
          <w:p w14:paraId="4C60F2C0" w14:textId="77777777" w:rsidR="00565490" w:rsidRPr="008F53C8" w:rsidRDefault="00565490" w:rsidP="00F33F9F">
            <w:pPr>
              <w:spacing w:before="120" w:after="120"/>
              <w:jc w:val="center"/>
              <w:rPr>
                <w:rFonts w:cs="Calibri"/>
                <w:b/>
                <w:sz w:val="24"/>
                <w:szCs w:val="24"/>
              </w:rPr>
            </w:pPr>
            <w:r w:rsidRPr="008F53C8">
              <w:rPr>
                <w:rFonts w:cs="Calibri"/>
                <w:b/>
                <w:sz w:val="24"/>
                <w:szCs w:val="24"/>
              </w:rPr>
              <w:t>20x</w:t>
            </w:r>
            <w:r w:rsidRPr="008F53C8">
              <w:rPr>
                <w:rFonts w:cs="Calibri"/>
                <w:b/>
                <w:bCs/>
                <w:sz w:val="24"/>
                <w:szCs w:val="24"/>
              </w:rPr>
              <w:t>x</w:t>
            </w:r>
            <w:r w:rsidRPr="008F53C8">
              <w:rPr>
                <w:rFonts w:cs="Calibri"/>
                <w:b/>
                <w:sz w:val="24"/>
                <w:szCs w:val="24"/>
              </w:rPr>
              <w:t xml:space="preserve"> Update</w:t>
            </w:r>
          </w:p>
        </w:tc>
        <w:tc>
          <w:tcPr>
            <w:tcW w:w="1649" w:type="pct"/>
            <w:shd w:val="clear" w:color="auto" w:fill="D9D9D9" w:themeFill="background1" w:themeFillShade="D9"/>
          </w:tcPr>
          <w:p w14:paraId="3E4D9EDE" w14:textId="77777777" w:rsidR="00565490" w:rsidRPr="008F53C8" w:rsidRDefault="00565490" w:rsidP="00F33F9F">
            <w:pPr>
              <w:spacing w:before="120" w:after="120"/>
              <w:jc w:val="center"/>
              <w:rPr>
                <w:rFonts w:cs="Calibri"/>
                <w:b/>
                <w:sz w:val="24"/>
                <w:szCs w:val="24"/>
              </w:rPr>
            </w:pPr>
            <w:r w:rsidRPr="008F53C8">
              <w:rPr>
                <w:rFonts w:cs="Calibri"/>
                <w:b/>
                <w:sz w:val="24"/>
                <w:szCs w:val="24"/>
              </w:rPr>
              <w:t>Evidence/Caveats/Background Information</w:t>
            </w:r>
          </w:p>
        </w:tc>
      </w:tr>
      <w:tr w:rsidR="00565490" w:rsidRPr="004E237C" w14:paraId="2943733A" w14:textId="77777777">
        <w:trPr>
          <w:trHeight w:val="300"/>
        </w:trPr>
        <w:tc>
          <w:tcPr>
            <w:tcW w:w="1677" w:type="pct"/>
          </w:tcPr>
          <w:p w14:paraId="70108861" w14:textId="77777777" w:rsidR="00565490" w:rsidRPr="004E237C" w:rsidRDefault="00565490" w:rsidP="00F33F9F">
            <w:pPr>
              <w:rPr>
                <w:rFonts w:cs="Calibri"/>
              </w:rPr>
            </w:pPr>
            <w:r w:rsidRPr="1D916E64">
              <w:rPr>
                <w:rFonts w:cs="Calibri"/>
                <w:color w:val="000000" w:themeColor="text1"/>
              </w:rPr>
              <w:t xml:space="preserve">Phonics and early years </w:t>
            </w:r>
            <w:r>
              <w:rPr>
                <w:rFonts w:cs="Calibri"/>
                <w:color w:val="000000" w:themeColor="text1"/>
              </w:rPr>
              <w:t xml:space="preserve">of schooling </w:t>
            </w:r>
            <w:r w:rsidRPr="1D916E64">
              <w:rPr>
                <w:rFonts w:cs="Calibri"/>
                <w:color w:val="000000" w:themeColor="text1"/>
              </w:rPr>
              <w:t xml:space="preserve">numeracy </w:t>
            </w:r>
            <w:r>
              <w:rPr>
                <w:rFonts w:cs="Calibri"/>
                <w:color w:val="000000" w:themeColor="text1"/>
              </w:rPr>
              <w:t>c</w:t>
            </w:r>
            <w:r w:rsidRPr="1D916E64">
              <w:rPr>
                <w:rFonts w:cs="Calibri"/>
                <w:color w:val="000000" w:themeColor="text1"/>
              </w:rPr>
              <w:t>heck participation rate</w:t>
            </w:r>
            <w:r>
              <w:rPr>
                <w:rFonts w:cs="Calibri"/>
                <w:color w:val="000000" w:themeColor="text1"/>
              </w:rPr>
              <w:t>s</w:t>
            </w:r>
            <w:r w:rsidRPr="1D916E64">
              <w:rPr>
                <w:rFonts w:cs="Calibri"/>
                <w:color w:val="000000" w:themeColor="text1"/>
              </w:rPr>
              <w:t xml:space="preserve">, including for priority equity </w:t>
            </w:r>
            <w:r w:rsidRPr="00E4703C">
              <w:rPr>
                <w:rFonts w:cs="Calibri"/>
                <w:color w:val="000000" w:themeColor="text1"/>
              </w:rPr>
              <w:t xml:space="preserve">cohorts </w:t>
            </w:r>
            <w:r w:rsidRPr="00364C43">
              <w:t>(where data is available)</w:t>
            </w:r>
          </w:p>
        </w:tc>
        <w:tc>
          <w:tcPr>
            <w:tcW w:w="1674" w:type="pct"/>
          </w:tcPr>
          <w:p w14:paraId="454CDD23" w14:textId="77777777" w:rsidR="00565490" w:rsidRPr="004E237C" w:rsidRDefault="00565490" w:rsidP="00F33F9F">
            <w:pPr>
              <w:rPr>
                <w:rFonts w:cs="Calibri"/>
              </w:rPr>
            </w:pPr>
          </w:p>
        </w:tc>
        <w:tc>
          <w:tcPr>
            <w:tcW w:w="1649" w:type="pct"/>
          </w:tcPr>
          <w:p w14:paraId="30CC50C5" w14:textId="77777777" w:rsidR="00565490" w:rsidRPr="004E237C" w:rsidRDefault="00565490" w:rsidP="00F33F9F">
            <w:pPr>
              <w:rPr>
                <w:rFonts w:cs="Calibri"/>
              </w:rPr>
            </w:pPr>
          </w:p>
        </w:tc>
      </w:tr>
      <w:tr w:rsidR="00565490" w:rsidRPr="004E237C" w14:paraId="2540026D" w14:textId="77777777">
        <w:trPr>
          <w:trHeight w:val="300"/>
        </w:trPr>
        <w:tc>
          <w:tcPr>
            <w:tcW w:w="1677" w:type="pct"/>
          </w:tcPr>
          <w:p w14:paraId="1BA853DC" w14:textId="77777777" w:rsidR="00565490" w:rsidRPr="1D916E64" w:rsidRDefault="00565490" w:rsidP="00F33F9F">
            <w:pPr>
              <w:rPr>
                <w:rFonts w:cs="Calibri"/>
                <w:color w:val="000000" w:themeColor="text1"/>
              </w:rPr>
            </w:pPr>
            <w:r w:rsidRPr="2F35F003">
              <w:rPr>
                <w:rFonts w:cs="Calibri"/>
                <w:color w:val="000000" w:themeColor="text1"/>
              </w:rPr>
              <w:t>Number of Highly Accomplished and Lead Teachers</w:t>
            </w:r>
            <w:r>
              <w:rPr>
                <w:rFonts w:cs="Calibri"/>
                <w:color w:val="000000" w:themeColor="text1"/>
              </w:rPr>
              <w:t xml:space="preserve"> or equivalent </w:t>
            </w:r>
          </w:p>
        </w:tc>
        <w:tc>
          <w:tcPr>
            <w:tcW w:w="1674" w:type="pct"/>
          </w:tcPr>
          <w:p w14:paraId="23A5E5F5" w14:textId="77777777" w:rsidR="00565490" w:rsidRPr="004E237C" w:rsidRDefault="00565490" w:rsidP="00F33F9F">
            <w:pPr>
              <w:rPr>
                <w:rFonts w:cs="Calibri"/>
              </w:rPr>
            </w:pPr>
          </w:p>
        </w:tc>
        <w:tc>
          <w:tcPr>
            <w:tcW w:w="1649" w:type="pct"/>
          </w:tcPr>
          <w:p w14:paraId="2E73A2F9" w14:textId="77777777" w:rsidR="00565490" w:rsidRPr="004E237C" w:rsidRDefault="00565490" w:rsidP="00F33F9F">
            <w:pPr>
              <w:rPr>
                <w:rFonts w:cs="Calibri"/>
              </w:rPr>
            </w:pPr>
            <w:r>
              <w:rPr>
                <w:rFonts w:cs="Calibri"/>
              </w:rPr>
              <w:t xml:space="preserve">For e.g. </w:t>
            </w:r>
            <w:r w:rsidRPr="2F35F003">
              <w:rPr>
                <w:rFonts w:cs="Calibri"/>
                <w:color w:val="000000" w:themeColor="text1"/>
              </w:rPr>
              <w:t>certain percentage being deployed in schools</w:t>
            </w:r>
            <w:r>
              <w:rPr>
                <w:rFonts w:cs="Calibri"/>
                <w:color w:val="000000" w:themeColor="text1"/>
              </w:rPr>
              <w:t xml:space="preserve"> which need additional support. </w:t>
            </w:r>
          </w:p>
        </w:tc>
      </w:tr>
    </w:tbl>
    <w:p w14:paraId="23A9CC84" w14:textId="77777777" w:rsidR="00565490" w:rsidRDefault="00565490" w:rsidP="00565490">
      <w:pPr>
        <w:keepNext/>
        <w:keepLines/>
        <w:spacing w:after="160" w:line="259" w:lineRule="auto"/>
        <w:rPr>
          <w:rFonts w:asciiTheme="majorHAnsi" w:eastAsiaTheme="majorEastAsia" w:hAnsiTheme="majorHAnsi" w:cstheme="majorBidi"/>
          <w:b/>
          <w:color w:val="1F4D78" w:themeColor="accent1" w:themeShade="7F"/>
          <w:sz w:val="24"/>
          <w:szCs w:val="24"/>
        </w:rPr>
      </w:pPr>
      <w:r>
        <w:rPr>
          <w:rFonts w:ascii="Corbel" w:eastAsia="Times New Roman" w:hAnsi="Corbel" w:cs="Corbel"/>
          <w:b/>
          <w:bCs/>
          <w:color w:val="316F72"/>
          <w:sz w:val="28"/>
          <w:szCs w:val="28"/>
          <w:lang w:eastAsia="en-AU"/>
        </w:rPr>
        <w:br w:type="page"/>
      </w:r>
    </w:p>
    <w:p w14:paraId="4417B147" w14:textId="77777777" w:rsidR="00565490" w:rsidRPr="00A83381" w:rsidRDefault="00565490" w:rsidP="00565490">
      <w:pPr>
        <w:keepNext/>
        <w:keepLines/>
        <w:spacing w:after="240" w:line="260" w:lineRule="exact"/>
        <w:jc w:val="both"/>
        <w:rPr>
          <w:rFonts w:ascii="Corbel" w:eastAsia="Times New Roman" w:hAnsi="Corbel" w:cs="Corbel"/>
          <w:b/>
          <w:bCs/>
          <w:color w:val="316F72"/>
          <w:sz w:val="28"/>
          <w:szCs w:val="28"/>
          <w:lang w:eastAsia="en-AU"/>
        </w:rPr>
      </w:pPr>
      <w:r w:rsidRPr="00A83381">
        <w:rPr>
          <w:rFonts w:ascii="Corbel" w:eastAsia="Times New Roman" w:hAnsi="Corbel" w:cs="Corbel"/>
          <w:b/>
          <w:bCs/>
          <w:color w:val="316F72"/>
          <w:sz w:val="28"/>
          <w:szCs w:val="28"/>
          <w:lang w:eastAsia="en-AU"/>
        </w:rPr>
        <w:lastRenderedPageBreak/>
        <w:t>Improvement Measures</w:t>
      </w:r>
    </w:p>
    <w:p w14:paraId="5BF8DC04" w14:textId="77777777" w:rsidR="00565490" w:rsidRPr="004E237C" w:rsidRDefault="00565490" w:rsidP="00565490">
      <w:pPr>
        <w:keepNext/>
        <w:rPr>
          <w:rFonts w:eastAsiaTheme="minorEastAsia" w:cs="Calibri"/>
        </w:rPr>
      </w:pPr>
      <w:r>
        <w:rPr>
          <w:rFonts w:cs="Arial"/>
        </w:rPr>
        <w:t>The Northern Territory is</w:t>
      </w:r>
      <w:r w:rsidRPr="004E237C">
        <w:rPr>
          <w:rFonts w:eastAsiaTheme="minorEastAsia" w:cs="Calibri"/>
        </w:rPr>
        <w:t xml:space="preserve"> required to fill in the following table outlining their progress against </w:t>
      </w:r>
      <w:r>
        <w:rPr>
          <w:rFonts w:eastAsiaTheme="minorEastAsia" w:cs="Calibri"/>
        </w:rPr>
        <w:t>identified</w:t>
      </w:r>
      <w:r w:rsidRPr="004E237C">
        <w:rPr>
          <w:rFonts w:eastAsiaTheme="minorEastAsia" w:cs="Calibri"/>
        </w:rPr>
        <w:t xml:space="preserve"> agreed </w:t>
      </w:r>
      <w:r>
        <w:rPr>
          <w:rFonts w:eastAsiaTheme="minorEastAsia" w:cs="Calibri"/>
        </w:rPr>
        <w:t>I</w:t>
      </w:r>
      <w:r w:rsidRPr="004E237C">
        <w:rPr>
          <w:rFonts w:eastAsiaTheme="minorEastAsia" w:cs="Calibri"/>
        </w:rPr>
        <w:t xml:space="preserve">mprovement </w:t>
      </w:r>
      <w:r>
        <w:rPr>
          <w:rFonts w:eastAsiaTheme="minorEastAsia" w:cs="Calibri"/>
        </w:rPr>
        <w:t>M</w:t>
      </w:r>
      <w:r w:rsidRPr="004E237C">
        <w:rPr>
          <w:rFonts w:eastAsiaTheme="minorEastAsia" w:cs="Calibri"/>
        </w:rPr>
        <w:t>easures</w:t>
      </w:r>
      <w:r>
        <w:rPr>
          <w:rFonts w:eastAsiaTheme="minorEastAsia" w:cs="Calibri"/>
        </w:rPr>
        <w:t>, only where data is not available at the Commonwealth level</w:t>
      </w:r>
      <w:r w:rsidRPr="004E237C">
        <w:rPr>
          <w:rFonts w:eastAsiaTheme="minorEastAsia" w:cs="Calibri"/>
        </w:rPr>
        <w:t xml:space="preserve">: </w:t>
      </w:r>
    </w:p>
    <w:tbl>
      <w:tblPr>
        <w:tblStyle w:val="TableGrid"/>
        <w:tblW w:w="5031" w:type="pct"/>
        <w:tblInd w:w="-5" w:type="dxa"/>
        <w:tblLook w:val="04A0" w:firstRow="1" w:lastRow="0" w:firstColumn="1" w:lastColumn="0" w:noHBand="0" w:noVBand="1"/>
      </w:tblPr>
      <w:tblGrid>
        <w:gridCol w:w="4572"/>
        <w:gridCol w:w="4564"/>
        <w:gridCol w:w="4636"/>
      </w:tblGrid>
      <w:tr w:rsidR="00565490" w:rsidRPr="004E237C" w14:paraId="26FEF870" w14:textId="77777777">
        <w:trPr>
          <w:trHeight w:val="300"/>
        </w:trPr>
        <w:tc>
          <w:tcPr>
            <w:tcW w:w="1660" w:type="pct"/>
            <w:shd w:val="clear" w:color="auto" w:fill="D9D9D9" w:themeFill="background1" w:themeFillShade="D9"/>
          </w:tcPr>
          <w:p w14:paraId="751D5C84" w14:textId="77777777" w:rsidR="00565490" w:rsidRPr="004E237C" w:rsidRDefault="00565490" w:rsidP="00F33F9F">
            <w:pPr>
              <w:spacing w:before="120" w:after="120"/>
              <w:jc w:val="center"/>
              <w:rPr>
                <w:rFonts w:cs="Calibri"/>
                <w:b/>
                <w:sz w:val="24"/>
                <w:szCs w:val="24"/>
              </w:rPr>
            </w:pPr>
            <w:r w:rsidRPr="004E237C">
              <w:rPr>
                <w:rFonts w:cs="Calibri"/>
                <w:b/>
                <w:sz w:val="24"/>
                <w:szCs w:val="24"/>
              </w:rPr>
              <w:t>Improvement Measure</w:t>
            </w:r>
          </w:p>
        </w:tc>
        <w:tc>
          <w:tcPr>
            <w:tcW w:w="1657" w:type="pct"/>
            <w:shd w:val="clear" w:color="auto" w:fill="D9D9D9" w:themeFill="background1" w:themeFillShade="D9"/>
          </w:tcPr>
          <w:p w14:paraId="027336B5" w14:textId="77777777" w:rsidR="00565490" w:rsidRPr="004E237C" w:rsidRDefault="00565490" w:rsidP="00F33F9F">
            <w:pPr>
              <w:spacing w:before="120" w:after="120"/>
              <w:jc w:val="center"/>
              <w:rPr>
                <w:rFonts w:cs="Calibri"/>
                <w:b/>
                <w:sz w:val="24"/>
                <w:szCs w:val="24"/>
              </w:rPr>
            </w:pPr>
            <w:r w:rsidRPr="004E237C">
              <w:rPr>
                <w:rFonts w:cs="Calibri"/>
                <w:b/>
                <w:sz w:val="24"/>
                <w:szCs w:val="24"/>
              </w:rPr>
              <w:t>20</w:t>
            </w:r>
            <w:r>
              <w:rPr>
                <w:rFonts w:cs="Calibri"/>
                <w:b/>
                <w:sz w:val="24"/>
                <w:szCs w:val="24"/>
              </w:rPr>
              <w:t>x</w:t>
            </w:r>
            <w:r w:rsidRPr="004E237C">
              <w:rPr>
                <w:rFonts w:cs="Calibri"/>
                <w:b/>
                <w:bCs/>
                <w:sz w:val="24"/>
                <w:szCs w:val="24"/>
              </w:rPr>
              <w:t>x</w:t>
            </w:r>
            <w:r w:rsidRPr="004E237C">
              <w:rPr>
                <w:rFonts w:cs="Calibri"/>
                <w:b/>
                <w:sz w:val="24"/>
                <w:szCs w:val="24"/>
              </w:rPr>
              <w:t xml:space="preserve"> Update</w:t>
            </w:r>
          </w:p>
        </w:tc>
        <w:tc>
          <w:tcPr>
            <w:tcW w:w="1684" w:type="pct"/>
            <w:shd w:val="clear" w:color="auto" w:fill="D9D9D9" w:themeFill="background1" w:themeFillShade="D9"/>
          </w:tcPr>
          <w:p w14:paraId="19066FE2" w14:textId="77777777" w:rsidR="00565490" w:rsidRPr="004E237C" w:rsidRDefault="00565490" w:rsidP="00F33F9F">
            <w:pPr>
              <w:spacing w:before="120" w:after="120"/>
              <w:jc w:val="center"/>
              <w:rPr>
                <w:rFonts w:cs="Calibri"/>
                <w:b/>
                <w:sz w:val="24"/>
                <w:szCs w:val="24"/>
              </w:rPr>
            </w:pPr>
            <w:r w:rsidRPr="004E237C">
              <w:rPr>
                <w:rFonts w:cs="Calibri"/>
                <w:b/>
                <w:sz w:val="24"/>
                <w:szCs w:val="24"/>
              </w:rPr>
              <w:t>Evidence/Caveats/Background Information</w:t>
            </w:r>
          </w:p>
        </w:tc>
      </w:tr>
      <w:tr w:rsidR="00565490" w:rsidRPr="004E237C" w14:paraId="11E79690" w14:textId="77777777">
        <w:trPr>
          <w:trHeight w:val="300"/>
        </w:trPr>
        <w:tc>
          <w:tcPr>
            <w:tcW w:w="1660" w:type="pct"/>
          </w:tcPr>
          <w:p w14:paraId="1E8DA82C" w14:textId="77777777" w:rsidR="00565490" w:rsidRPr="004E237C" w:rsidRDefault="00565490" w:rsidP="00F33F9F">
            <w:pPr>
              <w:rPr>
                <w:rFonts w:cs="Calibri"/>
              </w:rPr>
            </w:pPr>
            <w:r w:rsidRPr="004E237C">
              <w:rPr>
                <w:rFonts w:cs="Calibri"/>
              </w:rPr>
              <w:t>[Jurisdiction-level</w:t>
            </w:r>
            <w:r>
              <w:rPr>
                <w:rFonts w:cs="Calibri"/>
              </w:rPr>
              <w:t xml:space="preserve"> I</w:t>
            </w:r>
            <w:r w:rsidRPr="004E237C">
              <w:rPr>
                <w:rFonts w:cs="Calibri"/>
              </w:rPr>
              <w:t xml:space="preserve">mprovement </w:t>
            </w:r>
            <w:r>
              <w:rPr>
                <w:rFonts w:cs="Calibri"/>
              </w:rPr>
              <w:t>M</w:t>
            </w:r>
            <w:r w:rsidRPr="004E237C">
              <w:rPr>
                <w:rFonts w:cs="Calibri"/>
              </w:rPr>
              <w:t>easure]</w:t>
            </w:r>
          </w:p>
        </w:tc>
        <w:tc>
          <w:tcPr>
            <w:tcW w:w="1657" w:type="pct"/>
          </w:tcPr>
          <w:p w14:paraId="3B795E66" w14:textId="77777777" w:rsidR="00565490" w:rsidRPr="004E237C" w:rsidRDefault="00565490" w:rsidP="00F33F9F">
            <w:pPr>
              <w:rPr>
                <w:rFonts w:cs="Calibri"/>
              </w:rPr>
            </w:pPr>
          </w:p>
        </w:tc>
        <w:tc>
          <w:tcPr>
            <w:tcW w:w="1684" w:type="pct"/>
          </w:tcPr>
          <w:p w14:paraId="3A2754A8" w14:textId="77777777" w:rsidR="00565490" w:rsidRPr="004E237C" w:rsidRDefault="00565490" w:rsidP="00F33F9F">
            <w:pPr>
              <w:rPr>
                <w:rFonts w:cs="Calibri"/>
              </w:rPr>
            </w:pPr>
          </w:p>
        </w:tc>
      </w:tr>
      <w:tr w:rsidR="00565490" w:rsidRPr="004E237C" w14:paraId="24A28532" w14:textId="77777777">
        <w:trPr>
          <w:trHeight w:val="300"/>
        </w:trPr>
        <w:tc>
          <w:tcPr>
            <w:tcW w:w="1660" w:type="pct"/>
          </w:tcPr>
          <w:p w14:paraId="7C87CA81" w14:textId="77777777" w:rsidR="00565490" w:rsidRPr="004E237C" w:rsidRDefault="00565490" w:rsidP="00F33F9F">
            <w:pPr>
              <w:rPr>
                <w:rFonts w:cs="Calibri"/>
              </w:rPr>
            </w:pPr>
            <w:r>
              <w:rPr>
                <w:rFonts w:cs="Calibri"/>
              </w:rPr>
              <w:t>[Identified jurisdictional target, where target already exists (if applicable)]</w:t>
            </w:r>
          </w:p>
        </w:tc>
        <w:tc>
          <w:tcPr>
            <w:tcW w:w="1657" w:type="pct"/>
          </w:tcPr>
          <w:p w14:paraId="0070BFE9" w14:textId="77777777" w:rsidR="00565490" w:rsidRPr="004E237C" w:rsidRDefault="00565490" w:rsidP="00F33F9F">
            <w:pPr>
              <w:rPr>
                <w:rFonts w:cs="Calibri"/>
              </w:rPr>
            </w:pPr>
          </w:p>
        </w:tc>
        <w:tc>
          <w:tcPr>
            <w:tcW w:w="1684" w:type="pct"/>
          </w:tcPr>
          <w:p w14:paraId="007F09AB" w14:textId="77777777" w:rsidR="00565490" w:rsidRPr="004E237C" w:rsidRDefault="00565490" w:rsidP="00F33F9F">
            <w:pPr>
              <w:rPr>
                <w:rFonts w:cs="Calibri"/>
              </w:rPr>
            </w:pPr>
          </w:p>
        </w:tc>
      </w:tr>
    </w:tbl>
    <w:p w14:paraId="09DC8441" w14:textId="77777777" w:rsidR="00565490" w:rsidRPr="00211AE0" w:rsidRDefault="00565490" w:rsidP="00565490">
      <w:pPr>
        <w:tabs>
          <w:tab w:val="left" w:pos="3569"/>
        </w:tabs>
        <w:spacing w:before="480" w:after="180" w:line="240" w:lineRule="auto"/>
        <w:outlineLvl w:val="0"/>
        <w:rPr>
          <w:rFonts w:ascii="Corbel" w:hAnsi="Corbel"/>
        </w:rPr>
      </w:pPr>
    </w:p>
    <w:p w14:paraId="330E46AB" w14:textId="381CBABE" w:rsidR="006C362E" w:rsidRPr="006C362E" w:rsidRDefault="006C362E" w:rsidP="00565490">
      <w:pPr>
        <w:tabs>
          <w:tab w:val="left" w:pos="426"/>
        </w:tabs>
        <w:spacing w:after="240" w:line="260" w:lineRule="exact"/>
        <w:jc w:val="both"/>
        <w:rPr>
          <w:rFonts w:ascii="Corbel" w:eastAsia="Times New Roman" w:hAnsi="Corbel" w:cs="Calibri"/>
          <w:color w:val="000000"/>
          <w:sz w:val="23"/>
          <w:szCs w:val="23"/>
          <w:lang w:eastAsia="en-AU"/>
        </w:rPr>
      </w:pPr>
    </w:p>
    <w:sectPr w:rsidR="006C362E" w:rsidRPr="006C362E" w:rsidSect="00565490">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47FF" w14:textId="77777777" w:rsidR="005A0BD2" w:rsidRDefault="005A0BD2" w:rsidP="00573B79">
      <w:pPr>
        <w:spacing w:after="0" w:line="240" w:lineRule="auto"/>
      </w:pPr>
      <w:r>
        <w:separator/>
      </w:r>
    </w:p>
  </w:endnote>
  <w:endnote w:type="continuationSeparator" w:id="0">
    <w:p w14:paraId="7B82995B" w14:textId="77777777" w:rsidR="005A0BD2" w:rsidRDefault="005A0BD2" w:rsidP="00573B79">
      <w:pPr>
        <w:spacing w:after="0" w:line="240" w:lineRule="auto"/>
      </w:pPr>
      <w:r>
        <w:continuationSeparator/>
      </w:r>
    </w:p>
  </w:endnote>
  <w:endnote w:type="continuationNotice" w:id="1">
    <w:p w14:paraId="7466A938" w14:textId="77777777" w:rsidR="005A0BD2" w:rsidRDefault="005A0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79283"/>
      <w:docPartObj>
        <w:docPartGallery w:val="Page Numbers (Bottom of Page)"/>
        <w:docPartUnique/>
      </w:docPartObj>
    </w:sdtPr>
    <w:sdtEndPr/>
    <w:sdtContent>
      <w:sdt>
        <w:sdtPr>
          <w:id w:val="-1769616900"/>
          <w:docPartObj>
            <w:docPartGallery w:val="Page Numbers (Top of Page)"/>
            <w:docPartUnique/>
          </w:docPartObj>
        </w:sdtPr>
        <w:sdtEndPr/>
        <w:sdtContent>
          <w:p w14:paraId="1C3F791F" w14:textId="6F82D221" w:rsidR="00447A36"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152ABE" w14:textId="2B70AA3C" w:rsidR="004767B9" w:rsidRPr="00F52943" w:rsidRDefault="004767B9" w:rsidP="00F52943">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8288" w14:textId="77777777" w:rsidR="005A0BD2" w:rsidRDefault="005A0BD2" w:rsidP="00573B79">
      <w:pPr>
        <w:spacing w:after="0" w:line="240" w:lineRule="auto"/>
      </w:pPr>
      <w:r>
        <w:separator/>
      </w:r>
    </w:p>
  </w:footnote>
  <w:footnote w:type="continuationSeparator" w:id="0">
    <w:p w14:paraId="286E886B" w14:textId="77777777" w:rsidR="005A0BD2" w:rsidRDefault="005A0BD2" w:rsidP="00573B79">
      <w:pPr>
        <w:spacing w:after="0" w:line="240" w:lineRule="auto"/>
      </w:pPr>
      <w:r>
        <w:continuationSeparator/>
      </w:r>
    </w:p>
  </w:footnote>
  <w:footnote w:type="continuationNotice" w:id="1">
    <w:p w14:paraId="0D1B740C" w14:textId="77777777" w:rsidR="005A0BD2" w:rsidRDefault="005A0BD2">
      <w:pPr>
        <w:spacing w:after="0" w:line="240" w:lineRule="auto"/>
      </w:pPr>
    </w:p>
  </w:footnote>
  <w:footnote w:id="2">
    <w:p w14:paraId="6F2B5F1A" w14:textId="1D87E8C8" w:rsidR="00E96FAE" w:rsidRPr="008C71D1" w:rsidRDefault="00E96FAE">
      <w:pPr>
        <w:pStyle w:val="FootnoteText"/>
        <w:rPr>
          <w:lang w:val="en-AU"/>
        </w:rPr>
      </w:pPr>
      <w:r>
        <w:rPr>
          <w:rStyle w:val="FootnoteReference"/>
        </w:rPr>
        <w:footnoteRef/>
      </w:r>
      <w:r>
        <w:t xml:space="preserve"> Note: The recommendations from the Review of Secondary Education in the NT span across the 3 Reform Priority Areas; however for the purpose of this table the recommendations have been included under Reform Priority Area B: Wellbeing for Learning and Engagement.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BAC"/>
    <w:multiLevelType w:val="hybridMultilevel"/>
    <w:tmpl w:val="1D28F99C"/>
    <w:lvl w:ilvl="0" w:tplc="638C6520">
      <w:start w:val="1"/>
      <w:numFmt w:val="lowerRoman"/>
      <w:lvlText w:val="%1."/>
      <w:lvlJc w:val="left"/>
      <w:pPr>
        <w:ind w:left="1440" w:hanging="360"/>
      </w:pPr>
      <w:rPr>
        <w:rFonts w:ascii="Corbel" w:eastAsiaTheme="minorHAnsi" w:hAnsi="Corbel" w:cstheme="minorHAnsi"/>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43168E5"/>
    <w:multiLevelType w:val="hybridMultilevel"/>
    <w:tmpl w:val="B82AD600"/>
    <w:lvl w:ilvl="0" w:tplc="67C4386E">
      <w:start w:val="1"/>
      <w:numFmt w:val="decimal"/>
      <w:lvlText w:val="%1."/>
      <w:lvlJc w:val="left"/>
      <w:pPr>
        <w:ind w:left="1020" w:hanging="360"/>
      </w:pPr>
    </w:lvl>
    <w:lvl w:ilvl="1" w:tplc="4C64FA2E">
      <w:start w:val="1"/>
      <w:numFmt w:val="decimal"/>
      <w:lvlText w:val="%2."/>
      <w:lvlJc w:val="left"/>
      <w:pPr>
        <w:ind w:left="1020" w:hanging="360"/>
      </w:pPr>
    </w:lvl>
    <w:lvl w:ilvl="2" w:tplc="63FAF8F2">
      <w:start w:val="1"/>
      <w:numFmt w:val="decimal"/>
      <w:lvlText w:val="%3."/>
      <w:lvlJc w:val="left"/>
      <w:pPr>
        <w:ind w:left="1020" w:hanging="360"/>
      </w:pPr>
    </w:lvl>
    <w:lvl w:ilvl="3" w:tplc="02AE2F24">
      <w:start w:val="1"/>
      <w:numFmt w:val="decimal"/>
      <w:lvlText w:val="%4."/>
      <w:lvlJc w:val="left"/>
      <w:pPr>
        <w:ind w:left="1020" w:hanging="360"/>
      </w:pPr>
    </w:lvl>
    <w:lvl w:ilvl="4" w:tplc="083EA266">
      <w:start w:val="1"/>
      <w:numFmt w:val="decimal"/>
      <w:lvlText w:val="%5."/>
      <w:lvlJc w:val="left"/>
      <w:pPr>
        <w:ind w:left="1020" w:hanging="360"/>
      </w:pPr>
    </w:lvl>
    <w:lvl w:ilvl="5" w:tplc="8F8EA7A2">
      <w:start w:val="1"/>
      <w:numFmt w:val="decimal"/>
      <w:lvlText w:val="%6."/>
      <w:lvlJc w:val="left"/>
      <w:pPr>
        <w:ind w:left="1020" w:hanging="360"/>
      </w:pPr>
    </w:lvl>
    <w:lvl w:ilvl="6" w:tplc="5E520CAC">
      <w:start w:val="1"/>
      <w:numFmt w:val="decimal"/>
      <w:lvlText w:val="%7."/>
      <w:lvlJc w:val="left"/>
      <w:pPr>
        <w:ind w:left="1020" w:hanging="360"/>
      </w:pPr>
    </w:lvl>
    <w:lvl w:ilvl="7" w:tplc="603423E4">
      <w:start w:val="1"/>
      <w:numFmt w:val="decimal"/>
      <w:lvlText w:val="%8."/>
      <w:lvlJc w:val="left"/>
      <w:pPr>
        <w:ind w:left="1020" w:hanging="360"/>
      </w:pPr>
    </w:lvl>
    <w:lvl w:ilvl="8" w:tplc="659A24AE">
      <w:start w:val="1"/>
      <w:numFmt w:val="decimal"/>
      <w:lvlText w:val="%9."/>
      <w:lvlJc w:val="left"/>
      <w:pPr>
        <w:ind w:left="1020" w:hanging="360"/>
      </w:pPr>
    </w:lvl>
  </w:abstractNum>
  <w:abstractNum w:abstractNumId="2" w15:restartNumberingAfterBreak="0">
    <w:nsid w:val="051F36E4"/>
    <w:multiLevelType w:val="hybridMultilevel"/>
    <w:tmpl w:val="CBCE3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13EF5"/>
    <w:multiLevelType w:val="hybridMultilevel"/>
    <w:tmpl w:val="8E0ABC2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B0DE22"/>
    <w:multiLevelType w:val="hybridMultilevel"/>
    <w:tmpl w:val="79B49106"/>
    <w:lvl w:ilvl="0" w:tplc="07CA310A">
      <w:start w:val="1"/>
      <w:numFmt w:val="bullet"/>
      <w:lvlText w:val=""/>
      <w:lvlJc w:val="left"/>
      <w:pPr>
        <w:ind w:left="720" w:hanging="360"/>
      </w:pPr>
      <w:rPr>
        <w:rFonts w:ascii="Symbol" w:hAnsi="Symbol" w:hint="default"/>
      </w:rPr>
    </w:lvl>
    <w:lvl w:ilvl="1" w:tplc="CCEAB564">
      <w:start w:val="1"/>
      <w:numFmt w:val="bullet"/>
      <w:lvlText w:val="o"/>
      <w:lvlJc w:val="left"/>
      <w:pPr>
        <w:ind w:left="1440" w:hanging="360"/>
      </w:pPr>
      <w:rPr>
        <w:rFonts w:ascii="Courier New" w:hAnsi="Courier New" w:hint="default"/>
      </w:rPr>
    </w:lvl>
    <w:lvl w:ilvl="2" w:tplc="4E708EEE">
      <w:start w:val="1"/>
      <w:numFmt w:val="bullet"/>
      <w:lvlText w:val=""/>
      <w:lvlJc w:val="left"/>
      <w:pPr>
        <w:ind w:left="2160" w:hanging="360"/>
      </w:pPr>
      <w:rPr>
        <w:rFonts w:ascii="Wingdings" w:hAnsi="Wingdings" w:hint="default"/>
      </w:rPr>
    </w:lvl>
    <w:lvl w:ilvl="3" w:tplc="AB263C6E">
      <w:start w:val="1"/>
      <w:numFmt w:val="bullet"/>
      <w:lvlText w:val=""/>
      <w:lvlJc w:val="left"/>
      <w:pPr>
        <w:ind w:left="2880" w:hanging="360"/>
      </w:pPr>
      <w:rPr>
        <w:rFonts w:ascii="Symbol" w:hAnsi="Symbol" w:hint="default"/>
      </w:rPr>
    </w:lvl>
    <w:lvl w:ilvl="4" w:tplc="C992687E">
      <w:start w:val="1"/>
      <w:numFmt w:val="bullet"/>
      <w:lvlText w:val="o"/>
      <w:lvlJc w:val="left"/>
      <w:pPr>
        <w:ind w:left="3600" w:hanging="360"/>
      </w:pPr>
      <w:rPr>
        <w:rFonts w:ascii="Courier New" w:hAnsi="Courier New" w:hint="default"/>
      </w:rPr>
    </w:lvl>
    <w:lvl w:ilvl="5" w:tplc="3822FAD8">
      <w:start w:val="1"/>
      <w:numFmt w:val="bullet"/>
      <w:lvlText w:val=""/>
      <w:lvlJc w:val="left"/>
      <w:pPr>
        <w:ind w:left="4320" w:hanging="360"/>
      </w:pPr>
      <w:rPr>
        <w:rFonts w:ascii="Wingdings" w:hAnsi="Wingdings" w:hint="default"/>
      </w:rPr>
    </w:lvl>
    <w:lvl w:ilvl="6" w:tplc="F7F642C0">
      <w:start w:val="1"/>
      <w:numFmt w:val="bullet"/>
      <w:lvlText w:val=""/>
      <w:lvlJc w:val="left"/>
      <w:pPr>
        <w:ind w:left="5040" w:hanging="360"/>
      </w:pPr>
      <w:rPr>
        <w:rFonts w:ascii="Symbol" w:hAnsi="Symbol" w:hint="default"/>
      </w:rPr>
    </w:lvl>
    <w:lvl w:ilvl="7" w:tplc="2D6E3CD2">
      <w:start w:val="1"/>
      <w:numFmt w:val="bullet"/>
      <w:lvlText w:val="o"/>
      <w:lvlJc w:val="left"/>
      <w:pPr>
        <w:ind w:left="5760" w:hanging="360"/>
      </w:pPr>
      <w:rPr>
        <w:rFonts w:ascii="Courier New" w:hAnsi="Courier New" w:hint="default"/>
      </w:rPr>
    </w:lvl>
    <w:lvl w:ilvl="8" w:tplc="8E8C33EA">
      <w:start w:val="1"/>
      <w:numFmt w:val="bullet"/>
      <w:lvlText w:val=""/>
      <w:lvlJc w:val="left"/>
      <w:pPr>
        <w:ind w:left="6480" w:hanging="360"/>
      </w:pPr>
      <w:rPr>
        <w:rFonts w:ascii="Wingdings" w:hAnsi="Wingdings" w:hint="default"/>
      </w:rPr>
    </w:lvl>
  </w:abstractNum>
  <w:abstractNum w:abstractNumId="5" w15:restartNumberingAfterBreak="0">
    <w:nsid w:val="0EECDDB7"/>
    <w:multiLevelType w:val="hybridMultilevel"/>
    <w:tmpl w:val="FFFFFFFF"/>
    <w:lvl w:ilvl="0" w:tplc="E6169D1A">
      <w:start w:val="1"/>
      <w:numFmt w:val="bullet"/>
      <w:lvlText w:val=""/>
      <w:lvlJc w:val="left"/>
      <w:pPr>
        <w:ind w:left="360" w:hanging="360"/>
      </w:pPr>
      <w:rPr>
        <w:rFonts w:ascii="Symbol" w:hAnsi="Symbol" w:hint="default"/>
      </w:rPr>
    </w:lvl>
    <w:lvl w:ilvl="1" w:tplc="5EE85E96">
      <w:start w:val="1"/>
      <w:numFmt w:val="bullet"/>
      <w:lvlText w:val="o"/>
      <w:lvlJc w:val="left"/>
      <w:pPr>
        <w:ind w:left="1440" w:hanging="360"/>
      </w:pPr>
      <w:rPr>
        <w:rFonts w:ascii="Courier New" w:hAnsi="Courier New" w:hint="default"/>
      </w:rPr>
    </w:lvl>
    <w:lvl w:ilvl="2" w:tplc="FF2260C6">
      <w:start w:val="1"/>
      <w:numFmt w:val="bullet"/>
      <w:lvlText w:val=""/>
      <w:lvlJc w:val="left"/>
      <w:pPr>
        <w:ind w:left="2160" w:hanging="360"/>
      </w:pPr>
      <w:rPr>
        <w:rFonts w:ascii="Wingdings" w:hAnsi="Wingdings" w:hint="default"/>
      </w:rPr>
    </w:lvl>
    <w:lvl w:ilvl="3" w:tplc="1BB4390E">
      <w:start w:val="1"/>
      <w:numFmt w:val="bullet"/>
      <w:lvlText w:val=""/>
      <w:lvlJc w:val="left"/>
      <w:pPr>
        <w:ind w:left="2880" w:hanging="360"/>
      </w:pPr>
      <w:rPr>
        <w:rFonts w:ascii="Symbol" w:hAnsi="Symbol" w:hint="default"/>
      </w:rPr>
    </w:lvl>
    <w:lvl w:ilvl="4" w:tplc="1CD456E2">
      <w:start w:val="1"/>
      <w:numFmt w:val="bullet"/>
      <w:lvlText w:val="o"/>
      <w:lvlJc w:val="left"/>
      <w:pPr>
        <w:ind w:left="3600" w:hanging="360"/>
      </w:pPr>
      <w:rPr>
        <w:rFonts w:ascii="Courier New" w:hAnsi="Courier New" w:hint="default"/>
      </w:rPr>
    </w:lvl>
    <w:lvl w:ilvl="5" w:tplc="787CCDE0">
      <w:start w:val="1"/>
      <w:numFmt w:val="bullet"/>
      <w:lvlText w:val=""/>
      <w:lvlJc w:val="left"/>
      <w:pPr>
        <w:ind w:left="4320" w:hanging="360"/>
      </w:pPr>
      <w:rPr>
        <w:rFonts w:ascii="Wingdings" w:hAnsi="Wingdings" w:hint="default"/>
      </w:rPr>
    </w:lvl>
    <w:lvl w:ilvl="6" w:tplc="A6E09128">
      <w:start w:val="1"/>
      <w:numFmt w:val="bullet"/>
      <w:lvlText w:val=""/>
      <w:lvlJc w:val="left"/>
      <w:pPr>
        <w:ind w:left="5040" w:hanging="360"/>
      </w:pPr>
      <w:rPr>
        <w:rFonts w:ascii="Symbol" w:hAnsi="Symbol" w:hint="default"/>
      </w:rPr>
    </w:lvl>
    <w:lvl w:ilvl="7" w:tplc="51A22274">
      <w:start w:val="1"/>
      <w:numFmt w:val="bullet"/>
      <w:lvlText w:val="o"/>
      <w:lvlJc w:val="left"/>
      <w:pPr>
        <w:ind w:left="5760" w:hanging="360"/>
      </w:pPr>
      <w:rPr>
        <w:rFonts w:ascii="Courier New" w:hAnsi="Courier New" w:hint="default"/>
      </w:rPr>
    </w:lvl>
    <w:lvl w:ilvl="8" w:tplc="1686974C">
      <w:start w:val="1"/>
      <w:numFmt w:val="bullet"/>
      <w:lvlText w:val=""/>
      <w:lvlJc w:val="left"/>
      <w:pPr>
        <w:ind w:left="6480" w:hanging="360"/>
      </w:pPr>
      <w:rPr>
        <w:rFonts w:ascii="Wingdings" w:hAnsi="Wingdings" w:hint="default"/>
      </w:rPr>
    </w:lvl>
  </w:abstractNum>
  <w:abstractNum w:abstractNumId="6" w15:restartNumberingAfterBreak="0">
    <w:nsid w:val="10024AF4"/>
    <w:multiLevelType w:val="hybridMultilevel"/>
    <w:tmpl w:val="066A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2BFF7"/>
    <w:multiLevelType w:val="hybridMultilevel"/>
    <w:tmpl w:val="BF6C4C8E"/>
    <w:lvl w:ilvl="0" w:tplc="562439B2">
      <w:start w:val="1"/>
      <w:numFmt w:val="bullet"/>
      <w:lvlText w:val=""/>
      <w:lvlJc w:val="left"/>
      <w:pPr>
        <w:ind w:left="360" w:hanging="360"/>
      </w:pPr>
      <w:rPr>
        <w:rFonts w:ascii="Symbol" w:hAnsi="Symbol" w:hint="default"/>
      </w:rPr>
    </w:lvl>
    <w:lvl w:ilvl="1" w:tplc="E974A332">
      <w:start w:val="1"/>
      <w:numFmt w:val="bullet"/>
      <w:lvlText w:val="o"/>
      <w:lvlJc w:val="left"/>
      <w:pPr>
        <w:ind w:left="1080" w:hanging="360"/>
      </w:pPr>
      <w:rPr>
        <w:rFonts w:ascii="Courier New" w:hAnsi="Courier New" w:hint="default"/>
      </w:rPr>
    </w:lvl>
    <w:lvl w:ilvl="2" w:tplc="5986F788">
      <w:start w:val="1"/>
      <w:numFmt w:val="bullet"/>
      <w:lvlText w:val=""/>
      <w:lvlJc w:val="left"/>
      <w:pPr>
        <w:ind w:left="1800" w:hanging="360"/>
      </w:pPr>
      <w:rPr>
        <w:rFonts w:ascii="Wingdings" w:hAnsi="Wingdings" w:hint="default"/>
      </w:rPr>
    </w:lvl>
    <w:lvl w:ilvl="3" w:tplc="BF34BD3A">
      <w:start w:val="1"/>
      <w:numFmt w:val="bullet"/>
      <w:lvlText w:val=""/>
      <w:lvlJc w:val="left"/>
      <w:pPr>
        <w:ind w:left="2520" w:hanging="360"/>
      </w:pPr>
      <w:rPr>
        <w:rFonts w:ascii="Symbol" w:hAnsi="Symbol" w:hint="default"/>
      </w:rPr>
    </w:lvl>
    <w:lvl w:ilvl="4" w:tplc="F66C0F9A">
      <w:start w:val="1"/>
      <w:numFmt w:val="bullet"/>
      <w:lvlText w:val="o"/>
      <w:lvlJc w:val="left"/>
      <w:pPr>
        <w:ind w:left="3240" w:hanging="360"/>
      </w:pPr>
      <w:rPr>
        <w:rFonts w:ascii="Courier New" w:hAnsi="Courier New" w:hint="default"/>
      </w:rPr>
    </w:lvl>
    <w:lvl w:ilvl="5" w:tplc="F266B59C">
      <w:start w:val="1"/>
      <w:numFmt w:val="bullet"/>
      <w:lvlText w:val=""/>
      <w:lvlJc w:val="left"/>
      <w:pPr>
        <w:ind w:left="3960" w:hanging="360"/>
      </w:pPr>
      <w:rPr>
        <w:rFonts w:ascii="Wingdings" w:hAnsi="Wingdings" w:hint="default"/>
      </w:rPr>
    </w:lvl>
    <w:lvl w:ilvl="6" w:tplc="BD1A40B0">
      <w:start w:val="1"/>
      <w:numFmt w:val="bullet"/>
      <w:lvlText w:val=""/>
      <w:lvlJc w:val="left"/>
      <w:pPr>
        <w:ind w:left="4680" w:hanging="360"/>
      </w:pPr>
      <w:rPr>
        <w:rFonts w:ascii="Symbol" w:hAnsi="Symbol" w:hint="default"/>
      </w:rPr>
    </w:lvl>
    <w:lvl w:ilvl="7" w:tplc="08BEE642">
      <w:start w:val="1"/>
      <w:numFmt w:val="bullet"/>
      <w:lvlText w:val="o"/>
      <w:lvlJc w:val="left"/>
      <w:pPr>
        <w:ind w:left="5400" w:hanging="360"/>
      </w:pPr>
      <w:rPr>
        <w:rFonts w:ascii="Courier New" w:hAnsi="Courier New" w:hint="default"/>
      </w:rPr>
    </w:lvl>
    <w:lvl w:ilvl="8" w:tplc="37C4E870">
      <w:start w:val="1"/>
      <w:numFmt w:val="bullet"/>
      <w:lvlText w:val=""/>
      <w:lvlJc w:val="left"/>
      <w:pPr>
        <w:ind w:left="6120" w:hanging="360"/>
      </w:pPr>
      <w:rPr>
        <w:rFonts w:ascii="Wingdings" w:hAnsi="Wingdings" w:hint="default"/>
      </w:rPr>
    </w:lvl>
  </w:abstractNum>
  <w:abstractNum w:abstractNumId="8" w15:restartNumberingAfterBreak="0">
    <w:nsid w:val="129373BD"/>
    <w:multiLevelType w:val="hybridMultilevel"/>
    <w:tmpl w:val="FFFFFFFF"/>
    <w:lvl w:ilvl="0" w:tplc="B49692D8">
      <w:start w:val="1"/>
      <w:numFmt w:val="bullet"/>
      <w:lvlText w:val=""/>
      <w:lvlJc w:val="left"/>
      <w:pPr>
        <w:ind w:left="360" w:hanging="360"/>
      </w:pPr>
      <w:rPr>
        <w:rFonts w:ascii="Symbol" w:hAnsi="Symbol" w:hint="default"/>
      </w:rPr>
    </w:lvl>
    <w:lvl w:ilvl="1" w:tplc="E154D860">
      <w:start w:val="1"/>
      <w:numFmt w:val="bullet"/>
      <w:lvlText w:val="o"/>
      <w:lvlJc w:val="left"/>
      <w:pPr>
        <w:ind w:left="1440" w:hanging="360"/>
      </w:pPr>
      <w:rPr>
        <w:rFonts w:ascii="Courier New" w:hAnsi="Courier New" w:hint="default"/>
      </w:rPr>
    </w:lvl>
    <w:lvl w:ilvl="2" w:tplc="9DD47242">
      <w:start w:val="1"/>
      <w:numFmt w:val="bullet"/>
      <w:lvlText w:val=""/>
      <w:lvlJc w:val="left"/>
      <w:pPr>
        <w:ind w:left="2160" w:hanging="360"/>
      </w:pPr>
      <w:rPr>
        <w:rFonts w:ascii="Wingdings" w:hAnsi="Wingdings" w:hint="default"/>
      </w:rPr>
    </w:lvl>
    <w:lvl w:ilvl="3" w:tplc="F0B05302">
      <w:start w:val="1"/>
      <w:numFmt w:val="bullet"/>
      <w:lvlText w:val=""/>
      <w:lvlJc w:val="left"/>
      <w:pPr>
        <w:ind w:left="2880" w:hanging="360"/>
      </w:pPr>
      <w:rPr>
        <w:rFonts w:ascii="Symbol" w:hAnsi="Symbol" w:hint="default"/>
      </w:rPr>
    </w:lvl>
    <w:lvl w:ilvl="4" w:tplc="F8D237AC">
      <w:start w:val="1"/>
      <w:numFmt w:val="bullet"/>
      <w:lvlText w:val="o"/>
      <w:lvlJc w:val="left"/>
      <w:pPr>
        <w:ind w:left="3600" w:hanging="360"/>
      </w:pPr>
      <w:rPr>
        <w:rFonts w:ascii="Courier New" w:hAnsi="Courier New" w:hint="default"/>
      </w:rPr>
    </w:lvl>
    <w:lvl w:ilvl="5" w:tplc="1FEE4228">
      <w:start w:val="1"/>
      <w:numFmt w:val="bullet"/>
      <w:lvlText w:val=""/>
      <w:lvlJc w:val="left"/>
      <w:pPr>
        <w:ind w:left="4320" w:hanging="360"/>
      </w:pPr>
      <w:rPr>
        <w:rFonts w:ascii="Wingdings" w:hAnsi="Wingdings" w:hint="default"/>
      </w:rPr>
    </w:lvl>
    <w:lvl w:ilvl="6" w:tplc="4C26D676">
      <w:start w:val="1"/>
      <w:numFmt w:val="bullet"/>
      <w:lvlText w:val=""/>
      <w:lvlJc w:val="left"/>
      <w:pPr>
        <w:ind w:left="5040" w:hanging="360"/>
      </w:pPr>
      <w:rPr>
        <w:rFonts w:ascii="Symbol" w:hAnsi="Symbol" w:hint="default"/>
      </w:rPr>
    </w:lvl>
    <w:lvl w:ilvl="7" w:tplc="FEAA8270">
      <w:start w:val="1"/>
      <w:numFmt w:val="bullet"/>
      <w:lvlText w:val="o"/>
      <w:lvlJc w:val="left"/>
      <w:pPr>
        <w:ind w:left="5760" w:hanging="360"/>
      </w:pPr>
      <w:rPr>
        <w:rFonts w:ascii="Courier New" w:hAnsi="Courier New" w:hint="default"/>
      </w:rPr>
    </w:lvl>
    <w:lvl w:ilvl="8" w:tplc="A78AE0B4">
      <w:start w:val="1"/>
      <w:numFmt w:val="bullet"/>
      <w:lvlText w:val=""/>
      <w:lvlJc w:val="left"/>
      <w:pPr>
        <w:ind w:left="6480" w:hanging="360"/>
      </w:pPr>
      <w:rPr>
        <w:rFonts w:ascii="Wingdings" w:hAnsi="Wingdings" w:hint="default"/>
      </w:rPr>
    </w:lvl>
  </w:abstractNum>
  <w:abstractNum w:abstractNumId="9" w15:restartNumberingAfterBreak="0">
    <w:nsid w:val="133F9DB9"/>
    <w:multiLevelType w:val="hybridMultilevel"/>
    <w:tmpl w:val="FFFFFFFF"/>
    <w:lvl w:ilvl="0" w:tplc="993882DA">
      <w:start w:val="1"/>
      <w:numFmt w:val="bullet"/>
      <w:lvlText w:val=""/>
      <w:lvlJc w:val="left"/>
      <w:pPr>
        <w:ind w:left="360" w:hanging="360"/>
      </w:pPr>
      <w:rPr>
        <w:rFonts w:ascii="Symbol" w:hAnsi="Symbol" w:hint="default"/>
      </w:rPr>
    </w:lvl>
    <w:lvl w:ilvl="1" w:tplc="7FD0E49A">
      <w:start w:val="1"/>
      <w:numFmt w:val="bullet"/>
      <w:lvlText w:val="o"/>
      <w:lvlJc w:val="left"/>
      <w:pPr>
        <w:ind w:left="1440" w:hanging="360"/>
      </w:pPr>
      <w:rPr>
        <w:rFonts w:ascii="Courier New" w:hAnsi="Courier New" w:hint="default"/>
      </w:rPr>
    </w:lvl>
    <w:lvl w:ilvl="2" w:tplc="94DE928C">
      <w:start w:val="1"/>
      <w:numFmt w:val="bullet"/>
      <w:lvlText w:val=""/>
      <w:lvlJc w:val="left"/>
      <w:pPr>
        <w:ind w:left="2160" w:hanging="360"/>
      </w:pPr>
      <w:rPr>
        <w:rFonts w:ascii="Wingdings" w:hAnsi="Wingdings" w:hint="default"/>
      </w:rPr>
    </w:lvl>
    <w:lvl w:ilvl="3" w:tplc="B30A00B2">
      <w:start w:val="1"/>
      <w:numFmt w:val="bullet"/>
      <w:lvlText w:val=""/>
      <w:lvlJc w:val="left"/>
      <w:pPr>
        <w:ind w:left="2880" w:hanging="360"/>
      </w:pPr>
      <w:rPr>
        <w:rFonts w:ascii="Symbol" w:hAnsi="Symbol" w:hint="default"/>
      </w:rPr>
    </w:lvl>
    <w:lvl w:ilvl="4" w:tplc="EF1CB9FE">
      <w:start w:val="1"/>
      <w:numFmt w:val="bullet"/>
      <w:lvlText w:val="o"/>
      <w:lvlJc w:val="left"/>
      <w:pPr>
        <w:ind w:left="3600" w:hanging="360"/>
      </w:pPr>
      <w:rPr>
        <w:rFonts w:ascii="Courier New" w:hAnsi="Courier New" w:hint="default"/>
      </w:rPr>
    </w:lvl>
    <w:lvl w:ilvl="5" w:tplc="CD0AB03E">
      <w:start w:val="1"/>
      <w:numFmt w:val="bullet"/>
      <w:lvlText w:val=""/>
      <w:lvlJc w:val="left"/>
      <w:pPr>
        <w:ind w:left="4320" w:hanging="360"/>
      </w:pPr>
      <w:rPr>
        <w:rFonts w:ascii="Wingdings" w:hAnsi="Wingdings" w:hint="default"/>
      </w:rPr>
    </w:lvl>
    <w:lvl w:ilvl="6" w:tplc="B366CC10">
      <w:start w:val="1"/>
      <w:numFmt w:val="bullet"/>
      <w:lvlText w:val=""/>
      <w:lvlJc w:val="left"/>
      <w:pPr>
        <w:ind w:left="5040" w:hanging="360"/>
      </w:pPr>
      <w:rPr>
        <w:rFonts w:ascii="Symbol" w:hAnsi="Symbol" w:hint="default"/>
      </w:rPr>
    </w:lvl>
    <w:lvl w:ilvl="7" w:tplc="3AF6656E">
      <w:start w:val="1"/>
      <w:numFmt w:val="bullet"/>
      <w:lvlText w:val="o"/>
      <w:lvlJc w:val="left"/>
      <w:pPr>
        <w:ind w:left="5760" w:hanging="360"/>
      </w:pPr>
      <w:rPr>
        <w:rFonts w:ascii="Courier New" w:hAnsi="Courier New" w:hint="default"/>
      </w:rPr>
    </w:lvl>
    <w:lvl w:ilvl="8" w:tplc="A29E370C">
      <w:start w:val="1"/>
      <w:numFmt w:val="bullet"/>
      <w:lvlText w:val=""/>
      <w:lvlJc w:val="left"/>
      <w:pPr>
        <w:ind w:left="6480" w:hanging="360"/>
      </w:pPr>
      <w:rPr>
        <w:rFonts w:ascii="Wingdings" w:hAnsi="Wingdings" w:hint="default"/>
      </w:rPr>
    </w:lvl>
  </w:abstractNum>
  <w:abstractNum w:abstractNumId="10" w15:restartNumberingAfterBreak="0">
    <w:nsid w:val="1342BAFA"/>
    <w:multiLevelType w:val="hybridMultilevel"/>
    <w:tmpl w:val="FFFFFFFF"/>
    <w:lvl w:ilvl="0" w:tplc="885E03AC">
      <w:start w:val="1"/>
      <w:numFmt w:val="bullet"/>
      <w:lvlText w:val=""/>
      <w:lvlJc w:val="left"/>
      <w:pPr>
        <w:ind w:left="360" w:hanging="360"/>
      </w:pPr>
      <w:rPr>
        <w:rFonts w:ascii="Symbol" w:hAnsi="Symbol" w:hint="default"/>
      </w:rPr>
    </w:lvl>
    <w:lvl w:ilvl="1" w:tplc="3ECC9E8E">
      <w:start w:val="1"/>
      <w:numFmt w:val="bullet"/>
      <w:lvlText w:val="o"/>
      <w:lvlJc w:val="left"/>
      <w:pPr>
        <w:ind w:left="1440" w:hanging="360"/>
      </w:pPr>
      <w:rPr>
        <w:rFonts w:ascii="Courier New" w:hAnsi="Courier New" w:hint="default"/>
      </w:rPr>
    </w:lvl>
    <w:lvl w:ilvl="2" w:tplc="495CC9EC">
      <w:start w:val="1"/>
      <w:numFmt w:val="bullet"/>
      <w:lvlText w:val=""/>
      <w:lvlJc w:val="left"/>
      <w:pPr>
        <w:ind w:left="2160" w:hanging="360"/>
      </w:pPr>
      <w:rPr>
        <w:rFonts w:ascii="Wingdings" w:hAnsi="Wingdings" w:hint="default"/>
      </w:rPr>
    </w:lvl>
    <w:lvl w:ilvl="3" w:tplc="FE5E1D4A">
      <w:start w:val="1"/>
      <w:numFmt w:val="bullet"/>
      <w:lvlText w:val=""/>
      <w:lvlJc w:val="left"/>
      <w:pPr>
        <w:ind w:left="2880" w:hanging="360"/>
      </w:pPr>
      <w:rPr>
        <w:rFonts w:ascii="Symbol" w:hAnsi="Symbol" w:hint="default"/>
      </w:rPr>
    </w:lvl>
    <w:lvl w:ilvl="4" w:tplc="0218A24E">
      <w:start w:val="1"/>
      <w:numFmt w:val="bullet"/>
      <w:lvlText w:val="o"/>
      <w:lvlJc w:val="left"/>
      <w:pPr>
        <w:ind w:left="3600" w:hanging="360"/>
      </w:pPr>
      <w:rPr>
        <w:rFonts w:ascii="Courier New" w:hAnsi="Courier New" w:hint="default"/>
      </w:rPr>
    </w:lvl>
    <w:lvl w:ilvl="5" w:tplc="FF5625EA">
      <w:start w:val="1"/>
      <w:numFmt w:val="bullet"/>
      <w:lvlText w:val=""/>
      <w:lvlJc w:val="left"/>
      <w:pPr>
        <w:ind w:left="4320" w:hanging="360"/>
      </w:pPr>
      <w:rPr>
        <w:rFonts w:ascii="Wingdings" w:hAnsi="Wingdings" w:hint="default"/>
      </w:rPr>
    </w:lvl>
    <w:lvl w:ilvl="6" w:tplc="F50C92BA">
      <w:start w:val="1"/>
      <w:numFmt w:val="bullet"/>
      <w:lvlText w:val=""/>
      <w:lvlJc w:val="left"/>
      <w:pPr>
        <w:ind w:left="5040" w:hanging="360"/>
      </w:pPr>
      <w:rPr>
        <w:rFonts w:ascii="Symbol" w:hAnsi="Symbol" w:hint="default"/>
      </w:rPr>
    </w:lvl>
    <w:lvl w:ilvl="7" w:tplc="7618D292">
      <w:start w:val="1"/>
      <w:numFmt w:val="bullet"/>
      <w:lvlText w:val="o"/>
      <w:lvlJc w:val="left"/>
      <w:pPr>
        <w:ind w:left="5760" w:hanging="360"/>
      </w:pPr>
      <w:rPr>
        <w:rFonts w:ascii="Courier New" w:hAnsi="Courier New" w:hint="default"/>
      </w:rPr>
    </w:lvl>
    <w:lvl w:ilvl="8" w:tplc="EB7C7FCA">
      <w:start w:val="1"/>
      <w:numFmt w:val="bullet"/>
      <w:lvlText w:val=""/>
      <w:lvlJc w:val="left"/>
      <w:pPr>
        <w:ind w:left="6480" w:hanging="360"/>
      </w:pPr>
      <w:rPr>
        <w:rFonts w:ascii="Wingdings" w:hAnsi="Wingdings" w:hint="default"/>
      </w:rPr>
    </w:lvl>
  </w:abstractNum>
  <w:abstractNum w:abstractNumId="11" w15:restartNumberingAfterBreak="0">
    <w:nsid w:val="14204F6F"/>
    <w:multiLevelType w:val="hybridMultilevel"/>
    <w:tmpl w:val="B5785E3A"/>
    <w:lvl w:ilvl="0" w:tplc="FFFFFFFF">
      <w:start w:val="1"/>
      <w:numFmt w:val="lowerLetter"/>
      <w:lvlText w:val="%1)"/>
      <w:lvlJc w:val="left"/>
      <w:pPr>
        <w:ind w:left="1440" w:hanging="360"/>
      </w:pPr>
      <w:rPr>
        <w:b w:val="0"/>
        <w:bCs w:val="0"/>
        <w:i w:val="0"/>
        <w:iCs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1748BCA8"/>
    <w:multiLevelType w:val="hybridMultilevel"/>
    <w:tmpl w:val="7D7431A4"/>
    <w:lvl w:ilvl="0" w:tplc="DB50076E">
      <w:start w:val="1"/>
      <w:numFmt w:val="bullet"/>
      <w:lvlText w:val=""/>
      <w:lvlJc w:val="left"/>
      <w:pPr>
        <w:ind w:left="720" w:hanging="360"/>
      </w:pPr>
      <w:rPr>
        <w:rFonts w:ascii="Symbol" w:hAnsi="Symbol" w:hint="default"/>
      </w:rPr>
    </w:lvl>
    <w:lvl w:ilvl="1" w:tplc="71AC4D20">
      <w:start w:val="1"/>
      <w:numFmt w:val="bullet"/>
      <w:lvlText w:val="o"/>
      <w:lvlJc w:val="left"/>
      <w:pPr>
        <w:ind w:left="1440" w:hanging="360"/>
      </w:pPr>
      <w:rPr>
        <w:rFonts w:ascii="Courier New" w:hAnsi="Courier New" w:hint="default"/>
      </w:rPr>
    </w:lvl>
    <w:lvl w:ilvl="2" w:tplc="59EE780C">
      <w:start w:val="1"/>
      <w:numFmt w:val="bullet"/>
      <w:lvlText w:val=""/>
      <w:lvlJc w:val="left"/>
      <w:pPr>
        <w:ind w:left="2160" w:hanging="360"/>
      </w:pPr>
      <w:rPr>
        <w:rFonts w:ascii="Wingdings" w:hAnsi="Wingdings" w:hint="default"/>
      </w:rPr>
    </w:lvl>
    <w:lvl w:ilvl="3" w:tplc="DE9A4EC6">
      <w:start w:val="1"/>
      <w:numFmt w:val="bullet"/>
      <w:lvlText w:val=""/>
      <w:lvlJc w:val="left"/>
      <w:pPr>
        <w:ind w:left="2880" w:hanging="360"/>
      </w:pPr>
      <w:rPr>
        <w:rFonts w:ascii="Symbol" w:hAnsi="Symbol" w:hint="default"/>
      </w:rPr>
    </w:lvl>
    <w:lvl w:ilvl="4" w:tplc="794CBAF8">
      <w:start w:val="1"/>
      <w:numFmt w:val="bullet"/>
      <w:lvlText w:val="o"/>
      <w:lvlJc w:val="left"/>
      <w:pPr>
        <w:ind w:left="3600" w:hanging="360"/>
      </w:pPr>
      <w:rPr>
        <w:rFonts w:ascii="Courier New" w:hAnsi="Courier New" w:hint="default"/>
      </w:rPr>
    </w:lvl>
    <w:lvl w:ilvl="5" w:tplc="70F4A686">
      <w:start w:val="1"/>
      <w:numFmt w:val="bullet"/>
      <w:lvlText w:val=""/>
      <w:lvlJc w:val="left"/>
      <w:pPr>
        <w:ind w:left="4320" w:hanging="360"/>
      </w:pPr>
      <w:rPr>
        <w:rFonts w:ascii="Wingdings" w:hAnsi="Wingdings" w:hint="default"/>
      </w:rPr>
    </w:lvl>
    <w:lvl w:ilvl="6" w:tplc="E690A904">
      <w:start w:val="1"/>
      <w:numFmt w:val="bullet"/>
      <w:lvlText w:val=""/>
      <w:lvlJc w:val="left"/>
      <w:pPr>
        <w:ind w:left="5040" w:hanging="360"/>
      </w:pPr>
      <w:rPr>
        <w:rFonts w:ascii="Symbol" w:hAnsi="Symbol" w:hint="default"/>
      </w:rPr>
    </w:lvl>
    <w:lvl w:ilvl="7" w:tplc="9788DF4C">
      <w:start w:val="1"/>
      <w:numFmt w:val="bullet"/>
      <w:lvlText w:val="o"/>
      <w:lvlJc w:val="left"/>
      <w:pPr>
        <w:ind w:left="5760" w:hanging="360"/>
      </w:pPr>
      <w:rPr>
        <w:rFonts w:ascii="Courier New" w:hAnsi="Courier New" w:hint="default"/>
      </w:rPr>
    </w:lvl>
    <w:lvl w:ilvl="8" w:tplc="1228C726">
      <w:start w:val="1"/>
      <w:numFmt w:val="bullet"/>
      <w:lvlText w:val=""/>
      <w:lvlJc w:val="left"/>
      <w:pPr>
        <w:ind w:left="6480" w:hanging="360"/>
      </w:pPr>
      <w:rPr>
        <w:rFonts w:ascii="Wingdings" w:hAnsi="Wingdings" w:hint="default"/>
      </w:rPr>
    </w:lvl>
  </w:abstractNum>
  <w:abstractNum w:abstractNumId="13" w15:restartNumberingAfterBreak="0">
    <w:nsid w:val="1826A0E3"/>
    <w:multiLevelType w:val="hybridMultilevel"/>
    <w:tmpl w:val="16A63572"/>
    <w:lvl w:ilvl="0" w:tplc="D0EEBA8E">
      <w:start w:val="1"/>
      <w:numFmt w:val="bullet"/>
      <w:lvlText w:val=""/>
      <w:lvlJc w:val="left"/>
      <w:pPr>
        <w:ind w:left="720" w:hanging="360"/>
      </w:pPr>
      <w:rPr>
        <w:rFonts w:ascii="Symbol" w:hAnsi="Symbol" w:hint="default"/>
      </w:rPr>
    </w:lvl>
    <w:lvl w:ilvl="1" w:tplc="8ED4C8D0">
      <w:start w:val="1"/>
      <w:numFmt w:val="bullet"/>
      <w:lvlText w:val="o"/>
      <w:lvlJc w:val="left"/>
      <w:pPr>
        <w:ind w:left="1440" w:hanging="360"/>
      </w:pPr>
      <w:rPr>
        <w:rFonts w:ascii="Courier New" w:hAnsi="Courier New" w:hint="default"/>
      </w:rPr>
    </w:lvl>
    <w:lvl w:ilvl="2" w:tplc="7DAA662A">
      <w:start w:val="1"/>
      <w:numFmt w:val="bullet"/>
      <w:lvlText w:val=""/>
      <w:lvlJc w:val="left"/>
      <w:pPr>
        <w:ind w:left="2160" w:hanging="360"/>
      </w:pPr>
      <w:rPr>
        <w:rFonts w:ascii="Wingdings" w:hAnsi="Wingdings" w:hint="default"/>
      </w:rPr>
    </w:lvl>
    <w:lvl w:ilvl="3" w:tplc="DF8CA3FC">
      <w:start w:val="1"/>
      <w:numFmt w:val="bullet"/>
      <w:lvlText w:val=""/>
      <w:lvlJc w:val="left"/>
      <w:pPr>
        <w:ind w:left="2880" w:hanging="360"/>
      </w:pPr>
      <w:rPr>
        <w:rFonts w:ascii="Symbol" w:hAnsi="Symbol" w:hint="default"/>
      </w:rPr>
    </w:lvl>
    <w:lvl w:ilvl="4" w:tplc="7B96ACC0">
      <w:start w:val="1"/>
      <w:numFmt w:val="bullet"/>
      <w:lvlText w:val="o"/>
      <w:lvlJc w:val="left"/>
      <w:pPr>
        <w:ind w:left="3600" w:hanging="360"/>
      </w:pPr>
      <w:rPr>
        <w:rFonts w:ascii="Courier New" w:hAnsi="Courier New" w:hint="default"/>
      </w:rPr>
    </w:lvl>
    <w:lvl w:ilvl="5" w:tplc="CE8A226A">
      <w:start w:val="1"/>
      <w:numFmt w:val="bullet"/>
      <w:lvlText w:val=""/>
      <w:lvlJc w:val="left"/>
      <w:pPr>
        <w:ind w:left="4320" w:hanging="360"/>
      </w:pPr>
      <w:rPr>
        <w:rFonts w:ascii="Wingdings" w:hAnsi="Wingdings" w:hint="default"/>
      </w:rPr>
    </w:lvl>
    <w:lvl w:ilvl="6" w:tplc="8F6480EE">
      <w:start w:val="1"/>
      <w:numFmt w:val="bullet"/>
      <w:lvlText w:val=""/>
      <w:lvlJc w:val="left"/>
      <w:pPr>
        <w:ind w:left="5040" w:hanging="360"/>
      </w:pPr>
      <w:rPr>
        <w:rFonts w:ascii="Symbol" w:hAnsi="Symbol" w:hint="default"/>
      </w:rPr>
    </w:lvl>
    <w:lvl w:ilvl="7" w:tplc="D2B044CA">
      <w:start w:val="1"/>
      <w:numFmt w:val="bullet"/>
      <w:lvlText w:val="o"/>
      <w:lvlJc w:val="left"/>
      <w:pPr>
        <w:ind w:left="5760" w:hanging="360"/>
      </w:pPr>
      <w:rPr>
        <w:rFonts w:ascii="Courier New" w:hAnsi="Courier New" w:hint="default"/>
      </w:rPr>
    </w:lvl>
    <w:lvl w:ilvl="8" w:tplc="8FE6E46A">
      <w:start w:val="1"/>
      <w:numFmt w:val="bullet"/>
      <w:lvlText w:val=""/>
      <w:lvlJc w:val="left"/>
      <w:pPr>
        <w:ind w:left="6480" w:hanging="360"/>
      </w:pPr>
      <w:rPr>
        <w:rFonts w:ascii="Wingdings" w:hAnsi="Wingdings" w:hint="default"/>
      </w:rPr>
    </w:lvl>
  </w:abstractNum>
  <w:abstractNum w:abstractNumId="14" w15:restartNumberingAfterBreak="0">
    <w:nsid w:val="18EBB930"/>
    <w:multiLevelType w:val="hybridMultilevel"/>
    <w:tmpl w:val="B036A166"/>
    <w:lvl w:ilvl="0" w:tplc="3DE0497A">
      <w:start w:val="1"/>
      <w:numFmt w:val="bullet"/>
      <w:lvlText w:val=""/>
      <w:lvlJc w:val="left"/>
      <w:pPr>
        <w:ind w:left="720" w:hanging="360"/>
      </w:pPr>
      <w:rPr>
        <w:rFonts w:ascii="Symbol" w:hAnsi="Symbol" w:hint="default"/>
      </w:rPr>
    </w:lvl>
    <w:lvl w:ilvl="1" w:tplc="5CA6C114">
      <w:start w:val="1"/>
      <w:numFmt w:val="bullet"/>
      <w:lvlText w:val="o"/>
      <w:lvlJc w:val="left"/>
      <w:pPr>
        <w:ind w:left="1440" w:hanging="360"/>
      </w:pPr>
      <w:rPr>
        <w:rFonts w:ascii="Courier New" w:hAnsi="Courier New" w:hint="default"/>
      </w:rPr>
    </w:lvl>
    <w:lvl w:ilvl="2" w:tplc="9DF68DD6">
      <w:start w:val="1"/>
      <w:numFmt w:val="bullet"/>
      <w:lvlText w:val=""/>
      <w:lvlJc w:val="left"/>
      <w:pPr>
        <w:ind w:left="2160" w:hanging="360"/>
      </w:pPr>
      <w:rPr>
        <w:rFonts w:ascii="Wingdings" w:hAnsi="Wingdings" w:hint="default"/>
      </w:rPr>
    </w:lvl>
    <w:lvl w:ilvl="3" w:tplc="F09AE7CC">
      <w:start w:val="1"/>
      <w:numFmt w:val="bullet"/>
      <w:lvlText w:val=""/>
      <w:lvlJc w:val="left"/>
      <w:pPr>
        <w:ind w:left="2880" w:hanging="360"/>
      </w:pPr>
      <w:rPr>
        <w:rFonts w:ascii="Symbol" w:hAnsi="Symbol" w:hint="default"/>
      </w:rPr>
    </w:lvl>
    <w:lvl w:ilvl="4" w:tplc="323EF548">
      <w:start w:val="1"/>
      <w:numFmt w:val="bullet"/>
      <w:lvlText w:val="o"/>
      <w:lvlJc w:val="left"/>
      <w:pPr>
        <w:ind w:left="3600" w:hanging="360"/>
      </w:pPr>
      <w:rPr>
        <w:rFonts w:ascii="Courier New" w:hAnsi="Courier New" w:hint="default"/>
      </w:rPr>
    </w:lvl>
    <w:lvl w:ilvl="5" w:tplc="877E6E34">
      <w:start w:val="1"/>
      <w:numFmt w:val="bullet"/>
      <w:lvlText w:val=""/>
      <w:lvlJc w:val="left"/>
      <w:pPr>
        <w:ind w:left="4320" w:hanging="360"/>
      </w:pPr>
      <w:rPr>
        <w:rFonts w:ascii="Wingdings" w:hAnsi="Wingdings" w:hint="default"/>
      </w:rPr>
    </w:lvl>
    <w:lvl w:ilvl="6" w:tplc="1CC4D1E4">
      <w:start w:val="1"/>
      <w:numFmt w:val="bullet"/>
      <w:lvlText w:val=""/>
      <w:lvlJc w:val="left"/>
      <w:pPr>
        <w:ind w:left="5040" w:hanging="360"/>
      </w:pPr>
      <w:rPr>
        <w:rFonts w:ascii="Symbol" w:hAnsi="Symbol" w:hint="default"/>
      </w:rPr>
    </w:lvl>
    <w:lvl w:ilvl="7" w:tplc="A83EFF00">
      <w:start w:val="1"/>
      <w:numFmt w:val="bullet"/>
      <w:lvlText w:val="o"/>
      <w:lvlJc w:val="left"/>
      <w:pPr>
        <w:ind w:left="5760" w:hanging="360"/>
      </w:pPr>
      <w:rPr>
        <w:rFonts w:ascii="Courier New" w:hAnsi="Courier New" w:hint="default"/>
      </w:rPr>
    </w:lvl>
    <w:lvl w:ilvl="8" w:tplc="3E4A23F6">
      <w:start w:val="1"/>
      <w:numFmt w:val="bullet"/>
      <w:lvlText w:val=""/>
      <w:lvlJc w:val="left"/>
      <w:pPr>
        <w:ind w:left="6480" w:hanging="360"/>
      </w:pPr>
      <w:rPr>
        <w:rFonts w:ascii="Wingdings" w:hAnsi="Wingdings" w:hint="default"/>
      </w:rPr>
    </w:lvl>
  </w:abstractNum>
  <w:abstractNum w:abstractNumId="15" w15:restartNumberingAfterBreak="0">
    <w:nsid w:val="19F86EA6"/>
    <w:multiLevelType w:val="hybridMultilevel"/>
    <w:tmpl w:val="4D62323A"/>
    <w:lvl w:ilvl="0" w:tplc="4A4245EE">
      <w:start w:val="1"/>
      <w:numFmt w:val="decimal"/>
      <w:lvlText w:val="%1."/>
      <w:lvlJc w:val="left"/>
      <w:pPr>
        <w:ind w:left="1020" w:hanging="360"/>
      </w:pPr>
    </w:lvl>
    <w:lvl w:ilvl="1" w:tplc="3CA4E94E">
      <w:start w:val="1"/>
      <w:numFmt w:val="decimal"/>
      <w:lvlText w:val="%2."/>
      <w:lvlJc w:val="left"/>
      <w:pPr>
        <w:ind w:left="1020" w:hanging="360"/>
      </w:pPr>
    </w:lvl>
    <w:lvl w:ilvl="2" w:tplc="01B4BE3E">
      <w:start w:val="1"/>
      <w:numFmt w:val="decimal"/>
      <w:lvlText w:val="%3."/>
      <w:lvlJc w:val="left"/>
      <w:pPr>
        <w:ind w:left="1020" w:hanging="360"/>
      </w:pPr>
    </w:lvl>
    <w:lvl w:ilvl="3" w:tplc="C046F43C">
      <w:start w:val="1"/>
      <w:numFmt w:val="decimal"/>
      <w:lvlText w:val="%4."/>
      <w:lvlJc w:val="left"/>
      <w:pPr>
        <w:ind w:left="1020" w:hanging="360"/>
      </w:pPr>
    </w:lvl>
    <w:lvl w:ilvl="4" w:tplc="5F86FEE0">
      <w:start w:val="1"/>
      <w:numFmt w:val="decimal"/>
      <w:lvlText w:val="%5."/>
      <w:lvlJc w:val="left"/>
      <w:pPr>
        <w:ind w:left="1020" w:hanging="360"/>
      </w:pPr>
    </w:lvl>
    <w:lvl w:ilvl="5" w:tplc="7F0424BC">
      <w:start w:val="1"/>
      <w:numFmt w:val="decimal"/>
      <w:lvlText w:val="%6."/>
      <w:lvlJc w:val="left"/>
      <w:pPr>
        <w:ind w:left="1020" w:hanging="360"/>
      </w:pPr>
    </w:lvl>
    <w:lvl w:ilvl="6" w:tplc="C0BC8BB2">
      <w:start w:val="1"/>
      <w:numFmt w:val="decimal"/>
      <w:lvlText w:val="%7."/>
      <w:lvlJc w:val="left"/>
      <w:pPr>
        <w:ind w:left="1020" w:hanging="360"/>
      </w:pPr>
    </w:lvl>
    <w:lvl w:ilvl="7" w:tplc="D6A635BA">
      <w:start w:val="1"/>
      <w:numFmt w:val="decimal"/>
      <w:lvlText w:val="%8."/>
      <w:lvlJc w:val="left"/>
      <w:pPr>
        <w:ind w:left="1020" w:hanging="360"/>
      </w:pPr>
    </w:lvl>
    <w:lvl w:ilvl="8" w:tplc="8B0A6B50">
      <w:start w:val="1"/>
      <w:numFmt w:val="decimal"/>
      <w:lvlText w:val="%9."/>
      <w:lvlJc w:val="left"/>
      <w:pPr>
        <w:ind w:left="1020" w:hanging="360"/>
      </w:pPr>
    </w:lvl>
  </w:abstractNum>
  <w:abstractNum w:abstractNumId="16" w15:restartNumberingAfterBreak="0">
    <w:nsid w:val="1D21EB90"/>
    <w:multiLevelType w:val="hybridMultilevel"/>
    <w:tmpl w:val="9D28A924"/>
    <w:lvl w:ilvl="0" w:tplc="75781D88">
      <w:start w:val="1"/>
      <w:numFmt w:val="bullet"/>
      <w:lvlText w:val=""/>
      <w:lvlJc w:val="left"/>
      <w:pPr>
        <w:ind w:left="720" w:hanging="360"/>
      </w:pPr>
      <w:rPr>
        <w:rFonts w:ascii="Symbol" w:hAnsi="Symbol" w:hint="default"/>
      </w:rPr>
    </w:lvl>
    <w:lvl w:ilvl="1" w:tplc="6116FC64">
      <w:start w:val="1"/>
      <w:numFmt w:val="bullet"/>
      <w:lvlText w:val="o"/>
      <w:lvlJc w:val="left"/>
      <w:pPr>
        <w:ind w:left="1440" w:hanging="360"/>
      </w:pPr>
      <w:rPr>
        <w:rFonts w:ascii="Courier New" w:hAnsi="Courier New" w:hint="default"/>
      </w:rPr>
    </w:lvl>
    <w:lvl w:ilvl="2" w:tplc="50B21C0E">
      <w:start w:val="1"/>
      <w:numFmt w:val="bullet"/>
      <w:lvlText w:val=""/>
      <w:lvlJc w:val="left"/>
      <w:pPr>
        <w:ind w:left="2160" w:hanging="360"/>
      </w:pPr>
      <w:rPr>
        <w:rFonts w:ascii="Wingdings" w:hAnsi="Wingdings" w:hint="default"/>
      </w:rPr>
    </w:lvl>
    <w:lvl w:ilvl="3" w:tplc="CF9289C2">
      <w:start w:val="1"/>
      <w:numFmt w:val="bullet"/>
      <w:lvlText w:val=""/>
      <w:lvlJc w:val="left"/>
      <w:pPr>
        <w:ind w:left="2880" w:hanging="360"/>
      </w:pPr>
      <w:rPr>
        <w:rFonts w:ascii="Symbol" w:hAnsi="Symbol" w:hint="default"/>
      </w:rPr>
    </w:lvl>
    <w:lvl w:ilvl="4" w:tplc="73B4591E">
      <w:start w:val="1"/>
      <w:numFmt w:val="bullet"/>
      <w:lvlText w:val="o"/>
      <w:lvlJc w:val="left"/>
      <w:pPr>
        <w:ind w:left="3600" w:hanging="360"/>
      </w:pPr>
      <w:rPr>
        <w:rFonts w:ascii="Courier New" w:hAnsi="Courier New" w:hint="default"/>
      </w:rPr>
    </w:lvl>
    <w:lvl w:ilvl="5" w:tplc="34D686B2">
      <w:start w:val="1"/>
      <w:numFmt w:val="bullet"/>
      <w:lvlText w:val=""/>
      <w:lvlJc w:val="left"/>
      <w:pPr>
        <w:ind w:left="4320" w:hanging="360"/>
      </w:pPr>
      <w:rPr>
        <w:rFonts w:ascii="Wingdings" w:hAnsi="Wingdings" w:hint="default"/>
      </w:rPr>
    </w:lvl>
    <w:lvl w:ilvl="6" w:tplc="E236D580">
      <w:start w:val="1"/>
      <w:numFmt w:val="bullet"/>
      <w:lvlText w:val=""/>
      <w:lvlJc w:val="left"/>
      <w:pPr>
        <w:ind w:left="5040" w:hanging="360"/>
      </w:pPr>
      <w:rPr>
        <w:rFonts w:ascii="Symbol" w:hAnsi="Symbol" w:hint="default"/>
      </w:rPr>
    </w:lvl>
    <w:lvl w:ilvl="7" w:tplc="39FCC656">
      <w:start w:val="1"/>
      <w:numFmt w:val="bullet"/>
      <w:lvlText w:val="o"/>
      <w:lvlJc w:val="left"/>
      <w:pPr>
        <w:ind w:left="5760" w:hanging="360"/>
      </w:pPr>
      <w:rPr>
        <w:rFonts w:ascii="Courier New" w:hAnsi="Courier New" w:hint="default"/>
      </w:rPr>
    </w:lvl>
    <w:lvl w:ilvl="8" w:tplc="74DEEFC6">
      <w:start w:val="1"/>
      <w:numFmt w:val="bullet"/>
      <w:lvlText w:val=""/>
      <w:lvlJc w:val="left"/>
      <w:pPr>
        <w:ind w:left="6480" w:hanging="360"/>
      </w:pPr>
      <w:rPr>
        <w:rFonts w:ascii="Wingdings" w:hAnsi="Wingdings" w:hint="default"/>
      </w:rPr>
    </w:lvl>
  </w:abstractNum>
  <w:abstractNum w:abstractNumId="17" w15:restartNumberingAfterBreak="0">
    <w:nsid w:val="1E45E819"/>
    <w:multiLevelType w:val="hybridMultilevel"/>
    <w:tmpl w:val="FFFFFFFF"/>
    <w:lvl w:ilvl="0" w:tplc="7BE8E50E">
      <w:start w:val="1"/>
      <w:numFmt w:val="bullet"/>
      <w:lvlText w:val=""/>
      <w:lvlJc w:val="left"/>
      <w:pPr>
        <w:ind w:left="360" w:hanging="360"/>
      </w:pPr>
      <w:rPr>
        <w:rFonts w:ascii="Symbol" w:hAnsi="Symbol" w:hint="default"/>
      </w:rPr>
    </w:lvl>
    <w:lvl w:ilvl="1" w:tplc="E7485600">
      <w:start w:val="1"/>
      <w:numFmt w:val="bullet"/>
      <w:lvlText w:val="o"/>
      <w:lvlJc w:val="left"/>
      <w:pPr>
        <w:ind w:left="1440" w:hanging="360"/>
      </w:pPr>
      <w:rPr>
        <w:rFonts w:ascii="Courier New" w:hAnsi="Courier New" w:hint="default"/>
      </w:rPr>
    </w:lvl>
    <w:lvl w:ilvl="2" w:tplc="B57E1B78">
      <w:start w:val="1"/>
      <w:numFmt w:val="bullet"/>
      <w:lvlText w:val=""/>
      <w:lvlJc w:val="left"/>
      <w:pPr>
        <w:ind w:left="2160" w:hanging="360"/>
      </w:pPr>
      <w:rPr>
        <w:rFonts w:ascii="Wingdings" w:hAnsi="Wingdings" w:hint="default"/>
      </w:rPr>
    </w:lvl>
    <w:lvl w:ilvl="3" w:tplc="50040B3C">
      <w:start w:val="1"/>
      <w:numFmt w:val="bullet"/>
      <w:lvlText w:val=""/>
      <w:lvlJc w:val="left"/>
      <w:pPr>
        <w:ind w:left="2880" w:hanging="360"/>
      </w:pPr>
      <w:rPr>
        <w:rFonts w:ascii="Symbol" w:hAnsi="Symbol" w:hint="default"/>
      </w:rPr>
    </w:lvl>
    <w:lvl w:ilvl="4" w:tplc="7416F164">
      <w:start w:val="1"/>
      <w:numFmt w:val="bullet"/>
      <w:lvlText w:val="o"/>
      <w:lvlJc w:val="left"/>
      <w:pPr>
        <w:ind w:left="3600" w:hanging="360"/>
      </w:pPr>
      <w:rPr>
        <w:rFonts w:ascii="Courier New" w:hAnsi="Courier New" w:hint="default"/>
      </w:rPr>
    </w:lvl>
    <w:lvl w:ilvl="5" w:tplc="1C90431E">
      <w:start w:val="1"/>
      <w:numFmt w:val="bullet"/>
      <w:lvlText w:val=""/>
      <w:lvlJc w:val="left"/>
      <w:pPr>
        <w:ind w:left="4320" w:hanging="360"/>
      </w:pPr>
      <w:rPr>
        <w:rFonts w:ascii="Wingdings" w:hAnsi="Wingdings" w:hint="default"/>
      </w:rPr>
    </w:lvl>
    <w:lvl w:ilvl="6" w:tplc="5C5A7D68">
      <w:start w:val="1"/>
      <w:numFmt w:val="bullet"/>
      <w:lvlText w:val=""/>
      <w:lvlJc w:val="left"/>
      <w:pPr>
        <w:ind w:left="5040" w:hanging="360"/>
      </w:pPr>
      <w:rPr>
        <w:rFonts w:ascii="Symbol" w:hAnsi="Symbol" w:hint="default"/>
      </w:rPr>
    </w:lvl>
    <w:lvl w:ilvl="7" w:tplc="5B10F3D6">
      <w:start w:val="1"/>
      <w:numFmt w:val="bullet"/>
      <w:lvlText w:val="o"/>
      <w:lvlJc w:val="left"/>
      <w:pPr>
        <w:ind w:left="5760" w:hanging="360"/>
      </w:pPr>
      <w:rPr>
        <w:rFonts w:ascii="Courier New" w:hAnsi="Courier New" w:hint="default"/>
      </w:rPr>
    </w:lvl>
    <w:lvl w:ilvl="8" w:tplc="0E10B692">
      <w:start w:val="1"/>
      <w:numFmt w:val="bullet"/>
      <w:lvlText w:val=""/>
      <w:lvlJc w:val="left"/>
      <w:pPr>
        <w:ind w:left="6480" w:hanging="360"/>
      </w:pPr>
      <w:rPr>
        <w:rFonts w:ascii="Wingdings" w:hAnsi="Wingdings" w:hint="default"/>
      </w:rPr>
    </w:lvl>
  </w:abstractNum>
  <w:abstractNum w:abstractNumId="18"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B74FEA"/>
    <w:multiLevelType w:val="hybridMultilevel"/>
    <w:tmpl w:val="F7B694D8"/>
    <w:lvl w:ilvl="0" w:tplc="9E1C48AE">
      <w:start w:val="1"/>
      <w:numFmt w:val="decimal"/>
      <w:lvlText w:val="%1."/>
      <w:lvlJc w:val="left"/>
      <w:pPr>
        <w:ind w:left="1020" w:hanging="360"/>
      </w:pPr>
    </w:lvl>
    <w:lvl w:ilvl="1" w:tplc="ACC211C0">
      <w:start w:val="1"/>
      <w:numFmt w:val="decimal"/>
      <w:lvlText w:val="%2."/>
      <w:lvlJc w:val="left"/>
      <w:pPr>
        <w:ind w:left="1020" w:hanging="360"/>
      </w:pPr>
    </w:lvl>
    <w:lvl w:ilvl="2" w:tplc="5164D4AC">
      <w:start w:val="1"/>
      <w:numFmt w:val="decimal"/>
      <w:lvlText w:val="%3."/>
      <w:lvlJc w:val="left"/>
      <w:pPr>
        <w:ind w:left="1020" w:hanging="360"/>
      </w:pPr>
    </w:lvl>
    <w:lvl w:ilvl="3" w:tplc="84F2C292">
      <w:start w:val="1"/>
      <w:numFmt w:val="decimal"/>
      <w:lvlText w:val="%4."/>
      <w:lvlJc w:val="left"/>
      <w:pPr>
        <w:ind w:left="1020" w:hanging="360"/>
      </w:pPr>
    </w:lvl>
    <w:lvl w:ilvl="4" w:tplc="E93643FC">
      <w:start w:val="1"/>
      <w:numFmt w:val="decimal"/>
      <w:lvlText w:val="%5."/>
      <w:lvlJc w:val="left"/>
      <w:pPr>
        <w:ind w:left="1020" w:hanging="360"/>
      </w:pPr>
    </w:lvl>
    <w:lvl w:ilvl="5" w:tplc="81B472A4">
      <w:start w:val="1"/>
      <w:numFmt w:val="decimal"/>
      <w:lvlText w:val="%6."/>
      <w:lvlJc w:val="left"/>
      <w:pPr>
        <w:ind w:left="1020" w:hanging="360"/>
      </w:pPr>
    </w:lvl>
    <w:lvl w:ilvl="6" w:tplc="96AA83F6">
      <w:start w:val="1"/>
      <w:numFmt w:val="decimal"/>
      <w:lvlText w:val="%7."/>
      <w:lvlJc w:val="left"/>
      <w:pPr>
        <w:ind w:left="1020" w:hanging="360"/>
      </w:pPr>
    </w:lvl>
    <w:lvl w:ilvl="7" w:tplc="D5D4C13A">
      <w:start w:val="1"/>
      <w:numFmt w:val="decimal"/>
      <w:lvlText w:val="%8."/>
      <w:lvlJc w:val="left"/>
      <w:pPr>
        <w:ind w:left="1020" w:hanging="360"/>
      </w:pPr>
    </w:lvl>
    <w:lvl w:ilvl="8" w:tplc="55D2BB24">
      <w:start w:val="1"/>
      <w:numFmt w:val="decimal"/>
      <w:lvlText w:val="%9."/>
      <w:lvlJc w:val="left"/>
      <w:pPr>
        <w:ind w:left="1020" w:hanging="360"/>
      </w:pPr>
    </w:lvl>
  </w:abstractNum>
  <w:abstractNum w:abstractNumId="20" w15:restartNumberingAfterBreak="0">
    <w:nsid w:val="2F494A10"/>
    <w:multiLevelType w:val="hybridMultilevel"/>
    <w:tmpl w:val="FFFFFFFF"/>
    <w:lvl w:ilvl="0" w:tplc="4F1413E0">
      <w:start w:val="1"/>
      <w:numFmt w:val="bullet"/>
      <w:lvlText w:val=""/>
      <w:lvlJc w:val="left"/>
      <w:pPr>
        <w:ind w:left="360" w:hanging="360"/>
      </w:pPr>
      <w:rPr>
        <w:rFonts w:ascii="Symbol" w:hAnsi="Symbol" w:hint="default"/>
      </w:rPr>
    </w:lvl>
    <w:lvl w:ilvl="1" w:tplc="C6CC02C2">
      <w:start w:val="1"/>
      <w:numFmt w:val="bullet"/>
      <w:lvlText w:val="o"/>
      <w:lvlJc w:val="left"/>
      <w:pPr>
        <w:ind w:left="1440" w:hanging="360"/>
      </w:pPr>
      <w:rPr>
        <w:rFonts w:ascii="Courier New" w:hAnsi="Courier New" w:hint="default"/>
      </w:rPr>
    </w:lvl>
    <w:lvl w:ilvl="2" w:tplc="285C97B2">
      <w:start w:val="1"/>
      <w:numFmt w:val="bullet"/>
      <w:lvlText w:val=""/>
      <w:lvlJc w:val="left"/>
      <w:pPr>
        <w:ind w:left="2160" w:hanging="360"/>
      </w:pPr>
      <w:rPr>
        <w:rFonts w:ascii="Wingdings" w:hAnsi="Wingdings" w:hint="default"/>
      </w:rPr>
    </w:lvl>
    <w:lvl w:ilvl="3" w:tplc="F448FA42">
      <w:start w:val="1"/>
      <w:numFmt w:val="bullet"/>
      <w:lvlText w:val=""/>
      <w:lvlJc w:val="left"/>
      <w:pPr>
        <w:ind w:left="2880" w:hanging="360"/>
      </w:pPr>
      <w:rPr>
        <w:rFonts w:ascii="Symbol" w:hAnsi="Symbol" w:hint="default"/>
      </w:rPr>
    </w:lvl>
    <w:lvl w:ilvl="4" w:tplc="420406CA">
      <w:start w:val="1"/>
      <w:numFmt w:val="bullet"/>
      <w:lvlText w:val="o"/>
      <w:lvlJc w:val="left"/>
      <w:pPr>
        <w:ind w:left="3600" w:hanging="360"/>
      </w:pPr>
      <w:rPr>
        <w:rFonts w:ascii="Courier New" w:hAnsi="Courier New" w:hint="default"/>
      </w:rPr>
    </w:lvl>
    <w:lvl w:ilvl="5" w:tplc="BF827574">
      <w:start w:val="1"/>
      <w:numFmt w:val="bullet"/>
      <w:lvlText w:val=""/>
      <w:lvlJc w:val="left"/>
      <w:pPr>
        <w:ind w:left="4320" w:hanging="360"/>
      </w:pPr>
      <w:rPr>
        <w:rFonts w:ascii="Wingdings" w:hAnsi="Wingdings" w:hint="default"/>
      </w:rPr>
    </w:lvl>
    <w:lvl w:ilvl="6" w:tplc="63D2D44A">
      <w:start w:val="1"/>
      <w:numFmt w:val="bullet"/>
      <w:lvlText w:val=""/>
      <w:lvlJc w:val="left"/>
      <w:pPr>
        <w:ind w:left="5040" w:hanging="360"/>
      </w:pPr>
      <w:rPr>
        <w:rFonts w:ascii="Symbol" w:hAnsi="Symbol" w:hint="default"/>
      </w:rPr>
    </w:lvl>
    <w:lvl w:ilvl="7" w:tplc="A3F22B80">
      <w:start w:val="1"/>
      <w:numFmt w:val="bullet"/>
      <w:lvlText w:val="o"/>
      <w:lvlJc w:val="left"/>
      <w:pPr>
        <w:ind w:left="5760" w:hanging="360"/>
      </w:pPr>
      <w:rPr>
        <w:rFonts w:ascii="Courier New" w:hAnsi="Courier New" w:hint="default"/>
      </w:rPr>
    </w:lvl>
    <w:lvl w:ilvl="8" w:tplc="5AEA588C">
      <w:start w:val="1"/>
      <w:numFmt w:val="bullet"/>
      <w:lvlText w:val=""/>
      <w:lvlJc w:val="left"/>
      <w:pPr>
        <w:ind w:left="6480" w:hanging="360"/>
      </w:pPr>
      <w:rPr>
        <w:rFonts w:ascii="Wingdings" w:hAnsi="Wingdings" w:hint="default"/>
      </w:rPr>
    </w:lvl>
  </w:abstractNum>
  <w:abstractNum w:abstractNumId="21" w15:restartNumberingAfterBreak="0">
    <w:nsid w:val="30073821"/>
    <w:multiLevelType w:val="hybridMultilevel"/>
    <w:tmpl w:val="FFFFFFFF"/>
    <w:lvl w:ilvl="0" w:tplc="DB3078A2">
      <w:start w:val="1"/>
      <w:numFmt w:val="bullet"/>
      <w:lvlText w:val=""/>
      <w:lvlJc w:val="left"/>
      <w:pPr>
        <w:ind w:left="360" w:hanging="360"/>
      </w:pPr>
      <w:rPr>
        <w:rFonts w:ascii="Symbol" w:hAnsi="Symbol" w:hint="default"/>
      </w:rPr>
    </w:lvl>
    <w:lvl w:ilvl="1" w:tplc="4614C87E">
      <w:start w:val="1"/>
      <w:numFmt w:val="bullet"/>
      <w:lvlText w:val="o"/>
      <w:lvlJc w:val="left"/>
      <w:pPr>
        <w:ind w:left="1440" w:hanging="360"/>
      </w:pPr>
      <w:rPr>
        <w:rFonts w:ascii="Courier New" w:hAnsi="Courier New" w:hint="default"/>
      </w:rPr>
    </w:lvl>
    <w:lvl w:ilvl="2" w:tplc="3094FBF8">
      <w:start w:val="1"/>
      <w:numFmt w:val="bullet"/>
      <w:lvlText w:val=""/>
      <w:lvlJc w:val="left"/>
      <w:pPr>
        <w:ind w:left="2160" w:hanging="360"/>
      </w:pPr>
      <w:rPr>
        <w:rFonts w:ascii="Wingdings" w:hAnsi="Wingdings" w:hint="default"/>
      </w:rPr>
    </w:lvl>
    <w:lvl w:ilvl="3" w:tplc="DC149278">
      <w:start w:val="1"/>
      <w:numFmt w:val="bullet"/>
      <w:lvlText w:val=""/>
      <w:lvlJc w:val="left"/>
      <w:pPr>
        <w:ind w:left="2880" w:hanging="360"/>
      </w:pPr>
      <w:rPr>
        <w:rFonts w:ascii="Symbol" w:hAnsi="Symbol" w:hint="default"/>
      </w:rPr>
    </w:lvl>
    <w:lvl w:ilvl="4" w:tplc="78FCCB32">
      <w:start w:val="1"/>
      <w:numFmt w:val="bullet"/>
      <w:lvlText w:val="o"/>
      <w:lvlJc w:val="left"/>
      <w:pPr>
        <w:ind w:left="3600" w:hanging="360"/>
      </w:pPr>
      <w:rPr>
        <w:rFonts w:ascii="Courier New" w:hAnsi="Courier New" w:hint="default"/>
      </w:rPr>
    </w:lvl>
    <w:lvl w:ilvl="5" w:tplc="CA56BC5E">
      <w:start w:val="1"/>
      <w:numFmt w:val="bullet"/>
      <w:lvlText w:val=""/>
      <w:lvlJc w:val="left"/>
      <w:pPr>
        <w:ind w:left="4320" w:hanging="360"/>
      </w:pPr>
      <w:rPr>
        <w:rFonts w:ascii="Wingdings" w:hAnsi="Wingdings" w:hint="default"/>
      </w:rPr>
    </w:lvl>
    <w:lvl w:ilvl="6" w:tplc="DFC4F20E">
      <w:start w:val="1"/>
      <w:numFmt w:val="bullet"/>
      <w:lvlText w:val=""/>
      <w:lvlJc w:val="left"/>
      <w:pPr>
        <w:ind w:left="5040" w:hanging="360"/>
      </w:pPr>
      <w:rPr>
        <w:rFonts w:ascii="Symbol" w:hAnsi="Symbol" w:hint="default"/>
      </w:rPr>
    </w:lvl>
    <w:lvl w:ilvl="7" w:tplc="B29A427A">
      <w:start w:val="1"/>
      <w:numFmt w:val="bullet"/>
      <w:lvlText w:val="o"/>
      <w:lvlJc w:val="left"/>
      <w:pPr>
        <w:ind w:left="5760" w:hanging="360"/>
      </w:pPr>
      <w:rPr>
        <w:rFonts w:ascii="Courier New" w:hAnsi="Courier New" w:hint="default"/>
      </w:rPr>
    </w:lvl>
    <w:lvl w:ilvl="8" w:tplc="AAB69B64">
      <w:start w:val="1"/>
      <w:numFmt w:val="bullet"/>
      <w:lvlText w:val=""/>
      <w:lvlJc w:val="left"/>
      <w:pPr>
        <w:ind w:left="6480" w:hanging="360"/>
      </w:pPr>
      <w:rPr>
        <w:rFonts w:ascii="Wingdings" w:hAnsi="Wingdings" w:hint="default"/>
      </w:rPr>
    </w:lvl>
  </w:abstractNum>
  <w:abstractNum w:abstractNumId="22" w15:restartNumberingAfterBreak="0">
    <w:nsid w:val="300EB0B1"/>
    <w:multiLevelType w:val="hybridMultilevel"/>
    <w:tmpl w:val="FFFFFFFF"/>
    <w:lvl w:ilvl="0" w:tplc="9724B22C">
      <w:start w:val="1"/>
      <w:numFmt w:val="bullet"/>
      <w:lvlText w:val="·"/>
      <w:lvlJc w:val="left"/>
      <w:pPr>
        <w:ind w:left="720" w:hanging="360"/>
      </w:pPr>
      <w:rPr>
        <w:rFonts w:ascii="Symbol" w:hAnsi="Symbol" w:hint="default"/>
      </w:rPr>
    </w:lvl>
    <w:lvl w:ilvl="1" w:tplc="B2C0E8FA">
      <w:start w:val="1"/>
      <w:numFmt w:val="bullet"/>
      <w:lvlText w:val="o"/>
      <w:lvlJc w:val="left"/>
      <w:pPr>
        <w:ind w:left="1440" w:hanging="360"/>
      </w:pPr>
      <w:rPr>
        <w:rFonts w:ascii="Courier New" w:hAnsi="Courier New" w:hint="default"/>
      </w:rPr>
    </w:lvl>
    <w:lvl w:ilvl="2" w:tplc="798EC92C">
      <w:start w:val="1"/>
      <w:numFmt w:val="bullet"/>
      <w:lvlText w:val=""/>
      <w:lvlJc w:val="left"/>
      <w:pPr>
        <w:ind w:left="2160" w:hanging="360"/>
      </w:pPr>
      <w:rPr>
        <w:rFonts w:ascii="Wingdings" w:hAnsi="Wingdings" w:hint="default"/>
      </w:rPr>
    </w:lvl>
    <w:lvl w:ilvl="3" w:tplc="38569CD6">
      <w:start w:val="1"/>
      <w:numFmt w:val="bullet"/>
      <w:lvlText w:val=""/>
      <w:lvlJc w:val="left"/>
      <w:pPr>
        <w:ind w:left="2880" w:hanging="360"/>
      </w:pPr>
      <w:rPr>
        <w:rFonts w:ascii="Symbol" w:hAnsi="Symbol" w:hint="default"/>
      </w:rPr>
    </w:lvl>
    <w:lvl w:ilvl="4" w:tplc="5C30F230">
      <w:start w:val="1"/>
      <w:numFmt w:val="bullet"/>
      <w:lvlText w:val="o"/>
      <w:lvlJc w:val="left"/>
      <w:pPr>
        <w:ind w:left="3600" w:hanging="360"/>
      </w:pPr>
      <w:rPr>
        <w:rFonts w:ascii="Courier New" w:hAnsi="Courier New" w:hint="default"/>
      </w:rPr>
    </w:lvl>
    <w:lvl w:ilvl="5" w:tplc="E3AAACCE">
      <w:start w:val="1"/>
      <w:numFmt w:val="bullet"/>
      <w:lvlText w:val=""/>
      <w:lvlJc w:val="left"/>
      <w:pPr>
        <w:ind w:left="4320" w:hanging="360"/>
      </w:pPr>
      <w:rPr>
        <w:rFonts w:ascii="Wingdings" w:hAnsi="Wingdings" w:hint="default"/>
      </w:rPr>
    </w:lvl>
    <w:lvl w:ilvl="6" w:tplc="C750DA3C">
      <w:start w:val="1"/>
      <w:numFmt w:val="bullet"/>
      <w:lvlText w:val=""/>
      <w:lvlJc w:val="left"/>
      <w:pPr>
        <w:ind w:left="5040" w:hanging="360"/>
      </w:pPr>
      <w:rPr>
        <w:rFonts w:ascii="Symbol" w:hAnsi="Symbol" w:hint="default"/>
      </w:rPr>
    </w:lvl>
    <w:lvl w:ilvl="7" w:tplc="BB60D1A2">
      <w:start w:val="1"/>
      <w:numFmt w:val="bullet"/>
      <w:lvlText w:val="o"/>
      <w:lvlJc w:val="left"/>
      <w:pPr>
        <w:ind w:left="5760" w:hanging="360"/>
      </w:pPr>
      <w:rPr>
        <w:rFonts w:ascii="Courier New" w:hAnsi="Courier New" w:hint="default"/>
      </w:rPr>
    </w:lvl>
    <w:lvl w:ilvl="8" w:tplc="BDAE2F56">
      <w:start w:val="1"/>
      <w:numFmt w:val="bullet"/>
      <w:lvlText w:val=""/>
      <w:lvlJc w:val="left"/>
      <w:pPr>
        <w:ind w:left="6480" w:hanging="360"/>
      </w:pPr>
      <w:rPr>
        <w:rFonts w:ascii="Wingdings" w:hAnsi="Wingdings" w:hint="default"/>
      </w:rPr>
    </w:lvl>
  </w:abstractNum>
  <w:abstractNum w:abstractNumId="23" w15:restartNumberingAfterBreak="0">
    <w:nsid w:val="302943E6"/>
    <w:multiLevelType w:val="hybridMultilevel"/>
    <w:tmpl w:val="4ADC3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FCAEE8"/>
    <w:multiLevelType w:val="hybridMultilevel"/>
    <w:tmpl w:val="FFFFFFFF"/>
    <w:lvl w:ilvl="0" w:tplc="970E68EC">
      <w:start w:val="1"/>
      <w:numFmt w:val="bullet"/>
      <w:lvlText w:val="·"/>
      <w:lvlJc w:val="left"/>
      <w:pPr>
        <w:ind w:left="720" w:hanging="360"/>
      </w:pPr>
      <w:rPr>
        <w:rFonts w:ascii="Symbol" w:hAnsi="Symbol" w:hint="default"/>
      </w:rPr>
    </w:lvl>
    <w:lvl w:ilvl="1" w:tplc="867E1EEE">
      <w:start w:val="1"/>
      <w:numFmt w:val="bullet"/>
      <w:lvlText w:val="o"/>
      <w:lvlJc w:val="left"/>
      <w:pPr>
        <w:ind w:left="1440" w:hanging="360"/>
      </w:pPr>
      <w:rPr>
        <w:rFonts w:ascii="Courier New" w:hAnsi="Courier New" w:hint="default"/>
      </w:rPr>
    </w:lvl>
    <w:lvl w:ilvl="2" w:tplc="F0C2C896">
      <w:start w:val="1"/>
      <w:numFmt w:val="bullet"/>
      <w:lvlText w:val=""/>
      <w:lvlJc w:val="left"/>
      <w:pPr>
        <w:ind w:left="2160" w:hanging="360"/>
      </w:pPr>
      <w:rPr>
        <w:rFonts w:ascii="Wingdings" w:hAnsi="Wingdings" w:hint="default"/>
      </w:rPr>
    </w:lvl>
    <w:lvl w:ilvl="3" w:tplc="BF2ED510">
      <w:start w:val="1"/>
      <w:numFmt w:val="bullet"/>
      <w:lvlText w:val=""/>
      <w:lvlJc w:val="left"/>
      <w:pPr>
        <w:ind w:left="2880" w:hanging="360"/>
      </w:pPr>
      <w:rPr>
        <w:rFonts w:ascii="Symbol" w:hAnsi="Symbol" w:hint="default"/>
      </w:rPr>
    </w:lvl>
    <w:lvl w:ilvl="4" w:tplc="3E8C0B04">
      <w:start w:val="1"/>
      <w:numFmt w:val="bullet"/>
      <w:lvlText w:val="o"/>
      <w:lvlJc w:val="left"/>
      <w:pPr>
        <w:ind w:left="3600" w:hanging="360"/>
      </w:pPr>
      <w:rPr>
        <w:rFonts w:ascii="Courier New" w:hAnsi="Courier New" w:hint="default"/>
      </w:rPr>
    </w:lvl>
    <w:lvl w:ilvl="5" w:tplc="FF4A48D0">
      <w:start w:val="1"/>
      <w:numFmt w:val="bullet"/>
      <w:lvlText w:val=""/>
      <w:lvlJc w:val="left"/>
      <w:pPr>
        <w:ind w:left="4320" w:hanging="360"/>
      </w:pPr>
      <w:rPr>
        <w:rFonts w:ascii="Wingdings" w:hAnsi="Wingdings" w:hint="default"/>
      </w:rPr>
    </w:lvl>
    <w:lvl w:ilvl="6" w:tplc="B8228FFC">
      <w:start w:val="1"/>
      <w:numFmt w:val="bullet"/>
      <w:lvlText w:val=""/>
      <w:lvlJc w:val="left"/>
      <w:pPr>
        <w:ind w:left="5040" w:hanging="360"/>
      </w:pPr>
      <w:rPr>
        <w:rFonts w:ascii="Symbol" w:hAnsi="Symbol" w:hint="default"/>
      </w:rPr>
    </w:lvl>
    <w:lvl w:ilvl="7" w:tplc="61268E2E">
      <w:start w:val="1"/>
      <w:numFmt w:val="bullet"/>
      <w:lvlText w:val="o"/>
      <w:lvlJc w:val="left"/>
      <w:pPr>
        <w:ind w:left="5760" w:hanging="360"/>
      </w:pPr>
      <w:rPr>
        <w:rFonts w:ascii="Courier New" w:hAnsi="Courier New" w:hint="default"/>
      </w:rPr>
    </w:lvl>
    <w:lvl w:ilvl="8" w:tplc="203E2F88">
      <w:start w:val="1"/>
      <w:numFmt w:val="bullet"/>
      <w:lvlText w:val=""/>
      <w:lvlJc w:val="left"/>
      <w:pPr>
        <w:ind w:left="6480" w:hanging="360"/>
      </w:pPr>
      <w:rPr>
        <w:rFonts w:ascii="Wingdings" w:hAnsi="Wingdings" w:hint="default"/>
      </w:rPr>
    </w:lvl>
  </w:abstractNum>
  <w:abstractNum w:abstractNumId="25"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26" w15:restartNumberingAfterBreak="0">
    <w:nsid w:val="45730D71"/>
    <w:multiLevelType w:val="hybridMultilevel"/>
    <w:tmpl w:val="C0DAE8FC"/>
    <w:lvl w:ilvl="0" w:tplc="CDE6AAF8">
      <w:start w:val="1"/>
      <w:numFmt w:val="decimal"/>
      <w:lvlText w:val="%1."/>
      <w:lvlJc w:val="left"/>
      <w:pPr>
        <w:ind w:left="1020" w:hanging="360"/>
      </w:pPr>
    </w:lvl>
    <w:lvl w:ilvl="1" w:tplc="7DCC5EE6">
      <w:start w:val="1"/>
      <w:numFmt w:val="decimal"/>
      <w:lvlText w:val="%2."/>
      <w:lvlJc w:val="left"/>
      <w:pPr>
        <w:ind w:left="1020" w:hanging="360"/>
      </w:pPr>
    </w:lvl>
    <w:lvl w:ilvl="2" w:tplc="F37C873A">
      <w:start w:val="1"/>
      <w:numFmt w:val="decimal"/>
      <w:lvlText w:val="%3."/>
      <w:lvlJc w:val="left"/>
      <w:pPr>
        <w:ind w:left="1020" w:hanging="360"/>
      </w:pPr>
    </w:lvl>
    <w:lvl w:ilvl="3" w:tplc="4A54F0E8">
      <w:start w:val="1"/>
      <w:numFmt w:val="decimal"/>
      <w:lvlText w:val="%4."/>
      <w:lvlJc w:val="left"/>
      <w:pPr>
        <w:ind w:left="1020" w:hanging="360"/>
      </w:pPr>
    </w:lvl>
    <w:lvl w:ilvl="4" w:tplc="9CB8C8FC">
      <w:start w:val="1"/>
      <w:numFmt w:val="decimal"/>
      <w:lvlText w:val="%5."/>
      <w:lvlJc w:val="left"/>
      <w:pPr>
        <w:ind w:left="1020" w:hanging="360"/>
      </w:pPr>
    </w:lvl>
    <w:lvl w:ilvl="5" w:tplc="F0C07C88">
      <w:start w:val="1"/>
      <w:numFmt w:val="decimal"/>
      <w:lvlText w:val="%6."/>
      <w:lvlJc w:val="left"/>
      <w:pPr>
        <w:ind w:left="1020" w:hanging="360"/>
      </w:pPr>
    </w:lvl>
    <w:lvl w:ilvl="6" w:tplc="144E3B7A">
      <w:start w:val="1"/>
      <w:numFmt w:val="decimal"/>
      <w:lvlText w:val="%7."/>
      <w:lvlJc w:val="left"/>
      <w:pPr>
        <w:ind w:left="1020" w:hanging="360"/>
      </w:pPr>
    </w:lvl>
    <w:lvl w:ilvl="7" w:tplc="052483D8">
      <w:start w:val="1"/>
      <w:numFmt w:val="decimal"/>
      <w:lvlText w:val="%8."/>
      <w:lvlJc w:val="left"/>
      <w:pPr>
        <w:ind w:left="1020" w:hanging="360"/>
      </w:pPr>
    </w:lvl>
    <w:lvl w:ilvl="8" w:tplc="61F0A1E8">
      <w:start w:val="1"/>
      <w:numFmt w:val="decimal"/>
      <w:lvlText w:val="%9."/>
      <w:lvlJc w:val="left"/>
      <w:pPr>
        <w:ind w:left="1020" w:hanging="360"/>
      </w:pPr>
    </w:lvl>
  </w:abstractNum>
  <w:abstractNum w:abstractNumId="27" w15:restartNumberingAfterBreak="0">
    <w:nsid w:val="4A107279"/>
    <w:multiLevelType w:val="hybridMultilevel"/>
    <w:tmpl w:val="FFFFFFFF"/>
    <w:lvl w:ilvl="0" w:tplc="A67C8A26">
      <w:start w:val="1"/>
      <w:numFmt w:val="bullet"/>
      <w:lvlText w:val=""/>
      <w:lvlJc w:val="left"/>
      <w:pPr>
        <w:ind w:left="360" w:hanging="360"/>
      </w:pPr>
      <w:rPr>
        <w:rFonts w:ascii="Symbol" w:hAnsi="Symbol" w:hint="default"/>
      </w:rPr>
    </w:lvl>
    <w:lvl w:ilvl="1" w:tplc="50CE491E">
      <w:start w:val="1"/>
      <w:numFmt w:val="bullet"/>
      <w:lvlText w:val="o"/>
      <w:lvlJc w:val="left"/>
      <w:pPr>
        <w:ind w:left="1440" w:hanging="360"/>
      </w:pPr>
      <w:rPr>
        <w:rFonts w:ascii="Courier New" w:hAnsi="Courier New" w:hint="default"/>
      </w:rPr>
    </w:lvl>
    <w:lvl w:ilvl="2" w:tplc="9B269DF0">
      <w:start w:val="1"/>
      <w:numFmt w:val="bullet"/>
      <w:lvlText w:val=""/>
      <w:lvlJc w:val="left"/>
      <w:pPr>
        <w:ind w:left="2160" w:hanging="360"/>
      </w:pPr>
      <w:rPr>
        <w:rFonts w:ascii="Wingdings" w:hAnsi="Wingdings" w:hint="default"/>
      </w:rPr>
    </w:lvl>
    <w:lvl w:ilvl="3" w:tplc="8FEA80B8">
      <w:start w:val="1"/>
      <w:numFmt w:val="bullet"/>
      <w:lvlText w:val=""/>
      <w:lvlJc w:val="left"/>
      <w:pPr>
        <w:ind w:left="2880" w:hanging="360"/>
      </w:pPr>
      <w:rPr>
        <w:rFonts w:ascii="Symbol" w:hAnsi="Symbol" w:hint="default"/>
      </w:rPr>
    </w:lvl>
    <w:lvl w:ilvl="4" w:tplc="84DECC46">
      <w:start w:val="1"/>
      <w:numFmt w:val="bullet"/>
      <w:lvlText w:val="o"/>
      <w:lvlJc w:val="left"/>
      <w:pPr>
        <w:ind w:left="3600" w:hanging="360"/>
      </w:pPr>
      <w:rPr>
        <w:rFonts w:ascii="Courier New" w:hAnsi="Courier New" w:hint="default"/>
      </w:rPr>
    </w:lvl>
    <w:lvl w:ilvl="5" w:tplc="2F6A6A34">
      <w:start w:val="1"/>
      <w:numFmt w:val="bullet"/>
      <w:lvlText w:val=""/>
      <w:lvlJc w:val="left"/>
      <w:pPr>
        <w:ind w:left="4320" w:hanging="360"/>
      </w:pPr>
      <w:rPr>
        <w:rFonts w:ascii="Wingdings" w:hAnsi="Wingdings" w:hint="default"/>
      </w:rPr>
    </w:lvl>
    <w:lvl w:ilvl="6" w:tplc="CB0AD9CE">
      <w:start w:val="1"/>
      <w:numFmt w:val="bullet"/>
      <w:lvlText w:val=""/>
      <w:lvlJc w:val="left"/>
      <w:pPr>
        <w:ind w:left="5040" w:hanging="360"/>
      </w:pPr>
      <w:rPr>
        <w:rFonts w:ascii="Symbol" w:hAnsi="Symbol" w:hint="default"/>
      </w:rPr>
    </w:lvl>
    <w:lvl w:ilvl="7" w:tplc="76BC8CA8">
      <w:start w:val="1"/>
      <w:numFmt w:val="bullet"/>
      <w:lvlText w:val="o"/>
      <w:lvlJc w:val="left"/>
      <w:pPr>
        <w:ind w:left="5760" w:hanging="360"/>
      </w:pPr>
      <w:rPr>
        <w:rFonts w:ascii="Courier New" w:hAnsi="Courier New" w:hint="default"/>
      </w:rPr>
    </w:lvl>
    <w:lvl w:ilvl="8" w:tplc="A95CC6F0">
      <w:start w:val="1"/>
      <w:numFmt w:val="bullet"/>
      <w:lvlText w:val=""/>
      <w:lvlJc w:val="left"/>
      <w:pPr>
        <w:ind w:left="6480" w:hanging="360"/>
      </w:pPr>
      <w:rPr>
        <w:rFonts w:ascii="Wingdings" w:hAnsi="Wingdings" w:hint="default"/>
      </w:rPr>
    </w:lvl>
  </w:abstractNum>
  <w:abstractNum w:abstractNumId="28" w15:restartNumberingAfterBreak="0">
    <w:nsid w:val="4E7FA6F2"/>
    <w:multiLevelType w:val="hybridMultilevel"/>
    <w:tmpl w:val="FFFFFFFF"/>
    <w:lvl w:ilvl="0" w:tplc="5178B952">
      <w:start w:val="1"/>
      <w:numFmt w:val="bullet"/>
      <w:lvlText w:val=""/>
      <w:lvlJc w:val="left"/>
      <w:pPr>
        <w:ind w:left="360" w:hanging="360"/>
      </w:pPr>
      <w:rPr>
        <w:rFonts w:ascii="Symbol" w:hAnsi="Symbol" w:hint="default"/>
      </w:rPr>
    </w:lvl>
    <w:lvl w:ilvl="1" w:tplc="1CF8A578">
      <w:start w:val="1"/>
      <w:numFmt w:val="bullet"/>
      <w:lvlText w:val="o"/>
      <w:lvlJc w:val="left"/>
      <w:pPr>
        <w:ind w:left="1440" w:hanging="360"/>
      </w:pPr>
      <w:rPr>
        <w:rFonts w:ascii="Courier New" w:hAnsi="Courier New" w:hint="default"/>
      </w:rPr>
    </w:lvl>
    <w:lvl w:ilvl="2" w:tplc="7F7E8240">
      <w:start w:val="1"/>
      <w:numFmt w:val="bullet"/>
      <w:lvlText w:val=""/>
      <w:lvlJc w:val="left"/>
      <w:pPr>
        <w:ind w:left="2160" w:hanging="360"/>
      </w:pPr>
      <w:rPr>
        <w:rFonts w:ascii="Wingdings" w:hAnsi="Wingdings" w:hint="default"/>
      </w:rPr>
    </w:lvl>
    <w:lvl w:ilvl="3" w:tplc="6800241C">
      <w:start w:val="1"/>
      <w:numFmt w:val="bullet"/>
      <w:lvlText w:val=""/>
      <w:lvlJc w:val="left"/>
      <w:pPr>
        <w:ind w:left="2880" w:hanging="360"/>
      </w:pPr>
      <w:rPr>
        <w:rFonts w:ascii="Symbol" w:hAnsi="Symbol" w:hint="default"/>
      </w:rPr>
    </w:lvl>
    <w:lvl w:ilvl="4" w:tplc="BD121322">
      <w:start w:val="1"/>
      <w:numFmt w:val="bullet"/>
      <w:lvlText w:val="o"/>
      <w:lvlJc w:val="left"/>
      <w:pPr>
        <w:ind w:left="3600" w:hanging="360"/>
      </w:pPr>
      <w:rPr>
        <w:rFonts w:ascii="Courier New" w:hAnsi="Courier New" w:hint="default"/>
      </w:rPr>
    </w:lvl>
    <w:lvl w:ilvl="5" w:tplc="55A63230">
      <w:start w:val="1"/>
      <w:numFmt w:val="bullet"/>
      <w:lvlText w:val=""/>
      <w:lvlJc w:val="left"/>
      <w:pPr>
        <w:ind w:left="4320" w:hanging="360"/>
      </w:pPr>
      <w:rPr>
        <w:rFonts w:ascii="Wingdings" w:hAnsi="Wingdings" w:hint="default"/>
      </w:rPr>
    </w:lvl>
    <w:lvl w:ilvl="6" w:tplc="AB86E78C">
      <w:start w:val="1"/>
      <w:numFmt w:val="bullet"/>
      <w:lvlText w:val=""/>
      <w:lvlJc w:val="left"/>
      <w:pPr>
        <w:ind w:left="5040" w:hanging="360"/>
      </w:pPr>
      <w:rPr>
        <w:rFonts w:ascii="Symbol" w:hAnsi="Symbol" w:hint="default"/>
      </w:rPr>
    </w:lvl>
    <w:lvl w:ilvl="7" w:tplc="A2122454">
      <w:start w:val="1"/>
      <w:numFmt w:val="bullet"/>
      <w:lvlText w:val="o"/>
      <w:lvlJc w:val="left"/>
      <w:pPr>
        <w:ind w:left="5760" w:hanging="360"/>
      </w:pPr>
      <w:rPr>
        <w:rFonts w:ascii="Courier New" w:hAnsi="Courier New" w:hint="default"/>
      </w:rPr>
    </w:lvl>
    <w:lvl w:ilvl="8" w:tplc="FBD25C62">
      <w:start w:val="1"/>
      <w:numFmt w:val="bullet"/>
      <w:lvlText w:val=""/>
      <w:lvlJc w:val="left"/>
      <w:pPr>
        <w:ind w:left="6480" w:hanging="360"/>
      </w:pPr>
      <w:rPr>
        <w:rFonts w:ascii="Wingdings" w:hAnsi="Wingdings" w:hint="default"/>
      </w:rPr>
    </w:lvl>
  </w:abstractNum>
  <w:abstractNum w:abstractNumId="29" w15:restartNumberingAfterBreak="0">
    <w:nsid w:val="51DF1C9E"/>
    <w:multiLevelType w:val="hybridMultilevel"/>
    <w:tmpl w:val="4598324C"/>
    <w:lvl w:ilvl="0" w:tplc="E956490A">
      <w:start w:val="1"/>
      <w:numFmt w:val="bullet"/>
      <w:lvlText w:val=""/>
      <w:lvlJc w:val="left"/>
      <w:pPr>
        <w:ind w:left="360" w:hanging="360"/>
      </w:pPr>
      <w:rPr>
        <w:rFonts w:ascii="Symbol" w:hAnsi="Symbol" w:hint="default"/>
      </w:rPr>
    </w:lvl>
    <w:lvl w:ilvl="1" w:tplc="857A35FA">
      <w:start w:val="1"/>
      <w:numFmt w:val="bullet"/>
      <w:lvlText w:val="o"/>
      <w:lvlJc w:val="left"/>
      <w:pPr>
        <w:ind w:left="1080" w:hanging="360"/>
      </w:pPr>
      <w:rPr>
        <w:rFonts w:ascii="Courier New" w:hAnsi="Courier New" w:hint="default"/>
      </w:rPr>
    </w:lvl>
    <w:lvl w:ilvl="2" w:tplc="4AA4D2EC">
      <w:start w:val="1"/>
      <w:numFmt w:val="bullet"/>
      <w:lvlText w:val=""/>
      <w:lvlJc w:val="left"/>
      <w:pPr>
        <w:ind w:left="1800" w:hanging="360"/>
      </w:pPr>
      <w:rPr>
        <w:rFonts w:ascii="Wingdings" w:hAnsi="Wingdings" w:hint="default"/>
      </w:rPr>
    </w:lvl>
    <w:lvl w:ilvl="3" w:tplc="20663766">
      <w:start w:val="1"/>
      <w:numFmt w:val="bullet"/>
      <w:lvlText w:val=""/>
      <w:lvlJc w:val="left"/>
      <w:pPr>
        <w:ind w:left="2520" w:hanging="360"/>
      </w:pPr>
      <w:rPr>
        <w:rFonts w:ascii="Symbol" w:hAnsi="Symbol" w:hint="default"/>
      </w:rPr>
    </w:lvl>
    <w:lvl w:ilvl="4" w:tplc="A73668C8">
      <w:start w:val="1"/>
      <w:numFmt w:val="bullet"/>
      <w:lvlText w:val="o"/>
      <w:lvlJc w:val="left"/>
      <w:pPr>
        <w:ind w:left="3240" w:hanging="360"/>
      </w:pPr>
      <w:rPr>
        <w:rFonts w:ascii="Courier New" w:hAnsi="Courier New" w:hint="default"/>
      </w:rPr>
    </w:lvl>
    <w:lvl w:ilvl="5" w:tplc="458A1E92">
      <w:start w:val="1"/>
      <w:numFmt w:val="bullet"/>
      <w:lvlText w:val=""/>
      <w:lvlJc w:val="left"/>
      <w:pPr>
        <w:ind w:left="3960" w:hanging="360"/>
      </w:pPr>
      <w:rPr>
        <w:rFonts w:ascii="Wingdings" w:hAnsi="Wingdings" w:hint="default"/>
      </w:rPr>
    </w:lvl>
    <w:lvl w:ilvl="6" w:tplc="10083E82">
      <w:start w:val="1"/>
      <w:numFmt w:val="bullet"/>
      <w:lvlText w:val=""/>
      <w:lvlJc w:val="left"/>
      <w:pPr>
        <w:ind w:left="4680" w:hanging="360"/>
      </w:pPr>
      <w:rPr>
        <w:rFonts w:ascii="Symbol" w:hAnsi="Symbol" w:hint="default"/>
      </w:rPr>
    </w:lvl>
    <w:lvl w:ilvl="7" w:tplc="4CFE2766">
      <w:start w:val="1"/>
      <w:numFmt w:val="bullet"/>
      <w:lvlText w:val="o"/>
      <w:lvlJc w:val="left"/>
      <w:pPr>
        <w:ind w:left="5400" w:hanging="360"/>
      </w:pPr>
      <w:rPr>
        <w:rFonts w:ascii="Courier New" w:hAnsi="Courier New" w:hint="default"/>
      </w:rPr>
    </w:lvl>
    <w:lvl w:ilvl="8" w:tplc="ED4890DE">
      <w:start w:val="1"/>
      <w:numFmt w:val="bullet"/>
      <w:lvlText w:val=""/>
      <w:lvlJc w:val="left"/>
      <w:pPr>
        <w:ind w:left="6120" w:hanging="360"/>
      </w:pPr>
      <w:rPr>
        <w:rFonts w:ascii="Wingdings" w:hAnsi="Wingdings" w:hint="default"/>
      </w:rPr>
    </w:lvl>
  </w:abstractNum>
  <w:abstractNum w:abstractNumId="30" w15:restartNumberingAfterBreak="0">
    <w:nsid w:val="55492472"/>
    <w:multiLevelType w:val="hybridMultilevel"/>
    <w:tmpl w:val="FFFFFFFF"/>
    <w:lvl w:ilvl="0" w:tplc="54280A52">
      <w:start w:val="1"/>
      <w:numFmt w:val="bullet"/>
      <w:lvlText w:val=""/>
      <w:lvlJc w:val="left"/>
      <w:pPr>
        <w:ind w:left="360" w:hanging="360"/>
      </w:pPr>
      <w:rPr>
        <w:rFonts w:ascii="Symbol" w:hAnsi="Symbol" w:hint="default"/>
      </w:rPr>
    </w:lvl>
    <w:lvl w:ilvl="1" w:tplc="27F07C54">
      <w:start w:val="1"/>
      <w:numFmt w:val="bullet"/>
      <w:lvlText w:val="o"/>
      <w:lvlJc w:val="left"/>
      <w:pPr>
        <w:ind w:left="1440" w:hanging="360"/>
      </w:pPr>
      <w:rPr>
        <w:rFonts w:ascii="Courier New" w:hAnsi="Courier New" w:hint="default"/>
      </w:rPr>
    </w:lvl>
    <w:lvl w:ilvl="2" w:tplc="FF7CDF12">
      <w:start w:val="1"/>
      <w:numFmt w:val="bullet"/>
      <w:lvlText w:val=""/>
      <w:lvlJc w:val="left"/>
      <w:pPr>
        <w:ind w:left="2160" w:hanging="360"/>
      </w:pPr>
      <w:rPr>
        <w:rFonts w:ascii="Wingdings" w:hAnsi="Wingdings" w:hint="default"/>
      </w:rPr>
    </w:lvl>
    <w:lvl w:ilvl="3" w:tplc="67FCA074">
      <w:start w:val="1"/>
      <w:numFmt w:val="bullet"/>
      <w:lvlText w:val=""/>
      <w:lvlJc w:val="left"/>
      <w:pPr>
        <w:ind w:left="2880" w:hanging="360"/>
      </w:pPr>
      <w:rPr>
        <w:rFonts w:ascii="Symbol" w:hAnsi="Symbol" w:hint="default"/>
      </w:rPr>
    </w:lvl>
    <w:lvl w:ilvl="4" w:tplc="1DFEE8AA">
      <w:start w:val="1"/>
      <w:numFmt w:val="bullet"/>
      <w:lvlText w:val="o"/>
      <w:lvlJc w:val="left"/>
      <w:pPr>
        <w:ind w:left="3600" w:hanging="360"/>
      </w:pPr>
      <w:rPr>
        <w:rFonts w:ascii="Courier New" w:hAnsi="Courier New" w:hint="default"/>
      </w:rPr>
    </w:lvl>
    <w:lvl w:ilvl="5" w:tplc="8266EED0">
      <w:start w:val="1"/>
      <w:numFmt w:val="bullet"/>
      <w:lvlText w:val=""/>
      <w:lvlJc w:val="left"/>
      <w:pPr>
        <w:ind w:left="4320" w:hanging="360"/>
      </w:pPr>
      <w:rPr>
        <w:rFonts w:ascii="Wingdings" w:hAnsi="Wingdings" w:hint="default"/>
      </w:rPr>
    </w:lvl>
    <w:lvl w:ilvl="6" w:tplc="342CD076">
      <w:start w:val="1"/>
      <w:numFmt w:val="bullet"/>
      <w:lvlText w:val=""/>
      <w:lvlJc w:val="left"/>
      <w:pPr>
        <w:ind w:left="5040" w:hanging="360"/>
      </w:pPr>
      <w:rPr>
        <w:rFonts w:ascii="Symbol" w:hAnsi="Symbol" w:hint="default"/>
      </w:rPr>
    </w:lvl>
    <w:lvl w:ilvl="7" w:tplc="C518DDAC">
      <w:start w:val="1"/>
      <w:numFmt w:val="bullet"/>
      <w:lvlText w:val="o"/>
      <w:lvlJc w:val="left"/>
      <w:pPr>
        <w:ind w:left="5760" w:hanging="360"/>
      </w:pPr>
      <w:rPr>
        <w:rFonts w:ascii="Courier New" w:hAnsi="Courier New" w:hint="default"/>
      </w:rPr>
    </w:lvl>
    <w:lvl w:ilvl="8" w:tplc="99E0A224">
      <w:start w:val="1"/>
      <w:numFmt w:val="bullet"/>
      <w:lvlText w:val=""/>
      <w:lvlJc w:val="left"/>
      <w:pPr>
        <w:ind w:left="6480" w:hanging="360"/>
      </w:pPr>
      <w:rPr>
        <w:rFonts w:ascii="Wingdings" w:hAnsi="Wingdings" w:hint="default"/>
      </w:rPr>
    </w:lvl>
  </w:abstractNum>
  <w:abstractNum w:abstractNumId="31" w15:restartNumberingAfterBreak="0">
    <w:nsid w:val="57D4170D"/>
    <w:multiLevelType w:val="hybridMultilevel"/>
    <w:tmpl w:val="CEFE8CD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28284D"/>
    <w:multiLevelType w:val="hybridMultilevel"/>
    <w:tmpl w:val="247296D0"/>
    <w:lvl w:ilvl="0" w:tplc="56AA418E">
      <w:start w:val="1"/>
      <w:numFmt w:val="decimal"/>
      <w:lvlText w:val="%1."/>
      <w:lvlJc w:val="left"/>
      <w:pPr>
        <w:ind w:left="501" w:hanging="360"/>
      </w:pPr>
      <w:rPr>
        <w:rFonts w:ascii="Corbel" w:hAnsi="Corbel" w:hint="default"/>
        <w:sz w:val="23"/>
        <w:szCs w:val="23"/>
      </w:rPr>
    </w:lvl>
    <w:lvl w:ilvl="1" w:tplc="FDBE0A26">
      <w:start w:val="1"/>
      <w:numFmt w:val="lowerLetter"/>
      <w:lvlText w:val="%2."/>
      <w:lvlJc w:val="left"/>
      <w:pPr>
        <w:ind w:left="397" w:hanging="244"/>
      </w:pPr>
      <w:rPr>
        <w:rFonts w:hint="default"/>
      </w:rPr>
    </w:lvl>
    <w:lvl w:ilvl="2" w:tplc="281ADBC8">
      <w:start w:val="1"/>
      <w:numFmt w:val="lowerRoman"/>
      <w:lvlText w:val="%3."/>
      <w:lvlJc w:val="right"/>
      <w:pPr>
        <w:ind w:left="1233" w:hanging="180"/>
      </w:p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33" w15:restartNumberingAfterBreak="0">
    <w:nsid w:val="5ACD2B4F"/>
    <w:multiLevelType w:val="hybridMultilevel"/>
    <w:tmpl w:val="83C0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EA3D57"/>
    <w:multiLevelType w:val="hybridMultilevel"/>
    <w:tmpl w:val="3306B596"/>
    <w:lvl w:ilvl="0" w:tplc="FFFFFFFF">
      <w:start w:val="1"/>
      <w:numFmt w:val="lowerRoman"/>
      <w:lvlText w:val="%1."/>
      <w:lvlJc w:val="right"/>
      <w:pPr>
        <w:ind w:left="1080" w:hanging="360"/>
      </w:pPr>
      <w:rPr>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5D391200"/>
    <w:multiLevelType w:val="hybridMultilevel"/>
    <w:tmpl w:val="962A4056"/>
    <w:lvl w:ilvl="0" w:tplc="9B6019CC">
      <w:start w:val="1"/>
      <w:numFmt w:val="decimal"/>
      <w:lvlText w:val="%1."/>
      <w:lvlJc w:val="left"/>
      <w:pPr>
        <w:ind w:left="1020" w:hanging="360"/>
      </w:pPr>
    </w:lvl>
    <w:lvl w:ilvl="1" w:tplc="E7287366">
      <w:start w:val="1"/>
      <w:numFmt w:val="decimal"/>
      <w:lvlText w:val="%2."/>
      <w:lvlJc w:val="left"/>
      <w:pPr>
        <w:ind w:left="1020" w:hanging="360"/>
      </w:pPr>
    </w:lvl>
    <w:lvl w:ilvl="2" w:tplc="95AA1062">
      <w:start w:val="1"/>
      <w:numFmt w:val="decimal"/>
      <w:lvlText w:val="%3."/>
      <w:lvlJc w:val="left"/>
      <w:pPr>
        <w:ind w:left="1020" w:hanging="360"/>
      </w:pPr>
    </w:lvl>
    <w:lvl w:ilvl="3" w:tplc="EDA80EC0">
      <w:start w:val="1"/>
      <w:numFmt w:val="decimal"/>
      <w:lvlText w:val="%4."/>
      <w:lvlJc w:val="left"/>
      <w:pPr>
        <w:ind w:left="1020" w:hanging="360"/>
      </w:pPr>
    </w:lvl>
    <w:lvl w:ilvl="4" w:tplc="37260130">
      <w:start w:val="1"/>
      <w:numFmt w:val="decimal"/>
      <w:lvlText w:val="%5."/>
      <w:lvlJc w:val="left"/>
      <w:pPr>
        <w:ind w:left="1020" w:hanging="360"/>
      </w:pPr>
    </w:lvl>
    <w:lvl w:ilvl="5" w:tplc="ED300FA8">
      <w:start w:val="1"/>
      <w:numFmt w:val="decimal"/>
      <w:lvlText w:val="%6."/>
      <w:lvlJc w:val="left"/>
      <w:pPr>
        <w:ind w:left="1020" w:hanging="360"/>
      </w:pPr>
    </w:lvl>
    <w:lvl w:ilvl="6" w:tplc="EC5AE3C6">
      <w:start w:val="1"/>
      <w:numFmt w:val="decimal"/>
      <w:lvlText w:val="%7."/>
      <w:lvlJc w:val="left"/>
      <w:pPr>
        <w:ind w:left="1020" w:hanging="360"/>
      </w:pPr>
    </w:lvl>
    <w:lvl w:ilvl="7" w:tplc="A5CC00CA">
      <w:start w:val="1"/>
      <w:numFmt w:val="decimal"/>
      <w:lvlText w:val="%8."/>
      <w:lvlJc w:val="left"/>
      <w:pPr>
        <w:ind w:left="1020" w:hanging="360"/>
      </w:pPr>
    </w:lvl>
    <w:lvl w:ilvl="8" w:tplc="BE72C774">
      <w:start w:val="1"/>
      <w:numFmt w:val="decimal"/>
      <w:lvlText w:val="%9."/>
      <w:lvlJc w:val="left"/>
      <w:pPr>
        <w:ind w:left="1020" w:hanging="360"/>
      </w:pPr>
    </w:lvl>
  </w:abstractNum>
  <w:abstractNum w:abstractNumId="36" w15:restartNumberingAfterBreak="0">
    <w:nsid w:val="673C89BC"/>
    <w:multiLevelType w:val="hybridMultilevel"/>
    <w:tmpl w:val="FFFFFFFF"/>
    <w:lvl w:ilvl="0" w:tplc="38686AF8">
      <w:start w:val="1"/>
      <w:numFmt w:val="bullet"/>
      <w:lvlText w:val=""/>
      <w:lvlJc w:val="left"/>
      <w:pPr>
        <w:ind w:left="360" w:hanging="360"/>
      </w:pPr>
      <w:rPr>
        <w:rFonts w:ascii="Symbol" w:hAnsi="Symbol" w:hint="default"/>
      </w:rPr>
    </w:lvl>
    <w:lvl w:ilvl="1" w:tplc="29B8D7F0">
      <w:start w:val="1"/>
      <w:numFmt w:val="bullet"/>
      <w:lvlText w:val="o"/>
      <w:lvlJc w:val="left"/>
      <w:pPr>
        <w:ind w:left="1440" w:hanging="360"/>
      </w:pPr>
      <w:rPr>
        <w:rFonts w:ascii="Courier New" w:hAnsi="Courier New" w:hint="default"/>
      </w:rPr>
    </w:lvl>
    <w:lvl w:ilvl="2" w:tplc="C93E014C">
      <w:start w:val="1"/>
      <w:numFmt w:val="bullet"/>
      <w:lvlText w:val=""/>
      <w:lvlJc w:val="left"/>
      <w:pPr>
        <w:ind w:left="2160" w:hanging="360"/>
      </w:pPr>
      <w:rPr>
        <w:rFonts w:ascii="Wingdings" w:hAnsi="Wingdings" w:hint="default"/>
      </w:rPr>
    </w:lvl>
    <w:lvl w:ilvl="3" w:tplc="34446F08">
      <w:start w:val="1"/>
      <w:numFmt w:val="bullet"/>
      <w:lvlText w:val=""/>
      <w:lvlJc w:val="left"/>
      <w:pPr>
        <w:ind w:left="2880" w:hanging="360"/>
      </w:pPr>
      <w:rPr>
        <w:rFonts w:ascii="Symbol" w:hAnsi="Symbol" w:hint="default"/>
      </w:rPr>
    </w:lvl>
    <w:lvl w:ilvl="4" w:tplc="0D0033CC">
      <w:start w:val="1"/>
      <w:numFmt w:val="bullet"/>
      <w:lvlText w:val="o"/>
      <w:lvlJc w:val="left"/>
      <w:pPr>
        <w:ind w:left="3600" w:hanging="360"/>
      </w:pPr>
      <w:rPr>
        <w:rFonts w:ascii="Courier New" w:hAnsi="Courier New" w:hint="default"/>
      </w:rPr>
    </w:lvl>
    <w:lvl w:ilvl="5" w:tplc="A4780A36">
      <w:start w:val="1"/>
      <w:numFmt w:val="bullet"/>
      <w:lvlText w:val=""/>
      <w:lvlJc w:val="left"/>
      <w:pPr>
        <w:ind w:left="4320" w:hanging="360"/>
      </w:pPr>
      <w:rPr>
        <w:rFonts w:ascii="Wingdings" w:hAnsi="Wingdings" w:hint="default"/>
      </w:rPr>
    </w:lvl>
    <w:lvl w:ilvl="6" w:tplc="058E8994">
      <w:start w:val="1"/>
      <w:numFmt w:val="bullet"/>
      <w:lvlText w:val=""/>
      <w:lvlJc w:val="left"/>
      <w:pPr>
        <w:ind w:left="5040" w:hanging="360"/>
      </w:pPr>
      <w:rPr>
        <w:rFonts w:ascii="Symbol" w:hAnsi="Symbol" w:hint="default"/>
      </w:rPr>
    </w:lvl>
    <w:lvl w:ilvl="7" w:tplc="6C766720">
      <w:start w:val="1"/>
      <w:numFmt w:val="bullet"/>
      <w:lvlText w:val="o"/>
      <w:lvlJc w:val="left"/>
      <w:pPr>
        <w:ind w:left="5760" w:hanging="360"/>
      </w:pPr>
      <w:rPr>
        <w:rFonts w:ascii="Courier New" w:hAnsi="Courier New" w:hint="default"/>
      </w:rPr>
    </w:lvl>
    <w:lvl w:ilvl="8" w:tplc="D172B7CA">
      <w:start w:val="1"/>
      <w:numFmt w:val="bullet"/>
      <w:lvlText w:val=""/>
      <w:lvlJc w:val="left"/>
      <w:pPr>
        <w:ind w:left="6480" w:hanging="360"/>
      </w:pPr>
      <w:rPr>
        <w:rFonts w:ascii="Wingdings" w:hAnsi="Wingdings" w:hint="default"/>
      </w:rPr>
    </w:lvl>
  </w:abstractNum>
  <w:abstractNum w:abstractNumId="37" w15:restartNumberingAfterBreak="0">
    <w:nsid w:val="677DA9B3"/>
    <w:multiLevelType w:val="hybridMultilevel"/>
    <w:tmpl w:val="FFFFFFFF"/>
    <w:lvl w:ilvl="0" w:tplc="580E6E68">
      <w:start w:val="1"/>
      <w:numFmt w:val="bullet"/>
      <w:lvlText w:val=""/>
      <w:lvlJc w:val="left"/>
      <w:pPr>
        <w:ind w:left="360" w:hanging="360"/>
      </w:pPr>
      <w:rPr>
        <w:rFonts w:ascii="Symbol" w:hAnsi="Symbol" w:hint="default"/>
      </w:rPr>
    </w:lvl>
    <w:lvl w:ilvl="1" w:tplc="0A9E9726">
      <w:start w:val="1"/>
      <w:numFmt w:val="bullet"/>
      <w:lvlText w:val="o"/>
      <w:lvlJc w:val="left"/>
      <w:pPr>
        <w:ind w:left="1440" w:hanging="360"/>
      </w:pPr>
      <w:rPr>
        <w:rFonts w:ascii="Courier New" w:hAnsi="Courier New" w:hint="default"/>
      </w:rPr>
    </w:lvl>
    <w:lvl w:ilvl="2" w:tplc="3BB0219C">
      <w:start w:val="1"/>
      <w:numFmt w:val="bullet"/>
      <w:lvlText w:val=""/>
      <w:lvlJc w:val="left"/>
      <w:pPr>
        <w:ind w:left="2160" w:hanging="360"/>
      </w:pPr>
      <w:rPr>
        <w:rFonts w:ascii="Wingdings" w:hAnsi="Wingdings" w:hint="default"/>
      </w:rPr>
    </w:lvl>
    <w:lvl w:ilvl="3" w:tplc="A3B0432C">
      <w:start w:val="1"/>
      <w:numFmt w:val="bullet"/>
      <w:lvlText w:val=""/>
      <w:lvlJc w:val="left"/>
      <w:pPr>
        <w:ind w:left="2880" w:hanging="360"/>
      </w:pPr>
      <w:rPr>
        <w:rFonts w:ascii="Symbol" w:hAnsi="Symbol" w:hint="default"/>
      </w:rPr>
    </w:lvl>
    <w:lvl w:ilvl="4" w:tplc="701A23C8">
      <w:start w:val="1"/>
      <w:numFmt w:val="bullet"/>
      <w:lvlText w:val="o"/>
      <w:lvlJc w:val="left"/>
      <w:pPr>
        <w:ind w:left="3600" w:hanging="360"/>
      </w:pPr>
      <w:rPr>
        <w:rFonts w:ascii="Courier New" w:hAnsi="Courier New" w:hint="default"/>
      </w:rPr>
    </w:lvl>
    <w:lvl w:ilvl="5" w:tplc="F89E7236">
      <w:start w:val="1"/>
      <w:numFmt w:val="bullet"/>
      <w:lvlText w:val=""/>
      <w:lvlJc w:val="left"/>
      <w:pPr>
        <w:ind w:left="4320" w:hanging="360"/>
      </w:pPr>
      <w:rPr>
        <w:rFonts w:ascii="Wingdings" w:hAnsi="Wingdings" w:hint="default"/>
      </w:rPr>
    </w:lvl>
    <w:lvl w:ilvl="6" w:tplc="F260E64C">
      <w:start w:val="1"/>
      <w:numFmt w:val="bullet"/>
      <w:lvlText w:val=""/>
      <w:lvlJc w:val="left"/>
      <w:pPr>
        <w:ind w:left="5040" w:hanging="360"/>
      </w:pPr>
      <w:rPr>
        <w:rFonts w:ascii="Symbol" w:hAnsi="Symbol" w:hint="default"/>
      </w:rPr>
    </w:lvl>
    <w:lvl w:ilvl="7" w:tplc="A2E47F20">
      <w:start w:val="1"/>
      <w:numFmt w:val="bullet"/>
      <w:lvlText w:val="o"/>
      <w:lvlJc w:val="left"/>
      <w:pPr>
        <w:ind w:left="5760" w:hanging="360"/>
      </w:pPr>
      <w:rPr>
        <w:rFonts w:ascii="Courier New" w:hAnsi="Courier New" w:hint="default"/>
      </w:rPr>
    </w:lvl>
    <w:lvl w:ilvl="8" w:tplc="62EEC74E">
      <w:start w:val="1"/>
      <w:numFmt w:val="bullet"/>
      <w:lvlText w:val=""/>
      <w:lvlJc w:val="left"/>
      <w:pPr>
        <w:ind w:left="6480" w:hanging="360"/>
      </w:pPr>
      <w:rPr>
        <w:rFonts w:ascii="Wingdings" w:hAnsi="Wingdings" w:hint="default"/>
      </w:rPr>
    </w:lvl>
  </w:abstractNum>
  <w:abstractNum w:abstractNumId="38" w15:restartNumberingAfterBreak="0">
    <w:nsid w:val="6AF7D327"/>
    <w:multiLevelType w:val="hybridMultilevel"/>
    <w:tmpl w:val="5964BE34"/>
    <w:lvl w:ilvl="0" w:tplc="4E244C04">
      <w:start w:val="1"/>
      <w:numFmt w:val="bullet"/>
      <w:lvlText w:val=""/>
      <w:lvlJc w:val="left"/>
      <w:pPr>
        <w:ind w:left="360" w:hanging="360"/>
      </w:pPr>
      <w:rPr>
        <w:rFonts w:ascii="Symbol" w:hAnsi="Symbol" w:hint="default"/>
      </w:rPr>
    </w:lvl>
    <w:lvl w:ilvl="1" w:tplc="C6148764">
      <w:start w:val="1"/>
      <w:numFmt w:val="bullet"/>
      <w:lvlText w:val="o"/>
      <w:lvlJc w:val="left"/>
      <w:pPr>
        <w:ind w:left="1080" w:hanging="360"/>
      </w:pPr>
      <w:rPr>
        <w:rFonts w:ascii="Courier New" w:hAnsi="Courier New" w:hint="default"/>
      </w:rPr>
    </w:lvl>
    <w:lvl w:ilvl="2" w:tplc="9DB49106">
      <w:start w:val="1"/>
      <w:numFmt w:val="bullet"/>
      <w:lvlText w:val=""/>
      <w:lvlJc w:val="left"/>
      <w:pPr>
        <w:ind w:left="1800" w:hanging="360"/>
      </w:pPr>
      <w:rPr>
        <w:rFonts w:ascii="Wingdings" w:hAnsi="Wingdings" w:hint="default"/>
      </w:rPr>
    </w:lvl>
    <w:lvl w:ilvl="3" w:tplc="10B41E5A">
      <w:start w:val="1"/>
      <w:numFmt w:val="bullet"/>
      <w:lvlText w:val=""/>
      <w:lvlJc w:val="left"/>
      <w:pPr>
        <w:ind w:left="2520" w:hanging="360"/>
      </w:pPr>
      <w:rPr>
        <w:rFonts w:ascii="Symbol" w:hAnsi="Symbol" w:hint="default"/>
      </w:rPr>
    </w:lvl>
    <w:lvl w:ilvl="4" w:tplc="B5227C4C">
      <w:start w:val="1"/>
      <w:numFmt w:val="bullet"/>
      <w:lvlText w:val="o"/>
      <w:lvlJc w:val="left"/>
      <w:pPr>
        <w:ind w:left="3240" w:hanging="360"/>
      </w:pPr>
      <w:rPr>
        <w:rFonts w:ascii="Courier New" w:hAnsi="Courier New" w:hint="default"/>
      </w:rPr>
    </w:lvl>
    <w:lvl w:ilvl="5" w:tplc="040480E6">
      <w:start w:val="1"/>
      <w:numFmt w:val="bullet"/>
      <w:lvlText w:val=""/>
      <w:lvlJc w:val="left"/>
      <w:pPr>
        <w:ind w:left="3960" w:hanging="360"/>
      </w:pPr>
      <w:rPr>
        <w:rFonts w:ascii="Wingdings" w:hAnsi="Wingdings" w:hint="default"/>
      </w:rPr>
    </w:lvl>
    <w:lvl w:ilvl="6" w:tplc="66B0C5C4">
      <w:start w:val="1"/>
      <w:numFmt w:val="bullet"/>
      <w:lvlText w:val=""/>
      <w:lvlJc w:val="left"/>
      <w:pPr>
        <w:ind w:left="4680" w:hanging="360"/>
      </w:pPr>
      <w:rPr>
        <w:rFonts w:ascii="Symbol" w:hAnsi="Symbol" w:hint="default"/>
      </w:rPr>
    </w:lvl>
    <w:lvl w:ilvl="7" w:tplc="6D828E8C">
      <w:start w:val="1"/>
      <w:numFmt w:val="bullet"/>
      <w:lvlText w:val="o"/>
      <w:lvlJc w:val="left"/>
      <w:pPr>
        <w:ind w:left="5400" w:hanging="360"/>
      </w:pPr>
      <w:rPr>
        <w:rFonts w:ascii="Courier New" w:hAnsi="Courier New" w:hint="default"/>
      </w:rPr>
    </w:lvl>
    <w:lvl w:ilvl="8" w:tplc="124AEC3E">
      <w:start w:val="1"/>
      <w:numFmt w:val="bullet"/>
      <w:lvlText w:val=""/>
      <w:lvlJc w:val="left"/>
      <w:pPr>
        <w:ind w:left="6120" w:hanging="360"/>
      </w:pPr>
      <w:rPr>
        <w:rFonts w:ascii="Wingdings" w:hAnsi="Wingdings" w:hint="default"/>
      </w:rPr>
    </w:lvl>
  </w:abstractNum>
  <w:abstractNum w:abstractNumId="39" w15:restartNumberingAfterBreak="0">
    <w:nsid w:val="6CD74C60"/>
    <w:multiLevelType w:val="hybridMultilevel"/>
    <w:tmpl w:val="1954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3066B5"/>
    <w:multiLevelType w:val="hybridMultilevel"/>
    <w:tmpl w:val="0D643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B5C965"/>
    <w:multiLevelType w:val="hybridMultilevel"/>
    <w:tmpl w:val="FFFFFFFF"/>
    <w:lvl w:ilvl="0" w:tplc="91C00C78">
      <w:start w:val="1"/>
      <w:numFmt w:val="bullet"/>
      <w:lvlText w:val=""/>
      <w:lvlJc w:val="left"/>
      <w:pPr>
        <w:ind w:left="360" w:hanging="360"/>
      </w:pPr>
      <w:rPr>
        <w:rFonts w:ascii="Symbol" w:hAnsi="Symbol" w:hint="default"/>
      </w:rPr>
    </w:lvl>
    <w:lvl w:ilvl="1" w:tplc="DD104794">
      <w:start w:val="1"/>
      <w:numFmt w:val="bullet"/>
      <w:lvlText w:val="o"/>
      <w:lvlJc w:val="left"/>
      <w:pPr>
        <w:ind w:left="1440" w:hanging="360"/>
      </w:pPr>
      <w:rPr>
        <w:rFonts w:ascii="Courier New" w:hAnsi="Courier New" w:hint="default"/>
      </w:rPr>
    </w:lvl>
    <w:lvl w:ilvl="2" w:tplc="68EEFBEE">
      <w:start w:val="1"/>
      <w:numFmt w:val="bullet"/>
      <w:lvlText w:val=""/>
      <w:lvlJc w:val="left"/>
      <w:pPr>
        <w:ind w:left="2160" w:hanging="360"/>
      </w:pPr>
      <w:rPr>
        <w:rFonts w:ascii="Wingdings" w:hAnsi="Wingdings" w:hint="default"/>
      </w:rPr>
    </w:lvl>
    <w:lvl w:ilvl="3" w:tplc="8D64A9A8">
      <w:start w:val="1"/>
      <w:numFmt w:val="bullet"/>
      <w:lvlText w:val=""/>
      <w:lvlJc w:val="left"/>
      <w:pPr>
        <w:ind w:left="2880" w:hanging="360"/>
      </w:pPr>
      <w:rPr>
        <w:rFonts w:ascii="Symbol" w:hAnsi="Symbol" w:hint="default"/>
      </w:rPr>
    </w:lvl>
    <w:lvl w:ilvl="4" w:tplc="418C20BA">
      <w:start w:val="1"/>
      <w:numFmt w:val="bullet"/>
      <w:lvlText w:val="o"/>
      <w:lvlJc w:val="left"/>
      <w:pPr>
        <w:ind w:left="3600" w:hanging="360"/>
      </w:pPr>
      <w:rPr>
        <w:rFonts w:ascii="Courier New" w:hAnsi="Courier New" w:hint="default"/>
      </w:rPr>
    </w:lvl>
    <w:lvl w:ilvl="5" w:tplc="D6DE92A2">
      <w:start w:val="1"/>
      <w:numFmt w:val="bullet"/>
      <w:lvlText w:val=""/>
      <w:lvlJc w:val="left"/>
      <w:pPr>
        <w:ind w:left="4320" w:hanging="360"/>
      </w:pPr>
      <w:rPr>
        <w:rFonts w:ascii="Wingdings" w:hAnsi="Wingdings" w:hint="default"/>
      </w:rPr>
    </w:lvl>
    <w:lvl w:ilvl="6" w:tplc="D0BA2284">
      <w:start w:val="1"/>
      <w:numFmt w:val="bullet"/>
      <w:lvlText w:val=""/>
      <w:lvlJc w:val="left"/>
      <w:pPr>
        <w:ind w:left="5040" w:hanging="360"/>
      </w:pPr>
      <w:rPr>
        <w:rFonts w:ascii="Symbol" w:hAnsi="Symbol" w:hint="default"/>
      </w:rPr>
    </w:lvl>
    <w:lvl w:ilvl="7" w:tplc="A3487B90">
      <w:start w:val="1"/>
      <w:numFmt w:val="bullet"/>
      <w:lvlText w:val="o"/>
      <w:lvlJc w:val="left"/>
      <w:pPr>
        <w:ind w:left="5760" w:hanging="360"/>
      </w:pPr>
      <w:rPr>
        <w:rFonts w:ascii="Courier New" w:hAnsi="Courier New" w:hint="default"/>
      </w:rPr>
    </w:lvl>
    <w:lvl w:ilvl="8" w:tplc="C39E3C44">
      <w:start w:val="1"/>
      <w:numFmt w:val="bullet"/>
      <w:lvlText w:val=""/>
      <w:lvlJc w:val="left"/>
      <w:pPr>
        <w:ind w:left="6480" w:hanging="360"/>
      </w:pPr>
      <w:rPr>
        <w:rFonts w:ascii="Wingdings" w:hAnsi="Wingdings" w:hint="default"/>
      </w:rPr>
    </w:lvl>
  </w:abstractNum>
  <w:abstractNum w:abstractNumId="42" w15:restartNumberingAfterBreak="0">
    <w:nsid w:val="70A37EC6"/>
    <w:multiLevelType w:val="hybridMultilevel"/>
    <w:tmpl w:val="B5785E3A"/>
    <w:lvl w:ilvl="0" w:tplc="73C83F06">
      <w:start w:val="1"/>
      <w:numFmt w:val="lowerLetter"/>
      <w:lvlText w:val="%1)"/>
      <w:lvlJc w:val="left"/>
      <w:pPr>
        <w:ind w:left="1440" w:hanging="360"/>
      </w:pPr>
      <w:rPr>
        <w:b w:val="0"/>
        <w:bCs w:val="0"/>
        <w:i w:val="0"/>
        <w:iCs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955F0B"/>
    <w:multiLevelType w:val="hybridMultilevel"/>
    <w:tmpl w:val="EA44EFD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8A9FA16"/>
    <w:multiLevelType w:val="hybridMultilevel"/>
    <w:tmpl w:val="FFFFFFFF"/>
    <w:lvl w:ilvl="0" w:tplc="57EA1340">
      <w:start w:val="1"/>
      <w:numFmt w:val="bullet"/>
      <w:lvlText w:val=""/>
      <w:lvlJc w:val="left"/>
      <w:pPr>
        <w:ind w:left="360" w:hanging="360"/>
      </w:pPr>
      <w:rPr>
        <w:rFonts w:ascii="Symbol" w:hAnsi="Symbol" w:hint="default"/>
      </w:rPr>
    </w:lvl>
    <w:lvl w:ilvl="1" w:tplc="BF4431E2">
      <w:start w:val="1"/>
      <w:numFmt w:val="bullet"/>
      <w:lvlText w:val="o"/>
      <w:lvlJc w:val="left"/>
      <w:pPr>
        <w:ind w:left="1440" w:hanging="360"/>
      </w:pPr>
      <w:rPr>
        <w:rFonts w:ascii="Courier New" w:hAnsi="Courier New" w:hint="default"/>
      </w:rPr>
    </w:lvl>
    <w:lvl w:ilvl="2" w:tplc="3BCED97A">
      <w:start w:val="1"/>
      <w:numFmt w:val="bullet"/>
      <w:lvlText w:val=""/>
      <w:lvlJc w:val="left"/>
      <w:pPr>
        <w:ind w:left="2160" w:hanging="360"/>
      </w:pPr>
      <w:rPr>
        <w:rFonts w:ascii="Wingdings" w:hAnsi="Wingdings" w:hint="default"/>
      </w:rPr>
    </w:lvl>
    <w:lvl w:ilvl="3" w:tplc="AF284468">
      <w:start w:val="1"/>
      <w:numFmt w:val="bullet"/>
      <w:lvlText w:val=""/>
      <w:lvlJc w:val="left"/>
      <w:pPr>
        <w:ind w:left="2880" w:hanging="360"/>
      </w:pPr>
      <w:rPr>
        <w:rFonts w:ascii="Symbol" w:hAnsi="Symbol" w:hint="default"/>
      </w:rPr>
    </w:lvl>
    <w:lvl w:ilvl="4" w:tplc="BCD6D69E">
      <w:start w:val="1"/>
      <w:numFmt w:val="bullet"/>
      <w:lvlText w:val="o"/>
      <w:lvlJc w:val="left"/>
      <w:pPr>
        <w:ind w:left="3600" w:hanging="360"/>
      </w:pPr>
      <w:rPr>
        <w:rFonts w:ascii="Courier New" w:hAnsi="Courier New" w:hint="default"/>
      </w:rPr>
    </w:lvl>
    <w:lvl w:ilvl="5" w:tplc="EFC4B690">
      <w:start w:val="1"/>
      <w:numFmt w:val="bullet"/>
      <w:lvlText w:val=""/>
      <w:lvlJc w:val="left"/>
      <w:pPr>
        <w:ind w:left="4320" w:hanging="360"/>
      </w:pPr>
      <w:rPr>
        <w:rFonts w:ascii="Wingdings" w:hAnsi="Wingdings" w:hint="default"/>
      </w:rPr>
    </w:lvl>
    <w:lvl w:ilvl="6" w:tplc="6B4E2ED0">
      <w:start w:val="1"/>
      <w:numFmt w:val="bullet"/>
      <w:lvlText w:val=""/>
      <w:lvlJc w:val="left"/>
      <w:pPr>
        <w:ind w:left="5040" w:hanging="360"/>
      </w:pPr>
      <w:rPr>
        <w:rFonts w:ascii="Symbol" w:hAnsi="Symbol" w:hint="default"/>
      </w:rPr>
    </w:lvl>
    <w:lvl w:ilvl="7" w:tplc="37A40190">
      <w:start w:val="1"/>
      <w:numFmt w:val="bullet"/>
      <w:lvlText w:val="o"/>
      <w:lvlJc w:val="left"/>
      <w:pPr>
        <w:ind w:left="5760" w:hanging="360"/>
      </w:pPr>
      <w:rPr>
        <w:rFonts w:ascii="Courier New" w:hAnsi="Courier New" w:hint="default"/>
      </w:rPr>
    </w:lvl>
    <w:lvl w:ilvl="8" w:tplc="73B2FD68">
      <w:start w:val="1"/>
      <w:numFmt w:val="bullet"/>
      <w:lvlText w:val=""/>
      <w:lvlJc w:val="left"/>
      <w:pPr>
        <w:ind w:left="6480" w:hanging="360"/>
      </w:pPr>
      <w:rPr>
        <w:rFonts w:ascii="Wingdings" w:hAnsi="Wingdings" w:hint="default"/>
      </w:rPr>
    </w:lvl>
  </w:abstractNum>
  <w:abstractNum w:abstractNumId="45" w15:restartNumberingAfterBreak="0">
    <w:nsid w:val="7ACBEB37"/>
    <w:multiLevelType w:val="hybridMultilevel"/>
    <w:tmpl w:val="FFFFFFFF"/>
    <w:lvl w:ilvl="0" w:tplc="2C9CD5A4">
      <w:start w:val="1"/>
      <w:numFmt w:val="bullet"/>
      <w:lvlText w:val=""/>
      <w:lvlJc w:val="left"/>
      <w:pPr>
        <w:ind w:left="360" w:hanging="360"/>
      </w:pPr>
      <w:rPr>
        <w:rFonts w:ascii="Symbol" w:hAnsi="Symbol" w:hint="default"/>
      </w:rPr>
    </w:lvl>
    <w:lvl w:ilvl="1" w:tplc="7A4407B6">
      <w:start w:val="1"/>
      <w:numFmt w:val="bullet"/>
      <w:lvlText w:val="o"/>
      <w:lvlJc w:val="left"/>
      <w:pPr>
        <w:ind w:left="1440" w:hanging="360"/>
      </w:pPr>
      <w:rPr>
        <w:rFonts w:ascii="Courier New" w:hAnsi="Courier New" w:hint="default"/>
      </w:rPr>
    </w:lvl>
    <w:lvl w:ilvl="2" w:tplc="40B0EA8A">
      <w:start w:val="1"/>
      <w:numFmt w:val="bullet"/>
      <w:lvlText w:val=""/>
      <w:lvlJc w:val="left"/>
      <w:pPr>
        <w:ind w:left="2160" w:hanging="360"/>
      </w:pPr>
      <w:rPr>
        <w:rFonts w:ascii="Wingdings" w:hAnsi="Wingdings" w:hint="default"/>
      </w:rPr>
    </w:lvl>
    <w:lvl w:ilvl="3" w:tplc="748C86CE">
      <w:start w:val="1"/>
      <w:numFmt w:val="bullet"/>
      <w:lvlText w:val=""/>
      <w:lvlJc w:val="left"/>
      <w:pPr>
        <w:ind w:left="2880" w:hanging="360"/>
      </w:pPr>
      <w:rPr>
        <w:rFonts w:ascii="Symbol" w:hAnsi="Symbol" w:hint="default"/>
      </w:rPr>
    </w:lvl>
    <w:lvl w:ilvl="4" w:tplc="F3B642FC">
      <w:start w:val="1"/>
      <w:numFmt w:val="bullet"/>
      <w:lvlText w:val="o"/>
      <w:lvlJc w:val="left"/>
      <w:pPr>
        <w:ind w:left="3600" w:hanging="360"/>
      </w:pPr>
      <w:rPr>
        <w:rFonts w:ascii="Courier New" w:hAnsi="Courier New" w:hint="default"/>
      </w:rPr>
    </w:lvl>
    <w:lvl w:ilvl="5" w:tplc="3E70BE92">
      <w:start w:val="1"/>
      <w:numFmt w:val="bullet"/>
      <w:lvlText w:val=""/>
      <w:lvlJc w:val="left"/>
      <w:pPr>
        <w:ind w:left="4320" w:hanging="360"/>
      </w:pPr>
      <w:rPr>
        <w:rFonts w:ascii="Wingdings" w:hAnsi="Wingdings" w:hint="default"/>
      </w:rPr>
    </w:lvl>
    <w:lvl w:ilvl="6" w:tplc="98A214BA">
      <w:start w:val="1"/>
      <w:numFmt w:val="bullet"/>
      <w:lvlText w:val=""/>
      <w:lvlJc w:val="left"/>
      <w:pPr>
        <w:ind w:left="5040" w:hanging="360"/>
      </w:pPr>
      <w:rPr>
        <w:rFonts w:ascii="Symbol" w:hAnsi="Symbol" w:hint="default"/>
      </w:rPr>
    </w:lvl>
    <w:lvl w:ilvl="7" w:tplc="8B90A0C8">
      <w:start w:val="1"/>
      <w:numFmt w:val="bullet"/>
      <w:lvlText w:val="o"/>
      <w:lvlJc w:val="left"/>
      <w:pPr>
        <w:ind w:left="5760" w:hanging="360"/>
      </w:pPr>
      <w:rPr>
        <w:rFonts w:ascii="Courier New" w:hAnsi="Courier New" w:hint="default"/>
      </w:rPr>
    </w:lvl>
    <w:lvl w:ilvl="8" w:tplc="AA260050">
      <w:start w:val="1"/>
      <w:numFmt w:val="bullet"/>
      <w:lvlText w:val=""/>
      <w:lvlJc w:val="left"/>
      <w:pPr>
        <w:ind w:left="6480" w:hanging="360"/>
      </w:pPr>
      <w:rPr>
        <w:rFonts w:ascii="Wingdings" w:hAnsi="Wingdings" w:hint="default"/>
      </w:rPr>
    </w:lvl>
  </w:abstractNum>
  <w:abstractNum w:abstractNumId="46" w15:restartNumberingAfterBreak="0">
    <w:nsid w:val="7F220D14"/>
    <w:multiLevelType w:val="hybridMultilevel"/>
    <w:tmpl w:val="F2345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4646586">
    <w:abstractNumId w:val="38"/>
  </w:num>
  <w:num w:numId="2" w16cid:durableId="706611000">
    <w:abstractNumId w:val="7"/>
  </w:num>
  <w:num w:numId="3" w16cid:durableId="1652978092">
    <w:abstractNumId w:val="29"/>
  </w:num>
  <w:num w:numId="4" w16cid:durableId="2120903977">
    <w:abstractNumId w:val="4"/>
  </w:num>
  <w:num w:numId="5" w16cid:durableId="733699906">
    <w:abstractNumId w:val="13"/>
  </w:num>
  <w:num w:numId="6" w16cid:durableId="724715419">
    <w:abstractNumId w:val="14"/>
  </w:num>
  <w:num w:numId="7" w16cid:durableId="631792991">
    <w:abstractNumId w:val="12"/>
  </w:num>
  <w:num w:numId="8" w16cid:durableId="1616984804">
    <w:abstractNumId w:val="16"/>
  </w:num>
  <w:num w:numId="9" w16cid:durableId="66466766">
    <w:abstractNumId w:val="9"/>
  </w:num>
  <w:num w:numId="10" w16cid:durableId="1300450583">
    <w:abstractNumId w:val="36"/>
  </w:num>
  <w:num w:numId="11" w16cid:durableId="51539717">
    <w:abstractNumId w:val="8"/>
  </w:num>
  <w:num w:numId="12" w16cid:durableId="732971924">
    <w:abstractNumId w:val="21"/>
  </w:num>
  <w:num w:numId="13" w16cid:durableId="2070960074">
    <w:abstractNumId w:val="45"/>
  </w:num>
  <w:num w:numId="14" w16cid:durableId="615799061">
    <w:abstractNumId w:val="41"/>
  </w:num>
  <w:num w:numId="15" w16cid:durableId="1703019993">
    <w:abstractNumId w:val="28"/>
  </w:num>
  <w:num w:numId="16" w16cid:durableId="1850366138">
    <w:abstractNumId w:val="30"/>
  </w:num>
  <w:num w:numId="17" w16cid:durableId="271860349">
    <w:abstractNumId w:val="44"/>
  </w:num>
  <w:num w:numId="18" w16cid:durableId="1168523247">
    <w:abstractNumId w:val="17"/>
  </w:num>
  <w:num w:numId="19" w16cid:durableId="13309502">
    <w:abstractNumId w:val="20"/>
  </w:num>
  <w:num w:numId="20" w16cid:durableId="1014570819">
    <w:abstractNumId w:val="5"/>
  </w:num>
  <w:num w:numId="21" w16cid:durableId="29915960">
    <w:abstractNumId w:val="10"/>
  </w:num>
  <w:num w:numId="22" w16cid:durableId="1601984607">
    <w:abstractNumId w:val="37"/>
  </w:num>
  <w:num w:numId="23" w16cid:durableId="1812208973">
    <w:abstractNumId w:val="27"/>
  </w:num>
  <w:num w:numId="24" w16cid:durableId="517013564">
    <w:abstractNumId w:val="32"/>
  </w:num>
  <w:num w:numId="25" w16cid:durableId="2067727244">
    <w:abstractNumId w:val="18"/>
  </w:num>
  <w:num w:numId="26" w16cid:durableId="498890472">
    <w:abstractNumId w:val="15"/>
  </w:num>
  <w:num w:numId="27" w16cid:durableId="1593049195">
    <w:abstractNumId w:val="24"/>
  </w:num>
  <w:num w:numId="28" w16cid:durableId="1279606918">
    <w:abstractNumId w:val="2"/>
  </w:num>
  <w:num w:numId="29" w16cid:durableId="2091272598">
    <w:abstractNumId w:val="6"/>
  </w:num>
  <w:num w:numId="30" w16cid:durableId="1512377125">
    <w:abstractNumId w:val="0"/>
  </w:num>
  <w:num w:numId="31" w16cid:durableId="907881037">
    <w:abstractNumId w:val="25"/>
  </w:num>
  <w:num w:numId="32" w16cid:durableId="1355230258">
    <w:abstractNumId w:val="22"/>
  </w:num>
  <w:num w:numId="33" w16cid:durableId="2132674517">
    <w:abstractNumId w:val="33"/>
  </w:num>
  <w:num w:numId="34" w16cid:durableId="1474059319">
    <w:abstractNumId w:val="43"/>
  </w:num>
  <w:num w:numId="35" w16cid:durableId="1642803374">
    <w:abstractNumId w:val="19"/>
  </w:num>
  <w:num w:numId="36" w16cid:durableId="1242179863">
    <w:abstractNumId w:val="46"/>
  </w:num>
  <w:num w:numId="37" w16cid:durableId="1809936577">
    <w:abstractNumId w:val="40"/>
  </w:num>
  <w:num w:numId="38" w16cid:durableId="558202649">
    <w:abstractNumId w:val="23"/>
  </w:num>
  <w:num w:numId="39" w16cid:durableId="441145982">
    <w:abstractNumId w:val="39"/>
  </w:num>
  <w:num w:numId="40" w16cid:durableId="1889224342">
    <w:abstractNumId w:val="26"/>
  </w:num>
  <w:num w:numId="41" w16cid:durableId="453063720">
    <w:abstractNumId w:val="35"/>
  </w:num>
  <w:num w:numId="42" w16cid:durableId="995650902">
    <w:abstractNumId w:val="1"/>
  </w:num>
  <w:num w:numId="43" w16cid:durableId="1928691296">
    <w:abstractNumId w:val="3"/>
  </w:num>
  <w:num w:numId="44" w16cid:durableId="2147239470">
    <w:abstractNumId w:val="31"/>
  </w:num>
  <w:num w:numId="45" w16cid:durableId="1094473017">
    <w:abstractNumId w:val="34"/>
    <w:lvlOverride w:ilvl="0">
      <w:startOverride w:val="1"/>
    </w:lvlOverride>
    <w:lvlOverride w:ilvl="1"/>
    <w:lvlOverride w:ilvl="2"/>
    <w:lvlOverride w:ilvl="3"/>
    <w:lvlOverride w:ilvl="4"/>
    <w:lvlOverride w:ilvl="5"/>
    <w:lvlOverride w:ilvl="6"/>
    <w:lvlOverride w:ilvl="7"/>
    <w:lvlOverride w:ilvl="8"/>
  </w:num>
  <w:num w:numId="46" w16cid:durableId="13677502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237269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23F6"/>
    <w:rsid w:val="00003F16"/>
    <w:rsid w:val="00006FE1"/>
    <w:rsid w:val="00010E21"/>
    <w:rsid w:val="0002406C"/>
    <w:rsid w:val="0002467E"/>
    <w:rsid w:val="00026970"/>
    <w:rsid w:val="000269C9"/>
    <w:rsid w:val="0002746E"/>
    <w:rsid w:val="00030856"/>
    <w:rsid w:val="00031ABC"/>
    <w:rsid w:val="00031F98"/>
    <w:rsid w:val="000321F1"/>
    <w:rsid w:val="00033F01"/>
    <w:rsid w:val="000341D1"/>
    <w:rsid w:val="00040136"/>
    <w:rsid w:val="00040B85"/>
    <w:rsid w:val="00040D44"/>
    <w:rsid w:val="00041E61"/>
    <w:rsid w:val="00043C17"/>
    <w:rsid w:val="000479C4"/>
    <w:rsid w:val="000557B2"/>
    <w:rsid w:val="00055BE3"/>
    <w:rsid w:val="0006081F"/>
    <w:rsid w:val="00060ABD"/>
    <w:rsid w:val="000643C5"/>
    <w:rsid w:val="00067312"/>
    <w:rsid w:val="00075F94"/>
    <w:rsid w:val="000773D0"/>
    <w:rsid w:val="00080AEE"/>
    <w:rsid w:val="0008133F"/>
    <w:rsid w:val="0008167F"/>
    <w:rsid w:val="00083070"/>
    <w:rsid w:val="000837F3"/>
    <w:rsid w:val="000838EE"/>
    <w:rsid w:val="00085792"/>
    <w:rsid w:val="000867BA"/>
    <w:rsid w:val="00086E8F"/>
    <w:rsid w:val="00087989"/>
    <w:rsid w:val="00092950"/>
    <w:rsid w:val="000943B1"/>
    <w:rsid w:val="000956F4"/>
    <w:rsid w:val="00095C81"/>
    <w:rsid w:val="0009646C"/>
    <w:rsid w:val="00097D76"/>
    <w:rsid w:val="000A1742"/>
    <w:rsid w:val="000A4DB2"/>
    <w:rsid w:val="000A5C19"/>
    <w:rsid w:val="000A71C6"/>
    <w:rsid w:val="000B214A"/>
    <w:rsid w:val="000B4764"/>
    <w:rsid w:val="000B5D84"/>
    <w:rsid w:val="000C0EA7"/>
    <w:rsid w:val="000C1BCF"/>
    <w:rsid w:val="000C605A"/>
    <w:rsid w:val="000C6331"/>
    <w:rsid w:val="000C71A0"/>
    <w:rsid w:val="000C7F13"/>
    <w:rsid w:val="000D18E1"/>
    <w:rsid w:val="000D1C7C"/>
    <w:rsid w:val="000D237F"/>
    <w:rsid w:val="000D4599"/>
    <w:rsid w:val="000D4B66"/>
    <w:rsid w:val="000D581C"/>
    <w:rsid w:val="000D64F1"/>
    <w:rsid w:val="000D6CB9"/>
    <w:rsid w:val="000D7116"/>
    <w:rsid w:val="000E140E"/>
    <w:rsid w:val="000E3497"/>
    <w:rsid w:val="000E48FF"/>
    <w:rsid w:val="000E5D4B"/>
    <w:rsid w:val="000F00EF"/>
    <w:rsid w:val="000F14E8"/>
    <w:rsid w:val="000F23E8"/>
    <w:rsid w:val="000F24D5"/>
    <w:rsid w:val="000F3A49"/>
    <w:rsid w:val="000F5523"/>
    <w:rsid w:val="000F559E"/>
    <w:rsid w:val="000F6F70"/>
    <w:rsid w:val="00101260"/>
    <w:rsid w:val="00101964"/>
    <w:rsid w:val="0010455C"/>
    <w:rsid w:val="00104A59"/>
    <w:rsid w:val="00104C3C"/>
    <w:rsid w:val="00106211"/>
    <w:rsid w:val="00106886"/>
    <w:rsid w:val="00112A85"/>
    <w:rsid w:val="001138E0"/>
    <w:rsid w:val="0011499B"/>
    <w:rsid w:val="00117B6B"/>
    <w:rsid w:val="00120547"/>
    <w:rsid w:val="00122EB2"/>
    <w:rsid w:val="00125101"/>
    <w:rsid w:val="00126232"/>
    <w:rsid w:val="00133644"/>
    <w:rsid w:val="00136164"/>
    <w:rsid w:val="00142333"/>
    <w:rsid w:val="001467DF"/>
    <w:rsid w:val="00146FE9"/>
    <w:rsid w:val="001517ED"/>
    <w:rsid w:val="00152683"/>
    <w:rsid w:val="00153077"/>
    <w:rsid w:val="001579E4"/>
    <w:rsid w:val="0016073B"/>
    <w:rsid w:val="001607E4"/>
    <w:rsid w:val="00163E2F"/>
    <w:rsid w:val="00167F8D"/>
    <w:rsid w:val="00171BA6"/>
    <w:rsid w:val="001729F8"/>
    <w:rsid w:val="001745EF"/>
    <w:rsid w:val="0017496D"/>
    <w:rsid w:val="00176C20"/>
    <w:rsid w:val="00177075"/>
    <w:rsid w:val="001776EA"/>
    <w:rsid w:val="001777FA"/>
    <w:rsid w:val="00177D2B"/>
    <w:rsid w:val="00183178"/>
    <w:rsid w:val="00191A7E"/>
    <w:rsid w:val="001924BD"/>
    <w:rsid w:val="00192944"/>
    <w:rsid w:val="0019323C"/>
    <w:rsid w:val="00195D3E"/>
    <w:rsid w:val="00195E96"/>
    <w:rsid w:val="001A022D"/>
    <w:rsid w:val="001A5611"/>
    <w:rsid w:val="001B7391"/>
    <w:rsid w:val="001C083A"/>
    <w:rsid w:val="001C4C1F"/>
    <w:rsid w:val="001C4E7D"/>
    <w:rsid w:val="001C53E7"/>
    <w:rsid w:val="001D0783"/>
    <w:rsid w:val="001D303A"/>
    <w:rsid w:val="001D3F19"/>
    <w:rsid w:val="001D5E9D"/>
    <w:rsid w:val="001D6135"/>
    <w:rsid w:val="001D63D9"/>
    <w:rsid w:val="001D7425"/>
    <w:rsid w:val="001E0397"/>
    <w:rsid w:val="001E185C"/>
    <w:rsid w:val="001E29B4"/>
    <w:rsid w:val="001E3CD6"/>
    <w:rsid w:val="001E5783"/>
    <w:rsid w:val="001E5D54"/>
    <w:rsid w:val="001F01BC"/>
    <w:rsid w:val="001F1507"/>
    <w:rsid w:val="001F302B"/>
    <w:rsid w:val="00205641"/>
    <w:rsid w:val="00205688"/>
    <w:rsid w:val="00210055"/>
    <w:rsid w:val="00210AB7"/>
    <w:rsid w:val="00210FC2"/>
    <w:rsid w:val="00213863"/>
    <w:rsid w:val="00215D08"/>
    <w:rsid w:val="0021683A"/>
    <w:rsid w:val="00224C85"/>
    <w:rsid w:val="00227C7C"/>
    <w:rsid w:val="002329F3"/>
    <w:rsid w:val="00232E71"/>
    <w:rsid w:val="00240E0B"/>
    <w:rsid w:val="002422F4"/>
    <w:rsid w:val="00242486"/>
    <w:rsid w:val="00245103"/>
    <w:rsid w:val="00246466"/>
    <w:rsid w:val="002478D8"/>
    <w:rsid w:val="002511FB"/>
    <w:rsid w:val="002519C0"/>
    <w:rsid w:val="00252213"/>
    <w:rsid w:val="002567F3"/>
    <w:rsid w:val="002618E2"/>
    <w:rsid w:val="00264E85"/>
    <w:rsid w:val="00265973"/>
    <w:rsid w:val="002709B0"/>
    <w:rsid w:val="00271C93"/>
    <w:rsid w:val="00272700"/>
    <w:rsid w:val="00275E17"/>
    <w:rsid w:val="0027633F"/>
    <w:rsid w:val="00276C7B"/>
    <w:rsid w:val="00282A1E"/>
    <w:rsid w:val="00283723"/>
    <w:rsid w:val="00284D72"/>
    <w:rsid w:val="00287673"/>
    <w:rsid w:val="00292C97"/>
    <w:rsid w:val="00293B27"/>
    <w:rsid w:val="002A0303"/>
    <w:rsid w:val="002A7EE4"/>
    <w:rsid w:val="002B0F9E"/>
    <w:rsid w:val="002B219A"/>
    <w:rsid w:val="002B26D3"/>
    <w:rsid w:val="002B6405"/>
    <w:rsid w:val="002B647C"/>
    <w:rsid w:val="002B7A3D"/>
    <w:rsid w:val="002C0EDB"/>
    <w:rsid w:val="002C0F9F"/>
    <w:rsid w:val="002C10FC"/>
    <w:rsid w:val="002C178C"/>
    <w:rsid w:val="002C25EE"/>
    <w:rsid w:val="002C2F19"/>
    <w:rsid w:val="002C496E"/>
    <w:rsid w:val="002D1023"/>
    <w:rsid w:val="002D2007"/>
    <w:rsid w:val="002D2DDF"/>
    <w:rsid w:val="002D32A5"/>
    <w:rsid w:val="002D7708"/>
    <w:rsid w:val="002E0B14"/>
    <w:rsid w:val="002E5A88"/>
    <w:rsid w:val="002F0D32"/>
    <w:rsid w:val="002F3B41"/>
    <w:rsid w:val="002F3BA5"/>
    <w:rsid w:val="002F4435"/>
    <w:rsid w:val="002F620D"/>
    <w:rsid w:val="00300FF8"/>
    <w:rsid w:val="00301F4D"/>
    <w:rsid w:val="003051BD"/>
    <w:rsid w:val="00306636"/>
    <w:rsid w:val="003068F8"/>
    <w:rsid w:val="00306ECB"/>
    <w:rsid w:val="00312336"/>
    <w:rsid w:val="003228AC"/>
    <w:rsid w:val="003247D9"/>
    <w:rsid w:val="003274B9"/>
    <w:rsid w:val="00330196"/>
    <w:rsid w:val="003304FD"/>
    <w:rsid w:val="00332CB5"/>
    <w:rsid w:val="003351A3"/>
    <w:rsid w:val="00336DE6"/>
    <w:rsid w:val="00337363"/>
    <w:rsid w:val="00337B23"/>
    <w:rsid w:val="0034388E"/>
    <w:rsid w:val="00351B25"/>
    <w:rsid w:val="003528CF"/>
    <w:rsid w:val="00356384"/>
    <w:rsid w:val="00356B17"/>
    <w:rsid w:val="0036053C"/>
    <w:rsid w:val="00360CB8"/>
    <w:rsid w:val="00360F90"/>
    <w:rsid w:val="00361C09"/>
    <w:rsid w:val="00362A5C"/>
    <w:rsid w:val="0036639E"/>
    <w:rsid w:val="0036776B"/>
    <w:rsid w:val="00367F0F"/>
    <w:rsid w:val="00371A43"/>
    <w:rsid w:val="003739F9"/>
    <w:rsid w:val="003753C0"/>
    <w:rsid w:val="003772CA"/>
    <w:rsid w:val="003808A7"/>
    <w:rsid w:val="00380C3A"/>
    <w:rsid w:val="0038221E"/>
    <w:rsid w:val="0038321C"/>
    <w:rsid w:val="00387287"/>
    <w:rsid w:val="00392380"/>
    <w:rsid w:val="0039265F"/>
    <w:rsid w:val="003938C1"/>
    <w:rsid w:val="003938F0"/>
    <w:rsid w:val="00395E3E"/>
    <w:rsid w:val="00396242"/>
    <w:rsid w:val="003A12E3"/>
    <w:rsid w:val="003A1BD7"/>
    <w:rsid w:val="003A33F0"/>
    <w:rsid w:val="003A51A5"/>
    <w:rsid w:val="003B037B"/>
    <w:rsid w:val="003B0864"/>
    <w:rsid w:val="003B1E82"/>
    <w:rsid w:val="003B2B7C"/>
    <w:rsid w:val="003B5702"/>
    <w:rsid w:val="003B7726"/>
    <w:rsid w:val="003C01E4"/>
    <w:rsid w:val="003C1D47"/>
    <w:rsid w:val="003C30AF"/>
    <w:rsid w:val="003C3421"/>
    <w:rsid w:val="003C4114"/>
    <w:rsid w:val="003C5D74"/>
    <w:rsid w:val="003C6D27"/>
    <w:rsid w:val="003D1D71"/>
    <w:rsid w:val="003D3AB3"/>
    <w:rsid w:val="003E0C8D"/>
    <w:rsid w:val="003E1F06"/>
    <w:rsid w:val="003E4548"/>
    <w:rsid w:val="003E629E"/>
    <w:rsid w:val="003F1572"/>
    <w:rsid w:val="003F33AC"/>
    <w:rsid w:val="003F6869"/>
    <w:rsid w:val="00401329"/>
    <w:rsid w:val="004019F1"/>
    <w:rsid w:val="00404679"/>
    <w:rsid w:val="00404CC5"/>
    <w:rsid w:val="004051C9"/>
    <w:rsid w:val="00406310"/>
    <w:rsid w:val="0040706D"/>
    <w:rsid w:val="00413568"/>
    <w:rsid w:val="004143A7"/>
    <w:rsid w:val="00417A98"/>
    <w:rsid w:val="00417FC8"/>
    <w:rsid w:val="0042024B"/>
    <w:rsid w:val="00421238"/>
    <w:rsid w:val="00423F05"/>
    <w:rsid w:val="004241DC"/>
    <w:rsid w:val="00424275"/>
    <w:rsid w:val="004249A5"/>
    <w:rsid w:val="00431977"/>
    <w:rsid w:val="004371F3"/>
    <w:rsid w:val="004403BC"/>
    <w:rsid w:val="00441A02"/>
    <w:rsid w:val="00441DF0"/>
    <w:rsid w:val="00446546"/>
    <w:rsid w:val="00447A36"/>
    <w:rsid w:val="004514CE"/>
    <w:rsid w:val="0045161C"/>
    <w:rsid w:val="0045218D"/>
    <w:rsid w:val="00453D71"/>
    <w:rsid w:val="004604E2"/>
    <w:rsid w:val="00460D5B"/>
    <w:rsid w:val="004645BF"/>
    <w:rsid w:val="00464BE3"/>
    <w:rsid w:val="00464FAB"/>
    <w:rsid w:val="0046581F"/>
    <w:rsid w:val="004707B4"/>
    <w:rsid w:val="00470CB7"/>
    <w:rsid w:val="00475709"/>
    <w:rsid w:val="004764E0"/>
    <w:rsid w:val="004767B9"/>
    <w:rsid w:val="0048283B"/>
    <w:rsid w:val="004838B7"/>
    <w:rsid w:val="0048497A"/>
    <w:rsid w:val="00490042"/>
    <w:rsid w:val="0049422A"/>
    <w:rsid w:val="00494FAD"/>
    <w:rsid w:val="00495674"/>
    <w:rsid w:val="00496C2B"/>
    <w:rsid w:val="00497596"/>
    <w:rsid w:val="004A0605"/>
    <w:rsid w:val="004A6604"/>
    <w:rsid w:val="004B1D3D"/>
    <w:rsid w:val="004B2131"/>
    <w:rsid w:val="004B39E2"/>
    <w:rsid w:val="004B3F33"/>
    <w:rsid w:val="004B41EB"/>
    <w:rsid w:val="004C3959"/>
    <w:rsid w:val="004D08C2"/>
    <w:rsid w:val="004D0A38"/>
    <w:rsid w:val="004D188B"/>
    <w:rsid w:val="004D1A82"/>
    <w:rsid w:val="004D1E6F"/>
    <w:rsid w:val="004D22A2"/>
    <w:rsid w:val="004E40B5"/>
    <w:rsid w:val="004E5B29"/>
    <w:rsid w:val="004E7AC7"/>
    <w:rsid w:val="004F03EF"/>
    <w:rsid w:val="004F13F5"/>
    <w:rsid w:val="004F3438"/>
    <w:rsid w:val="004F4E68"/>
    <w:rsid w:val="004F76CD"/>
    <w:rsid w:val="004F780B"/>
    <w:rsid w:val="004F7AE8"/>
    <w:rsid w:val="005005FE"/>
    <w:rsid w:val="00500CBF"/>
    <w:rsid w:val="005049DF"/>
    <w:rsid w:val="00511B52"/>
    <w:rsid w:val="00513EA1"/>
    <w:rsid w:val="00517230"/>
    <w:rsid w:val="005174E3"/>
    <w:rsid w:val="005225EF"/>
    <w:rsid w:val="00525589"/>
    <w:rsid w:val="00527A15"/>
    <w:rsid w:val="00530BB6"/>
    <w:rsid w:val="005319CA"/>
    <w:rsid w:val="00531BE6"/>
    <w:rsid w:val="005369BB"/>
    <w:rsid w:val="005377BB"/>
    <w:rsid w:val="00546561"/>
    <w:rsid w:val="005468BF"/>
    <w:rsid w:val="005478AE"/>
    <w:rsid w:val="00550A64"/>
    <w:rsid w:val="005537BE"/>
    <w:rsid w:val="00554F52"/>
    <w:rsid w:val="005555D6"/>
    <w:rsid w:val="005566AC"/>
    <w:rsid w:val="00562CC3"/>
    <w:rsid w:val="00563467"/>
    <w:rsid w:val="00565490"/>
    <w:rsid w:val="005676E6"/>
    <w:rsid w:val="00570EF8"/>
    <w:rsid w:val="00572212"/>
    <w:rsid w:val="00573B79"/>
    <w:rsid w:val="005740AF"/>
    <w:rsid w:val="00576286"/>
    <w:rsid w:val="00576F43"/>
    <w:rsid w:val="00577D7B"/>
    <w:rsid w:val="00580E72"/>
    <w:rsid w:val="005855F6"/>
    <w:rsid w:val="00587428"/>
    <w:rsid w:val="00593FF6"/>
    <w:rsid w:val="0059445F"/>
    <w:rsid w:val="00596D1B"/>
    <w:rsid w:val="005A00C3"/>
    <w:rsid w:val="005A0BD2"/>
    <w:rsid w:val="005A5F29"/>
    <w:rsid w:val="005A64A2"/>
    <w:rsid w:val="005A73BC"/>
    <w:rsid w:val="005B0F4B"/>
    <w:rsid w:val="005B17AC"/>
    <w:rsid w:val="005B3842"/>
    <w:rsid w:val="005B5BBA"/>
    <w:rsid w:val="005B64A3"/>
    <w:rsid w:val="005C03A3"/>
    <w:rsid w:val="005C1F5D"/>
    <w:rsid w:val="005C4842"/>
    <w:rsid w:val="005C5CA3"/>
    <w:rsid w:val="005C6A3B"/>
    <w:rsid w:val="005C724E"/>
    <w:rsid w:val="005D0238"/>
    <w:rsid w:val="005D1E18"/>
    <w:rsid w:val="005D2B18"/>
    <w:rsid w:val="005D5695"/>
    <w:rsid w:val="005D6903"/>
    <w:rsid w:val="005D6D50"/>
    <w:rsid w:val="005E07B5"/>
    <w:rsid w:val="005E1D7C"/>
    <w:rsid w:val="005E21F0"/>
    <w:rsid w:val="005E7E3A"/>
    <w:rsid w:val="005F1758"/>
    <w:rsid w:val="005F342C"/>
    <w:rsid w:val="005F4C6F"/>
    <w:rsid w:val="005F607D"/>
    <w:rsid w:val="00600F08"/>
    <w:rsid w:val="006024A6"/>
    <w:rsid w:val="00603035"/>
    <w:rsid w:val="00604134"/>
    <w:rsid w:val="00605F80"/>
    <w:rsid w:val="0061081E"/>
    <w:rsid w:val="00612728"/>
    <w:rsid w:val="00612DF0"/>
    <w:rsid w:val="00613A8F"/>
    <w:rsid w:val="00617DA1"/>
    <w:rsid w:val="00620A10"/>
    <w:rsid w:val="00620B8C"/>
    <w:rsid w:val="006210B8"/>
    <w:rsid w:val="00625498"/>
    <w:rsid w:val="00625B57"/>
    <w:rsid w:val="0062773A"/>
    <w:rsid w:val="00630DC1"/>
    <w:rsid w:val="00634076"/>
    <w:rsid w:val="00634F7E"/>
    <w:rsid w:val="00635A78"/>
    <w:rsid w:val="0063699B"/>
    <w:rsid w:val="00636E6D"/>
    <w:rsid w:val="00637360"/>
    <w:rsid w:val="00637480"/>
    <w:rsid w:val="0064478B"/>
    <w:rsid w:val="00644C7D"/>
    <w:rsid w:val="0065073E"/>
    <w:rsid w:val="0065144E"/>
    <w:rsid w:val="006559D8"/>
    <w:rsid w:val="00657062"/>
    <w:rsid w:val="00661937"/>
    <w:rsid w:val="00661F59"/>
    <w:rsid w:val="006652DA"/>
    <w:rsid w:val="0066577A"/>
    <w:rsid w:val="0066776A"/>
    <w:rsid w:val="0068026F"/>
    <w:rsid w:val="006809A0"/>
    <w:rsid w:val="0068436A"/>
    <w:rsid w:val="0068629B"/>
    <w:rsid w:val="00686339"/>
    <w:rsid w:val="00687878"/>
    <w:rsid w:val="00690EBA"/>
    <w:rsid w:val="0069793A"/>
    <w:rsid w:val="006A2520"/>
    <w:rsid w:val="006A2A3C"/>
    <w:rsid w:val="006A3112"/>
    <w:rsid w:val="006A4FE7"/>
    <w:rsid w:val="006A657F"/>
    <w:rsid w:val="006A6A87"/>
    <w:rsid w:val="006B13BC"/>
    <w:rsid w:val="006B1E88"/>
    <w:rsid w:val="006B5293"/>
    <w:rsid w:val="006C1CE9"/>
    <w:rsid w:val="006C26E3"/>
    <w:rsid w:val="006C362E"/>
    <w:rsid w:val="006C3CA7"/>
    <w:rsid w:val="006C59E2"/>
    <w:rsid w:val="006C5A95"/>
    <w:rsid w:val="006C6BC7"/>
    <w:rsid w:val="006D2860"/>
    <w:rsid w:val="006D354C"/>
    <w:rsid w:val="006D37B5"/>
    <w:rsid w:val="006D41AB"/>
    <w:rsid w:val="006D5477"/>
    <w:rsid w:val="006D6C66"/>
    <w:rsid w:val="006D754D"/>
    <w:rsid w:val="006E1B20"/>
    <w:rsid w:val="006E2B8A"/>
    <w:rsid w:val="006F0189"/>
    <w:rsid w:val="006F0439"/>
    <w:rsid w:val="006F38CF"/>
    <w:rsid w:val="006F3B59"/>
    <w:rsid w:val="006F71E2"/>
    <w:rsid w:val="0070693C"/>
    <w:rsid w:val="00714DA3"/>
    <w:rsid w:val="00716A75"/>
    <w:rsid w:val="00717C5C"/>
    <w:rsid w:val="00724012"/>
    <w:rsid w:val="0072427C"/>
    <w:rsid w:val="007257ED"/>
    <w:rsid w:val="00731B9C"/>
    <w:rsid w:val="00732FB6"/>
    <w:rsid w:val="0073320F"/>
    <w:rsid w:val="0073580D"/>
    <w:rsid w:val="00736351"/>
    <w:rsid w:val="00737D83"/>
    <w:rsid w:val="00741276"/>
    <w:rsid w:val="007433A3"/>
    <w:rsid w:val="00743571"/>
    <w:rsid w:val="0074616E"/>
    <w:rsid w:val="007466DF"/>
    <w:rsid w:val="0075119F"/>
    <w:rsid w:val="00754A85"/>
    <w:rsid w:val="007558BF"/>
    <w:rsid w:val="00760921"/>
    <w:rsid w:val="0076112F"/>
    <w:rsid w:val="00761F59"/>
    <w:rsid w:val="00766396"/>
    <w:rsid w:val="007666AE"/>
    <w:rsid w:val="007670C3"/>
    <w:rsid w:val="00767C7C"/>
    <w:rsid w:val="00771336"/>
    <w:rsid w:val="00772FFB"/>
    <w:rsid w:val="00773B0C"/>
    <w:rsid w:val="00775945"/>
    <w:rsid w:val="0077655C"/>
    <w:rsid w:val="00776B9F"/>
    <w:rsid w:val="00776EF5"/>
    <w:rsid w:val="00776F86"/>
    <w:rsid w:val="007800E4"/>
    <w:rsid w:val="00782402"/>
    <w:rsid w:val="0078265D"/>
    <w:rsid w:val="00783076"/>
    <w:rsid w:val="00784570"/>
    <w:rsid w:val="007851CB"/>
    <w:rsid w:val="00786814"/>
    <w:rsid w:val="00791F04"/>
    <w:rsid w:val="00795869"/>
    <w:rsid w:val="00795E64"/>
    <w:rsid w:val="00796BB4"/>
    <w:rsid w:val="00797538"/>
    <w:rsid w:val="007A0B8A"/>
    <w:rsid w:val="007A2889"/>
    <w:rsid w:val="007A3648"/>
    <w:rsid w:val="007A6738"/>
    <w:rsid w:val="007A7344"/>
    <w:rsid w:val="007B6B0D"/>
    <w:rsid w:val="007B7E41"/>
    <w:rsid w:val="007C2B11"/>
    <w:rsid w:val="007C56D1"/>
    <w:rsid w:val="007D04C1"/>
    <w:rsid w:val="007D0858"/>
    <w:rsid w:val="007D0D3E"/>
    <w:rsid w:val="007D0FD0"/>
    <w:rsid w:val="007D12AB"/>
    <w:rsid w:val="007D273F"/>
    <w:rsid w:val="007D60E6"/>
    <w:rsid w:val="007D62B2"/>
    <w:rsid w:val="007D7B99"/>
    <w:rsid w:val="007E1C53"/>
    <w:rsid w:val="007E2319"/>
    <w:rsid w:val="007E3069"/>
    <w:rsid w:val="007E7A2D"/>
    <w:rsid w:val="007F070C"/>
    <w:rsid w:val="007F105B"/>
    <w:rsid w:val="007F1340"/>
    <w:rsid w:val="007F157A"/>
    <w:rsid w:val="007F3811"/>
    <w:rsid w:val="007F391D"/>
    <w:rsid w:val="007F3930"/>
    <w:rsid w:val="007F4E44"/>
    <w:rsid w:val="007F5903"/>
    <w:rsid w:val="00800F8D"/>
    <w:rsid w:val="008022BE"/>
    <w:rsid w:val="0080233D"/>
    <w:rsid w:val="0080645E"/>
    <w:rsid w:val="00807717"/>
    <w:rsid w:val="00810C94"/>
    <w:rsid w:val="00812337"/>
    <w:rsid w:val="00814BB8"/>
    <w:rsid w:val="008153C5"/>
    <w:rsid w:val="00815EDA"/>
    <w:rsid w:val="008201F9"/>
    <w:rsid w:val="008221B7"/>
    <w:rsid w:val="00825A3E"/>
    <w:rsid w:val="00826166"/>
    <w:rsid w:val="00827CC3"/>
    <w:rsid w:val="00830361"/>
    <w:rsid w:val="0083074E"/>
    <w:rsid w:val="00832B12"/>
    <w:rsid w:val="00833F45"/>
    <w:rsid w:val="00835FEC"/>
    <w:rsid w:val="008363E0"/>
    <w:rsid w:val="00837CB7"/>
    <w:rsid w:val="00840EA2"/>
    <w:rsid w:val="0084680C"/>
    <w:rsid w:val="00851C1D"/>
    <w:rsid w:val="00852564"/>
    <w:rsid w:val="0085370F"/>
    <w:rsid w:val="00853890"/>
    <w:rsid w:val="0085519A"/>
    <w:rsid w:val="008554CD"/>
    <w:rsid w:val="00855663"/>
    <w:rsid w:val="00855958"/>
    <w:rsid w:val="0086282B"/>
    <w:rsid w:val="00862992"/>
    <w:rsid w:val="00866E6E"/>
    <w:rsid w:val="00867C06"/>
    <w:rsid w:val="00871470"/>
    <w:rsid w:val="008742C8"/>
    <w:rsid w:val="00877364"/>
    <w:rsid w:val="00880065"/>
    <w:rsid w:val="00880ABA"/>
    <w:rsid w:val="00881E74"/>
    <w:rsid w:val="00881F10"/>
    <w:rsid w:val="00884644"/>
    <w:rsid w:val="0088562F"/>
    <w:rsid w:val="0088614E"/>
    <w:rsid w:val="00886456"/>
    <w:rsid w:val="00890181"/>
    <w:rsid w:val="00890B4B"/>
    <w:rsid w:val="0089114A"/>
    <w:rsid w:val="00895159"/>
    <w:rsid w:val="008952C8"/>
    <w:rsid w:val="008964E7"/>
    <w:rsid w:val="008A07E0"/>
    <w:rsid w:val="008A310D"/>
    <w:rsid w:val="008A3A16"/>
    <w:rsid w:val="008A4DD6"/>
    <w:rsid w:val="008A740F"/>
    <w:rsid w:val="008B1662"/>
    <w:rsid w:val="008B3956"/>
    <w:rsid w:val="008B3B46"/>
    <w:rsid w:val="008C0860"/>
    <w:rsid w:val="008C13D6"/>
    <w:rsid w:val="008C2AFE"/>
    <w:rsid w:val="008C50C9"/>
    <w:rsid w:val="008C71D1"/>
    <w:rsid w:val="008D49D4"/>
    <w:rsid w:val="008D4F68"/>
    <w:rsid w:val="008D57EC"/>
    <w:rsid w:val="008D7874"/>
    <w:rsid w:val="008E5BBA"/>
    <w:rsid w:val="008E687F"/>
    <w:rsid w:val="008F08C5"/>
    <w:rsid w:val="008F1497"/>
    <w:rsid w:val="008F378F"/>
    <w:rsid w:val="00901844"/>
    <w:rsid w:val="00901A6F"/>
    <w:rsid w:val="009033F6"/>
    <w:rsid w:val="009036C7"/>
    <w:rsid w:val="00903C76"/>
    <w:rsid w:val="009065CD"/>
    <w:rsid w:val="00906A03"/>
    <w:rsid w:val="00907BBA"/>
    <w:rsid w:val="00907DDE"/>
    <w:rsid w:val="00911E02"/>
    <w:rsid w:val="0091419E"/>
    <w:rsid w:val="00915A10"/>
    <w:rsid w:val="00920D82"/>
    <w:rsid w:val="00925087"/>
    <w:rsid w:val="00925946"/>
    <w:rsid w:val="00926F22"/>
    <w:rsid w:val="00926F76"/>
    <w:rsid w:val="00926FC0"/>
    <w:rsid w:val="009270E1"/>
    <w:rsid w:val="009306F2"/>
    <w:rsid w:val="00930BA9"/>
    <w:rsid w:val="00931931"/>
    <w:rsid w:val="0093333C"/>
    <w:rsid w:val="0093670E"/>
    <w:rsid w:val="00937709"/>
    <w:rsid w:val="0094001E"/>
    <w:rsid w:val="0094016D"/>
    <w:rsid w:val="00940AEF"/>
    <w:rsid w:val="0094120A"/>
    <w:rsid w:val="009426FD"/>
    <w:rsid w:val="00942B32"/>
    <w:rsid w:val="0094492E"/>
    <w:rsid w:val="00945834"/>
    <w:rsid w:val="009533E2"/>
    <w:rsid w:val="0095351C"/>
    <w:rsid w:val="00953C18"/>
    <w:rsid w:val="0095463F"/>
    <w:rsid w:val="00954B5F"/>
    <w:rsid w:val="009663C0"/>
    <w:rsid w:val="00970609"/>
    <w:rsid w:val="00973BC4"/>
    <w:rsid w:val="009750D2"/>
    <w:rsid w:val="0097533B"/>
    <w:rsid w:val="00976A4F"/>
    <w:rsid w:val="009833B6"/>
    <w:rsid w:val="00984279"/>
    <w:rsid w:val="00985D0F"/>
    <w:rsid w:val="00990C6E"/>
    <w:rsid w:val="0099132C"/>
    <w:rsid w:val="0099673F"/>
    <w:rsid w:val="00996D41"/>
    <w:rsid w:val="009A19BC"/>
    <w:rsid w:val="009A1B94"/>
    <w:rsid w:val="009A3EFF"/>
    <w:rsid w:val="009A5350"/>
    <w:rsid w:val="009A6269"/>
    <w:rsid w:val="009B08C3"/>
    <w:rsid w:val="009B1AB5"/>
    <w:rsid w:val="009B23FB"/>
    <w:rsid w:val="009B2ECA"/>
    <w:rsid w:val="009B62C8"/>
    <w:rsid w:val="009C01FA"/>
    <w:rsid w:val="009C6E33"/>
    <w:rsid w:val="009D1188"/>
    <w:rsid w:val="009D2B2A"/>
    <w:rsid w:val="009D3440"/>
    <w:rsid w:val="009D422C"/>
    <w:rsid w:val="009D4782"/>
    <w:rsid w:val="009D62C7"/>
    <w:rsid w:val="009D63F9"/>
    <w:rsid w:val="009D6A1E"/>
    <w:rsid w:val="009E03AD"/>
    <w:rsid w:val="009E4F5D"/>
    <w:rsid w:val="009F2EAD"/>
    <w:rsid w:val="00A02157"/>
    <w:rsid w:val="00A02CA8"/>
    <w:rsid w:val="00A07888"/>
    <w:rsid w:val="00A10253"/>
    <w:rsid w:val="00A10F21"/>
    <w:rsid w:val="00A11D2A"/>
    <w:rsid w:val="00A124E5"/>
    <w:rsid w:val="00A13478"/>
    <w:rsid w:val="00A14CD3"/>
    <w:rsid w:val="00A14EAD"/>
    <w:rsid w:val="00A1710C"/>
    <w:rsid w:val="00A21EF9"/>
    <w:rsid w:val="00A22FF5"/>
    <w:rsid w:val="00A2511C"/>
    <w:rsid w:val="00A25938"/>
    <w:rsid w:val="00A27030"/>
    <w:rsid w:val="00A275E5"/>
    <w:rsid w:val="00A276BE"/>
    <w:rsid w:val="00A31392"/>
    <w:rsid w:val="00A3163E"/>
    <w:rsid w:val="00A31AA9"/>
    <w:rsid w:val="00A324F5"/>
    <w:rsid w:val="00A40370"/>
    <w:rsid w:val="00A44432"/>
    <w:rsid w:val="00A50C4B"/>
    <w:rsid w:val="00A53049"/>
    <w:rsid w:val="00A5575E"/>
    <w:rsid w:val="00A55B60"/>
    <w:rsid w:val="00A56CD4"/>
    <w:rsid w:val="00A71559"/>
    <w:rsid w:val="00A71AC4"/>
    <w:rsid w:val="00A72A4D"/>
    <w:rsid w:val="00A755A2"/>
    <w:rsid w:val="00A77A20"/>
    <w:rsid w:val="00A83183"/>
    <w:rsid w:val="00A848B4"/>
    <w:rsid w:val="00A84B04"/>
    <w:rsid w:val="00A84C04"/>
    <w:rsid w:val="00A924D5"/>
    <w:rsid w:val="00A9284F"/>
    <w:rsid w:val="00A93BF7"/>
    <w:rsid w:val="00A9421B"/>
    <w:rsid w:val="00A942FD"/>
    <w:rsid w:val="00AA0D1C"/>
    <w:rsid w:val="00AA11C3"/>
    <w:rsid w:val="00AA168D"/>
    <w:rsid w:val="00AA2B2C"/>
    <w:rsid w:val="00AA6BB7"/>
    <w:rsid w:val="00AA6F11"/>
    <w:rsid w:val="00AB6C07"/>
    <w:rsid w:val="00AC003C"/>
    <w:rsid w:val="00AC5C9C"/>
    <w:rsid w:val="00AC696A"/>
    <w:rsid w:val="00AD3B3B"/>
    <w:rsid w:val="00AD53FB"/>
    <w:rsid w:val="00AD55C0"/>
    <w:rsid w:val="00AE058B"/>
    <w:rsid w:val="00AE0981"/>
    <w:rsid w:val="00AE1F7D"/>
    <w:rsid w:val="00AE2C9B"/>
    <w:rsid w:val="00AE4385"/>
    <w:rsid w:val="00AE4592"/>
    <w:rsid w:val="00AE4D20"/>
    <w:rsid w:val="00AE6118"/>
    <w:rsid w:val="00AE6BD0"/>
    <w:rsid w:val="00AE7E43"/>
    <w:rsid w:val="00AF0F33"/>
    <w:rsid w:val="00AF46F4"/>
    <w:rsid w:val="00AF4F10"/>
    <w:rsid w:val="00AF668C"/>
    <w:rsid w:val="00B03921"/>
    <w:rsid w:val="00B0446A"/>
    <w:rsid w:val="00B104C8"/>
    <w:rsid w:val="00B110A4"/>
    <w:rsid w:val="00B116C8"/>
    <w:rsid w:val="00B223A0"/>
    <w:rsid w:val="00B240B6"/>
    <w:rsid w:val="00B24E82"/>
    <w:rsid w:val="00B253AF"/>
    <w:rsid w:val="00B25B65"/>
    <w:rsid w:val="00B271D0"/>
    <w:rsid w:val="00B27363"/>
    <w:rsid w:val="00B276AC"/>
    <w:rsid w:val="00B3073F"/>
    <w:rsid w:val="00B40193"/>
    <w:rsid w:val="00B44082"/>
    <w:rsid w:val="00B44867"/>
    <w:rsid w:val="00B45162"/>
    <w:rsid w:val="00B51AC5"/>
    <w:rsid w:val="00B52187"/>
    <w:rsid w:val="00B530CB"/>
    <w:rsid w:val="00B532D9"/>
    <w:rsid w:val="00B56C96"/>
    <w:rsid w:val="00B60A06"/>
    <w:rsid w:val="00B66868"/>
    <w:rsid w:val="00B67D8C"/>
    <w:rsid w:val="00B71972"/>
    <w:rsid w:val="00B80958"/>
    <w:rsid w:val="00B81285"/>
    <w:rsid w:val="00B82C1F"/>
    <w:rsid w:val="00B82E28"/>
    <w:rsid w:val="00B85E34"/>
    <w:rsid w:val="00B8728D"/>
    <w:rsid w:val="00B9139E"/>
    <w:rsid w:val="00B92768"/>
    <w:rsid w:val="00B93557"/>
    <w:rsid w:val="00B94F39"/>
    <w:rsid w:val="00B97358"/>
    <w:rsid w:val="00BA2DE1"/>
    <w:rsid w:val="00BA3295"/>
    <w:rsid w:val="00BA56D2"/>
    <w:rsid w:val="00BA6AFB"/>
    <w:rsid w:val="00BA6BA5"/>
    <w:rsid w:val="00BA702A"/>
    <w:rsid w:val="00BB57C3"/>
    <w:rsid w:val="00BB6187"/>
    <w:rsid w:val="00BC00F4"/>
    <w:rsid w:val="00BC0535"/>
    <w:rsid w:val="00BC1CA5"/>
    <w:rsid w:val="00BC2B1A"/>
    <w:rsid w:val="00BC2CE4"/>
    <w:rsid w:val="00BC44A2"/>
    <w:rsid w:val="00BC582E"/>
    <w:rsid w:val="00BC5C5B"/>
    <w:rsid w:val="00BC6195"/>
    <w:rsid w:val="00BC64FD"/>
    <w:rsid w:val="00BD0CC2"/>
    <w:rsid w:val="00BD259B"/>
    <w:rsid w:val="00BD60D7"/>
    <w:rsid w:val="00BD67A4"/>
    <w:rsid w:val="00BE0AE5"/>
    <w:rsid w:val="00BE20E3"/>
    <w:rsid w:val="00BE36B9"/>
    <w:rsid w:val="00BE7C5A"/>
    <w:rsid w:val="00BE7CAD"/>
    <w:rsid w:val="00BE7F23"/>
    <w:rsid w:val="00BF3AE6"/>
    <w:rsid w:val="00BF3DFC"/>
    <w:rsid w:val="00BF4E02"/>
    <w:rsid w:val="00BF5D2E"/>
    <w:rsid w:val="00BF6388"/>
    <w:rsid w:val="00BF6C51"/>
    <w:rsid w:val="00BF6C77"/>
    <w:rsid w:val="00BF7BEC"/>
    <w:rsid w:val="00C0024E"/>
    <w:rsid w:val="00C00FA4"/>
    <w:rsid w:val="00C0245C"/>
    <w:rsid w:val="00C04DE8"/>
    <w:rsid w:val="00C062D3"/>
    <w:rsid w:val="00C123D6"/>
    <w:rsid w:val="00C12780"/>
    <w:rsid w:val="00C165B8"/>
    <w:rsid w:val="00C16DC8"/>
    <w:rsid w:val="00C17EE4"/>
    <w:rsid w:val="00C20DC9"/>
    <w:rsid w:val="00C21DBA"/>
    <w:rsid w:val="00C24406"/>
    <w:rsid w:val="00C25DF6"/>
    <w:rsid w:val="00C26392"/>
    <w:rsid w:val="00C279B6"/>
    <w:rsid w:val="00C32601"/>
    <w:rsid w:val="00C3320E"/>
    <w:rsid w:val="00C3326B"/>
    <w:rsid w:val="00C355C5"/>
    <w:rsid w:val="00C35EAF"/>
    <w:rsid w:val="00C377DA"/>
    <w:rsid w:val="00C37B91"/>
    <w:rsid w:val="00C37F74"/>
    <w:rsid w:val="00C42CC9"/>
    <w:rsid w:val="00C4308B"/>
    <w:rsid w:val="00C43C7B"/>
    <w:rsid w:val="00C44364"/>
    <w:rsid w:val="00C466E8"/>
    <w:rsid w:val="00C50C2C"/>
    <w:rsid w:val="00C50FF9"/>
    <w:rsid w:val="00C516BA"/>
    <w:rsid w:val="00C51F00"/>
    <w:rsid w:val="00C52642"/>
    <w:rsid w:val="00C5289D"/>
    <w:rsid w:val="00C52E10"/>
    <w:rsid w:val="00C56947"/>
    <w:rsid w:val="00C642C4"/>
    <w:rsid w:val="00C6651C"/>
    <w:rsid w:val="00C67A2F"/>
    <w:rsid w:val="00C71C65"/>
    <w:rsid w:val="00C71D52"/>
    <w:rsid w:val="00C74054"/>
    <w:rsid w:val="00C77247"/>
    <w:rsid w:val="00C81600"/>
    <w:rsid w:val="00C81974"/>
    <w:rsid w:val="00C83C1A"/>
    <w:rsid w:val="00C85608"/>
    <w:rsid w:val="00CA1237"/>
    <w:rsid w:val="00CA1F34"/>
    <w:rsid w:val="00CA328A"/>
    <w:rsid w:val="00CA3D04"/>
    <w:rsid w:val="00CA4D02"/>
    <w:rsid w:val="00CA5864"/>
    <w:rsid w:val="00CB281A"/>
    <w:rsid w:val="00CB3140"/>
    <w:rsid w:val="00CB350F"/>
    <w:rsid w:val="00CB6CCE"/>
    <w:rsid w:val="00CC3005"/>
    <w:rsid w:val="00CC3133"/>
    <w:rsid w:val="00CC34BD"/>
    <w:rsid w:val="00CC3EE7"/>
    <w:rsid w:val="00CC433C"/>
    <w:rsid w:val="00CC4AE6"/>
    <w:rsid w:val="00CC6A86"/>
    <w:rsid w:val="00CC7B8D"/>
    <w:rsid w:val="00CD57A4"/>
    <w:rsid w:val="00CD6288"/>
    <w:rsid w:val="00CE001F"/>
    <w:rsid w:val="00CE28C2"/>
    <w:rsid w:val="00CE3223"/>
    <w:rsid w:val="00CE4559"/>
    <w:rsid w:val="00CE6B27"/>
    <w:rsid w:val="00CE75E0"/>
    <w:rsid w:val="00CF3921"/>
    <w:rsid w:val="00CF3A84"/>
    <w:rsid w:val="00CF559B"/>
    <w:rsid w:val="00D01D01"/>
    <w:rsid w:val="00D03D57"/>
    <w:rsid w:val="00D05BDC"/>
    <w:rsid w:val="00D067B8"/>
    <w:rsid w:val="00D06C14"/>
    <w:rsid w:val="00D10082"/>
    <w:rsid w:val="00D1053A"/>
    <w:rsid w:val="00D110FA"/>
    <w:rsid w:val="00D13905"/>
    <w:rsid w:val="00D16975"/>
    <w:rsid w:val="00D17467"/>
    <w:rsid w:val="00D2080C"/>
    <w:rsid w:val="00D21D2E"/>
    <w:rsid w:val="00D279AB"/>
    <w:rsid w:val="00D30899"/>
    <w:rsid w:val="00D36C3D"/>
    <w:rsid w:val="00D37D4C"/>
    <w:rsid w:val="00D41F46"/>
    <w:rsid w:val="00D4201F"/>
    <w:rsid w:val="00D4211B"/>
    <w:rsid w:val="00D42BBE"/>
    <w:rsid w:val="00D4480C"/>
    <w:rsid w:val="00D473E3"/>
    <w:rsid w:val="00D47B95"/>
    <w:rsid w:val="00D538A2"/>
    <w:rsid w:val="00D578FC"/>
    <w:rsid w:val="00D57DD1"/>
    <w:rsid w:val="00D60745"/>
    <w:rsid w:val="00D6082C"/>
    <w:rsid w:val="00D611A2"/>
    <w:rsid w:val="00D63417"/>
    <w:rsid w:val="00D6400D"/>
    <w:rsid w:val="00D652AB"/>
    <w:rsid w:val="00D7764D"/>
    <w:rsid w:val="00D86698"/>
    <w:rsid w:val="00D908AD"/>
    <w:rsid w:val="00D931E0"/>
    <w:rsid w:val="00D93457"/>
    <w:rsid w:val="00DA0818"/>
    <w:rsid w:val="00DA0B90"/>
    <w:rsid w:val="00DA17AF"/>
    <w:rsid w:val="00DA513E"/>
    <w:rsid w:val="00DA58BE"/>
    <w:rsid w:val="00DA6173"/>
    <w:rsid w:val="00DA7597"/>
    <w:rsid w:val="00DA779E"/>
    <w:rsid w:val="00DB0DAB"/>
    <w:rsid w:val="00DC19C4"/>
    <w:rsid w:val="00DC3475"/>
    <w:rsid w:val="00DC3689"/>
    <w:rsid w:val="00DC4E6F"/>
    <w:rsid w:val="00DC54D8"/>
    <w:rsid w:val="00DC5A03"/>
    <w:rsid w:val="00DC6858"/>
    <w:rsid w:val="00DD00B5"/>
    <w:rsid w:val="00DD3475"/>
    <w:rsid w:val="00DD5622"/>
    <w:rsid w:val="00DD5D93"/>
    <w:rsid w:val="00DD65B3"/>
    <w:rsid w:val="00DD65B5"/>
    <w:rsid w:val="00DD76A4"/>
    <w:rsid w:val="00DE0D01"/>
    <w:rsid w:val="00DE27A7"/>
    <w:rsid w:val="00DE41B8"/>
    <w:rsid w:val="00DF1411"/>
    <w:rsid w:val="00DF1ADB"/>
    <w:rsid w:val="00DF4FEE"/>
    <w:rsid w:val="00DF52D2"/>
    <w:rsid w:val="00E02F4D"/>
    <w:rsid w:val="00E04215"/>
    <w:rsid w:val="00E0601E"/>
    <w:rsid w:val="00E11C17"/>
    <w:rsid w:val="00E146FF"/>
    <w:rsid w:val="00E1603C"/>
    <w:rsid w:val="00E1651F"/>
    <w:rsid w:val="00E166F9"/>
    <w:rsid w:val="00E1674A"/>
    <w:rsid w:val="00E22C7F"/>
    <w:rsid w:val="00E231E0"/>
    <w:rsid w:val="00E317E4"/>
    <w:rsid w:val="00E32F4B"/>
    <w:rsid w:val="00E3672E"/>
    <w:rsid w:val="00E37332"/>
    <w:rsid w:val="00E42003"/>
    <w:rsid w:val="00E42A88"/>
    <w:rsid w:val="00E45367"/>
    <w:rsid w:val="00E464AA"/>
    <w:rsid w:val="00E50212"/>
    <w:rsid w:val="00E523BD"/>
    <w:rsid w:val="00E52664"/>
    <w:rsid w:val="00E54077"/>
    <w:rsid w:val="00E55E3C"/>
    <w:rsid w:val="00E61333"/>
    <w:rsid w:val="00E617AD"/>
    <w:rsid w:val="00E6288C"/>
    <w:rsid w:val="00E639A6"/>
    <w:rsid w:val="00E63B98"/>
    <w:rsid w:val="00E65153"/>
    <w:rsid w:val="00E65C59"/>
    <w:rsid w:val="00E66B06"/>
    <w:rsid w:val="00E7350B"/>
    <w:rsid w:val="00E741A7"/>
    <w:rsid w:val="00E7460F"/>
    <w:rsid w:val="00E77279"/>
    <w:rsid w:val="00E77DBA"/>
    <w:rsid w:val="00E80E71"/>
    <w:rsid w:val="00E84861"/>
    <w:rsid w:val="00E92B71"/>
    <w:rsid w:val="00E92B82"/>
    <w:rsid w:val="00E930D6"/>
    <w:rsid w:val="00E9384A"/>
    <w:rsid w:val="00E94F9D"/>
    <w:rsid w:val="00E95BF9"/>
    <w:rsid w:val="00E9613F"/>
    <w:rsid w:val="00E96FAE"/>
    <w:rsid w:val="00EA018C"/>
    <w:rsid w:val="00EA48AC"/>
    <w:rsid w:val="00EA73B6"/>
    <w:rsid w:val="00EB1708"/>
    <w:rsid w:val="00EB38E4"/>
    <w:rsid w:val="00EB6B2A"/>
    <w:rsid w:val="00EC1DEA"/>
    <w:rsid w:val="00EC5D8E"/>
    <w:rsid w:val="00EC712E"/>
    <w:rsid w:val="00ED102A"/>
    <w:rsid w:val="00ED234B"/>
    <w:rsid w:val="00ED4971"/>
    <w:rsid w:val="00ED6551"/>
    <w:rsid w:val="00EE318C"/>
    <w:rsid w:val="00EE42C3"/>
    <w:rsid w:val="00EE4971"/>
    <w:rsid w:val="00EE5610"/>
    <w:rsid w:val="00EE6908"/>
    <w:rsid w:val="00EF0562"/>
    <w:rsid w:val="00EF3653"/>
    <w:rsid w:val="00F03EA2"/>
    <w:rsid w:val="00F045AC"/>
    <w:rsid w:val="00F05865"/>
    <w:rsid w:val="00F078ED"/>
    <w:rsid w:val="00F11827"/>
    <w:rsid w:val="00F1255C"/>
    <w:rsid w:val="00F127B9"/>
    <w:rsid w:val="00F1360C"/>
    <w:rsid w:val="00F16B00"/>
    <w:rsid w:val="00F2086F"/>
    <w:rsid w:val="00F225F3"/>
    <w:rsid w:val="00F24031"/>
    <w:rsid w:val="00F24C0B"/>
    <w:rsid w:val="00F24DBF"/>
    <w:rsid w:val="00F25415"/>
    <w:rsid w:val="00F27523"/>
    <w:rsid w:val="00F300D7"/>
    <w:rsid w:val="00F3089E"/>
    <w:rsid w:val="00F3149A"/>
    <w:rsid w:val="00F3263B"/>
    <w:rsid w:val="00F329A8"/>
    <w:rsid w:val="00F33F9F"/>
    <w:rsid w:val="00F34077"/>
    <w:rsid w:val="00F35FA1"/>
    <w:rsid w:val="00F40AA0"/>
    <w:rsid w:val="00F42342"/>
    <w:rsid w:val="00F427C9"/>
    <w:rsid w:val="00F46C53"/>
    <w:rsid w:val="00F47FB9"/>
    <w:rsid w:val="00F501FA"/>
    <w:rsid w:val="00F504F7"/>
    <w:rsid w:val="00F5224B"/>
    <w:rsid w:val="00F52943"/>
    <w:rsid w:val="00F5297A"/>
    <w:rsid w:val="00F54AFD"/>
    <w:rsid w:val="00F56CB2"/>
    <w:rsid w:val="00F5783E"/>
    <w:rsid w:val="00F607D6"/>
    <w:rsid w:val="00F60B53"/>
    <w:rsid w:val="00F61404"/>
    <w:rsid w:val="00F623D6"/>
    <w:rsid w:val="00F633D0"/>
    <w:rsid w:val="00F63580"/>
    <w:rsid w:val="00F63A09"/>
    <w:rsid w:val="00F64E9C"/>
    <w:rsid w:val="00F64FDA"/>
    <w:rsid w:val="00F67C9C"/>
    <w:rsid w:val="00F703A4"/>
    <w:rsid w:val="00F70E8B"/>
    <w:rsid w:val="00F73B50"/>
    <w:rsid w:val="00F73E34"/>
    <w:rsid w:val="00F74F7A"/>
    <w:rsid w:val="00F76155"/>
    <w:rsid w:val="00F768A9"/>
    <w:rsid w:val="00F76CF8"/>
    <w:rsid w:val="00F7708C"/>
    <w:rsid w:val="00F77ADB"/>
    <w:rsid w:val="00F77F0A"/>
    <w:rsid w:val="00F809F0"/>
    <w:rsid w:val="00F80E2C"/>
    <w:rsid w:val="00F80ED9"/>
    <w:rsid w:val="00F82E9B"/>
    <w:rsid w:val="00F87233"/>
    <w:rsid w:val="00F87F0F"/>
    <w:rsid w:val="00F9066B"/>
    <w:rsid w:val="00F90A30"/>
    <w:rsid w:val="00F9539F"/>
    <w:rsid w:val="00F97B2B"/>
    <w:rsid w:val="00FA2B4E"/>
    <w:rsid w:val="00FA580D"/>
    <w:rsid w:val="00FA7A34"/>
    <w:rsid w:val="00FB3D68"/>
    <w:rsid w:val="00FB4999"/>
    <w:rsid w:val="00FB62B4"/>
    <w:rsid w:val="00FB7430"/>
    <w:rsid w:val="00FC189F"/>
    <w:rsid w:val="00FC2D96"/>
    <w:rsid w:val="00FC40AD"/>
    <w:rsid w:val="00FC419D"/>
    <w:rsid w:val="00FC5A5F"/>
    <w:rsid w:val="00FD3583"/>
    <w:rsid w:val="00FD3E57"/>
    <w:rsid w:val="00FD450D"/>
    <w:rsid w:val="00FD62D2"/>
    <w:rsid w:val="00FD67ED"/>
    <w:rsid w:val="00FE54FD"/>
    <w:rsid w:val="00FE55A6"/>
    <w:rsid w:val="00FE6243"/>
    <w:rsid w:val="00FE681F"/>
    <w:rsid w:val="00FE7430"/>
    <w:rsid w:val="00FE7955"/>
    <w:rsid w:val="00FF04B7"/>
    <w:rsid w:val="00FF0E77"/>
    <w:rsid w:val="00FF3870"/>
    <w:rsid w:val="00FF4051"/>
    <w:rsid w:val="00FF5783"/>
    <w:rsid w:val="00FF58FC"/>
    <w:rsid w:val="00FF5FE2"/>
    <w:rsid w:val="034FBC65"/>
    <w:rsid w:val="038B9199"/>
    <w:rsid w:val="044E9080"/>
    <w:rsid w:val="0594E11E"/>
    <w:rsid w:val="05B3713E"/>
    <w:rsid w:val="090F873B"/>
    <w:rsid w:val="0B08B2A4"/>
    <w:rsid w:val="0BFAB7E4"/>
    <w:rsid w:val="0D8530A8"/>
    <w:rsid w:val="0EF37E03"/>
    <w:rsid w:val="13129E77"/>
    <w:rsid w:val="13FB66AF"/>
    <w:rsid w:val="1816A18B"/>
    <w:rsid w:val="1838E6EC"/>
    <w:rsid w:val="1B594ED6"/>
    <w:rsid w:val="1BCEA52B"/>
    <w:rsid w:val="20DDB6CD"/>
    <w:rsid w:val="26BD9555"/>
    <w:rsid w:val="2702AE40"/>
    <w:rsid w:val="27F567D6"/>
    <w:rsid w:val="29273699"/>
    <w:rsid w:val="2A62C0C2"/>
    <w:rsid w:val="2B3D4DF4"/>
    <w:rsid w:val="30085DF0"/>
    <w:rsid w:val="304D8171"/>
    <w:rsid w:val="317EA70E"/>
    <w:rsid w:val="35537526"/>
    <w:rsid w:val="38B44654"/>
    <w:rsid w:val="39FE3B7B"/>
    <w:rsid w:val="3A520E3D"/>
    <w:rsid w:val="3BD4EB00"/>
    <w:rsid w:val="3D6D4170"/>
    <w:rsid w:val="3F7FB458"/>
    <w:rsid w:val="4069B985"/>
    <w:rsid w:val="409599FA"/>
    <w:rsid w:val="4220FD5C"/>
    <w:rsid w:val="42DA2997"/>
    <w:rsid w:val="48D6DDCC"/>
    <w:rsid w:val="48F392AF"/>
    <w:rsid w:val="4F5F1A23"/>
    <w:rsid w:val="51939F33"/>
    <w:rsid w:val="51B7F4F6"/>
    <w:rsid w:val="52C755E9"/>
    <w:rsid w:val="56C5CA98"/>
    <w:rsid w:val="57C6A939"/>
    <w:rsid w:val="59146BBD"/>
    <w:rsid w:val="598575ED"/>
    <w:rsid w:val="5B605170"/>
    <w:rsid w:val="5EB0B6B5"/>
    <w:rsid w:val="5F13ECB2"/>
    <w:rsid w:val="6625DD9E"/>
    <w:rsid w:val="66950605"/>
    <w:rsid w:val="691967ED"/>
    <w:rsid w:val="692EE93D"/>
    <w:rsid w:val="6DE28E3C"/>
    <w:rsid w:val="6E53C3ED"/>
    <w:rsid w:val="73785BAD"/>
    <w:rsid w:val="73B44A3F"/>
    <w:rsid w:val="7BD2B4D0"/>
    <w:rsid w:val="7E3D7F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5"/>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paragraph" w:customStyle="1" w:styleId="Default">
    <w:name w:val="Default"/>
    <w:rsid w:val="00CE6B27"/>
    <w:pPr>
      <w:autoSpaceDE w:val="0"/>
      <w:autoSpaceDN w:val="0"/>
      <w:adjustRightInd w:val="0"/>
      <w:spacing w:after="0" w:line="240" w:lineRule="auto"/>
    </w:pPr>
    <w:rPr>
      <w:rFonts w:ascii="Corbel" w:hAnsi="Corbel" w:cs="Corbel"/>
      <w:color w:val="000000"/>
      <w:sz w:val="24"/>
      <w:szCs w:val="24"/>
    </w:rPr>
  </w:style>
  <w:style w:type="character" w:customStyle="1" w:styleId="cf01">
    <w:name w:val="cf01"/>
    <w:basedOn w:val="DefaultParagraphFont"/>
    <w:rsid w:val="00B253AF"/>
    <w:rPr>
      <w:rFonts w:ascii="Segoe UI" w:hAnsi="Segoe UI" w:cs="Segoe UI" w:hint="default"/>
      <w:sz w:val="18"/>
      <w:szCs w:val="18"/>
    </w:rPr>
  </w:style>
  <w:style w:type="paragraph" w:customStyle="1" w:styleId="paragraph">
    <w:name w:val="paragraph"/>
    <w:basedOn w:val="Normal"/>
    <w:uiPriority w:val="1"/>
    <w:rsid w:val="20DDB6CD"/>
    <w:pPr>
      <w:spacing w:beforeAutospacing="1" w:afterAutospacing="1"/>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8" ma:contentTypeDescription="Create a new document." ma:contentTypeScope="" ma:versionID="9ad55ddd3ca92b4c950c8accac03155b">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97d7c616245f417983b26471e52fcee0"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8EC3B-825D-4779-AD62-6E7FE7C6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4B717-5C3B-48CF-A6FB-2E35F66A809F}">
  <ds:schemaRefs>
    <ds:schemaRef ds:uri="http://purl.org/dc/elements/1.1/"/>
    <ds:schemaRef ds:uri="http://schemas.microsoft.com/office/2006/documentManagement/types"/>
    <ds:schemaRef ds:uri="http://schemas.microsoft.com/office/2006/metadata/properties"/>
    <ds:schemaRef ds:uri="http://purl.org/dc/dcmitype/"/>
    <ds:schemaRef ds:uri="54a7c1f1-3f47-4901-9ebc-438e2774b79c"/>
    <ds:schemaRef ds:uri="http://schemas.microsoft.com/office/infopath/2007/PartnerControls"/>
    <ds:schemaRef ds:uri="http://schemas.openxmlformats.org/package/2006/metadata/core-properties"/>
    <ds:schemaRef ds:uri="9031a7a0-0ac0-494a-9b88-767ee5490bc0"/>
    <ds:schemaRef ds:uri="http://www.w3.org/XML/1998/namespace"/>
    <ds:schemaRef ds:uri="http://purl.org/dc/terms/"/>
  </ds:schemaRefs>
</ds:datastoreItem>
</file>

<file path=customXml/itemProps3.xml><?xml version="1.0" encoding="utf-8"?>
<ds:datastoreItem xmlns:ds="http://schemas.openxmlformats.org/officeDocument/2006/customXml" ds:itemID="{695EFE99-0AED-4019-8573-29A284EFAE58}">
  <ds:schemaRefs>
    <ds:schemaRef ds:uri="http://schemas.microsoft.com/sharepoint/v3/contenttype/forms"/>
  </ds:schemaRefs>
</ds:datastoreItem>
</file>

<file path=customXml/itemProps4.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9400</Words>
  <Characters>53582</Characters>
  <Application>Microsoft Office Word</Application>
  <DocSecurity>2</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2024-07-31T02:42:00Z</dcterms:created>
  <dcterms:modified xsi:type="dcterms:W3CDTF">2024-08-05T02:26:00Z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2024-07-30T09:42:24Z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677d9b19-dcee-4e1f-bd83-bd38b9e01543</vt:lpwstr>
  </property>
  <property fmtid="{D5CDD505-2E9C-101B-9397-08002B2CF9AE}" pid="8" name="MSIP_Label_79d889eb-932f-4752-8739-64d25806ef64_ContentBits">
    <vt:lpwstr>0</vt:lpwstr>
  </property>
  <property fmtid="{D5CDD505-2E9C-101B-9397-08002B2CF9AE}" pid="9" name="MSIP_Label_1112e48c-f0e0-48fb-b5c1-02479cac7f09_ContentBits">
    <vt:lpwstr>3</vt:lpwstr>
  </property>
  <property fmtid="{D5CDD505-2E9C-101B-9397-08002B2CF9AE}" pid="10" name="MSIP_Label_1112e48c-f0e0-48fb-b5c1-02479cac7f09_SetDate">
    <vt:lpwstr>2023-02-02T00:54:29Z</vt:lpwstr>
  </property>
  <property fmtid="{D5CDD505-2E9C-101B-9397-08002B2CF9AE}" pid="11" name="MSIP_Label_1112e48c-f0e0-48fb-b5c1-02479cac7f09_Name">
    <vt:lpwstr>b3bff2a6679e</vt:lpwstr>
  </property>
  <property fmtid="{D5CDD505-2E9C-101B-9397-08002B2CF9AE}" pid="12" name="MediaServiceImageTags">
    <vt:lpwstr/>
  </property>
  <property fmtid="{D5CDD505-2E9C-101B-9397-08002B2CF9AE}" pid="13" name="ContentTypeId">
    <vt:lpwstr>0x0101008B9FFAAC2203D942B1D4C76771736A48</vt:lpwstr>
  </property>
  <property fmtid="{D5CDD505-2E9C-101B-9397-08002B2CF9AE}" pid="14" name="MSIP_Label_1112e48c-f0e0-48fb-b5c1-02479cac7f09_SiteId">
    <vt:lpwstr>dd0cfd15-4558-4b12-8bad-ea26984fc417</vt:lpwstr>
  </property>
  <property fmtid="{D5CDD505-2E9C-101B-9397-08002B2CF9AE}" pid="15" name="MSIP_Label_1112e48c-f0e0-48fb-b5c1-02479cac7f09_Method">
    <vt:lpwstr>Privileged</vt:lpwstr>
  </property>
  <property fmtid="{D5CDD505-2E9C-101B-9397-08002B2CF9AE}" pid="16" name="MSIP_Label_1112e48c-f0e0-48fb-b5c1-02479cac7f09_Enabled">
    <vt:lpwstr>true</vt:lpwstr>
  </property>
  <property fmtid="{D5CDD505-2E9C-101B-9397-08002B2CF9AE}" pid="17" name="MSIP_Label_1112e48c-f0e0-48fb-b5c1-02479cac7f09_ActionId">
    <vt:lpwstr>5d57a4a2-7e12-4c5e-8cf5-3aa50c266f8c</vt:lpwstr>
  </property>
</Properties>
</file>