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51F8" w14:textId="77777777" w:rsidR="004D7AE1" w:rsidRDefault="00962A30" w:rsidP="006E172A">
      <w:pPr>
        <w:ind w:left="-1077"/>
        <w:sectPr w:rsidR="004D7AE1" w:rsidSect="0050564E">
          <w:footerReference w:type="default" r:id="rId8"/>
          <w:footerReference w:type="first" r:id="rId9"/>
          <w:type w:val="continuous"/>
          <w:pgSz w:w="11906" w:h="16838" w:code="9"/>
          <w:pgMar w:top="0" w:right="1077" w:bottom="1440" w:left="1077" w:header="0" w:footer="567" w:gutter="0"/>
          <w:cols w:space="708"/>
          <w:titlePg/>
          <w:docGrid w:linePitch="360"/>
        </w:sectPr>
      </w:pPr>
      <w:r w:rsidRPr="00A023BC">
        <w:rPr>
          <w:noProof/>
        </w:rPr>
        <w:drawing>
          <wp:inline distT="0" distB="0" distL="0" distR="0" wp14:anchorId="6D639A51" wp14:editId="4AB11630">
            <wp:extent cx="7560000" cy="1267200"/>
            <wp:effectExtent l="0" t="0" r="3175" b="9525"/>
            <wp:docPr id="660994408" name="Picture 660994408" descr="Australian Government crest and Tuition Protection Service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994408" name="Picture 660994408" descr="Australian Government crest and Tuition Protection Service lo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66635" w14:textId="31190FCA" w:rsidR="00185CBF" w:rsidRPr="007B40BF" w:rsidRDefault="007B40BF" w:rsidP="007B40BF">
      <w:pPr>
        <w:pStyle w:val="Heading1"/>
      </w:pPr>
      <w:r w:rsidRPr="007B40BF">
        <w:t xml:space="preserve">FAQs: </w:t>
      </w:r>
      <w:r w:rsidR="00033DB3" w:rsidRPr="007B40BF">
        <w:t>Unit Completion Rate Risk Factor Calculation</w:t>
      </w:r>
    </w:p>
    <w:p w14:paraId="1DCC047B" w14:textId="4D688D89" w:rsidR="00185CBF" w:rsidRPr="007B40BF" w:rsidRDefault="004563D7" w:rsidP="007B40BF">
      <w:pPr>
        <w:pStyle w:val="Subtitle"/>
      </w:pPr>
      <w:r w:rsidRPr="007B40BF">
        <w:t>VSL, HELP and Up-front Payments Tuition Protection Levies</w:t>
      </w:r>
    </w:p>
    <w:p w14:paraId="47C9BF62" w14:textId="33861A33" w:rsidR="00370C13" w:rsidRDefault="00D8147C" w:rsidP="00F15CFA">
      <w:r>
        <w:t xml:space="preserve">This document provides responses to common questions </w:t>
      </w:r>
      <w:r w:rsidR="00E648BC">
        <w:t>from</w:t>
      </w:r>
      <w:r>
        <w:t xml:space="preserve"> education providers </w:t>
      </w:r>
      <w:r w:rsidR="00D30416">
        <w:t>regarding the unit completion rate risk factor calculation used</w:t>
      </w:r>
      <w:r w:rsidR="008B7B52">
        <w:t xml:space="preserve"> </w:t>
      </w:r>
      <w:r w:rsidR="009E4670">
        <w:t>in the VSL, HELP and Up-front Payments Tuition Protection Levies.</w:t>
      </w:r>
    </w:p>
    <w:p w14:paraId="6BC4DD98" w14:textId="3F6EF5E2" w:rsidR="009C5DC5" w:rsidRDefault="00A715C5" w:rsidP="00916CD3">
      <w:r>
        <w:t>Th</w:t>
      </w:r>
      <w:r w:rsidR="00931503">
        <w:t>is information is particularly relevant for education providers</w:t>
      </w:r>
      <w:r w:rsidR="00544C96">
        <w:t xml:space="preserve"> where students have withdrawn for medical reasons (such as mental health)</w:t>
      </w:r>
      <w:r w:rsidR="00DF5B15">
        <w:t>, and those offering units of study with a duration of more than 12 months</w:t>
      </w:r>
      <w:r w:rsidR="005E486A">
        <w:t>.</w:t>
      </w:r>
    </w:p>
    <w:p w14:paraId="16175442" w14:textId="1F7A7F16" w:rsidR="00DB1F19" w:rsidRPr="005E0BB8" w:rsidRDefault="00503344" w:rsidP="005E0BB8">
      <w:pPr>
        <w:pStyle w:val="Heading2"/>
      </w:pPr>
      <w:r w:rsidRPr="005E0BB8">
        <w:t>Unit completion rate percentage calculation</w:t>
      </w:r>
    </w:p>
    <w:p w14:paraId="680DF1BD" w14:textId="77777777" w:rsidR="00503344" w:rsidRDefault="00503344" w:rsidP="00503344">
      <w:pPr>
        <w:rPr>
          <w:lang w:eastAsia="en-AU"/>
        </w:rPr>
      </w:pPr>
      <w:r>
        <w:rPr>
          <w:lang w:eastAsia="en-AU"/>
        </w:rPr>
        <w:t>The unit completion rate percentage is calculated as follows:</w:t>
      </w:r>
    </w:p>
    <w:p w14:paraId="79FFD7FE" w14:textId="77777777" w:rsidR="00503344" w:rsidRPr="00ED3238" w:rsidRDefault="00000000" w:rsidP="00B172BE">
      <w:pPr>
        <w:spacing w:before="240" w:after="120"/>
        <w:rPr>
          <w:rFonts w:cstheme="minorHAnsi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iCs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Passed EFTSL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iCs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</w:rPr>
                        <m:t>Passed EFTSL+Failed EFTSL+Withdrawn EFTSL+Ongoing EFTSL+Data missing EFTSL</m:t>
                      </m:r>
                    </m:e>
                  </m:d>
                </m:den>
              </m:f>
            </m:e>
          </m:d>
          <m:r>
            <w:rPr>
              <w:rFonts w:ascii="Cambria Math" w:hAnsi="Cambria Math" w:cstheme="minorHAnsi"/>
            </w:rPr>
            <m:t>×100</m:t>
          </m:r>
        </m:oMath>
      </m:oMathPara>
    </w:p>
    <w:p w14:paraId="175D0ED0" w14:textId="329A47A3" w:rsidR="00503344" w:rsidRPr="00503344" w:rsidRDefault="00503344" w:rsidP="00503344">
      <w:pPr>
        <w:rPr>
          <w:lang w:eastAsia="en-AU"/>
        </w:rPr>
      </w:pPr>
      <w:r w:rsidRPr="002119E4">
        <w:rPr>
          <w:b/>
          <w:bCs/>
          <w:lang w:eastAsia="en-AU"/>
        </w:rPr>
        <w:t xml:space="preserve"> EFTSL</w:t>
      </w:r>
      <w:r>
        <w:rPr>
          <w:lang w:eastAsia="en-AU"/>
        </w:rPr>
        <w:t>: Equivalent full-time student load for a year</w:t>
      </w:r>
    </w:p>
    <w:p w14:paraId="0FD886EA" w14:textId="6878C8AE" w:rsidR="00BA6866" w:rsidRPr="005E0BB8" w:rsidRDefault="00B172BE" w:rsidP="005E0BB8">
      <w:pPr>
        <w:pStyle w:val="Heading3"/>
      </w:pPr>
      <w:r w:rsidRPr="005E0BB8">
        <w:t xml:space="preserve">Q1: </w:t>
      </w:r>
      <w:r w:rsidR="00914B94" w:rsidRPr="005E0BB8">
        <w:t>If a student withdraws for medical reasons such a</w:t>
      </w:r>
      <w:r w:rsidR="00F22591" w:rsidRPr="005E0BB8">
        <w:t>s</w:t>
      </w:r>
      <w:r w:rsidR="00914B94" w:rsidRPr="005E0BB8">
        <w:t xml:space="preserve"> mental health</w:t>
      </w:r>
      <w:r w:rsidR="00F22591" w:rsidRPr="005E0BB8">
        <w:t xml:space="preserve">, will the </w:t>
      </w:r>
      <w:r w:rsidR="00D425EB" w:rsidRPr="005E0BB8">
        <w:t xml:space="preserve">education </w:t>
      </w:r>
      <w:r w:rsidR="00F22591" w:rsidRPr="005E0BB8">
        <w:t>provider be disadvantaged in the unit completion rate risk factor calculation?</w:t>
      </w:r>
    </w:p>
    <w:p w14:paraId="57BFF15D" w14:textId="61498A2B" w:rsidR="00CE5911" w:rsidRDefault="008C60F0" w:rsidP="00034AE5">
      <w:r>
        <w:rPr>
          <w:lang w:eastAsia="en-AU"/>
        </w:rPr>
        <w:t xml:space="preserve">The main data source for </w:t>
      </w:r>
      <w:r w:rsidR="005E0BB8">
        <w:rPr>
          <w:lang w:eastAsia="en-AU"/>
        </w:rPr>
        <w:t>the unit completion rate risk factor</w:t>
      </w:r>
      <w:r>
        <w:rPr>
          <w:lang w:eastAsia="en-AU"/>
        </w:rPr>
        <w:t xml:space="preserve"> calculation is </w:t>
      </w:r>
      <w:hyperlink r:id="rId11" w:history="1">
        <w:r w:rsidR="00BB48DF">
          <w:rPr>
            <w:rStyle w:val="Hyperlink"/>
            <w14:ligatures w14:val="none"/>
          </w:rPr>
          <w:t>Element E355 - Unit of study status</w:t>
        </w:r>
      </w:hyperlink>
      <w:r w:rsidR="001B6A01">
        <w:rPr>
          <w:rStyle w:val="FootnoteReference"/>
        </w:rPr>
        <w:footnoteReference w:id="2"/>
      </w:r>
      <w:r>
        <w:t> with the allowable values</w:t>
      </w:r>
      <w:r w:rsidR="00565A78">
        <w:t xml:space="preserve"> shown in Figure 1</w:t>
      </w:r>
      <w:r w:rsidR="00CA7C26" w:rsidRPr="00727ABB">
        <w:t>.</w:t>
      </w:r>
    </w:p>
    <w:p w14:paraId="1D8A56B3" w14:textId="77777777" w:rsidR="002238A3" w:rsidRPr="001B6A01" w:rsidRDefault="002238A3" w:rsidP="001B6A01">
      <w:pPr>
        <w:pStyle w:val="Caption"/>
      </w:pPr>
      <w:r w:rsidRPr="001B6A01">
        <w:t>Figure 1: Allowable Values</w:t>
      </w:r>
    </w:p>
    <w:p w14:paraId="5F2CD968" w14:textId="77777777" w:rsidR="002238A3" w:rsidRDefault="002238A3" w:rsidP="002238A3">
      <w:r w:rsidRPr="00722294">
        <w:rPr>
          <w:noProof/>
        </w:rPr>
        <w:drawing>
          <wp:inline distT="0" distB="0" distL="0" distR="0" wp14:anchorId="569D5674" wp14:editId="6C601F8E">
            <wp:extent cx="5335131" cy="2597595"/>
            <wp:effectExtent l="0" t="0" r="0" b="0"/>
            <wp:docPr id="1600789665" name="Picture 1" descr="A screenshot from the Tertiary Collection of Student Information (TCSI) website of the six 'unit of study status' allowable valu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89665" name="Picture 1" descr="A screenshot from the Tertiary Collection of Student Information (TCSI) website of the six 'unit of study status' allowable values."/>
                    <pic:cNvPicPr/>
                  </pic:nvPicPr>
                  <pic:blipFill rotWithShape="1">
                    <a:blip r:embed="rId12"/>
                    <a:srcRect t="12926"/>
                    <a:stretch/>
                  </pic:blipFill>
                  <pic:spPr bwMode="auto">
                    <a:xfrm>
                      <a:off x="0" y="0"/>
                      <a:ext cx="5376326" cy="2617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0D767" w14:textId="17961ED3" w:rsidR="00234CA0" w:rsidRDefault="00CA7C26" w:rsidP="002119E4">
      <w:pPr>
        <w:spacing w:after="120"/>
      </w:pPr>
      <w:r w:rsidRPr="00727ABB">
        <w:lastRenderedPageBreak/>
        <w:t>V</w:t>
      </w:r>
      <w:r w:rsidR="008C60F0" w:rsidRPr="00727ABB">
        <w:t>alue 3</w:t>
      </w:r>
      <w:r w:rsidR="00727ABB">
        <w:t xml:space="preserve"> (</w:t>
      </w:r>
      <w:r w:rsidR="00086675" w:rsidRPr="002119E4">
        <w:t>s</w:t>
      </w:r>
      <w:r w:rsidR="008C60F0" w:rsidRPr="00727ABB">
        <w:t>uccessfully completed all</w:t>
      </w:r>
      <w:r w:rsidR="0053698E" w:rsidRPr="00727ABB">
        <w:t xml:space="preserve"> the</w:t>
      </w:r>
      <w:r w:rsidR="008C60F0" w:rsidRPr="00727ABB">
        <w:t xml:space="preserve"> requirements</w:t>
      </w:r>
      <w:r w:rsidR="00727ABB">
        <w:t>)</w:t>
      </w:r>
      <w:r w:rsidR="008C60F0" w:rsidRPr="00727ABB">
        <w:t xml:space="preserve"> is</w:t>
      </w:r>
      <w:r w:rsidR="008C60F0">
        <w:t xml:space="preserve"> counted as </w:t>
      </w:r>
      <w:r w:rsidR="002238A3">
        <w:t>‘</w:t>
      </w:r>
      <w:r w:rsidR="008C60F0">
        <w:t>Passed</w:t>
      </w:r>
      <w:r w:rsidR="002238A3">
        <w:t>’</w:t>
      </w:r>
      <w:r w:rsidR="008C60F0">
        <w:t xml:space="preserve"> in the numerator</w:t>
      </w:r>
      <w:r w:rsidR="002238A3">
        <w:t xml:space="preserve"> of the </w:t>
      </w:r>
      <w:r w:rsidR="00A638BB">
        <w:t xml:space="preserve">unit completion rate </w:t>
      </w:r>
      <w:r w:rsidR="00B431E0">
        <w:t xml:space="preserve">risk factor </w:t>
      </w:r>
      <w:r w:rsidR="002238A3">
        <w:t>calculation</w:t>
      </w:r>
      <w:r w:rsidR="008C60F0">
        <w:t>. The denominator includes</w:t>
      </w:r>
      <w:r w:rsidR="00234CA0">
        <w:t>:</w:t>
      </w:r>
    </w:p>
    <w:p w14:paraId="5D41A3A3" w14:textId="49C28BA5" w:rsidR="00234CA0" w:rsidRDefault="00234CA0" w:rsidP="002119E4">
      <w:pPr>
        <w:pStyle w:val="ListParagraph"/>
        <w:numPr>
          <w:ilvl w:val="0"/>
          <w:numId w:val="5"/>
        </w:numPr>
        <w:spacing w:after="120"/>
        <w:contextualSpacing w:val="0"/>
      </w:pPr>
      <w:r>
        <w:t>V</w:t>
      </w:r>
      <w:r w:rsidR="005E66E8">
        <w:t>alue 1</w:t>
      </w:r>
      <w:r w:rsidR="00597FE3">
        <w:t xml:space="preserve"> (w</w:t>
      </w:r>
      <w:r w:rsidR="005E66E8">
        <w:t>ithdrew without academic penalty</w:t>
      </w:r>
      <w:r w:rsidR="00597FE3">
        <w:t>)</w:t>
      </w:r>
      <w:r w:rsidR="00561168">
        <w:t>;</w:t>
      </w:r>
    </w:p>
    <w:p w14:paraId="4E2A7225" w14:textId="4DA8BB78" w:rsidR="00234CA0" w:rsidRDefault="00234CA0" w:rsidP="002119E4">
      <w:pPr>
        <w:pStyle w:val="ListParagraph"/>
        <w:numPr>
          <w:ilvl w:val="0"/>
          <w:numId w:val="5"/>
        </w:numPr>
        <w:spacing w:after="120"/>
        <w:contextualSpacing w:val="0"/>
      </w:pPr>
      <w:r>
        <w:t>V</w:t>
      </w:r>
      <w:r w:rsidR="00793943">
        <w:t xml:space="preserve">alue </w:t>
      </w:r>
      <w:r w:rsidR="008C60F0">
        <w:t>2</w:t>
      </w:r>
      <w:r w:rsidR="00597FE3">
        <w:t xml:space="preserve"> (f</w:t>
      </w:r>
      <w:r w:rsidR="008C60F0">
        <w:t>ailed</w:t>
      </w:r>
      <w:r w:rsidR="00597FE3">
        <w:t>)</w:t>
      </w:r>
      <w:r w:rsidR="00561168">
        <w:t>;</w:t>
      </w:r>
    </w:p>
    <w:p w14:paraId="1E7DA94F" w14:textId="0D8D8EE0" w:rsidR="00561168" w:rsidRDefault="00234CA0" w:rsidP="002119E4">
      <w:pPr>
        <w:pStyle w:val="ListParagraph"/>
        <w:numPr>
          <w:ilvl w:val="0"/>
          <w:numId w:val="5"/>
        </w:numPr>
        <w:spacing w:after="120"/>
        <w:contextualSpacing w:val="0"/>
      </w:pPr>
      <w:r>
        <w:t>V</w:t>
      </w:r>
      <w:r w:rsidR="00793943">
        <w:t xml:space="preserve">alue </w:t>
      </w:r>
      <w:r w:rsidR="008C60F0">
        <w:t>3</w:t>
      </w:r>
      <w:r w:rsidR="00597FE3">
        <w:t xml:space="preserve"> (</w:t>
      </w:r>
      <w:r w:rsidR="00DC2FC4">
        <w:t>completed/passed</w:t>
      </w:r>
      <w:r w:rsidR="00597FE3">
        <w:t>)</w:t>
      </w:r>
      <w:r w:rsidR="00561168">
        <w:t>;</w:t>
      </w:r>
      <w:r w:rsidR="00CC3586">
        <w:t xml:space="preserve"> and</w:t>
      </w:r>
    </w:p>
    <w:p w14:paraId="6F47566D" w14:textId="7C9BBBEF" w:rsidR="00F72936" w:rsidRDefault="00561168" w:rsidP="00234CA0">
      <w:pPr>
        <w:pStyle w:val="ListParagraph"/>
        <w:numPr>
          <w:ilvl w:val="0"/>
          <w:numId w:val="5"/>
        </w:numPr>
      </w:pPr>
      <w:r>
        <w:t>V</w:t>
      </w:r>
      <w:r w:rsidR="003707DB">
        <w:t>alue</w:t>
      </w:r>
      <w:r w:rsidR="008C60F0">
        <w:t xml:space="preserve"> 4</w:t>
      </w:r>
      <w:r w:rsidR="00F72936">
        <w:t xml:space="preserve"> </w:t>
      </w:r>
      <w:r w:rsidR="001803FE">
        <w:t>(o</w:t>
      </w:r>
      <w:r w:rsidR="008C60F0">
        <w:t>ngoing</w:t>
      </w:r>
      <w:r w:rsidR="001803FE">
        <w:t>)</w:t>
      </w:r>
      <w:r w:rsidR="00DC2FC4">
        <w:t>.</w:t>
      </w:r>
    </w:p>
    <w:p w14:paraId="1B50B708" w14:textId="4E0C7425" w:rsidR="00795FD4" w:rsidRDefault="00FA7C97" w:rsidP="00BB48DF">
      <w:r w:rsidRPr="004E0CB9">
        <w:rPr>
          <w:b/>
          <w:bCs/>
        </w:rPr>
        <w:t>Value 5</w:t>
      </w:r>
      <w:r w:rsidRPr="00AC3592">
        <w:t xml:space="preserve"> (r</w:t>
      </w:r>
      <w:r w:rsidRPr="002238A3">
        <w:t xml:space="preserve">ecognition of prior learning) </w:t>
      </w:r>
      <w:r w:rsidR="00795FD4">
        <w:t xml:space="preserve">is </w:t>
      </w:r>
      <w:r w:rsidR="00BE40D3" w:rsidRPr="004E0CB9">
        <w:rPr>
          <w:b/>
          <w:bCs/>
        </w:rPr>
        <w:t>excluded</w:t>
      </w:r>
      <w:r w:rsidRPr="004E0CB9">
        <w:rPr>
          <w:b/>
          <w:bCs/>
        </w:rPr>
        <w:t xml:space="preserve"> </w:t>
      </w:r>
      <w:r w:rsidR="00BE40D3" w:rsidRPr="004E0CB9">
        <w:rPr>
          <w:b/>
          <w:bCs/>
        </w:rPr>
        <w:t>from the calculation</w:t>
      </w:r>
      <w:r>
        <w:t>.</w:t>
      </w:r>
    </w:p>
    <w:p w14:paraId="693C4C66" w14:textId="6B505DF9" w:rsidR="008C60F0" w:rsidRDefault="00795FD4" w:rsidP="00BB48DF">
      <w:pPr>
        <w:rPr>
          <w:lang w:eastAsia="en-AU"/>
          <w14:ligatures w14:val="none"/>
        </w:rPr>
      </w:pPr>
      <w:r w:rsidRPr="00795FD4">
        <w:rPr>
          <w:b/>
          <w:bCs/>
        </w:rPr>
        <w:t>Value 6</w:t>
      </w:r>
      <w:r w:rsidRPr="00AC3592">
        <w:t xml:space="preserve"> (w</w:t>
      </w:r>
      <w:r w:rsidRPr="002238A3">
        <w:t xml:space="preserve">ithdrew due to medical </w:t>
      </w:r>
      <w:r w:rsidRPr="00795FD4">
        <w:t xml:space="preserve">reasons) </w:t>
      </w:r>
      <w:r w:rsidR="0084105D" w:rsidRPr="00795FD4">
        <w:t xml:space="preserve">is </w:t>
      </w:r>
      <w:r w:rsidRPr="00795FD4">
        <w:t>also</w:t>
      </w:r>
      <w:r>
        <w:rPr>
          <w:b/>
          <w:bCs/>
        </w:rPr>
        <w:t xml:space="preserve"> </w:t>
      </w:r>
      <w:r w:rsidR="0084105D" w:rsidRPr="00B867A2">
        <w:rPr>
          <w:b/>
          <w:bCs/>
        </w:rPr>
        <w:t xml:space="preserve">excluded from the </w:t>
      </w:r>
      <w:r w:rsidR="00B16915" w:rsidRPr="00B867A2">
        <w:rPr>
          <w:b/>
          <w:bCs/>
        </w:rPr>
        <w:t>calculation</w:t>
      </w:r>
      <w:r w:rsidR="0084105D">
        <w:t xml:space="preserve"> as </w:t>
      </w:r>
      <w:r w:rsidR="00B16915">
        <w:t>withdrawals due to medical reasons are</w:t>
      </w:r>
      <w:r w:rsidR="0084105D">
        <w:t xml:space="preserve"> beyond the control of </w:t>
      </w:r>
      <w:r w:rsidR="00A17055">
        <w:t>education</w:t>
      </w:r>
      <w:r w:rsidR="0084105D">
        <w:t xml:space="preserve"> provider</w:t>
      </w:r>
      <w:r w:rsidR="00A17055">
        <w:t>s</w:t>
      </w:r>
      <w:r w:rsidR="0084105D">
        <w:t xml:space="preserve"> and would disadvantage them unfairly.</w:t>
      </w:r>
    </w:p>
    <w:p w14:paraId="7BEC9195" w14:textId="3BD43FC4" w:rsidR="008C60F0" w:rsidRPr="00916CD3" w:rsidRDefault="00931435" w:rsidP="005E0BB8">
      <w:pPr>
        <w:pStyle w:val="Heading3"/>
      </w:pPr>
      <w:r>
        <w:t xml:space="preserve">Q2: </w:t>
      </w:r>
      <w:r w:rsidR="008C60F0" w:rsidRPr="00916CD3">
        <w:t>If a</w:t>
      </w:r>
      <w:r w:rsidR="00E3666E">
        <w:t>n education</w:t>
      </w:r>
      <w:r w:rsidR="008C60F0" w:rsidRPr="00916CD3">
        <w:t xml:space="preserve"> provider </w:t>
      </w:r>
      <w:r w:rsidR="00E3666E">
        <w:t>offers</w:t>
      </w:r>
      <w:r w:rsidR="008C60F0" w:rsidRPr="00916CD3">
        <w:t xml:space="preserve"> units of study that </w:t>
      </w:r>
      <w:r w:rsidR="00D425EB">
        <w:t>last</w:t>
      </w:r>
      <w:r w:rsidR="008C60F0" w:rsidRPr="00916CD3">
        <w:t xml:space="preserve"> more than 12 months or </w:t>
      </w:r>
      <w:r w:rsidR="00655361">
        <w:t xml:space="preserve">span </w:t>
      </w:r>
      <w:r w:rsidR="008C60F0" w:rsidRPr="00916CD3">
        <w:t xml:space="preserve">across more than one calendar year, </w:t>
      </w:r>
      <w:r w:rsidR="005C25D1">
        <w:t xml:space="preserve">how are these units treated in </w:t>
      </w:r>
      <w:r w:rsidR="008C60F0" w:rsidRPr="00916CD3">
        <w:t xml:space="preserve">the </w:t>
      </w:r>
      <w:r w:rsidR="005C25D1" w:rsidRPr="00916CD3">
        <w:t xml:space="preserve">unit completion </w:t>
      </w:r>
      <w:r w:rsidR="005C25D1">
        <w:t xml:space="preserve">rate </w:t>
      </w:r>
      <w:r w:rsidR="005C25D1" w:rsidRPr="00916CD3">
        <w:t>risk factor calculation</w:t>
      </w:r>
      <w:r w:rsidR="008C60F0" w:rsidRPr="00916CD3">
        <w:t>?</w:t>
      </w:r>
    </w:p>
    <w:p w14:paraId="2671FE38" w14:textId="3D0DB4E2" w:rsidR="005E58C3" w:rsidRPr="00233C12" w:rsidRDefault="0088227D" w:rsidP="00233C12">
      <w:r w:rsidRPr="00A75EF5">
        <w:t xml:space="preserve">There are many factors that may influence a provider’s unit completion </w:t>
      </w:r>
      <w:r w:rsidR="00E00108">
        <w:t xml:space="preserve">rate </w:t>
      </w:r>
      <w:r w:rsidRPr="00A75EF5">
        <w:t>risk factor result, including the timing of commencement in units of study that have a duration of more than 12 months.</w:t>
      </w:r>
      <w:r>
        <w:t xml:space="preserve"> </w:t>
      </w:r>
      <w:r w:rsidR="00DB658E" w:rsidRPr="00916CD3">
        <w:t xml:space="preserve">The calculation of the unit completion </w:t>
      </w:r>
      <w:r w:rsidR="00DB658E">
        <w:t xml:space="preserve">rate </w:t>
      </w:r>
      <w:r w:rsidR="00DB658E" w:rsidRPr="00916CD3">
        <w:t xml:space="preserve">risk </w:t>
      </w:r>
      <w:r w:rsidR="00DB658E">
        <w:t>factor</w:t>
      </w:r>
      <w:r w:rsidR="00DB658E" w:rsidRPr="00916CD3">
        <w:t xml:space="preserve"> is dependent on </w:t>
      </w:r>
      <w:r w:rsidR="00DB658E">
        <w:t xml:space="preserve">education </w:t>
      </w:r>
      <w:r w:rsidR="00DB658E" w:rsidRPr="00916CD3">
        <w:t>providers</w:t>
      </w:r>
      <w:r w:rsidR="007C47CA">
        <w:t>’</w:t>
      </w:r>
      <w:r w:rsidR="00DB658E" w:rsidRPr="00916CD3">
        <w:t xml:space="preserve"> up-to-date reporting in </w:t>
      </w:r>
      <w:r w:rsidR="00DB658E">
        <w:t>the</w:t>
      </w:r>
      <w:r w:rsidR="00DB658E" w:rsidRPr="00916CD3">
        <w:t xml:space="preserve"> Tertiary Collection of Student Information</w:t>
      </w:r>
      <w:r w:rsidR="00DB658E">
        <w:t xml:space="preserve"> (TCSI) system</w:t>
      </w:r>
      <w:r w:rsidR="009513CE">
        <w:t>.</w:t>
      </w:r>
      <w:r w:rsidR="00D34C1A">
        <w:t xml:space="preserve"> </w:t>
      </w:r>
      <w:r w:rsidR="00EF7DE7">
        <w:t>The</w:t>
      </w:r>
      <w:r w:rsidR="00BB56F3">
        <w:t xml:space="preserve"> </w:t>
      </w:r>
      <w:r w:rsidR="00EF7DE7">
        <w:t xml:space="preserve">calculation uses </w:t>
      </w:r>
      <w:hyperlink r:id="rId13" w:history="1">
        <w:r w:rsidR="00EF7DE7">
          <w:rPr>
            <w:rStyle w:val="Hyperlink"/>
            <w14:ligatures w14:val="none"/>
          </w:rPr>
          <w:t>Element E355 - Unit of study status</w:t>
        </w:r>
      </w:hyperlink>
      <w:r w:rsidR="00EF7DE7">
        <w:rPr>
          <w:rStyle w:val="FootnoteReference"/>
        </w:rPr>
        <w:footnoteReference w:id="3"/>
      </w:r>
      <w:r w:rsidR="00B722E4" w:rsidRPr="00B722E4">
        <w:t>, based on equivalent</w:t>
      </w:r>
      <w:r w:rsidR="00EF7DE7" w:rsidRPr="00B722E4">
        <w:t> </w:t>
      </w:r>
      <w:r w:rsidR="00BB56F3">
        <w:t>full-time student load (EFTSL)</w:t>
      </w:r>
      <w:r w:rsidR="00E1198F">
        <w:t>,</w:t>
      </w:r>
      <w:r w:rsidR="00BB56F3">
        <w:t xml:space="preserve"> </w:t>
      </w:r>
      <w:r w:rsidR="00EF7DE7">
        <w:t>for an education provider for a calendar year.</w:t>
      </w:r>
      <w:r w:rsidR="001B6C01">
        <w:t xml:space="preserve"> </w:t>
      </w:r>
      <w:r w:rsidR="00256C5E">
        <w:t>This data is extracted from TCSI</w:t>
      </w:r>
      <w:r w:rsidR="006B0974">
        <w:t xml:space="preserve"> around the middle</w:t>
      </w:r>
      <w:r w:rsidR="009A5479">
        <w:t xml:space="preserve"> of the levy collection year (e.g.</w:t>
      </w:r>
      <w:r w:rsidR="006D736D">
        <w:t xml:space="preserve"> 2023 calendar year data used to calculate</w:t>
      </w:r>
      <w:r w:rsidR="00F9768D">
        <w:t xml:space="preserve"> the unit completion rate risk factor for the 2024</w:t>
      </w:r>
      <w:r w:rsidR="00B205FE">
        <w:t xml:space="preserve"> levies is extracted around June 2024).</w:t>
      </w:r>
      <w:r w:rsidR="002A47A9">
        <w:t xml:space="preserve"> Education providers </w:t>
      </w:r>
      <w:r w:rsidR="00BD45D7">
        <w:t xml:space="preserve">are therefore afforded </w:t>
      </w:r>
      <w:r w:rsidR="008E7884">
        <w:t>approximately</w:t>
      </w:r>
      <w:r w:rsidR="0006623B">
        <w:t xml:space="preserve"> six months</w:t>
      </w:r>
      <w:r>
        <w:t xml:space="preserve"> to </w:t>
      </w:r>
      <w:r w:rsidR="001747E1">
        <w:t>ensure</w:t>
      </w:r>
      <w:r w:rsidR="00154526">
        <w:t xml:space="preserve"> the</w:t>
      </w:r>
      <w:r w:rsidR="000620AA">
        <w:t>ir</w:t>
      </w:r>
      <w:r w:rsidR="001E0014">
        <w:t xml:space="preserve"> unit of </w:t>
      </w:r>
      <w:r w:rsidR="001E0014" w:rsidRPr="00233C12">
        <w:t>study status</w:t>
      </w:r>
      <w:r w:rsidR="000620AA" w:rsidRPr="00233C12">
        <w:t>es</w:t>
      </w:r>
      <w:r w:rsidR="00237110" w:rsidRPr="00233C12">
        <w:t xml:space="preserve"> for </w:t>
      </w:r>
      <w:r w:rsidR="000620AA" w:rsidRPr="00233C12">
        <w:t>the previous</w:t>
      </w:r>
      <w:r w:rsidR="00237110" w:rsidRPr="00233C12">
        <w:t xml:space="preserve"> calendar year</w:t>
      </w:r>
      <w:r w:rsidR="00752760" w:rsidRPr="00233C12">
        <w:t xml:space="preserve"> are up to date</w:t>
      </w:r>
      <w:r w:rsidR="000620AA" w:rsidRPr="00233C12">
        <w:t>.</w:t>
      </w:r>
    </w:p>
    <w:p w14:paraId="44174E3E" w14:textId="4FFAD4DB" w:rsidR="00360A34" w:rsidRDefault="00360A34">
      <w:r>
        <w:t>Longer units mean that students remain without achievements and outcomes for longer. In the event of an education provider closure,</w:t>
      </w:r>
      <w:r w:rsidR="000F628E">
        <w:t xml:space="preserve"> longer units will </w:t>
      </w:r>
      <w:r w:rsidR="00967812">
        <w:t>increase the liability the provider carries, the risk to replacement providers</w:t>
      </w:r>
      <w:r w:rsidR="00925F15">
        <w:t>,</w:t>
      </w:r>
      <w:r w:rsidR="00967812">
        <w:t xml:space="preserve"> and the amount </w:t>
      </w:r>
      <w:r w:rsidR="00604704">
        <w:t>the Tuition Protection Service (</w:t>
      </w:r>
      <w:r w:rsidR="00967812">
        <w:t>TPS</w:t>
      </w:r>
      <w:r w:rsidR="00604704">
        <w:t>)</w:t>
      </w:r>
      <w:r w:rsidR="00967812">
        <w:t xml:space="preserve"> may be required to re-credit or refund</w:t>
      </w:r>
      <w:r w:rsidR="00925F15">
        <w:t xml:space="preserve"> affected students</w:t>
      </w:r>
      <w:r w:rsidR="00967812">
        <w:t>.</w:t>
      </w:r>
    </w:p>
    <w:p w14:paraId="23B8F752" w14:textId="19E251D9" w:rsidR="001410AB" w:rsidRPr="00233C12" w:rsidRDefault="5FE2385B" w:rsidP="00233C12">
      <w:r>
        <w:t>It is up to a</w:t>
      </w:r>
      <w:r w:rsidR="276FE6A8">
        <w:t>n education</w:t>
      </w:r>
      <w:r>
        <w:t xml:space="preserve"> provider how they establish their ‘units of study’,</w:t>
      </w:r>
      <w:r w:rsidR="3D9AB94C">
        <w:t xml:space="preserve"> but </w:t>
      </w:r>
      <w:r w:rsidR="622FC00F">
        <w:t xml:space="preserve">they must ensure compliance with associated legislation and </w:t>
      </w:r>
      <w:r w:rsidR="6E67386B">
        <w:t>r</w:t>
      </w:r>
      <w:r w:rsidR="622FC00F">
        <w:t>ules in doing so.</w:t>
      </w:r>
      <w:r w:rsidR="00635036">
        <w:t xml:space="preserve"> </w:t>
      </w:r>
      <w:r w:rsidR="00233C12">
        <w:t>It is strongly recommended that education providers maintain up-to-date unit of study status data in TCSI and associated systems.</w:t>
      </w:r>
    </w:p>
    <w:sectPr w:rsidR="001410AB" w:rsidRPr="00233C12" w:rsidSect="0050564E">
      <w:type w:val="continuous"/>
      <w:pgSz w:w="11906" w:h="16838" w:code="9"/>
      <w:pgMar w:top="1440" w:right="1080" w:bottom="1440" w:left="1080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46A2" w14:textId="77777777" w:rsidR="00D90AB7" w:rsidRDefault="00D90AB7" w:rsidP="00185CBF">
      <w:pPr>
        <w:spacing w:after="0" w:line="240" w:lineRule="auto"/>
      </w:pPr>
      <w:r>
        <w:separator/>
      </w:r>
    </w:p>
  </w:endnote>
  <w:endnote w:type="continuationSeparator" w:id="0">
    <w:p w14:paraId="2BC307F4" w14:textId="77777777" w:rsidR="00D90AB7" w:rsidRDefault="00D90AB7" w:rsidP="00185CBF">
      <w:pPr>
        <w:spacing w:after="0" w:line="240" w:lineRule="auto"/>
      </w:pPr>
      <w:r>
        <w:continuationSeparator/>
      </w:r>
    </w:p>
  </w:endnote>
  <w:endnote w:type="continuationNotice" w:id="1">
    <w:p w14:paraId="5FB068AB" w14:textId="77777777" w:rsidR="00D90AB7" w:rsidRDefault="00D90A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10A3F" w14:textId="55898D18" w:rsidR="00FB359F" w:rsidRDefault="003D47C3" w:rsidP="00FB359F">
    <w:pPr>
      <w:pStyle w:val="Footer"/>
      <w:jc w:val="right"/>
    </w:pPr>
    <w:r>
      <w:rPr>
        <w:sz w:val="20"/>
        <w:szCs w:val="20"/>
      </w:rPr>
      <w:t>FAQs: Unit Completion Rate Risk Factor Calculation</w:t>
    </w:r>
    <w:r w:rsidR="00FB359F" w:rsidRPr="003B7BA3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147988185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359F" w:rsidRPr="003B7BA3">
          <w:rPr>
            <w:sz w:val="20"/>
            <w:szCs w:val="20"/>
          </w:rPr>
          <w:fldChar w:fldCharType="begin"/>
        </w:r>
        <w:r w:rsidR="00FB359F" w:rsidRPr="003B7BA3">
          <w:rPr>
            <w:sz w:val="20"/>
            <w:szCs w:val="20"/>
          </w:rPr>
          <w:instrText xml:space="preserve"> PAGE   \* MERGEFORMAT </w:instrText>
        </w:r>
        <w:r w:rsidR="00FB359F" w:rsidRPr="003B7BA3">
          <w:rPr>
            <w:sz w:val="20"/>
            <w:szCs w:val="20"/>
          </w:rPr>
          <w:fldChar w:fldCharType="separate"/>
        </w:r>
        <w:r w:rsidR="00FB359F">
          <w:rPr>
            <w:sz w:val="20"/>
            <w:szCs w:val="20"/>
          </w:rPr>
          <w:t>1</w:t>
        </w:r>
        <w:r w:rsidR="00FB359F" w:rsidRPr="003B7BA3">
          <w:rPr>
            <w:noProof/>
            <w:sz w:val="20"/>
            <w:szCs w:val="20"/>
          </w:rPr>
          <w:fldChar w:fldCharType="end"/>
        </w:r>
      </w:sdtContent>
    </w:sdt>
    <w:r w:rsidR="00FB359F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4E18DC0" wp14:editId="6C07DA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1" style="position:absolute;margin-left:0;margin-top:0;width:595.3pt;height:15.6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alt="&quot;&quot;" o:spid="_x0000_s1026" fillcolor="#4997a2" stroked="f" strokeweight="1pt" w14:anchorId="2C8A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5FB08" w14:textId="3742EC76" w:rsidR="00A023BC" w:rsidRDefault="003D47C3" w:rsidP="00FB359F">
    <w:pPr>
      <w:pStyle w:val="Footer"/>
      <w:jc w:val="right"/>
    </w:pPr>
    <w:r>
      <w:rPr>
        <w:sz w:val="20"/>
        <w:szCs w:val="20"/>
      </w:rPr>
      <w:t>FAQs: Unit Completion Rate Risk Factor Calculation</w:t>
    </w:r>
    <w:r w:rsidR="00FB359F" w:rsidRPr="003B7BA3">
      <w:rPr>
        <w:sz w:val="20"/>
        <w:szCs w:val="20"/>
      </w:rPr>
      <w:t xml:space="preserve"> | </w:t>
    </w:r>
    <w:sdt>
      <w:sdtPr>
        <w:rPr>
          <w:sz w:val="20"/>
          <w:szCs w:val="20"/>
        </w:rPr>
        <w:id w:val="1230123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B359F" w:rsidRPr="003B7BA3">
          <w:rPr>
            <w:sz w:val="20"/>
            <w:szCs w:val="20"/>
          </w:rPr>
          <w:fldChar w:fldCharType="begin"/>
        </w:r>
        <w:r w:rsidR="00FB359F" w:rsidRPr="003B7BA3">
          <w:rPr>
            <w:sz w:val="20"/>
            <w:szCs w:val="20"/>
          </w:rPr>
          <w:instrText xml:space="preserve"> PAGE   \* MERGEFORMAT </w:instrText>
        </w:r>
        <w:r w:rsidR="00FB359F" w:rsidRPr="003B7BA3">
          <w:rPr>
            <w:sz w:val="20"/>
            <w:szCs w:val="20"/>
          </w:rPr>
          <w:fldChar w:fldCharType="separate"/>
        </w:r>
        <w:r w:rsidR="00FB359F">
          <w:rPr>
            <w:sz w:val="20"/>
            <w:szCs w:val="20"/>
          </w:rPr>
          <w:t>2</w:t>
        </w:r>
        <w:r w:rsidR="00FB359F" w:rsidRPr="003B7BA3">
          <w:rPr>
            <w:noProof/>
            <w:sz w:val="20"/>
            <w:szCs w:val="20"/>
          </w:rPr>
          <w:fldChar w:fldCharType="end"/>
        </w:r>
      </w:sdtContent>
    </w:sdt>
    <w:r w:rsidR="00A023B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DD8315" wp14:editId="5B08138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98000"/>
              <wp:effectExtent l="0" t="0" r="3175" b="0"/>
              <wp:wrapNone/>
              <wp:docPr id="12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997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>
            <v:rect id="Rectangle 12" style="position:absolute;margin-left:0;margin-top:0;width:595.3pt;height:15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alt="&quot;&quot;" o:spid="_x0000_s1026" fillcolor="#4997a2" stroked="f" strokeweight="1pt" w14:anchorId="1695E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64C75" w14:textId="77777777" w:rsidR="00D90AB7" w:rsidRDefault="00D90AB7" w:rsidP="00185CBF">
      <w:pPr>
        <w:spacing w:after="0" w:line="240" w:lineRule="auto"/>
      </w:pPr>
      <w:r>
        <w:separator/>
      </w:r>
    </w:p>
  </w:footnote>
  <w:footnote w:type="continuationSeparator" w:id="0">
    <w:p w14:paraId="470A9348" w14:textId="77777777" w:rsidR="00D90AB7" w:rsidRDefault="00D90AB7" w:rsidP="00185CBF">
      <w:pPr>
        <w:spacing w:after="0" w:line="240" w:lineRule="auto"/>
      </w:pPr>
      <w:r>
        <w:continuationSeparator/>
      </w:r>
    </w:p>
  </w:footnote>
  <w:footnote w:type="continuationNotice" w:id="1">
    <w:p w14:paraId="35D5C112" w14:textId="77777777" w:rsidR="00D90AB7" w:rsidRDefault="00D90AB7">
      <w:pPr>
        <w:spacing w:after="0" w:line="240" w:lineRule="auto"/>
      </w:pPr>
    </w:p>
  </w:footnote>
  <w:footnote w:id="2">
    <w:p w14:paraId="6E84715C" w14:textId="5F6AE9F7" w:rsidR="001B6A01" w:rsidRDefault="001B6A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43374" w:rsidRPr="00143374">
        <w:t>www.tcsisupport.gov.au/element/355</w:t>
      </w:r>
    </w:p>
  </w:footnote>
  <w:footnote w:id="3">
    <w:p w14:paraId="65179F1C" w14:textId="77777777" w:rsidR="00EF7DE7" w:rsidRDefault="00EF7DE7" w:rsidP="00EF7D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43374">
        <w:t>www.tcsisupport.gov.au/element/355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3B08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7A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C92543"/>
    <w:multiLevelType w:val="hybridMultilevel"/>
    <w:tmpl w:val="8F74F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2412"/>
    <w:multiLevelType w:val="hybridMultilevel"/>
    <w:tmpl w:val="04AEC2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E7517"/>
    <w:multiLevelType w:val="hybridMultilevel"/>
    <w:tmpl w:val="286883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12B4"/>
    <w:multiLevelType w:val="hybridMultilevel"/>
    <w:tmpl w:val="ED50DF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0302"/>
    <w:multiLevelType w:val="hybridMultilevel"/>
    <w:tmpl w:val="4B0A4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060F5"/>
    <w:multiLevelType w:val="hybridMultilevel"/>
    <w:tmpl w:val="01DCB5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59542">
    <w:abstractNumId w:val="2"/>
  </w:num>
  <w:num w:numId="2" w16cid:durableId="398866418">
    <w:abstractNumId w:val="5"/>
  </w:num>
  <w:num w:numId="3" w16cid:durableId="1253976611">
    <w:abstractNumId w:val="1"/>
  </w:num>
  <w:num w:numId="4" w16cid:durableId="826558207">
    <w:abstractNumId w:val="0"/>
  </w:num>
  <w:num w:numId="5" w16cid:durableId="1399598775">
    <w:abstractNumId w:val="6"/>
  </w:num>
  <w:num w:numId="6" w16cid:durableId="990518800">
    <w:abstractNumId w:val="7"/>
  </w:num>
  <w:num w:numId="7" w16cid:durableId="1766609368">
    <w:abstractNumId w:val="4"/>
  </w:num>
  <w:num w:numId="8" w16cid:durableId="1035272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95"/>
    <w:rsid w:val="00001D8C"/>
    <w:rsid w:val="000036A6"/>
    <w:rsid w:val="00006FBB"/>
    <w:rsid w:val="00011B9A"/>
    <w:rsid w:val="000136CE"/>
    <w:rsid w:val="00033DB3"/>
    <w:rsid w:val="00034AE5"/>
    <w:rsid w:val="00041A68"/>
    <w:rsid w:val="00053C53"/>
    <w:rsid w:val="000563C9"/>
    <w:rsid w:val="000620AA"/>
    <w:rsid w:val="000660E3"/>
    <w:rsid w:val="0006623B"/>
    <w:rsid w:val="00073D37"/>
    <w:rsid w:val="000831BA"/>
    <w:rsid w:val="00086675"/>
    <w:rsid w:val="000916F4"/>
    <w:rsid w:val="000A21A8"/>
    <w:rsid w:val="000A5FA5"/>
    <w:rsid w:val="000A6FF0"/>
    <w:rsid w:val="000B7F28"/>
    <w:rsid w:val="000C50AA"/>
    <w:rsid w:val="000C5A3B"/>
    <w:rsid w:val="000D0ED3"/>
    <w:rsid w:val="000D25F1"/>
    <w:rsid w:val="000F628E"/>
    <w:rsid w:val="001030B9"/>
    <w:rsid w:val="001148D1"/>
    <w:rsid w:val="001260A8"/>
    <w:rsid w:val="00137E9E"/>
    <w:rsid w:val="001410AB"/>
    <w:rsid w:val="0014240D"/>
    <w:rsid w:val="00143374"/>
    <w:rsid w:val="00154526"/>
    <w:rsid w:val="00157519"/>
    <w:rsid w:val="00165CE5"/>
    <w:rsid w:val="001747E1"/>
    <w:rsid w:val="001755E4"/>
    <w:rsid w:val="0017578B"/>
    <w:rsid w:val="001803FE"/>
    <w:rsid w:val="00181D1E"/>
    <w:rsid w:val="00185CBF"/>
    <w:rsid w:val="0019190F"/>
    <w:rsid w:val="001A65D1"/>
    <w:rsid w:val="001A7DE2"/>
    <w:rsid w:val="001B0553"/>
    <w:rsid w:val="001B6A01"/>
    <w:rsid w:val="001B6C01"/>
    <w:rsid w:val="001C0566"/>
    <w:rsid w:val="001C076C"/>
    <w:rsid w:val="001C12C5"/>
    <w:rsid w:val="001C4008"/>
    <w:rsid w:val="001D6893"/>
    <w:rsid w:val="001D6D47"/>
    <w:rsid w:val="001D78A6"/>
    <w:rsid w:val="001D7D1E"/>
    <w:rsid w:val="001E0014"/>
    <w:rsid w:val="001E2D08"/>
    <w:rsid w:val="001E49A9"/>
    <w:rsid w:val="001E6DC3"/>
    <w:rsid w:val="001F2A34"/>
    <w:rsid w:val="002027C8"/>
    <w:rsid w:val="00202A66"/>
    <w:rsid w:val="002119E4"/>
    <w:rsid w:val="00212956"/>
    <w:rsid w:val="00217282"/>
    <w:rsid w:val="002238A3"/>
    <w:rsid w:val="002334AC"/>
    <w:rsid w:val="00233C12"/>
    <w:rsid w:val="00234CA0"/>
    <w:rsid w:val="00237110"/>
    <w:rsid w:val="00256C5E"/>
    <w:rsid w:val="00261063"/>
    <w:rsid w:val="00270087"/>
    <w:rsid w:val="00270F9D"/>
    <w:rsid w:val="0027305E"/>
    <w:rsid w:val="002765A6"/>
    <w:rsid w:val="00276E2E"/>
    <w:rsid w:val="002816F6"/>
    <w:rsid w:val="0029171D"/>
    <w:rsid w:val="002A09B8"/>
    <w:rsid w:val="002A263C"/>
    <w:rsid w:val="002A328F"/>
    <w:rsid w:val="002A47A9"/>
    <w:rsid w:val="002B2B91"/>
    <w:rsid w:val="002B2DB3"/>
    <w:rsid w:val="002B7B56"/>
    <w:rsid w:val="002C1262"/>
    <w:rsid w:val="002C469F"/>
    <w:rsid w:val="002C6ABE"/>
    <w:rsid w:val="002D1D5F"/>
    <w:rsid w:val="002D5996"/>
    <w:rsid w:val="002E071D"/>
    <w:rsid w:val="002E1B7A"/>
    <w:rsid w:val="002E2092"/>
    <w:rsid w:val="002E422A"/>
    <w:rsid w:val="002E46E6"/>
    <w:rsid w:val="002E6612"/>
    <w:rsid w:val="002E75A7"/>
    <w:rsid w:val="002F0C78"/>
    <w:rsid w:val="00303B89"/>
    <w:rsid w:val="00304973"/>
    <w:rsid w:val="00304994"/>
    <w:rsid w:val="00304E5F"/>
    <w:rsid w:val="003073B7"/>
    <w:rsid w:val="0033260C"/>
    <w:rsid w:val="00345844"/>
    <w:rsid w:val="00360A34"/>
    <w:rsid w:val="003707DB"/>
    <w:rsid w:val="00370C13"/>
    <w:rsid w:val="00382041"/>
    <w:rsid w:val="00392042"/>
    <w:rsid w:val="00396975"/>
    <w:rsid w:val="00397324"/>
    <w:rsid w:val="003B2D95"/>
    <w:rsid w:val="003B5168"/>
    <w:rsid w:val="003C2D59"/>
    <w:rsid w:val="003D0E9A"/>
    <w:rsid w:val="003D47C3"/>
    <w:rsid w:val="003E2EEB"/>
    <w:rsid w:val="003F3DA2"/>
    <w:rsid w:val="004009DB"/>
    <w:rsid w:val="00400A3F"/>
    <w:rsid w:val="00403463"/>
    <w:rsid w:val="004048BA"/>
    <w:rsid w:val="00407E50"/>
    <w:rsid w:val="00421B21"/>
    <w:rsid w:val="00422FA1"/>
    <w:rsid w:val="0042345E"/>
    <w:rsid w:val="00424E50"/>
    <w:rsid w:val="0043290C"/>
    <w:rsid w:val="00436BA6"/>
    <w:rsid w:val="004470FB"/>
    <w:rsid w:val="004525A0"/>
    <w:rsid w:val="004563D7"/>
    <w:rsid w:val="00460F8C"/>
    <w:rsid w:val="00463829"/>
    <w:rsid w:val="004658ED"/>
    <w:rsid w:val="0047795D"/>
    <w:rsid w:val="00477F8A"/>
    <w:rsid w:val="00484D31"/>
    <w:rsid w:val="00486126"/>
    <w:rsid w:val="00487579"/>
    <w:rsid w:val="004B158E"/>
    <w:rsid w:val="004C5DF1"/>
    <w:rsid w:val="004C7385"/>
    <w:rsid w:val="004D527C"/>
    <w:rsid w:val="004D7AE1"/>
    <w:rsid w:val="004E0A1C"/>
    <w:rsid w:val="004E0CB9"/>
    <w:rsid w:val="004E0F5B"/>
    <w:rsid w:val="004E7587"/>
    <w:rsid w:val="004F0188"/>
    <w:rsid w:val="0050025D"/>
    <w:rsid w:val="00501897"/>
    <w:rsid w:val="00503344"/>
    <w:rsid w:val="0050564E"/>
    <w:rsid w:val="00507827"/>
    <w:rsid w:val="00507B5E"/>
    <w:rsid w:val="00510A6C"/>
    <w:rsid w:val="005206C1"/>
    <w:rsid w:val="00522C84"/>
    <w:rsid w:val="00524A69"/>
    <w:rsid w:val="00525B36"/>
    <w:rsid w:val="00526D12"/>
    <w:rsid w:val="0053421A"/>
    <w:rsid w:val="0053698E"/>
    <w:rsid w:val="00543D8F"/>
    <w:rsid w:val="00544C96"/>
    <w:rsid w:val="00552BC7"/>
    <w:rsid w:val="00557245"/>
    <w:rsid w:val="0055749E"/>
    <w:rsid w:val="00557972"/>
    <w:rsid w:val="00561168"/>
    <w:rsid w:val="005630C9"/>
    <w:rsid w:val="00563B0B"/>
    <w:rsid w:val="00565A78"/>
    <w:rsid w:val="005727D4"/>
    <w:rsid w:val="00573A5F"/>
    <w:rsid w:val="00577F3D"/>
    <w:rsid w:val="00587DCF"/>
    <w:rsid w:val="005911D4"/>
    <w:rsid w:val="00597FE3"/>
    <w:rsid w:val="005A2D9F"/>
    <w:rsid w:val="005B21AD"/>
    <w:rsid w:val="005B21D6"/>
    <w:rsid w:val="005C0670"/>
    <w:rsid w:val="005C0D13"/>
    <w:rsid w:val="005C25D1"/>
    <w:rsid w:val="005C3914"/>
    <w:rsid w:val="005C50A5"/>
    <w:rsid w:val="005E0BB8"/>
    <w:rsid w:val="005E486A"/>
    <w:rsid w:val="005E58C3"/>
    <w:rsid w:val="005E66E8"/>
    <w:rsid w:val="005F12A4"/>
    <w:rsid w:val="005F1D48"/>
    <w:rsid w:val="005F257D"/>
    <w:rsid w:val="005F4042"/>
    <w:rsid w:val="006026CC"/>
    <w:rsid w:val="00604704"/>
    <w:rsid w:val="00610B63"/>
    <w:rsid w:val="00611BAC"/>
    <w:rsid w:val="006150C5"/>
    <w:rsid w:val="006174C2"/>
    <w:rsid w:val="00626A61"/>
    <w:rsid w:val="00633E46"/>
    <w:rsid w:val="00635036"/>
    <w:rsid w:val="00640433"/>
    <w:rsid w:val="006475CD"/>
    <w:rsid w:val="00655361"/>
    <w:rsid w:val="00663B50"/>
    <w:rsid w:val="00673012"/>
    <w:rsid w:val="006762A6"/>
    <w:rsid w:val="006778DB"/>
    <w:rsid w:val="006811D1"/>
    <w:rsid w:val="0069777F"/>
    <w:rsid w:val="006A44B9"/>
    <w:rsid w:val="006B0974"/>
    <w:rsid w:val="006B2A84"/>
    <w:rsid w:val="006B7297"/>
    <w:rsid w:val="006C1EA5"/>
    <w:rsid w:val="006C6664"/>
    <w:rsid w:val="006D15BB"/>
    <w:rsid w:val="006D5BC3"/>
    <w:rsid w:val="006D736D"/>
    <w:rsid w:val="006E172A"/>
    <w:rsid w:val="006E3B29"/>
    <w:rsid w:val="006F2B25"/>
    <w:rsid w:val="006F5AC6"/>
    <w:rsid w:val="00702825"/>
    <w:rsid w:val="00703484"/>
    <w:rsid w:val="00717B88"/>
    <w:rsid w:val="00717C2D"/>
    <w:rsid w:val="007201A5"/>
    <w:rsid w:val="00722294"/>
    <w:rsid w:val="00726BFA"/>
    <w:rsid w:val="00727ABB"/>
    <w:rsid w:val="00731B8A"/>
    <w:rsid w:val="00742869"/>
    <w:rsid w:val="00750871"/>
    <w:rsid w:val="00752760"/>
    <w:rsid w:val="007545C0"/>
    <w:rsid w:val="00770878"/>
    <w:rsid w:val="00773808"/>
    <w:rsid w:val="00774AC8"/>
    <w:rsid w:val="00787040"/>
    <w:rsid w:val="00793943"/>
    <w:rsid w:val="00794175"/>
    <w:rsid w:val="00795FD4"/>
    <w:rsid w:val="00796C68"/>
    <w:rsid w:val="007A14B2"/>
    <w:rsid w:val="007A43A2"/>
    <w:rsid w:val="007A562A"/>
    <w:rsid w:val="007B0CDF"/>
    <w:rsid w:val="007B3778"/>
    <w:rsid w:val="007B40BF"/>
    <w:rsid w:val="007C47CA"/>
    <w:rsid w:val="007D0A5D"/>
    <w:rsid w:val="007D15E7"/>
    <w:rsid w:val="007D2D8A"/>
    <w:rsid w:val="007D5631"/>
    <w:rsid w:val="007F2BB3"/>
    <w:rsid w:val="007F3CDE"/>
    <w:rsid w:val="007F7F8A"/>
    <w:rsid w:val="008134AB"/>
    <w:rsid w:val="00813798"/>
    <w:rsid w:val="0084105D"/>
    <w:rsid w:val="008478DD"/>
    <w:rsid w:val="008609A1"/>
    <w:rsid w:val="0088227D"/>
    <w:rsid w:val="00884314"/>
    <w:rsid w:val="00887C79"/>
    <w:rsid w:val="00892ACB"/>
    <w:rsid w:val="00896202"/>
    <w:rsid w:val="008B4076"/>
    <w:rsid w:val="008B7B52"/>
    <w:rsid w:val="008C4626"/>
    <w:rsid w:val="008C60F0"/>
    <w:rsid w:val="008C6A86"/>
    <w:rsid w:val="008D68C8"/>
    <w:rsid w:val="008E1BB4"/>
    <w:rsid w:val="008E594B"/>
    <w:rsid w:val="008E7884"/>
    <w:rsid w:val="008F3166"/>
    <w:rsid w:val="00904D09"/>
    <w:rsid w:val="009111DA"/>
    <w:rsid w:val="00914B94"/>
    <w:rsid w:val="00916CD3"/>
    <w:rsid w:val="00922946"/>
    <w:rsid w:val="00925F15"/>
    <w:rsid w:val="00931435"/>
    <w:rsid w:val="00931503"/>
    <w:rsid w:val="009513CE"/>
    <w:rsid w:val="00951889"/>
    <w:rsid w:val="00953533"/>
    <w:rsid w:val="009578AD"/>
    <w:rsid w:val="00962A30"/>
    <w:rsid w:val="00967812"/>
    <w:rsid w:val="00975B3F"/>
    <w:rsid w:val="00993714"/>
    <w:rsid w:val="009A0453"/>
    <w:rsid w:val="009A5479"/>
    <w:rsid w:val="009C3CB6"/>
    <w:rsid w:val="009C5DC5"/>
    <w:rsid w:val="009E4670"/>
    <w:rsid w:val="00A023BC"/>
    <w:rsid w:val="00A17055"/>
    <w:rsid w:val="00A2045E"/>
    <w:rsid w:val="00A2112C"/>
    <w:rsid w:val="00A25E04"/>
    <w:rsid w:val="00A3140D"/>
    <w:rsid w:val="00A43B12"/>
    <w:rsid w:val="00A47262"/>
    <w:rsid w:val="00A605FB"/>
    <w:rsid w:val="00A63860"/>
    <w:rsid w:val="00A638BB"/>
    <w:rsid w:val="00A655DC"/>
    <w:rsid w:val="00A715C5"/>
    <w:rsid w:val="00A71EA5"/>
    <w:rsid w:val="00A75EF5"/>
    <w:rsid w:val="00A764DE"/>
    <w:rsid w:val="00A83DB1"/>
    <w:rsid w:val="00AA0B17"/>
    <w:rsid w:val="00AA1855"/>
    <w:rsid w:val="00AA3EF3"/>
    <w:rsid w:val="00AB5350"/>
    <w:rsid w:val="00AC0DB2"/>
    <w:rsid w:val="00AC17A5"/>
    <w:rsid w:val="00AC267D"/>
    <w:rsid w:val="00AD11D3"/>
    <w:rsid w:val="00AF02C6"/>
    <w:rsid w:val="00B1096C"/>
    <w:rsid w:val="00B153C8"/>
    <w:rsid w:val="00B16915"/>
    <w:rsid w:val="00B172BE"/>
    <w:rsid w:val="00B205FE"/>
    <w:rsid w:val="00B41468"/>
    <w:rsid w:val="00B431E0"/>
    <w:rsid w:val="00B4607B"/>
    <w:rsid w:val="00B52DBD"/>
    <w:rsid w:val="00B5344C"/>
    <w:rsid w:val="00B61E0A"/>
    <w:rsid w:val="00B722E4"/>
    <w:rsid w:val="00B72A75"/>
    <w:rsid w:val="00B73510"/>
    <w:rsid w:val="00B75C55"/>
    <w:rsid w:val="00B75DF4"/>
    <w:rsid w:val="00B8450D"/>
    <w:rsid w:val="00B867A2"/>
    <w:rsid w:val="00B91B90"/>
    <w:rsid w:val="00B956FC"/>
    <w:rsid w:val="00BA6866"/>
    <w:rsid w:val="00BB0882"/>
    <w:rsid w:val="00BB1E65"/>
    <w:rsid w:val="00BB48DF"/>
    <w:rsid w:val="00BB56F3"/>
    <w:rsid w:val="00BD45D7"/>
    <w:rsid w:val="00BE40D3"/>
    <w:rsid w:val="00BE46CE"/>
    <w:rsid w:val="00BF1B3D"/>
    <w:rsid w:val="00C01922"/>
    <w:rsid w:val="00C04421"/>
    <w:rsid w:val="00C11782"/>
    <w:rsid w:val="00C1546A"/>
    <w:rsid w:val="00C15675"/>
    <w:rsid w:val="00C16B53"/>
    <w:rsid w:val="00C33078"/>
    <w:rsid w:val="00C33CF7"/>
    <w:rsid w:val="00C43484"/>
    <w:rsid w:val="00C45778"/>
    <w:rsid w:val="00C50A8A"/>
    <w:rsid w:val="00C64877"/>
    <w:rsid w:val="00C668C7"/>
    <w:rsid w:val="00C70D14"/>
    <w:rsid w:val="00C97A36"/>
    <w:rsid w:val="00CA2467"/>
    <w:rsid w:val="00CA50D1"/>
    <w:rsid w:val="00CA7C26"/>
    <w:rsid w:val="00CB25DB"/>
    <w:rsid w:val="00CC0511"/>
    <w:rsid w:val="00CC1447"/>
    <w:rsid w:val="00CC3586"/>
    <w:rsid w:val="00CC7BC3"/>
    <w:rsid w:val="00CE4F77"/>
    <w:rsid w:val="00CE5911"/>
    <w:rsid w:val="00CF0B82"/>
    <w:rsid w:val="00D06B4E"/>
    <w:rsid w:val="00D12940"/>
    <w:rsid w:val="00D24112"/>
    <w:rsid w:val="00D30416"/>
    <w:rsid w:val="00D34C1A"/>
    <w:rsid w:val="00D425EB"/>
    <w:rsid w:val="00D454A0"/>
    <w:rsid w:val="00D6264C"/>
    <w:rsid w:val="00D63401"/>
    <w:rsid w:val="00D649AE"/>
    <w:rsid w:val="00D8064B"/>
    <w:rsid w:val="00D8147C"/>
    <w:rsid w:val="00D87687"/>
    <w:rsid w:val="00D90AB7"/>
    <w:rsid w:val="00D917B3"/>
    <w:rsid w:val="00D9549D"/>
    <w:rsid w:val="00D956D4"/>
    <w:rsid w:val="00DA364B"/>
    <w:rsid w:val="00DA3B54"/>
    <w:rsid w:val="00DB1F19"/>
    <w:rsid w:val="00DB658E"/>
    <w:rsid w:val="00DC2FC4"/>
    <w:rsid w:val="00DD69B0"/>
    <w:rsid w:val="00DF18D2"/>
    <w:rsid w:val="00DF5B15"/>
    <w:rsid w:val="00E00108"/>
    <w:rsid w:val="00E04C31"/>
    <w:rsid w:val="00E1198F"/>
    <w:rsid w:val="00E13BE1"/>
    <w:rsid w:val="00E17ED4"/>
    <w:rsid w:val="00E32D33"/>
    <w:rsid w:val="00E3666E"/>
    <w:rsid w:val="00E377B3"/>
    <w:rsid w:val="00E50F69"/>
    <w:rsid w:val="00E53D34"/>
    <w:rsid w:val="00E60B16"/>
    <w:rsid w:val="00E648BC"/>
    <w:rsid w:val="00E65807"/>
    <w:rsid w:val="00E665F0"/>
    <w:rsid w:val="00E71F1E"/>
    <w:rsid w:val="00E73751"/>
    <w:rsid w:val="00E748F4"/>
    <w:rsid w:val="00E766D5"/>
    <w:rsid w:val="00E81BA5"/>
    <w:rsid w:val="00EB067F"/>
    <w:rsid w:val="00EB3D34"/>
    <w:rsid w:val="00EB4877"/>
    <w:rsid w:val="00ED223A"/>
    <w:rsid w:val="00ED3238"/>
    <w:rsid w:val="00ED4769"/>
    <w:rsid w:val="00ED63C5"/>
    <w:rsid w:val="00EE4035"/>
    <w:rsid w:val="00EE4C73"/>
    <w:rsid w:val="00EF7DE7"/>
    <w:rsid w:val="00F033C5"/>
    <w:rsid w:val="00F0371B"/>
    <w:rsid w:val="00F15CFA"/>
    <w:rsid w:val="00F210E9"/>
    <w:rsid w:val="00F22591"/>
    <w:rsid w:val="00F35677"/>
    <w:rsid w:val="00F40259"/>
    <w:rsid w:val="00F4051A"/>
    <w:rsid w:val="00F50A3F"/>
    <w:rsid w:val="00F530E7"/>
    <w:rsid w:val="00F55425"/>
    <w:rsid w:val="00F61B31"/>
    <w:rsid w:val="00F62F26"/>
    <w:rsid w:val="00F72936"/>
    <w:rsid w:val="00F83CE3"/>
    <w:rsid w:val="00F92C86"/>
    <w:rsid w:val="00F9768D"/>
    <w:rsid w:val="00FA1F00"/>
    <w:rsid w:val="00FA526D"/>
    <w:rsid w:val="00FA77FA"/>
    <w:rsid w:val="00FA7C97"/>
    <w:rsid w:val="00FB2599"/>
    <w:rsid w:val="00FB359F"/>
    <w:rsid w:val="00FC1610"/>
    <w:rsid w:val="00FC6A6B"/>
    <w:rsid w:val="00FD2670"/>
    <w:rsid w:val="00FE44E5"/>
    <w:rsid w:val="0917B23E"/>
    <w:rsid w:val="0BD8812B"/>
    <w:rsid w:val="17591ABD"/>
    <w:rsid w:val="18C22A6D"/>
    <w:rsid w:val="1BF94A48"/>
    <w:rsid w:val="1E3E94D8"/>
    <w:rsid w:val="239AA47D"/>
    <w:rsid w:val="276FE6A8"/>
    <w:rsid w:val="2E24AC76"/>
    <w:rsid w:val="3C90D66B"/>
    <w:rsid w:val="3D9AB94C"/>
    <w:rsid w:val="56079FBF"/>
    <w:rsid w:val="5FE2385B"/>
    <w:rsid w:val="622FC00F"/>
    <w:rsid w:val="6309AE4A"/>
    <w:rsid w:val="6E67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5D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4" w:qFormat="1"/>
    <w:lsdException w:name="heading 7" w:semiHidden="1" w:uiPriority="14" w:qFormat="1"/>
    <w:lsdException w:name="heading 8" w:semiHidden="1" w:uiPriority="14" w:qFormat="1"/>
    <w:lsdException w:name="heading 9" w:semiHidden="1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1D6893"/>
    <w:pPr>
      <w:spacing w:after="200"/>
    </w:pPr>
  </w:style>
  <w:style w:type="paragraph" w:styleId="Heading1">
    <w:name w:val="heading 1"/>
    <w:next w:val="Subtitle"/>
    <w:link w:val="Heading1Char"/>
    <w:qFormat/>
    <w:rsid w:val="007B40BF"/>
    <w:pPr>
      <w:spacing w:before="280" w:after="80"/>
      <w:jc w:val="center"/>
      <w:outlineLvl w:val="0"/>
    </w:pPr>
    <w:rPr>
      <w:rFonts w:cstheme="minorHAnsi"/>
      <w:b/>
      <w:bCs/>
      <w:kern w:val="0"/>
      <w:sz w:val="44"/>
      <w:szCs w:val="30"/>
      <w14:ligatures w14:val="none"/>
    </w:rPr>
  </w:style>
  <w:style w:type="paragraph" w:styleId="Heading2">
    <w:name w:val="heading 2"/>
    <w:next w:val="Normal"/>
    <w:link w:val="Heading2Char"/>
    <w:uiPriority w:val="3"/>
    <w:qFormat/>
    <w:rsid w:val="005E0BB8"/>
    <w:pPr>
      <w:spacing w:before="300" w:after="120"/>
      <w:outlineLvl w:val="1"/>
    </w:pPr>
    <w:rPr>
      <w:b/>
      <w:bCs/>
      <w:kern w:val="0"/>
      <w:sz w:val="26"/>
      <w:szCs w:val="26"/>
      <w14:ligatures w14:val="none"/>
    </w:rPr>
  </w:style>
  <w:style w:type="paragraph" w:styleId="Heading3">
    <w:name w:val="heading 3"/>
    <w:next w:val="Normal"/>
    <w:link w:val="Heading3Char"/>
    <w:uiPriority w:val="4"/>
    <w:qFormat/>
    <w:rsid w:val="005E0BB8"/>
    <w:pPr>
      <w:spacing w:before="400" w:after="120"/>
      <w:outlineLvl w:val="2"/>
    </w:pPr>
    <w:rPr>
      <w:b/>
      <w:bCs/>
      <w:color w:val="367079" w:themeColor="accent1" w:themeShade="BF"/>
      <w:kern w:val="0"/>
      <w:sz w:val="26"/>
      <w:szCs w:val="26"/>
      <w14:ligatures w14:val="none"/>
    </w:rPr>
  </w:style>
  <w:style w:type="paragraph" w:styleId="Heading4">
    <w:name w:val="heading 4"/>
    <w:next w:val="Normal"/>
    <w:link w:val="Heading4Char"/>
    <w:uiPriority w:val="5"/>
    <w:qFormat/>
    <w:rsid w:val="00F62F26"/>
    <w:pPr>
      <w:spacing w:before="80" w:after="40"/>
      <w:outlineLvl w:val="3"/>
    </w:pPr>
    <w:rPr>
      <w:b/>
      <w:bCs/>
      <w:kern w:val="0"/>
      <w:sz w:val="23"/>
      <w:szCs w:val="23"/>
      <w14:ligatures w14:val="none"/>
    </w:rPr>
  </w:style>
  <w:style w:type="paragraph" w:styleId="Heading5">
    <w:name w:val="heading 5"/>
    <w:next w:val="Normal"/>
    <w:link w:val="Heading5Char"/>
    <w:uiPriority w:val="6"/>
    <w:qFormat/>
    <w:rsid w:val="00F62F26"/>
    <w:pPr>
      <w:spacing w:after="20"/>
      <w:outlineLvl w:val="4"/>
    </w:pPr>
    <w:rPr>
      <w:b/>
      <w:bCs/>
      <w:color w:val="404040" w:themeColor="text1" w:themeTint="BF"/>
      <w:kern w:val="0"/>
      <w:sz w:val="23"/>
      <w14:ligatures w14:val="none"/>
    </w:rPr>
  </w:style>
  <w:style w:type="paragraph" w:styleId="Heading6">
    <w:name w:val="heading 6"/>
    <w:next w:val="Normal"/>
    <w:link w:val="Heading6Char"/>
    <w:uiPriority w:val="7"/>
    <w:qFormat/>
    <w:rsid w:val="008134AB"/>
    <w:pPr>
      <w:keepNext/>
      <w:keepLines/>
      <w:outlineLvl w:val="5"/>
    </w:pPr>
    <w:rPr>
      <w:rFonts w:eastAsiaTheme="majorEastAsia" w:cstheme="majorBidi"/>
      <w:b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12"/>
    <w:semiHidden/>
    <w:qFormat/>
    <w:rsid w:val="00E81BA5"/>
    <w:pPr>
      <w:tabs>
        <w:tab w:val="center" w:pos="4513"/>
        <w:tab w:val="right" w:pos="9026"/>
      </w:tabs>
    </w:pPr>
    <w:rPr>
      <w:noProof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12"/>
    <w:semiHidden/>
    <w:rsid w:val="00813798"/>
    <w:rPr>
      <w:noProof/>
      <w:sz w:val="23"/>
      <w:szCs w:val="23"/>
    </w:rPr>
  </w:style>
  <w:style w:type="paragraph" w:styleId="Footer">
    <w:name w:val="footer"/>
    <w:basedOn w:val="Normal"/>
    <w:link w:val="FooterChar"/>
    <w:uiPriority w:val="11"/>
    <w:unhideWhenUsed/>
    <w:rsid w:val="00185C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11"/>
    <w:rsid w:val="00813798"/>
  </w:style>
  <w:style w:type="paragraph" w:styleId="Title">
    <w:name w:val="Title"/>
    <w:next w:val="Normal"/>
    <w:link w:val="TitleChar"/>
    <w:uiPriority w:val="99"/>
    <w:semiHidden/>
    <w:qFormat/>
    <w:rsid w:val="00A023BC"/>
    <w:pPr>
      <w:spacing w:before="280" w:line="276" w:lineRule="auto"/>
      <w:jc w:val="center"/>
    </w:pPr>
    <w:rPr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134AB"/>
    <w:rPr>
      <w:b/>
      <w:bCs/>
      <w:sz w:val="44"/>
      <w:szCs w:val="44"/>
    </w:rPr>
  </w:style>
  <w:style w:type="paragraph" w:styleId="Subtitle">
    <w:name w:val="Subtitle"/>
    <w:next w:val="Normal"/>
    <w:link w:val="SubtitleChar"/>
    <w:uiPriority w:val="1"/>
    <w:qFormat/>
    <w:rsid w:val="007B40BF"/>
    <w:pPr>
      <w:spacing w:after="300"/>
      <w:jc w:val="center"/>
    </w:pPr>
    <w:rPr>
      <w:color w:val="595959" w:themeColor="text1" w:themeTint="A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rsid w:val="007B40BF"/>
    <w:rPr>
      <w:color w:val="595959" w:themeColor="text1" w:themeTint="A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3"/>
    <w:rsid w:val="005E0BB8"/>
    <w:rPr>
      <w:b/>
      <w:bCs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5E0BB8"/>
    <w:rPr>
      <w:b/>
      <w:bCs/>
      <w:color w:val="367079" w:themeColor="accent1" w:themeShade="BF"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5"/>
    <w:rsid w:val="008134AB"/>
    <w:rPr>
      <w:b/>
      <w:bCs/>
      <w:kern w:val="0"/>
      <w:sz w:val="23"/>
      <w:szCs w:val="23"/>
      <w14:ligatures w14:val="none"/>
    </w:rPr>
  </w:style>
  <w:style w:type="character" w:customStyle="1" w:styleId="Heading1Char">
    <w:name w:val="Heading 1 Char"/>
    <w:basedOn w:val="DefaultParagraphFont"/>
    <w:link w:val="Heading1"/>
    <w:rsid w:val="007B40BF"/>
    <w:rPr>
      <w:rFonts w:cstheme="minorHAnsi"/>
      <w:b/>
      <w:bCs/>
      <w:kern w:val="0"/>
      <w:sz w:val="44"/>
      <w:szCs w:val="3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6"/>
    <w:rsid w:val="008134AB"/>
    <w:rPr>
      <w:b/>
      <w:bCs/>
      <w:color w:val="404040" w:themeColor="text1" w:themeTint="BF"/>
      <w:kern w:val="0"/>
      <w:sz w:val="23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023BC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C45778"/>
    <w:pPr>
      <w:spacing w:line="240" w:lineRule="auto"/>
    </w:pPr>
    <w:tblPr>
      <w:tblStyleRowBandSize w:val="1"/>
      <w:tblStyleColBandSize w:val="1"/>
      <w:tblBorders>
        <w:top w:val="single" w:sz="4" w:space="0" w:color="8CC4CC" w:themeColor="accent1" w:themeTint="99"/>
        <w:left w:val="single" w:sz="4" w:space="0" w:color="8CC4CC" w:themeColor="accent1" w:themeTint="99"/>
        <w:bottom w:val="single" w:sz="4" w:space="0" w:color="8CC4CC" w:themeColor="accent1" w:themeTint="99"/>
        <w:right w:val="single" w:sz="4" w:space="0" w:color="8CC4CC" w:themeColor="accent1" w:themeTint="99"/>
        <w:insideH w:val="single" w:sz="4" w:space="0" w:color="8CC4CC" w:themeColor="accent1" w:themeTint="99"/>
        <w:insideV w:val="single" w:sz="4" w:space="0" w:color="8CC4CC" w:themeColor="accent1" w:themeTint="99"/>
      </w:tblBorders>
    </w:tblPr>
    <w:tblStylePr w:type="firstRow">
      <w:tblPr/>
      <w:tcPr>
        <w:shd w:val="clear" w:color="auto" w:fill="367079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897A2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1" w:themeFillTint="33"/>
      </w:tcPr>
    </w:tblStylePr>
    <w:tblStylePr w:type="band1Horz">
      <w:tblPr/>
      <w:tcPr>
        <w:shd w:val="clear" w:color="auto" w:fill="D8EBEE" w:themeFill="accent1" w:themeFillTint="33"/>
      </w:tcPr>
    </w:tblStylePr>
  </w:style>
  <w:style w:type="paragraph" w:customStyle="1" w:styleId="TableContents">
    <w:name w:val="Table Contents"/>
    <w:uiPriority w:val="9"/>
    <w:qFormat/>
    <w:rsid w:val="006762A6"/>
    <w:pPr>
      <w:spacing w:before="80" w:after="80" w:line="240" w:lineRule="auto"/>
    </w:pPr>
    <w:rPr>
      <w:rFonts w:cstheme="minorHAnsi"/>
    </w:rPr>
  </w:style>
  <w:style w:type="paragraph" w:customStyle="1" w:styleId="TableHeader">
    <w:name w:val="Table Header"/>
    <w:uiPriority w:val="8"/>
    <w:qFormat/>
    <w:rsid w:val="00F0371B"/>
    <w:pPr>
      <w:spacing w:before="100" w:after="100" w:line="240" w:lineRule="auto"/>
      <w:jc w:val="center"/>
    </w:pPr>
    <w:rPr>
      <w:color w:val="FFFFFF" w:themeColor="background1"/>
      <w:sz w:val="24"/>
    </w:rPr>
  </w:style>
  <w:style w:type="table" w:styleId="TableGridLight">
    <w:name w:val="Grid Table Light"/>
    <w:basedOn w:val="TableNormal"/>
    <w:uiPriority w:val="40"/>
    <w:rsid w:val="00EE4C7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E4C73"/>
    <w:pPr>
      <w:spacing w:line="240" w:lineRule="auto"/>
    </w:pPr>
    <w:tblPr>
      <w:tblStyleRowBandSize w:val="1"/>
      <w:tblStyleColBandSize w:val="1"/>
      <w:tblBorders>
        <w:top w:val="single" w:sz="2" w:space="0" w:color="8CC4CC" w:themeColor="accent1" w:themeTint="99"/>
        <w:bottom w:val="single" w:sz="2" w:space="0" w:color="8CC4CC" w:themeColor="accent1" w:themeTint="99"/>
        <w:insideH w:val="single" w:sz="2" w:space="0" w:color="8CC4CC" w:themeColor="accent1" w:themeTint="99"/>
        <w:insideV w:val="single" w:sz="2" w:space="0" w:color="8CC4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C4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C4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1" w:themeFillTint="33"/>
      </w:tcPr>
    </w:tblStylePr>
    <w:tblStylePr w:type="band1Horz">
      <w:tblPr/>
      <w:tcPr>
        <w:shd w:val="clear" w:color="auto" w:fill="D8EBEE" w:themeFill="accent1" w:themeFillTint="33"/>
      </w:tcPr>
    </w:tblStylePr>
  </w:style>
  <w:style w:type="paragraph" w:styleId="ListParagraph">
    <w:name w:val="List Paragraph"/>
    <w:basedOn w:val="Normal"/>
    <w:uiPriority w:val="34"/>
    <w:rsid w:val="00B845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6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6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6FC"/>
    <w:rPr>
      <w:b/>
      <w:bCs/>
      <w:sz w:val="20"/>
      <w:szCs w:val="20"/>
    </w:rPr>
  </w:style>
  <w:style w:type="table" w:customStyle="1" w:styleId="TPSTable">
    <w:name w:val="TPS Table"/>
    <w:basedOn w:val="TableNormal"/>
    <w:uiPriority w:val="99"/>
    <w:rsid w:val="00396975"/>
    <w:pPr>
      <w:spacing w:before="40" w:after="40" w:line="276" w:lineRule="auto"/>
    </w:pPr>
    <w:rPr>
      <w:kern w:val="0"/>
      <w14:ligatures w14:val="none"/>
    </w:rPr>
    <w:tblPr>
      <w:tblStyleRowBandSize w:val="1"/>
      <w:tblBorders>
        <w:top w:val="single" w:sz="4" w:space="0" w:color="8CC4CC" w:themeColor="accent1" w:themeTint="99"/>
        <w:left w:val="single" w:sz="4" w:space="0" w:color="8CC4CC" w:themeColor="accent1" w:themeTint="99"/>
        <w:bottom w:val="single" w:sz="4" w:space="0" w:color="8CC4CC" w:themeColor="accent1" w:themeTint="99"/>
        <w:right w:val="single" w:sz="4" w:space="0" w:color="8CC4CC" w:themeColor="accent1" w:themeTint="99"/>
        <w:insideH w:val="single" w:sz="4" w:space="0" w:color="8CC4CC" w:themeColor="accent1" w:themeTint="99"/>
        <w:insideV w:val="single" w:sz="4" w:space="0" w:color="8CC4CC" w:themeColor="accent1" w:themeTint="99"/>
      </w:tblBorders>
    </w:tblPr>
    <w:tcPr>
      <w:shd w:val="clear" w:color="auto" w:fill="auto"/>
    </w:tcPr>
    <w:tblStylePr w:type="firstRow">
      <w:pPr>
        <w:wordWrap/>
        <w:spacing w:beforeLines="0" w:before="100" w:beforeAutospacing="0" w:afterLines="0" w:after="100" w:afterAutospacing="0" w:line="240" w:lineRule="auto"/>
        <w:contextualSpacing w:val="0"/>
        <w:mirrorIndents w:val="0"/>
        <w:jc w:val="center"/>
      </w:pPr>
      <w:rPr>
        <w:b/>
      </w:rPr>
      <w:tblPr/>
      <w:tcPr>
        <w:shd w:val="clear" w:color="auto" w:fill="367079" w:themeFill="accent1" w:themeFillShade="BF"/>
        <w:vAlign w:val="center"/>
      </w:tcPr>
    </w:tblStylePr>
    <w:tblStylePr w:type="band1Horz">
      <w:pPr>
        <w:wordWrap/>
        <w:spacing w:beforeLines="0" w:before="80" w:beforeAutospacing="0" w:afterLines="0" w:after="80" w:afterAutospacing="0" w:line="240" w:lineRule="auto"/>
        <w:contextualSpacing w:val="0"/>
        <w:jc w:val="left"/>
      </w:pPr>
      <w:rPr>
        <w:rFonts w:asciiTheme="minorHAnsi" w:hAnsiTheme="minorHAnsi"/>
        <w:sz w:val="22"/>
      </w:rPr>
      <w:tblPr/>
      <w:tcPr>
        <w:shd w:val="clear" w:color="auto" w:fill="D8EBEE" w:themeFill="accent1" w:themeFillTint="33"/>
        <w:vAlign w:val="center"/>
      </w:tcPr>
    </w:tblStylePr>
    <w:tblStylePr w:type="band2Horz">
      <w:pPr>
        <w:wordWrap/>
        <w:spacing w:beforeLines="0" w:before="80" w:beforeAutospacing="0" w:afterLines="0" w:after="80" w:afterAutospacing="0" w:line="240" w:lineRule="auto"/>
        <w:contextualSpacing w:val="0"/>
        <w:jc w:val="left"/>
      </w:pPr>
      <w:rPr>
        <w:rFonts w:asciiTheme="minorHAnsi" w:hAnsiTheme="minorHAnsi"/>
        <w:color w:val="auto"/>
        <w:sz w:val="22"/>
      </w:rPr>
      <w:tblPr/>
      <w:tcPr>
        <w:vAlign w:val="center"/>
      </w:tcPr>
    </w:tblStylePr>
  </w:style>
  <w:style w:type="character" w:customStyle="1" w:styleId="Heading6Char">
    <w:name w:val="Heading 6 Char"/>
    <w:basedOn w:val="DefaultParagraphFont"/>
    <w:link w:val="Heading6"/>
    <w:uiPriority w:val="7"/>
    <w:rsid w:val="008134AB"/>
    <w:rPr>
      <w:rFonts w:eastAsiaTheme="majorEastAsia" w:cstheme="majorBidi"/>
      <w:b/>
      <w:color w:val="595959" w:themeColor="text1" w:themeTint="A6"/>
    </w:rPr>
  </w:style>
  <w:style w:type="character" w:styleId="Hyperlink">
    <w:name w:val="Hyperlink"/>
    <w:basedOn w:val="DefaultParagraphFont"/>
    <w:uiPriority w:val="99"/>
    <w:semiHidden/>
    <w:unhideWhenUsed/>
    <w:rsid w:val="008C60F0"/>
    <w:rPr>
      <w:color w:val="467886"/>
      <w:u w:val="single"/>
    </w:rPr>
  </w:style>
  <w:style w:type="character" w:customStyle="1" w:styleId="normaltextrun">
    <w:name w:val="normaltextrun"/>
    <w:basedOn w:val="DefaultParagraphFont"/>
    <w:rsid w:val="008C60F0"/>
  </w:style>
  <w:style w:type="character" w:customStyle="1" w:styleId="eop">
    <w:name w:val="eop"/>
    <w:basedOn w:val="DefaultParagraphFont"/>
    <w:rsid w:val="008C60F0"/>
  </w:style>
  <w:style w:type="paragraph" w:styleId="Revision">
    <w:name w:val="Revision"/>
    <w:hidden/>
    <w:uiPriority w:val="99"/>
    <w:semiHidden/>
    <w:rsid w:val="00F22591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22294"/>
    <w:rPr>
      <w:color w:val="4897A2" w:themeColor="followedHyperlink"/>
      <w:u w:val="single"/>
    </w:rPr>
  </w:style>
  <w:style w:type="paragraph" w:styleId="Caption">
    <w:name w:val="caption"/>
    <w:basedOn w:val="Normal"/>
    <w:next w:val="Normal"/>
    <w:uiPriority w:val="35"/>
    <w:qFormat/>
    <w:rsid w:val="001B6A01"/>
    <w:pPr>
      <w:spacing w:after="80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A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A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A01"/>
    <w:rPr>
      <w:vertAlign w:val="superscript"/>
    </w:rPr>
  </w:style>
  <w:style w:type="paragraph" w:customStyle="1" w:styleId="xmsonormal">
    <w:name w:val="x_msonormal"/>
    <w:basedOn w:val="Normal"/>
    <w:rsid w:val="00DB658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  <w:style w:type="paragraph" w:customStyle="1" w:styleId="xxxxxmsonormal">
    <w:name w:val="x_xxxxmsonormal"/>
    <w:basedOn w:val="Normal"/>
    <w:rsid w:val="00DB658E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tcsisupport.gov.au/element/355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sisupport.gov.au/element/3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PS">
      <a:dk1>
        <a:sysClr val="windowText" lastClr="000000"/>
      </a:dk1>
      <a:lt1>
        <a:sysClr val="window" lastClr="FFFFFF"/>
      </a:lt1>
      <a:dk2>
        <a:srgbClr val="E8F3F4"/>
      </a:dk2>
      <a:lt2>
        <a:srgbClr val="FBFBFB"/>
      </a:lt2>
      <a:accent1>
        <a:srgbClr val="4897A2"/>
      </a:accent1>
      <a:accent2>
        <a:srgbClr val="F15A29"/>
      </a:accent2>
      <a:accent3>
        <a:srgbClr val="D6165F"/>
      </a:accent3>
      <a:accent4>
        <a:srgbClr val="FCEE6E"/>
      </a:accent4>
      <a:accent5>
        <a:srgbClr val="4DB3E6"/>
      </a:accent5>
      <a:accent6>
        <a:srgbClr val="8AB679"/>
      </a:accent6>
      <a:hlink>
        <a:srgbClr val="357179"/>
      </a:hlink>
      <a:folHlink>
        <a:srgbClr val="4897A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9CCE9CD21384385A19063B05DA87A" ma:contentTypeVersion="19" ma:contentTypeDescription="Create a new document." ma:contentTypeScope="" ma:versionID="b46c3cfa9faa6afa6cc8f9eb3b9c91a8">
  <xsd:schema xmlns:xsd="http://www.w3.org/2001/XMLSchema" xmlns:xs="http://www.w3.org/2001/XMLSchema" xmlns:p="http://schemas.microsoft.com/office/2006/metadata/properties" xmlns:ns2="21934866-407e-4eb7-84a5-689e8997aac6" xmlns:ns3="1d95c80d-1bfc-4284-8ead-90dee9a0b47f" targetNamespace="http://schemas.microsoft.com/office/2006/metadata/properties" ma:root="true" ma:fieldsID="b414aea921dd9c02dfb223c7f4a66303" ns2:_="" ns3:_="">
    <xsd:import namespace="21934866-407e-4eb7-84a5-689e8997aac6"/>
    <xsd:import namespace="1d95c80d-1bfc-4284-8ead-90dee9a0b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LocationandLink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4866-407e-4eb7-84a5-689e8997a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ocationandLinks" ma:index="24" nillable="true" ma:displayName="Location and Links" ma:description="Links are active in the O drive.  refer to document footer for location" ma:format="Dropdown" ma:internalName="LocationandLink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5c80d-1bfc-4284-8ead-90dee9a0b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dba6b6b-400e-42bf-b117-98da113f945d}" ma:internalName="TaxCatchAll" ma:showField="CatchAllData" ma:web="1d95c80d-1bfc-4284-8ead-90dee9a0b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ationandLinks xmlns="21934866-407e-4eb7-84a5-689e8997aac6" xsi:nil="true"/>
    <lcf76f155ced4ddcb4097134ff3c332f xmlns="21934866-407e-4eb7-84a5-689e8997aac6">
      <Terms xmlns="http://schemas.microsoft.com/office/infopath/2007/PartnerControls"/>
    </lcf76f155ced4ddcb4097134ff3c332f>
    <TaxCatchAll xmlns="1d95c80d-1bfc-4284-8ead-90dee9a0b47f" xsi:nil="true"/>
  </documentManagement>
</p:properties>
</file>

<file path=customXml/itemProps1.xml><?xml version="1.0" encoding="utf-8"?>
<ds:datastoreItem xmlns:ds="http://schemas.openxmlformats.org/officeDocument/2006/customXml" ds:itemID="{7B238707-16C1-40F6-809B-B05FCD77B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0484AB-6B78-43C1-8049-31F52E58001B}"/>
</file>

<file path=customXml/itemProps3.xml><?xml version="1.0" encoding="utf-8"?>
<ds:datastoreItem xmlns:ds="http://schemas.openxmlformats.org/officeDocument/2006/customXml" ds:itemID="{7C8977B9-E022-486D-B40D-A4C63AE82CB0}"/>
</file>

<file path=customXml/itemProps4.xml><?xml version="1.0" encoding="utf-8"?>
<ds:datastoreItem xmlns:ds="http://schemas.openxmlformats.org/officeDocument/2006/customXml" ds:itemID="{46D7A88B-91B0-4B64-A76D-3CFA57E678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 - Unit Completion Rate Risk Factor Calculation</dc:title>
  <dc:subject/>
  <dc:creator/>
  <cp:keywords/>
  <dc:description/>
  <cp:lastModifiedBy/>
  <cp:revision>1</cp:revision>
  <dcterms:created xsi:type="dcterms:W3CDTF">2024-07-08T01:14:00Z</dcterms:created>
  <dcterms:modified xsi:type="dcterms:W3CDTF">2024-07-08T01:15:00Z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2024-07-08T01:15:16Z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84843d63-237c-46e1-8533-26d77e5153c8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0x010100D0A9CCE9CD21384385A19063B05DA87A</vt:lpwstr>
  </property>
</Properties>
</file>