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6674D78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noProof/>
          <w:lang w:eastAsia="en-AU"/>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710B35CB" w:rsidR="00221D8F" w:rsidRPr="009D347E" w:rsidRDefault="009D347E" w:rsidP="009D347E">
          <w:pPr>
            <w:pStyle w:val="Title"/>
          </w:pPr>
          <w:r w:rsidRPr="009D347E">
            <w:rPr>
              <w:noProof/>
              <w:lang w:eastAsia="en-AU"/>
            </w:rPr>
            <w:t>Final Higher Education Research Data Collection specifications for the collection of 2023 data</w:t>
          </w:r>
        </w:p>
      </w:sdtContent>
    </w:sdt>
    <w:bookmarkEnd w:id="0" w:displacedByCustomXml="prev"/>
    <w:bookmarkEnd w:id="1" w:displacedByCustomXml="prev"/>
    <w:p w14:paraId="21C1556E" w14:textId="678C0242" w:rsidR="0017134D" w:rsidRDefault="009D347E" w:rsidP="00EB4C2F">
      <w:pPr>
        <w:pStyle w:val="Subtitle"/>
      </w:pPr>
      <w:r>
        <w:t>February 2024</w:t>
      </w:r>
    </w:p>
    <w:p w14:paraId="0600EC06" w14:textId="77777777" w:rsidR="00107D87" w:rsidRDefault="00107D87">
      <w:pPr>
        <w:sectPr w:rsidR="00107D87" w:rsidSect="00221D8F">
          <w:footerReference w:type="default" r:id="rId14"/>
          <w:pgSz w:w="11906" w:h="16838"/>
          <w:pgMar w:top="1814" w:right="1440" w:bottom="1440" w:left="1440" w:header="709" w:footer="709" w:gutter="0"/>
          <w:cols w:space="708"/>
          <w:docGrid w:linePitch="360"/>
        </w:sectPr>
      </w:pPr>
    </w:p>
    <w:p w14:paraId="0CD071B5" w14:textId="77777777" w:rsidR="009D347E" w:rsidRDefault="009D347E" w:rsidP="00107D87">
      <w:pPr>
        <w:spacing w:after="480"/>
      </w:pPr>
    </w:p>
    <w:p w14:paraId="09721CF9" w14:textId="77777777" w:rsidR="009D347E" w:rsidRDefault="009D347E" w:rsidP="00107D87">
      <w:pPr>
        <w:spacing w:after="480"/>
      </w:pPr>
    </w:p>
    <w:p w14:paraId="76D80C92" w14:textId="77777777" w:rsidR="009D347E" w:rsidRDefault="009D347E" w:rsidP="00107D87">
      <w:pPr>
        <w:spacing w:after="480"/>
      </w:pPr>
    </w:p>
    <w:p w14:paraId="66386134" w14:textId="77777777" w:rsidR="009D347E" w:rsidRDefault="009D347E" w:rsidP="00107D87">
      <w:pPr>
        <w:spacing w:after="480"/>
      </w:pPr>
    </w:p>
    <w:p w14:paraId="45069BE7" w14:textId="77777777" w:rsidR="009D347E" w:rsidRDefault="009D347E" w:rsidP="00107D87">
      <w:pPr>
        <w:spacing w:after="480"/>
      </w:pPr>
    </w:p>
    <w:p w14:paraId="416592FB" w14:textId="77777777" w:rsidR="009D347E" w:rsidRDefault="009D347E" w:rsidP="00107D87">
      <w:pPr>
        <w:spacing w:after="480"/>
      </w:pPr>
    </w:p>
    <w:p w14:paraId="3E292E42" w14:textId="77777777" w:rsidR="009D347E" w:rsidRDefault="009D347E" w:rsidP="00107D87">
      <w:pPr>
        <w:spacing w:after="480"/>
      </w:pPr>
    </w:p>
    <w:p w14:paraId="56F94AEE" w14:textId="77777777" w:rsidR="009D347E" w:rsidRDefault="009D347E" w:rsidP="00107D87">
      <w:pPr>
        <w:spacing w:after="480"/>
      </w:pPr>
    </w:p>
    <w:p w14:paraId="39C773FE" w14:textId="77777777" w:rsidR="009D347E" w:rsidRDefault="009D347E" w:rsidP="00107D87">
      <w:pPr>
        <w:spacing w:after="480"/>
      </w:pPr>
    </w:p>
    <w:p w14:paraId="736552E1" w14:textId="77777777" w:rsidR="009D347E" w:rsidRDefault="009D347E" w:rsidP="00107D87">
      <w:pPr>
        <w:spacing w:after="480"/>
      </w:pPr>
    </w:p>
    <w:p w14:paraId="00484DDB" w14:textId="77777777" w:rsidR="009D347E" w:rsidRDefault="009D347E" w:rsidP="00107D87">
      <w:pPr>
        <w:spacing w:after="480"/>
      </w:pPr>
    </w:p>
    <w:p w14:paraId="45D6B4C4" w14:textId="77777777" w:rsidR="009D347E" w:rsidRDefault="009D347E" w:rsidP="00107D87">
      <w:pPr>
        <w:spacing w:after="480"/>
      </w:pPr>
    </w:p>
    <w:p w14:paraId="36D68995" w14:textId="33A6EB9F" w:rsidR="0017134D" w:rsidRDefault="0017134D" w:rsidP="00107D87">
      <w:pPr>
        <w:spacing w:after="480"/>
      </w:pP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w:t>
      </w:r>
      <w:proofErr w:type="gramStart"/>
      <w:r>
        <w:t>trade mark</w:t>
      </w:r>
      <w:proofErr w:type="gramEnd"/>
      <w:r>
        <w:t xml:space="preserve"> and where otherwise noted all material presented in this document is provided under a </w:t>
      </w:r>
      <w:hyperlink r:id="rId16"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7"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318AA3C2" w:rsidR="0017134D" w:rsidRDefault="0017134D" w:rsidP="0017134D">
      <w:r>
        <w:t xml:space="preserve">The document must be attributed as the </w:t>
      </w:r>
      <w:r w:rsidR="009D347E">
        <w:t>Final HERDC specifications for the collection of 2023 data</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35452D8F" w:rsidR="00AF1F18" w:rsidRPr="009D347E" w:rsidRDefault="00AF1F18" w:rsidP="009D347E">
      <w:pPr>
        <w:rPr>
          <w:b/>
          <w:bCs/>
          <w:sz w:val="32"/>
          <w:szCs w:val="32"/>
        </w:rPr>
      </w:pPr>
      <w:r w:rsidRPr="009D347E">
        <w:rPr>
          <w:b/>
          <w:bCs/>
          <w:sz w:val="32"/>
          <w:szCs w:val="32"/>
        </w:rPr>
        <w:lastRenderedPageBreak/>
        <w:t>Contents</w:t>
      </w:r>
    </w:p>
    <w:p w14:paraId="0E64F0DD" w14:textId="45400DA0" w:rsidR="00210F56" w:rsidRDefault="00AF1F18" w:rsidP="00210F56">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55863391" w:history="1">
        <w:r w:rsidR="00210F56" w:rsidRPr="009B6571">
          <w:rPr>
            <w:rStyle w:val="Hyperlink"/>
            <w:noProof/>
          </w:rPr>
          <w:t>1.1</w:t>
        </w:r>
        <w:r w:rsidR="00210F56">
          <w:rPr>
            <w:rFonts w:eastAsiaTheme="minorEastAsia"/>
            <w:noProof/>
            <w:kern w:val="2"/>
            <w:lang w:eastAsia="en-AU"/>
            <w14:ligatures w14:val="standardContextual"/>
          </w:rPr>
          <w:tab/>
        </w:r>
        <w:r w:rsidR="00210F56" w:rsidRPr="009B6571">
          <w:rPr>
            <w:rStyle w:val="Hyperlink"/>
            <w:noProof/>
          </w:rPr>
          <w:t>Purpose</w:t>
        </w:r>
        <w:r w:rsidR="00210F56">
          <w:rPr>
            <w:noProof/>
            <w:webHidden/>
          </w:rPr>
          <w:tab/>
        </w:r>
        <w:r w:rsidR="00210F56">
          <w:rPr>
            <w:noProof/>
            <w:webHidden/>
          </w:rPr>
          <w:fldChar w:fldCharType="begin"/>
        </w:r>
        <w:r w:rsidR="00210F56">
          <w:rPr>
            <w:noProof/>
            <w:webHidden/>
          </w:rPr>
          <w:instrText xml:space="preserve"> PAGEREF _Toc155863391 \h </w:instrText>
        </w:r>
        <w:r w:rsidR="00210F56">
          <w:rPr>
            <w:noProof/>
            <w:webHidden/>
          </w:rPr>
        </w:r>
        <w:r w:rsidR="00210F56">
          <w:rPr>
            <w:noProof/>
            <w:webHidden/>
          </w:rPr>
          <w:fldChar w:fldCharType="separate"/>
        </w:r>
        <w:r w:rsidR="00210F56">
          <w:rPr>
            <w:noProof/>
            <w:webHidden/>
          </w:rPr>
          <w:t>5</w:t>
        </w:r>
        <w:r w:rsidR="00210F56">
          <w:rPr>
            <w:noProof/>
            <w:webHidden/>
          </w:rPr>
          <w:fldChar w:fldCharType="end"/>
        </w:r>
      </w:hyperlink>
    </w:p>
    <w:p w14:paraId="51790C7A" w14:textId="076DDBA0" w:rsidR="00210F56" w:rsidRDefault="005F3100" w:rsidP="00210F56">
      <w:pPr>
        <w:pStyle w:val="TOC1"/>
        <w:rPr>
          <w:rFonts w:eastAsiaTheme="minorEastAsia"/>
          <w:noProof/>
          <w:kern w:val="2"/>
          <w:lang w:eastAsia="en-AU"/>
          <w14:ligatures w14:val="standardContextual"/>
        </w:rPr>
      </w:pPr>
      <w:hyperlink w:anchor="_Toc155863392" w:history="1">
        <w:r w:rsidR="00210F56" w:rsidRPr="009B6571">
          <w:rPr>
            <w:rStyle w:val="Hyperlink"/>
            <w:noProof/>
          </w:rPr>
          <w:t>1.2</w:t>
        </w:r>
        <w:r w:rsidR="00210F56">
          <w:rPr>
            <w:rFonts w:eastAsiaTheme="minorEastAsia"/>
            <w:noProof/>
            <w:kern w:val="2"/>
            <w:lang w:eastAsia="en-AU"/>
            <w14:ligatures w14:val="standardContextual"/>
          </w:rPr>
          <w:tab/>
        </w:r>
        <w:r w:rsidR="00210F56" w:rsidRPr="009B6571">
          <w:rPr>
            <w:rStyle w:val="Hyperlink"/>
            <w:noProof/>
          </w:rPr>
          <w:t>Use of data</w:t>
        </w:r>
        <w:r w:rsidR="00210F56">
          <w:rPr>
            <w:noProof/>
            <w:webHidden/>
          </w:rPr>
          <w:tab/>
        </w:r>
        <w:r w:rsidR="00210F56">
          <w:rPr>
            <w:noProof/>
            <w:webHidden/>
          </w:rPr>
          <w:fldChar w:fldCharType="begin"/>
        </w:r>
        <w:r w:rsidR="00210F56">
          <w:rPr>
            <w:noProof/>
            <w:webHidden/>
          </w:rPr>
          <w:instrText xml:space="preserve"> PAGEREF _Toc155863392 \h </w:instrText>
        </w:r>
        <w:r w:rsidR="00210F56">
          <w:rPr>
            <w:noProof/>
            <w:webHidden/>
          </w:rPr>
        </w:r>
        <w:r w:rsidR="00210F56">
          <w:rPr>
            <w:noProof/>
            <w:webHidden/>
          </w:rPr>
          <w:fldChar w:fldCharType="separate"/>
        </w:r>
        <w:r w:rsidR="00210F56">
          <w:rPr>
            <w:noProof/>
            <w:webHidden/>
          </w:rPr>
          <w:t>5</w:t>
        </w:r>
        <w:r w:rsidR="00210F56">
          <w:rPr>
            <w:noProof/>
            <w:webHidden/>
          </w:rPr>
          <w:fldChar w:fldCharType="end"/>
        </w:r>
      </w:hyperlink>
    </w:p>
    <w:p w14:paraId="2BE07505" w14:textId="09CE13CE" w:rsidR="00210F56" w:rsidRDefault="005F3100" w:rsidP="00210F56">
      <w:pPr>
        <w:pStyle w:val="TOC1"/>
        <w:rPr>
          <w:rFonts w:eastAsiaTheme="minorEastAsia"/>
          <w:noProof/>
          <w:kern w:val="2"/>
          <w:lang w:eastAsia="en-AU"/>
          <w14:ligatures w14:val="standardContextual"/>
        </w:rPr>
      </w:pPr>
      <w:hyperlink w:anchor="_Toc155863393" w:history="1">
        <w:r w:rsidR="00210F56" w:rsidRPr="009B6571">
          <w:rPr>
            <w:rStyle w:val="Hyperlink"/>
            <w:noProof/>
          </w:rPr>
          <w:t>1.3</w:t>
        </w:r>
        <w:r w:rsidR="00210F56">
          <w:rPr>
            <w:rFonts w:eastAsiaTheme="minorEastAsia"/>
            <w:noProof/>
            <w:kern w:val="2"/>
            <w:lang w:eastAsia="en-AU"/>
            <w14:ligatures w14:val="standardContextual"/>
          </w:rPr>
          <w:tab/>
        </w:r>
        <w:r w:rsidR="00210F56" w:rsidRPr="009B6571">
          <w:rPr>
            <w:rStyle w:val="Hyperlink"/>
            <w:noProof/>
          </w:rPr>
          <w:t>Use of funding</w:t>
        </w:r>
        <w:r w:rsidR="00210F56">
          <w:rPr>
            <w:noProof/>
            <w:webHidden/>
          </w:rPr>
          <w:tab/>
        </w:r>
        <w:r w:rsidR="00210F56">
          <w:rPr>
            <w:noProof/>
            <w:webHidden/>
          </w:rPr>
          <w:fldChar w:fldCharType="begin"/>
        </w:r>
        <w:r w:rsidR="00210F56">
          <w:rPr>
            <w:noProof/>
            <w:webHidden/>
          </w:rPr>
          <w:instrText xml:space="preserve"> PAGEREF _Toc155863393 \h </w:instrText>
        </w:r>
        <w:r w:rsidR="00210F56">
          <w:rPr>
            <w:noProof/>
            <w:webHidden/>
          </w:rPr>
        </w:r>
        <w:r w:rsidR="00210F56">
          <w:rPr>
            <w:noProof/>
            <w:webHidden/>
          </w:rPr>
          <w:fldChar w:fldCharType="separate"/>
        </w:r>
        <w:r w:rsidR="00210F56">
          <w:rPr>
            <w:noProof/>
            <w:webHidden/>
          </w:rPr>
          <w:t>5</w:t>
        </w:r>
        <w:r w:rsidR="00210F56">
          <w:rPr>
            <w:noProof/>
            <w:webHidden/>
          </w:rPr>
          <w:fldChar w:fldCharType="end"/>
        </w:r>
      </w:hyperlink>
    </w:p>
    <w:p w14:paraId="5CF60C58" w14:textId="3B2BC7B9" w:rsidR="00210F56" w:rsidRDefault="005F3100" w:rsidP="00210F56">
      <w:pPr>
        <w:pStyle w:val="TOC1"/>
        <w:rPr>
          <w:rFonts w:eastAsiaTheme="minorEastAsia"/>
          <w:noProof/>
          <w:kern w:val="2"/>
          <w:lang w:eastAsia="en-AU"/>
          <w14:ligatures w14:val="standardContextual"/>
        </w:rPr>
      </w:pPr>
      <w:hyperlink w:anchor="_Toc155863394" w:history="1">
        <w:r w:rsidR="00210F56" w:rsidRPr="009B6571">
          <w:rPr>
            <w:rStyle w:val="Hyperlink"/>
            <w:noProof/>
          </w:rPr>
          <w:t>1.4</w:t>
        </w:r>
        <w:r w:rsidR="00210F56">
          <w:rPr>
            <w:rFonts w:eastAsiaTheme="minorEastAsia"/>
            <w:noProof/>
            <w:kern w:val="2"/>
            <w:lang w:eastAsia="en-AU"/>
            <w14:ligatures w14:val="standardContextual"/>
          </w:rPr>
          <w:tab/>
        </w:r>
        <w:r w:rsidR="00210F56" w:rsidRPr="009B6571">
          <w:rPr>
            <w:rStyle w:val="Hyperlink"/>
            <w:noProof/>
          </w:rPr>
          <w:t>Information to be submitted</w:t>
        </w:r>
        <w:r w:rsidR="00210F56">
          <w:rPr>
            <w:noProof/>
            <w:webHidden/>
          </w:rPr>
          <w:tab/>
        </w:r>
        <w:r w:rsidR="00210F56">
          <w:rPr>
            <w:noProof/>
            <w:webHidden/>
          </w:rPr>
          <w:fldChar w:fldCharType="begin"/>
        </w:r>
        <w:r w:rsidR="00210F56">
          <w:rPr>
            <w:noProof/>
            <w:webHidden/>
          </w:rPr>
          <w:instrText xml:space="preserve"> PAGEREF _Toc155863394 \h </w:instrText>
        </w:r>
        <w:r w:rsidR="00210F56">
          <w:rPr>
            <w:noProof/>
            <w:webHidden/>
          </w:rPr>
        </w:r>
        <w:r w:rsidR="00210F56">
          <w:rPr>
            <w:noProof/>
            <w:webHidden/>
          </w:rPr>
          <w:fldChar w:fldCharType="separate"/>
        </w:r>
        <w:r w:rsidR="00210F56">
          <w:rPr>
            <w:noProof/>
            <w:webHidden/>
          </w:rPr>
          <w:t>6</w:t>
        </w:r>
        <w:r w:rsidR="00210F56">
          <w:rPr>
            <w:noProof/>
            <w:webHidden/>
          </w:rPr>
          <w:fldChar w:fldCharType="end"/>
        </w:r>
      </w:hyperlink>
    </w:p>
    <w:p w14:paraId="66446967" w14:textId="291CDC4A"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395" w:history="1">
        <w:r w:rsidR="00210F56" w:rsidRPr="009B6571">
          <w:rPr>
            <w:rStyle w:val="Hyperlink"/>
            <w:noProof/>
          </w:rPr>
          <w:t>1.4.1</w:t>
        </w:r>
        <w:r w:rsidR="00210F56">
          <w:rPr>
            <w:rFonts w:eastAsiaTheme="minorEastAsia"/>
            <w:noProof/>
            <w:kern w:val="2"/>
            <w:lang w:eastAsia="en-AU"/>
            <w14:ligatures w14:val="standardContextual"/>
          </w:rPr>
          <w:tab/>
        </w:r>
        <w:r w:rsidR="00210F56" w:rsidRPr="009B6571">
          <w:rPr>
            <w:rStyle w:val="Hyperlink"/>
            <w:noProof/>
          </w:rPr>
          <w:t>R&amp;D income return</w:t>
        </w:r>
        <w:r w:rsidR="00210F56">
          <w:rPr>
            <w:noProof/>
            <w:webHidden/>
          </w:rPr>
          <w:tab/>
        </w:r>
        <w:r w:rsidR="00210F56">
          <w:rPr>
            <w:noProof/>
            <w:webHidden/>
          </w:rPr>
          <w:fldChar w:fldCharType="begin"/>
        </w:r>
        <w:r w:rsidR="00210F56">
          <w:rPr>
            <w:noProof/>
            <w:webHidden/>
          </w:rPr>
          <w:instrText xml:space="preserve"> PAGEREF _Toc155863395 \h </w:instrText>
        </w:r>
        <w:r w:rsidR="00210F56">
          <w:rPr>
            <w:noProof/>
            <w:webHidden/>
          </w:rPr>
        </w:r>
        <w:r w:rsidR="00210F56">
          <w:rPr>
            <w:noProof/>
            <w:webHidden/>
          </w:rPr>
          <w:fldChar w:fldCharType="separate"/>
        </w:r>
        <w:r w:rsidR="00210F56">
          <w:rPr>
            <w:noProof/>
            <w:webHidden/>
          </w:rPr>
          <w:t>6</w:t>
        </w:r>
        <w:r w:rsidR="00210F56">
          <w:rPr>
            <w:noProof/>
            <w:webHidden/>
          </w:rPr>
          <w:fldChar w:fldCharType="end"/>
        </w:r>
      </w:hyperlink>
    </w:p>
    <w:p w14:paraId="698C81A9" w14:textId="21C46E11"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396" w:history="1">
        <w:r w:rsidR="00210F56" w:rsidRPr="009B6571">
          <w:rPr>
            <w:rStyle w:val="Hyperlink"/>
            <w:noProof/>
          </w:rPr>
          <w:t>1.4.2</w:t>
        </w:r>
        <w:r w:rsidR="00210F56">
          <w:rPr>
            <w:rFonts w:eastAsiaTheme="minorEastAsia"/>
            <w:noProof/>
            <w:kern w:val="2"/>
            <w:lang w:eastAsia="en-AU"/>
            <w14:ligatures w14:val="standardContextual"/>
          </w:rPr>
          <w:tab/>
        </w:r>
        <w:r w:rsidR="00210F56" w:rsidRPr="009B6571">
          <w:rPr>
            <w:rStyle w:val="Hyperlink"/>
            <w:noProof/>
          </w:rPr>
          <w:t>Vice-Chancellor certification</w:t>
        </w:r>
        <w:r w:rsidR="00210F56">
          <w:rPr>
            <w:noProof/>
            <w:webHidden/>
          </w:rPr>
          <w:tab/>
        </w:r>
        <w:r w:rsidR="00210F56">
          <w:rPr>
            <w:noProof/>
            <w:webHidden/>
          </w:rPr>
          <w:fldChar w:fldCharType="begin"/>
        </w:r>
        <w:r w:rsidR="00210F56">
          <w:rPr>
            <w:noProof/>
            <w:webHidden/>
          </w:rPr>
          <w:instrText xml:space="preserve"> PAGEREF _Toc155863396 \h </w:instrText>
        </w:r>
        <w:r w:rsidR="00210F56">
          <w:rPr>
            <w:noProof/>
            <w:webHidden/>
          </w:rPr>
        </w:r>
        <w:r w:rsidR="00210F56">
          <w:rPr>
            <w:noProof/>
            <w:webHidden/>
          </w:rPr>
          <w:fldChar w:fldCharType="separate"/>
        </w:r>
        <w:r w:rsidR="00210F56">
          <w:rPr>
            <w:noProof/>
            <w:webHidden/>
          </w:rPr>
          <w:t>6</w:t>
        </w:r>
        <w:r w:rsidR="00210F56">
          <w:rPr>
            <w:noProof/>
            <w:webHidden/>
          </w:rPr>
          <w:fldChar w:fldCharType="end"/>
        </w:r>
      </w:hyperlink>
    </w:p>
    <w:p w14:paraId="4E572A27" w14:textId="246FBDBB"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397" w:history="1">
        <w:r w:rsidR="00210F56" w:rsidRPr="009B6571">
          <w:rPr>
            <w:rStyle w:val="Hyperlink"/>
            <w:noProof/>
          </w:rPr>
          <w:t>1.4.3</w:t>
        </w:r>
        <w:r w:rsidR="00210F56">
          <w:rPr>
            <w:rFonts w:eastAsiaTheme="minorEastAsia"/>
            <w:noProof/>
            <w:kern w:val="2"/>
            <w:lang w:eastAsia="en-AU"/>
            <w14:ligatures w14:val="standardContextual"/>
          </w:rPr>
          <w:tab/>
        </w:r>
        <w:r w:rsidR="00210F56" w:rsidRPr="009B6571">
          <w:rPr>
            <w:rStyle w:val="Hyperlink"/>
            <w:noProof/>
          </w:rPr>
          <w:t>Audit report</w:t>
        </w:r>
        <w:r w:rsidR="00210F56">
          <w:rPr>
            <w:noProof/>
            <w:webHidden/>
          </w:rPr>
          <w:tab/>
        </w:r>
        <w:r w:rsidR="00210F56">
          <w:rPr>
            <w:noProof/>
            <w:webHidden/>
          </w:rPr>
          <w:fldChar w:fldCharType="begin"/>
        </w:r>
        <w:r w:rsidR="00210F56">
          <w:rPr>
            <w:noProof/>
            <w:webHidden/>
          </w:rPr>
          <w:instrText xml:space="preserve"> PAGEREF _Toc155863397 \h </w:instrText>
        </w:r>
        <w:r w:rsidR="00210F56">
          <w:rPr>
            <w:noProof/>
            <w:webHidden/>
          </w:rPr>
        </w:r>
        <w:r w:rsidR="00210F56">
          <w:rPr>
            <w:noProof/>
            <w:webHidden/>
          </w:rPr>
          <w:fldChar w:fldCharType="separate"/>
        </w:r>
        <w:r w:rsidR="00210F56">
          <w:rPr>
            <w:noProof/>
            <w:webHidden/>
          </w:rPr>
          <w:t>6</w:t>
        </w:r>
        <w:r w:rsidR="00210F56">
          <w:rPr>
            <w:noProof/>
            <w:webHidden/>
          </w:rPr>
          <w:fldChar w:fldCharType="end"/>
        </w:r>
      </w:hyperlink>
    </w:p>
    <w:p w14:paraId="00F8FA61" w14:textId="4F18BDF0" w:rsidR="00210F56" w:rsidRDefault="005F3100" w:rsidP="00210F56">
      <w:pPr>
        <w:pStyle w:val="TOC1"/>
        <w:rPr>
          <w:rFonts w:eastAsiaTheme="minorEastAsia"/>
          <w:noProof/>
          <w:kern w:val="2"/>
          <w:lang w:eastAsia="en-AU"/>
          <w14:ligatures w14:val="standardContextual"/>
        </w:rPr>
      </w:pPr>
      <w:hyperlink w:anchor="_Toc155863398" w:history="1">
        <w:r w:rsidR="00210F56" w:rsidRPr="009B6571">
          <w:rPr>
            <w:rStyle w:val="Hyperlink"/>
            <w:noProof/>
          </w:rPr>
          <w:t>1.5</w:t>
        </w:r>
        <w:r w:rsidR="00210F56">
          <w:rPr>
            <w:rFonts w:eastAsiaTheme="minorEastAsia"/>
            <w:noProof/>
            <w:kern w:val="2"/>
            <w:lang w:eastAsia="en-AU"/>
            <w14:ligatures w14:val="standardContextual"/>
          </w:rPr>
          <w:tab/>
        </w:r>
        <w:r w:rsidR="00210F56" w:rsidRPr="009B6571">
          <w:rPr>
            <w:rStyle w:val="Hyperlink"/>
            <w:noProof/>
          </w:rPr>
          <w:t>Submission instructions and due date</w:t>
        </w:r>
        <w:r w:rsidR="00210F56">
          <w:rPr>
            <w:noProof/>
            <w:webHidden/>
          </w:rPr>
          <w:tab/>
        </w:r>
        <w:r w:rsidR="00210F56">
          <w:rPr>
            <w:noProof/>
            <w:webHidden/>
          </w:rPr>
          <w:fldChar w:fldCharType="begin"/>
        </w:r>
        <w:r w:rsidR="00210F56">
          <w:rPr>
            <w:noProof/>
            <w:webHidden/>
          </w:rPr>
          <w:instrText xml:space="preserve"> PAGEREF _Toc155863398 \h </w:instrText>
        </w:r>
        <w:r w:rsidR="00210F56">
          <w:rPr>
            <w:noProof/>
            <w:webHidden/>
          </w:rPr>
        </w:r>
        <w:r w:rsidR="00210F56">
          <w:rPr>
            <w:noProof/>
            <w:webHidden/>
          </w:rPr>
          <w:fldChar w:fldCharType="separate"/>
        </w:r>
        <w:r w:rsidR="00210F56">
          <w:rPr>
            <w:noProof/>
            <w:webHidden/>
          </w:rPr>
          <w:t>7</w:t>
        </w:r>
        <w:r w:rsidR="00210F56">
          <w:rPr>
            <w:noProof/>
            <w:webHidden/>
          </w:rPr>
          <w:fldChar w:fldCharType="end"/>
        </w:r>
      </w:hyperlink>
    </w:p>
    <w:p w14:paraId="6AAA1767" w14:textId="54EDE7E5" w:rsidR="00210F56" w:rsidRDefault="005F3100" w:rsidP="00210F56">
      <w:pPr>
        <w:pStyle w:val="TOC1"/>
        <w:rPr>
          <w:rFonts w:eastAsiaTheme="minorEastAsia"/>
          <w:noProof/>
          <w:kern w:val="2"/>
          <w:lang w:eastAsia="en-AU"/>
          <w14:ligatures w14:val="standardContextual"/>
        </w:rPr>
      </w:pPr>
      <w:hyperlink w:anchor="_Toc155863399" w:history="1">
        <w:r w:rsidR="00210F56" w:rsidRPr="009B6571">
          <w:rPr>
            <w:rStyle w:val="Hyperlink"/>
            <w:noProof/>
          </w:rPr>
          <w:t>1.6</w:t>
        </w:r>
        <w:r w:rsidR="00210F56">
          <w:rPr>
            <w:rFonts w:eastAsiaTheme="minorEastAsia"/>
            <w:noProof/>
            <w:kern w:val="2"/>
            <w:lang w:eastAsia="en-AU"/>
            <w14:ligatures w14:val="standardContextual"/>
          </w:rPr>
          <w:tab/>
        </w:r>
        <w:r w:rsidR="00210F56" w:rsidRPr="009B6571">
          <w:rPr>
            <w:rStyle w:val="Hyperlink"/>
            <w:noProof/>
          </w:rPr>
          <w:t>Related documents</w:t>
        </w:r>
        <w:r w:rsidR="00210F56">
          <w:rPr>
            <w:noProof/>
            <w:webHidden/>
          </w:rPr>
          <w:tab/>
        </w:r>
        <w:r w:rsidR="00210F56">
          <w:rPr>
            <w:noProof/>
            <w:webHidden/>
          </w:rPr>
          <w:fldChar w:fldCharType="begin"/>
        </w:r>
        <w:r w:rsidR="00210F56">
          <w:rPr>
            <w:noProof/>
            <w:webHidden/>
          </w:rPr>
          <w:instrText xml:space="preserve"> PAGEREF _Toc155863399 \h </w:instrText>
        </w:r>
        <w:r w:rsidR="00210F56">
          <w:rPr>
            <w:noProof/>
            <w:webHidden/>
          </w:rPr>
        </w:r>
        <w:r w:rsidR="00210F56">
          <w:rPr>
            <w:noProof/>
            <w:webHidden/>
          </w:rPr>
          <w:fldChar w:fldCharType="separate"/>
        </w:r>
        <w:r w:rsidR="00210F56">
          <w:rPr>
            <w:noProof/>
            <w:webHidden/>
          </w:rPr>
          <w:t>7</w:t>
        </w:r>
        <w:r w:rsidR="00210F56">
          <w:rPr>
            <w:noProof/>
            <w:webHidden/>
          </w:rPr>
          <w:fldChar w:fldCharType="end"/>
        </w:r>
      </w:hyperlink>
    </w:p>
    <w:p w14:paraId="1A50C528" w14:textId="644EF31E" w:rsidR="00210F56" w:rsidRDefault="005F3100" w:rsidP="00210F56">
      <w:pPr>
        <w:pStyle w:val="TOC1"/>
        <w:rPr>
          <w:rFonts w:eastAsiaTheme="minorEastAsia"/>
          <w:noProof/>
          <w:kern w:val="2"/>
          <w:lang w:eastAsia="en-AU"/>
          <w14:ligatures w14:val="standardContextual"/>
        </w:rPr>
      </w:pPr>
      <w:hyperlink w:anchor="_Toc155863400" w:history="1">
        <w:r w:rsidR="00210F56" w:rsidRPr="009B6571">
          <w:rPr>
            <w:rStyle w:val="Hyperlink"/>
            <w:noProof/>
          </w:rPr>
          <w:t>1.7</w:t>
        </w:r>
        <w:r w:rsidR="00210F56">
          <w:rPr>
            <w:rFonts w:eastAsiaTheme="minorEastAsia"/>
            <w:noProof/>
            <w:kern w:val="2"/>
            <w:lang w:eastAsia="en-AU"/>
            <w14:ligatures w14:val="standardContextual"/>
          </w:rPr>
          <w:tab/>
        </w:r>
        <w:r w:rsidR="00210F56" w:rsidRPr="009B6571">
          <w:rPr>
            <w:rStyle w:val="Hyperlink"/>
            <w:noProof/>
          </w:rPr>
          <w:t>Freedom of Information Act 1982</w:t>
        </w:r>
        <w:r w:rsidR="00210F56">
          <w:rPr>
            <w:noProof/>
            <w:webHidden/>
          </w:rPr>
          <w:tab/>
        </w:r>
        <w:r w:rsidR="00210F56">
          <w:rPr>
            <w:noProof/>
            <w:webHidden/>
          </w:rPr>
          <w:fldChar w:fldCharType="begin"/>
        </w:r>
        <w:r w:rsidR="00210F56">
          <w:rPr>
            <w:noProof/>
            <w:webHidden/>
          </w:rPr>
          <w:instrText xml:space="preserve"> PAGEREF _Toc155863400 \h </w:instrText>
        </w:r>
        <w:r w:rsidR="00210F56">
          <w:rPr>
            <w:noProof/>
            <w:webHidden/>
          </w:rPr>
        </w:r>
        <w:r w:rsidR="00210F56">
          <w:rPr>
            <w:noProof/>
            <w:webHidden/>
          </w:rPr>
          <w:fldChar w:fldCharType="separate"/>
        </w:r>
        <w:r w:rsidR="00210F56">
          <w:rPr>
            <w:noProof/>
            <w:webHidden/>
          </w:rPr>
          <w:t>7</w:t>
        </w:r>
        <w:r w:rsidR="00210F56">
          <w:rPr>
            <w:noProof/>
            <w:webHidden/>
          </w:rPr>
          <w:fldChar w:fldCharType="end"/>
        </w:r>
      </w:hyperlink>
    </w:p>
    <w:p w14:paraId="27A83C57" w14:textId="6A06CDFF" w:rsidR="00210F56" w:rsidRDefault="005F3100" w:rsidP="00210F56">
      <w:pPr>
        <w:pStyle w:val="TOC1"/>
        <w:rPr>
          <w:rFonts w:eastAsiaTheme="minorEastAsia"/>
          <w:noProof/>
          <w:kern w:val="2"/>
          <w:lang w:eastAsia="en-AU"/>
          <w14:ligatures w14:val="standardContextual"/>
        </w:rPr>
      </w:pPr>
      <w:hyperlink w:anchor="_Toc155863401" w:history="1">
        <w:r w:rsidR="00210F56" w:rsidRPr="009B6571">
          <w:rPr>
            <w:rStyle w:val="Hyperlink"/>
            <w:noProof/>
          </w:rPr>
          <w:t>1.8</w:t>
        </w:r>
        <w:r w:rsidR="00210F56">
          <w:rPr>
            <w:rFonts w:eastAsiaTheme="minorEastAsia"/>
            <w:noProof/>
            <w:kern w:val="2"/>
            <w:lang w:eastAsia="en-AU"/>
            <w14:ligatures w14:val="standardContextual"/>
          </w:rPr>
          <w:tab/>
        </w:r>
        <w:r w:rsidR="00210F56" w:rsidRPr="009B6571">
          <w:rPr>
            <w:rStyle w:val="Hyperlink"/>
            <w:noProof/>
          </w:rPr>
          <w:t>Verification material</w:t>
        </w:r>
        <w:r w:rsidR="00210F56">
          <w:rPr>
            <w:noProof/>
            <w:webHidden/>
          </w:rPr>
          <w:tab/>
        </w:r>
        <w:r w:rsidR="00210F56">
          <w:rPr>
            <w:noProof/>
            <w:webHidden/>
          </w:rPr>
          <w:fldChar w:fldCharType="begin"/>
        </w:r>
        <w:r w:rsidR="00210F56">
          <w:rPr>
            <w:noProof/>
            <w:webHidden/>
          </w:rPr>
          <w:instrText xml:space="preserve"> PAGEREF _Toc155863401 \h </w:instrText>
        </w:r>
        <w:r w:rsidR="00210F56">
          <w:rPr>
            <w:noProof/>
            <w:webHidden/>
          </w:rPr>
        </w:r>
        <w:r w:rsidR="00210F56">
          <w:rPr>
            <w:noProof/>
            <w:webHidden/>
          </w:rPr>
          <w:fldChar w:fldCharType="separate"/>
        </w:r>
        <w:r w:rsidR="00210F56">
          <w:rPr>
            <w:noProof/>
            <w:webHidden/>
          </w:rPr>
          <w:t>7</w:t>
        </w:r>
        <w:r w:rsidR="00210F56">
          <w:rPr>
            <w:noProof/>
            <w:webHidden/>
          </w:rPr>
          <w:fldChar w:fldCharType="end"/>
        </w:r>
      </w:hyperlink>
    </w:p>
    <w:p w14:paraId="7C1FA0E8" w14:textId="09706239" w:rsidR="00210F56" w:rsidRDefault="005F3100" w:rsidP="00210F56">
      <w:pPr>
        <w:pStyle w:val="TOC1"/>
        <w:rPr>
          <w:rFonts w:eastAsiaTheme="minorEastAsia"/>
          <w:noProof/>
          <w:kern w:val="2"/>
          <w:lang w:eastAsia="en-AU"/>
          <w14:ligatures w14:val="standardContextual"/>
        </w:rPr>
      </w:pPr>
      <w:hyperlink w:anchor="_Toc155863402" w:history="1">
        <w:r w:rsidR="00210F56" w:rsidRPr="009B6571">
          <w:rPr>
            <w:rStyle w:val="Hyperlink"/>
            <w:noProof/>
          </w:rPr>
          <w:t>1.9</w:t>
        </w:r>
        <w:r w:rsidR="00210F56">
          <w:rPr>
            <w:rFonts w:eastAsiaTheme="minorEastAsia"/>
            <w:noProof/>
            <w:kern w:val="2"/>
            <w:lang w:eastAsia="en-AU"/>
            <w14:ligatures w14:val="standardContextual"/>
          </w:rPr>
          <w:tab/>
        </w:r>
        <w:r w:rsidR="00210F56" w:rsidRPr="009B6571">
          <w:rPr>
            <w:rStyle w:val="Hyperlink"/>
            <w:noProof/>
          </w:rPr>
          <w:t>Contact details</w:t>
        </w:r>
        <w:r w:rsidR="00210F56">
          <w:rPr>
            <w:noProof/>
            <w:webHidden/>
          </w:rPr>
          <w:tab/>
        </w:r>
        <w:r w:rsidR="00210F56">
          <w:rPr>
            <w:noProof/>
            <w:webHidden/>
          </w:rPr>
          <w:fldChar w:fldCharType="begin"/>
        </w:r>
        <w:r w:rsidR="00210F56">
          <w:rPr>
            <w:noProof/>
            <w:webHidden/>
          </w:rPr>
          <w:instrText xml:space="preserve"> PAGEREF _Toc155863402 \h </w:instrText>
        </w:r>
        <w:r w:rsidR="00210F56">
          <w:rPr>
            <w:noProof/>
            <w:webHidden/>
          </w:rPr>
        </w:r>
        <w:r w:rsidR="00210F56">
          <w:rPr>
            <w:noProof/>
            <w:webHidden/>
          </w:rPr>
          <w:fldChar w:fldCharType="separate"/>
        </w:r>
        <w:r w:rsidR="00210F56">
          <w:rPr>
            <w:noProof/>
            <w:webHidden/>
          </w:rPr>
          <w:t>7</w:t>
        </w:r>
        <w:r w:rsidR="00210F56">
          <w:rPr>
            <w:noProof/>
            <w:webHidden/>
          </w:rPr>
          <w:fldChar w:fldCharType="end"/>
        </w:r>
      </w:hyperlink>
    </w:p>
    <w:p w14:paraId="646CD32C" w14:textId="17256C78" w:rsidR="00210F56" w:rsidRDefault="005F3100" w:rsidP="00210F56">
      <w:pPr>
        <w:pStyle w:val="TOC1"/>
        <w:rPr>
          <w:rFonts w:eastAsiaTheme="minorEastAsia"/>
          <w:noProof/>
          <w:kern w:val="2"/>
          <w:lang w:eastAsia="en-AU"/>
          <w14:ligatures w14:val="standardContextual"/>
        </w:rPr>
      </w:pPr>
      <w:hyperlink w:anchor="_Toc155863403" w:history="1">
        <w:r w:rsidR="00210F56" w:rsidRPr="009B6571">
          <w:rPr>
            <w:rStyle w:val="Hyperlink"/>
            <w:noProof/>
          </w:rPr>
          <w:t>3.1</w:t>
        </w:r>
        <w:r w:rsidR="00210F56">
          <w:rPr>
            <w:rFonts w:eastAsiaTheme="minorEastAsia"/>
            <w:noProof/>
            <w:kern w:val="2"/>
            <w:lang w:eastAsia="en-AU"/>
            <w14:ligatures w14:val="standardContextual"/>
          </w:rPr>
          <w:tab/>
        </w:r>
        <w:r w:rsidR="00210F56" w:rsidRPr="009B6571">
          <w:rPr>
            <w:rStyle w:val="Hyperlink"/>
            <w:noProof/>
          </w:rPr>
          <w:t>Inclusions and exclusions</w:t>
        </w:r>
        <w:r w:rsidR="00210F56">
          <w:rPr>
            <w:noProof/>
            <w:webHidden/>
          </w:rPr>
          <w:tab/>
        </w:r>
        <w:r w:rsidR="00210F56">
          <w:rPr>
            <w:noProof/>
            <w:webHidden/>
          </w:rPr>
          <w:fldChar w:fldCharType="begin"/>
        </w:r>
        <w:r w:rsidR="00210F56">
          <w:rPr>
            <w:noProof/>
            <w:webHidden/>
          </w:rPr>
          <w:instrText xml:space="preserve"> PAGEREF _Toc155863403 \h </w:instrText>
        </w:r>
        <w:r w:rsidR="00210F56">
          <w:rPr>
            <w:noProof/>
            <w:webHidden/>
          </w:rPr>
        </w:r>
        <w:r w:rsidR="00210F56">
          <w:rPr>
            <w:noProof/>
            <w:webHidden/>
          </w:rPr>
          <w:fldChar w:fldCharType="separate"/>
        </w:r>
        <w:r w:rsidR="00210F56">
          <w:rPr>
            <w:noProof/>
            <w:webHidden/>
          </w:rPr>
          <w:t>11</w:t>
        </w:r>
        <w:r w:rsidR="00210F56">
          <w:rPr>
            <w:noProof/>
            <w:webHidden/>
          </w:rPr>
          <w:fldChar w:fldCharType="end"/>
        </w:r>
      </w:hyperlink>
    </w:p>
    <w:p w14:paraId="3DEE3898" w14:textId="60987967"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04" w:history="1">
        <w:r w:rsidR="00210F56" w:rsidRPr="009B6571">
          <w:rPr>
            <w:rStyle w:val="Hyperlink"/>
            <w:noProof/>
          </w:rPr>
          <w:t>3.1.1</w:t>
        </w:r>
        <w:r w:rsidR="00210F56">
          <w:rPr>
            <w:rFonts w:eastAsiaTheme="minorEastAsia"/>
            <w:noProof/>
            <w:kern w:val="2"/>
            <w:lang w:eastAsia="en-AU"/>
            <w14:ligatures w14:val="standardContextual"/>
          </w:rPr>
          <w:tab/>
        </w:r>
        <w:r w:rsidR="00210F56" w:rsidRPr="009B6571">
          <w:rPr>
            <w:rStyle w:val="Hyperlink"/>
            <w:noProof/>
          </w:rPr>
          <w:t>Examples of activities that meet the definition of R&amp;D include:</w:t>
        </w:r>
        <w:r w:rsidR="00210F56">
          <w:rPr>
            <w:noProof/>
            <w:webHidden/>
          </w:rPr>
          <w:tab/>
        </w:r>
        <w:r w:rsidR="00210F56">
          <w:rPr>
            <w:noProof/>
            <w:webHidden/>
          </w:rPr>
          <w:fldChar w:fldCharType="begin"/>
        </w:r>
        <w:r w:rsidR="00210F56">
          <w:rPr>
            <w:noProof/>
            <w:webHidden/>
          </w:rPr>
          <w:instrText xml:space="preserve"> PAGEREF _Toc155863404 \h </w:instrText>
        </w:r>
        <w:r w:rsidR="00210F56">
          <w:rPr>
            <w:noProof/>
            <w:webHidden/>
          </w:rPr>
        </w:r>
        <w:r w:rsidR="00210F56">
          <w:rPr>
            <w:noProof/>
            <w:webHidden/>
          </w:rPr>
          <w:fldChar w:fldCharType="separate"/>
        </w:r>
        <w:r w:rsidR="00210F56">
          <w:rPr>
            <w:noProof/>
            <w:webHidden/>
          </w:rPr>
          <w:t>11</w:t>
        </w:r>
        <w:r w:rsidR="00210F56">
          <w:rPr>
            <w:noProof/>
            <w:webHidden/>
          </w:rPr>
          <w:fldChar w:fldCharType="end"/>
        </w:r>
      </w:hyperlink>
    </w:p>
    <w:p w14:paraId="76FDF17D" w14:textId="79D99A9D"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05" w:history="1">
        <w:r w:rsidR="00210F56" w:rsidRPr="009B6571">
          <w:rPr>
            <w:rStyle w:val="Hyperlink"/>
            <w:noProof/>
          </w:rPr>
          <w:t>3.1.2</w:t>
        </w:r>
        <w:r w:rsidR="00210F56">
          <w:rPr>
            <w:rFonts w:eastAsiaTheme="minorEastAsia"/>
            <w:noProof/>
            <w:kern w:val="2"/>
            <w:lang w:eastAsia="en-AU"/>
            <w14:ligatures w14:val="standardContextual"/>
          </w:rPr>
          <w:tab/>
        </w:r>
        <w:r w:rsidR="00210F56" w:rsidRPr="009B6571">
          <w:rPr>
            <w:rStyle w:val="Hyperlink"/>
            <w:noProof/>
          </w:rPr>
          <w:t>Examples of activities that do not meet the definition of R&amp;D include:</w:t>
        </w:r>
        <w:r w:rsidR="00210F56">
          <w:rPr>
            <w:noProof/>
            <w:webHidden/>
          </w:rPr>
          <w:tab/>
        </w:r>
        <w:r w:rsidR="00210F56">
          <w:rPr>
            <w:noProof/>
            <w:webHidden/>
          </w:rPr>
          <w:fldChar w:fldCharType="begin"/>
        </w:r>
        <w:r w:rsidR="00210F56">
          <w:rPr>
            <w:noProof/>
            <w:webHidden/>
          </w:rPr>
          <w:instrText xml:space="preserve"> PAGEREF _Toc155863405 \h </w:instrText>
        </w:r>
        <w:r w:rsidR="00210F56">
          <w:rPr>
            <w:noProof/>
            <w:webHidden/>
          </w:rPr>
        </w:r>
        <w:r w:rsidR="00210F56">
          <w:rPr>
            <w:noProof/>
            <w:webHidden/>
          </w:rPr>
          <w:fldChar w:fldCharType="separate"/>
        </w:r>
        <w:r w:rsidR="00210F56">
          <w:rPr>
            <w:noProof/>
            <w:webHidden/>
          </w:rPr>
          <w:t>11</w:t>
        </w:r>
        <w:r w:rsidR="00210F56">
          <w:rPr>
            <w:noProof/>
            <w:webHidden/>
          </w:rPr>
          <w:fldChar w:fldCharType="end"/>
        </w:r>
      </w:hyperlink>
    </w:p>
    <w:p w14:paraId="07263330" w14:textId="7E6182FE" w:rsidR="00210F56" w:rsidRDefault="005F3100" w:rsidP="00210F56">
      <w:pPr>
        <w:pStyle w:val="TOC1"/>
        <w:rPr>
          <w:rFonts w:eastAsiaTheme="minorEastAsia"/>
          <w:noProof/>
          <w:kern w:val="2"/>
          <w:lang w:eastAsia="en-AU"/>
          <w14:ligatures w14:val="standardContextual"/>
        </w:rPr>
      </w:pPr>
      <w:hyperlink w:anchor="_Toc155863406" w:history="1">
        <w:r w:rsidR="00210F56" w:rsidRPr="009B6571">
          <w:rPr>
            <w:rStyle w:val="Hyperlink"/>
            <w:noProof/>
          </w:rPr>
          <w:t>4.1</w:t>
        </w:r>
        <w:r w:rsidR="00210F56">
          <w:rPr>
            <w:rFonts w:eastAsiaTheme="minorEastAsia"/>
            <w:noProof/>
            <w:kern w:val="2"/>
            <w:lang w:eastAsia="en-AU"/>
            <w14:ligatures w14:val="standardContextual"/>
          </w:rPr>
          <w:tab/>
        </w:r>
        <w:r w:rsidR="00210F56" w:rsidRPr="009B6571">
          <w:rPr>
            <w:rStyle w:val="Hyperlink"/>
            <w:noProof/>
          </w:rPr>
          <w:t>General requirements</w:t>
        </w:r>
        <w:r w:rsidR="00210F56">
          <w:rPr>
            <w:noProof/>
            <w:webHidden/>
          </w:rPr>
          <w:tab/>
        </w:r>
        <w:r w:rsidR="00210F56">
          <w:rPr>
            <w:noProof/>
            <w:webHidden/>
          </w:rPr>
          <w:fldChar w:fldCharType="begin"/>
        </w:r>
        <w:r w:rsidR="00210F56">
          <w:rPr>
            <w:noProof/>
            <w:webHidden/>
          </w:rPr>
          <w:instrText xml:space="preserve"> PAGEREF _Toc155863406 \h </w:instrText>
        </w:r>
        <w:r w:rsidR="00210F56">
          <w:rPr>
            <w:noProof/>
            <w:webHidden/>
          </w:rPr>
        </w:r>
        <w:r w:rsidR="00210F56">
          <w:rPr>
            <w:noProof/>
            <w:webHidden/>
          </w:rPr>
          <w:fldChar w:fldCharType="separate"/>
        </w:r>
        <w:r w:rsidR="00210F56">
          <w:rPr>
            <w:noProof/>
            <w:webHidden/>
          </w:rPr>
          <w:t>12</w:t>
        </w:r>
        <w:r w:rsidR="00210F56">
          <w:rPr>
            <w:noProof/>
            <w:webHidden/>
          </w:rPr>
          <w:fldChar w:fldCharType="end"/>
        </w:r>
      </w:hyperlink>
    </w:p>
    <w:p w14:paraId="5F8665C4" w14:textId="17594A06" w:rsidR="00210F56" w:rsidRDefault="005F3100" w:rsidP="00210F56">
      <w:pPr>
        <w:pStyle w:val="TOC1"/>
        <w:rPr>
          <w:rFonts w:eastAsiaTheme="minorEastAsia"/>
          <w:noProof/>
          <w:kern w:val="2"/>
          <w:lang w:eastAsia="en-AU"/>
          <w14:ligatures w14:val="standardContextual"/>
        </w:rPr>
      </w:pPr>
      <w:hyperlink w:anchor="_Toc155863407" w:history="1">
        <w:r w:rsidR="00210F56" w:rsidRPr="009B6571">
          <w:rPr>
            <w:rStyle w:val="Hyperlink"/>
            <w:rFonts w:eastAsia="Times New Roman"/>
            <w:noProof/>
          </w:rPr>
          <w:t>4.2</w:t>
        </w:r>
        <w:r w:rsidR="00210F56">
          <w:rPr>
            <w:rFonts w:eastAsiaTheme="minorEastAsia"/>
            <w:noProof/>
            <w:kern w:val="2"/>
            <w:lang w:eastAsia="en-AU"/>
            <w14:ligatures w14:val="standardContextual"/>
          </w:rPr>
          <w:tab/>
        </w:r>
        <w:r w:rsidR="00210F56" w:rsidRPr="009B6571">
          <w:rPr>
            <w:rStyle w:val="Hyperlink"/>
            <w:rFonts w:eastAsia="Times New Roman"/>
            <w:noProof/>
          </w:rPr>
          <w:t>Inclusions and exclusions</w:t>
        </w:r>
        <w:r w:rsidR="00210F56">
          <w:rPr>
            <w:noProof/>
            <w:webHidden/>
          </w:rPr>
          <w:tab/>
        </w:r>
        <w:r w:rsidR="00210F56">
          <w:rPr>
            <w:noProof/>
            <w:webHidden/>
          </w:rPr>
          <w:fldChar w:fldCharType="begin"/>
        </w:r>
        <w:r w:rsidR="00210F56">
          <w:rPr>
            <w:noProof/>
            <w:webHidden/>
          </w:rPr>
          <w:instrText xml:space="preserve"> PAGEREF _Toc155863407 \h </w:instrText>
        </w:r>
        <w:r w:rsidR="00210F56">
          <w:rPr>
            <w:noProof/>
            <w:webHidden/>
          </w:rPr>
        </w:r>
        <w:r w:rsidR="00210F56">
          <w:rPr>
            <w:noProof/>
            <w:webHidden/>
          </w:rPr>
          <w:fldChar w:fldCharType="separate"/>
        </w:r>
        <w:r w:rsidR="00210F56">
          <w:rPr>
            <w:noProof/>
            <w:webHidden/>
          </w:rPr>
          <w:t>13</w:t>
        </w:r>
        <w:r w:rsidR="00210F56">
          <w:rPr>
            <w:noProof/>
            <w:webHidden/>
          </w:rPr>
          <w:fldChar w:fldCharType="end"/>
        </w:r>
      </w:hyperlink>
    </w:p>
    <w:p w14:paraId="41FB0C49" w14:textId="71A3159D"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08" w:history="1">
        <w:r w:rsidR="00210F56" w:rsidRPr="009B6571">
          <w:rPr>
            <w:rStyle w:val="Hyperlink"/>
            <w:rFonts w:eastAsia="Times New Roman"/>
            <w:noProof/>
          </w:rPr>
          <w:t>4.2.1</w:t>
        </w:r>
        <w:r w:rsidR="00210F56">
          <w:rPr>
            <w:rFonts w:eastAsiaTheme="minorEastAsia"/>
            <w:noProof/>
            <w:kern w:val="2"/>
            <w:lang w:eastAsia="en-AU"/>
            <w14:ligatures w14:val="standardContextual"/>
          </w:rPr>
          <w:tab/>
        </w:r>
        <w:r w:rsidR="00210F56" w:rsidRPr="009B6571">
          <w:rPr>
            <w:rStyle w:val="Hyperlink"/>
            <w:rFonts w:eastAsia="Times New Roman"/>
            <w:noProof/>
          </w:rPr>
          <w:t>Net receipted income that can be included in the R&amp;D income return comprises:</w:t>
        </w:r>
        <w:r w:rsidR="00210F56">
          <w:rPr>
            <w:noProof/>
            <w:webHidden/>
          </w:rPr>
          <w:tab/>
        </w:r>
        <w:r w:rsidR="00210F56">
          <w:rPr>
            <w:noProof/>
            <w:webHidden/>
          </w:rPr>
          <w:fldChar w:fldCharType="begin"/>
        </w:r>
        <w:r w:rsidR="00210F56">
          <w:rPr>
            <w:noProof/>
            <w:webHidden/>
          </w:rPr>
          <w:instrText xml:space="preserve"> PAGEREF _Toc155863408 \h </w:instrText>
        </w:r>
        <w:r w:rsidR="00210F56">
          <w:rPr>
            <w:noProof/>
            <w:webHidden/>
          </w:rPr>
        </w:r>
        <w:r w:rsidR="00210F56">
          <w:rPr>
            <w:noProof/>
            <w:webHidden/>
          </w:rPr>
          <w:fldChar w:fldCharType="separate"/>
        </w:r>
        <w:r w:rsidR="00210F56">
          <w:rPr>
            <w:noProof/>
            <w:webHidden/>
          </w:rPr>
          <w:t>13</w:t>
        </w:r>
        <w:r w:rsidR="00210F56">
          <w:rPr>
            <w:noProof/>
            <w:webHidden/>
          </w:rPr>
          <w:fldChar w:fldCharType="end"/>
        </w:r>
      </w:hyperlink>
    </w:p>
    <w:p w14:paraId="57131E91" w14:textId="20AA4583"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09" w:history="1">
        <w:r w:rsidR="00210F56" w:rsidRPr="009B6571">
          <w:rPr>
            <w:rStyle w:val="Hyperlink"/>
            <w:rFonts w:eastAsia="Times New Roman"/>
            <w:noProof/>
          </w:rPr>
          <w:t>4.2.2</w:t>
        </w:r>
        <w:r w:rsidR="00210F56">
          <w:rPr>
            <w:rFonts w:eastAsiaTheme="minorEastAsia"/>
            <w:noProof/>
            <w:kern w:val="2"/>
            <w:lang w:eastAsia="en-AU"/>
            <w14:ligatures w14:val="standardContextual"/>
          </w:rPr>
          <w:tab/>
        </w:r>
        <w:r w:rsidR="00210F56" w:rsidRPr="009B6571">
          <w:rPr>
            <w:rStyle w:val="Hyperlink"/>
            <w:rFonts w:eastAsia="Times New Roman"/>
            <w:noProof/>
          </w:rPr>
          <w:t>R&amp;D income that is excluded in the R&amp;D income return comprises:</w:t>
        </w:r>
        <w:r w:rsidR="00210F56">
          <w:rPr>
            <w:noProof/>
            <w:webHidden/>
          </w:rPr>
          <w:tab/>
        </w:r>
        <w:r w:rsidR="00210F56">
          <w:rPr>
            <w:noProof/>
            <w:webHidden/>
          </w:rPr>
          <w:fldChar w:fldCharType="begin"/>
        </w:r>
        <w:r w:rsidR="00210F56">
          <w:rPr>
            <w:noProof/>
            <w:webHidden/>
          </w:rPr>
          <w:instrText xml:space="preserve"> PAGEREF _Toc155863409 \h </w:instrText>
        </w:r>
        <w:r w:rsidR="00210F56">
          <w:rPr>
            <w:noProof/>
            <w:webHidden/>
          </w:rPr>
        </w:r>
        <w:r w:rsidR="00210F56">
          <w:rPr>
            <w:noProof/>
            <w:webHidden/>
          </w:rPr>
          <w:fldChar w:fldCharType="separate"/>
        </w:r>
        <w:r w:rsidR="00210F56">
          <w:rPr>
            <w:noProof/>
            <w:webHidden/>
          </w:rPr>
          <w:t>13</w:t>
        </w:r>
        <w:r w:rsidR="00210F56">
          <w:rPr>
            <w:noProof/>
            <w:webHidden/>
          </w:rPr>
          <w:fldChar w:fldCharType="end"/>
        </w:r>
      </w:hyperlink>
    </w:p>
    <w:p w14:paraId="1388768C" w14:textId="66CF0795" w:rsidR="00210F56" w:rsidRDefault="005F3100" w:rsidP="00210F56">
      <w:pPr>
        <w:pStyle w:val="TOC1"/>
        <w:rPr>
          <w:rFonts w:eastAsiaTheme="minorEastAsia"/>
          <w:noProof/>
          <w:kern w:val="2"/>
          <w:lang w:eastAsia="en-AU"/>
          <w14:ligatures w14:val="standardContextual"/>
        </w:rPr>
      </w:pPr>
      <w:hyperlink w:anchor="_Toc155863410" w:history="1">
        <w:r w:rsidR="00210F56" w:rsidRPr="009B6571">
          <w:rPr>
            <w:rStyle w:val="Hyperlink"/>
            <w:rFonts w:eastAsia="Times New Roman"/>
            <w:noProof/>
          </w:rPr>
          <w:t>4.3 Income involving other parties</w:t>
        </w:r>
        <w:r w:rsidR="00210F56">
          <w:rPr>
            <w:noProof/>
            <w:webHidden/>
          </w:rPr>
          <w:tab/>
        </w:r>
        <w:r w:rsidR="00210F56">
          <w:rPr>
            <w:noProof/>
            <w:webHidden/>
          </w:rPr>
          <w:fldChar w:fldCharType="begin"/>
        </w:r>
        <w:r w:rsidR="00210F56">
          <w:rPr>
            <w:noProof/>
            <w:webHidden/>
          </w:rPr>
          <w:instrText xml:space="preserve"> PAGEREF _Toc155863410 \h </w:instrText>
        </w:r>
        <w:r w:rsidR="00210F56">
          <w:rPr>
            <w:noProof/>
            <w:webHidden/>
          </w:rPr>
        </w:r>
        <w:r w:rsidR="00210F56">
          <w:rPr>
            <w:noProof/>
            <w:webHidden/>
          </w:rPr>
          <w:fldChar w:fldCharType="separate"/>
        </w:r>
        <w:r w:rsidR="00210F56">
          <w:rPr>
            <w:noProof/>
            <w:webHidden/>
          </w:rPr>
          <w:t>15</w:t>
        </w:r>
        <w:r w:rsidR="00210F56">
          <w:rPr>
            <w:noProof/>
            <w:webHidden/>
          </w:rPr>
          <w:fldChar w:fldCharType="end"/>
        </w:r>
      </w:hyperlink>
    </w:p>
    <w:p w14:paraId="7538927A" w14:textId="225C9645"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11" w:history="1">
        <w:r w:rsidR="00210F56" w:rsidRPr="009B6571">
          <w:rPr>
            <w:rStyle w:val="Hyperlink"/>
            <w:rFonts w:eastAsia="Times New Roman"/>
            <w:noProof/>
          </w:rPr>
          <w:t>4.3.1</w:t>
        </w:r>
        <w:r w:rsidR="00210F56">
          <w:rPr>
            <w:rFonts w:eastAsiaTheme="minorEastAsia"/>
            <w:noProof/>
            <w:kern w:val="2"/>
            <w:lang w:eastAsia="en-AU"/>
            <w14:ligatures w14:val="standardContextual"/>
          </w:rPr>
          <w:tab/>
        </w:r>
        <w:r w:rsidR="00210F56" w:rsidRPr="009B6571">
          <w:rPr>
            <w:rStyle w:val="Hyperlink"/>
            <w:rFonts w:eastAsia="Times New Roman"/>
            <w:noProof/>
          </w:rPr>
          <w:t>Eligible third-party income</w:t>
        </w:r>
        <w:r w:rsidR="00210F56">
          <w:rPr>
            <w:noProof/>
            <w:webHidden/>
          </w:rPr>
          <w:tab/>
        </w:r>
        <w:r w:rsidR="00210F56">
          <w:rPr>
            <w:noProof/>
            <w:webHidden/>
          </w:rPr>
          <w:fldChar w:fldCharType="begin"/>
        </w:r>
        <w:r w:rsidR="00210F56">
          <w:rPr>
            <w:noProof/>
            <w:webHidden/>
          </w:rPr>
          <w:instrText xml:space="preserve"> PAGEREF _Toc155863411 \h </w:instrText>
        </w:r>
        <w:r w:rsidR="00210F56">
          <w:rPr>
            <w:noProof/>
            <w:webHidden/>
          </w:rPr>
        </w:r>
        <w:r w:rsidR="00210F56">
          <w:rPr>
            <w:noProof/>
            <w:webHidden/>
          </w:rPr>
          <w:fldChar w:fldCharType="separate"/>
        </w:r>
        <w:r w:rsidR="00210F56">
          <w:rPr>
            <w:noProof/>
            <w:webHidden/>
          </w:rPr>
          <w:t>15</w:t>
        </w:r>
        <w:r w:rsidR="00210F56">
          <w:rPr>
            <w:noProof/>
            <w:webHidden/>
          </w:rPr>
          <w:fldChar w:fldCharType="end"/>
        </w:r>
      </w:hyperlink>
    </w:p>
    <w:p w14:paraId="16584650" w14:textId="5EEAD554" w:rsidR="00210F56" w:rsidRDefault="005F3100">
      <w:pPr>
        <w:pStyle w:val="TOC2"/>
        <w:tabs>
          <w:tab w:val="right" w:leader="dot" w:pos="9016"/>
        </w:tabs>
        <w:rPr>
          <w:rFonts w:eastAsiaTheme="minorEastAsia"/>
          <w:noProof/>
          <w:kern w:val="2"/>
          <w:lang w:eastAsia="en-AU"/>
          <w14:ligatures w14:val="standardContextual"/>
        </w:rPr>
      </w:pPr>
      <w:hyperlink w:anchor="_Toc155863412" w:history="1">
        <w:r w:rsidR="00210F56" w:rsidRPr="009B6571">
          <w:rPr>
            <w:rStyle w:val="Hyperlink"/>
            <w:noProof/>
          </w:rPr>
          <w:t>4.3.2 Ineligible third-party income</w:t>
        </w:r>
        <w:r w:rsidR="00210F56">
          <w:rPr>
            <w:noProof/>
            <w:webHidden/>
          </w:rPr>
          <w:tab/>
        </w:r>
        <w:r w:rsidR="00210F56">
          <w:rPr>
            <w:noProof/>
            <w:webHidden/>
          </w:rPr>
          <w:fldChar w:fldCharType="begin"/>
        </w:r>
        <w:r w:rsidR="00210F56">
          <w:rPr>
            <w:noProof/>
            <w:webHidden/>
          </w:rPr>
          <w:instrText xml:space="preserve"> PAGEREF _Toc155863412 \h </w:instrText>
        </w:r>
        <w:r w:rsidR="00210F56">
          <w:rPr>
            <w:noProof/>
            <w:webHidden/>
          </w:rPr>
        </w:r>
        <w:r w:rsidR="00210F56">
          <w:rPr>
            <w:noProof/>
            <w:webHidden/>
          </w:rPr>
          <w:fldChar w:fldCharType="separate"/>
        </w:r>
        <w:r w:rsidR="00210F56">
          <w:rPr>
            <w:noProof/>
            <w:webHidden/>
          </w:rPr>
          <w:t>16</w:t>
        </w:r>
        <w:r w:rsidR="00210F56">
          <w:rPr>
            <w:noProof/>
            <w:webHidden/>
          </w:rPr>
          <w:fldChar w:fldCharType="end"/>
        </w:r>
      </w:hyperlink>
    </w:p>
    <w:p w14:paraId="538E256E" w14:textId="3DBA7CEC" w:rsidR="00210F56" w:rsidRDefault="005F3100" w:rsidP="00210F56">
      <w:pPr>
        <w:pStyle w:val="TOC1"/>
        <w:rPr>
          <w:rFonts w:eastAsiaTheme="minorEastAsia"/>
          <w:noProof/>
          <w:kern w:val="2"/>
          <w:lang w:eastAsia="en-AU"/>
          <w14:ligatures w14:val="standardContextual"/>
        </w:rPr>
      </w:pPr>
      <w:hyperlink w:anchor="_Toc155863413" w:history="1">
        <w:r w:rsidR="00210F56" w:rsidRPr="009B6571">
          <w:rPr>
            <w:rStyle w:val="Hyperlink"/>
            <w:noProof/>
          </w:rPr>
          <w:t>4.4</w:t>
        </w:r>
        <w:r w:rsidR="00210F56">
          <w:rPr>
            <w:rFonts w:eastAsiaTheme="minorEastAsia"/>
            <w:noProof/>
            <w:kern w:val="2"/>
            <w:lang w:eastAsia="en-AU"/>
            <w14:ligatures w14:val="standardContextual"/>
          </w:rPr>
          <w:tab/>
        </w:r>
        <w:r w:rsidR="00210F56" w:rsidRPr="009B6571">
          <w:rPr>
            <w:rStyle w:val="Hyperlink"/>
            <w:noProof/>
          </w:rPr>
          <w:t>Transfers</w:t>
        </w:r>
        <w:r w:rsidR="00210F56">
          <w:rPr>
            <w:noProof/>
            <w:webHidden/>
          </w:rPr>
          <w:tab/>
        </w:r>
        <w:r w:rsidR="00210F56">
          <w:rPr>
            <w:noProof/>
            <w:webHidden/>
          </w:rPr>
          <w:fldChar w:fldCharType="begin"/>
        </w:r>
        <w:r w:rsidR="00210F56">
          <w:rPr>
            <w:noProof/>
            <w:webHidden/>
          </w:rPr>
          <w:instrText xml:space="preserve"> PAGEREF _Toc155863413 \h </w:instrText>
        </w:r>
        <w:r w:rsidR="00210F56">
          <w:rPr>
            <w:noProof/>
            <w:webHidden/>
          </w:rPr>
        </w:r>
        <w:r w:rsidR="00210F56">
          <w:rPr>
            <w:noProof/>
            <w:webHidden/>
          </w:rPr>
          <w:fldChar w:fldCharType="separate"/>
        </w:r>
        <w:r w:rsidR="00210F56">
          <w:rPr>
            <w:noProof/>
            <w:webHidden/>
          </w:rPr>
          <w:t>16</w:t>
        </w:r>
        <w:r w:rsidR="00210F56">
          <w:rPr>
            <w:noProof/>
            <w:webHidden/>
          </w:rPr>
          <w:fldChar w:fldCharType="end"/>
        </w:r>
      </w:hyperlink>
    </w:p>
    <w:p w14:paraId="0F3ED9E9" w14:textId="3EA3CFA8" w:rsidR="00210F56" w:rsidRDefault="005F3100" w:rsidP="00210F56">
      <w:pPr>
        <w:pStyle w:val="TOC1"/>
        <w:rPr>
          <w:rFonts w:eastAsiaTheme="minorEastAsia"/>
          <w:noProof/>
          <w:kern w:val="2"/>
          <w:lang w:eastAsia="en-AU"/>
          <w14:ligatures w14:val="standardContextual"/>
        </w:rPr>
      </w:pPr>
      <w:hyperlink w:anchor="_Toc155863414" w:history="1">
        <w:r w:rsidR="00210F56" w:rsidRPr="009B6571">
          <w:rPr>
            <w:rStyle w:val="Hyperlink"/>
            <w:noProof/>
          </w:rPr>
          <w:t>4.5</w:t>
        </w:r>
        <w:r w:rsidR="00210F56">
          <w:rPr>
            <w:rFonts w:eastAsiaTheme="minorEastAsia"/>
            <w:noProof/>
            <w:kern w:val="2"/>
            <w:lang w:eastAsia="en-AU"/>
            <w14:ligatures w14:val="standardContextual"/>
          </w:rPr>
          <w:tab/>
        </w:r>
        <w:r w:rsidR="00210F56" w:rsidRPr="009B6571">
          <w:rPr>
            <w:rStyle w:val="Hyperlink"/>
            <w:noProof/>
          </w:rPr>
          <w:t>Refunds</w:t>
        </w:r>
        <w:r w:rsidR="00210F56">
          <w:rPr>
            <w:noProof/>
            <w:webHidden/>
          </w:rPr>
          <w:tab/>
        </w:r>
        <w:r w:rsidR="00210F56">
          <w:rPr>
            <w:noProof/>
            <w:webHidden/>
          </w:rPr>
          <w:fldChar w:fldCharType="begin"/>
        </w:r>
        <w:r w:rsidR="00210F56">
          <w:rPr>
            <w:noProof/>
            <w:webHidden/>
          </w:rPr>
          <w:instrText xml:space="preserve"> PAGEREF _Toc155863414 \h </w:instrText>
        </w:r>
        <w:r w:rsidR="00210F56">
          <w:rPr>
            <w:noProof/>
            <w:webHidden/>
          </w:rPr>
        </w:r>
        <w:r w:rsidR="00210F56">
          <w:rPr>
            <w:noProof/>
            <w:webHidden/>
          </w:rPr>
          <w:fldChar w:fldCharType="separate"/>
        </w:r>
        <w:r w:rsidR="00210F56">
          <w:rPr>
            <w:noProof/>
            <w:webHidden/>
          </w:rPr>
          <w:t>16</w:t>
        </w:r>
        <w:r w:rsidR="00210F56">
          <w:rPr>
            <w:noProof/>
            <w:webHidden/>
          </w:rPr>
          <w:fldChar w:fldCharType="end"/>
        </w:r>
      </w:hyperlink>
    </w:p>
    <w:p w14:paraId="793A772A" w14:textId="5A3E1DB4" w:rsidR="00210F56" w:rsidRDefault="005F3100" w:rsidP="00210F56">
      <w:pPr>
        <w:pStyle w:val="TOC1"/>
        <w:rPr>
          <w:rFonts w:eastAsiaTheme="minorEastAsia"/>
          <w:noProof/>
          <w:kern w:val="2"/>
          <w:lang w:eastAsia="en-AU"/>
          <w14:ligatures w14:val="standardContextual"/>
        </w:rPr>
      </w:pPr>
      <w:hyperlink w:anchor="_Toc155863415" w:history="1">
        <w:r w:rsidR="00210F56" w:rsidRPr="009B6571">
          <w:rPr>
            <w:rStyle w:val="Hyperlink"/>
            <w:noProof/>
          </w:rPr>
          <w:t>4.6</w:t>
        </w:r>
        <w:r w:rsidR="00210F56">
          <w:rPr>
            <w:rFonts w:eastAsiaTheme="minorEastAsia"/>
            <w:noProof/>
            <w:kern w:val="2"/>
            <w:lang w:eastAsia="en-AU"/>
            <w14:ligatures w14:val="standardContextual"/>
          </w:rPr>
          <w:tab/>
        </w:r>
        <w:r w:rsidR="00210F56" w:rsidRPr="009B6571">
          <w:rPr>
            <w:rStyle w:val="Hyperlink"/>
            <w:noProof/>
          </w:rPr>
          <w:t>CRCs that are no longer operational</w:t>
        </w:r>
        <w:r w:rsidR="00210F56">
          <w:rPr>
            <w:noProof/>
            <w:webHidden/>
          </w:rPr>
          <w:tab/>
        </w:r>
        <w:r w:rsidR="00210F56">
          <w:rPr>
            <w:noProof/>
            <w:webHidden/>
          </w:rPr>
          <w:fldChar w:fldCharType="begin"/>
        </w:r>
        <w:r w:rsidR="00210F56">
          <w:rPr>
            <w:noProof/>
            <w:webHidden/>
          </w:rPr>
          <w:instrText xml:space="preserve"> PAGEREF _Toc155863415 \h </w:instrText>
        </w:r>
        <w:r w:rsidR="00210F56">
          <w:rPr>
            <w:noProof/>
            <w:webHidden/>
          </w:rPr>
        </w:r>
        <w:r w:rsidR="00210F56">
          <w:rPr>
            <w:noProof/>
            <w:webHidden/>
          </w:rPr>
          <w:fldChar w:fldCharType="separate"/>
        </w:r>
        <w:r w:rsidR="00210F56">
          <w:rPr>
            <w:noProof/>
            <w:webHidden/>
          </w:rPr>
          <w:t>16</w:t>
        </w:r>
        <w:r w:rsidR="00210F56">
          <w:rPr>
            <w:noProof/>
            <w:webHidden/>
          </w:rPr>
          <w:fldChar w:fldCharType="end"/>
        </w:r>
      </w:hyperlink>
    </w:p>
    <w:p w14:paraId="52FA76F3" w14:textId="0BB635E8" w:rsidR="00210F56" w:rsidRDefault="005F3100" w:rsidP="00210F56">
      <w:pPr>
        <w:pStyle w:val="TOC1"/>
        <w:rPr>
          <w:rFonts w:eastAsiaTheme="minorEastAsia"/>
          <w:noProof/>
          <w:kern w:val="2"/>
          <w:lang w:eastAsia="en-AU"/>
          <w14:ligatures w14:val="standardContextual"/>
        </w:rPr>
      </w:pPr>
      <w:hyperlink w:anchor="_Toc155863416" w:history="1">
        <w:r w:rsidR="00210F56" w:rsidRPr="009B6571">
          <w:rPr>
            <w:rStyle w:val="Hyperlink"/>
            <w:noProof/>
          </w:rPr>
          <w:t>5.1</w:t>
        </w:r>
        <w:r w:rsidR="00210F56">
          <w:rPr>
            <w:rFonts w:eastAsiaTheme="minorEastAsia"/>
            <w:noProof/>
            <w:kern w:val="2"/>
            <w:lang w:eastAsia="en-AU"/>
            <w14:ligatures w14:val="standardContextual"/>
          </w:rPr>
          <w:tab/>
        </w:r>
        <w:r w:rsidR="00210F56" w:rsidRPr="009B6571">
          <w:rPr>
            <w:rStyle w:val="Hyperlink"/>
            <w:noProof/>
          </w:rPr>
          <w:t>Category 1: Australian competitive grant R&amp;D income</w:t>
        </w:r>
        <w:r w:rsidR="00210F56">
          <w:rPr>
            <w:noProof/>
            <w:webHidden/>
          </w:rPr>
          <w:tab/>
        </w:r>
        <w:r w:rsidR="00210F56">
          <w:rPr>
            <w:noProof/>
            <w:webHidden/>
          </w:rPr>
          <w:fldChar w:fldCharType="begin"/>
        </w:r>
        <w:r w:rsidR="00210F56">
          <w:rPr>
            <w:noProof/>
            <w:webHidden/>
          </w:rPr>
          <w:instrText xml:space="preserve"> PAGEREF _Toc155863416 \h </w:instrText>
        </w:r>
        <w:r w:rsidR="00210F56">
          <w:rPr>
            <w:noProof/>
            <w:webHidden/>
          </w:rPr>
        </w:r>
        <w:r w:rsidR="00210F56">
          <w:rPr>
            <w:noProof/>
            <w:webHidden/>
          </w:rPr>
          <w:fldChar w:fldCharType="separate"/>
        </w:r>
        <w:r w:rsidR="00210F56">
          <w:rPr>
            <w:noProof/>
            <w:webHidden/>
          </w:rPr>
          <w:t>19</w:t>
        </w:r>
        <w:r w:rsidR="00210F56">
          <w:rPr>
            <w:noProof/>
            <w:webHidden/>
          </w:rPr>
          <w:fldChar w:fldCharType="end"/>
        </w:r>
      </w:hyperlink>
    </w:p>
    <w:p w14:paraId="6DB2294F" w14:textId="167828AA" w:rsidR="00210F56" w:rsidRDefault="005F3100" w:rsidP="00210F56">
      <w:pPr>
        <w:pStyle w:val="TOC1"/>
        <w:rPr>
          <w:rFonts w:eastAsiaTheme="minorEastAsia"/>
          <w:noProof/>
          <w:kern w:val="2"/>
          <w:lang w:eastAsia="en-AU"/>
          <w14:ligatures w14:val="standardContextual"/>
        </w:rPr>
      </w:pPr>
      <w:hyperlink w:anchor="_Toc155863417" w:history="1">
        <w:r w:rsidR="00210F56" w:rsidRPr="009B6571">
          <w:rPr>
            <w:rStyle w:val="Hyperlink"/>
            <w:noProof/>
          </w:rPr>
          <w:t>Fig. 1. Decision Tree to determine Category 1 Australian competitive grant R&amp;D income</w:t>
        </w:r>
        <w:r w:rsidR="00210F56">
          <w:rPr>
            <w:noProof/>
            <w:webHidden/>
          </w:rPr>
          <w:tab/>
        </w:r>
        <w:r w:rsidR="00210F56">
          <w:rPr>
            <w:noProof/>
            <w:webHidden/>
          </w:rPr>
          <w:fldChar w:fldCharType="begin"/>
        </w:r>
        <w:r w:rsidR="00210F56">
          <w:rPr>
            <w:noProof/>
            <w:webHidden/>
          </w:rPr>
          <w:instrText xml:space="preserve"> PAGEREF _Toc155863417 \h </w:instrText>
        </w:r>
        <w:r w:rsidR="00210F56">
          <w:rPr>
            <w:noProof/>
            <w:webHidden/>
          </w:rPr>
        </w:r>
        <w:r w:rsidR="00210F56">
          <w:rPr>
            <w:noProof/>
            <w:webHidden/>
          </w:rPr>
          <w:fldChar w:fldCharType="separate"/>
        </w:r>
        <w:r w:rsidR="00210F56">
          <w:rPr>
            <w:noProof/>
            <w:webHidden/>
          </w:rPr>
          <w:t>20</w:t>
        </w:r>
        <w:r w:rsidR="00210F56">
          <w:rPr>
            <w:noProof/>
            <w:webHidden/>
          </w:rPr>
          <w:fldChar w:fldCharType="end"/>
        </w:r>
      </w:hyperlink>
    </w:p>
    <w:p w14:paraId="66E79E27" w14:textId="20FE6749"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18" w:history="1">
        <w:r w:rsidR="00210F56" w:rsidRPr="009B6571">
          <w:rPr>
            <w:rStyle w:val="Hyperlink"/>
            <w:noProof/>
          </w:rPr>
          <w:t>5.1.1</w:t>
        </w:r>
        <w:r w:rsidR="00210F56">
          <w:rPr>
            <w:rFonts w:eastAsiaTheme="minorEastAsia"/>
            <w:noProof/>
            <w:kern w:val="2"/>
            <w:lang w:eastAsia="en-AU"/>
            <w14:ligatures w14:val="standardContextual"/>
          </w:rPr>
          <w:tab/>
        </w:r>
        <w:r w:rsidR="00210F56" w:rsidRPr="009B6571">
          <w:rPr>
            <w:rStyle w:val="Hyperlink"/>
            <w:noProof/>
          </w:rPr>
          <w:t>Definition of terms associated with Decision Tree</w:t>
        </w:r>
        <w:r w:rsidR="00210F56">
          <w:rPr>
            <w:noProof/>
            <w:webHidden/>
          </w:rPr>
          <w:tab/>
        </w:r>
        <w:r w:rsidR="00210F56">
          <w:rPr>
            <w:noProof/>
            <w:webHidden/>
          </w:rPr>
          <w:fldChar w:fldCharType="begin"/>
        </w:r>
        <w:r w:rsidR="00210F56">
          <w:rPr>
            <w:noProof/>
            <w:webHidden/>
          </w:rPr>
          <w:instrText xml:space="preserve"> PAGEREF _Toc155863418 \h </w:instrText>
        </w:r>
        <w:r w:rsidR="00210F56">
          <w:rPr>
            <w:noProof/>
            <w:webHidden/>
          </w:rPr>
        </w:r>
        <w:r w:rsidR="00210F56">
          <w:rPr>
            <w:noProof/>
            <w:webHidden/>
          </w:rPr>
          <w:fldChar w:fldCharType="separate"/>
        </w:r>
        <w:r w:rsidR="00210F56">
          <w:rPr>
            <w:noProof/>
            <w:webHidden/>
          </w:rPr>
          <w:t>22</w:t>
        </w:r>
        <w:r w:rsidR="00210F56">
          <w:rPr>
            <w:noProof/>
            <w:webHidden/>
          </w:rPr>
          <w:fldChar w:fldCharType="end"/>
        </w:r>
      </w:hyperlink>
    </w:p>
    <w:p w14:paraId="5EAB3215" w14:textId="60ADC48A" w:rsidR="00210F56" w:rsidRDefault="005F3100" w:rsidP="00210F56">
      <w:pPr>
        <w:pStyle w:val="TOC1"/>
        <w:rPr>
          <w:rFonts w:eastAsiaTheme="minorEastAsia"/>
          <w:noProof/>
          <w:kern w:val="2"/>
          <w:lang w:eastAsia="en-AU"/>
          <w14:ligatures w14:val="standardContextual"/>
        </w:rPr>
      </w:pPr>
      <w:hyperlink w:anchor="_Toc155863419" w:history="1">
        <w:r w:rsidR="00210F56" w:rsidRPr="009B6571">
          <w:rPr>
            <w:rStyle w:val="Hyperlink"/>
            <w:noProof/>
          </w:rPr>
          <w:t>5.2</w:t>
        </w:r>
        <w:r w:rsidR="00210F56">
          <w:rPr>
            <w:rFonts w:eastAsiaTheme="minorEastAsia"/>
            <w:noProof/>
            <w:kern w:val="2"/>
            <w:lang w:eastAsia="en-AU"/>
            <w14:ligatures w14:val="standardContextual"/>
          </w:rPr>
          <w:tab/>
        </w:r>
        <w:r w:rsidR="00210F56" w:rsidRPr="009B6571">
          <w:rPr>
            <w:rStyle w:val="Hyperlink"/>
            <w:noProof/>
          </w:rPr>
          <w:t>Category 2: other public sector R&amp;D income</w:t>
        </w:r>
        <w:r w:rsidR="00210F56">
          <w:rPr>
            <w:noProof/>
            <w:webHidden/>
          </w:rPr>
          <w:tab/>
        </w:r>
        <w:r w:rsidR="00210F56">
          <w:rPr>
            <w:noProof/>
            <w:webHidden/>
          </w:rPr>
          <w:fldChar w:fldCharType="begin"/>
        </w:r>
        <w:r w:rsidR="00210F56">
          <w:rPr>
            <w:noProof/>
            <w:webHidden/>
          </w:rPr>
          <w:instrText xml:space="preserve"> PAGEREF _Toc155863419 \h </w:instrText>
        </w:r>
        <w:r w:rsidR="00210F56">
          <w:rPr>
            <w:noProof/>
            <w:webHidden/>
          </w:rPr>
        </w:r>
        <w:r w:rsidR="00210F56">
          <w:rPr>
            <w:noProof/>
            <w:webHidden/>
          </w:rPr>
          <w:fldChar w:fldCharType="separate"/>
        </w:r>
        <w:r w:rsidR="00210F56">
          <w:rPr>
            <w:noProof/>
            <w:webHidden/>
          </w:rPr>
          <w:t>23</w:t>
        </w:r>
        <w:r w:rsidR="00210F56">
          <w:rPr>
            <w:noProof/>
            <w:webHidden/>
          </w:rPr>
          <w:fldChar w:fldCharType="end"/>
        </w:r>
      </w:hyperlink>
    </w:p>
    <w:p w14:paraId="68AD2964" w14:textId="6C536B86"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20" w:history="1">
        <w:r w:rsidR="00210F56" w:rsidRPr="009B6571">
          <w:rPr>
            <w:rStyle w:val="Hyperlink"/>
            <w:noProof/>
          </w:rPr>
          <w:t>5.2.1</w:t>
        </w:r>
        <w:r w:rsidR="00210F56">
          <w:rPr>
            <w:rFonts w:eastAsiaTheme="minorEastAsia"/>
            <w:noProof/>
            <w:kern w:val="2"/>
            <w:lang w:eastAsia="en-AU"/>
            <w14:ligatures w14:val="standardContextual"/>
          </w:rPr>
          <w:tab/>
        </w:r>
        <w:r w:rsidR="00210F56" w:rsidRPr="009B6571">
          <w:rPr>
            <w:rStyle w:val="Hyperlink"/>
            <w:noProof/>
          </w:rPr>
          <w:t>Commonwealth government</w:t>
        </w:r>
        <w:r w:rsidR="00210F56">
          <w:rPr>
            <w:noProof/>
            <w:webHidden/>
          </w:rPr>
          <w:tab/>
        </w:r>
        <w:r w:rsidR="00210F56">
          <w:rPr>
            <w:noProof/>
            <w:webHidden/>
          </w:rPr>
          <w:fldChar w:fldCharType="begin"/>
        </w:r>
        <w:r w:rsidR="00210F56">
          <w:rPr>
            <w:noProof/>
            <w:webHidden/>
          </w:rPr>
          <w:instrText xml:space="preserve"> PAGEREF _Toc155863420 \h </w:instrText>
        </w:r>
        <w:r w:rsidR="00210F56">
          <w:rPr>
            <w:noProof/>
            <w:webHidden/>
          </w:rPr>
        </w:r>
        <w:r w:rsidR="00210F56">
          <w:rPr>
            <w:noProof/>
            <w:webHidden/>
          </w:rPr>
          <w:fldChar w:fldCharType="separate"/>
        </w:r>
        <w:r w:rsidR="00210F56">
          <w:rPr>
            <w:noProof/>
            <w:webHidden/>
          </w:rPr>
          <w:t>24</w:t>
        </w:r>
        <w:r w:rsidR="00210F56">
          <w:rPr>
            <w:noProof/>
            <w:webHidden/>
          </w:rPr>
          <w:fldChar w:fldCharType="end"/>
        </w:r>
      </w:hyperlink>
    </w:p>
    <w:p w14:paraId="5619D265" w14:textId="4F3755D7"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21" w:history="1">
        <w:r w:rsidR="00210F56" w:rsidRPr="009B6571">
          <w:rPr>
            <w:rStyle w:val="Hyperlink"/>
            <w:noProof/>
          </w:rPr>
          <w:t>5.2.2</w:t>
        </w:r>
        <w:r w:rsidR="00210F56">
          <w:rPr>
            <w:rFonts w:eastAsiaTheme="minorEastAsia"/>
            <w:noProof/>
            <w:kern w:val="2"/>
            <w:lang w:eastAsia="en-AU"/>
            <w14:ligatures w14:val="standardContextual"/>
          </w:rPr>
          <w:tab/>
        </w:r>
        <w:r w:rsidR="00210F56" w:rsidRPr="009B6571">
          <w:rPr>
            <w:rStyle w:val="Hyperlink"/>
            <w:noProof/>
          </w:rPr>
          <w:t>State/territory/local government R&amp;D</w:t>
        </w:r>
        <w:r w:rsidR="00210F56">
          <w:rPr>
            <w:noProof/>
            <w:webHidden/>
          </w:rPr>
          <w:tab/>
        </w:r>
        <w:r w:rsidR="00210F56">
          <w:rPr>
            <w:noProof/>
            <w:webHidden/>
          </w:rPr>
          <w:fldChar w:fldCharType="begin"/>
        </w:r>
        <w:r w:rsidR="00210F56">
          <w:rPr>
            <w:noProof/>
            <w:webHidden/>
          </w:rPr>
          <w:instrText xml:space="preserve"> PAGEREF _Toc155863421 \h </w:instrText>
        </w:r>
        <w:r w:rsidR="00210F56">
          <w:rPr>
            <w:noProof/>
            <w:webHidden/>
          </w:rPr>
        </w:r>
        <w:r w:rsidR="00210F56">
          <w:rPr>
            <w:noProof/>
            <w:webHidden/>
          </w:rPr>
          <w:fldChar w:fldCharType="separate"/>
        </w:r>
        <w:r w:rsidR="00210F56">
          <w:rPr>
            <w:noProof/>
            <w:webHidden/>
          </w:rPr>
          <w:t>24</w:t>
        </w:r>
        <w:r w:rsidR="00210F56">
          <w:rPr>
            <w:noProof/>
            <w:webHidden/>
          </w:rPr>
          <w:fldChar w:fldCharType="end"/>
        </w:r>
      </w:hyperlink>
    </w:p>
    <w:p w14:paraId="37A94A34" w14:textId="6D1D8722" w:rsidR="00210F56" w:rsidRDefault="005F3100" w:rsidP="00210F56">
      <w:pPr>
        <w:pStyle w:val="TOC1"/>
        <w:rPr>
          <w:rFonts w:eastAsiaTheme="minorEastAsia"/>
          <w:noProof/>
          <w:kern w:val="2"/>
          <w:lang w:eastAsia="en-AU"/>
          <w14:ligatures w14:val="standardContextual"/>
        </w:rPr>
      </w:pPr>
      <w:hyperlink w:anchor="_Toc155863422" w:history="1">
        <w:r w:rsidR="00210F56" w:rsidRPr="009B6571">
          <w:rPr>
            <w:rStyle w:val="Hyperlink"/>
            <w:noProof/>
          </w:rPr>
          <w:t>5.3</w:t>
        </w:r>
        <w:r w:rsidR="00210F56">
          <w:rPr>
            <w:rFonts w:eastAsiaTheme="minorEastAsia"/>
            <w:noProof/>
            <w:kern w:val="2"/>
            <w:lang w:eastAsia="en-AU"/>
            <w14:ligatures w14:val="standardContextual"/>
          </w:rPr>
          <w:tab/>
        </w:r>
        <w:r w:rsidR="00210F56" w:rsidRPr="009B6571">
          <w:rPr>
            <w:rStyle w:val="Hyperlink"/>
            <w:noProof/>
          </w:rPr>
          <w:t>Category 3: Industry and other R&amp;D income</w:t>
        </w:r>
        <w:r w:rsidR="00210F56">
          <w:rPr>
            <w:noProof/>
            <w:webHidden/>
          </w:rPr>
          <w:tab/>
        </w:r>
        <w:r w:rsidR="00210F56">
          <w:rPr>
            <w:noProof/>
            <w:webHidden/>
          </w:rPr>
          <w:fldChar w:fldCharType="begin"/>
        </w:r>
        <w:r w:rsidR="00210F56">
          <w:rPr>
            <w:noProof/>
            <w:webHidden/>
          </w:rPr>
          <w:instrText xml:space="preserve"> PAGEREF _Toc155863422 \h </w:instrText>
        </w:r>
        <w:r w:rsidR="00210F56">
          <w:rPr>
            <w:noProof/>
            <w:webHidden/>
          </w:rPr>
        </w:r>
        <w:r w:rsidR="00210F56">
          <w:rPr>
            <w:noProof/>
            <w:webHidden/>
          </w:rPr>
          <w:fldChar w:fldCharType="separate"/>
        </w:r>
        <w:r w:rsidR="00210F56">
          <w:rPr>
            <w:noProof/>
            <w:webHidden/>
          </w:rPr>
          <w:t>25</w:t>
        </w:r>
        <w:r w:rsidR="00210F56">
          <w:rPr>
            <w:noProof/>
            <w:webHidden/>
          </w:rPr>
          <w:fldChar w:fldCharType="end"/>
        </w:r>
      </w:hyperlink>
    </w:p>
    <w:p w14:paraId="74907ABD" w14:textId="57BC3992"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23" w:history="1">
        <w:r w:rsidR="00210F56" w:rsidRPr="009B6571">
          <w:rPr>
            <w:rStyle w:val="Hyperlink"/>
            <w:noProof/>
          </w:rPr>
          <w:t>5.3.1</w:t>
        </w:r>
        <w:r w:rsidR="00210F56">
          <w:rPr>
            <w:rFonts w:eastAsiaTheme="minorEastAsia"/>
            <w:noProof/>
            <w:kern w:val="2"/>
            <w:lang w:eastAsia="en-AU"/>
            <w14:ligatures w14:val="standardContextual"/>
          </w:rPr>
          <w:tab/>
        </w:r>
        <w:r w:rsidR="00210F56" w:rsidRPr="009B6571">
          <w:rPr>
            <w:rStyle w:val="Hyperlink"/>
            <w:noProof/>
          </w:rPr>
          <w:t>Australian private sector</w:t>
        </w:r>
        <w:r w:rsidR="00210F56">
          <w:rPr>
            <w:noProof/>
            <w:webHidden/>
          </w:rPr>
          <w:tab/>
        </w:r>
        <w:r w:rsidR="00210F56">
          <w:rPr>
            <w:noProof/>
            <w:webHidden/>
          </w:rPr>
          <w:fldChar w:fldCharType="begin"/>
        </w:r>
        <w:r w:rsidR="00210F56">
          <w:rPr>
            <w:noProof/>
            <w:webHidden/>
          </w:rPr>
          <w:instrText xml:space="preserve"> PAGEREF _Toc155863423 \h </w:instrText>
        </w:r>
        <w:r w:rsidR="00210F56">
          <w:rPr>
            <w:noProof/>
            <w:webHidden/>
          </w:rPr>
        </w:r>
        <w:r w:rsidR="00210F56">
          <w:rPr>
            <w:noProof/>
            <w:webHidden/>
          </w:rPr>
          <w:fldChar w:fldCharType="separate"/>
        </w:r>
        <w:r w:rsidR="00210F56">
          <w:rPr>
            <w:noProof/>
            <w:webHidden/>
          </w:rPr>
          <w:t>25</w:t>
        </w:r>
        <w:r w:rsidR="00210F56">
          <w:rPr>
            <w:noProof/>
            <w:webHidden/>
          </w:rPr>
          <w:fldChar w:fldCharType="end"/>
        </w:r>
      </w:hyperlink>
    </w:p>
    <w:p w14:paraId="65C19A4C" w14:textId="3B670182" w:rsidR="00210F56" w:rsidRDefault="005F3100">
      <w:pPr>
        <w:pStyle w:val="TOC3"/>
        <w:tabs>
          <w:tab w:val="right" w:leader="dot" w:pos="9016"/>
        </w:tabs>
        <w:rPr>
          <w:rFonts w:eastAsiaTheme="minorEastAsia"/>
          <w:noProof/>
          <w:kern w:val="2"/>
          <w:lang w:eastAsia="en-AU"/>
          <w14:ligatures w14:val="standardContextual"/>
        </w:rPr>
      </w:pPr>
      <w:hyperlink w:anchor="_Toc155863424" w:history="1">
        <w:r w:rsidR="00210F56" w:rsidRPr="009B6571">
          <w:rPr>
            <w:rStyle w:val="Hyperlink"/>
            <w:noProof/>
          </w:rPr>
          <w:t>Sub-category 3.3 Australian philanthropy</w:t>
        </w:r>
        <w:r w:rsidR="00210F56">
          <w:rPr>
            <w:noProof/>
            <w:webHidden/>
          </w:rPr>
          <w:tab/>
        </w:r>
        <w:r w:rsidR="00210F56">
          <w:rPr>
            <w:noProof/>
            <w:webHidden/>
          </w:rPr>
          <w:fldChar w:fldCharType="begin"/>
        </w:r>
        <w:r w:rsidR="00210F56">
          <w:rPr>
            <w:noProof/>
            <w:webHidden/>
          </w:rPr>
          <w:instrText xml:space="preserve"> PAGEREF _Toc155863424 \h </w:instrText>
        </w:r>
        <w:r w:rsidR="00210F56">
          <w:rPr>
            <w:noProof/>
            <w:webHidden/>
          </w:rPr>
        </w:r>
        <w:r w:rsidR="00210F56">
          <w:rPr>
            <w:noProof/>
            <w:webHidden/>
          </w:rPr>
          <w:fldChar w:fldCharType="separate"/>
        </w:r>
        <w:r w:rsidR="00210F56">
          <w:rPr>
            <w:noProof/>
            <w:webHidden/>
          </w:rPr>
          <w:t>26</w:t>
        </w:r>
        <w:r w:rsidR="00210F56">
          <w:rPr>
            <w:noProof/>
            <w:webHidden/>
          </w:rPr>
          <w:fldChar w:fldCharType="end"/>
        </w:r>
      </w:hyperlink>
    </w:p>
    <w:p w14:paraId="4F493657" w14:textId="4A96EE0E"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25" w:history="1">
        <w:r w:rsidR="00210F56" w:rsidRPr="009B6571">
          <w:rPr>
            <w:rStyle w:val="Hyperlink"/>
            <w:noProof/>
          </w:rPr>
          <w:t>5.3.2</w:t>
        </w:r>
        <w:r w:rsidR="00210F56">
          <w:rPr>
            <w:rFonts w:eastAsiaTheme="minorEastAsia"/>
            <w:noProof/>
            <w:kern w:val="2"/>
            <w:lang w:eastAsia="en-AU"/>
            <w14:ligatures w14:val="standardContextual"/>
          </w:rPr>
          <w:tab/>
        </w:r>
        <w:r w:rsidR="00210F56" w:rsidRPr="009B6571">
          <w:rPr>
            <w:rStyle w:val="Hyperlink"/>
            <w:noProof/>
          </w:rPr>
          <w:t>International private sector</w:t>
        </w:r>
        <w:r w:rsidR="00210F56">
          <w:rPr>
            <w:noProof/>
            <w:webHidden/>
          </w:rPr>
          <w:tab/>
        </w:r>
        <w:r w:rsidR="00210F56">
          <w:rPr>
            <w:noProof/>
            <w:webHidden/>
          </w:rPr>
          <w:fldChar w:fldCharType="begin"/>
        </w:r>
        <w:r w:rsidR="00210F56">
          <w:rPr>
            <w:noProof/>
            <w:webHidden/>
          </w:rPr>
          <w:instrText xml:space="preserve"> PAGEREF _Toc155863425 \h </w:instrText>
        </w:r>
        <w:r w:rsidR="00210F56">
          <w:rPr>
            <w:noProof/>
            <w:webHidden/>
          </w:rPr>
        </w:r>
        <w:r w:rsidR="00210F56">
          <w:rPr>
            <w:noProof/>
            <w:webHidden/>
          </w:rPr>
          <w:fldChar w:fldCharType="separate"/>
        </w:r>
        <w:r w:rsidR="00210F56">
          <w:rPr>
            <w:noProof/>
            <w:webHidden/>
          </w:rPr>
          <w:t>26</w:t>
        </w:r>
        <w:r w:rsidR="00210F56">
          <w:rPr>
            <w:noProof/>
            <w:webHidden/>
          </w:rPr>
          <w:fldChar w:fldCharType="end"/>
        </w:r>
      </w:hyperlink>
    </w:p>
    <w:p w14:paraId="46B6948D" w14:textId="16729A01"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26" w:history="1">
        <w:r w:rsidR="00210F56" w:rsidRPr="009B6571">
          <w:rPr>
            <w:rStyle w:val="Hyperlink"/>
            <w:noProof/>
          </w:rPr>
          <w:t>5.3.3</w:t>
        </w:r>
        <w:r w:rsidR="00210F56">
          <w:rPr>
            <w:rFonts w:eastAsiaTheme="minorEastAsia"/>
            <w:noProof/>
            <w:kern w:val="2"/>
            <w:lang w:eastAsia="en-AU"/>
            <w14:ligatures w14:val="standardContextual"/>
          </w:rPr>
          <w:tab/>
        </w:r>
        <w:r w:rsidR="00210F56" w:rsidRPr="009B6571">
          <w:rPr>
            <w:rStyle w:val="Hyperlink"/>
            <w:noProof/>
          </w:rPr>
          <w:t>International government</w:t>
        </w:r>
        <w:r w:rsidR="00210F56">
          <w:rPr>
            <w:noProof/>
            <w:webHidden/>
          </w:rPr>
          <w:tab/>
        </w:r>
        <w:r w:rsidR="00210F56">
          <w:rPr>
            <w:noProof/>
            <w:webHidden/>
          </w:rPr>
          <w:fldChar w:fldCharType="begin"/>
        </w:r>
        <w:r w:rsidR="00210F56">
          <w:rPr>
            <w:noProof/>
            <w:webHidden/>
          </w:rPr>
          <w:instrText xml:space="preserve"> PAGEREF _Toc155863426 \h </w:instrText>
        </w:r>
        <w:r w:rsidR="00210F56">
          <w:rPr>
            <w:noProof/>
            <w:webHidden/>
          </w:rPr>
        </w:r>
        <w:r w:rsidR="00210F56">
          <w:rPr>
            <w:noProof/>
            <w:webHidden/>
          </w:rPr>
          <w:fldChar w:fldCharType="separate"/>
        </w:r>
        <w:r w:rsidR="00210F56">
          <w:rPr>
            <w:noProof/>
            <w:webHidden/>
          </w:rPr>
          <w:t>27</w:t>
        </w:r>
        <w:r w:rsidR="00210F56">
          <w:rPr>
            <w:noProof/>
            <w:webHidden/>
          </w:rPr>
          <w:fldChar w:fldCharType="end"/>
        </w:r>
      </w:hyperlink>
    </w:p>
    <w:p w14:paraId="656DC31B" w14:textId="480478E0" w:rsidR="00210F56" w:rsidRDefault="005F3100">
      <w:pPr>
        <w:pStyle w:val="TOC3"/>
        <w:tabs>
          <w:tab w:val="right" w:leader="dot" w:pos="9016"/>
        </w:tabs>
        <w:rPr>
          <w:rFonts w:eastAsiaTheme="minorEastAsia"/>
          <w:noProof/>
          <w:kern w:val="2"/>
          <w:lang w:eastAsia="en-AU"/>
          <w14:ligatures w14:val="standardContextual"/>
        </w:rPr>
      </w:pPr>
      <w:hyperlink w:anchor="_Toc155863427" w:history="1">
        <w:r w:rsidR="00210F56" w:rsidRPr="009B6571">
          <w:rPr>
            <w:rStyle w:val="Hyperlink"/>
            <w:rFonts w:cstheme="minorHAnsi"/>
            <w:bCs/>
            <w:noProof/>
          </w:rPr>
          <w:t>Sub-category 3.7 international government (own purpose)</w:t>
        </w:r>
        <w:r w:rsidR="00210F56">
          <w:rPr>
            <w:noProof/>
            <w:webHidden/>
          </w:rPr>
          <w:tab/>
        </w:r>
        <w:r w:rsidR="00210F56">
          <w:rPr>
            <w:noProof/>
            <w:webHidden/>
          </w:rPr>
          <w:fldChar w:fldCharType="begin"/>
        </w:r>
        <w:r w:rsidR="00210F56">
          <w:rPr>
            <w:noProof/>
            <w:webHidden/>
          </w:rPr>
          <w:instrText xml:space="preserve"> PAGEREF _Toc155863427 \h </w:instrText>
        </w:r>
        <w:r w:rsidR="00210F56">
          <w:rPr>
            <w:noProof/>
            <w:webHidden/>
          </w:rPr>
        </w:r>
        <w:r w:rsidR="00210F56">
          <w:rPr>
            <w:noProof/>
            <w:webHidden/>
          </w:rPr>
          <w:fldChar w:fldCharType="separate"/>
        </w:r>
        <w:r w:rsidR="00210F56">
          <w:rPr>
            <w:noProof/>
            <w:webHidden/>
          </w:rPr>
          <w:t>27</w:t>
        </w:r>
        <w:r w:rsidR="00210F56">
          <w:rPr>
            <w:noProof/>
            <w:webHidden/>
          </w:rPr>
          <w:fldChar w:fldCharType="end"/>
        </w:r>
      </w:hyperlink>
    </w:p>
    <w:p w14:paraId="3EE2D380" w14:textId="62A9ECD8" w:rsidR="00210F56" w:rsidRDefault="005F3100">
      <w:pPr>
        <w:pStyle w:val="TOC3"/>
        <w:tabs>
          <w:tab w:val="right" w:leader="dot" w:pos="9016"/>
        </w:tabs>
        <w:rPr>
          <w:rFonts w:eastAsiaTheme="minorEastAsia"/>
          <w:noProof/>
          <w:kern w:val="2"/>
          <w:lang w:eastAsia="en-AU"/>
          <w14:ligatures w14:val="standardContextual"/>
        </w:rPr>
      </w:pPr>
      <w:hyperlink w:anchor="_Toc155863428" w:history="1">
        <w:r w:rsidR="00210F56" w:rsidRPr="009B6571">
          <w:rPr>
            <w:rStyle w:val="Hyperlink"/>
            <w:rFonts w:cstheme="minorHAnsi"/>
            <w:bCs/>
            <w:noProof/>
          </w:rPr>
          <w:t>Sub-category 3.8 international government (other)</w:t>
        </w:r>
        <w:r w:rsidR="00210F56">
          <w:rPr>
            <w:noProof/>
            <w:webHidden/>
          </w:rPr>
          <w:tab/>
        </w:r>
        <w:r w:rsidR="00210F56">
          <w:rPr>
            <w:noProof/>
            <w:webHidden/>
          </w:rPr>
          <w:fldChar w:fldCharType="begin"/>
        </w:r>
        <w:r w:rsidR="00210F56">
          <w:rPr>
            <w:noProof/>
            <w:webHidden/>
          </w:rPr>
          <w:instrText xml:space="preserve"> PAGEREF _Toc155863428 \h </w:instrText>
        </w:r>
        <w:r w:rsidR="00210F56">
          <w:rPr>
            <w:noProof/>
            <w:webHidden/>
          </w:rPr>
        </w:r>
        <w:r w:rsidR="00210F56">
          <w:rPr>
            <w:noProof/>
            <w:webHidden/>
          </w:rPr>
          <w:fldChar w:fldCharType="separate"/>
        </w:r>
        <w:r w:rsidR="00210F56">
          <w:rPr>
            <w:noProof/>
            <w:webHidden/>
          </w:rPr>
          <w:t>27</w:t>
        </w:r>
        <w:r w:rsidR="00210F56">
          <w:rPr>
            <w:noProof/>
            <w:webHidden/>
          </w:rPr>
          <w:fldChar w:fldCharType="end"/>
        </w:r>
      </w:hyperlink>
    </w:p>
    <w:p w14:paraId="1ED8B689" w14:textId="53E206C5" w:rsidR="00210F56" w:rsidRDefault="005F3100" w:rsidP="00210F56">
      <w:pPr>
        <w:pStyle w:val="TOC1"/>
        <w:rPr>
          <w:rFonts w:eastAsiaTheme="minorEastAsia"/>
          <w:noProof/>
          <w:kern w:val="2"/>
          <w:lang w:eastAsia="en-AU"/>
          <w14:ligatures w14:val="standardContextual"/>
        </w:rPr>
      </w:pPr>
      <w:hyperlink w:anchor="_Toc155863429" w:history="1">
        <w:r w:rsidR="00210F56" w:rsidRPr="009B6571">
          <w:rPr>
            <w:rStyle w:val="Hyperlink"/>
            <w:noProof/>
          </w:rPr>
          <w:t>5.4</w:t>
        </w:r>
        <w:r w:rsidR="00210F56">
          <w:rPr>
            <w:rFonts w:eastAsiaTheme="minorEastAsia"/>
            <w:noProof/>
            <w:kern w:val="2"/>
            <w:lang w:eastAsia="en-AU"/>
            <w14:ligatures w14:val="standardContextual"/>
          </w:rPr>
          <w:tab/>
        </w:r>
        <w:r w:rsidR="00210F56" w:rsidRPr="009B6571">
          <w:rPr>
            <w:rStyle w:val="Hyperlink"/>
            <w:noProof/>
          </w:rPr>
          <w:t>Category 4: CRC R&amp;D income</w:t>
        </w:r>
        <w:r w:rsidR="00210F56">
          <w:rPr>
            <w:noProof/>
            <w:webHidden/>
          </w:rPr>
          <w:tab/>
        </w:r>
        <w:r w:rsidR="00210F56">
          <w:rPr>
            <w:noProof/>
            <w:webHidden/>
          </w:rPr>
          <w:fldChar w:fldCharType="begin"/>
        </w:r>
        <w:r w:rsidR="00210F56">
          <w:rPr>
            <w:noProof/>
            <w:webHidden/>
          </w:rPr>
          <w:instrText xml:space="preserve"> PAGEREF _Toc155863429 \h </w:instrText>
        </w:r>
        <w:r w:rsidR="00210F56">
          <w:rPr>
            <w:noProof/>
            <w:webHidden/>
          </w:rPr>
        </w:r>
        <w:r w:rsidR="00210F56">
          <w:rPr>
            <w:noProof/>
            <w:webHidden/>
          </w:rPr>
          <w:fldChar w:fldCharType="separate"/>
        </w:r>
        <w:r w:rsidR="00210F56">
          <w:rPr>
            <w:noProof/>
            <w:webHidden/>
          </w:rPr>
          <w:t>27</w:t>
        </w:r>
        <w:r w:rsidR="00210F56">
          <w:rPr>
            <w:noProof/>
            <w:webHidden/>
          </w:rPr>
          <w:fldChar w:fldCharType="end"/>
        </w:r>
      </w:hyperlink>
    </w:p>
    <w:p w14:paraId="7ADF61DC" w14:textId="0FA656CC" w:rsidR="00210F56" w:rsidRDefault="005F3100">
      <w:pPr>
        <w:pStyle w:val="TOC3"/>
        <w:tabs>
          <w:tab w:val="right" w:leader="dot" w:pos="9016"/>
        </w:tabs>
        <w:rPr>
          <w:rFonts w:eastAsiaTheme="minorEastAsia"/>
          <w:noProof/>
          <w:kern w:val="2"/>
          <w:lang w:eastAsia="en-AU"/>
          <w14:ligatures w14:val="standardContextual"/>
        </w:rPr>
      </w:pPr>
      <w:hyperlink w:anchor="_Toc155863430" w:history="1">
        <w:r w:rsidR="00210F56" w:rsidRPr="009B6571">
          <w:rPr>
            <w:rStyle w:val="Hyperlink"/>
            <w:rFonts w:cstheme="minorHAnsi"/>
            <w:bCs/>
            <w:noProof/>
          </w:rPr>
          <w:t>Sub-category 4.1 R&amp;D income received from CRCs derived from Australian Government grants to CRCs</w:t>
        </w:r>
        <w:r w:rsidR="00210F56">
          <w:rPr>
            <w:noProof/>
            <w:webHidden/>
          </w:rPr>
          <w:tab/>
        </w:r>
        <w:r w:rsidR="00210F56">
          <w:rPr>
            <w:noProof/>
            <w:webHidden/>
          </w:rPr>
          <w:fldChar w:fldCharType="begin"/>
        </w:r>
        <w:r w:rsidR="00210F56">
          <w:rPr>
            <w:noProof/>
            <w:webHidden/>
          </w:rPr>
          <w:instrText xml:space="preserve"> PAGEREF _Toc155863430 \h </w:instrText>
        </w:r>
        <w:r w:rsidR="00210F56">
          <w:rPr>
            <w:noProof/>
            <w:webHidden/>
          </w:rPr>
        </w:r>
        <w:r w:rsidR="00210F56">
          <w:rPr>
            <w:noProof/>
            <w:webHidden/>
          </w:rPr>
          <w:fldChar w:fldCharType="separate"/>
        </w:r>
        <w:r w:rsidR="00210F56">
          <w:rPr>
            <w:noProof/>
            <w:webHidden/>
          </w:rPr>
          <w:t>28</w:t>
        </w:r>
        <w:r w:rsidR="00210F56">
          <w:rPr>
            <w:noProof/>
            <w:webHidden/>
          </w:rPr>
          <w:fldChar w:fldCharType="end"/>
        </w:r>
      </w:hyperlink>
    </w:p>
    <w:p w14:paraId="66BA28AF" w14:textId="4AC778BE" w:rsidR="00210F56" w:rsidRDefault="005F3100">
      <w:pPr>
        <w:pStyle w:val="TOC3"/>
        <w:tabs>
          <w:tab w:val="right" w:leader="dot" w:pos="9016"/>
        </w:tabs>
        <w:rPr>
          <w:rFonts w:eastAsiaTheme="minorEastAsia"/>
          <w:noProof/>
          <w:kern w:val="2"/>
          <w:lang w:eastAsia="en-AU"/>
          <w14:ligatures w14:val="standardContextual"/>
        </w:rPr>
      </w:pPr>
      <w:hyperlink w:anchor="_Toc155863431" w:history="1">
        <w:r w:rsidR="00210F56" w:rsidRPr="009B6571">
          <w:rPr>
            <w:rStyle w:val="Hyperlink"/>
            <w:rFonts w:cstheme="minorHAnsi"/>
            <w:bCs/>
            <w:noProof/>
          </w:rPr>
          <w:t>Sub-category 4.2 R&amp;D income received from CRCs derived from private industry participants of CRCs</w:t>
        </w:r>
        <w:r w:rsidR="00210F56">
          <w:rPr>
            <w:noProof/>
            <w:webHidden/>
          </w:rPr>
          <w:tab/>
        </w:r>
        <w:r w:rsidR="00210F56">
          <w:rPr>
            <w:noProof/>
            <w:webHidden/>
          </w:rPr>
          <w:fldChar w:fldCharType="begin"/>
        </w:r>
        <w:r w:rsidR="00210F56">
          <w:rPr>
            <w:noProof/>
            <w:webHidden/>
          </w:rPr>
          <w:instrText xml:space="preserve"> PAGEREF _Toc155863431 \h </w:instrText>
        </w:r>
        <w:r w:rsidR="00210F56">
          <w:rPr>
            <w:noProof/>
            <w:webHidden/>
          </w:rPr>
        </w:r>
        <w:r w:rsidR="00210F56">
          <w:rPr>
            <w:noProof/>
            <w:webHidden/>
          </w:rPr>
          <w:fldChar w:fldCharType="separate"/>
        </w:r>
        <w:r w:rsidR="00210F56">
          <w:rPr>
            <w:noProof/>
            <w:webHidden/>
          </w:rPr>
          <w:t>28</w:t>
        </w:r>
        <w:r w:rsidR="00210F56">
          <w:rPr>
            <w:noProof/>
            <w:webHidden/>
          </w:rPr>
          <w:fldChar w:fldCharType="end"/>
        </w:r>
      </w:hyperlink>
    </w:p>
    <w:p w14:paraId="0EB7B3D8" w14:textId="349951CF" w:rsidR="00210F56" w:rsidRDefault="005F3100">
      <w:pPr>
        <w:pStyle w:val="TOC3"/>
        <w:tabs>
          <w:tab w:val="right" w:leader="dot" w:pos="9016"/>
        </w:tabs>
        <w:rPr>
          <w:rFonts w:eastAsiaTheme="minorEastAsia"/>
          <w:noProof/>
          <w:kern w:val="2"/>
          <w:lang w:eastAsia="en-AU"/>
          <w14:ligatures w14:val="standardContextual"/>
        </w:rPr>
      </w:pPr>
      <w:hyperlink w:anchor="_Toc155863432" w:history="1">
        <w:r w:rsidR="00210F56" w:rsidRPr="009B6571">
          <w:rPr>
            <w:rStyle w:val="Hyperlink"/>
            <w:rFonts w:cstheme="minorHAnsi"/>
            <w:bCs/>
            <w:noProof/>
          </w:rPr>
          <w:t>Sub-category 4.3 R&amp;D income received from CRCs derived from other sources</w:t>
        </w:r>
        <w:r w:rsidR="00210F56">
          <w:rPr>
            <w:noProof/>
            <w:webHidden/>
          </w:rPr>
          <w:tab/>
        </w:r>
        <w:r w:rsidR="00210F56">
          <w:rPr>
            <w:noProof/>
            <w:webHidden/>
          </w:rPr>
          <w:fldChar w:fldCharType="begin"/>
        </w:r>
        <w:r w:rsidR="00210F56">
          <w:rPr>
            <w:noProof/>
            <w:webHidden/>
          </w:rPr>
          <w:instrText xml:space="preserve"> PAGEREF _Toc155863432 \h </w:instrText>
        </w:r>
        <w:r w:rsidR="00210F56">
          <w:rPr>
            <w:noProof/>
            <w:webHidden/>
          </w:rPr>
        </w:r>
        <w:r w:rsidR="00210F56">
          <w:rPr>
            <w:noProof/>
            <w:webHidden/>
          </w:rPr>
          <w:fldChar w:fldCharType="separate"/>
        </w:r>
        <w:r w:rsidR="00210F56">
          <w:rPr>
            <w:noProof/>
            <w:webHidden/>
          </w:rPr>
          <w:t>28</w:t>
        </w:r>
        <w:r w:rsidR="00210F56">
          <w:rPr>
            <w:noProof/>
            <w:webHidden/>
          </w:rPr>
          <w:fldChar w:fldCharType="end"/>
        </w:r>
      </w:hyperlink>
    </w:p>
    <w:p w14:paraId="387B1905" w14:textId="07C51BF0" w:rsidR="00210F56" w:rsidRDefault="005F3100">
      <w:pPr>
        <w:pStyle w:val="TOC2"/>
        <w:tabs>
          <w:tab w:val="left" w:pos="1100"/>
          <w:tab w:val="right" w:leader="dot" w:pos="9016"/>
        </w:tabs>
        <w:rPr>
          <w:rFonts w:eastAsiaTheme="minorEastAsia"/>
          <w:noProof/>
          <w:kern w:val="2"/>
          <w:lang w:eastAsia="en-AU"/>
          <w14:ligatures w14:val="standardContextual"/>
        </w:rPr>
      </w:pPr>
      <w:hyperlink w:anchor="_Toc155863433" w:history="1">
        <w:r w:rsidR="00210F56" w:rsidRPr="009B6571">
          <w:rPr>
            <w:rStyle w:val="Hyperlink"/>
            <w:noProof/>
          </w:rPr>
          <w:t>5.4.1</w:t>
        </w:r>
        <w:r w:rsidR="00210F56">
          <w:rPr>
            <w:rFonts w:eastAsiaTheme="minorEastAsia"/>
            <w:noProof/>
            <w:kern w:val="2"/>
            <w:lang w:eastAsia="en-AU"/>
            <w14:ligatures w14:val="standardContextual"/>
          </w:rPr>
          <w:tab/>
        </w:r>
        <w:r w:rsidR="00210F56" w:rsidRPr="009B6571">
          <w:rPr>
            <w:rStyle w:val="Hyperlink"/>
            <w:noProof/>
          </w:rPr>
          <w:t>Breakdown by source category</w:t>
        </w:r>
        <w:r w:rsidR="00210F56">
          <w:rPr>
            <w:noProof/>
            <w:webHidden/>
          </w:rPr>
          <w:tab/>
        </w:r>
        <w:r w:rsidR="00210F56">
          <w:rPr>
            <w:noProof/>
            <w:webHidden/>
          </w:rPr>
          <w:fldChar w:fldCharType="begin"/>
        </w:r>
        <w:r w:rsidR="00210F56">
          <w:rPr>
            <w:noProof/>
            <w:webHidden/>
          </w:rPr>
          <w:instrText xml:space="preserve"> PAGEREF _Toc155863433 \h </w:instrText>
        </w:r>
        <w:r w:rsidR="00210F56">
          <w:rPr>
            <w:noProof/>
            <w:webHidden/>
          </w:rPr>
        </w:r>
        <w:r w:rsidR="00210F56">
          <w:rPr>
            <w:noProof/>
            <w:webHidden/>
          </w:rPr>
          <w:fldChar w:fldCharType="separate"/>
        </w:r>
        <w:r w:rsidR="00210F56">
          <w:rPr>
            <w:noProof/>
            <w:webHidden/>
          </w:rPr>
          <w:t>29</w:t>
        </w:r>
        <w:r w:rsidR="00210F56">
          <w:rPr>
            <w:noProof/>
            <w:webHidden/>
          </w:rPr>
          <w:fldChar w:fldCharType="end"/>
        </w:r>
      </w:hyperlink>
    </w:p>
    <w:p w14:paraId="24DE2967" w14:textId="657BAD74" w:rsidR="0017134D" w:rsidRDefault="00AF1F18">
      <w:r>
        <w:fldChar w:fldCharType="end"/>
      </w:r>
      <w:r w:rsidR="0017134D">
        <w:br w:type="page"/>
      </w:r>
    </w:p>
    <w:p w14:paraId="6EFD4559" w14:textId="307914C6" w:rsidR="009D347E" w:rsidRPr="009D347E" w:rsidRDefault="009D347E" w:rsidP="009D347E">
      <w:pPr>
        <w:pStyle w:val="Heading1"/>
      </w:pPr>
      <w:bookmarkStart w:id="2" w:name="_Toc147503800"/>
      <w:r w:rsidRPr="009D347E">
        <w:rPr>
          <w:color w:val="000000"/>
        </w:rPr>
        <w:lastRenderedPageBreak/>
        <w:t>Introduction</w:t>
      </w:r>
      <w:bookmarkEnd w:id="2"/>
    </w:p>
    <w:p w14:paraId="055A5269" w14:textId="77777777" w:rsidR="009D347E" w:rsidRPr="009D347E" w:rsidRDefault="009D347E" w:rsidP="006108A9">
      <w:pPr>
        <w:pStyle w:val="Heading2"/>
      </w:pPr>
      <w:bookmarkStart w:id="3" w:name="_Toc147503801"/>
      <w:bookmarkStart w:id="4" w:name="_Toc155863391"/>
      <w:r w:rsidRPr="009D347E">
        <w:t>1.1</w:t>
      </w:r>
      <w:r w:rsidRPr="009D347E">
        <w:tab/>
        <w:t>Purpose</w:t>
      </w:r>
      <w:bookmarkEnd w:id="3"/>
      <w:bookmarkEnd w:id="4"/>
      <w:r w:rsidRPr="009D347E">
        <w:t xml:space="preserve"> </w:t>
      </w:r>
    </w:p>
    <w:p w14:paraId="751828FC" w14:textId="77777777" w:rsidR="009D347E" w:rsidRPr="00EF05CC" w:rsidRDefault="009D347E" w:rsidP="009D347E">
      <w:pPr>
        <w:rPr>
          <w:lang w:val="en-US"/>
        </w:rPr>
      </w:pPr>
      <w:r w:rsidRPr="00EF05CC">
        <w:rPr>
          <w:lang w:val="en-US"/>
        </w:rPr>
        <w:t>The Australian Government’s provision of research block grant (RBG) funding to eligible higher education providers</w:t>
      </w:r>
      <w:r w:rsidRPr="00EF05CC">
        <w:rPr>
          <w:vertAlign w:val="superscript"/>
          <w:lang w:val="en-US"/>
        </w:rPr>
        <w:footnoteReference w:id="1"/>
      </w:r>
      <w:r w:rsidRPr="00EF05CC">
        <w:rPr>
          <w:lang w:val="en-US"/>
        </w:rPr>
        <w:t xml:space="preserve"> (HEPs) is enabled by the </w:t>
      </w:r>
      <w:r w:rsidRPr="00EF05CC">
        <w:rPr>
          <w:i/>
          <w:lang w:val="en-US"/>
        </w:rPr>
        <w:t>Higher Education Support Act 2003</w:t>
      </w:r>
      <w:r w:rsidRPr="00EF05CC">
        <w:rPr>
          <w:lang w:val="en-US"/>
        </w:rPr>
        <w:t xml:space="preserve"> (HESA), which provides ‘grants to support research by, and the research capability of, higher education providers’ and ‘grants to support the training of research </w:t>
      </w:r>
      <w:proofErr w:type="gramStart"/>
      <w:r w:rsidRPr="00EF05CC">
        <w:rPr>
          <w:lang w:val="en-US"/>
        </w:rPr>
        <w:t>students’</w:t>
      </w:r>
      <w:proofErr w:type="gramEnd"/>
      <w:r w:rsidRPr="00EF05CC">
        <w:rPr>
          <w:lang w:val="en-US"/>
        </w:rPr>
        <w:t>.</w:t>
      </w:r>
      <w:r w:rsidRPr="00EF05CC">
        <w:rPr>
          <w:vertAlign w:val="superscript"/>
          <w:lang w:val="en-US"/>
        </w:rPr>
        <w:footnoteReference w:id="2"/>
      </w:r>
    </w:p>
    <w:p w14:paraId="3AE93725" w14:textId="77777777" w:rsidR="009D347E" w:rsidRPr="00EF05CC" w:rsidRDefault="009D347E" w:rsidP="009D347E">
      <w:pPr>
        <w:rPr>
          <w:lang w:val="en-US"/>
        </w:rPr>
      </w:pPr>
      <w:r w:rsidRPr="00EF05CC">
        <w:rPr>
          <w:lang w:val="en-US"/>
        </w:rPr>
        <w:t>The purpose of the</w:t>
      </w:r>
      <w:r w:rsidRPr="00EF05CC">
        <w:rPr>
          <w:i/>
          <w:lang w:val="en-US"/>
        </w:rPr>
        <w:t xml:space="preserve"> </w:t>
      </w:r>
      <w:r w:rsidRPr="00EF05CC">
        <w:rPr>
          <w:iCs/>
          <w:lang w:val="en-US"/>
        </w:rPr>
        <w:t xml:space="preserve">Higher Education Research Data Collection (HERDC) </w:t>
      </w:r>
      <w:r>
        <w:rPr>
          <w:iCs/>
          <w:lang w:val="en-US"/>
        </w:rPr>
        <w:t>s</w:t>
      </w:r>
      <w:r w:rsidRPr="00EF05CC">
        <w:rPr>
          <w:iCs/>
          <w:lang w:val="en-US"/>
        </w:rPr>
        <w:t>pecifications for the collection of 2023 data</w:t>
      </w:r>
      <w:r w:rsidRPr="00EF05CC">
        <w:rPr>
          <w:lang w:val="en-US"/>
        </w:rPr>
        <w:t xml:space="preserve"> (specifications) is to provide guidance to HEPs and auditors on the requirements for HEPs </w:t>
      </w:r>
      <w:r>
        <w:rPr>
          <w:lang w:val="en-US"/>
        </w:rPr>
        <w:t>submitting</w:t>
      </w:r>
      <w:r w:rsidRPr="00EF05CC">
        <w:rPr>
          <w:lang w:val="en-US"/>
        </w:rPr>
        <w:t xml:space="preserve"> 2023 research and experimental development (R&amp;D) income data.</w:t>
      </w:r>
    </w:p>
    <w:p w14:paraId="1FF559FD" w14:textId="77777777" w:rsidR="009D347E" w:rsidRPr="0075018F" w:rsidRDefault="009D347E" w:rsidP="006108A9">
      <w:pPr>
        <w:pStyle w:val="Heading2"/>
      </w:pPr>
      <w:bookmarkStart w:id="5" w:name="_Toc523214661"/>
      <w:bookmarkStart w:id="6" w:name="_Toc27055341"/>
      <w:bookmarkStart w:id="7" w:name="_Toc81230892"/>
      <w:bookmarkStart w:id="8" w:name="_Toc92461267"/>
      <w:bookmarkStart w:id="9" w:name="_Toc147503802"/>
      <w:bookmarkStart w:id="10" w:name="_Toc155863392"/>
      <w:r w:rsidRPr="0075018F">
        <w:t>1.2</w:t>
      </w:r>
      <w:r w:rsidRPr="0075018F">
        <w:tab/>
        <w:t>Use of data</w:t>
      </w:r>
      <w:bookmarkEnd w:id="5"/>
      <w:bookmarkEnd w:id="6"/>
      <w:bookmarkEnd w:id="7"/>
      <w:bookmarkEnd w:id="8"/>
      <w:bookmarkEnd w:id="9"/>
      <w:bookmarkEnd w:id="10"/>
    </w:p>
    <w:p w14:paraId="228A06B2" w14:textId="77777777" w:rsidR="009D347E" w:rsidRPr="0075018F" w:rsidRDefault="009D347E" w:rsidP="009D347E">
      <w:r w:rsidRPr="0075018F">
        <w:t xml:space="preserve">HERDC research income </w:t>
      </w:r>
      <w:r>
        <w:t xml:space="preserve">data </w:t>
      </w:r>
      <w:r w:rsidRPr="0075018F">
        <w:t xml:space="preserve">is collected by the Australian Research Council (ARC) through its System to Evaluate Excellence in Research (SEER) and disclosed to the Department of Education (the department) for the annual calculation of RBGs, in accordance with the </w:t>
      </w:r>
      <w:hyperlink r:id="rId18" w:history="1">
        <w:r w:rsidRPr="0075018F">
          <w:rPr>
            <w:rStyle w:val="Hyperlink"/>
          </w:rPr>
          <w:t>ARC’s Privacy Policy</w:t>
        </w:r>
      </w:hyperlink>
      <w:r w:rsidRPr="0075018F">
        <w:t>.</w:t>
      </w:r>
    </w:p>
    <w:p w14:paraId="242F8E97" w14:textId="77777777" w:rsidR="009D347E" w:rsidRPr="0075018F" w:rsidRDefault="009D347E" w:rsidP="009D347E">
      <w:pPr>
        <w:rPr>
          <w:lang w:val="en-US"/>
        </w:rPr>
      </w:pPr>
      <w:r w:rsidRPr="0075018F">
        <w:rPr>
          <w:lang w:val="en-US"/>
        </w:rPr>
        <w:t>The department uses HERDC research income data</w:t>
      </w:r>
      <w:r>
        <w:rPr>
          <w:lang w:val="en-US"/>
        </w:rPr>
        <w:t>,</w:t>
      </w:r>
      <w:r w:rsidRPr="0075018F">
        <w:rPr>
          <w:lang w:val="en-US"/>
        </w:rPr>
        <w:t xml:space="preserve"> together with data from the Higher Education Student Data Collection</w:t>
      </w:r>
      <w:r>
        <w:rPr>
          <w:lang w:val="en-US"/>
        </w:rPr>
        <w:t xml:space="preserve"> (HESDC),</w:t>
      </w:r>
      <w:r w:rsidRPr="0075018F">
        <w:rPr>
          <w:lang w:val="en-US"/>
        </w:rPr>
        <w:t xml:space="preserve"> to determine HEPs’ annual RBG allocations. </w:t>
      </w:r>
    </w:p>
    <w:p w14:paraId="4F7E0BF9" w14:textId="77777777" w:rsidR="009D347E" w:rsidRPr="0075018F" w:rsidRDefault="009D347E" w:rsidP="009D347E">
      <w:pPr>
        <w:rPr>
          <w:lang w:val="en-US"/>
        </w:rPr>
      </w:pPr>
      <w:r w:rsidRPr="0075018F">
        <w:rPr>
          <w:lang w:val="en-US"/>
        </w:rPr>
        <w:t xml:space="preserve">Information about RBGs, including program guidelines, conditions of grants and processes for calculating grant amounts can be found on the </w:t>
      </w:r>
      <w:hyperlink r:id="rId19" w:history="1">
        <w:r>
          <w:rPr>
            <w:rStyle w:val="Hyperlink"/>
            <w:lang w:val="en-US"/>
          </w:rPr>
          <w:t>RBG</w:t>
        </w:r>
        <w:r w:rsidRPr="0075018F">
          <w:rPr>
            <w:rStyle w:val="Hyperlink"/>
            <w:lang w:val="en-US"/>
          </w:rPr>
          <w:t xml:space="preserve"> webpage</w:t>
        </w:r>
      </w:hyperlink>
      <w:r w:rsidRPr="0075018F">
        <w:rPr>
          <w:lang w:val="en-US"/>
        </w:rPr>
        <w:t>.</w:t>
      </w:r>
    </w:p>
    <w:p w14:paraId="319E367C" w14:textId="77777777" w:rsidR="009D347E" w:rsidRPr="0075018F" w:rsidRDefault="009D347E" w:rsidP="009D347E">
      <w:pPr>
        <w:rPr>
          <w:lang w:val="en-US"/>
        </w:rPr>
      </w:pPr>
      <w:r w:rsidRPr="0075018F">
        <w:rPr>
          <w:lang w:val="en-US"/>
        </w:rPr>
        <w:t xml:space="preserve">It is a condition of RBG funding that the materials required in </w:t>
      </w:r>
      <w:r w:rsidRPr="0075018F">
        <w:rPr>
          <w:b/>
          <w:lang w:val="en-US"/>
        </w:rPr>
        <w:t>section 1.4</w:t>
      </w:r>
      <w:r w:rsidRPr="0075018F">
        <w:rPr>
          <w:lang w:val="en-US"/>
        </w:rPr>
        <w:t xml:space="preserve"> of these </w:t>
      </w:r>
      <w:r w:rsidRPr="0075018F">
        <w:rPr>
          <w:iCs/>
          <w:lang w:val="en-US"/>
        </w:rPr>
        <w:t xml:space="preserve">specifications </w:t>
      </w:r>
      <w:r w:rsidRPr="0075018F">
        <w:rPr>
          <w:lang w:val="en-US"/>
        </w:rPr>
        <w:t>are provided to the department by 30 June 2024.</w:t>
      </w:r>
    </w:p>
    <w:p w14:paraId="1D9D0386" w14:textId="77777777" w:rsidR="009D347E" w:rsidRDefault="009D347E" w:rsidP="009D347E">
      <w:r w:rsidRPr="0075018F">
        <w:rPr>
          <w:lang w:val="en-US"/>
        </w:rPr>
        <w:t xml:space="preserve">The department may use research income data submitted through HERDC by HEPs to inform other analyses conducted by the department and may also provide the data to other government agencies. Data collected through </w:t>
      </w:r>
      <w:r w:rsidRPr="0075018F">
        <w:t xml:space="preserve">HERDC is published at </w:t>
      </w:r>
      <w:hyperlink r:id="rId20" w:history="1">
        <w:r w:rsidRPr="00B068B3">
          <w:rPr>
            <w:rStyle w:val="Hyperlink"/>
          </w:rPr>
          <w:t>https://www.education.gov.au/research-block-grants/consolidated-time-series-data</w:t>
        </w:r>
      </w:hyperlink>
      <w:r w:rsidRPr="0075018F">
        <w:rPr>
          <w:u w:val="single"/>
        </w:rPr>
        <w:t>.</w:t>
      </w:r>
      <w:r w:rsidRPr="0075018F">
        <w:t xml:space="preserve"> </w:t>
      </w:r>
    </w:p>
    <w:p w14:paraId="2B9CE24E" w14:textId="77777777" w:rsidR="009D347E" w:rsidRPr="0075018F" w:rsidRDefault="009D347E" w:rsidP="009D347E">
      <w:r>
        <w:rPr>
          <w:rFonts w:ascii="Calibri" w:eastAsia="Calibri" w:hAnsi="Calibri" w:cs="Arial"/>
        </w:rPr>
        <w:t>P</w:t>
      </w:r>
      <w:r w:rsidRPr="002A37D9">
        <w:rPr>
          <w:rFonts w:ascii="Calibri" w:eastAsia="Calibri" w:hAnsi="Calibri" w:cs="Arial"/>
        </w:rPr>
        <w:t xml:space="preserve">reliminary </w:t>
      </w:r>
      <w:r>
        <w:rPr>
          <w:rFonts w:ascii="Calibri" w:eastAsia="Calibri" w:hAnsi="Calibri" w:cs="Arial"/>
        </w:rPr>
        <w:t xml:space="preserve">HERDC </w:t>
      </w:r>
      <w:r w:rsidRPr="002A37D9">
        <w:rPr>
          <w:rFonts w:ascii="Calibri" w:eastAsia="Calibri" w:hAnsi="Calibri" w:cs="Arial"/>
        </w:rPr>
        <w:t xml:space="preserve">data will be shared with </w:t>
      </w:r>
      <w:r>
        <w:rPr>
          <w:rFonts w:ascii="Calibri" w:eastAsia="Calibri" w:hAnsi="Calibri" w:cs="Arial"/>
        </w:rPr>
        <w:t>Knowledge Commercialisation Australia</w:t>
      </w:r>
      <w:r w:rsidRPr="002A37D9">
        <w:rPr>
          <w:rFonts w:ascii="Calibri" w:eastAsia="Calibri" w:hAnsi="Calibri" w:cs="Arial"/>
        </w:rPr>
        <w:t xml:space="preserve"> to assist HEPs in submitting </w:t>
      </w:r>
      <w:r>
        <w:rPr>
          <w:rFonts w:ascii="Calibri" w:eastAsia="Calibri" w:hAnsi="Calibri" w:cs="Arial"/>
        </w:rPr>
        <w:t xml:space="preserve">data for the annual </w:t>
      </w:r>
      <w:r w:rsidRPr="002A37D9">
        <w:rPr>
          <w:rFonts w:ascii="Calibri" w:eastAsia="Calibri" w:hAnsi="Calibri" w:cs="Arial"/>
        </w:rPr>
        <w:t>Survey of Commercialisation Outcomes from Public Research.</w:t>
      </w:r>
    </w:p>
    <w:p w14:paraId="3CA28DC6" w14:textId="77777777" w:rsidR="009D347E" w:rsidRPr="0075018F" w:rsidRDefault="009D347E" w:rsidP="006108A9">
      <w:pPr>
        <w:pStyle w:val="Heading2"/>
      </w:pPr>
      <w:bookmarkStart w:id="11" w:name="_Toc523214662"/>
      <w:bookmarkStart w:id="12" w:name="_Toc27055342"/>
      <w:bookmarkStart w:id="13" w:name="_Toc81230893"/>
      <w:bookmarkStart w:id="14" w:name="_Toc92461268"/>
      <w:bookmarkStart w:id="15" w:name="_Toc147503803"/>
      <w:bookmarkStart w:id="16" w:name="_Toc155863393"/>
      <w:r w:rsidRPr="0075018F">
        <w:t>1.3</w:t>
      </w:r>
      <w:r w:rsidRPr="0075018F">
        <w:tab/>
        <w:t>Use of funding</w:t>
      </w:r>
      <w:bookmarkEnd w:id="11"/>
      <w:bookmarkEnd w:id="12"/>
      <w:bookmarkEnd w:id="13"/>
      <w:bookmarkEnd w:id="14"/>
      <w:bookmarkEnd w:id="15"/>
      <w:bookmarkEnd w:id="16"/>
    </w:p>
    <w:p w14:paraId="4325AAB0" w14:textId="77777777" w:rsidR="009D347E" w:rsidRPr="0075018F" w:rsidRDefault="009D347E" w:rsidP="009D347E">
      <w:pPr>
        <w:rPr>
          <w:lang w:val="en-US"/>
        </w:rPr>
      </w:pPr>
      <w:r w:rsidRPr="0075018F">
        <w:rPr>
          <w:lang w:val="en-US"/>
        </w:rPr>
        <w:t>The department’s allocation of RBGs to HEPs is independent of funding for individual R&amp;D projects. HEPs have the autonomy to decide what projects, personnel, materials, equipment, and infrastructure RBG funding should support across their R&amp;D and research training activities.</w:t>
      </w:r>
    </w:p>
    <w:p w14:paraId="1711FFE7" w14:textId="77777777" w:rsidR="009D347E" w:rsidRDefault="009D347E" w:rsidP="009D347E">
      <w:pPr>
        <w:rPr>
          <w:lang w:val="en-US"/>
        </w:rPr>
      </w:pPr>
      <w:r w:rsidRPr="0075018F">
        <w:rPr>
          <w:lang w:val="en-US"/>
        </w:rPr>
        <w:t>The department does not intend that HEPs use the HERDC as the basis for their internal systems for allocating their R&amp;D and research training funding. HEPs should develop their own internal allocation policies and systems.</w:t>
      </w:r>
    </w:p>
    <w:p w14:paraId="64A4D9A3" w14:textId="77777777" w:rsidR="009D347E" w:rsidRPr="006108A9" w:rsidRDefault="009D347E" w:rsidP="006108A9">
      <w:pPr>
        <w:pStyle w:val="Heading2"/>
      </w:pPr>
      <w:bookmarkStart w:id="17" w:name="_Toc523214663"/>
      <w:bookmarkStart w:id="18" w:name="_Toc27055343"/>
      <w:bookmarkStart w:id="19" w:name="_Toc81230894"/>
      <w:bookmarkStart w:id="20" w:name="_Toc92461269"/>
      <w:bookmarkStart w:id="21" w:name="_Toc147503804"/>
      <w:bookmarkStart w:id="22" w:name="_Toc155863394"/>
      <w:r w:rsidRPr="006108A9">
        <w:lastRenderedPageBreak/>
        <w:t>1.4</w:t>
      </w:r>
      <w:r w:rsidRPr="006108A9">
        <w:tab/>
        <w:t xml:space="preserve">Information to be </w:t>
      </w:r>
      <w:proofErr w:type="gramStart"/>
      <w:r w:rsidRPr="006108A9">
        <w:t>submitted</w:t>
      </w:r>
      <w:bookmarkEnd w:id="17"/>
      <w:bookmarkEnd w:id="18"/>
      <w:bookmarkEnd w:id="19"/>
      <w:bookmarkEnd w:id="20"/>
      <w:bookmarkEnd w:id="21"/>
      <w:bookmarkEnd w:id="22"/>
      <w:proofErr w:type="gramEnd"/>
    </w:p>
    <w:p w14:paraId="233E3276" w14:textId="77777777" w:rsidR="009D347E" w:rsidRPr="0075018F" w:rsidRDefault="009D347E" w:rsidP="009D347E">
      <w:pPr>
        <w:rPr>
          <w:lang w:val="en-US"/>
        </w:rPr>
      </w:pPr>
      <w:r w:rsidRPr="0075018F">
        <w:rPr>
          <w:lang w:val="en-US"/>
        </w:rPr>
        <w:t xml:space="preserve">HEPs must provide to the department: </w:t>
      </w:r>
    </w:p>
    <w:p w14:paraId="24229017" w14:textId="77777777" w:rsidR="009D347E" w:rsidRPr="0075018F" w:rsidRDefault="009D347E" w:rsidP="009D347E">
      <w:pPr>
        <w:pStyle w:val="ListBullet"/>
        <w:spacing w:after="0" w:line="276" w:lineRule="auto"/>
        <w:ind w:left="714" w:hanging="357"/>
      </w:pPr>
      <w:r w:rsidRPr="0075018F">
        <w:t>an accurate R&amp;D income return</w:t>
      </w:r>
    </w:p>
    <w:p w14:paraId="5CFE972C" w14:textId="77777777" w:rsidR="009D347E" w:rsidRPr="0075018F" w:rsidRDefault="009D347E" w:rsidP="009D347E">
      <w:pPr>
        <w:pStyle w:val="ListBullet"/>
        <w:spacing w:after="0" w:line="276" w:lineRule="auto"/>
        <w:ind w:left="714" w:hanging="357"/>
      </w:pPr>
      <w:r w:rsidRPr="0075018F">
        <w:t>a Vice-Chancellor certification statement</w:t>
      </w:r>
    </w:p>
    <w:p w14:paraId="2DFA6481" w14:textId="77777777" w:rsidR="009D347E" w:rsidRPr="0075018F" w:rsidRDefault="009D347E" w:rsidP="009D347E">
      <w:pPr>
        <w:pStyle w:val="ListBullet"/>
        <w:spacing w:after="0" w:line="276" w:lineRule="auto"/>
        <w:ind w:left="714" w:hanging="357"/>
      </w:pPr>
      <w:r w:rsidRPr="0075018F">
        <w:t xml:space="preserve">an audit </w:t>
      </w:r>
      <w:proofErr w:type="gramStart"/>
      <w:r w:rsidRPr="0075018F">
        <w:t>report</w:t>
      </w:r>
      <w:proofErr w:type="gramEnd"/>
      <w:r w:rsidRPr="0075018F">
        <w:t>.</w:t>
      </w:r>
    </w:p>
    <w:p w14:paraId="79EE6374" w14:textId="77777777" w:rsidR="009D347E" w:rsidRPr="006108A9" w:rsidRDefault="009D347E" w:rsidP="006108A9">
      <w:pPr>
        <w:pStyle w:val="Heading3"/>
      </w:pPr>
      <w:bookmarkStart w:id="23" w:name="_Toc523214664"/>
      <w:bookmarkStart w:id="24" w:name="_Toc27055344"/>
      <w:bookmarkStart w:id="25" w:name="_Toc81230895"/>
      <w:bookmarkStart w:id="26" w:name="_Toc92461270"/>
      <w:bookmarkStart w:id="27" w:name="_Toc147503805"/>
      <w:bookmarkStart w:id="28" w:name="_Toc155863395"/>
      <w:r w:rsidRPr="006108A9">
        <w:t>1.4.1</w:t>
      </w:r>
      <w:r w:rsidRPr="006108A9">
        <w:tab/>
        <w:t>R&amp;D income return</w:t>
      </w:r>
      <w:bookmarkEnd w:id="23"/>
      <w:bookmarkEnd w:id="24"/>
      <w:bookmarkEnd w:id="25"/>
      <w:bookmarkEnd w:id="26"/>
      <w:bookmarkEnd w:id="27"/>
      <w:bookmarkEnd w:id="28"/>
    </w:p>
    <w:p w14:paraId="496A5AFE" w14:textId="77777777" w:rsidR="009D347E" w:rsidRPr="0075018F" w:rsidRDefault="009D347E" w:rsidP="009D347E">
      <w:pPr>
        <w:rPr>
          <w:lang w:val="en-US"/>
        </w:rPr>
      </w:pPr>
      <w:r w:rsidRPr="0075018F">
        <w:rPr>
          <w:lang w:val="en-US"/>
        </w:rPr>
        <w:t>HEPs must provide R&amp;D income received for the 2023 reference year, grouped into four categories:</w:t>
      </w:r>
    </w:p>
    <w:p w14:paraId="103193E0" w14:textId="77777777" w:rsidR="009D347E" w:rsidRPr="0075018F" w:rsidRDefault="009D347E" w:rsidP="009D347E">
      <w:pPr>
        <w:pStyle w:val="ListBullet"/>
        <w:spacing w:line="276" w:lineRule="auto"/>
        <w:ind w:left="714" w:hanging="357"/>
      </w:pPr>
      <w:r w:rsidRPr="0075018F">
        <w:t>Category 1: Australian competitive grant R&amp;D income</w:t>
      </w:r>
    </w:p>
    <w:p w14:paraId="5902A46E" w14:textId="77777777" w:rsidR="009D347E" w:rsidRPr="0075018F" w:rsidRDefault="009D347E" w:rsidP="009D347E">
      <w:pPr>
        <w:pStyle w:val="ListBullet"/>
        <w:spacing w:line="276" w:lineRule="auto"/>
        <w:ind w:left="714" w:hanging="357"/>
      </w:pPr>
      <w:r w:rsidRPr="0075018F">
        <w:t xml:space="preserve">Category 2: </w:t>
      </w:r>
      <w:r>
        <w:t>o</w:t>
      </w:r>
      <w:r w:rsidRPr="0075018F">
        <w:t>ther public sector R&amp;D income</w:t>
      </w:r>
    </w:p>
    <w:p w14:paraId="556B08AB" w14:textId="77777777" w:rsidR="009D347E" w:rsidRPr="0075018F" w:rsidRDefault="009D347E" w:rsidP="009D347E">
      <w:pPr>
        <w:pStyle w:val="ListBullet"/>
        <w:spacing w:line="276" w:lineRule="auto"/>
        <w:ind w:left="714" w:hanging="357"/>
      </w:pPr>
      <w:r w:rsidRPr="0075018F">
        <w:t xml:space="preserve">Category 3: </w:t>
      </w:r>
      <w:r>
        <w:t>i</w:t>
      </w:r>
      <w:r w:rsidRPr="0075018F">
        <w:t>ndustry and other R&amp;D income</w:t>
      </w:r>
    </w:p>
    <w:p w14:paraId="063879DE" w14:textId="77777777" w:rsidR="009D347E" w:rsidRPr="0075018F" w:rsidRDefault="009D347E" w:rsidP="009D347E">
      <w:pPr>
        <w:pStyle w:val="ListBullet"/>
        <w:spacing w:line="276" w:lineRule="auto"/>
        <w:ind w:left="714" w:hanging="357"/>
      </w:pPr>
      <w:r w:rsidRPr="0075018F">
        <w:t>Category 4: Cooperative Research Centre (CRC) R&amp;D income.</w:t>
      </w:r>
    </w:p>
    <w:p w14:paraId="3FA7E2C9" w14:textId="77777777" w:rsidR="009D347E" w:rsidRPr="0075018F" w:rsidRDefault="009D347E" w:rsidP="009D347E">
      <w:pPr>
        <w:rPr>
          <w:lang w:val="en-US"/>
        </w:rPr>
      </w:pPr>
      <w:bookmarkStart w:id="29" w:name="_Toc523214665"/>
      <w:bookmarkStart w:id="30" w:name="_Toc27055345"/>
      <w:bookmarkStart w:id="31" w:name="_Toc81230896"/>
      <w:bookmarkStart w:id="32" w:name="_Toc92461271"/>
      <w:r w:rsidRPr="0075018F">
        <w:rPr>
          <w:lang w:val="en-US"/>
        </w:rPr>
        <w:t xml:space="preserve">The 2023 R&amp;D income return must be submitted via </w:t>
      </w:r>
      <w:hyperlink r:id="rId21" w:history="1">
        <w:r w:rsidRPr="0075018F">
          <w:rPr>
            <w:rStyle w:val="Hyperlink"/>
            <w:lang w:val="en-US"/>
          </w:rPr>
          <w:t>SEER</w:t>
        </w:r>
      </w:hyperlink>
      <w:r w:rsidRPr="0075018F">
        <w:rPr>
          <w:lang w:val="en-US"/>
        </w:rPr>
        <w:t xml:space="preserve"> to the Australian Research Council (ARC). </w:t>
      </w:r>
    </w:p>
    <w:p w14:paraId="26B40825" w14:textId="77777777" w:rsidR="009D347E" w:rsidRPr="005007B2" w:rsidRDefault="009D347E" w:rsidP="006108A9">
      <w:pPr>
        <w:pStyle w:val="Heading3"/>
        <w:rPr>
          <w:lang w:val="en-US"/>
        </w:rPr>
      </w:pPr>
      <w:bookmarkStart w:id="33" w:name="_Toc147503806"/>
      <w:bookmarkStart w:id="34" w:name="_Toc155863396"/>
      <w:r w:rsidRPr="005007B2">
        <w:t>1.4.2</w:t>
      </w:r>
      <w:r w:rsidRPr="005007B2">
        <w:tab/>
        <w:t>Vice-Chancellor certification</w:t>
      </w:r>
      <w:bookmarkEnd w:id="33"/>
      <w:bookmarkEnd w:id="34"/>
      <w:r w:rsidRPr="005007B2">
        <w:t xml:space="preserve"> </w:t>
      </w:r>
      <w:bookmarkEnd w:id="29"/>
      <w:bookmarkEnd w:id="30"/>
      <w:bookmarkEnd w:id="31"/>
      <w:bookmarkEnd w:id="32"/>
    </w:p>
    <w:p w14:paraId="63A94616" w14:textId="77777777" w:rsidR="009D347E" w:rsidRPr="0075018F" w:rsidRDefault="009D347E" w:rsidP="009D347E">
      <w:pPr>
        <w:rPr>
          <w:lang w:val="en-US"/>
        </w:rPr>
      </w:pPr>
      <w:r w:rsidRPr="0075018F">
        <w:rPr>
          <w:lang w:val="en-US"/>
        </w:rPr>
        <w:t>Vice-Chancellors (or equivalent) must certify that their HEP’s R&amp;D income return is correct and has been compiled in accordance with this specification document. This certification is completed in SEER. A separate certification statement is not required.</w:t>
      </w:r>
    </w:p>
    <w:p w14:paraId="6FF2A13E" w14:textId="77777777" w:rsidR="009D347E" w:rsidRPr="005007B2" w:rsidRDefault="009D347E" w:rsidP="006108A9">
      <w:pPr>
        <w:pStyle w:val="Heading3"/>
      </w:pPr>
      <w:bookmarkStart w:id="35" w:name="_Toc523214666"/>
      <w:bookmarkStart w:id="36" w:name="_Toc27055346"/>
      <w:bookmarkStart w:id="37" w:name="_Toc81230897"/>
      <w:bookmarkStart w:id="38" w:name="_Toc92461272"/>
      <w:bookmarkStart w:id="39" w:name="_Toc147503807"/>
      <w:bookmarkStart w:id="40" w:name="_Toc155863397"/>
      <w:r w:rsidRPr="005007B2">
        <w:t>1.4.3</w:t>
      </w:r>
      <w:r w:rsidRPr="005007B2">
        <w:tab/>
        <w:t>Audit report</w:t>
      </w:r>
      <w:bookmarkEnd w:id="35"/>
      <w:bookmarkEnd w:id="36"/>
      <w:bookmarkEnd w:id="37"/>
      <w:bookmarkEnd w:id="38"/>
      <w:bookmarkEnd w:id="39"/>
      <w:bookmarkEnd w:id="40"/>
    </w:p>
    <w:p w14:paraId="4A20ACE7" w14:textId="77777777" w:rsidR="009D347E" w:rsidRPr="0075018F" w:rsidRDefault="009D347E" w:rsidP="009D347E">
      <w:pPr>
        <w:rPr>
          <w:lang w:val="en-US"/>
        </w:rPr>
      </w:pPr>
      <w:r w:rsidRPr="0075018F">
        <w:rPr>
          <w:lang w:val="en-US"/>
        </w:rPr>
        <w:t>Each HEP must arrange for an audit of the Category 1, 2, 3 and 4 R&amp;D income in their respective R&amp;D income return and provide the department with a Special Purpose Audit Report under the Auditing and Assurance Standard Board’s Auditing Standard ASA800, which clearly certifies that the R&amp;D income recorded is correct.</w:t>
      </w:r>
    </w:p>
    <w:p w14:paraId="6295EA9D" w14:textId="77777777" w:rsidR="009D347E" w:rsidRPr="0075018F" w:rsidRDefault="009D347E" w:rsidP="009D347E">
      <w:pPr>
        <w:rPr>
          <w:lang w:val="en-US"/>
        </w:rPr>
      </w:pPr>
      <w:r w:rsidRPr="0075018F">
        <w:rPr>
          <w:lang w:val="en-US"/>
        </w:rPr>
        <w:t>In addition to ensuring that the R&amp;D income reported by a HEP under its R&amp;D income return is correct, the department expects that the audit also ensures that R&amp;D income is:</w:t>
      </w:r>
    </w:p>
    <w:p w14:paraId="2C567AED" w14:textId="77777777" w:rsidR="009D347E" w:rsidRPr="0075018F" w:rsidRDefault="009D347E" w:rsidP="009D347E">
      <w:pPr>
        <w:pStyle w:val="ListBullet"/>
        <w:spacing w:line="276" w:lineRule="auto"/>
        <w:ind w:left="714" w:hanging="357"/>
      </w:pPr>
      <w:r w:rsidRPr="0075018F">
        <w:t>attributed to activities that comply with the definition of R&amp;D (</w:t>
      </w:r>
      <w:r w:rsidRPr="0075018F">
        <w:rPr>
          <w:b/>
          <w:bCs/>
        </w:rPr>
        <w:t>section 3</w:t>
      </w:r>
      <w:r w:rsidRPr="0075018F">
        <w:t>)</w:t>
      </w:r>
    </w:p>
    <w:p w14:paraId="0CB6B389" w14:textId="77777777" w:rsidR="009D347E" w:rsidRPr="0075018F" w:rsidRDefault="009D347E" w:rsidP="009D347E">
      <w:pPr>
        <w:pStyle w:val="ListBullet"/>
        <w:spacing w:line="276" w:lineRule="auto"/>
        <w:ind w:left="714" w:hanging="357"/>
      </w:pPr>
      <w:r w:rsidRPr="0075018F">
        <w:t xml:space="preserve">attributed to the correct category of R&amp;D </w:t>
      </w:r>
      <w:proofErr w:type="gramStart"/>
      <w:r w:rsidRPr="0075018F">
        <w:t>income</w:t>
      </w:r>
      <w:proofErr w:type="gramEnd"/>
    </w:p>
    <w:p w14:paraId="581255A7" w14:textId="77777777" w:rsidR="009D347E" w:rsidRPr="0075018F" w:rsidRDefault="009D347E" w:rsidP="009D347E">
      <w:pPr>
        <w:pStyle w:val="ListBullet"/>
        <w:spacing w:line="276" w:lineRule="auto"/>
        <w:ind w:left="714" w:hanging="357"/>
      </w:pPr>
      <w:r w:rsidRPr="0075018F">
        <w:t>identified by transparent and explicit transactions.</w:t>
      </w:r>
    </w:p>
    <w:p w14:paraId="526CBB10" w14:textId="77777777" w:rsidR="009D347E" w:rsidRDefault="009D347E" w:rsidP="009D347E">
      <w:pPr>
        <w:rPr>
          <w:lang w:val="en-US"/>
        </w:rPr>
      </w:pPr>
      <w:r w:rsidRPr="0075018F">
        <w:rPr>
          <w:lang w:val="en-US"/>
        </w:rPr>
        <w:t xml:space="preserve">The audit </w:t>
      </w:r>
      <w:r>
        <w:rPr>
          <w:lang w:val="en-US"/>
        </w:rPr>
        <w:t xml:space="preserve">of HERDC returns </w:t>
      </w:r>
      <w:r w:rsidRPr="0075018F">
        <w:rPr>
          <w:lang w:val="en-US"/>
        </w:rPr>
        <w:t>should be conducted by an independent, external, and qualified auditor. HEPs may choose to use the auditors that undertake the audit of their financial statements.</w:t>
      </w:r>
    </w:p>
    <w:p w14:paraId="30513506" w14:textId="77777777" w:rsidR="009D347E" w:rsidRDefault="009D347E" w:rsidP="009D347E">
      <w:pPr>
        <w:spacing w:after="160"/>
        <w:rPr>
          <w:lang w:val="en-US"/>
        </w:rPr>
      </w:pPr>
      <w:r>
        <w:rPr>
          <w:lang w:val="en-US"/>
        </w:rPr>
        <w:br w:type="page"/>
      </w:r>
    </w:p>
    <w:p w14:paraId="366BE359" w14:textId="77777777" w:rsidR="009D347E" w:rsidRPr="0075018F" w:rsidRDefault="009D347E" w:rsidP="006108A9">
      <w:pPr>
        <w:pStyle w:val="Heading2"/>
      </w:pPr>
      <w:bookmarkStart w:id="41" w:name="_Toc523214667"/>
      <w:bookmarkStart w:id="42" w:name="_Toc27055347"/>
      <w:bookmarkStart w:id="43" w:name="_Toc81230898"/>
      <w:bookmarkStart w:id="44" w:name="_Toc92461273"/>
      <w:bookmarkStart w:id="45" w:name="_Toc147503808"/>
      <w:bookmarkStart w:id="46" w:name="_Toc155863398"/>
      <w:r w:rsidRPr="0075018F">
        <w:lastRenderedPageBreak/>
        <w:t>1.5</w:t>
      </w:r>
      <w:r w:rsidRPr="0075018F">
        <w:tab/>
        <w:t>Submission instructions and due date</w:t>
      </w:r>
      <w:bookmarkEnd w:id="41"/>
      <w:bookmarkEnd w:id="42"/>
      <w:bookmarkEnd w:id="43"/>
      <w:bookmarkEnd w:id="44"/>
      <w:bookmarkEnd w:id="45"/>
      <w:bookmarkEnd w:id="46"/>
    </w:p>
    <w:p w14:paraId="63FDA1B3" w14:textId="77777777" w:rsidR="009D347E" w:rsidRPr="0075018F" w:rsidRDefault="009D347E" w:rsidP="009D347E">
      <w:pPr>
        <w:rPr>
          <w:lang w:val="en-US"/>
        </w:rPr>
      </w:pPr>
      <w:r w:rsidRPr="0075018F">
        <w:rPr>
          <w:lang w:val="en-US"/>
        </w:rPr>
        <w:t>Material must be submitted according to the table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213"/>
        <w:gridCol w:w="1566"/>
      </w:tblGrid>
      <w:tr w:rsidR="009D347E" w:rsidRPr="0075018F" w14:paraId="5D3D00A8" w14:textId="77777777" w:rsidTr="00A07A86">
        <w:trPr>
          <w:trHeight w:hRule="exact" w:val="445"/>
          <w:jc w:val="center"/>
        </w:trPr>
        <w:tc>
          <w:tcPr>
            <w:tcW w:w="7213" w:type="dxa"/>
            <w:tcBorders>
              <w:top w:val="single" w:sz="4" w:space="0" w:color="auto"/>
              <w:left w:val="single" w:sz="4" w:space="0" w:color="auto"/>
              <w:bottom w:val="single" w:sz="6" w:space="0" w:color="auto"/>
              <w:right w:val="single" w:sz="6" w:space="0" w:color="auto"/>
            </w:tcBorders>
            <w:shd w:val="clear" w:color="auto" w:fill="002D3F"/>
            <w:hideMark/>
          </w:tcPr>
          <w:p w14:paraId="14313E1A" w14:textId="77777777" w:rsidR="009D347E" w:rsidRPr="0075018F" w:rsidRDefault="009D347E" w:rsidP="00A07A86">
            <w:pPr>
              <w:rPr>
                <w:lang w:val="en-US"/>
              </w:rPr>
            </w:pPr>
            <w:r w:rsidRPr="0075018F">
              <w:rPr>
                <w:lang w:val="en-US"/>
              </w:rPr>
              <w:t xml:space="preserve">Material required </w:t>
            </w:r>
          </w:p>
        </w:tc>
        <w:tc>
          <w:tcPr>
            <w:tcW w:w="1566" w:type="dxa"/>
            <w:tcBorders>
              <w:top w:val="single" w:sz="4" w:space="0" w:color="auto"/>
              <w:left w:val="single" w:sz="6" w:space="0" w:color="auto"/>
              <w:bottom w:val="single" w:sz="6" w:space="0" w:color="auto"/>
              <w:right w:val="single" w:sz="4" w:space="0" w:color="auto"/>
            </w:tcBorders>
            <w:shd w:val="clear" w:color="auto" w:fill="002D3F"/>
            <w:hideMark/>
          </w:tcPr>
          <w:p w14:paraId="40281867" w14:textId="77777777" w:rsidR="009D347E" w:rsidRPr="0075018F" w:rsidRDefault="009D347E" w:rsidP="00A07A86">
            <w:pPr>
              <w:rPr>
                <w:lang w:val="en-US"/>
              </w:rPr>
            </w:pPr>
            <w:r w:rsidRPr="0075018F">
              <w:rPr>
                <w:lang w:val="en-US"/>
              </w:rPr>
              <w:t xml:space="preserve">Due date </w:t>
            </w:r>
          </w:p>
        </w:tc>
      </w:tr>
      <w:tr w:rsidR="009D347E" w:rsidRPr="0075018F" w14:paraId="585D5044" w14:textId="77777777" w:rsidTr="00A07A86">
        <w:trPr>
          <w:trHeight w:val="301"/>
          <w:jc w:val="center"/>
        </w:trPr>
        <w:tc>
          <w:tcPr>
            <w:tcW w:w="7213" w:type="dxa"/>
            <w:tcBorders>
              <w:top w:val="single" w:sz="6" w:space="0" w:color="auto"/>
              <w:left w:val="single" w:sz="4" w:space="0" w:color="auto"/>
              <w:bottom w:val="single" w:sz="6" w:space="0" w:color="auto"/>
              <w:right w:val="single" w:sz="6" w:space="0" w:color="auto"/>
            </w:tcBorders>
            <w:hideMark/>
          </w:tcPr>
          <w:p w14:paraId="084F13B0" w14:textId="77777777" w:rsidR="009D347E" w:rsidRPr="0075018F" w:rsidRDefault="009D347E" w:rsidP="00A07A86">
            <w:pPr>
              <w:rPr>
                <w:lang w:val="en-US"/>
              </w:rPr>
            </w:pPr>
            <w:r w:rsidRPr="0075018F">
              <w:rPr>
                <w:lang w:val="en-US"/>
              </w:rPr>
              <w:t xml:space="preserve">R&amp;D income return </w:t>
            </w:r>
          </w:p>
        </w:tc>
        <w:tc>
          <w:tcPr>
            <w:tcW w:w="1566" w:type="dxa"/>
            <w:vMerge w:val="restart"/>
            <w:tcBorders>
              <w:top w:val="single" w:sz="6" w:space="0" w:color="auto"/>
              <w:left w:val="single" w:sz="6" w:space="0" w:color="auto"/>
              <w:bottom w:val="single" w:sz="4" w:space="0" w:color="auto"/>
              <w:right w:val="single" w:sz="4" w:space="0" w:color="auto"/>
            </w:tcBorders>
            <w:vAlign w:val="center"/>
            <w:hideMark/>
          </w:tcPr>
          <w:p w14:paraId="5CB2F491" w14:textId="77777777" w:rsidR="009D347E" w:rsidRPr="0075018F" w:rsidRDefault="009D347E" w:rsidP="00A07A86">
            <w:pPr>
              <w:rPr>
                <w:lang w:val="en-US"/>
              </w:rPr>
            </w:pPr>
            <w:r w:rsidRPr="0075018F">
              <w:rPr>
                <w:lang w:val="en-US"/>
              </w:rPr>
              <w:t>30 June 2024</w:t>
            </w:r>
          </w:p>
        </w:tc>
      </w:tr>
      <w:tr w:rsidR="009D347E" w:rsidRPr="0075018F" w14:paraId="3E71C675" w14:textId="77777777" w:rsidTr="00A07A86">
        <w:trPr>
          <w:trHeight w:val="273"/>
          <w:jc w:val="center"/>
        </w:trPr>
        <w:tc>
          <w:tcPr>
            <w:tcW w:w="7213" w:type="dxa"/>
            <w:tcBorders>
              <w:top w:val="single" w:sz="6" w:space="0" w:color="auto"/>
              <w:left w:val="single" w:sz="4" w:space="0" w:color="auto"/>
              <w:bottom w:val="single" w:sz="6" w:space="0" w:color="auto"/>
              <w:right w:val="single" w:sz="6" w:space="0" w:color="auto"/>
            </w:tcBorders>
            <w:hideMark/>
          </w:tcPr>
          <w:p w14:paraId="0EDD28A2" w14:textId="77777777" w:rsidR="009D347E" w:rsidRPr="0075018F" w:rsidRDefault="009D347E" w:rsidP="00A07A86">
            <w:pPr>
              <w:rPr>
                <w:lang w:val="en-US"/>
              </w:rPr>
            </w:pPr>
            <w:r w:rsidRPr="0075018F">
              <w:rPr>
                <w:lang w:val="en-US"/>
              </w:rPr>
              <w:t>Vice-Chancellor’s certification statement</w:t>
            </w: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556C7FDB" w14:textId="77777777" w:rsidR="009D347E" w:rsidRPr="0075018F" w:rsidRDefault="009D347E" w:rsidP="00A07A86">
            <w:pPr>
              <w:rPr>
                <w:lang w:val="en-US"/>
              </w:rPr>
            </w:pPr>
          </w:p>
        </w:tc>
      </w:tr>
      <w:tr w:rsidR="009D347E" w:rsidRPr="0075018F" w14:paraId="001EBE1A" w14:textId="77777777" w:rsidTr="00A07A86">
        <w:trPr>
          <w:trHeight w:val="289"/>
          <w:jc w:val="center"/>
        </w:trPr>
        <w:tc>
          <w:tcPr>
            <w:tcW w:w="7213" w:type="dxa"/>
            <w:tcBorders>
              <w:top w:val="single" w:sz="6" w:space="0" w:color="auto"/>
              <w:left w:val="single" w:sz="4" w:space="0" w:color="auto"/>
              <w:bottom w:val="single" w:sz="4" w:space="0" w:color="auto"/>
              <w:right w:val="single" w:sz="6" w:space="0" w:color="auto"/>
            </w:tcBorders>
            <w:hideMark/>
          </w:tcPr>
          <w:p w14:paraId="2DD73E70" w14:textId="77777777" w:rsidR="009D347E" w:rsidRPr="0075018F" w:rsidRDefault="009D347E" w:rsidP="00A07A86">
            <w:pPr>
              <w:rPr>
                <w:lang w:val="en-US"/>
              </w:rPr>
            </w:pPr>
            <w:r w:rsidRPr="0075018F">
              <w:rPr>
                <w:lang w:val="en-US"/>
              </w:rPr>
              <w:t>Audit report</w:t>
            </w: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3583108D" w14:textId="77777777" w:rsidR="009D347E" w:rsidRPr="0075018F" w:rsidRDefault="009D347E" w:rsidP="00A07A86">
            <w:pPr>
              <w:rPr>
                <w:lang w:val="en-US"/>
              </w:rPr>
            </w:pPr>
          </w:p>
        </w:tc>
      </w:tr>
    </w:tbl>
    <w:p w14:paraId="366FACDC" w14:textId="77777777" w:rsidR="009D347E" w:rsidRPr="0075018F" w:rsidRDefault="009D347E" w:rsidP="009D347E">
      <w:pPr>
        <w:spacing w:before="120"/>
        <w:rPr>
          <w:lang w:val="en-US"/>
        </w:rPr>
      </w:pPr>
      <w:r w:rsidRPr="0075018F">
        <w:rPr>
          <w:lang w:val="en-US"/>
        </w:rPr>
        <w:t xml:space="preserve">The instructions for electronic submission of the R&amp;D income return and </w:t>
      </w:r>
      <w:r>
        <w:rPr>
          <w:lang w:val="en-US"/>
        </w:rPr>
        <w:t>a</w:t>
      </w:r>
      <w:r w:rsidRPr="0075018F">
        <w:rPr>
          <w:lang w:val="en-US"/>
        </w:rPr>
        <w:t xml:space="preserve">udit report are set out in </w:t>
      </w:r>
      <w:r w:rsidRPr="0075018F">
        <w:rPr>
          <w:b/>
          <w:lang w:val="en-US"/>
        </w:rPr>
        <w:t>section 1.6</w:t>
      </w:r>
      <w:r w:rsidRPr="0075018F">
        <w:rPr>
          <w:lang w:val="en-US"/>
        </w:rPr>
        <w:t xml:space="preserve"> below. </w:t>
      </w:r>
    </w:p>
    <w:p w14:paraId="75473D5A" w14:textId="77777777" w:rsidR="009D347E" w:rsidRPr="0075018F" w:rsidRDefault="009D347E" w:rsidP="006108A9">
      <w:pPr>
        <w:pStyle w:val="Heading2"/>
      </w:pPr>
      <w:bookmarkStart w:id="47" w:name="_Toc523214668"/>
      <w:bookmarkStart w:id="48" w:name="_Toc27055348"/>
      <w:bookmarkStart w:id="49" w:name="_Toc81230899"/>
      <w:bookmarkStart w:id="50" w:name="_Toc92461274"/>
      <w:bookmarkStart w:id="51" w:name="_Toc147503809"/>
      <w:bookmarkStart w:id="52" w:name="_Toc155863399"/>
      <w:r w:rsidRPr="0075018F">
        <w:t>1.6</w:t>
      </w:r>
      <w:r w:rsidRPr="0075018F">
        <w:tab/>
        <w:t>Related documents</w:t>
      </w:r>
      <w:bookmarkEnd w:id="47"/>
      <w:bookmarkEnd w:id="48"/>
      <w:bookmarkEnd w:id="49"/>
      <w:bookmarkEnd w:id="50"/>
      <w:bookmarkEnd w:id="51"/>
      <w:bookmarkEnd w:id="52"/>
    </w:p>
    <w:p w14:paraId="49098E38" w14:textId="77777777" w:rsidR="009D347E" w:rsidRPr="0075018F" w:rsidRDefault="009D347E" w:rsidP="009D347E">
      <w:pPr>
        <w:rPr>
          <w:lang w:val="en-US"/>
        </w:rPr>
      </w:pPr>
      <w:r w:rsidRPr="0075018F">
        <w:rPr>
          <w:lang w:val="en-US"/>
        </w:rPr>
        <w:t xml:space="preserve">The specifications should be read in conjunction with </w:t>
      </w:r>
      <w:r>
        <w:rPr>
          <w:lang w:val="en-US"/>
        </w:rPr>
        <w:t xml:space="preserve">the ARC’s </w:t>
      </w:r>
      <w:hyperlink r:id="rId22" w:history="1">
        <w:r w:rsidRPr="009140AF">
          <w:rPr>
            <w:rStyle w:val="Hyperlink"/>
            <w:lang w:val="en-US"/>
          </w:rPr>
          <w:t>SEER User Guide</w:t>
        </w:r>
      </w:hyperlink>
      <w:r>
        <w:rPr>
          <w:lang w:val="en-US"/>
        </w:rPr>
        <w:t>.</w:t>
      </w:r>
    </w:p>
    <w:p w14:paraId="0EA1E32C" w14:textId="77777777" w:rsidR="009D347E" w:rsidRPr="0075018F" w:rsidRDefault="009D347E" w:rsidP="009D347E">
      <w:pPr>
        <w:rPr>
          <w:lang w:val="en-US"/>
        </w:rPr>
      </w:pPr>
      <w:r w:rsidRPr="0075018F">
        <w:rPr>
          <w:lang w:val="en-US"/>
        </w:rPr>
        <w:t xml:space="preserve">In addition, the department uses definitions and concepts referred to in the Australian Accounting Standard Board’s (AASB) standards and explanatory materials </w:t>
      </w:r>
      <w:r w:rsidRPr="006B6ECC">
        <w:rPr>
          <w:lang w:val="en-US"/>
        </w:rPr>
        <w:t>AASB 9</w:t>
      </w:r>
      <w:r w:rsidRPr="0075018F">
        <w:rPr>
          <w:lang w:val="en-US"/>
        </w:rPr>
        <w:t xml:space="preserve">, </w:t>
      </w:r>
      <w:r w:rsidRPr="006B6ECC">
        <w:rPr>
          <w:lang w:val="en-US"/>
        </w:rPr>
        <w:t>AASB 15</w:t>
      </w:r>
      <w:r w:rsidRPr="0075018F">
        <w:rPr>
          <w:lang w:val="en-US"/>
        </w:rPr>
        <w:t xml:space="preserve">, </w:t>
      </w:r>
      <w:r w:rsidRPr="006B6ECC">
        <w:rPr>
          <w:lang w:val="en-US"/>
        </w:rPr>
        <w:t>AASB 138</w:t>
      </w:r>
      <w:r w:rsidRPr="0075018F">
        <w:rPr>
          <w:lang w:val="en-US"/>
        </w:rPr>
        <w:t xml:space="preserve">, </w:t>
      </w:r>
      <w:r w:rsidRPr="006B6ECC">
        <w:rPr>
          <w:lang w:val="en-US"/>
        </w:rPr>
        <w:t>AASB 1058</w:t>
      </w:r>
      <w:r w:rsidRPr="0075018F">
        <w:rPr>
          <w:lang w:val="en-US"/>
        </w:rPr>
        <w:t xml:space="preserve"> and </w:t>
      </w:r>
      <w:r w:rsidRPr="006B6ECC">
        <w:rPr>
          <w:lang w:val="en-US"/>
        </w:rPr>
        <w:t>AASB 2016-8</w:t>
      </w:r>
      <w:r w:rsidRPr="0075018F">
        <w:rPr>
          <w:lang w:val="en-US"/>
        </w:rPr>
        <w:t xml:space="preserve">. </w:t>
      </w:r>
    </w:p>
    <w:p w14:paraId="7394C6E1" w14:textId="77777777" w:rsidR="009D347E" w:rsidRPr="0075018F" w:rsidRDefault="009D347E" w:rsidP="009D347E">
      <w:pPr>
        <w:rPr>
          <w:lang w:val="en-US"/>
        </w:rPr>
      </w:pPr>
      <w:r w:rsidRPr="00044281">
        <w:t>HEPs are not required to report HERDC R&amp;D income in line with the changed accounting standards AASB 9 and AASB 15 that came into effect on 1 January 2018.</w:t>
      </w:r>
      <w:r w:rsidRPr="0075018F">
        <w:t xml:space="preserve"> </w:t>
      </w:r>
      <w:r w:rsidRPr="0075018F">
        <w:rPr>
          <w:lang w:val="en-US"/>
        </w:rPr>
        <w:t xml:space="preserve"> </w:t>
      </w:r>
    </w:p>
    <w:p w14:paraId="2D9E92E9" w14:textId="77777777" w:rsidR="009D347E" w:rsidRPr="0075018F" w:rsidRDefault="009D347E" w:rsidP="006108A9">
      <w:pPr>
        <w:pStyle w:val="Heading2"/>
      </w:pPr>
      <w:bookmarkStart w:id="53" w:name="_Toc147503810"/>
      <w:bookmarkStart w:id="54" w:name="_Toc155863400"/>
      <w:bookmarkStart w:id="55" w:name="_Toc523214669"/>
      <w:bookmarkStart w:id="56" w:name="_Toc27055349"/>
      <w:bookmarkStart w:id="57" w:name="_Toc81230900"/>
      <w:bookmarkStart w:id="58" w:name="_Toc92461275"/>
      <w:r w:rsidRPr="0075018F">
        <w:t>1.7</w:t>
      </w:r>
      <w:r w:rsidRPr="0075018F">
        <w:tab/>
        <w:t>Freedom of Information Act 1982</w:t>
      </w:r>
      <w:bookmarkEnd w:id="53"/>
      <w:bookmarkEnd w:id="54"/>
    </w:p>
    <w:bookmarkEnd w:id="55"/>
    <w:bookmarkEnd w:id="56"/>
    <w:bookmarkEnd w:id="57"/>
    <w:bookmarkEnd w:id="58"/>
    <w:p w14:paraId="3776C126" w14:textId="77777777" w:rsidR="009D347E" w:rsidRPr="0075018F" w:rsidRDefault="009D347E" w:rsidP="009D347E">
      <w:pPr>
        <w:rPr>
          <w:lang w:val="en-US"/>
        </w:rPr>
      </w:pPr>
      <w:r w:rsidRPr="0075018F">
        <w:rPr>
          <w:lang w:val="en-US"/>
        </w:rPr>
        <w:t xml:space="preserve">All documents obtained by the department </w:t>
      </w:r>
      <w:proofErr w:type="gramStart"/>
      <w:r w:rsidRPr="0075018F">
        <w:rPr>
          <w:lang w:val="en-US"/>
        </w:rPr>
        <w:t>with regard to</w:t>
      </w:r>
      <w:proofErr w:type="gramEnd"/>
      <w:r w:rsidRPr="0075018F">
        <w:rPr>
          <w:lang w:val="en-US"/>
        </w:rPr>
        <w:t xml:space="preserve"> the HERDC are subject to the </w:t>
      </w:r>
      <w:r w:rsidRPr="0075018F">
        <w:rPr>
          <w:i/>
          <w:lang w:val="en-US"/>
        </w:rPr>
        <w:t>Freedom of Information Act 1982</w:t>
      </w:r>
      <w:r w:rsidRPr="0075018F">
        <w:rPr>
          <w:lang w:val="en-US"/>
        </w:rPr>
        <w:t xml:space="preserve"> (</w:t>
      </w:r>
      <w:r w:rsidRPr="0075018F">
        <w:rPr>
          <w:iCs/>
          <w:lang w:val="en-US"/>
        </w:rPr>
        <w:t>FOI Act</w:t>
      </w:r>
      <w:r w:rsidRPr="0075018F">
        <w:rPr>
          <w:lang w:val="en-US"/>
        </w:rPr>
        <w:t>). Unless a document falls under an exemption provision, it may be made available to the applicant</w:t>
      </w:r>
      <w:r>
        <w:rPr>
          <w:lang w:val="en-US"/>
        </w:rPr>
        <w:t xml:space="preserve"> on </w:t>
      </w:r>
      <w:r w:rsidRPr="0075018F">
        <w:rPr>
          <w:lang w:val="en-US"/>
        </w:rPr>
        <w:t xml:space="preserve">request, under the </w:t>
      </w:r>
      <w:r w:rsidRPr="0075018F">
        <w:rPr>
          <w:iCs/>
          <w:lang w:val="en-US"/>
        </w:rPr>
        <w:t>FOI Act</w:t>
      </w:r>
      <w:r w:rsidRPr="0075018F">
        <w:rPr>
          <w:lang w:val="en-US"/>
        </w:rPr>
        <w:t xml:space="preserve">. All freedom of information (FOI) requests </w:t>
      </w:r>
      <w:proofErr w:type="gramStart"/>
      <w:r w:rsidRPr="0075018F">
        <w:rPr>
          <w:lang w:val="en-US"/>
        </w:rPr>
        <w:t>are</w:t>
      </w:r>
      <w:proofErr w:type="gramEnd"/>
      <w:r w:rsidRPr="0075018F">
        <w:rPr>
          <w:lang w:val="en-US"/>
        </w:rPr>
        <w:t xml:space="preserve"> to be referred to the FOI Coordinator via email at </w:t>
      </w:r>
      <w:hyperlink r:id="rId23" w:history="1">
        <w:r w:rsidRPr="0075018F">
          <w:rPr>
            <w:rStyle w:val="Hyperlink"/>
            <w:lang w:val="en-US"/>
          </w:rPr>
          <w:t>FOI@education.gov.au</w:t>
        </w:r>
      </w:hyperlink>
      <w:r w:rsidRPr="0075018F">
        <w:rPr>
          <w:lang w:val="en-US"/>
        </w:rPr>
        <w:t>.</w:t>
      </w:r>
    </w:p>
    <w:p w14:paraId="61DC93BD" w14:textId="77777777" w:rsidR="009D347E" w:rsidRPr="0075018F" w:rsidRDefault="009D347E" w:rsidP="009D347E">
      <w:pPr>
        <w:rPr>
          <w:lang w:val="en-US"/>
        </w:rPr>
      </w:pPr>
      <w:r w:rsidRPr="0075018F">
        <w:rPr>
          <w:lang w:val="en-US"/>
        </w:rPr>
        <w:t>Decisions regarding requests for access to documents will be made by the department’s</w:t>
      </w:r>
      <w:r w:rsidRPr="0075018F">
        <w:t xml:space="preserve"> authorised</w:t>
      </w:r>
      <w:r w:rsidRPr="0075018F">
        <w:rPr>
          <w:lang w:val="en-US"/>
        </w:rPr>
        <w:t xml:space="preserve"> FOI decision-maker in accordance with the requirements of the </w:t>
      </w:r>
      <w:r w:rsidRPr="0075018F">
        <w:rPr>
          <w:iCs/>
          <w:lang w:val="en-US"/>
        </w:rPr>
        <w:t>FOI Act</w:t>
      </w:r>
      <w:r w:rsidRPr="0075018F">
        <w:rPr>
          <w:lang w:val="en-US"/>
        </w:rPr>
        <w:t>.</w:t>
      </w:r>
    </w:p>
    <w:p w14:paraId="661C97B1" w14:textId="77777777" w:rsidR="009D347E" w:rsidRPr="0075018F" w:rsidRDefault="009D347E" w:rsidP="006108A9">
      <w:pPr>
        <w:pStyle w:val="Heading2"/>
      </w:pPr>
      <w:bookmarkStart w:id="59" w:name="_Toc523214670"/>
      <w:bookmarkStart w:id="60" w:name="_Toc27055350"/>
      <w:bookmarkStart w:id="61" w:name="_Toc81230901"/>
      <w:bookmarkStart w:id="62" w:name="_Toc92461276"/>
      <w:bookmarkStart w:id="63" w:name="_Toc147503811"/>
      <w:bookmarkStart w:id="64" w:name="_Toc155863401"/>
      <w:r w:rsidRPr="0075018F">
        <w:t>1.8</w:t>
      </w:r>
      <w:r w:rsidRPr="0075018F">
        <w:tab/>
        <w:t>Verification material</w:t>
      </w:r>
      <w:bookmarkEnd w:id="59"/>
      <w:bookmarkEnd w:id="60"/>
      <w:bookmarkEnd w:id="61"/>
      <w:bookmarkEnd w:id="62"/>
      <w:bookmarkEnd w:id="63"/>
      <w:bookmarkEnd w:id="64"/>
    </w:p>
    <w:p w14:paraId="71F45FED" w14:textId="77777777" w:rsidR="009D347E" w:rsidRPr="0075018F" w:rsidRDefault="009D347E" w:rsidP="009D347E">
      <w:pPr>
        <w:rPr>
          <w:lang w:val="en-US"/>
        </w:rPr>
      </w:pPr>
      <w:r w:rsidRPr="0075018F">
        <w:rPr>
          <w:lang w:val="en-US"/>
        </w:rPr>
        <w:t xml:space="preserve">HEPs must maintain verification material to demonstrate that </w:t>
      </w:r>
      <w:r>
        <w:rPr>
          <w:lang w:val="en-US"/>
        </w:rPr>
        <w:t xml:space="preserve">the reported </w:t>
      </w:r>
      <w:r w:rsidRPr="0075018F">
        <w:rPr>
          <w:lang w:val="en-US"/>
        </w:rPr>
        <w:t xml:space="preserve">R&amp;D income meets the criteria of the </w:t>
      </w:r>
      <w:r>
        <w:rPr>
          <w:lang w:val="en-US"/>
        </w:rPr>
        <w:t xml:space="preserve">relevant </w:t>
      </w:r>
      <w:r w:rsidRPr="0075018F">
        <w:rPr>
          <w:lang w:val="en-US"/>
        </w:rPr>
        <w:t>categories. Examples of verification materials include funding agreements, memoranda of understanding, letters of agreement, contracts, proof of acceptance of a tender or approval of an application for funding.</w:t>
      </w:r>
    </w:p>
    <w:p w14:paraId="47110640" w14:textId="77777777" w:rsidR="009D347E" w:rsidRPr="0075018F" w:rsidRDefault="009D347E" w:rsidP="009D347E">
      <w:pPr>
        <w:rPr>
          <w:lang w:val="en-US"/>
        </w:rPr>
      </w:pPr>
      <w:r w:rsidRPr="0075018F">
        <w:rPr>
          <w:lang w:val="en-US"/>
        </w:rPr>
        <w:t>For the purposes of the HERDC, HEPs must retain verification material for a minimum of five years to facilitate any audit of R&amp;D income data that may be conducted by, or on behalf of, the department.</w:t>
      </w:r>
    </w:p>
    <w:p w14:paraId="7329A887" w14:textId="77777777" w:rsidR="009D347E" w:rsidRPr="0075018F" w:rsidRDefault="009D347E" w:rsidP="009D347E">
      <w:pPr>
        <w:rPr>
          <w:lang w:val="en-US"/>
        </w:rPr>
      </w:pPr>
      <w:r w:rsidRPr="0075018F">
        <w:rPr>
          <w:lang w:val="en-US"/>
        </w:rPr>
        <w:t xml:space="preserve">HEPs should ensure that their relevant verification material </w:t>
      </w:r>
      <w:r>
        <w:rPr>
          <w:lang w:val="en-US"/>
        </w:rPr>
        <w:t>is</w:t>
      </w:r>
      <w:r w:rsidRPr="0075018F">
        <w:rPr>
          <w:lang w:val="en-US"/>
        </w:rPr>
        <w:t xml:space="preserve"> up to date and reflect the nature of the R&amp;D activity being undertaken and the roles of the parties. Arrangements supported by email only (without supporting attachments) do not constitute appropriate verification material.</w:t>
      </w:r>
    </w:p>
    <w:p w14:paraId="203336BC" w14:textId="77777777" w:rsidR="009D347E" w:rsidRPr="0075018F" w:rsidRDefault="009D347E" w:rsidP="006108A9">
      <w:pPr>
        <w:pStyle w:val="Heading2"/>
      </w:pPr>
      <w:bookmarkStart w:id="65" w:name="_Toc523214671"/>
      <w:bookmarkStart w:id="66" w:name="_Toc27055351"/>
      <w:bookmarkStart w:id="67" w:name="_Toc81230902"/>
      <w:bookmarkStart w:id="68" w:name="_Toc92461277"/>
      <w:bookmarkStart w:id="69" w:name="_Toc147503812"/>
      <w:bookmarkStart w:id="70" w:name="_Toc155863402"/>
      <w:r w:rsidRPr="0075018F">
        <w:t>1.9</w:t>
      </w:r>
      <w:r w:rsidRPr="0075018F">
        <w:tab/>
        <w:t>Contact details</w:t>
      </w:r>
      <w:bookmarkEnd w:id="65"/>
      <w:bookmarkEnd w:id="66"/>
      <w:bookmarkEnd w:id="67"/>
      <w:bookmarkEnd w:id="68"/>
      <w:bookmarkEnd w:id="69"/>
      <w:bookmarkEnd w:id="70"/>
    </w:p>
    <w:p w14:paraId="67C78F27" w14:textId="77777777" w:rsidR="009D347E" w:rsidRDefault="009D347E" w:rsidP="009D347E">
      <w:pPr>
        <w:rPr>
          <w:lang w:val="en-US"/>
        </w:rPr>
      </w:pPr>
      <w:r w:rsidRPr="0075018F">
        <w:rPr>
          <w:lang w:val="en-US"/>
        </w:rPr>
        <w:t xml:space="preserve">Questions concerning the HERDC and these </w:t>
      </w:r>
      <w:r w:rsidRPr="0075018F">
        <w:rPr>
          <w:iCs/>
          <w:lang w:val="en-US"/>
        </w:rPr>
        <w:t>specifications</w:t>
      </w:r>
      <w:r w:rsidRPr="0075018F">
        <w:rPr>
          <w:lang w:val="en-US"/>
        </w:rPr>
        <w:t xml:space="preserve"> can be directed to </w:t>
      </w:r>
      <w:hyperlink r:id="rId24" w:history="1">
        <w:r w:rsidRPr="00A11169">
          <w:rPr>
            <w:rStyle w:val="Hyperlink"/>
            <w:lang w:val="en-US"/>
          </w:rPr>
          <w:t>RBGrants@education.gov.au</w:t>
        </w:r>
      </w:hyperlink>
      <w:r w:rsidRPr="0075018F">
        <w:rPr>
          <w:lang w:val="en-US"/>
        </w:rPr>
        <w:t>.</w:t>
      </w:r>
    </w:p>
    <w:p w14:paraId="6DCBC898" w14:textId="1B617A21" w:rsidR="009D347E" w:rsidRPr="00E50705" w:rsidRDefault="009D347E" w:rsidP="009D347E">
      <w:pPr>
        <w:pStyle w:val="Heading1"/>
      </w:pPr>
      <w:bookmarkStart w:id="71" w:name="_Toc27055352"/>
      <w:bookmarkStart w:id="72" w:name="_Toc81230903"/>
      <w:bookmarkStart w:id="73" w:name="_Toc92461278"/>
      <w:bookmarkStart w:id="74" w:name="_Toc147503813"/>
      <w:r w:rsidRPr="00E50705">
        <w:lastRenderedPageBreak/>
        <w:t xml:space="preserve">HERDC </w:t>
      </w:r>
      <w:r w:rsidRPr="001821A2">
        <w:t>specifications</w:t>
      </w:r>
      <w:bookmarkEnd w:id="71"/>
      <w:r w:rsidRPr="00E50705">
        <w:t xml:space="preserve"> – </w:t>
      </w:r>
      <w:r>
        <w:t>updates</w:t>
      </w:r>
      <w:r w:rsidRPr="00E50705">
        <w:t xml:space="preserve"> to </w:t>
      </w:r>
      <w:proofErr w:type="gramStart"/>
      <w:r w:rsidRPr="00E50705">
        <w:t>note</w:t>
      </w:r>
      <w:bookmarkEnd w:id="72"/>
      <w:bookmarkEnd w:id="73"/>
      <w:bookmarkEnd w:id="74"/>
      <w:proofErr w:type="gramEnd"/>
    </w:p>
    <w:p w14:paraId="3DDB71F8" w14:textId="77777777" w:rsidR="009D347E" w:rsidRPr="00C02166" w:rsidRDefault="009D347E" w:rsidP="00C02166">
      <w:pPr>
        <w:pStyle w:val="Heading5"/>
      </w:pPr>
      <w:r w:rsidRPr="00C02166">
        <w:t>Method of data collection</w:t>
      </w:r>
    </w:p>
    <w:p w14:paraId="26B00F96" w14:textId="77777777" w:rsidR="009D347E" w:rsidRDefault="009D347E" w:rsidP="009D347E">
      <w:pPr>
        <w:rPr>
          <w:rFonts w:eastAsiaTheme="minorEastAsia"/>
        </w:rPr>
      </w:pPr>
      <w:r w:rsidRPr="00E50705">
        <w:rPr>
          <w:rFonts w:eastAsiaTheme="minorEastAsia"/>
          <w:b/>
          <w:bCs/>
        </w:rPr>
        <w:t>Section</w:t>
      </w:r>
      <w:r>
        <w:rPr>
          <w:rFonts w:eastAsiaTheme="minorEastAsia"/>
          <w:b/>
          <w:bCs/>
        </w:rPr>
        <w:t xml:space="preserve"> 1.2 </w:t>
      </w:r>
      <w:r w:rsidRPr="006329F0">
        <w:rPr>
          <w:rFonts w:eastAsiaTheme="minorEastAsia"/>
        </w:rPr>
        <w:t>has been</w:t>
      </w:r>
      <w:r>
        <w:rPr>
          <w:rFonts w:eastAsiaTheme="minorEastAsia"/>
          <w:b/>
          <w:bCs/>
        </w:rPr>
        <w:t xml:space="preserve"> </w:t>
      </w:r>
      <w:r>
        <w:rPr>
          <w:rFonts w:eastAsiaTheme="minorEastAsia"/>
        </w:rPr>
        <w:t xml:space="preserve">updated to provide information on the use of data submitted via SEER. </w:t>
      </w:r>
      <w:r>
        <w:rPr>
          <w:rFonts w:eastAsiaTheme="minorEastAsia"/>
          <w:b/>
          <w:bCs/>
        </w:rPr>
        <w:t>Sections</w:t>
      </w:r>
      <w:r w:rsidRPr="00E50705">
        <w:rPr>
          <w:rFonts w:eastAsiaTheme="minorEastAsia"/>
          <w:b/>
          <w:bCs/>
        </w:rPr>
        <w:t xml:space="preserve"> 1.4</w:t>
      </w:r>
      <w:r>
        <w:rPr>
          <w:rFonts w:eastAsiaTheme="minorEastAsia"/>
          <w:b/>
          <w:bCs/>
        </w:rPr>
        <w:t>,</w:t>
      </w:r>
      <w:r w:rsidRPr="00E50705">
        <w:rPr>
          <w:rFonts w:eastAsiaTheme="minorEastAsia"/>
        </w:rPr>
        <w:t xml:space="preserve"> </w:t>
      </w:r>
      <w:r w:rsidRPr="00E50705">
        <w:rPr>
          <w:rFonts w:eastAsiaTheme="minorEastAsia"/>
          <w:b/>
          <w:bCs/>
        </w:rPr>
        <w:t>1.5</w:t>
      </w:r>
      <w:r>
        <w:rPr>
          <w:rFonts w:eastAsiaTheme="minorEastAsia"/>
          <w:b/>
          <w:bCs/>
        </w:rPr>
        <w:t xml:space="preserve"> and 1.6</w:t>
      </w:r>
      <w:r w:rsidRPr="00E50705">
        <w:rPr>
          <w:rFonts w:eastAsiaTheme="minorEastAsia"/>
        </w:rPr>
        <w:t xml:space="preserve"> have been updated to provide further information on how to submit the</w:t>
      </w:r>
      <w:r w:rsidRPr="00390080">
        <w:rPr>
          <w:rFonts w:eastAsiaTheme="minorEastAsia"/>
        </w:rPr>
        <w:t xml:space="preserve"> </w:t>
      </w:r>
      <w:r w:rsidRPr="006329F0">
        <w:rPr>
          <w:rFonts w:eastAsiaTheme="minorEastAsia"/>
        </w:rPr>
        <w:t>R&amp;D income return</w:t>
      </w:r>
      <w:r>
        <w:rPr>
          <w:rFonts w:eastAsiaTheme="minorEastAsia"/>
        </w:rPr>
        <w:t>,</w:t>
      </w:r>
      <w:r w:rsidRPr="006329F0">
        <w:rPr>
          <w:rFonts w:eastAsiaTheme="minorEastAsia"/>
        </w:rPr>
        <w:t xml:space="preserve"> </w:t>
      </w:r>
      <w:r w:rsidRPr="00E50705">
        <w:rPr>
          <w:rFonts w:eastAsiaTheme="minorEastAsia"/>
        </w:rPr>
        <w:t>Vice Chancellor’s certification statement</w:t>
      </w:r>
      <w:r w:rsidRPr="006329F0">
        <w:rPr>
          <w:rFonts w:eastAsiaTheme="minorEastAsia"/>
        </w:rPr>
        <w:t xml:space="preserve"> and </w:t>
      </w:r>
      <w:r>
        <w:rPr>
          <w:rFonts w:eastAsiaTheme="minorEastAsia"/>
        </w:rPr>
        <w:t>a</w:t>
      </w:r>
      <w:r w:rsidRPr="006329F0">
        <w:rPr>
          <w:rFonts w:eastAsiaTheme="minorEastAsia"/>
        </w:rPr>
        <w:t xml:space="preserve">udit report </w:t>
      </w:r>
      <w:r>
        <w:rPr>
          <w:rFonts w:eastAsiaTheme="minorEastAsia"/>
        </w:rPr>
        <w:t>through</w:t>
      </w:r>
      <w:r w:rsidRPr="00E50705">
        <w:rPr>
          <w:rFonts w:eastAsiaTheme="minorEastAsia"/>
        </w:rPr>
        <w:t xml:space="preserve"> SEER. </w:t>
      </w:r>
    </w:p>
    <w:p w14:paraId="4B52B4D3" w14:textId="77777777" w:rsidR="009D347E" w:rsidRPr="00F22513" w:rsidRDefault="009D347E" w:rsidP="00C02166">
      <w:pPr>
        <w:pStyle w:val="Heading5"/>
      </w:pPr>
      <w:r w:rsidRPr="00F22513">
        <w:t>Data sharing</w:t>
      </w:r>
    </w:p>
    <w:p w14:paraId="3EEFD97F" w14:textId="77777777" w:rsidR="009D347E" w:rsidRPr="00E50705" w:rsidRDefault="009D347E" w:rsidP="009D347E">
      <w:pPr>
        <w:rPr>
          <w:rFonts w:eastAsiaTheme="minorEastAsia"/>
        </w:rPr>
      </w:pPr>
      <w:r w:rsidRPr="00217E3F">
        <w:rPr>
          <w:rFonts w:ascii="Calibri" w:eastAsia="Calibri" w:hAnsi="Calibri" w:cs="Times New Roman"/>
          <w:b/>
          <w:bCs/>
          <w:iCs/>
        </w:rPr>
        <w:t>Section</w:t>
      </w:r>
      <w:r w:rsidRPr="00F22513">
        <w:rPr>
          <w:rFonts w:ascii="Calibri" w:eastAsia="Calibri" w:hAnsi="Calibri" w:cs="Times New Roman"/>
          <w:iCs/>
        </w:rPr>
        <w:t xml:space="preserve"> </w:t>
      </w:r>
      <w:r w:rsidRPr="00F22513">
        <w:rPr>
          <w:rFonts w:ascii="Calibri" w:eastAsia="Calibri" w:hAnsi="Calibri" w:cs="Times New Roman"/>
          <w:b/>
          <w:bCs/>
          <w:iCs/>
        </w:rPr>
        <w:t>1.2</w:t>
      </w:r>
      <w:r w:rsidRPr="00F22513">
        <w:rPr>
          <w:rFonts w:ascii="Calibri" w:eastAsia="Calibri" w:hAnsi="Calibri" w:cs="Times New Roman"/>
          <w:iCs/>
        </w:rPr>
        <w:t xml:space="preserve"> has been amended to reflect </w:t>
      </w:r>
      <w:r>
        <w:rPr>
          <w:rFonts w:ascii="Calibri" w:eastAsia="Calibri" w:hAnsi="Calibri" w:cs="Times New Roman"/>
          <w:iCs/>
        </w:rPr>
        <w:t xml:space="preserve">a proposal </w:t>
      </w:r>
      <w:r w:rsidRPr="00F22513">
        <w:rPr>
          <w:rFonts w:ascii="Calibri" w:eastAsia="Calibri" w:hAnsi="Calibri" w:cs="Times New Roman"/>
          <w:iCs/>
        </w:rPr>
        <w:t>that preliminary HERDC data be shared with Knowledge Commercialisation Australia to assist HEPs in submitting data for the Survey of Commercialisation Outcomes from Public Research</w:t>
      </w:r>
      <w:r>
        <w:rPr>
          <w:rFonts w:ascii="Calibri" w:eastAsia="Calibri" w:hAnsi="Calibri" w:cs="Times New Roman"/>
          <w:iCs/>
        </w:rPr>
        <w:t>.</w:t>
      </w:r>
    </w:p>
    <w:p w14:paraId="1277A49F" w14:textId="77777777" w:rsidR="009D347E" w:rsidRDefault="009D347E" w:rsidP="00C02166">
      <w:pPr>
        <w:pStyle w:val="Heading5"/>
      </w:pPr>
      <w:r>
        <w:t>Approach to AASB 9 and AASB 15</w:t>
      </w:r>
    </w:p>
    <w:p w14:paraId="12F3262E" w14:textId="77777777" w:rsidR="009D347E" w:rsidRDefault="009D347E" w:rsidP="009D347E">
      <w:pPr>
        <w:spacing w:after="120"/>
        <w:rPr>
          <w:rFonts w:cstheme="minorHAnsi"/>
        </w:rPr>
      </w:pPr>
      <w:r w:rsidRPr="008548EB">
        <w:rPr>
          <w:rFonts w:cstheme="minorHAnsi"/>
        </w:rPr>
        <w:t xml:space="preserve">Following consultation with the sector, the department has </w:t>
      </w:r>
      <w:r>
        <w:rPr>
          <w:rFonts w:cstheme="minorHAnsi"/>
        </w:rPr>
        <w:t>retained</w:t>
      </w:r>
      <w:r w:rsidRPr="008548EB">
        <w:rPr>
          <w:rFonts w:cstheme="minorHAnsi"/>
        </w:rPr>
        <w:t xml:space="preserve"> its current approach</w:t>
      </w:r>
      <w:r>
        <w:rPr>
          <w:rFonts w:cstheme="minorHAnsi"/>
        </w:rPr>
        <w:t xml:space="preserve">, outlined in </w:t>
      </w:r>
      <w:r>
        <w:rPr>
          <w:rFonts w:cstheme="minorHAnsi"/>
          <w:b/>
          <w:bCs/>
        </w:rPr>
        <w:t>s</w:t>
      </w:r>
      <w:r w:rsidRPr="00342D9A">
        <w:rPr>
          <w:rFonts w:cstheme="minorHAnsi"/>
          <w:b/>
          <w:bCs/>
        </w:rPr>
        <w:t>ection 1.6</w:t>
      </w:r>
      <w:r>
        <w:rPr>
          <w:rFonts w:cstheme="minorHAnsi"/>
        </w:rPr>
        <w:t xml:space="preserve">, </w:t>
      </w:r>
      <w:bookmarkStart w:id="75" w:name="_Hlk113952612"/>
      <w:r w:rsidRPr="008548EB">
        <w:rPr>
          <w:rFonts w:cstheme="minorHAnsi"/>
        </w:rPr>
        <w:t>that HEPs are not required to</w:t>
      </w:r>
      <w:r>
        <w:rPr>
          <w:rFonts w:cstheme="minorHAnsi"/>
        </w:rPr>
        <w:t xml:space="preserve"> adhere to the changed accounting standards AASB 9 and AASB 15 when reporting their HERDC R&amp;D income</w:t>
      </w:r>
      <w:bookmarkEnd w:id="75"/>
      <w:r>
        <w:rPr>
          <w:rFonts w:cstheme="minorHAnsi"/>
        </w:rPr>
        <w:t>.</w:t>
      </w:r>
    </w:p>
    <w:p w14:paraId="150C71F4" w14:textId="77777777" w:rsidR="009D347E" w:rsidRPr="009D2155" w:rsidRDefault="009D347E" w:rsidP="00C02166">
      <w:pPr>
        <w:pStyle w:val="Heading5"/>
      </w:pPr>
      <w:r w:rsidRPr="009D2155">
        <w:t xml:space="preserve">Consistency with the previous year’s basis of accounting </w:t>
      </w:r>
    </w:p>
    <w:p w14:paraId="197C5CCF" w14:textId="77777777" w:rsidR="009D347E" w:rsidRDefault="009D347E" w:rsidP="009D347E">
      <w:pPr>
        <w:spacing w:after="120"/>
        <w:rPr>
          <w:rFonts w:cstheme="minorHAnsi"/>
        </w:rPr>
      </w:pPr>
      <w:r>
        <w:rPr>
          <w:rFonts w:cstheme="minorHAnsi"/>
        </w:rPr>
        <w:t xml:space="preserve">Providers will no longer need to report R&amp;D income in a manner consistent with the previous year’s basis of reporting. </w:t>
      </w:r>
      <w:r>
        <w:rPr>
          <w:rFonts w:cstheme="minorHAnsi"/>
          <w:b/>
          <w:bCs/>
        </w:rPr>
        <w:t>S</w:t>
      </w:r>
      <w:r w:rsidRPr="00C127E8">
        <w:rPr>
          <w:rFonts w:cstheme="minorHAnsi"/>
          <w:b/>
          <w:bCs/>
        </w:rPr>
        <w:t>ection 4</w:t>
      </w:r>
      <w:r>
        <w:rPr>
          <w:rFonts w:cstheme="minorHAnsi"/>
          <w:b/>
          <w:bCs/>
        </w:rPr>
        <w:t>.1</w:t>
      </w:r>
      <w:r>
        <w:rPr>
          <w:rFonts w:cstheme="minorHAnsi"/>
        </w:rPr>
        <w:t xml:space="preserve"> has been updated to remove this condition. HEPs will still need to advise the department if they are using cash or accrual accounting by selecting the relevant check box in their HERDC submission made through SEER. </w:t>
      </w:r>
    </w:p>
    <w:p w14:paraId="53012965" w14:textId="77777777" w:rsidR="009D347E" w:rsidRDefault="009D347E" w:rsidP="00C02166">
      <w:pPr>
        <w:pStyle w:val="Heading5"/>
      </w:pPr>
      <w:r>
        <w:t>R</w:t>
      </w:r>
      <w:r w:rsidRPr="00C127E8">
        <w:t xml:space="preserve">&amp;D income that is </w:t>
      </w:r>
      <w:r>
        <w:t>inclu</w:t>
      </w:r>
      <w:r w:rsidRPr="00C127E8">
        <w:t xml:space="preserve">ded in the R&amp;D income </w:t>
      </w:r>
      <w:proofErr w:type="gramStart"/>
      <w:r w:rsidRPr="00C127E8">
        <w:t>return</w:t>
      </w:r>
      <w:proofErr w:type="gramEnd"/>
    </w:p>
    <w:p w14:paraId="6E9DEA5F" w14:textId="793C1BDA" w:rsidR="009D347E" w:rsidRPr="003C096E" w:rsidRDefault="009D347E" w:rsidP="009D347E">
      <w:r>
        <w:t>Section 4.2.1 has been amended to provide for inclusion of</w:t>
      </w:r>
      <w:r w:rsidRPr="003C096E">
        <w:t xml:space="preserve"> any </w:t>
      </w:r>
      <w:r w:rsidR="00111C36">
        <w:t xml:space="preserve">non-Commonwealth </w:t>
      </w:r>
      <w:r w:rsidR="008F11AD">
        <w:t>G</w:t>
      </w:r>
      <w:r w:rsidR="00111C36">
        <w:t>overnment</w:t>
      </w:r>
      <w:r w:rsidR="00111C36" w:rsidRPr="003C096E">
        <w:t xml:space="preserve"> </w:t>
      </w:r>
      <w:r w:rsidRPr="003C096E">
        <w:t xml:space="preserve">top-ups to </w:t>
      </w:r>
      <w:r>
        <w:t>the Commonwealth grant s</w:t>
      </w:r>
      <w:r w:rsidRPr="003C096E">
        <w:t>tipend and scholarship</w:t>
      </w:r>
      <w:r>
        <w:t xml:space="preserve"> programs that are listed as exclusions in Section 4.2.2</w:t>
      </w:r>
      <w:r w:rsidRPr="003C096E">
        <w:t>.</w:t>
      </w:r>
    </w:p>
    <w:p w14:paraId="3B3520D1" w14:textId="77777777" w:rsidR="009D347E" w:rsidRDefault="009D347E" w:rsidP="00C02166">
      <w:pPr>
        <w:pStyle w:val="Heading5"/>
      </w:pPr>
      <w:r>
        <w:t>R</w:t>
      </w:r>
      <w:r w:rsidRPr="00C127E8">
        <w:t xml:space="preserve">&amp;D income that is excluded in the R&amp;D income </w:t>
      </w:r>
      <w:proofErr w:type="gramStart"/>
      <w:r w:rsidRPr="00C127E8">
        <w:t>return</w:t>
      </w:r>
      <w:proofErr w:type="gramEnd"/>
    </w:p>
    <w:p w14:paraId="0038D7C2" w14:textId="77777777" w:rsidR="009D347E" w:rsidRPr="009067E3" w:rsidRDefault="009D347E" w:rsidP="009D347E">
      <w:pPr>
        <w:spacing w:after="120"/>
        <w:contextualSpacing/>
        <w:rPr>
          <w:rFonts w:ascii="Calibri" w:eastAsia="Calibri" w:hAnsi="Calibri" w:cs="Times New Roman"/>
          <w:iCs/>
        </w:rPr>
      </w:pPr>
      <w:r w:rsidRPr="009067E3">
        <w:rPr>
          <w:rFonts w:ascii="Calibri" w:eastAsia="Calibri" w:hAnsi="Calibri" w:cs="Times New Roman"/>
          <w:iCs/>
        </w:rPr>
        <w:t xml:space="preserve">The exclusion list </w:t>
      </w:r>
      <w:r>
        <w:rPr>
          <w:rFonts w:ascii="Calibri" w:eastAsia="Calibri" w:hAnsi="Calibri" w:cs="Times New Roman"/>
          <w:iCs/>
        </w:rPr>
        <w:t xml:space="preserve">at </w:t>
      </w:r>
      <w:r w:rsidRPr="009067E3">
        <w:rPr>
          <w:rFonts w:ascii="Calibri" w:eastAsia="Calibri" w:hAnsi="Calibri" w:cs="Times New Roman"/>
          <w:b/>
          <w:bCs/>
          <w:iCs/>
        </w:rPr>
        <w:t>Section 4.2.2</w:t>
      </w:r>
      <w:r>
        <w:rPr>
          <w:rFonts w:ascii="Calibri" w:eastAsia="Calibri" w:hAnsi="Calibri" w:cs="Times New Roman"/>
          <w:iCs/>
        </w:rPr>
        <w:t xml:space="preserve"> </w:t>
      </w:r>
      <w:r w:rsidRPr="009067E3">
        <w:rPr>
          <w:rFonts w:ascii="Calibri" w:eastAsia="Calibri" w:hAnsi="Calibri" w:cs="Times New Roman"/>
          <w:iCs/>
        </w:rPr>
        <w:t>now identifies three categories of exclusions:</w:t>
      </w:r>
    </w:p>
    <w:p w14:paraId="1FB9DB2F" w14:textId="77777777" w:rsidR="009D347E" w:rsidRPr="009067E3" w:rsidRDefault="009D347E" w:rsidP="009D347E">
      <w:pPr>
        <w:numPr>
          <w:ilvl w:val="0"/>
          <w:numId w:val="42"/>
        </w:numPr>
        <w:spacing w:after="120" w:line="276" w:lineRule="auto"/>
        <w:contextualSpacing/>
        <w:rPr>
          <w:rFonts w:ascii="Calibri" w:eastAsia="Calibri" w:hAnsi="Calibri" w:cs="Times New Roman"/>
          <w:iCs/>
        </w:rPr>
      </w:pPr>
      <w:r w:rsidRPr="009067E3">
        <w:rPr>
          <w:rFonts w:ascii="Calibri" w:eastAsia="Calibri" w:hAnsi="Calibri" w:cs="Times New Roman"/>
          <w:iCs/>
        </w:rPr>
        <w:t>a list of Department of Education grants or funding (subsection 4.2.2 (v)</w:t>
      </w:r>
      <w:r>
        <w:rPr>
          <w:rFonts w:ascii="Calibri" w:eastAsia="Calibri" w:hAnsi="Calibri" w:cs="Times New Roman"/>
          <w:iCs/>
        </w:rPr>
        <w:t>)</w:t>
      </w:r>
    </w:p>
    <w:p w14:paraId="381A6C46" w14:textId="77777777" w:rsidR="009D347E" w:rsidRPr="009067E3" w:rsidRDefault="009D347E" w:rsidP="009D347E">
      <w:pPr>
        <w:numPr>
          <w:ilvl w:val="0"/>
          <w:numId w:val="42"/>
        </w:numPr>
        <w:spacing w:after="120" w:line="276" w:lineRule="auto"/>
        <w:contextualSpacing/>
        <w:rPr>
          <w:rFonts w:ascii="Calibri" w:eastAsia="Calibri" w:hAnsi="Calibri" w:cs="Times New Roman"/>
          <w:iCs/>
        </w:rPr>
      </w:pPr>
      <w:r w:rsidRPr="009067E3">
        <w:rPr>
          <w:rFonts w:ascii="Calibri" w:eastAsia="Calibri" w:hAnsi="Calibri" w:cs="Times New Roman"/>
          <w:iCs/>
        </w:rPr>
        <w:t>a list</w:t>
      </w:r>
      <w:r>
        <w:rPr>
          <w:rFonts w:ascii="Calibri" w:eastAsia="Calibri" w:hAnsi="Calibri" w:cs="Times New Roman"/>
          <w:iCs/>
        </w:rPr>
        <w:t xml:space="preserve"> of</w:t>
      </w:r>
      <w:r w:rsidRPr="009067E3">
        <w:rPr>
          <w:rFonts w:ascii="Calibri" w:eastAsia="Calibri" w:hAnsi="Calibri" w:cs="Times New Roman"/>
          <w:iCs/>
        </w:rPr>
        <w:t xml:space="preserve"> Commonwealth Government grants or funding that provide stipends or scholarships support (subsection 4.2.2 (w))</w:t>
      </w:r>
    </w:p>
    <w:p w14:paraId="68B88541" w14:textId="77777777" w:rsidR="009D347E" w:rsidRDefault="009D347E" w:rsidP="009D347E">
      <w:pPr>
        <w:numPr>
          <w:ilvl w:val="0"/>
          <w:numId w:val="42"/>
        </w:numPr>
        <w:spacing w:after="120" w:line="276" w:lineRule="auto"/>
        <w:contextualSpacing/>
        <w:rPr>
          <w:rFonts w:ascii="Calibri" w:eastAsia="Calibri" w:hAnsi="Calibri" w:cs="Times New Roman"/>
          <w:iCs/>
        </w:rPr>
      </w:pPr>
      <w:r w:rsidRPr="009067E3">
        <w:rPr>
          <w:rFonts w:ascii="Calibri" w:eastAsia="Calibri" w:hAnsi="Calibri" w:cs="Times New Roman"/>
          <w:iCs/>
        </w:rPr>
        <w:t>a list</w:t>
      </w:r>
      <w:r>
        <w:rPr>
          <w:rFonts w:ascii="Calibri" w:eastAsia="Calibri" w:hAnsi="Calibri" w:cs="Times New Roman"/>
          <w:iCs/>
        </w:rPr>
        <w:t xml:space="preserve"> of</w:t>
      </w:r>
      <w:r w:rsidRPr="009067E3">
        <w:rPr>
          <w:rFonts w:ascii="Calibri" w:eastAsia="Calibri" w:hAnsi="Calibri" w:cs="Times New Roman"/>
          <w:iCs/>
        </w:rPr>
        <w:t xml:space="preserve"> Commonwealth Government grants or funding that supports research infrastructure (subsection 4.2.2 (x)). </w:t>
      </w:r>
    </w:p>
    <w:p w14:paraId="09DD07ED" w14:textId="77777777" w:rsidR="009D347E" w:rsidRDefault="009D347E" w:rsidP="009D347E">
      <w:pPr>
        <w:spacing w:after="120"/>
        <w:ind w:left="720"/>
        <w:contextualSpacing/>
        <w:rPr>
          <w:rFonts w:ascii="Calibri" w:eastAsia="Calibri" w:hAnsi="Calibri" w:cs="Times New Roman"/>
          <w:iCs/>
        </w:rPr>
      </w:pPr>
    </w:p>
    <w:p w14:paraId="7F85C57E" w14:textId="4DEC332C" w:rsidR="009D347E" w:rsidRPr="009067E3" w:rsidRDefault="00111C36" w:rsidP="009D347E">
      <w:pPr>
        <w:spacing w:after="120"/>
        <w:contextualSpacing/>
        <w:rPr>
          <w:rFonts w:ascii="Calibri" w:eastAsia="Calibri" w:hAnsi="Calibri" w:cs="Times New Roman"/>
          <w:iCs/>
        </w:rPr>
      </w:pPr>
      <w:bookmarkStart w:id="76" w:name="_Hlk147485917"/>
      <w:r>
        <w:rPr>
          <w:rFonts w:ascii="Calibri" w:eastAsia="Calibri" w:hAnsi="Calibri" w:cs="Times New Roman"/>
          <w:iCs/>
        </w:rPr>
        <w:t xml:space="preserve">Three </w:t>
      </w:r>
      <w:r w:rsidR="009D347E">
        <w:rPr>
          <w:rFonts w:ascii="Calibri" w:eastAsia="Calibri" w:hAnsi="Calibri" w:cs="Times New Roman"/>
          <w:iCs/>
        </w:rPr>
        <w:t xml:space="preserve">Commonwealth Government programs have been added to the list, </w:t>
      </w:r>
      <w:r>
        <w:rPr>
          <w:rFonts w:ascii="Calibri" w:eastAsia="Calibri" w:hAnsi="Calibri" w:cs="Times New Roman"/>
          <w:iCs/>
        </w:rPr>
        <w:t xml:space="preserve">the </w:t>
      </w:r>
      <w:r w:rsidR="0055639E">
        <w:rPr>
          <w:rFonts w:ascii="Calibri" w:eastAsia="Calibri" w:hAnsi="Calibri" w:cs="Times New Roman"/>
          <w:iCs/>
        </w:rPr>
        <w:t>National-Industry PhD program</w:t>
      </w:r>
      <w:r w:rsidR="0055639E">
        <w:rPr>
          <w:rFonts w:ascii="Calibri" w:eastAsia="Calibri" w:hAnsi="Calibri" w:cs="Times New Roman"/>
          <w:iCs/>
        </w:rPr>
        <w:t xml:space="preserve">, the </w:t>
      </w:r>
      <w:r>
        <w:rPr>
          <w:rFonts w:ascii="Calibri" w:eastAsia="Calibri" w:hAnsi="Calibri" w:cs="Times New Roman"/>
          <w:iCs/>
        </w:rPr>
        <w:t xml:space="preserve">MRFF Research Data Infrastructure initiative </w:t>
      </w:r>
      <w:r w:rsidR="009D347E">
        <w:rPr>
          <w:rFonts w:ascii="Calibri" w:eastAsia="Calibri" w:hAnsi="Calibri" w:cs="Times New Roman"/>
          <w:iCs/>
        </w:rPr>
        <w:t xml:space="preserve">and the </w:t>
      </w:r>
      <w:r w:rsidR="00CE7254">
        <w:rPr>
          <w:rFonts w:ascii="Calibri" w:eastAsia="Calibri" w:hAnsi="Calibri" w:cs="Times New Roman"/>
          <w:iCs/>
        </w:rPr>
        <w:t xml:space="preserve">MRFF </w:t>
      </w:r>
      <w:r w:rsidR="009D347E">
        <w:rPr>
          <w:rFonts w:ascii="Calibri" w:eastAsia="Calibri" w:hAnsi="Calibri" w:cs="Times New Roman"/>
          <w:iCs/>
        </w:rPr>
        <w:t>National Critical Infrastructure program.</w:t>
      </w:r>
    </w:p>
    <w:bookmarkEnd w:id="76"/>
    <w:p w14:paraId="49F66E08" w14:textId="77777777" w:rsidR="009D347E" w:rsidRDefault="009D347E" w:rsidP="00C02166">
      <w:pPr>
        <w:pStyle w:val="Heading5"/>
      </w:pPr>
      <w:r>
        <w:t>Third party income</w:t>
      </w:r>
    </w:p>
    <w:p w14:paraId="0DE7FB1B" w14:textId="77777777" w:rsidR="009D347E" w:rsidRDefault="009D347E" w:rsidP="009D347E">
      <w:pPr>
        <w:spacing w:after="120"/>
        <w:contextualSpacing/>
        <w:rPr>
          <w:rFonts w:ascii="Calibri" w:eastAsia="Calibri" w:hAnsi="Calibri" w:cs="Times New Roman"/>
          <w:iCs/>
        </w:rPr>
      </w:pPr>
      <w:r>
        <w:rPr>
          <w:rFonts w:ascii="Calibri" w:eastAsia="Calibri" w:hAnsi="Calibri" w:cs="Times New Roman"/>
          <w:b/>
          <w:bCs/>
          <w:iCs/>
        </w:rPr>
        <w:t>S</w:t>
      </w:r>
      <w:r w:rsidRPr="00451F4E">
        <w:rPr>
          <w:rFonts w:ascii="Calibri" w:eastAsia="Calibri" w:hAnsi="Calibri" w:cs="Times New Roman"/>
          <w:b/>
          <w:bCs/>
          <w:iCs/>
        </w:rPr>
        <w:t>ection 4.3</w:t>
      </w:r>
      <w:r w:rsidRPr="00F22513">
        <w:rPr>
          <w:rFonts w:ascii="Calibri" w:eastAsia="Calibri" w:hAnsi="Calibri" w:cs="Times New Roman"/>
          <w:iCs/>
        </w:rPr>
        <w:t xml:space="preserve"> has been restructured </w:t>
      </w:r>
      <w:r>
        <w:rPr>
          <w:rFonts w:ascii="Calibri" w:eastAsia="Calibri" w:hAnsi="Calibri" w:cs="Times New Roman"/>
          <w:iCs/>
        </w:rPr>
        <w:t xml:space="preserve">and updated to </w:t>
      </w:r>
      <w:r w:rsidRPr="00F22513">
        <w:rPr>
          <w:rFonts w:ascii="Calibri" w:eastAsia="Calibri" w:hAnsi="Calibri" w:cs="Times New Roman"/>
          <w:iCs/>
        </w:rPr>
        <w:t>improve readability</w:t>
      </w:r>
      <w:r>
        <w:rPr>
          <w:rFonts w:ascii="Calibri" w:eastAsia="Calibri" w:hAnsi="Calibri" w:cs="Times New Roman"/>
          <w:iCs/>
        </w:rPr>
        <w:t>.</w:t>
      </w:r>
    </w:p>
    <w:p w14:paraId="1798F841" w14:textId="77777777" w:rsidR="009D347E" w:rsidRDefault="009D347E" w:rsidP="009D347E">
      <w:pPr>
        <w:spacing w:after="120"/>
        <w:contextualSpacing/>
        <w:rPr>
          <w:rFonts w:ascii="Calibri" w:eastAsia="Calibri" w:hAnsi="Calibri" w:cs="Times New Roman"/>
          <w:iCs/>
        </w:rPr>
      </w:pPr>
    </w:p>
    <w:p w14:paraId="627886FD" w14:textId="781B6274" w:rsidR="009D347E" w:rsidRDefault="009D347E" w:rsidP="009D347E">
      <w:pPr>
        <w:spacing w:after="120"/>
        <w:contextualSpacing/>
        <w:rPr>
          <w:rFonts w:ascii="Calibri" w:eastAsia="Calibri" w:hAnsi="Calibri" w:cs="Times New Roman"/>
          <w:iCs/>
        </w:rPr>
      </w:pPr>
      <w:r>
        <w:rPr>
          <w:rFonts w:ascii="Calibri" w:eastAsia="Calibri" w:hAnsi="Calibri" w:cs="Times New Roman"/>
          <w:iCs/>
        </w:rPr>
        <w:t xml:space="preserve">The section has been updated to clarify that any </w:t>
      </w:r>
      <w:r w:rsidR="00111C36">
        <w:rPr>
          <w:rFonts w:ascii="Calibri" w:eastAsia="Calibri" w:hAnsi="Calibri" w:cs="Times New Roman"/>
          <w:iCs/>
        </w:rPr>
        <w:t xml:space="preserve">subsidiary or affiliate </w:t>
      </w:r>
      <w:r>
        <w:rPr>
          <w:rFonts w:ascii="Calibri" w:eastAsia="Calibri" w:hAnsi="Calibri" w:cs="Times New Roman"/>
          <w:iCs/>
        </w:rPr>
        <w:t xml:space="preserve">a university reports income for via HERDC cannot be considered an eligible research-end-user for the Research Training Program (RTP) PhD industry internship weighting. </w:t>
      </w:r>
    </w:p>
    <w:p w14:paraId="44DF8CA6" w14:textId="77777777" w:rsidR="009D347E" w:rsidRPr="00F22513" w:rsidRDefault="009D347E" w:rsidP="009D347E">
      <w:pPr>
        <w:spacing w:after="120"/>
        <w:contextualSpacing/>
        <w:rPr>
          <w:rFonts w:ascii="Calibri" w:eastAsia="Calibri" w:hAnsi="Calibri" w:cs="Times New Roman"/>
          <w:iCs/>
        </w:rPr>
      </w:pPr>
      <w:r w:rsidRPr="00F22513">
        <w:rPr>
          <w:rFonts w:ascii="Calibri" w:eastAsia="Calibri" w:hAnsi="Calibri" w:cs="Times New Roman"/>
          <w:iCs/>
        </w:rPr>
        <w:t xml:space="preserve"> </w:t>
      </w:r>
    </w:p>
    <w:p w14:paraId="4F2395FE" w14:textId="77777777" w:rsidR="009D347E" w:rsidRPr="00B04080" w:rsidRDefault="009D347E" w:rsidP="009D347E">
      <w:pPr>
        <w:spacing w:after="120"/>
        <w:contextualSpacing/>
        <w:rPr>
          <w:rFonts w:ascii="Calibri" w:eastAsia="Calibri" w:hAnsi="Calibri" w:cs="Times New Roman"/>
          <w:iCs/>
        </w:rPr>
      </w:pPr>
      <w:r>
        <w:rPr>
          <w:rFonts w:ascii="Calibri" w:eastAsia="Calibri" w:hAnsi="Calibri" w:cs="Times New Roman"/>
          <w:iCs/>
        </w:rPr>
        <w:lastRenderedPageBreak/>
        <w:t xml:space="preserve">In </w:t>
      </w:r>
      <w:r>
        <w:rPr>
          <w:rFonts w:ascii="Calibri" w:eastAsia="Calibri" w:hAnsi="Calibri" w:cs="Times New Roman"/>
          <w:b/>
          <w:bCs/>
          <w:iCs/>
        </w:rPr>
        <w:t>s</w:t>
      </w:r>
      <w:r w:rsidRPr="00451F4E">
        <w:rPr>
          <w:rFonts w:ascii="Calibri" w:eastAsia="Calibri" w:hAnsi="Calibri" w:cs="Times New Roman"/>
          <w:b/>
          <w:bCs/>
          <w:iCs/>
        </w:rPr>
        <w:t>ection 4.3.1</w:t>
      </w:r>
      <w:r>
        <w:rPr>
          <w:rFonts w:ascii="Calibri" w:eastAsia="Calibri" w:hAnsi="Calibri" w:cs="Times New Roman"/>
          <w:iCs/>
        </w:rPr>
        <w:t xml:space="preserve"> a definition of subsidiary has been included and </w:t>
      </w:r>
      <w:r w:rsidRPr="00F22513">
        <w:rPr>
          <w:rFonts w:ascii="Calibri" w:eastAsia="Calibri" w:hAnsi="Calibri" w:cs="Times New Roman"/>
          <w:iCs/>
        </w:rPr>
        <w:t xml:space="preserve">the </w:t>
      </w:r>
      <w:r>
        <w:rPr>
          <w:rFonts w:ascii="Calibri" w:eastAsia="Calibri" w:hAnsi="Calibri" w:cs="Times New Roman"/>
          <w:iCs/>
        </w:rPr>
        <w:t>definition of</w:t>
      </w:r>
      <w:r w:rsidRPr="00F22513">
        <w:rPr>
          <w:rFonts w:ascii="Calibri" w:eastAsia="Calibri" w:hAnsi="Calibri" w:cs="Times New Roman"/>
          <w:iCs/>
        </w:rPr>
        <w:t xml:space="preserve"> affiliates has been amended in response to feedback </w:t>
      </w:r>
      <w:r>
        <w:rPr>
          <w:rFonts w:ascii="Calibri" w:eastAsia="Calibri" w:hAnsi="Calibri" w:cs="Times New Roman"/>
          <w:iCs/>
        </w:rPr>
        <w:t xml:space="preserve">on the earlier </w:t>
      </w:r>
      <w:r w:rsidRPr="00F22513">
        <w:rPr>
          <w:rFonts w:ascii="Calibri" w:eastAsia="Calibri" w:hAnsi="Calibri" w:cs="Times New Roman"/>
          <w:iCs/>
        </w:rPr>
        <w:t xml:space="preserve">draft 2023 HERDC specifications </w:t>
      </w:r>
      <w:r>
        <w:rPr>
          <w:rFonts w:ascii="Calibri" w:eastAsia="Calibri" w:hAnsi="Calibri" w:cs="Times New Roman"/>
          <w:iCs/>
        </w:rPr>
        <w:t xml:space="preserve">concerning </w:t>
      </w:r>
      <w:r w:rsidRPr="00F22513">
        <w:rPr>
          <w:rFonts w:ascii="Calibri" w:eastAsia="Calibri" w:hAnsi="Calibri" w:cs="Times New Roman"/>
          <w:iCs/>
        </w:rPr>
        <w:t xml:space="preserve">the </w:t>
      </w:r>
      <w:r>
        <w:rPr>
          <w:rFonts w:ascii="Calibri" w:eastAsia="Calibri" w:hAnsi="Calibri" w:cs="Times New Roman"/>
          <w:iCs/>
        </w:rPr>
        <w:t>characteristics of affiliate relationships in the research landscape</w:t>
      </w:r>
      <w:r w:rsidRPr="00F22513">
        <w:rPr>
          <w:rFonts w:ascii="Calibri" w:eastAsia="Calibri" w:hAnsi="Calibri" w:cs="Times New Roman"/>
          <w:iCs/>
        </w:rPr>
        <w:t xml:space="preserve">. </w:t>
      </w:r>
    </w:p>
    <w:p w14:paraId="233E1B60" w14:textId="77777777" w:rsidR="009D347E" w:rsidRPr="00E50705" w:rsidRDefault="009D347E" w:rsidP="00C02166">
      <w:pPr>
        <w:pStyle w:val="Heading5"/>
      </w:pPr>
      <w:r w:rsidRPr="00E50705">
        <w:t>HERDC cycle</w:t>
      </w:r>
    </w:p>
    <w:p w14:paraId="20ACED25" w14:textId="2CC7C11A" w:rsidR="009D347E" w:rsidRDefault="009D347E" w:rsidP="009D347E">
      <w:pPr>
        <w:spacing w:after="120"/>
        <w:rPr>
          <w:rFonts w:cstheme="minorHAnsi"/>
        </w:rPr>
      </w:pPr>
      <w:r w:rsidRPr="00E50705">
        <w:rPr>
          <w:rFonts w:cstheme="minorHAnsi"/>
        </w:rPr>
        <w:t xml:space="preserve">The department </w:t>
      </w:r>
      <w:r>
        <w:rPr>
          <w:rFonts w:cstheme="minorHAnsi"/>
        </w:rPr>
        <w:t xml:space="preserve">is </w:t>
      </w:r>
      <w:r w:rsidR="00487D08">
        <w:rPr>
          <w:rFonts w:cstheme="minorHAnsi"/>
        </w:rPr>
        <w:t xml:space="preserve">working toward </w:t>
      </w:r>
      <w:r w:rsidRPr="00E50705">
        <w:rPr>
          <w:rFonts w:cstheme="minorHAnsi"/>
        </w:rPr>
        <w:t>releas</w:t>
      </w:r>
      <w:r w:rsidR="00487D08">
        <w:rPr>
          <w:rFonts w:cstheme="minorHAnsi"/>
        </w:rPr>
        <w:t>ing</w:t>
      </w:r>
      <w:r w:rsidRPr="00E50705">
        <w:rPr>
          <w:rFonts w:cstheme="minorHAnsi"/>
        </w:rPr>
        <w:t xml:space="preserve"> the specifications 12 months ahead of a reporting cycle, following consultation with the sector </w:t>
      </w:r>
      <w:r>
        <w:rPr>
          <w:rFonts w:cstheme="minorHAnsi"/>
        </w:rPr>
        <w:t xml:space="preserve">in 2021 </w:t>
      </w:r>
      <w:r w:rsidRPr="00E50705">
        <w:rPr>
          <w:rFonts w:cstheme="minorHAnsi"/>
        </w:rPr>
        <w:t>about the timing of the release of the specifications.</w:t>
      </w:r>
      <w:r>
        <w:rPr>
          <w:rFonts w:cstheme="minorHAnsi"/>
        </w:rPr>
        <w:t xml:space="preserve"> </w:t>
      </w:r>
    </w:p>
    <w:p w14:paraId="4FA9172B" w14:textId="77777777" w:rsidR="009D347E" w:rsidRPr="00E50705" w:rsidRDefault="009D347E" w:rsidP="009D347E">
      <w:pPr>
        <w:spacing w:after="120"/>
        <w:rPr>
          <w:rFonts w:cstheme="minorHAnsi"/>
        </w:rPr>
      </w:pPr>
    </w:p>
    <w:p w14:paraId="24EA9B73" w14:textId="77777777" w:rsidR="009D347E" w:rsidRDefault="009D347E" w:rsidP="009D347E">
      <w:pPr>
        <w:spacing w:after="160"/>
        <w:rPr>
          <w:lang w:val="en-US"/>
        </w:rPr>
      </w:pPr>
      <w:r>
        <w:rPr>
          <w:lang w:val="en-US"/>
        </w:rPr>
        <w:br w:type="page"/>
      </w:r>
    </w:p>
    <w:p w14:paraId="575A418D" w14:textId="1CFE0718" w:rsidR="009D347E" w:rsidRPr="001821A2" w:rsidRDefault="009D347E" w:rsidP="009D347E">
      <w:pPr>
        <w:pStyle w:val="Heading1"/>
      </w:pPr>
      <w:bookmarkStart w:id="77" w:name="_Toc147503814"/>
      <w:bookmarkStart w:id="78" w:name="_Toc27055353"/>
      <w:bookmarkStart w:id="79" w:name="_Toc81230904"/>
      <w:bookmarkStart w:id="80" w:name="_Toc92461279"/>
      <w:r w:rsidRPr="001821A2">
        <w:lastRenderedPageBreak/>
        <w:t>Definition of research and experimental development</w:t>
      </w:r>
      <w:bookmarkEnd w:id="77"/>
      <w:r w:rsidRPr="001821A2">
        <w:t xml:space="preserve"> </w:t>
      </w:r>
      <w:bookmarkEnd w:id="78"/>
      <w:bookmarkEnd w:id="79"/>
      <w:bookmarkEnd w:id="80"/>
    </w:p>
    <w:p w14:paraId="3C918F98" w14:textId="77777777" w:rsidR="009D347E" w:rsidRPr="001821A2" w:rsidRDefault="009D347E" w:rsidP="009D347E">
      <w:pPr>
        <w:spacing w:after="120"/>
        <w:rPr>
          <w:rFonts w:cstheme="minorHAnsi"/>
        </w:rPr>
      </w:pPr>
      <w:r w:rsidRPr="001821A2">
        <w:rPr>
          <w:rFonts w:cstheme="minorHAnsi"/>
        </w:rPr>
        <w:t xml:space="preserve">The HERDC definition of </w:t>
      </w:r>
      <w:r w:rsidRPr="001821A2">
        <w:rPr>
          <w:rFonts w:cstheme="minorHAnsi"/>
          <w:iCs/>
        </w:rPr>
        <w:t xml:space="preserve">research and experimental development </w:t>
      </w:r>
      <w:r w:rsidRPr="001821A2">
        <w:rPr>
          <w:rFonts w:cstheme="minorHAnsi"/>
        </w:rPr>
        <w:t xml:space="preserve">(R&amp;D) is consistent with the </w:t>
      </w:r>
      <w:bookmarkStart w:id="81" w:name="_Hlk92372477"/>
      <w:r w:rsidRPr="001821A2">
        <w:rPr>
          <w:rFonts w:cstheme="minorHAnsi"/>
        </w:rPr>
        <w:t xml:space="preserve">Organisation for Economic Cooperation and Development (OECD) </w:t>
      </w:r>
      <w:bookmarkEnd w:id="81"/>
      <w:r w:rsidRPr="001821A2">
        <w:rPr>
          <w:rFonts w:cstheme="minorHAnsi"/>
        </w:rPr>
        <w:t xml:space="preserve">definition of research and experimental development set out </w:t>
      </w:r>
      <w:bookmarkStart w:id="82" w:name="_Hlk92373756"/>
      <w:r w:rsidRPr="001821A2">
        <w:rPr>
          <w:rFonts w:cstheme="minorHAnsi"/>
        </w:rPr>
        <w:t xml:space="preserve">in the </w:t>
      </w:r>
      <w:hyperlink r:id="rId25" w:history="1">
        <w:r w:rsidRPr="001821A2">
          <w:rPr>
            <w:rStyle w:val="Hyperlink"/>
          </w:rPr>
          <w:t>2015 Frascati Manual</w:t>
        </w:r>
      </w:hyperlink>
      <w:bookmarkEnd w:id="82"/>
      <w:r w:rsidRPr="001821A2">
        <w:rPr>
          <w:rFonts w:cstheme="minorHAnsi"/>
        </w:rPr>
        <w:t>. R&amp;D is defined as ‘creative and systematic work undertaken in order to increase the stock of knowledge – including knowledge of humankind, culture and society – and to devise new applications of available knowledge.’</w:t>
      </w:r>
      <w:r w:rsidRPr="001821A2">
        <w:rPr>
          <w:rFonts w:cstheme="minorHAnsi"/>
          <w:vertAlign w:val="superscript"/>
        </w:rPr>
        <w:footnoteReference w:id="3"/>
      </w:r>
      <w:r w:rsidRPr="001821A2">
        <w:rPr>
          <w:rFonts w:cstheme="minorHAnsi"/>
        </w:rPr>
        <w:t xml:space="preserve"> </w:t>
      </w:r>
    </w:p>
    <w:p w14:paraId="373E9E19" w14:textId="77777777" w:rsidR="009D347E" w:rsidRPr="001821A2" w:rsidRDefault="009D347E" w:rsidP="009D347E">
      <w:pPr>
        <w:spacing w:after="120"/>
        <w:rPr>
          <w:rFonts w:cstheme="minorHAnsi"/>
        </w:rPr>
      </w:pPr>
      <w:r w:rsidRPr="001821A2">
        <w:rPr>
          <w:rFonts w:cstheme="minorHAnsi"/>
        </w:rPr>
        <w:t xml:space="preserve">For an activity to be a R&amp;D activity it must jointly satisfy </w:t>
      </w:r>
      <w:r w:rsidRPr="001821A2">
        <w:rPr>
          <w:rFonts w:cstheme="minorHAnsi"/>
          <w:u w:val="single"/>
        </w:rPr>
        <w:t>all five</w:t>
      </w:r>
      <w:r w:rsidRPr="001821A2">
        <w:rPr>
          <w:rFonts w:cstheme="minorHAnsi"/>
        </w:rPr>
        <w:t xml:space="preserve"> of the below core criteria. A R&amp;D activity must be:</w:t>
      </w:r>
    </w:p>
    <w:p w14:paraId="784403CA" w14:textId="77777777" w:rsidR="009D347E" w:rsidRPr="001821A2" w:rsidRDefault="009D347E" w:rsidP="009D347E">
      <w:pPr>
        <w:numPr>
          <w:ilvl w:val="0"/>
          <w:numId w:val="32"/>
        </w:numPr>
        <w:spacing w:after="120" w:line="276" w:lineRule="auto"/>
        <w:contextualSpacing/>
        <w:rPr>
          <w:rFonts w:cstheme="minorHAnsi"/>
        </w:rPr>
      </w:pPr>
      <w:r w:rsidRPr="001821A2">
        <w:rPr>
          <w:rFonts w:cstheme="minorHAnsi"/>
        </w:rPr>
        <w:t>novel: aimed at new findings</w:t>
      </w:r>
      <w:r w:rsidRPr="001821A2">
        <w:rPr>
          <w:rFonts w:cstheme="minorHAnsi"/>
          <w:vertAlign w:val="superscript"/>
        </w:rPr>
        <w:footnoteReference w:id="4"/>
      </w:r>
    </w:p>
    <w:p w14:paraId="64524D00" w14:textId="77777777" w:rsidR="009D347E" w:rsidRPr="001821A2" w:rsidRDefault="009D347E" w:rsidP="009D347E">
      <w:pPr>
        <w:numPr>
          <w:ilvl w:val="0"/>
          <w:numId w:val="32"/>
        </w:numPr>
        <w:spacing w:after="120" w:line="276" w:lineRule="auto"/>
        <w:contextualSpacing/>
        <w:rPr>
          <w:rFonts w:cstheme="minorHAnsi"/>
        </w:rPr>
      </w:pPr>
      <w:r w:rsidRPr="001821A2">
        <w:rPr>
          <w:rFonts w:cstheme="minorHAnsi"/>
        </w:rPr>
        <w:t xml:space="preserve">creative: based on original, not obvious, concepts and </w:t>
      </w:r>
      <w:proofErr w:type="gramStart"/>
      <w:r w:rsidRPr="001821A2">
        <w:rPr>
          <w:rFonts w:cstheme="minorHAnsi"/>
        </w:rPr>
        <w:t>hypotheses</w:t>
      </w:r>
      <w:proofErr w:type="gramEnd"/>
      <w:r w:rsidRPr="001821A2">
        <w:rPr>
          <w:rFonts w:cstheme="minorHAnsi"/>
        </w:rPr>
        <w:t xml:space="preserve"> </w:t>
      </w:r>
    </w:p>
    <w:p w14:paraId="4460D324" w14:textId="77777777" w:rsidR="009D347E" w:rsidRPr="001821A2" w:rsidRDefault="009D347E" w:rsidP="009D347E">
      <w:pPr>
        <w:numPr>
          <w:ilvl w:val="0"/>
          <w:numId w:val="32"/>
        </w:numPr>
        <w:spacing w:after="120" w:line="276" w:lineRule="auto"/>
        <w:contextualSpacing/>
        <w:rPr>
          <w:rFonts w:cstheme="minorHAnsi"/>
        </w:rPr>
      </w:pPr>
      <w:r w:rsidRPr="001821A2">
        <w:rPr>
          <w:rFonts w:cstheme="minorHAnsi"/>
        </w:rPr>
        <w:t xml:space="preserve">uncertain: uncertain about the </w:t>
      </w:r>
      <w:proofErr w:type="gramStart"/>
      <w:r w:rsidRPr="001821A2">
        <w:rPr>
          <w:rFonts w:cstheme="minorHAnsi"/>
        </w:rPr>
        <w:t>final outcome</w:t>
      </w:r>
      <w:proofErr w:type="gramEnd"/>
      <w:r w:rsidRPr="001821A2">
        <w:rPr>
          <w:rFonts w:cstheme="minorHAnsi"/>
        </w:rPr>
        <w:t xml:space="preserve">(s) </w:t>
      </w:r>
    </w:p>
    <w:p w14:paraId="5190D342" w14:textId="77777777" w:rsidR="009D347E" w:rsidRPr="001821A2" w:rsidRDefault="009D347E" w:rsidP="009D347E">
      <w:pPr>
        <w:numPr>
          <w:ilvl w:val="0"/>
          <w:numId w:val="32"/>
        </w:numPr>
        <w:spacing w:after="120" w:line="276" w:lineRule="auto"/>
        <w:contextualSpacing/>
        <w:rPr>
          <w:rFonts w:cstheme="minorHAnsi"/>
        </w:rPr>
      </w:pPr>
      <w:r w:rsidRPr="001821A2">
        <w:rPr>
          <w:rFonts w:cstheme="minorHAnsi"/>
        </w:rPr>
        <w:t xml:space="preserve">systemic: planned and </w:t>
      </w:r>
      <w:proofErr w:type="gramStart"/>
      <w:r w:rsidRPr="001821A2">
        <w:rPr>
          <w:rFonts w:cstheme="minorHAnsi"/>
        </w:rPr>
        <w:t>budgeted</w:t>
      </w:r>
      <w:proofErr w:type="gramEnd"/>
      <w:r w:rsidRPr="001821A2">
        <w:rPr>
          <w:rFonts w:cstheme="minorHAnsi"/>
        </w:rPr>
        <w:t xml:space="preserve"> </w:t>
      </w:r>
    </w:p>
    <w:p w14:paraId="3C057A3F" w14:textId="77777777" w:rsidR="009D347E" w:rsidRDefault="009D347E" w:rsidP="009D347E">
      <w:pPr>
        <w:numPr>
          <w:ilvl w:val="0"/>
          <w:numId w:val="32"/>
        </w:numPr>
        <w:spacing w:before="120" w:after="360" w:line="276" w:lineRule="auto"/>
        <w:contextualSpacing/>
        <w:rPr>
          <w:rFonts w:cstheme="minorHAnsi"/>
        </w:rPr>
      </w:pPr>
      <w:r w:rsidRPr="001821A2">
        <w:rPr>
          <w:rFonts w:cstheme="minorHAnsi"/>
        </w:rPr>
        <w:t>transferable and/or reproducible: lead to results that could be possibly reproduced.</w:t>
      </w:r>
      <w:r w:rsidRPr="001821A2">
        <w:rPr>
          <w:rFonts w:cstheme="minorHAnsi"/>
          <w:vertAlign w:val="superscript"/>
        </w:rPr>
        <w:footnoteReference w:id="5"/>
      </w:r>
    </w:p>
    <w:p w14:paraId="392F929C" w14:textId="77777777" w:rsidR="009D347E" w:rsidRPr="001821A2" w:rsidRDefault="009D347E" w:rsidP="009D347E">
      <w:pPr>
        <w:spacing w:before="120" w:after="360"/>
        <w:ind w:left="720"/>
        <w:contextualSpacing/>
        <w:rPr>
          <w:rFonts w:cstheme="minorHAnsi"/>
        </w:rPr>
      </w:pPr>
    </w:p>
    <w:p w14:paraId="71184EB3" w14:textId="77777777" w:rsidR="009D347E" w:rsidRPr="001821A2" w:rsidRDefault="009D347E" w:rsidP="009D347E">
      <w:pPr>
        <w:spacing w:before="240" w:after="120"/>
        <w:rPr>
          <w:rFonts w:cstheme="minorHAnsi"/>
        </w:rPr>
      </w:pPr>
      <w:r w:rsidRPr="001821A2">
        <w:rPr>
          <w:rFonts w:cstheme="minorHAnsi"/>
        </w:rPr>
        <w:t xml:space="preserve">The above definition encompasses pure and oriented basic research, applied research and experimental development, which are defined in the </w:t>
      </w:r>
      <w:hyperlink r:id="rId26" w:history="1">
        <w:r w:rsidRPr="001821A2">
          <w:rPr>
            <w:rStyle w:val="Hyperlink"/>
          </w:rPr>
          <w:t>2015 Frascati Manual</w:t>
        </w:r>
      </w:hyperlink>
      <w:r>
        <w:rPr>
          <w:rFonts w:cstheme="minorHAnsi"/>
        </w:rPr>
        <w:t xml:space="preserve"> a</w:t>
      </w:r>
      <w:r w:rsidRPr="001821A2">
        <w:rPr>
          <w:rFonts w:cstheme="minorHAnsi"/>
        </w:rPr>
        <w:t>s follows:</w:t>
      </w:r>
    </w:p>
    <w:p w14:paraId="4C9015AC" w14:textId="77777777" w:rsidR="009D347E" w:rsidRPr="001821A2" w:rsidRDefault="009D347E" w:rsidP="009D347E">
      <w:pPr>
        <w:numPr>
          <w:ilvl w:val="0"/>
          <w:numId w:val="29"/>
        </w:numPr>
        <w:spacing w:after="120" w:line="276" w:lineRule="auto"/>
        <w:ind w:left="766" w:hanging="369"/>
        <w:contextualSpacing/>
        <w:rPr>
          <w:rFonts w:cstheme="minorHAnsi"/>
        </w:rPr>
      </w:pPr>
      <w:r w:rsidRPr="001821A2">
        <w:rPr>
          <w:rFonts w:cstheme="minorHAnsi"/>
          <w:iCs/>
        </w:rPr>
        <w:t>Basic research</w:t>
      </w:r>
      <w:r w:rsidRPr="001821A2">
        <w:rPr>
          <w:rFonts w:cstheme="minorHAnsi"/>
        </w:rPr>
        <w:t xml:space="preserve"> is experimental or theoretical work undertaken primarily to acquire new knowledge of the underlying foundations of phenomena and observable facts, without any </w:t>
      </w:r>
      <w:proofErr w:type="gramStart"/>
      <w:r w:rsidRPr="001821A2">
        <w:rPr>
          <w:rFonts w:cstheme="minorHAnsi"/>
        </w:rPr>
        <w:t>particular application</w:t>
      </w:r>
      <w:proofErr w:type="gramEnd"/>
      <w:r w:rsidRPr="001821A2">
        <w:rPr>
          <w:rFonts w:cstheme="minorHAnsi"/>
        </w:rPr>
        <w:t xml:space="preserve"> or use in view.</w:t>
      </w:r>
      <w:r w:rsidRPr="001821A2">
        <w:rPr>
          <w:rFonts w:ascii="Times New Roman" w:hAnsi="Times New Roman" w:cs="Times New Roman"/>
          <w:vertAlign w:val="superscript"/>
        </w:rPr>
        <w:footnoteReference w:id="6"/>
      </w:r>
      <w:r w:rsidRPr="001821A2">
        <w:rPr>
          <w:rFonts w:cstheme="minorHAnsi"/>
        </w:rPr>
        <w:t xml:space="preserve"> There are two types of basic research:</w:t>
      </w:r>
    </w:p>
    <w:p w14:paraId="4E9C5002" w14:textId="77777777" w:rsidR="009D347E" w:rsidRPr="001821A2" w:rsidRDefault="009D347E" w:rsidP="009D347E">
      <w:pPr>
        <w:numPr>
          <w:ilvl w:val="1"/>
          <w:numId w:val="33"/>
        </w:numPr>
        <w:spacing w:after="120" w:line="276" w:lineRule="auto"/>
        <w:ind w:left="1134"/>
        <w:contextualSpacing/>
        <w:rPr>
          <w:rFonts w:cstheme="minorHAnsi"/>
        </w:rPr>
      </w:pPr>
      <w:r w:rsidRPr="001821A2">
        <w:rPr>
          <w:rFonts w:cstheme="minorHAnsi"/>
          <w:iCs/>
        </w:rPr>
        <w:t>Pure basic research</w:t>
      </w:r>
      <w:r w:rsidRPr="001821A2">
        <w:rPr>
          <w:rFonts w:cstheme="minorHAnsi"/>
        </w:rPr>
        <w:t xml:space="preserve"> is carried out for the advancement of knowledge, without seeking economic or social benefits or making an active effort to apply the results to practical problems or to transfer the results to sectors responsible for their application.</w:t>
      </w:r>
      <w:r w:rsidRPr="001821A2">
        <w:rPr>
          <w:rFonts w:ascii="Times New Roman" w:hAnsi="Times New Roman" w:cs="Times New Roman"/>
          <w:vertAlign w:val="superscript"/>
        </w:rPr>
        <w:footnoteReference w:id="7"/>
      </w:r>
    </w:p>
    <w:p w14:paraId="5DB6457A" w14:textId="77777777" w:rsidR="009D347E" w:rsidRPr="001821A2" w:rsidRDefault="009D347E" w:rsidP="009D347E">
      <w:pPr>
        <w:numPr>
          <w:ilvl w:val="1"/>
          <w:numId w:val="33"/>
        </w:numPr>
        <w:spacing w:after="120" w:line="276" w:lineRule="auto"/>
        <w:ind w:left="1134"/>
        <w:contextualSpacing/>
        <w:rPr>
          <w:rFonts w:cstheme="minorHAnsi"/>
        </w:rPr>
      </w:pPr>
      <w:r w:rsidRPr="001821A2">
        <w:rPr>
          <w:rFonts w:cstheme="minorHAnsi"/>
          <w:iCs/>
        </w:rPr>
        <w:t>Oriented basic research</w:t>
      </w:r>
      <w:r w:rsidRPr="001821A2">
        <w:rPr>
          <w:rFonts w:cstheme="minorHAnsi"/>
        </w:rPr>
        <w:t xml:space="preserve"> is carried out with the expectation that it will produce a broad base of knowledge likely to form the basis of the solution to recognised or expected current or future problems or possibilities.</w:t>
      </w:r>
      <w:r w:rsidRPr="001821A2">
        <w:rPr>
          <w:rFonts w:ascii="Times New Roman" w:hAnsi="Times New Roman" w:cs="Times New Roman"/>
          <w:vertAlign w:val="superscript"/>
        </w:rPr>
        <w:footnoteReference w:id="8"/>
      </w:r>
    </w:p>
    <w:p w14:paraId="3494309D" w14:textId="77777777" w:rsidR="009D347E" w:rsidRPr="001821A2" w:rsidRDefault="009D347E" w:rsidP="009D347E">
      <w:pPr>
        <w:numPr>
          <w:ilvl w:val="0"/>
          <w:numId w:val="29"/>
        </w:numPr>
        <w:spacing w:after="120" w:line="276" w:lineRule="auto"/>
        <w:ind w:left="766" w:hanging="369"/>
        <w:contextualSpacing/>
        <w:rPr>
          <w:rFonts w:cstheme="minorHAnsi"/>
        </w:rPr>
      </w:pPr>
      <w:r w:rsidRPr="001821A2">
        <w:rPr>
          <w:rFonts w:cstheme="minorHAnsi"/>
          <w:iCs/>
        </w:rPr>
        <w:t>Applied research</w:t>
      </w:r>
      <w:r w:rsidRPr="001821A2">
        <w:rPr>
          <w:rFonts w:cstheme="minorHAnsi"/>
        </w:rPr>
        <w:t xml:space="preserve"> is original investigation undertaken </w:t>
      </w:r>
      <w:proofErr w:type="gramStart"/>
      <w:r w:rsidRPr="001821A2">
        <w:rPr>
          <w:rFonts w:cstheme="minorHAnsi"/>
        </w:rPr>
        <w:t>in order to</w:t>
      </w:r>
      <w:proofErr w:type="gramEnd"/>
      <w:r w:rsidRPr="001821A2">
        <w:rPr>
          <w:rFonts w:cstheme="minorHAnsi"/>
        </w:rPr>
        <w:t xml:space="preserve"> acquire new knowledge. It is, however, directed primarily towards a specific, practical aim or objective</w:t>
      </w:r>
      <w:r w:rsidRPr="001821A2">
        <w:rPr>
          <w:rFonts w:ascii="Times New Roman" w:hAnsi="Times New Roman" w:cs="Times New Roman"/>
          <w:vertAlign w:val="superscript"/>
        </w:rPr>
        <w:footnoteReference w:id="9"/>
      </w:r>
      <w:r w:rsidRPr="001821A2">
        <w:rPr>
          <w:rFonts w:cstheme="minorHAnsi"/>
        </w:rPr>
        <w:t xml:space="preserve"> (including a client-driven purpose).</w:t>
      </w:r>
    </w:p>
    <w:p w14:paraId="3419C1F7" w14:textId="77777777" w:rsidR="009D347E" w:rsidRPr="001821A2" w:rsidRDefault="009D347E" w:rsidP="009D347E">
      <w:pPr>
        <w:numPr>
          <w:ilvl w:val="0"/>
          <w:numId w:val="29"/>
        </w:numPr>
        <w:spacing w:after="120" w:line="276" w:lineRule="auto"/>
        <w:ind w:left="766" w:hanging="369"/>
        <w:contextualSpacing/>
        <w:rPr>
          <w:rFonts w:cstheme="minorHAnsi"/>
        </w:rPr>
      </w:pPr>
      <w:r w:rsidRPr="001821A2">
        <w:rPr>
          <w:rFonts w:cstheme="minorHAnsi"/>
          <w:iCs/>
        </w:rPr>
        <w:t>Experimental development</w:t>
      </w:r>
      <w:r w:rsidRPr="001821A2">
        <w:rPr>
          <w:rFonts w:cstheme="minorHAnsi"/>
        </w:rPr>
        <w:t xml:space="preserve"> is systematic work, drawing on knowledge gained from research and practical experience and producing additional knowledge, which is directed to producing new products or processes or to improving existing products or processes.</w:t>
      </w:r>
      <w:r w:rsidRPr="001821A2">
        <w:rPr>
          <w:rFonts w:ascii="Times New Roman" w:hAnsi="Times New Roman" w:cs="Times New Roman"/>
          <w:vertAlign w:val="superscript"/>
        </w:rPr>
        <w:footnoteReference w:id="10"/>
      </w:r>
      <w:bookmarkStart w:id="84" w:name="_Toc27055354"/>
      <w:r w:rsidRPr="001821A2">
        <w:rPr>
          <w:b/>
          <w:color w:val="205E29"/>
          <w:sz w:val="32"/>
          <w:szCs w:val="32"/>
        </w:rPr>
        <w:br w:type="page"/>
      </w:r>
    </w:p>
    <w:p w14:paraId="5B32ECC8" w14:textId="77777777" w:rsidR="009D347E" w:rsidRPr="001821A2" w:rsidRDefault="009D347E" w:rsidP="006108A9">
      <w:pPr>
        <w:pStyle w:val="Heading2"/>
      </w:pPr>
      <w:bookmarkStart w:id="85" w:name="_Toc81230905"/>
      <w:bookmarkStart w:id="86" w:name="_Toc92461280"/>
      <w:bookmarkStart w:id="87" w:name="_Toc147503815"/>
      <w:bookmarkStart w:id="88" w:name="_Toc155863403"/>
      <w:r w:rsidRPr="001821A2">
        <w:lastRenderedPageBreak/>
        <w:t>3.1</w:t>
      </w:r>
      <w:r w:rsidRPr="001821A2">
        <w:tab/>
        <w:t>Inclusions and exclusions</w:t>
      </w:r>
      <w:bookmarkEnd w:id="85"/>
      <w:bookmarkEnd w:id="86"/>
      <w:bookmarkEnd w:id="87"/>
      <w:bookmarkEnd w:id="88"/>
    </w:p>
    <w:p w14:paraId="4BB29C82" w14:textId="77777777" w:rsidR="009D347E" w:rsidRPr="001821A2" w:rsidRDefault="009D347E" w:rsidP="009D347E">
      <w:pPr>
        <w:spacing w:after="120"/>
      </w:pPr>
      <w:bookmarkStart w:id="89" w:name="_Toc81224873"/>
      <w:bookmarkStart w:id="90" w:name="_Toc81225029"/>
      <w:r w:rsidRPr="001821A2">
        <w:t xml:space="preserve">The sections below provide additional guidance </w:t>
      </w:r>
      <w:r>
        <w:t>about</w:t>
      </w:r>
      <w:r w:rsidRPr="001821A2">
        <w:t xml:space="preserve"> the activities that can be considered R&amp;D, and therefore included in a HEP’s R&amp;D income return. These lists are not exhaustive.</w:t>
      </w:r>
      <w:bookmarkEnd w:id="89"/>
      <w:bookmarkEnd w:id="90"/>
    </w:p>
    <w:p w14:paraId="1E2AF7A1" w14:textId="77777777" w:rsidR="009D347E" w:rsidRPr="001821A2" w:rsidRDefault="009D347E" w:rsidP="006108A9">
      <w:pPr>
        <w:pStyle w:val="Heading3"/>
      </w:pPr>
      <w:bookmarkStart w:id="91" w:name="_Toc81230906"/>
      <w:bookmarkStart w:id="92" w:name="_Toc92461281"/>
      <w:bookmarkStart w:id="93" w:name="_Toc147503816"/>
      <w:bookmarkStart w:id="94" w:name="_Toc155863404"/>
      <w:r w:rsidRPr="001821A2">
        <w:t>3.1.1</w:t>
      </w:r>
      <w:r w:rsidRPr="001821A2">
        <w:tab/>
        <w:t>Examples of activities that meet the definition of R&amp;D include:</w:t>
      </w:r>
      <w:bookmarkEnd w:id="84"/>
      <w:bookmarkEnd w:id="91"/>
      <w:bookmarkEnd w:id="92"/>
      <w:bookmarkEnd w:id="93"/>
      <w:bookmarkEnd w:id="94"/>
    </w:p>
    <w:p w14:paraId="716A8B24" w14:textId="77777777" w:rsidR="009D347E" w:rsidRPr="001821A2" w:rsidRDefault="009D347E" w:rsidP="009D347E">
      <w:pPr>
        <w:numPr>
          <w:ilvl w:val="0"/>
          <w:numId w:val="30"/>
        </w:numPr>
        <w:spacing w:after="120" w:line="276" w:lineRule="auto"/>
        <w:contextualSpacing/>
        <w:rPr>
          <w:rFonts w:cstheme="minorHAnsi"/>
        </w:rPr>
      </w:pPr>
      <w:r w:rsidRPr="001821A2">
        <w:rPr>
          <w:rFonts w:cstheme="minorHAnsi"/>
        </w:rPr>
        <w:t xml:space="preserve">Professional, technical, </w:t>
      </w:r>
      <w:proofErr w:type="gramStart"/>
      <w:r w:rsidRPr="001821A2">
        <w:rPr>
          <w:rFonts w:cstheme="minorHAnsi"/>
        </w:rPr>
        <w:t>administrative</w:t>
      </w:r>
      <w:proofErr w:type="gramEnd"/>
      <w:r w:rsidRPr="001821A2">
        <w:rPr>
          <w:rFonts w:cstheme="minorHAnsi"/>
        </w:rPr>
        <w:t xml:space="preserve"> or clerical support staff directly engaged in activities essential to the conduct of R&amp;D.</w:t>
      </w:r>
    </w:p>
    <w:p w14:paraId="1F68D200" w14:textId="77777777" w:rsidR="009D347E" w:rsidRPr="001821A2" w:rsidRDefault="009D347E" w:rsidP="009D347E">
      <w:pPr>
        <w:numPr>
          <w:ilvl w:val="0"/>
          <w:numId w:val="30"/>
        </w:numPr>
        <w:spacing w:after="120" w:line="276" w:lineRule="auto"/>
        <w:contextualSpacing/>
      </w:pPr>
      <w:r w:rsidRPr="001821A2">
        <w:t>The activities of higher degree by research (HDR)</w:t>
      </w:r>
      <w:r w:rsidRPr="001821A2">
        <w:rPr>
          <w:vertAlign w:val="superscript"/>
        </w:rPr>
        <w:footnoteReference w:id="11"/>
      </w:r>
      <w:r w:rsidRPr="001821A2">
        <w:t xml:space="preserve"> students enrolled at the HEP.</w:t>
      </w:r>
    </w:p>
    <w:p w14:paraId="134D0F76" w14:textId="77777777" w:rsidR="009D347E" w:rsidRPr="001821A2" w:rsidRDefault="009D347E" w:rsidP="009D347E">
      <w:pPr>
        <w:numPr>
          <w:ilvl w:val="0"/>
          <w:numId w:val="30"/>
        </w:numPr>
        <w:spacing w:after="120" w:line="276" w:lineRule="auto"/>
        <w:contextualSpacing/>
      </w:pPr>
      <w:r w:rsidRPr="001821A2">
        <w:t>The development of HDR training and courses.</w:t>
      </w:r>
    </w:p>
    <w:p w14:paraId="0E56E3F5" w14:textId="77777777" w:rsidR="009D347E" w:rsidRPr="001821A2" w:rsidRDefault="009D347E" w:rsidP="009D347E">
      <w:pPr>
        <w:numPr>
          <w:ilvl w:val="0"/>
          <w:numId w:val="30"/>
        </w:numPr>
        <w:spacing w:after="120" w:line="276" w:lineRule="auto"/>
        <w:contextualSpacing/>
      </w:pPr>
      <w:r w:rsidRPr="001821A2">
        <w:t>The supervision of HDR students enrolled at the HEP.</w:t>
      </w:r>
    </w:p>
    <w:p w14:paraId="3673E96C" w14:textId="77777777" w:rsidR="009D347E" w:rsidRPr="001821A2" w:rsidRDefault="009D347E" w:rsidP="009D347E">
      <w:pPr>
        <w:numPr>
          <w:ilvl w:val="0"/>
          <w:numId w:val="30"/>
        </w:numPr>
        <w:spacing w:after="120" w:line="276" w:lineRule="auto"/>
        <w:contextualSpacing/>
      </w:pPr>
      <w:r w:rsidRPr="001821A2">
        <w:t>R&amp;D into applications software, new programming languages and new operating systems</w:t>
      </w:r>
    </w:p>
    <w:p w14:paraId="17CEAFA6" w14:textId="77777777" w:rsidR="009D347E" w:rsidRPr="001821A2" w:rsidRDefault="009D347E" w:rsidP="009D347E">
      <w:pPr>
        <w:numPr>
          <w:ilvl w:val="0"/>
          <w:numId w:val="30"/>
        </w:numPr>
        <w:spacing w:after="120" w:line="276" w:lineRule="auto"/>
        <w:contextualSpacing/>
      </w:pPr>
      <w:r w:rsidRPr="001821A2">
        <w:t>Prototype development and testing.</w:t>
      </w:r>
    </w:p>
    <w:p w14:paraId="6F353DDB" w14:textId="77777777" w:rsidR="009D347E" w:rsidRPr="001821A2" w:rsidRDefault="009D347E" w:rsidP="009D347E">
      <w:pPr>
        <w:numPr>
          <w:ilvl w:val="0"/>
          <w:numId w:val="30"/>
        </w:numPr>
        <w:spacing w:after="120" w:line="276" w:lineRule="auto"/>
        <w:contextualSpacing/>
      </w:pPr>
      <w:r w:rsidRPr="001821A2">
        <w:t>Construction and operation of a pilot plant where the primary objective is to make further improvements.</w:t>
      </w:r>
    </w:p>
    <w:p w14:paraId="6892F07E" w14:textId="77777777" w:rsidR="009D347E" w:rsidRPr="001821A2" w:rsidRDefault="009D347E" w:rsidP="009D347E">
      <w:pPr>
        <w:numPr>
          <w:ilvl w:val="0"/>
          <w:numId w:val="30"/>
        </w:numPr>
        <w:spacing w:after="120" w:line="276" w:lineRule="auto"/>
        <w:contextualSpacing/>
      </w:pPr>
      <w:r w:rsidRPr="001821A2">
        <w:t>Trial production where there is full scale testing and subsequent further design and engineering.</w:t>
      </w:r>
    </w:p>
    <w:p w14:paraId="68210E61" w14:textId="77777777" w:rsidR="009D347E" w:rsidRPr="001821A2" w:rsidRDefault="009D347E" w:rsidP="009D347E">
      <w:pPr>
        <w:numPr>
          <w:ilvl w:val="0"/>
          <w:numId w:val="30"/>
        </w:numPr>
        <w:spacing w:after="120" w:line="276" w:lineRule="auto"/>
        <w:contextualSpacing/>
      </w:pPr>
      <w:r w:rsidRPr="001821A2">
        <w:t>Phases I to III of clinical trials.</w:t>
      </w:r>
    </w:p>
    <w:p w14:paraId="57317BB3" w14:textId="77777777" w:rsidR="009D347E" w:rsidRPr="001821A2" w:rsidRDefault="009D347E" w:rsidP="009D347E">
      <w:pPr>
        <w:numPr>
          <w:ilvl w:val="0"/>
          <w:numId w:val="30"/>
        </w:numPr>
        <w:spacing w:after="120" w:line="276" w:lineRule="auto"/>
        <w:contextualSpacing/>
      </w:pPr>
      <w:r w:rsidRPr="001821A2">
        <w:t>Non-traditional research creative arts including original creative works, live performance of creative works, recorded or rendered works, and curated exhibitions or events</w:t>
      </w:r>
      <w:bookmarkStart w:id="95" w:name="_Toc27055355"/>
      <w:r w:rsidRPr="001821A2">
        <w:t>.</w:t>
      </w:r>
    </w:p>
    <w:p w14:paraId="2063616A" w14:textId="77777777" w:rsidR="009D347E" w:rsidRPr="001821A2" w:rsidRDefault="009D347E" w:rsidP="006108A9">
      <w:pPr>
        <w:pStyle w:val="Heading3"/>
      </w:pPr>
      <w:bookmarkStart w:id="96" w:name="_Toc81230907"/>
      <w:bookmarkStart w:id="97" w:name="_Toc92461282"/>
      <w:bookmarkStart w:id="98" w:name="_Toc147503817"/>
      <w:bookmarkStart w:id="99" w:name="_Toc155863405"/>
      <w:r w:rsidRPr="001821A2">
        <w:t>3.1.2</w:t>
      </w:r>
      <w:r w:rsidRPr="001821A2">
        <w:tab/>
        <w:t>Examples of activities that do not meet the definition of R&amp;D include:</w:t>
      </w:r>
      <w:bookmarkEnd w:id="95"/>
      <w:bookmarkEnd w:id="96"/>
      <w:bookmarkEnd w:id="97"/>
      <w:bookmarkEnd w:id="98"/>
      <w:bookmarkEnd w:id="99"/>
    </w:p>
    <w:p w14:paraId="1F9CDBC1" w14:textId="77777777" w:rsidR="009D347E" w:rsidRPr="001821A2" w:rsidRDefault="009D347E" w:rsidP="009D347E">
      <w:pPr>
        <w:numPr>
          <w:ilvl w:val="0"/>
          <w:numId w:val="31"/>
        </w:numPr>
        <w:spacing w:after="120" w:line="276" w:lineRule="auto"/>
        <w:contextualSpacing/>
      </w:pPr>
      <w:r w:rsidRPr="001821A2">
        <w:t>Scientific and technical information services.</w:t>
      </w:r>
    </w:p>
    <w:p w14:paraId="5FA73016" w14:textId="77777777" w:rsidR="009D347E" w:rsidRPr="001821A2" w:rsidRDefault="009D347E" w:rsidP="009D347E">
      <w:pPr>
        <w:numPr>
          <w:ilvl w:val="0"/>
          <w:numId w:val="31"/>
        </w:numPr>
        <w:spacing w:after="120" w:line="276" w:lineRule="auto"/>
        <w:contextualSpacing/>
      </w:pPr>
      <w:r w:rsidRPr="001821A2">
        <w:t>General purpose or routine data collection.</w:t>
      </w:r>
    </w:p>
    <w:p w14:paraId="2BECA5F1" w14:textId="77777777" w:rsidR="009D347E" w:rsidRPr="001821A2" w:rsidRDefault="009D347E" w:rsidP="009D347E">
      <w:pPr>
        <w:numPr>
          <w:ilvl w:val="0"/>
          <w:numId w:val="31"/>
        </w:numPr>
        <w:spacing w:after="120" w:line="276" w:lineRule="auto"/>
        <w:contextualSpacing/>
      </w:pPr>
      <w:r w:rsidRPr="001821A2">
        <w:t>Standardisation and routine testing.</w:t>
      </w:r>
    </w:p>
    <w:p w14:paraId="30A6E23F" w14:textId="77777777" w:rsidR="009D347E" w:rsidRPr="001821A2" w:rsidRDefault="009D347E" w:rsidP="009D347E">
      <w:pPr>
        <w:numPr>
          <w:ilvl w:val="0"/>
          <w:numId w:val="31"/>
        </w:numPr>
        <w:spacing w:after="120" w:line="276" w:lineRule="auto"/>
        <w:contextualSpacing/>
      </w:pPr>
      <w:r w:rsidRPr="001821A2">
        <w:t>Feasibility studies (except into R&amp;D projects).</w:t>
      </w:r>
    </w:p>
    <w:p w14:paraId="0D42609C" w14:textId="77777777" w:rsidR="009D347E" w:rsidRPr="001821A2" w:rsidRDefault="009D347E" w:rsidP="009D347E">
      <w:pPr>
        <w:numPr>
          <w:ilvl w:val="0"/>
          <w:numId w:val="31"/>
        </w:numPr>
        <w:spacing w:after="120" w:line="276" w:lineRule="auto"/>
        <w:contextualSpacing/>
      </w:pPr>
      <w:r w:rsidRPr="001821A2">
        <w:t>Specialised, routine medical care.</w:t>
      </w:r>
    </w:p>
    <w:p w14:paraId="4680EC5B" w14:textId="77777777" w:rsidR="009D347E" w:rsidRPr="001821A2" w:rsidRDefault="009D347E" w:rsidP="009D347E">
      <w:pPr>
        <w:numPr>
          <w:ilvl w:val="0"/>
          <w:numId w:val="31"/>
        </w:numPr>
        <w:spacing w:after="120" w:line="276" w:lineRule="auto"/>
        <w:contextualSpacing/>
      </w:pPr>
      <w:r w:rsidRPr="001821A2">
        <w:t>Literature reviews that are predominantly a summary of the current knowledge and findings of a particular R&amp;D field or topic and do not include any critical assessment or report any new findings or original experimental work.</w:t>
      </w:r>
    </w:p>
    <w:p w14:paraId="5AF834ED" w14:textId="77777777" w:rsidR="009D347E" w:rsidRPr="001821A2" w:rsidRDefault="009D347E" w:rsidP="009D347E">
      <w:pPr>
        <w:numPr>
          <w:ilvl w:val="0"/>
          <w:numId w:val="31"/>
        </w:numPr>
        <w:spacing w:after="120" w:line="276" w:lineRule="auto"/>
        <w:contextualSpacing/>
      </w:pPr>
      <w:r w:rsidRPr="001821A2">
        <w:t xml:space="preserve">Commercial, </w:t>
      </w:r>
      <w:proofErr w:type="gramStart"/>
      <w:r w:rsidRPr="001821A2">
        <w:t>legal</w:t>
      </w:r>
      <w:proofErr w:type="gramEnd"/>
      <w:r w:rsidRPr="001821A2">
        <w:t xml:space="preserve"> and administrative aspects of patenting, plant breeders’ rights, copyright, material transfer agreements or intellectual property licensing, option and assignment activities, and royalties.</w:t>
      </w:r>
    </w:p>
    <w:p w14:paraId="7F134814" w14:textId="77777777" w:rsidR="009D347E" w:rsidRPr="001821A2" w:rsidRDefault="009D347E" w:rsidP="009D347E">
      <w:pPr>
        <w:numPr>
          <w:ilvl w:val="0"/>
          <w:numId w:val="31"/>
        </w:numPr>
        <w:spacing w:after="120" w:line="276" w:lineRule="auto"/>
        <w:contextualSpacing/>
      </w:pPr>
      <w:r w:rsidRPr="001821A2">
        <w:t>Routine computer programming, systems work or software maintenance.</w:t>
      </w:r>
    </w:p>
    <w:p w14:paraId="21C11B42" w14:textId="77777777" w:rsidR="009D347E" w:rsidRPr="001821A2" w:rsidRDefault="009D347E" w:rsidP="009D347E">
      <w:pPr>
        <w:numPr>
          <w:ilvl w:val="0"/>
          <w:numId w:val="31"/>
        </w:numPr>
        <w:spacing w:after="120" w:line="276" w:lineRule="auto"/>
        <w:contextualSpacing/>
      </w:pPr>
      <w:r w:rsidRPr="001821A2">
        <w:t>Stages of product development that do not meet the five R&amp;D criteria above.</w:t>
      </w:r>
      <w:r w:rsidRPr="001821A2">
        <w:rPr>
          <w:rFonts w:cs="Times New Roman"/>
          <w:vertAlign w:val="superscript"/>
        </w:rPr>
        <w:footnoteReference w:id="12"/>
      </w:r>
    </w:p>
    <w:p w14:paraId="083F6D59" w14:textId="77777777" w:rsidR="009D347E" w:rsidRPr="001821A2" w:rsidRDefault="009D347E" w:rsidP="009D347E">
      <w:pPr>
        <w:numPr>
          <w:ilvl w:val="0"/>
          <w:numId w:val="31"/>
        </w:numPr>
        <w:spacing w:after="120" w:line="276" w:lineRule="auto"/>
        <w:contextualSpacing/>
      </w:pPr>
      <w:r w:rsidRPr="001821A2">
        <w:t>Pre-production development.</w:t>
      </w:r>
      <w:r w:rsidRPr="001821A2">
        <w:rPr>
          <w:rFonts w:cs="Times New Roman"/>
          <w:vertAlign w:val="superscript"/>
        </w:rPr>
        <w:footnoteReference w:id="13"/>
      </w:r>
    </w:p>
    <w:p w14:paraId="0452B5EB" w14:textId="77777777" w:rsidR="009D347E" w:rsidRPr="001821A2" w:rsidRDefault="009D347E" w:rsidP="009D347E">
      <w:pPr>
        <w:numPr>
          <w:ilvl w:val="0"/>
          <w:numId w:val="31"/>
        </w:numPr>
        <w:spacing w:after="120" w:line="276" w:lineRule="auto"/>
        <w:contextualSpacing/>
      </w:pPr>
      <w:r w:rsidRPr="001821A2">
        <w:t>Market research.</w:t>
      </w:r>
    </w:p>
    <w:p w14:paraId="7419AFE4" w14:textId="77777777" w:rsidR="009D347E" w:rsidRPr="001821A2" w:rsidRDefault="009D347E" w:rsidP="009D347E">
      <w:pPr>
        <w:numPr>
          <w:ilvl w:val="0"/>
          <w:numId w:val="31"/>
        </w:numPr>
        <w:spacing w:after="120" w:line="276" w:lineRule="auto"/>
        <w:contextualSpacing/>
      </w:pPr>
      <w:r w:rsidRPr="001821A2">
        <w:t>Construction of fully tested prototypes for marketing purposes.</w:t>
      </w:r>
    </w:p>
    <w:p w14:paraId="187DAE86" w14:textId="77777777" w:rsidR="009D347E" w:rsidRPr="001821A2" w:rsidRDefault="009D347E" w:rsidP="009D347E">
      <w:pPr>
        <w:numPr>
          <w:ilvl w:val="0"/>
          <w:numId w:val="31"/>
        </w:numPr>
        <w:spacing w:after="120" w:line="276" w:lineRule="auto"/>
        <w:contextualSpacing/>
      </w:pPr>
      <w:r w:rsidRPr="001821A2">
        <w:t>After sales service and troubleshooting.</w:t>
      </w:r>
    </w:p>
    <w:p w14:paraId="289D055A" w14:textId="77777777" w:rsidR="009D347E" w:rsidRPr="001821A2" w:rsidRDefault="009D347E" w:rsidP="009D347E">
      <w:pPr>
        <w:numPr>
          <w:ilvl w:val="0"/>
          <w:numId w:val="31"/>
        </w:numPr>
        <w:spacing w:after="120" w:line="276" w:lineRule="auto"/>
        <w:contextualSpacing/>
      </w:pPr>
      <w:r w:rsidRPr="001821A2">
        <w:lastRenderedPageBreak/>
        <w:t>Industrial engineering and design for production purposes.</w:t>
      </w:r>
    </w:p>
    <w:p w14:paraId="2AE309CA" w14:textId="77777777" w:rsidR="009D347E" w:rsidRPr="001821A2" w:rsidRDefault="009D347E" w:rsidP="009D347E">
      <w:pPr>
        <w:numPr>
          <w:ilvl w:val="0"/>
          <w:numId w:val="31"/>
        </w:numPr>
        <w:spacing w:after="120" w:line="276" w:lineRule="auto"/>
        <w:contextualSpacing/>
      </w:pPr>
      <w:r w:rsidRPr="001821A2">
        <w:t>Creative activities that do not meet the five core R&amp;D criteria above</w:t>
      </w:r>
      <w:r>
        <w:t>.</w:t>
      </w:r>
    </w:p>
    <w:p w14:paraId="62FB57C8" w14:textId="77777777" w:rsidR="009D347E" w:rsidRPr="001821A2" w:rsidRDefault="009D347E" w:rsidP="009D347E">
      <w:pPr>
        <w:numPr>
          <w:ilvl w:val="0"/>
          <w:numId w:val="31"/>
        </w:numPr>
        <w:spacing w:after="120" w:line="276" w:lineRule="auto"/>
        <w:contextualSpacing/>
      </w:pPr>
      <w:r w:rsidRPr="001821A2">
        <w:t>R&amp;D financing and support services.</w:t>
      </w:r>
    </w:p>
    <w:p w14:paraId="5F6385D8" w14:textId="77777777" w:rsidR="009D347E" w:rsidRPr="001821A2" w:rsidRDefault="009D347E" w:rsidP="009D347E">
      <w:pPr>
        <w:numPr>
          <w:ilvl w:val="0"/>
          <w:numId w:val="31"/>
        </w:numPr>
        <w:spacing w:after="120" w:line="276" w:lineRule="auto"/>
        <w:contextualSpacing/>
      </w:pPr>
      <w:r w:rsidRPr="001821A2">
        <w:t>Consultancies or framework analysis activities that are designed to analyse or evaluate processes at external operators.</w:t>
      </w:r>
    </w:p>
    <w:p w14:paraId="0812A8C8" w14:textId="77777777" w:rsidR="009D347E" w:rsidRDefault="009D347E" w:rsidP="009D347E">
      <w:pPr>
        <w:numPr>
          <w:ilvl w:val="0"/>
          <w:numId w:val="31"/>
        </w:numPr>
        <w:spacing w:after="120" w:line="276" w:lineRule="auto"/>
        <w:contextualSpacing/>
      </w:pPr>
      <w:r w:rsidRPr="001821A2">
        <w:t>Teaching services based on existing knowledge which do not constitute entirely new advancements in knowledge.</w:t>
      </w:r>
    </w:p>
    <w:p w14:paraId="4EE1B70E" w14:textId="3893485E" w:rsidR="009D347E" w:rsidRPr="00012B6A" w:rsidRDefault="009D347E" w:rsidP="00C02166">
      <w:pPr>
        <w:pStyle w:val="Heading1"/>
        <w:spacing w:before="240"/>
      </w:pPr>
      <w:bookmarkStart w:id="100" w:name="_Toc27055356"/>
      <w:bookmarkStart w:id="101" w:name="_Toc81230908"/>
      <w:bookmarkStart w:id="102" w:name="_Toc92461283"/>
      <w:bookmarkStart w:id="103" w:name="_Toc147503818"/>
      <w:r w:rsidRPr="00012B6A">
        <w:t>Categories 1 to 4 R&amp;D income requirements</w:t>
      </w:r>
      <w:bookmarkEnd w:id="100"/>
      <w:bookmarkEnd w:id="101"/>
      <w:bookmarkEnd w:id="102"/>
      <w:bookmarkEnd w:id="103"/>
    </w:p>
    <w:p w14:paraId="443868FB" w14:textId="77777777" w:rsidR="009D347E" w:rsidRPr="00012B6A" w:rsidRDefault="009D347E" w:rsidP="009D347E">
      <w:pPr>
        <w:spacing w:after="120"/>
      </w:pPr>
      <w:r w:rsidRPr="00012B6A">
        <w:t xml:space="preserve">This section provides the information necessary for HEPs to determine what can and cannot be included under Categories 1 to 4 of their HERDC return. </w:t>
      </w:r>
      <w:bookmarkStart w:id="104" w:name="_Toc437848417"/>
      <w:bookmarkStart w:id="105" w:name="_Toc437848473"/>
      <w:bookmarkStart w:id="106" w:name="_Toc437848513"/>
      <w:bookmarkStart w:id="107" w:name="_Toc437848588"/>
      <w:bookmarkStart w:id="108" w:name="_Toc437850659"/>
      <w:bookmarkStart w:id="109" w:name="_Toc437850735"/>
      <w:bookmarkStart w:id="110" w:name="_Toc437850810"/>
      <w:bookmarkStart w:id="111" w:name="_Toc437851163"/>
      <w:bookmarkStart w:id="112" w:name="_Toc437848418"/>
      <w:bookmarkStart w:id="113" w:name="_Toc437848474"/>
      <w:bookmarkStart w:id="114" w:name="_Toc437848514"/>
      <w:bookmarkStart w:id="115" w:name="_Toc437848589"/>
      <w:bookmarkStart w:id="116" w:name="_Toc437850660"/>
      <w:bookmarkStart w:id="117" w:name="_Toc437850736"/>
      <w:bookmarkStart w:id="118" w:name="_Toc437850811"/>
      <w:bookmarkStart w:id="119" w:name="_Toc437851164"/>
      <w:bookmarkStart w:id="120" w:name="CursorPositionBM"/>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12B6A">
        <w:t>HEPs must provide information on all R&amp;D income received in the reference year that falls into the following four categories:</w:t>
      </w:r>
    </w:p>
    <w:p w14:paraId="4320374E" w14:textId="77777777" w:rsidR="009D347E" w:rsidRPr="00012B6A" w:rsidRDefault="009D347E" w:rsidP="009D347E">
      <w:pPr>
        <w:numPr>
          <w:ilvl w:val="0"/>
          <w:numId w:val="34"/>
        </w:numPr>
        <w:spacing w:after="120" w:line="276" w:lineRule="auto"/>
        <w:contextualSpacing/>
      </w:pPr>
      <w:r w:rsidRPr="00012B6A">
        <w:t>Category 1: Australian competitive grant R&amp;D income</w:t>
      </w:r>
    </w:p>
    <w:p w14:paraId="45F6882C" w14:textId="77777777" w:rsidR="009D347E" w:rsidRPr="00012B6A" w:rsidRDefault="009D347E" w:rsidP="009D347E">
      <w:pPr>
        <w:numPr>
          <w:ilvl w:val="0"/>
          <w:numId w:val="34"/>
        </w:numPr>
        <w:spacing w:after="120" w:line="276" w:lineRule="auto"/>
        <w:contextualSpacing/>
      </w:pPr>
      <w:r w:rsidRPr="00012B6A">
        <w:t xml:space="preserve">Category 2: </w:t>
      </w:r>
      <w:r>
        <w:t>o</w:t>
      </w:r>
      <w:r w:rsidRPr="00012B6A">
        <w:t>ther public sector R&amp;D income</w:t>
      </w:r>
    </w:p>
    <w:p w14:paraId="1DD2DBD9" w14:textId="77777777" w:rsidR="009D347E" w:rsidRPr="00012B6A" w:rsidRDefault="009D347E" w:rsidP="009D347E">
      <w:pPr>
        <w:numPr>
          <w:ilvl w:val="0"/>
          <w:numId w:val="34"/>
        </w:numPr>
        <w:spacing w:after="120" w:line="276" w:lineRule="auto"/>
        <w:contextualSpacing/>
      </w:pPr>
      <w:r w:rsidRPr="00012B6A">
        <w:t xml:space="preserve">Category 3: </w:t>
      </w:r>
      <w:r>
        <w:t>i</w:t>
      </w:r>
      <w:r w:rsidRPr="00012B6A">
        <w:t>ndustry and other R&amp;D income</w:t>
      </w:r>
    </w:p>
    <w:p w14:paraId="3D48E1D5" w14:textId="77777777" w:rsidR="009D347E" w:rsidRPr="00012B6A" w:rsidRDefault="009D347E" w:rsidP="009D347E">
      <w:pPr>
        <w:numPr>
          <w:ilvl w:val="0"/>
          <w:numId w:val="34"/>
        </w:numPr>
        <w:spacing w:after="120" w:line="276" w:lineRule="auto"/>
        <w:contextualSpacing/>
      </w:pPr>
      <w:r w:rsidRPr="00012B6A">
        <w:t>Category 4: CRC R&amp;D income.</w:t>
      </w:r>
    </w:p>
    <w:p w14:paraId="300C8597" w14:textId="77777777" w:rsidR="009D347E" w:rsidRPr="00012B6A" w:rsidRDefault="009D347E" w:rsidP="006108A9">
      <w:pPr>
        <w:pStyle w:val="Heading2"/>
      </w:pPr>
      <w:bookmarkStart w:id="121" w:name="_7.1_General_requirements"/>
      <w:bookmarkStart w:id="122" w:name="_Toc87171315"/>
      <w:bookmarkStart w:id="123" w:name="_Toc96678052"/>
      <w:bookmarkStart w:id="124" w:name="_Toc112733795"/>
      <w:bookmarkStart w:id="125" w:name="_Toc112734005"/>
      <w:bookmarkStart w:id="126" w:name="_Ref115747973"/>
      <w:bookmarkStart w:id="127" w:name="_Toc116182982"/>
      <w:bookmarkStart w:id="128" w:name="_Toc251924125"/>
      <w:bookmarkStart w:id="129" w:name="_Toc406668869"/>
      <w:bookmarkStart w:id="130" w:name="_Toc482284839"/>
      <w:bookmarkStart w:id="131" w:name="_Toc489438087"/>
      <w:bookmarkStart w:id="132" w:name="_Toc489955870"/>
      <w:bookmarkStart w:id="133" w:name="_Toc491172986"/>
      <w:bookmarkStart w:id="134" w:name="_Toc523214675"/>
      <w:bookmarkStart w:id="135" w:name="_Toc27055357"/>
      <w:bookmarkStart w:id="136" w:name="_Toc81230909"/>
      <w:bookmarkStart w:id="137" w:name="_Toc92461284"/>
      <w:bookmarkStart w:id="138" w:name="_Toc147503819"/>
      <w:bookmarkStart w:id="139" w:name="_Toc155863406"/>
      <w:bookmarkEnd w:id="121"/>
      <w:r w:rsidRPr="00012B6A">
        <w:t>4.1</w:t>
      </w:r>
      <w:r w:rsidRPr="00012B6A">
        <w:tab/>
        <w:t>General requirements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B6DCA32" w14:textId="77777777" w:rsidR="009D347E" w:rsidRPr="00012B6A" w:rsidRDefault="009D347E" w:rsidP="009D347E">
      <w:r w:rsidRPr="00012B6A">
        <w:t xml:space="preserve">Categories 1 to 4 R&amp;D income can only be included in a HEP’s return if it meets </w:t>
      </w:r>
      <w:proofErr w:type="gramStart"/>
      <w:r w:rsidRPr="00012B6A">
        <w:rPr>
          <w:u w:val="single"/>
        </w:rPr>
        <w:t>all</w:t>
      </w:r>
      <w:r w:rsidRPr="00012B6A">
        <w:t xml:space="preserve"> of</w:t>
      </w:r>
      <w:proofErr w:type="gramEnd"/>
      <w:r w:rsidRPr="00012B6A">
        <w:t xml:space="preserve"> the following principles. The R&amp;D income must be:</w:t>
      </w:r>
    </w:p>
    <w:p w14:paraId="6DF2BFEC" w14:textId="77777777" w:rsidR="009D347E" w:rsidRPr="00A2384E" w:rsidRDefault="009D347E" w:rsidP="00A2384E">
      <w:pPr>
        <w:pStyle w:val="ListParagraph"/>
        <w:numPr>
          <w:ilvl w:val="0"/>
          <w:numId w:val="43"/>
        </w:numPr>
        <w:spacing w:line="276" w:lineRule="auto"/>
        <w:ind w:left="426"/>
        <w:rPr>
          <w:b/>
          <w:bCs/>
        </w:rPr>
      </w:pPr>
      <w:r w:rsidRPr="00A2384E">
        <w:rPr>
          <w:b/>
          <w:bCs/>
        </w:rPr>
        <w:t>For activities consistent with the definition of R&amp;D (section 3).</w:t>
      </w:r>
    </w:p>
    <w:p w14:paraId="14B99FF9" w14:textId="77777777" w:rsidR="009D347E" w:rsidRPr="00A2384E" w:rsidRDefault="009D347E" w:rsidP="00A2384E">
      <w:pPr>
        <w:pStyle w:val="ListParagraph"/>
        <w:numPr>
          <w:ilvl w:val="0"/>
          <w:numId w:val="43"/>
        </w:numPr>
        <w:spacing w:line="276" w:lineRule="auto"/>
        <w:ind w:left="426"/>
        <w:rPr>
          <w:b/>
          <w:bCs/>
        </w:rPr>
      </w:pPr>
      <w:r w:rsidRPr="00A2384E">
        <w:rPr>
          <w:b/>
          <w:bCs/>
        </w:rPr>
        <w:t>Net receipted income, received in the reference year and recognised in a HEP’s financial system as being related to that reference year:</w:t>
      </w:r>
    </w:p>
    <w:p w14:paraId="303AC1D7" w14:textId="77777777" w:rsidR="009D347E" w:rsidRPr="00012B6A" w:rsidRDefault="009D347E" w:rsidP="00A2384E">
      <w:pPr>
        <w:pStyle w:val="ListParagraph"/>
        <w:numPr>
          <w:ilvl w:val="1"/>
          <w:numId w:val="43"/>
        </w:numPr>
        <w:spacing w:line="276" w:lineRule="auto"/>
        <w:ind w:left="851"/>
      </w:pPr>
      <w:r w:rsidRPr="00012B6A">
        <w:t xml:space="preserve">Net receipted income is the amount of R&amp;D income a HEP (or its subsidiary) retains in its accounting system after shared R&amp;D income has been divided and/or third-party R&amp;D income has been expended and/or distributed. The reference year is the 2023 </w:t>
      </w:r>
      <w:r>
        <w:br/>
      </w:r>
      <w:r w:rsidRPr="00012B6A">
        <w:t>calendar year.</w:t>
      </w:r>
    </w:p>
    <w:p w14:paraId="592B194A" w14:textId="77777777" w:rsidR="009D347E" w:rsidRPr="00A2384E" w:rsidRDefault="009D347E" w:rsidP="00A2384E">
      <w:pPr>
        <w:pStyle w:val="ListParagraph"/>
        <w:numPr>
          <w:ilvl w:val="0"/>
          <w:numId w:val="43"/>
        </w:numPr>
        <w:spacing w:line="276" w:lineRule="auto"/>
        <w:ind w:left="426"/>
        <w:rPr>
          <w:b/>
          <w:bCs/>
        </w:rPr>
      </w:pPr>
      <w:r w:rsidRPr="00A2384E">
        <w:rPr>
          <w:b/>
          <w:bCs/>
        </w:rPr>
        <w:t>Only be counted once:</w:t>
      </w:r>
    </w:p>
    <w:p w14:paraId="657610F6" w14:textId="3562F52B" w:rsidR="009D347E" w:rsidRPr="00012B6A" w:rsidRDefault="009D347E" w:rsidP="00A2384E">
      <w:pPr>
        <w:pStyle w:val="ListParagraph"/>
        <w:numPr>
          <w:ilvl w:val="1"/>
          <w:numId w:val="43"/>
        </w:numPr>
        <w:spacing w:line="276" w:lineRule="auto"/>
        <w:ind w:left="851"/>
      </w:pPr>
      <w:r w:rsidRPr="00012B6A">
        <w:t>HEPs must apply the principle that no income is to be double counted or included in the income returns for multiple years.</w:t>
      </w:r>
    </w:p>
    <w:p w14:paraId="7D75887A" w14:textId="77777777" w:rsidR="009D347E" w:rsidRPr="00A2384E" w:rsidRDefault="009D347E" w:rsidP="00A2384E">
      <w:pPr>
        <w:pStyle w:val="ListParagraph"/>
        <w:numPr>
          <w:ilvl w:val="0"/>
          <w:numId w:val="43"/>
        </w:numPr>
        <w:spacing w:line="276" w:lineRule="auto"/>
        <w:ind w:left="426"/>
        <w:rPr>
          <w:b/>
          <w:bCs/>
        </w:rPr>
      </w:pPr>
      <w:r w:rsidRPr="00A2384E">
        <w:rPr>
          <w:b/>
          <w:bCs/>
        </w:rPr>
        <w:t>Include any variations to R&amp;D income previously reported:</w:t>
      </w:r>
    </w:p>
    <w:p w14:paraId="2101ABBB" w14:textId="77777777" w:rsidR="009D347E" w:rsidRPr="00012B6A" w:rsidRDefault="009D347E" w:rsidP="00A2384E">
      <w:pPr>
        <w:pStyle w:val="ListParagraph"/>
        <w:numPr>
          <w:ilvl w:val="1"/>
          <w:numId w:val="43"/>
        </w:numPr>
        <w:spacing w:line="276" w:lineRule="auto"/>
        <w:ind w:left="851"/>
      </w:pPr>
      <w:r w:rsidRPr="00012B6A">
        <w:t>HEPs may count 2022 R&amp;D income only where the HEP has made a genuine omission of that income from its previous year’s HERDC return and the HEP can verify to its auditor’s satisfaction that the income was not reported in the previous year’s return. A HEP must reduce the R&amp;D income reported for a particular category where R&amp;D income received in an earlier year has been refunded.</w:t>
      </w:r>
    </w:p>
    <w:p w14:paraId="5825DEB4" w14:textId="77777777" w:rsidR="009D347E" w:rsidRPr="00A2384E" w:rsidRDefault="009D347E" w:rsidP="00A2384E">
      <w:pPr>
        <w:pStyle w:val="ListParagraph"/>
        <w:numPr>
          <w:ilvl w:val="0"/>
          <w:numId w:val="43"/>
        </w:numPr>
        <w:spacing w:line="276" w:lineRule="auto"/>
        <w:ind w:left="426"/>
        <w:rPr>
          <w:b/>
          <w:bCs/>
        </w:rPr>
      </w:pPr>
      <w:r w:rsidRPr="00A2384E">
        <w:rPr>
          <w:b/>
          <w:bCs/>
        </w:rPr>
        <w:t>Consistent with audited quarterly or annual CRC financial reports for reported R&amp;D income from CRCs.</w:t>
      </w:r>
    </w:p>
    <w:p w14:paraId="3FDD7AF4" w14:textId="77777777" w:rsidR="009D347E" w:rsidRPr="00877750" w:rsidRDefault="009D347E" w:rsidP="00210F56">
      <w:pPr>
        <w:pStyle w:val="Heading2"/>
        <w:rPr>
          <w:rFonts w:eastAsia="Times New Roman"/>
        </w:rPr>
      </w:pPr>
      <w:bookmarkStart w:id="140" w:name="_Toc147503820"/>
      <w:bookmarkStart w:id="141" w:name="_Toc155863407"/>
      <w:bookmarkStart w:id="142" w:name="_Toc523214682"/>
      <w:bookmarkStart w:id="143" w:name="_Toc491172989"/>
      <w:bookmarkStart w:id="144" w:name="_Toc489955873"/>
      <w:bookmarkStart w:id="145" w:name="_Toc489438090"/>
      <w:bookmarkStart w:id="146" w:name="_Toc482284842"/>
      <w:bookmarkStart w:id="147" w:name="_Ref440031911"/>
      <w:bookmarkStart w:id="148" w:name="_Toc27055364"/>
      <w:bookmarkStart w:id="149" w:name="_Toc81230916"/>
      <w:bookmarkStart w:id="150" w:name="_Toc92461291"/>
      <w:r w:rsidRPr="00877750">
        <w:rPr>
          <w:rFonts w:eastAsia="Times New Roman"/>
        </w:rPr>
        <w:lastRenderedPageBreak/>
        <w:t>4.2</w:t>
      </w:r>
      <w:r w:rsidRPr="00877750">
        <w:rPr>
          <w:rFonts w:eastAsia="Times New Roman"/>
        </w:rPr>
        <w:tab/>
        <w:t>Inclusions and exclusions</w:t>
      </w:r>
      <w:bookmarkEnd w:id="140"/>
      <w:bookmarkEnd w:id="141"/>
    </w:p>
    <w:p w14:paraId="2EC2BB22" w14:textId="77777777" w:rsidR="009D347E" w:rsidRPr="00877750" w:rsidRDefault="009D347E" w:rsidP="009D347E">
      <w:pPr>
        <w:keepNext/>
        <w:keepLines/>
        <w:spacing w:after="120"/>
        <w:rPr>
          <w:rFonts w:ascii="Calibri" w:eastAsia="Calibri" w:hAnsi="Calibri" w:cs="Times New Roman"/>
        </w:rPr>
      </w:pPr>
      <w:r w:rsidRPr="00877750">
        <w:rPr>
          <w:rFonts w:ascii="Calibri" w:eastAsia="Calibri" w:hAnsi="Calibri" w:cs="Times New Roman"/>
        </w:rPr>
        <w:t xml:space="preserve">The sections below provide additional guidance on the net receipted R&amp;D income that can be included or must be excluded from a HEP’s R&amp;D income return. </w:t>
      </w:r>
    </w:p>
    <w:p w14:paraId="7F91CEAE" w14:textId="77777777" w:rsidR="009D347E" w:rsidRPr="00877750" w:rsidRDefault="009D347E" w:rsidP="009D347E">
      <w:pPr>
        <w:keepNext/>
        <w:keepLines/>
        <w:spacing w:after="120"/>
        <w:rPr>
          <w:rFonts w:ascii="Calibri" w:eastAsia="Calibri" w:hAnsi="Calibri" w:cs="Times New Roman"/>
        </w:rPr>
      </w:pPr>
      <w:r w:rsidRPr="00877750">
        <w:rPr>
          <w:rFonts w:ascii="Calibri" w:eastAsia="Calibri" w:hAnsi="Calibri" w:cs="Times New Roman"/>
        </w:rPr>
        <w:t xml:space="preserve">These lists are not exhaustive, and it is the department’s expectation that HEPs work with their auditors in determining which R&amp;D income can be reported. Additional guidance on income involving other parties is at </w:t>
      </w:r>
      <w:r w:rsidRPr="00877750">
        <w:rPr>
          <w:rFonts w:ascii="Calibri" w:eastAsia="Calibri" w:hAnsi="Calibri" w:cs="Times New Roman"/>
          <w:b/>
        </w:rPr>
        <w:t>section 4.3.</w:t>
      </w:r>
    </w:p>
    <w:p w14:paraId="17B2E66B" w14:textId="77777777" w:rsidR="009D347E" w:rsidRPr="00877750" w:rsidRDefault="009D347E" w:rsidP="00210F56">
      <w:pPr>
        <w:pStyle w:val="Heading3"/>
        <w:rPr>
          <w:rFonts w:eastAsia="Times New Roman"/>
        </w:rPr>
      </w:pPr>
      <w:bookmarkStart w:id="151" w:name="_Toc168817205"/>
      <w:bookmarkStart w:id="152" w:name="_Toc168824824"/>
      <w:bookmarkStart w:id="153" w:name="_7.2_Research_income"/>
      <w:bookmarkStart w:id="154" w:name="_Toc251924126"/>
      <w:bookmarkStart w:id="155" w:name="_Toc406668875"/>
      <w:bookmarkStart w:id="156" w:name="_Toc406669258"/>
      <w:bookmarkStart w:id="157" w:name="_Toc523214677"/>
      <w:bookmarkStart w:id="158" w:name="_Toc27055359"/>
      <w:bookmarkStart w:id="159" w:name="_Toc81230911"/>
      <w:bookmarkStart w:id="160" w:name="_Toc92461286"/>
      <w:bookmarkStart w:id="161" w:name="_Toc147503821"/>
      <w:bookmarkStart w:id="162" w:name="_Toc155863408"/>
      <w:bookmarkEnd w:id="151"/>
      <w:bookmarkEnd w:id="152"/>
      <w:bookmarkEnd w:id="153"/>
      <w:r w:rsidRPr="00877750">
        <w:rPr>
          <w:rFonts w:eastAsia="Times New Roman"/>
        </w:rPr>
        <w:t>4.2.1</w:t>
      </w:r>
      <w:r w:rsidRPr="00877750">
        <w:rPr>
          <w:rFonts w:eastAsia="Times New Roman"/>
        </w:rPr>
        <w:tab/>
      </w:r>
      <w:bookmarkStart w:id="163" w:name="_Hlk113365657"/>
      <w:r w:rsidRPr="00877750">
        <w:rPr>
          <w:rFonts w:eastAsia="Times New Roman"/>
        </w:rPr>
        <w:t>Net receipted income that can be included in the R&amp;D income return</w:t>
      </w:r>
      <w:bookmarkEnd w:id="154"/>
      <w:bookmarkEnd w:id="155"/>
      <w:bookmarkEnd w:id="156"/>
      <w:r w:rsidRPr="00877750">
        <w:rPr>
          <w:rFonts w:eastAsia="Times New Roman"/>
        </w:rPr>
        <w:t xml:space="preserve"> </w:t>
      </w:r>
      <w:bookmarkEnd w:id="163"/>
      <w:r w:rsidRPr="00877750">
        <w:rPr>
          <w:rFonts w:eastAsia="Times New Roman"/>
        </w:rPr>
        <w:t>comprises:</w:t>
      </w:r>
      <w:bookmarkEnd w:id="157"/>
      <w:bookmarkEnd w:id="158"/>
      <w:bookmarkEnd w:id="159"/>
      <w:bookmarkEnd w:id="160"/>
      <w:bookmarkEnd w:id="161"/>
      <w:bookmarkEnd w:id="162"/>
    </w:p>
    <w:p w14:paraId="453E5E6D" w14:textId="1AF91E4B" w:rsidR="009D347E" w:rsidRPr="00877750" w:rsidRDefault="009D347E" w:rsidP="009D347E">
      <w:pPr>
        <w:keepNext/>
        <w:keepLines/>
        <w:numPr>
          <w:ilvl w:val="0"/>
          <w:numId w:val="35"/>
        </w:numPr>
        <w:spacing w:after="120" w:line="276" w:lineRule="auto"/>
        <w:ind w:left="714" w:hanging="357"/>
        <w:contextualSpacing/>
        <w:rPr>
          <w:rFonts w:ascii="Calibri" w:eastAsia="Times New Roman" w:hAnsi="Calibri" w:cs="Arial"/>
          <w:color w:val="000000"/>
        </w:rPr>
      </w:pPr>
      <w:r w:rsidRPr="00877750">
        <w:rPr>
          <w:rFonts w:ascii="Calibri" w:eastAsia="Times New Roman" w:hAnsi="Calibri" w:cs="Arial"/>
          <w:color w:val="000000"/>
        </w:rPr>
        <w:t xml:space="preserve">Stipends and scholarships for HDR students enrolled at the HEP, unless explicitly excluded in </w:t>
      </w:r>
      <w:r w:rsidRPr="00877750">
        <w:rPr>
          <w:rFonts w:ascii="Calibri" w:eastAsia="Times New Roman" w:hAnsi="Calibri" w:cs="Arial"/>
          <w:b/>
          <w:color w:val="000000"/>
        </w:rPr>
        <w:t xml:space="preserve">section 4.2.2 (n) </w:t>
      </w:r>
      <w:r w:rsidRPr="004163C4">
        <w:rPr>
          <w:rFonts w:ascii="Calibri" w:eastAsia="Times New Roman" w:hAnsi="Calibri" w:cs="Arial"/>
          <w:bCs/>
          <w:color w:val="000000"/>
        </w:rPr>
        <w:t xml:space="preserve">and </w:t>
      </w:r>
      <w:r w:rsidRPr="00877750">
        <w:rPr>
          <w:rFonts w:ascii="Calibri" w:eastAsia="Times New Roman" w:hAnsi="Calibri" w:cs="Arial"/>
          <w:b/>
          <w:color w:val="000000"/>
        </w:rPr>
        <w:t>section 4.2.2</w:t>
      </w:r>
      <w:r w:rsidRPr="00B3526B">
        <w:rPr>
          <w:rFonts w:ascii="Calibri" w:eastAsia="Times New Roman" w:hAnsi="Calibri" w:cs="Arial"/>
          <w:b/>
        </w:rPr>
        <w:t>(w)</w:t>
      </w:r>
      <w:r w:rsidRPr="00B3526B">
        <w:rPr>
          <w:rFonts w:ascii="Calibri" w:eastAsia="Times New Roman" w:hAnsi="Calibri" w:cs="Arial"/>
        </w:rPr>
        <w:t xml:space="preserve">. </w:t>
      </w:r>
      <w:r w:rsidR="00A2384E">
        <w:rPr>
          <w:rFonts w:ascii="Calibri" w:eastAsia="Times New Roman" w:hAnsi="Calibri" w:cs="Arial"/>
        </w:rPr>
        <w:t xml:space="preserve">Non-Commonwealth </w:t>
      </w:r>
      <w:r w:rsidR="00595C87">
        <w:rPr>
          <w:rFonts w:ascii="Calibri" w:eastAsia="Times New Roman" w:hAnsi="Calibri" w:cs="Arial"/>
        </w:rPr>
        <w:t>G</w:t>
      </w:r>
      <w:r w:rsidR="00A2384E">
        <w:rPr>
          <w:rFonts w:ascii="Calibri" w:eastAsia="Times New Roman" w:hAnsi="Calibri" w:cs="Arial"/>
        </w:rPr>
        <w:t xml:space="preserve">overnment </w:t>
      </w:r>
      <w:r w:rsidRPr="008B3F79">
        <w:rPr>
          <w:rFonts w:ascii="Calibri" w:eastAsia="Times New Roman" w:hAnsi="Calibri" w:cs="Arial"/>
        </w:rPr>
        <w:t xml:space="preserve">top-ups to Commonwealth Government grants </w:t>
      </w:r>
      <w:r>
        <w:rPr>
          <w:rFonts w:ascii="Calibri" w:eastAsia="Times New Roman" w:hAnsi="Calibri" w:cs="Arial"/>
        </w:rPr>
        <w:t xml:space="preserve">or funding </w:t>
      </w:r>
      <w:r w:rsidRPr="008B3F79">
        <w:rPr>
          <w:rFonts w:ascii="Calibri" w:eastAsia="Times New Roman" w:hAnsi="Calibri" w:cs="Arial"/>
        </w:rPr>
        <w:t>listed at 4.2.2(w) should be included in the R&amp;D income return.</w:t>
      </w:r>
      <w:r>
        <w:rPr>
          <w:rFonts w:ascii="Calibri" w:eastAsia="Times New Roman" w:hAnsi="Calibri" w:cs="Arial"/>
        </w:rPr>
        <w:t xml:space="preserve"> </w:t>
      </w:r>
    </w:p>
    <w:p w14:paraId="04B96759" w14:textId="77777777" w:rsidR="009D347E" w:rsidRPr="00877750" w:rsidRDefault="009D347E" w:rsidP="009D347E">
      <w:pPr>
        <w:numPr>
          <w:ilvl w:val="0"/>
          <w:numId w:val="35"/>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Income derived from the provision of R&amp;D services (exclusive of GST).</w:t>
      </w:r>
    </w:p>
    <w:p w14:paraId="57BE7C73" w14:textId="77777777" w:rsidR="009D347E" w:rsidRPr="00877750" w:rsidRDefault="009D347E" w:rsidP="009D347E">
      <w:pPr>
        <w:numPr>
          <w:ilvl w:val="0"/>
          <w:numId w:val="35"/>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Travel grants where funds are provided specifically for the purpose of travel and used to enable access to a program of R&amp;D. Researchers using the funds are expected to be active participants in the R&amp;D program, rather than observers or visitors.</w:t>
      </w:r>
    </w:p>
    <w:p w14:paraId="41B92DAE" w14:textId="77777777" w:rsidR="009D347E" w:rsidRPr="00877750" w:rsidRDefault="009D347E" w:rsidP="009D347E">
      <w:pPr>
        <w:numPr>
          <w:ilvl w:val="0"/>
          <w:numId w:val="35"/>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Income derived from the investment of, and interest earned from, donations, bequests, and endowments available for the expenditure on R&amp;D.</w:t>
      </w:r>
      <w:bookmarkStart w:id="164" w:name="OLE_LINK14"/>
      <w:bookmarkStart w:id="165" w:name="OLE_LINK13"/>
    </w:p>
    <w:p w14:paraId="781A473F" w14:textId="77777777" w:rsidR="009D347E" w:rsidRPr="00877750" w:rsidRDefault="009D347E" w:rsidP="009D347E">
      <w:pPr>
        <w:numPr>
          <w:ilvl w:val="0"/>
          <w:numId w:val="35"/>
        </w:numPr>
        <w:spacing w:after="120" w:line="276" w:lineRule="auto"/>
        <w:ind w:left="714" w:hanging="357"/>
        <w:contextualSpacing/>
        <w:rPr>
          <w:rFonts w:ascii="Calibri" w:eastAsia="Times New Roman" w:hAnsi="Calibri" w:cs="Arial"/>
          <w:color w:val="000000"/>
        </w:rPr>
      </w:pPr>
      <w:r w:rsidRPr="00877750">
        <w:rPr>
          <w:rFonts w:ascii="Calibri" w:eastAsia="Times New Roman" w:hAnsi="Calibri" w:cs="Arial"/>
          <w:color w:val="000000"/>
        </w:rPr>
        <w:t xml:space="preserve">Research infrastructure income (unless excluded in </w:t>
      </w:r>
      <w:r w:rsidRPr="00877750">
        <w:rPr>
          <w:rFonts w:ascii="Calibri" w:eastAsia="Times New Roman" w:hAnsi="Calibri" w:cs="Arial"/>
          <w:b/>
          <w:bCs/>
          <w:color w:val="000000"/>
        </w:rPr>
        <w:t>section 4.2.2(g)</w:t>
      </w:r>
      <w:r w:rsidRPr="00877750">
        <w:rPr>
          <w:rFonts w:ascii="Calibri" w:eastAsia="Times New Roman" w:hAnsi="Calibri" w:cs="Arial"/>
          <w:color w:val="000000"/>
        </w:rPr>
        <w:t xml:space="preserve"> and </w:t>
      </w:r>
      <w:r w:rsidRPr="00877750">
        <w:rPr>
          <w:rFonts w:ascii="Calibri" w:eastAsia="Times New Roman" w:hAnsi="Calibri" w:cs="Arial"/>
          <w:b/>
          <w:bCs/>
          <w:color w:val="000000"/>
        </w:rPr>
        <w:t>4.2.2(x)</w:t>
      </w:r>
      <w:r>
        <w:rPr>
          <w:rFonts w:ascii="Calibri" w:eastAsia="Times New Roman" w:hAnsi="Calibri" w:cs="Arial"/>
          <w:b/>
          <w:bCs/>
          <w:color w:val="000000"/>
        </w:rPr>
        <w:t>)</w:t>
      </w:r>
      <w:r w:rsidRPr="00877750">
        <w:rPr>
          <w:rFonts w:ascii="Calibri" w:eastAsia="Times New Roman" w:hAnsi="Calibri" w:cs="Arial"/>
          <w:color w:val="000000"/>
        </w:rPr>
        <w:t xml:space="preserve"> including:</w:t>
      </w:r>
    </w:p>
    <w:p w14:paraId="232C3054" w14:textId="77777777" w:rsidR="009D347E" w:rsidRPr="00877750" w:rsidRDefault="009D347E" w:rsidP="009D347E">
      <w:pPr>
        <w:numPr>
          <w:ilvl w:val="1"/>
          <w:numId w:val="35"/>
        </w:numPr>
        <w:spacing w:after="120" w:line="276" w:lineRule="auto"/>
        <w:contextualSpacing/>
        <w:rPr>
          <w:rFonts w:ascii="Calibri" w:eastAsia="Times New Roman" w:hAnsi="Calibri" w:cs="Arial"/>
          <w:color w:val="000000"/>
        </w:rPr>
      </w:pPr>
      <w:r w:rsidRPr="00877750">
        <w:rPr>
          <w:rFonts w:ascii="Calibri" w:eastAsia="Times New Roman" w:hAnsi="Calibri" w:cs="Arial"/>
          <w:color w:val="000000"/>
        </w:rPr>
        <w:t xml:space="preserve">funding for equipment purchase, installation, maintenance, hire and </w:t>
      </w:r>
      <w:proofErr w:type="gramStart"/>
      <w:r w:rsidRPr="00877750">
        <w:rPr>
          <w:rFonts w:ascii="Calibri" w:eastAsia="Times New Roman" w:hAnsi="Calibri" w:cs="Arial"/>
          <w:color w:val="000000"/>
        </w:rPr>
        <w:t>lease</w:t>
      </w:r>
      <w:proofErr w:type="gramEnd"/>
      <w:r w:rsidRPr="00877750">
        <w:rPr>
          <w:rFonts w:ascii="Calibri" w:eastAsia="Times New Roman" w:hAnsi="Calibri" w:cs="Arial"/>
          <w:color w:val="000000"/>
        </w:rPr>
        <w:t xml:space="preserve"> </w:t>
      </w:r>
    </w:p>
    <w:p w14:paraId="7146C47B" w14:textId="77777777" w:rsidR="009D347E" w:rsidRPr="00877750" w:rsidRDefault="009D347E" w:rsidP="009D347E">
      <w:pPr>
        <w:numPr>
          <w:ilvl w:val="1"/>
          <w:numId w:val="35"/>
        </w:numPr>
        <w:spacing w:after="120" w:line="276" w:lineRule="auto"/>
        <w:contextualSpacing/>
        <w:rPr>
          <w:rFonts w:ascii="Calibri" w:eastAsia="Times New Roman" w:hAnsi="Calibri" w:cs="Arial"/>
          <w:color w:val="000000"/>
        </w:rPr>
      </w:pPr>
      <w:r w:rsidRPr="00877750">
        <w:rPr>
          <w:rFonts w:ascii="Calibri" w:eastAsia="Times New Roman" w:hAnsi="Calibri" w:cs="Arial"/>
          <w:color w:val="000000"/>
        </w:rPr>
        <w:t xml:space="preserve">non-capital aspects </w:t>
      </w:r>
      <w:r w:rsidRPr="00877750" w:rsidDel="00AD4A01">
        <w:rPr>
          <w:rFonts w:ascii="Calibri" w:eastAsia="Times New Roman" w:hAnsi="Calibri" w:cs="Arial"/>
          <w:color w:val="000000"/>
        </w:rPr>
        <w:t xml:space="preserve">of </w:t>
      </w:r>
      <w:r w:rsidRPr="00877750">
        <w:rPr>
          <w:rFonts w:ascii="Calibri" w:eastAsia="Times New Roman" w:hAnsi="Calibri" w:cs="Arial"/>
          <w:color w:val="000000"/>
        </w:rPr>
        <w:t xml:space="preserve">facilities, for example laboratories, libraries, computing centres, animal houses, herbaria, and experimental farms; and </w:t>
      </w:r>
    </w:p>
    <w:p w14:paraId="42EC84D7" w14:textId="77777777" w:rsidR="009D347E" w:rsidRPr="00877750" w:rsidRDefault="009D347E" w:rsidP="009D347E">
      <w:pPr>
        <w:numPr>
          <w:ilvl w:val="1"/>
          <w:numId w:val="35"/>
        </w:numPr>
        <w:spacing w:after="120" w:line="276" w:lineRule="auto"/>
        <w:contextualSpacing/>
        <w:rPr>
          <w:rFonts w:ascii="Calibri" w:eastAsia="Times New Roman" w:hAnsi="Calibri" w:cs="Arial"/>
          <w:color w:val="000000"/>
        </w:rPr>
      </w:pPr>
      <w:r w:rsidRPr="00877750">
        <w:rPr>
          <w:rFonts w:ascii="Calibri" w:eastAsia="Times New Roman" w:hAnsi="Calibri" w:cs="Arial"/>
          <w:color w:val="000000"/>
        </w:rPr>
        <w:t>grants for specific and specialised equipment used for the conduct of R&amp;D.</w:t>
      </w:r>
    </w:p>
    <w:bookmarkEnd w:id="164"/>
    <w:bookmarkEnd w:id="165"/>
    <w:p w14:paraId="06B10426" w14:textId="77777777" w:rsidR="009D347E" w:rsidRPr="00877750" w:rsidRDefault="009D347E" w:rsidP="009D347E">
      <w:pPr>
        <w:numPr>
          <w:ilvl w:val="0"/>
          <w:numId w:val="35"/>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Income from non-Australian HEPs provided specifically for the conduct of R&amp;D.</w:t>
      </w:r>
    </w:p>
    <w:p w14:paraId="4FF8E9B0" w14:textId="77777777" w:rsidR="009D347E" w:rsidRPr="00877750" w:rsidRDefault="009D347E" w:rsidP="009D347E">
      <w:pPr>
        <w:numPr>
          <w:ilvl w:val="0"/>
          <w:numId w:val="35"/>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Income received in support of the R&amp;D activities and training of HDR students enrolled at the HEP. This includes funds providing the cost of a student’s HDR fee-paying place but excludes HDR student fee income paid by the student, Commonwealth supported places, places funded by the Research Training Program (RTP), or funding provided through the Research Support Program (RSP), including where universities use RSP funding to support a HDR student place. </w:t>
      </w:r>
    </w:p>
    <w:p w14:paraId="1B29F482" w14:textId="77777777" w:rsidR="009D347E" w:rsidRPr="00877750" w:rsidRDefault="009D347E" w:rsidP="009D347E">
      <w:pPr>
        <w:numPr>
          <w:ilvl w:val="0"/>
          <w:numId w:val="35"/>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When a HEP receives income (such as a general or untied grant or a multi-purpose industry contract) that provides for activities other than R&amp;D, the HEP may report the proportion of that grant that can be clearly and transparently attributed to the direct costs of conducting R&amp;D.</w:t>
      </w:r>
    </w:p>
    <w:p w14:paraId="3395E476" w14:textId="77777777" w:rsidR="009D347E" w:rsidRPr="00877750" w:rsidRDefault="009D347E" w:rsidP="00210F56">
      <w:pPr>
        <w:pStyle w:val="Heading3"/>
        <w:rPr>
          <w:rFonts w:eastAsia="Times New Roman"/>
        </w:rPr>
      </w:pPr>
      <w:bookmarkStart w:id="166" w:name="_7.3_Research_income"/>
      <w:bookmarkStart w:id="167" w:name="_Toc168817207"/>
      <w:bookmarkStart w:id="168" w:name="_Toc168824826"/>
      <w:bookmarkStart w:id="169" w:name="_Research_income_which"/>
      <w:bookmarkStart w:id="170" w:name="_Toc96678054"/>
      <w:bookmarkStart w:id="171" w:name="_Toc112733797"/>
      <w:bookmarkStart w:id="172" w:name="_Toc112734007"/>
      <w:bookmarkStart w:id="173" w:name="_Ref114289615"/>
      <w:bookmarkStart w:id="174" w:name="_Ref114289632"/>
      <w:bookmarkStart w:id="175" w:name="_Toc116182984"/>
      <w:bookmarkStart w:id="176" w:name="_Ref216077597"/>
      <w:bookmarkStart w:id="177" w:name="_Toc251924127"/>
      <w:bookmarkStart w:id="178" w:name="OLE_LINK23"/>
      <w:bookmarkStart w:id="179" w:name="OLE_LINK24"/>
      <w:bookmarkStart w:id="180" w:name="_Toc406668876"/>
      <w:bookmarkStart w:id="181" w:name="_Toc406669259"/>
      <w:bookmarkStart w:id="182" w:name="_Toc523214678"/>
      <w:bookmarkStart w:id="183" w:name="_Toc27055360"/>
      <w:bookmarkStart w:id="184" w:name="_Toc81230912"/>
      <w:bookmarkStart w:id="185" w:name="_Toc92461287"/>
      <w:bookmarkStart w:id="186" w:name="_Toc147503822"/>
      <w:bookmarkStart w:id="187" w:name="_Toc155863409"/>
      <w:bookmarkEnd w:id="166"/>
      <w:bookmarkEnd w:id="167"/>
      <w:bookmarkEnd w:id="168"/>
      <w:bookmarkEnd w:id="169"/>
      <w:r w:rsidRPr="00877750">
        <w:rPr>
          <w:rFonts w:eastAsia="Times New Roman"/>
        </w:rPr>
        <w:t>4.2.2</w:t>
      </w:r>
      <w:r w:rsidRPr="00877750">
        <w:rPr>
          <w:rFonts w:eastAsia="Times New Roman"/>
        </w:rPr>
        <w:tab/>
        <w:t>R</w:t>
      </w:r>
      <w:bookmarkStart w:id="188" w:name="_Hlk113365802"/>
      <w:r w:rsidRPr="00877750">
        <w:rPr>
          <w:rFonts w:eastAsia="Times New Roman"/>
        </w:rPr>
        <w:t>&amp;D income that is excluded in the R&amp;D income return</w:t>
      </w:r>
      <w:bookmarkEnd w:id="170"/>
      <w:bookmarkEnd w:id="171"/>
      <w:bookmarkEnd w:id="172"/>
      <w:bookmarkEnd w:id="173"/>
      <w:bookmarkEnd w:id="174"/>
      <w:bookmarkEnd w:id="175"/>
      <w:bookmarkEnd w:id="176"/>
      <w:bookmarkEnd w:id="177"/>
      <w:bookmarkEnd w:id="178"/>
      <w:bookmarkEnd w:id="179"/>
      <w:bookmarkEnd w:id="180"/>
      <w:bookmarkEnd w:id="181"/>
      <w:r w:rsidRPr="00877750">
        <w:rPr>
          <w:rFonts w:eastAsia="Times New Roman"/>
        </w:rPr>
        <w:t xml:space="preserve"> </w:t>
      </w:r>
      <w:bookmarkEnd w:id="188"/>
      <w:r w:rsidRPr="00877750">
        <w:rPr>
          <w:rFonts w:eastAsia="Times New Roman"/>
        </w:rPr>
        <w:t>comprises:</w:t>
      </w:r>
      <w:bookmarkEnd w:id="182"/>
      <w:bookmarkEnd w:id="183"/>
      <w:bookmarkEnd w:id="184"/>
      <w:bookmarkEnd w:id="185"/>
      <w:bookmarkEnd w:id="186"/>
      <w:bookmarkEnd w:id="187"/>
    </w:p>
    <w:p w14:paraId="186A566A" w14:textId="77777777" w:rsidR="009D347E" w:rsidRPr="00877750" w:rsidRDefault="009D347E" w:rsidP="009D347E">
      <w:pPr>
        <w:keepNext/>
        <w:keepLines/>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Any income above the amount of net receipted income.</w:t>
      </w:r>
    </w:p>
    <w:p w14:paraId="4281E84A"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GST amounts.</w:t>
      </w:r>
    </w:p>
    <w:p w14:paraId="0CB9392D"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Any interest income accruing to R&amp;D grants, </w:t>
      </w:r>
      <w:proofErr w:type="gramStart"/>
      <w:r w:rsidRPr="00877750">
        <w:rPr>
          <w:rFonts w:ascii="Calibri" w:eastAsia="Times New Roman" w:hAnsi="Calibri" w:cs="Arial"/>
        </w:rPr>
        <w:t>contracts</w:t>
      </w:r>
      <w:proofErr w:type="gramEnd"/>
      <w:r w:rsidRPr="00877750">
        <w:rPr>
          <w:rFonts w:ascii="Calibri" w:eastAsia="Times New Roman" w:hAnsi="Calibri" w:cs="Arial"/>
        </w:rPr>
        <w:t xml:space="preserve"> and consultancies.</w:t>
      </w:r>
    </w:p>
    <w:p w14:paraId="38D3221B"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Any interest income received from donations, </w:t>
      </w:r>
      <w:proofErr w:type="gramStart"/>
      <w:r w:rsidRPr="00877750">
        <w:rPr>
          <w:rFonts w:ascii="Calibri" w:eastAsia="Times New Roman" w:hAnsi="Calibri" w:cs="Arial"/>
        </w:rPr>
        <w:t>bequests</w:t>
      </w:r>
      <w:proofErr w:type="gramEnd"/>
      <w:r w:rsidRPr="00877750">
        <w:rPr>
          <w:rFonts w:ascii="Calibri" w:eastAsia="Times New Roman" w:hAnsi="Calibri" w:cs="Arial"/>
        </w:rPr>
        <w:t xml:space="preserve"> and endowments unless expressly for the purposes of R&amp;D.</w:t>
      </w:r>
    </w:p>
    <w:p w14:paraId="16D02679"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Any in kind contributions to grants, </w:t>
      </w:r>
      <w:proofErr w:type="gramStart"/>
      <w:r w:rsidRPr="00877750">
        <w:rPr>
          <w:rFonts w:ascii="Calibri" w:eastAsia="Times New Roman" w:hAnsi="Calibri" w:cs="Arial"/>
        </w:rPr>
        <w:t>contracts</w:t>
      </w:r>
      <w:proofErr w:type="gramEnd"/>
      <w:r w:rsidRPr="00877750">
        <w:rPr>
          <w:rFonts w:ascii="Calibri" w:eastAsia="Times New Roman" w:hAnsi="Calibri" w:cs="Arial"/>
        </w:rPr>
        <w:t xml:space="preserve"> and other enforceable agreements.</w:t>
      </w:r>
    </w:p>
    <w:p w14:paraId="4A60C06E"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lastRenderedPageBreak/>
        <w:t>Cash contributions made to a HEP on condition that the HEP use these contributions to purchase goods or services from a CRC or other funding provider; such arrangements are regarded as in-kind contributions.</w:t>
      </w:r>
    </w:p>
    <w:p w14:paraId="7CC318F2"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Capital grants.</w:t>
      </w:r>
      <w:r w:rsidRPr="00877750">
        <w:rPr>
          <w:rFonts w:ascii="Times New Roman" w:eastAsia="Times New Roman" w:hAnsi="Times New Roman" w:cs="Times New Roman"/>
          <w:vertAlign w:val="superscript"/>
        </w:rPr>
        <w:footnoteReference w:id="14"/>
      </w:r>
    </w:p>
    <w:p w14:paraId="63A0E5B6" w14:textId="77777777" w:rsidR="009D347E" w:rsidRPr="00A90935"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Any R&amp;D income received by the HEP from a subsidiary or any independent HEP operations that do not meet the definition of a subsidiary provided </w:t>
      </w:r>
      <w:r w:rsidRPr="00A90935">
        <w:rPr>
          <w:rFonts w:ascii="Calibri" w:eastAsia="Times New Roman" w:hAnsi="Calibri" w:cs="Arial"/>
        </w:rPr>
        <w:t xml:space="preserve">at </w:t>
      </w:r>
      <w:r w:rsidRPr="00A90935">
        <w:rPr>
          <w:rFonts w:ascii="Calibri" w:eastAsia="Times New Roman" w:hAnsi="Calibri" w:cs="Arial"/>
          <w:b/>
        </w:rPr>
        <w:t>4.3.1(a).</w:t>
      </w:r>
    </w:p>
    <w:p w14:paraId="2E99633D"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Any R&amp;D income received by the HEP from any other Australian HEP or its subsidiaries except in respect of shared R&amp;D income (</w:t>
      </w:r>
      <w:bookmarkStart w:id="189" w:name="OLE_LINK18"/>
      <w:bookmarkStart w:id="190" w:name="OLE_LINK17"/>
      <w:r w:rsidRPr="00877750">
        <w:rPr>
          <w:rFonts w:ascii="Calibri" w:eastAsia="Times New Roman" w:hAnsi="Calibri" w:cs="Arial"/>
        </w:rPr>
        <w:t xml:space="preserve">in accordance with </w:t>
      </w:r>
      <w:bookmarkEnd w:id="189"/>
      <w:bookmarkEnd w:id="190"/>
      <w:r w:rsidRPr="00877750">
        <w:rPr>
          <w:rFonts w:ascii="Calibri" w:eastAsia="Times New Roman" w:hAnsi="Calibri" w:cs="Arial"/>
          <w:b/>
          <w:bCs/>
        </w:rPr>
        <w:t>section 4.3</w:t>
      </w:r>
      <w:r w:rsidRPr="00877750">
        <w:rPr>
          <w:rFonts w:ascii="Calibri" w:eastAsia="Times New Roman" w:hAnsi="Calibri" w:cs="Arial"/>
        </w:rPr>
        <w:t xml:space="preserve">) or transfers (in accordance with </w:t>
      </w:r>
      <w:r w:rsidRPr="00877750">
        <w:rPr>
          <w:rFonts w:ascii="Calibri" w:eastAsia="Times New Roman" w:hAnsi="Calibri" w:cs="Arial"/>
          <w:b/>
          <w:bCs/>
        </w:rPr>
        <w:t>section 4.4</w:t>
      </w:r>
      <w:r w:rsidRPr="00877750">
        <w:rPr>
          <w:rFonts w:ascii="Calibri" w:eastAsia="Times New Roman" w:hAnsi="Calibri" w:cs="Arial"/>
        </w:rPr>
        <w:t>).</w:t>
      </w:r>
    </w:p>
    <w:p w14:paraId="4D80F91F"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Any income received by a HEP or its subsidiaries from the sale of non-financial assets, even if that income is to be expended on R&amp;D at the HEP’s discretion.</w:t>
      </w:r>
    </w:p>
    <w:p w14:paraId="67E1EB8F"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Any income received by a HEP or its subsidiaries for the rental and use of its facilities and accommodation, even if this is related to the conduct of R&amp;D.</w:t>
      </w:r>
    </w:p>
    <w:p w14:paraId="6116A9DC"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Any third-party income except for those instances specified in </w:t>
      </w:r>
      <w:r w:rsidRPr="00877750">
        <w:rPr>
          <w:rFonts w:ascii="Calibri" w:eastAsia="Times New Roman" w:hAnsi="Calibri" w:cs="Arial"/>
          <w:b/>
        </w:rPr>
        <w:t>section 4.3.</w:t>
      </w:r>
    </w:p>
    <w:p w14:paraId="3D7F3FC1"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bookmarkStart w:id="191" w:name="OLE_LINK28"/>
      <w:bookmarkStart w:id="192" w:name="OLE_LINK27"/>
      <w:r w:rsidRPr="00877750">
        <w:rPr>
          <w:rFonts w:ascii="Calibri" w:eastAsia="Times New Roman" w:hAnsi="Calibri" w:cs="Arial"/>
        </w:rPr>
        <w:t>Funds provided to the personal accounts of HEP staff, or funds used by a CRC to purchase goods or services for use by the HEP.</w:t>
      </w:r>
    </w:p>
    <w:p w14:paraId="55BD98FE"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Any scholarships or grants that are provided by the HEP for its own HDR students.</w:t>
      </w:r>
    </w:p>
    <w:p w14:paraId="65A325DB"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Income received by students or by HEPs on behalf of students, for the R&amp;D component of a degree that is not a </w:t>
      </w:r>
      <w:proofErr w:type="gramStart"/>
      <w:r w:rsidRPr="00877750">
        <w:rPr>
          <w:rFonts w:ascii="Calibri" w:eastAsia="Times New Roman" w:hAnsi="Calibri" w:cs="Arial"/>
        </w:rPr>
        <w:t>masters</w:t>
      </w:r>
      <w:proofErr w:type="gramEnd"/>
      <w:r w:rsidRPr="00877750">
        <w:rPr>
          <w:rFonts w:ascii="Calibri" w:eastAsia="Times New Roman" w:hAnsi="Calibri" w:cs="Arial"/>
        </w:rPr>
        <w:t xml:space="preserve"> by research or doctorate by research, including externally funded scholarships or stipends.</w:t>
      </w:r>
    </w:p>
    <w:p w14:paraId="3EF03DBE" w14:textId="77777777" w:rsidR="009D347E" w:rsidRPr="00877750" w:rsidRDefault="009D347E" w:rsidP="009D347E">
      <w:pPr>
        <w:keepNext/>
        <w:keepLines/>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HDR student fee income.</w:t>
      </w:r>
    </w:p>
    <w:p w14:paraId="217D6D2E" w14:textId="77777777" w:rsidR="009D347E" w:rsidRPr="00877750" w:rsidRDefault="009D347E" w:rsidP="009D347E">
      <w:pPr>
        <w:keepNext/>
        <w:keepLines/>
        <w:numPr>
          <w:ilvl w:val="0"/>
          <w:numId w:val="36"/>
        </w:numPr>
        <w:tabs>
          <w:tab w:val="left" w:pos="720"/>
        </w:tabs>
        <w:spacing w:after="120" w:line="276" w:lineRule="auto"/>
        <w:contextualSpacing/>
        <w:rPr>
          <w:rFonts w:ascii="Calibri" w:eastAsia="Times New Roman" w:hAnsi="Calibri" w:cs="Arial"/>
        </w:rPr>
      </w:pPr>
      <w:bookmarkStart w:id="193" w:name="OLE_LINK9"/>
      <w:bookmarkStart w:id="194" w:name="OLE_LINK6"/>
      <w:bookmarkEnd w:id="191"/>
      <w:bookmarkEnd w:id="192"/>
      <w:r w:rsidRPr="00877750">
        <w:rPr>
          <w:rFonts w:ascii="Calibri" w:eastAsia="Times New Roman" w:hAnsi="Calibri" w:cs="Arial"/>
        </w:rPr>
        <w:t>Income received from a multi-purpose contract or other enforceable agreement that cannot be clearly attributed to the direct costs of conducting R&amp;D, even if the income was provided for R&amp;D</w:t>
      </w:r>
      <w:bookmarkEnd w:id="193"/>
      <w:bookmarkEnd w:id="194"/>
      <w:r w:rsidRPr="00877750">
        <w:rPr>
          <w:rFonts w:ascii="Calibri" w:eastAsia="Times New Roman" w:hAnsi="Calibri" w:cs="Arial"/>
        </w:rPr>
        <w:t>.</w:t>
      </w:r>
    </w:p>
    <w:p w14:paraId="63D2384E" w14:textId="77777777" w:rsidR="009D347E" w:rsidRPr="00877750"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Income received from a government grant, </w:t>
      </w:r>
      <w:proofErr w:type="gramStart"/>
      <w:r w:rsidRPr="00877750">
        <w:rPr>
          <w:rFonts w:ascii="Calibri" w:eastAsia="Times New Roman" w:hAnsi="Calibri" w:cs="Arial"/>
        </w:rPr>
        <w:t>contract</w:t>
      </w:r>
      <w:proofErr w:type="gramEnd"/>
      <w:r w:rsidRPr="00877750">
        <w:rPr>
          <w:rFonts w:ascii="Calibri" w:eastAsia="Times New Roman" w:hAnsi="Calibri" w:cs="Arial"/>
        </w:rPr>
        <w:t xml:space="preserve"> or other enforceable agreement for a specific purpose other than R&amp;D (such as teaching), even if a proportion of that income is expended on R&amp;D at the HEP’s discretion.</w:t>
      </w:r>
    </w:p>
    <w:p w14:paraId="12C6E3D4" w14:textId="77777777" w:rsidR="009D347E" w:rsidRPr="00A90935" w:rsidRDefault="009D347E" w:rsidP="009D347E">
      <w:pPr>
        <w:numPr>
          <w:ilvl w:val="0"/>
          <w:numId w:val="36"/>
        </w:numPr>
        <w:tabs>
          <w:tab w:val="left" w:pos="720"/>
        </w:tabs>
        <w:spacing w:after="120" w:line="276" w:lineRule="auto"/>
        <w:contextualSpacing/>
        <w:rPr>
          <w:rFonts w:ascii="Calibri" w:eastAsia="Times New Roman" w:hAnsi="Calibri" w:cs="Arial"/>
        </w:rPr>
      </w:pPr>
      <w:r w:rsidRPr="00877750">
        <w:rPr>
          <w:rFonts w:ascii="Calibri" w:eastAsia="Times New Roman" w:hAnsi="Calibri" w:cs="Arial"/>
        </w:rPr>
        <w:t xml:space="preserve">Income </w:t>
      </w:r>
      <w:r w:rsidRPr="00A90935">
        <w:rPr>
          <w:rFonts w:ascii="Calibri" w:eastAsia="Times New Roman" w:hAnsi="Calibri" w:cs="Arial"/>
        </w:rPr>
        <w:t xml:space="preserve">provided specifically for the purpose of hosting, </w:t>
      </w:r>
      <w:proofErr w:type="gramStart"/>
      <w:r w:rsidRPr="00A90935">
        <w:rPr>
          <w:rFonts w:ascii="Calibri" w:eastAsia="Times New Roman" w:hAnsi="Calibri" w:cs="Arial"/>
        </w:rPr>
        <w:t>organising</w:t>
      </w:r>
      <w:proofErr w:type="gramEnd"/>
      <w:r w:rsidRPr="00A90935">
        <w:rPr>
          <w:rFonts w:ascii="Calibri" w:eastAsia="Times New Roman" w:hAnsi="Calibri" w:cs="Arial"/>
        </w:rPr>
        <w:t xml:space="preserve"> or attending a conference or workshop.</w:t>
      </w:r>
    </w:p>
    <w:p w14:paraId="731EE72C" w14:textId="77777777" w:rsidR="009D347E" w:rsidRPr="00A90935" w:rsidRDefault="009D347E" w:rsidP="009D347E">
      <w:pPr>
        <w:numPr>
          <w:ilvl w:val="0"/>
          <w:numId w:val="36"/>
        </w:numPr>
        <w:tabs>
          <w:tab w:val="left" w:pos="720"/>
        </w:tabs>
        <w:spacing w:after="120" w:line="276" w:lineRule="auto"/>
        <w:contextualSpacing/>
        <w:rPr>
          <w:rFonts w:ascii="Calibri" w:eastAsia="Times New Roman" w:hAnsi="Calibri" w:cs="Arial"/>
        </w:rPr>
      </w:pPr>
      <w:r w:rsidRPr="00A90935">
        <w:rPr>
          <w:rFonts w:ascii="Calibri" w:eastAsia="Times New Roman" w:hAnsi="Calibri" w:cs="Arial"/>
        </w:rPr>
        <w:t>Income provided specifically for the purpose of producing publications or teaching preparation (rather than conducting R&amp;D).</w:t>
      </w:r>
    </w:p>
    <w:p w14:paraId="039774CE" w14:textId="77777777" w:rsidR="009D347E" w:rsidRPr="00A90935" w:rsidRDefault="009D347E" w:rsidP="009D347E">
      <w:pPr>
        <w:numPr>
          <w:ilvl w:val="0"/>
          <w:numId w:val="36"/>
        </w:numPr>
        <w:tabs>
          <w:tab w:val="left" w:pos="-284"/>
        </w:tabs>
        <w:spacing w:after="120" w:line="276" w:lineRule="auto"/>
        <w:ind w:left="714" w:hanging="357"/>
        <w:contextualSpacing/>
        <w:rPr>
          <w:rFonts w:ascii="Calibri" w:eastAsia="Times New Roman" w:hAnsi="Calibri" w:cs="Arial"/>
        </w:rPr>
      </w:pPr>
      <w:r w:rsidRPr="00A90935">
        <w:rPr>
          <w:rFonts w:ascii="Calibri" w:eastAsia="Times New Roman" w:hAnsi="Calibri" w:cs="Arial"/>
        </w:rPr>
        <w:t>Any income received by the HEP for undertaking any type of R&amp;D peer review activity.</w:t>
      </w:r>
    </w:p>
    <w:p w14:paraId="6468B303" w14:textId="77777777" w:rsidR="009D347E" w:rsidRPr="00A90935" w:rsidRDefault="009D347E" w:rsidP="009D347E">
      <w:pPr>
        <w:numPr>
          <w:ilvl w:val="0"/>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Department of Education grants or funding from the following programs:</w:t>
      </w:r>
    </w:p>
    <w:p w14:paraId="1FA8726D"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Commonwealth Grant Scheme (Commonwealth supported places)</w:t>
      </w:r>
    </w:p>
    <w:p w14:paraId="1C3A8E80" w14:textId="77777777" w:rsidR="009D347E"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 xml:space="preserve">National Priorities and Industry Linkage </w:t>
      </w:r>
      <w:r>
        <w:rPr>
          <w:rFonts w:ascii="Calibri" w:eastAsia="Times New Roman" w:hAnsi="Calibri" w:cs="Arial"/>
        </w:rPr>
        <w:t>F</w:t>
      </w:r>
      <w:r w:rsidRPr="00A90935">
        <w:rPr>
          <w:rFonts w:ascii="Calibri" w:eastAsia="Times New Roman" w:hAnsi="Calibri" w:cs="Arial"/>
        </w:rPr>
        <w:t>und</w:t>
      </w:r>
    </w:p>
    <w:p w14:paraId="0D79823F" w14:textId="77777777" w:rsidR="009D347E"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Regional Research Collaboration Program</w:t>
      </w:r>
    </w:p>
    <w:p w14:paraId="098651C7" w14:textId="77777777" w:rsidR="009D347E"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Research Support Progra</w:t>
      </w:r>
      <w:r>
        <w:rPr>
          <w:rFonts w:ascii="Calibri" w:eastAsia="Times New Roman" w:hAnsi="Calibri" w:cs="Arial"/>
        </w:rPr>
        <w:t>m</w:t>
      </w:r>
    </w:p>
    <w:p w14:paraId="00FBFD30" w14:textId="77777777" w:rsidR="009D347E" w:rsidRPr="000A72E3"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0A72E3">
        <w:rPr>
          <w:rFonts w:ascii="Calibri" w:eastAsia="Times New Roman" w:hAnsi="Calibri" w:cs="Arial"/>
        </w:rPr>
        <w:t>Strategic University Reform Fund</w:t>
      </w:r>
    </w:p>
    <w:p w14:paraId="5E2CCF43" w14:textId="77777777" w:rsidR="009D347E" w:rsidRPr="00A90935" w:rsidRDefault="009D347E" w:rsidP="009D347E">
      <w:pPr>
        <w:numPr>
          <w:ilvl w:val="0"/>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 xml:space="preserve">Commonwealth Government grants or funding that provide stipend or scholarship support for HDR students </w:t>
      </w:r>
      <w:r>
        <w:rPr>
          <w:rFonts w:ascii="Calibri" w:eastAsia="Times New Roman" w:hAnsi="Calibri" w:cs="Arial"/>
        </w:rPr>
        <w:t xml:space="preserve">from </w:t>
      </w:r>
      <w:r w:rsidRPr="00A90935">
        <w:rPr>
          <w:rFonts w:ascii="Calibri" w:eastAsia="Times New Roman" w:hAnsi="Calibri" w:cs="Arial"/>
        </w:rPr>
        <w:t>the following programs:</w:t>
      </w:r>
    </w:p>
    <w:p w14:paraId="7818195A"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Commonwealth Scholarships Program for South Australia</w:t>
      </w:r>
    </w:p>
    <w:p w14:paraId="4F917919"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lastRenderedPageBreak/>
        <w:t>Destination Australia scholarships</w:t>
      </w:r>
    </w:p>
    <w:p w14:paraId="1ADF8109"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 xml:space="preserve">Endeavour scholarships, </w:t>
      </w:r>
      <w:proofErr w:type="gramStart"/>
      <w:r w:rsidRPr="00A90935">
        <w:rPr>
          <w:rFonts w:ascii="Calibri" w:eastAsia="Times New Roman" w:hAnsi="Calibri" w:cs="Arial"/>
        </w:rPr>
        <w:t>fellowships</w:t>
      </w:r>
      <w:proofErr w:type="gramEnd"/>
      <w:r w:rsidRPr="00A90935">
        <w:rPr>
          <w:rFonts w:ascii="Calibri" w:eastAsia="Times New Roman" w:hAnsi="Calibri" w:cs="Arial"/>
        </w:rPr>
        <w:t xml:space="preserve"> and grants</w:t>
      </w:r>
    </w:p>
    <w:p w14:paraId="0B65FEA7" w14:textId="4126EC13"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 xml:space="preserve">National Industry PhD </w:t>
      </w:r>
      <w:r w:rsidR="004163C4">
        <w:rPr>
          <w:rFonts w:ascii="Calibri" w:eastAsia="Times New Roman" w:hAnsi="Calibri" w:cs="Arial"/>
        </w:rPr>
        <w:t>P</w:t>
      </w:r>
      <w:r w:rsidRPr="00A90935">
        <w:rPr>
          <w:rFonts w:ascii="Calibri" w:eastAsia="Times New Roman" w:hAnsi="Calibri" w:cs="Arial"/>
        </w:rPr>
        <w:t>rogram</w:t>
      </w:r>
    </w:p>
    <w:p w14:paraId="62E711FA"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Research Training Program</w:t>
      </w:r>
    </w:p>
    <w:p w14:paraId="55A97E55" w14:textId="77777777" w:rsidR="009D347E" w:rsidRPr="005007B2"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Rural and Regional Enterprise Scholarships.</w:t>
      </w:r>
    </w:p>
    <w:p w14:paraId="62606CE7" w14:textId="77777777" w:rsidR="009D347E" w:rsidRPr="00A90935" w:rsidRDefault="009D347E" w:rsidP="009D347E">
      <w:pPr>
        <w:numPr>
          <w:ilvl w:val="0"/>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 xml:space="preserve">Commonwealth Government grants or funding that supports research infrastructure </w:t>
      </w:r>
      <w:r>
        <w:rPr>
          <w:rFonts w:ascii="Calibri" w:eastAsia="Times New Roman" w:hAnsi="Calibri" w:cs="Arial"/>
        </w:rPr>
        <w:br/>
      </w:r>
      <w:r w:rsidRPr="00A90935">
        <w:rPr>
          <w:rFonts w:ascii="Calibri" w:eastAsia="Times New Roman" w:hAnsi="Calibri" w:cs="Arial"/>
        </w:rPr>
        <w:t>(refer 4.2.1(e))</w:t>
      </w:r>
      <w:r>
        <w:rPr>
          <w:rFonts w:ascii="Calibri" w:eastAsia="Times New Roman" w:hAnsi="Calibri" w:cs="Arial"/>
        </w:rPr>
        <w:t xml:space="preserve"> from </w:t>
      </w:r>
      <w:r w:rsidRPr="00A90935">
        <w:rPr>
          <w:rFonts w:ascii="Calibri" w:eastAsia="Times New Roman" w:hAnsi="Calibri" w:cs="Arial"/>
        </w:rPr>
        <w:t>the following programs:</w:t>
      </w:r>
    </w:p>
    <w:p w14:paraId="283EB495" w14:textId="77777777" w:rsidR="009D347E"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Australian Research Council (ARC) Linkage-Infrastructure, Equipment and Facilities (including cash contributions from other sources)</w:t>
      </w:r>
    </w:p>
    <w:p w14:paraId="49434CE0" w14:textId="77777777" w:rsidR="00A2384E" w:rsidRPr="00A90935" w:rsidRDefault="00A2384E" w:rsidP="00A2384E">
      <w:pPr>
        <w:numPr>
          <w:ilvl w:val="1"/>
          <w:numId w:val="36"/>
        </w:numPr>
        <w:tabs>
          <w:tab w:val="left" w:pos="-284"/>
        </w:tabs>
        <w:spacing w:after="120" w:line="276" w:lineRule="auto"/>
        <w:ind w:hanging="357"/>
        <w:contextualSpacing/>
        <w:rPr>
          <w:rFonts w:ascii="Calibri" w:eastAsia="Times New Roman" w:hAnsi="Calibri" w:cs="Arial"/>
        </w:rPr>
      </w:pPr>
      <w:r>
        <w:rPr>
          <w:rFonts w:ascii="Calibri" w:eastAsia="Times New Roman" w:hAnsi="Calibri" w:cs="Arial"/>
        </w:rPr>
        <w:t xml:space="preserve">MRFF </w:t>
      </w:r>
      <w:r w:rsidRPr="002213D5">
        <w:rPr>
          <w:rFonts w:ascii="Calibri" w:eastAsia="Times New Roman" w:hAnsi="Calibri" w:cs="Arial"/>
        </w:rPr>
        <w:t>Research Data Infrastructure initiative</w:t>
      </w:r>
    </w:p>
    <w:p w14:paraId="57FE13AC" w14:textId="77777777" w:rsidR="003055CD" w:rsidRPr="00A90935" w:rsidRDefault="003055CD" w:rsidP="003055CD">
      <w:pPr>
        <w:numPr>
          <w:ilvl w:val="1"/>
          <w:numId w:val="36"/>
        </w:numPr>
        <w:tabs>
          <w:tab w:val="left" w:pos="-284"/>
        </w:tabs>
        <w:spacing w:after="120" w:line="276" w:lineRule="auto"/>
        <w:ind w:hanging="357"/>
        <w:contextualSpacing/>
        <w:rPr>
          <w:rFonts w:ascii="Calibri" w:eastAsia="Times New Roman" w:hAnsi="Calibri" w:cs="Arial"/>
        </w:rPr>
      </w:pPr>
      <w:r>
        <w:rPr>
          <w:rFonts w:ascii="Calibri" w:eastAsia="Times New Roman" w:hAnsi="Calibri" w:cs="Arial"/>
        </w:rPr>
        <w:t xml:space="preserve">MRFF </w:t>
      </w:r>
      <w:r w:rsidRPr="00A90935">
        <w:rPr>
          <w:rFonts w:ascii="Calibri" w:eastAsia="Times New Roman" w:hAnsi="Calibri" w:cs="Arial"/>
        </w:rPr>
        <w:t>National Critical Research Infrastructure</w:t>
      </w:r>
    </w:p>
    <w:p w14:paraId="5E8A76FD" w14:textId="2671877C"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National Collaborative Research Infrastructure Strategy (including cash contributions from other sources)</w:t>
      </w:r>
    </w:p>
    <w:p w14:paraId="0103C0A0"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National Computational Infrastructure</w:t>
      </w:r>
    </w:p>
    <w:p w14:paraId="37ABB794" w14:textId="77777777" w:rsidR="009D347E" w:rsidRPr="00A90935" w:rsidRDefault="009D347E" w:rsidP="009D347E">
      <w:pPr>
        <w:numPr>
          <w:ilvl w:val="1"/>
          <w:numId w:val="36"/>
        </w:numPr>
        <w:tabs>
          <w:tab w:val="left" w:pos="-284"/>
        </w:tabs>
        <w:spacing w:after="120" w:line="276" w:lineRule="auto"/>
        <w:ind w:hanging="357"/>
        <w:contextualSpacing/>
        <w:rPr>
          <w:rFonts w:ascii="Calibri" w:eastAsia="Times New Roman" w:hAnsi="Calibri" w:cs="Arial"/>
        </w:rPr>
      </w:pPr>
      <w:r w:rsidRPr="00A90935">
        <w:rPr>
          <w:rFonts w:ascii="Calibri" w:eastAsia="Times New Roman" w:hAnsi="Calibri" w:cs="Arial"/>
        </w:rPr>
        <w:t>NHMRC Equipment Grant Scheme</w:t>
      </w:r>
    </w:p>
    <w:p w14:paraId="51AE8364" w14:textId="77777777" w:rsidR="009D347E" w:rsidRPr="00877750" w:rsidRDefault="009D347E" w:rsidP="009D347E">
      <w:pPr>
        <w:numPr>
          <w:ilvl w:val="1"/>
          <w:numId w:val="36"/>
        </w:numPr>
        <w:tabs>
          <w:tab w:val="left" w:pos="-284"/>
        </w:tabs>
        <w:spacing w:after="120" w:line="276" w:lineRule="auto"/>
        <w:ind w:hanging="357"/>
        <w:rPr>
          <w:rFonts w:ascii="Calibri" w:eastAsia="Times New Roman" w:hAnsi="Calibri" w:cs="Arial"/>
          <w:color w:val="000000"/>
        </w:rPr>
      </w:pPr>
      <w:r w:rsidRPr="00877750">
        <w:rPr>
          <w:rFonts w:ascii="Calibri" w:eastAsia="Times New Roman" w:hAnsi="Calibri" w:cs="Arial"/>
          <w:color w:val="000000"/>
        </w:rPr>
        <w:t>NHMRC Independent Research Institutes Infrastructure Support Scheme (IRIISS) grants.</w:t>
      </w:r>
    </w:p>
    <w:p w14:paraId="2EF37496" w14:textId="77777777" w:rsidR="009D347E" w:rsidRPr="000A72E3" w:rsidRDefault="009D347E" w:rsidP="00210F56">
      <w:pPr>
        <w:pStyle w:val="Heading2"/>
        <w:rPr>
          <w:rFonts w:eastAsia="Times New Roman"/>
        </w:rPr>
      </w:pPr>
      <w:bookmarkStart w:id="195" w:name="_Toc147503823"/>
      <w:bookmarkStart w:id="196" w:name="_Toc155863410"/>
      <w:r w:rsidRPr="000A72E3">
        <w:rPr>
          <w:rFonts w:eastAsia="Times New Roman"/>
        </w:rPr>
        <w:t xml:space="preserve">4.3 Income involving other </w:t>
      </w:r>
      <w:proofErr w:type="gramStart"/>
      <w:r w:rsidRPr="000A72E3">
        <w:rPr>
          <w:rFonts w:eastAsia="Times New Roman"/>
        </w:rPr>
        <w:t>parties</w:t>
      </w:r>
      <w:bookmarkEnd w:id="195"/>
      <w:bookmarkEnd w:id="196"/>
      <w:proofErr w:type="gramEnd"/>
    </w:p>
    <w:p w14:paraId="4CCC6F7D" w14:textId="77777777" w:rsidR="009D347E" w:rsidRPr="00A90935" w:rsidRDefault="009D347E" w:rsidP="009D347E">
      <w:pPr>
        <w:tabs>
          <w:tab w:val="left" w:pos="-284"/>
        </w:tabs>
        <w:spacing w:after="160"/>
        <w:ind w:right="697"/>
        <w:rPr>
          <w:rFonts w:ascii="Calibri" w:eastAsia="Times New Roman" w:hAnsi="Calibri" w:cs="Arial"/>
        </w:rPr>
      </w:pPr>
      <w:r w:rsidRPr="00A90935">
        <w:rPr>
          <w:rFonts w:ascii="Calibri" w:eastAsia="Times New Roman" w:hAnsi="Calibri" w:cs="Arial"/>
        </w:rPr>
        <w:t xml:space="preserve">The sections below detail the different types of third-party relationships and how to report eligible net receipted income in a HEP’s HERDC return. </w:t>
      </w:r>
    </w:p>
    <w:p w14:paraId="59DDF5CF" w14:textId="620BD97E" w:rsidR="009D347E" w:rsidRPr="00A90935" w:rsidRDefault="009D347E" w:rsidP="009D347E">
      <w:pPr>
        <w:tabs>
          <w:tab w:val="left" w:pos="-284"/>
        </w:tabs>
        <w:spacing w:after="160"/>
        <w:ind w:right="697"/>
        <w:rPr>
          <w:rFonts w:ascii="Calibri" w:eastAsia="Times New Roman" w:hAnsi="Calibri" w:cs="Arial"/>
        </w:rPr>
      </w:pPr>
      <w:r w:rsidRPr="00A90935">
        <w:rPr>
          <w:rFonts w:ascii="Calibri" w:eastAsia="Times New Roman" w:hAnsi="Calibri" w:cs="Arial"/>
        </w:rPr>
        <w:t xml:space="preserve">Any </w:t>
      </w:r>
      <w:r w:rsidR="00A2384E">
        <w:rPr>
          <w:rFonts w:ascii="Calibri" w:eastAsia="Times New Roman" w:hAnsi="Calibri" w:cs="Arial"/>
        </w:rPr>
        <w:t>subsidiary or affiliate</w:t>
      </w:r>
      <w:r w:rsidR="00A2384E" w:rsidRPr="00A90935">
        <w:rPr>
          <w:rFonts w:ascii="Calibri" w:eastAsia="Times New Roman" w:hAnsi="Calibri" w:cs="Arial"/>
        </w:rPr>
        <w:t xml:space="preserve"> </w:t>
      </w:r>
      <w:r w:rsidRPr="00A90935">
        <w:rPr>
          <w:rFonts w:ascii="Calibri" w:eastAsia="Times New Roman" w:hAnsi="Calibri" w:cs="Arial"/>
        </w:rPr>
        <w:t xml:space="preserve">a university reports income for via HERDC cannot be considered an eligible research research-end user for the Research Training Program (RTP) PhD industry internship weighting. </w:t>
      </w:r>
    </w:p>
    <w:p w14:paraId="332BF984" w14:textId="77777777" w:rsidR="009D347E" w:rsidRPr="00877750" w:rsidRDefault="009D347E" w:rsidP="00EF4DCF">
      <w:pPr>
        <w:pStyle w:val="Heading3"/>
        <w:rPr>
          <w:rFonts w:eastAsia="Times New Roman"/>
        </w:rPr>
      </w:pPr>
      <w:r w:rsidRPr="00877750">
        <w:rPr>
          <w:rFonts w:eastAsia="Times New Roman"/>
        </w:rPr>
        <w:t xml:space="preserve"> </w:t>
      </w:r>
      <w:bookmarkStart w:id="197" w:name="_Toc523214680"/>
      <w:bookmarkStart w:id="198" w:name="_Toc27055362"/>
      <w:bookmarkStart w:id="199" w:name="_Toc81230914"/>
      <w:bookmarkStart w:id="200" w:name="_Toc92461289"/>
      <w:bookmarkStart w:id="201" w:name="_Toc147503824"/>
      <w:bookmarkStart w:id="202" w:name="_Toc155863411"/>
      <w:r w:rsidRPr="00877750">
        <w:rPr>
          <w:rFonts w:eastAsia="Times New Roman"/>
        </w:rPr>
        <w:t>4.3.1</w:t>
      </w:r>
      <w:r w:rsidRPr="00877750">
        <w:rPr>
          <w:rFonts w:eastAsia="Times New Roman"/>
        </w:rPr>
        <w:tab/>
      </w:r>
      <w:bookmarkEnd w:id="197"/>
      <w:bookmarkEnd w:id="198"/>
      <w:bookmarkEnd w:id="199"/>
      <w:bookmarkEnd w:id="200"/>
      <w:r w:rsidRPr="00877750">
        <w:rPr>
          <w:rFonts w:eastAsia="Times New Roman"/>
        </w:rPr>
        <w:t xml:space="preserve">Eligible </w:t>
      </w:r>
      <w:r>
        <w:rPr>
          <w:rFonts w:eastAsia="Times New Roman"/>
        </w:rPr>
        <w:t>third-party</w:t>
      </w:r>
      <w:r w:rsidRPr="00877750">
        <w:rPr>
          <w:rFonts w:eastAsia="Times New Roman"/>
        </w:rPr>
        <w:t xml:space="preserve"> income</w:t>
      </w:r>
      <w:bookmarkEnd w:id="201"/>
      <w:bookmarkEnd w:id="202"/>
    </w:p>
    <w:p w14:paraId="40CD7020" w14:textId="799DC378" w:rsidR="00757D17" w:rsidRDefault="00757D17" w:rsidP="00EF4DCF">
      <w:pPr>
        <w:tabs>
          <w:tab w:val="left" w:pos="284"/>
        </w:tabs>
        <w:spacing w:before="240" w:after="0"/>
        <w:ind w:right="696"/>
        <w:rPr>
          <w:rFonts w:ascii="Calibri" w:eastAsia="Calibri" w:hAnsi="Calibri" w:cs="Times New Roman"/>
        </w:rPr>
      </w:pPr>
      <w:r>
        <w:rPr>
          <w:rFonts w:ascii="Calibri" w:eastAsia="Calibri" w:hAnsi="Calibri" w:cs="Times New Roman"/>
        </w:rPr>
        <w:t xml:space="preserve">Income received by a subsidiary or an affiliate of a HEP is third-party income that is eligible to be reported for HERDC. </w:t>
      </w:r>
      <w:r w:rsidR="00472475">
        <w:rPr>
          <w:rFonts w:ascii="Calibri" w:eastAsia="Calibri" w:hAnsi="Calibri" w:cs="Times New Roman"/>
        </w:rPr>
        <w:t>A HEP is also able to report income where they have made payments to a third party for goods and services in support of the conduct of R&amp;D under the control of the HEP.</w:t>
      </w:r>
    </w:p>
    <w:p w14:paraId="36A9798D" w14:textId="77777777" w:rsidR="009D347E" w:rsidRPr="00877750" w:rsidRDefault="009D347E" w:rsidP="009D347E">
      <w:pPr>
        <w:tabs>
          <w:tab w:val="left" w:pos="284"/>
        </w:tabs>
        <w:spacing w:before="240" w:after="120"/>
        <w:ind w:right="696"/>
        <w:rPr>
          <w:rFonts w:ascii="Calibri" w:eastAsia="Calibri" w:hAnsi="Calibri" w:cs="Times New Roman"/>
        </w:rPr>
      </w:pPr>
      <w:r w:rsidRPr="00877750">
        <w:rPr>
          <w:rFonts w:ascii="Calibri" w:eastAsia="Calibri" w:hAnsi="Calibri" w:cs="Times New Roman"/>
        </w:rPr>
        <w:t>Net receipted income is intended to identify only the income that a HEP (or its subsidiary) receives for its own R&amp;D activities.</w:t>
      </w:r>
    </w:p>
    <w:p w14:paraId="1EA8F0BD" w14:textId="77777777" w:rsidR="009D347E" w:rsidRPr="00877750" w:rsidRDefault="009D347E" w:rsidP="009D347E">
      <w:pPr>
        <w:tabs>
          <w:tab w:val="left" w:pos="284"/>
        </w:tabs>
        <w:spacing w:before="240" w:after="120"/>
        <w:ind w:right="696"/>
        <w:rPr>
          <w:rFonts w:ascii="Calibri" w:eastAsia="Calibri" w:hAnsi="Calibri" w:cs="Times New Roman"/>
        </w:rPr>
      </w:pPr>
      <w:r w:rsidRPr="00877750">
        <w:rPr>
          <w:rFonts w:ascii="Calibri" w:eastAsia="Calibri" w:hAnsi="Calibri" w:cs="Times New Roman"/>
        </w:rPr>
        <w:t xml:space="preserve">Where HEPs have </w:t>
      </w:r>
      <w:proofErr w:type="gramStart"/>
      <w:r w:rsidRPr="00877750">
        <w:rPr>
          <w:rFonts w:ascii="Calibri" w:eastAsia="Calibri" w:hAnsi="Calibri" w:cs="Times New Roman"/>
        </w:rPr>
        <w:t>entered into</w:t>
      </w:r>
      <w:proofErr w:type="gramEnd"/>
      <w:r w:rsidRPr="00877750">
        <w:rPr>
          <w:rFonts w:ascii="Calibri" w:eastAsia="Calibri" w:hAnsi="Calibri" w:cs="Times New Roman"/>
        </w:rPr>
        <w:t xml:space="preserve"> formal employment arrangements with researchers in affiliated or partner organisations (external to the HEP), income that can be reported must be net receipted income and commensurable with the employment arrangements.</w:t>
      </w:r>
    </w:p>
    <w:p w14:paraId="52284652" w14:textId="77777777" w:rsidR="009D347E" w:rsidRDefault="009D347E" w:rsidP="009D347E">
      <w:pPr>
        <w:spacing w:after="160"/>
        <w:ind w:right="696"/>
        <w:rPr>
          <w:rFonts w:ascii="Calibri" w:eastAsia="Calibri" w:hAnsi="Calibri" w:cs="Times New Roman"/>
        </w:rPr>
      </w:pPr>
      <w:r w:rsidRPr="00877750">
        <w:rPr>
          <w:rFonts w:ascii="Calibri" w:eastAsia="Calibri" w:hAnsi="Calibri" w:cs="Times New Roman"/>
        </w:rPr>
        <w:t>Employment arrangements must be bona fide. HEPs must exclude that portion of research income which is subject to cost reimbursement arrangements with affiliates or partner organisations (i.e.</w:t>
      </w:r>
      <w:r>
        <w:rPr>
          <w:rFonts w:ascii="Calibri" w:eastAsia="Calibri" w:hAnsi="Calibri" w:cs="Times New Roman"/>
        </w:rPr>
        <w:t>,</w:t>
      </w:r>
      <w:r w:rsidRPr="00877750">
        <w:rPr>
          <w:rFonts w:ascii="Calibri" w:eastAsia="Calibri" w:hAnsi="Calibri" w:cs="Times New Roman"/>
        </w:rPr>
        <w:t xml:space="preserve"> to reimburse research costs, including researcher salaries) which are not explicitly covered within a formal legal relationship between the HEP and the external organisation.</w:t>
      </w:r>
    </w:p>
    <w:p w14:paraId="3F4B7721" w14:textId="77777777" w:rsidR="003B4D16" w:rsidRPr="00877750" w:rsidRDefault="003B4D16" w:rsidP="009D347E">
      <w:pPr>
        <w:spacing w:after="160"/>
        <w:ind w:right="696"/>
        <w:rPr>
          <w:rFonts w:ascii="Calibri" w:eastAsia="Calibri" w:hAnsi="Calibri" w:cs="Times New Roman"/>
        </w:rPr>
      </w:pPr>
    </w:p>
    <w:p w14:paraId="6E1E9273" w14:textId="77777777" w:rsidR="009D347E" w:rsidRPr="00877750" w:rsidRDefault="009D347E" w:rsidP="00C02166">
      <w:pPr>
        <w:pStyle w:val="Heading5"/>
        <w:rPr>
          <w:rFonts w:eastAsia="Times New Roman"/>
        </w:rPr>
      </w:pPr>
      <w:r w:rsidRPr="00877750">
        <w:rPr>
          <w:rFonts w:eastAsia="Times New Roman"/>
        </w:rPr>
        <w:lastRenderedPageBreak/>
        <w:t>Subsidiaries</w:t>
      </w:r>
    </w:p>
    <w:p w14:paraId="25E53DBD" w14:textId="77777777" w:rsidR="009D347E" w:rsidRPr="00A90935" w:rsidRDefault="009D347E" w:rsidP="009D347E">
      <w:pPr>
        <w:spacing w:after="120"/>
        <w:ind w:right="697"/>
        <w:rPr>
          <w:rFonts w:ascii="Calibri" w:eastAsia="Times New Roman" w:hAnsi="Calibri" w:cs="Arial"/>
        </w:rPr>
      </w:pPr>
      <w:r w:rsidRPr="00A90935">
        <w:rPr>
          <w:rFonts w:ascii="Calibri" w:eastAsia="Times New Roman" w:hAnsi="Calibri" w:cs="Arial"/>
        </w:rPr>
        <w:t xml:space="preserve">Also known as controlled entities, a subsidiary is an entity under the control of a HEP. </w:t>
      </w:r>
    </w:p>
    <w:p w14:paraId="667E4E27" w14:textId="77777777" w:rsidR="009D347E" w:rsidRPr="00A90935" w:rsidRDefault="009D347E" w:rsidP="009D347E">
      <w:pPr>
        <w:spacing w:after="160"/>
        <w:ind w:right="697"/>
        <w:rPr>
          <w:rFonts w:ascii="Calibri" w:eastAsia="Times New Roman" w:hAnsi="Calibri" w:cs="Arial"/>
        </w:rPr>
      </w:pPr>
      <w:r w:rsidRPr="00A90935">
        <w:rPr>
          <w:rFonts w:ascii="Calibri" w:eastAsia="Times New Roman" w:hAnsi="Calibri" w:cs="Arial"/>
        </w:rPr>
        <w:t>Any subsidiary income reported in accordance with section 4.3 and included in a HEP’s R&amp;D income return must be reported in the ‘university’ income column of the return.</w:t>
      </w:r>
    </w:p>
    <w:p w14:paraId="16892DD9" w14:textId="77777777" w:rsidR="009D347E" w:rsidRPr="00877750" w:rsidRDefault="009D347E" w:rsidP="00C02166">
      <w:pPr>
        <w:pStyle w:val="Heading5"/>
        <w:rPr>
          <w:rFonts w:eastAsia="Times New Roman"/>
        </w:rPr>
      </w:pPr>
      <w:r w:rsidRPr="00877750">
        <w:rPr>
          <w:rFonts w:eastAsia="Times New Roman"/>
        </w:rPr>
        <w:t>Affiliates</w:t>
      </w:r>
    </w:p>
    <w:p w14:paraId="27B0A517" w14:textId="5E45F218" w:rsidR="009D347E" w:rsidRPr="00A90935" w:rsidRDefault="009D347E" w:rsidP="009D347E">
      <w:pPr>
        <w:spacing w:after="160"/>
        <w:ind w:right="697"/>
        <w:rPr>
          <w:rFonts w:ascii="Calibri" w:eastAsia="Times New Roman" w:hAnsi="Calibri" w:cs="Arial"/>
        </w:rPr>
      </w:pPr>
      <w:r w:rsidRPr="00A90935">
        <w:rPr>
          <w:rFonts w:ascii="Calibri" w:eastAsia="Times New Roman" w:hAnsi="Calibri" w:cs="Arial"/>
        </w:rPr>
        <w:t xml:space="preserve">While the individual characteristics of affiliate arrangements will vary across the sector, HEPs can report income for a research project where the HEP has a formal legal relationship with an affiliate, </w:t>
      </w:r>
      <w:r w:rsidR="00D96F7A">
        <w:rPr>
          <w:rFonts w:ascii="Calibri" w:eastAsia="Times New Roman" w:hAnsi="Calibri" w:cs="Arial"/>
        </w:rPr>
        <w:t xml:space="preserve">such as </w:t>
      </w:r>
      <w:r>
        <w:rPr>
          <w:rFonts w:ascii="Calibri" w:eastAsia="Times New Roman" w:hAnsi="Calibri" w:cs="Arial"/>
        </w:rPr>
        <w:t xml:space="preserve">a </w:t>
      </w:r>
      <w:r w:rsidRPr="00A90935">
        <w:rPr>
          <w:rFonts w:ascii="Calibri" w:eastAsia="Times New Roman" w:hAnsi="Calibri" w:cs="Arial"/>
        </w:rPr>
        <w:t>Medical Research Institute, that specifies conditions such as obligations under the underlying funding arrangements, financial arrangements, alignment of strategic research objectives, research ethics and integrity, or the responsibility for the quality of the research projects. The HEP must also be the grant recipient and the total amount of income must be net receipted income (i.e.</w:t>
      </w:r>
      <w:r>
        <w:rPr>
          <w:rFonts w:ascii="Calibri" w:eastAsia="Times New Roman" w:hAnsi="Calibri" w:cs="Arial"/>
        </w:rPr>
        <w:t>,</w:t>
      </w:r>
      <w:r w:rsidRPr="00A90935">
        <w:rPr>
          <w:rFonts w:ascii="Calibri" w:eastAsia="Times New Roman" w:hAnsi="Calibri" w:cs="Arial"/>
        </w:rPr>
        <w:t xml:space="preserve"> received, retained in the HEP’s accounting </w:t>
      </w:r>
      <w:proofErr w:type="gramStart"/>
      <w:r w:rsidRPr="00A90935">
        <w:rPr>
          <w:rFonts w:ascii="Calibri" w:eastAsia="Times New Roman" w:hAnsi="Calibri" w:cs="Arial"/>
        </w:rPr>
        <w:t>system</w:t>
      </w:r>
      <w:proofErr w:type="gramEnd"/>
      <w:r w:rsidRPr="00A90935">
        <w:rPr>
          <w:rFonts w:ascii="Calibri" w:eastAsia="Times New Roman" w:hAnsi="Calibri" w:cs="Arial"/>
        </w:rPr>
        <w:t xml:space="preserve"> and verified in the HEP’s audited financial statements). </w:t>
      </w:r>
    </w:p>
    <w:p w14:paraId="3EBA333B" w14:textId="77777777" w:rsidR="009D347E" w:rsidRPr="00A90935" w:rsidRDefault="009D347E" w:rsidP="009D347E">
      <w:pPr>
        <w:spacing w:after="160"/>
        <w:ind w:right="697"/>
        <w:rPr>
          <w:rFonts w:ascii="Calibri" w:eastAsia="Times New Roman" w:hAnsi="Calibri" w:cs="Arial"/>
        </w:rPr>
      </w:pPr>
      <w:r w:rsidRPr="00A90935">
        <w:rPr>
          <w:rFonts w:ascii="Calibri" w:eastAsia="Times New Roman" w:hAnsi="Calibri" w:cs="Arial"/>
        </w:rPr>
        <w:t>Any affiliate income reported in accordance with section 4.3 and included in a HEP’s R&amp;D income return must be reported in the ‘</w:t>
      </w:r>
      <w:r>
        <w:rPr>
          <w:rFonts w:ascii="Calibri" w:eastAsia="Times New Roman" w:hAnsi="Calibri" w:cs="Arial"/>
        </w:rPr>
        <w:t>A</w:t>
      </w:r>
      <w:r w:rsidRPr="00A90935">
        <w:rPr>
          <w:rFonts w:ascii="Calibri" w:eastAsia="Times New Roman" w:hAnsi="Calibri" w:cs="Arial"/>
        </w:rPr>
        <w:t>ffiliate’ income column of the return.</w:t>
      </w:r>
    </w:p>
    <w:p w14:paraId="084C2A0A" w14:textId="77777777" w:rsidR="009D347E" w:rsidRPr="00877750" w:rsidRDefault="009D347E" w:rsidP="00C02166">
      <w:pPr>
        <w:pStyle w:val="Heading5"/>
        <w:rPr>
          <w:rFonts w:eastAsia="Times New Roman"/>
        </w:rPr>
      </w:pPr>
      <w:bookmarkStart w:id="203" w:name="_Toc523214681"/>
      <w:bookmarkStart w:id="204" w:name="_Toc27055363"/>
      <w:bookmarkStart w:id="205" w:name="_Toc81230915"/>
      <w:bookmarkStart w:id="206" w:name="_Toc92461290"/>
      <w:r w:rsidRPr="00877750">
        <w:rPr>
          <w:rFonts w:eastAsia="Times New Roman"/>
        </w:rPr>
        <w:t>Shared income</w:t>
      </w:r>
      <w:bookmarkEnd w:id="203"/>
      <w:bookmarkEnd w:id="204"/>
      <w:bookmarkEnd w:id="205"/>
      <w:bookmarkEnd w:id="206"/>
      <w:r w:rsidRPr="00877750">
        <w:rPr>
          <w:rFonts w:eastAsia="Times New Roman"/>
        </w:rPr>
        <w:t xml:space="preserve"> </w:t>
      </w:r>
    </w:p>
    <w:p w14:paraId="6CF57FAC" w14:textId="77777777" w:rsidR="009D347E" w:rsidRPr="00877750" w:rsidRDefault="009D347E" w:rsidP="009D347E">
      <w:pPr>
        <w:tabs>
          <w:tab w:val="left" w:pos="284"/>
        </w:tabs>
        <w:spacing w:after="120"/>
        <w:ind w:right="696"/>
        <w:rPr>
          <w:rFonts w:ascii="Calibri" w:eastAsia="Calibri" w:hAnsi="Calibri" w:cs="Times New Roman"/>
        </w:rPr>
      </w:pPr>
      <w:r w:rsidRPr="00877750">
        <w:rPr>
          <w:rFonts w:ascii="Calibri" w:eastAsia="Calibri" w:hAnsi="Calibri" w:cs="Times New Roman"/>
        </w:rPr>
        <w:t xml:space="preserve">R&amp;D income is considered ‘shared’ if part of a payment is passed from the primary recipient to another named party according to a grant, contract or other enforceable agreement or a tender/application for funding. A party may be a HEP, the staff of a HEP, or any another R&amp;D performing organisation. Parties must be named in a grant, </w:t>
      </w:r>
      <w:proofErr w:type="gramStart"/>
      <w:r w:rsidRPr="00877750">
        <w:rPr>
          <w:rFonts w:ascii="Calibri" w:eastAsia="Calibri" w:hAnsi="Calibri" w:cs="Times New Roman"/>
        </w:rPr>
        <w:t>contract</w:t>
      </w:r>
      <w:proofErr w:type="gramEnd"/>
      <w:r w:rsidRPr="00877750">
        <w:rPr>
          <w:rFonts w:ascii="Calibri" w:eastAsia="Calibri" w:hAnsi="Calibri" w:cs="Times New Roman"/>
        </w:rPr>
        <w:t xml:space="preserve"> or any other enforceable agreement or in the initial tender/application for funding.</w:t>
      </w:r>
    </w:p>
    <w:p w14:paraId="212FD29C" w14:textId="77777777" w:rsidR="009D347E" w:rsidRPr="00877750" w:rsidRDefault="009D347E" w:rsidP="009D347E">
      <w:pPr>
        <w:tabs>
          <w:tab w:val="left" w:pos="284"/>
        </w:tabs>
        <w:spacing w:after="120"/>
        <w:ind w:right="696"/>
        <w:rPr>
          <w:rFonts w:ascii="Calibri" w:eastAsia="Calibri" w:hAnsi="Calibri" w:cs="Times New Roman"/>
        </w:rPr>
      </w:pPr>
      <w:r w:rsidRPr="00877750">
        <w:rPr>
          <w:rFonts w:ascii="Calibri" w:eastAsia="Calibri" w:hAnsi="Calibri" w:cs="Times New Roman"/>
        </w:rPr>
        <w:t>HEPs can only report the income received or retained following the distribution of shared R&amp;D income.</w:t>
      </w:r>
    </w:p>
    <w:tbl>
      <w:tblPr>
        <w:tblStyle w:val="PlainTable4"/>
        <w:tblW w:w="0" w:type="auto"/>
        <w:tblLook w:val="04A0" w:firstRow="1" w:lastRow="0" w:firstColumn="1" w:lastColumn="0" w:noHBand="0" w:noVBand="1"/>
      </w:tblPr>
      <w:tblGrid>
        <w:gridCol w:w="9026"/>
      </w:tblGrid>
      <w:tr w:rsidR="009D347E" w14:paraId="6195719B" w14:textId="77777777" w:rsidTr="00A0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02D3F"/>
          </w:tcPr>
          <w:p w14:paraId="42AF7E84" w14:textId="77777777" w:rsidR="009D347E" w:rsidRPr="00572D68" w:rsidRDefault="009D347E" w:rsidP="00A07A86">
            <w:pPr>
              <w:spacing w:before="120" w:after="120"/>
              <w:rPr>
                <w:rFonts w:cs="Arial"/>
                <w:color w:val="FFFFFF" w:themeColor="background1"/>
              </w:rPr>
            </w:pPr>
            <w:r w:rsidRPr="00572D68">
              <w:rPr>
                <w:rFonts w:cs="Arial"/>
                <w:color w:val="FFFFFF" w:themeColor="background1"/>
              </w:rPr>
              <w:t>Example</w:t>
            </w:r>
          </w:p>
        </w:tc>
      </w:tr>
      <w:tr w:rsidR="009D347E" w14:paraId="174119F1"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D34377A" w14:textId="77777777" w:rsidR="009D347E" w:rsidRDefault="009D347E" w:rsidP="00A07A86">
            <w:pPr>
              <w:spacing w:before="120" w:after="120"/>
              <w:rPr>
                <w:rFonts w:cs="Arial"/>
              </w:rPr>
            </w:pPr>
            <w:r w:rsidRPr="00FD5D17">
              <w:rPr>
                <w:rFonts w:cs="Arial"/>
                <w:b w:val="0"/>
                <w:bCs w:val="0"/>
                <w:iCs/>
              </w:rPr>
              <w:t>Where a shared R&amp;D income grant exists, if HEP A receives a grant of $50,000 of which $20,000 is transferred to HEP B, HEP A should report $30,000 and HEP B $20,000.</w:t>
            </w:r>
          </w:p>
        </w:tc>
      </w:tr>
    </w:tbl>
    <w:p w14:paraId="378CE521" w14:textId="77777777" w:rsidR="009D347E" w:rsidRPr="00877750" w:rsidRDefault="009D347E" w:rsidP="009D347E">
      <w:pPr>
        <w:tabs>
          <w:tab w:val="left" w:pos="284"/>
        </w:tabs>
        <w:spacing w:after="120"/>
        <w:ind w:right="696"/>
        <w:rPr>
          <w:rFonts w:ascii="Calibri" w:eastAsia="Calibri" w:hAnsi="Calibri" w:cs="Times New Roman"/>
        </w:rPr>
      </w:pPr>
    </w:p>
    <w:p w14:paraId="333EEDC5" w14:textId="77777777" w:rsidR="009D347E" w:rsidRPr="00D61674" w:rsidRDefault="009D347E" w:rsidP="006108A9">
      <w:pPr>
        <w:pStyle w:val="Heading3"/>
      </w:pPr>
      <w:bookmarkStart w:id="207" w:name="_Toc147503825"/>
      <w:bookmarkStart w:id="208" w:name="_Toc155863412"/>
      <w:r w:rsidRPr="00D61674">
        <w:t>4.3.2 Ineligible third-party income</w:t>
      </w:r>
      <w:bookmarkEnd w:id="207"/>
      <w:bookmarkEnd w:id="208"/>
    </w:p>
    <w:p w14:paraId="10345CAF" w14:textId="77777777" w:rsidR="009D347E" w:rsidRPr="00877750" w:rsidRDefault="009D347E" w:rsidP="009D347E">
      <w:pPr>
        <w:spacing w:after="160"/>
        <w:ind w:right="696"/>
        <w:rPr>
          <w:rFonts w:ascii="Calibri" w:eastAsia="Calibri" w:hAnsi="Calibri" w:cs="Times New Roman"/>
        </w:rPr>
      </w:pPr>
      <w:r w:rsidRPr="00877750">
        <w:rPr>
          <w:rFonts w:ascii="Calibri" w:eastAsia="Calibri" w:hAnsi="Calibri" w:cs="Times New Roman"/>
        </w:rPr>
        <w:t>R&amp;D income administered by a HEP on behalf of a third-party organisation where the third party conducts the R&amp;D independently of the HEP must be excluded.</w:t>
      </w:r>
    </w:p>
    <w:p w14:paraId="43D46F4E" w14:textId="77777777" w:rsidR="009D347E" w:rsidRPr="00C620E2" w:rsidRDefault="009D347E" w:rsidP="006108A9">
      <w:pPr>
        <w:pStyle w:val="Heading2"/>
      </w:pPr>
      <w:bookmarkStart w:id="209" w:name="_Toc147503826"/>
      <w:bookmarkStart w:id="210" w:name="_Toc155863413"/>
      <w:r w:rsidRPr="00C620E2">
        <w:t>4.4</w:t>
      </w:r>
      <w:r w:rsidRPr="00C620E2">
        <w:tab/>
        <w:t>Transfers</w:t>
      </w:r>
      <w:bookmarkEnd w:id="142"/>
      <w:bookmarkEnd w:id="143"/>
      <w:bookmarkEnd w:id="144"/>
      <w:bookmarkEnd w:id="145"/>
      <w:bookmarkEnd w:id="146"/>
      <w:bookmarkEnd w:id="147"/>
      <w:bookmarkEnd w:id="148"/>
      <w:bookmarkEnd w:id="149"/>
      <w:bookmarkEnd w:id="150"/>
      <w:bookmarkEnd w:id="209"/>
      <w:bookmarkEnd w:id="210"/>
    </w:p>
    <w:p w14:paraId="47BED2FC" w14:textId="77777777" w:rsidR="009D347E" w:rsidRPr="00C620E2" w:rsidRDefault="009D347E" w:rsidP="009D347E">
      <w:pPr>
        <w:tabs>
          <w:tab w:val="left" w:pos="284"/>
        </w:tabs>
        <w:spacing w:after="120"/>
      </w:pPr>
      <w:r w:rsidRPr="00C620E2">
        <w:t>When staff transfer into, exit from, or move between HEPs and carry R&amp;D funding with them, this must be reflected in adjustments to the affected HEPs’ income returns.</w:t>
      </w:r>
      <w:bookmarkStart w:id="211" w:name="_Toc437848425"/>
      <w:bookmarkStart w:id="212" w:name="_Toc437848480"/>
      <w:bookmarkStart w:id="213" w:name="_Toc437848520"/>
      <w:bookmarkStart w:id="214" w:name="_Toc437848595"/>
      <w:bookmarkStart w:id="215" w:name="_Toc437850666"/>
      <w:bookmarkStart w:id="216" w:name="_Toc437850742"/>
      <w:bookmarkStart w:id="217" w:name="_Toc437850817"/>
      <w:bookmarkStart w:id="218" w:name="_Toc437851170"/>
      <w:bookmarkEnd w:id="211"/>
      <w:bookmarkEnd w:id="212"/>
      <w:bookmarkEnd w:id="213"/>
      <w:bookmarkEnd w:id="214"/>
      <w:bookmarkEnd w:id="215"/>
      <w:bookmarkEnd w:id="216"/>
      <w:bookmarkEnd w:id="217"/>
      <w:bookmarkEnd w:id="218"/>
    </w:p>
    <w:p w14:paraId="7EB0EA9B" w14:textId="77777777" w:rsidR="009D347E" w:rsidRPr="00C620E2" w:rsidRDefault="009D347E" w:rsidP="006108A9">
      <w:pPr>
        <w:pStyle w:val="Heading2"/>
      </w:pPr>
      <w:bookmarkStart w:id="219" w:name="_Toc523214683"/>
      <w:bookmarkStart w:id="220" w:name="_Toc491172990"/>
      <w:bookmarkStart w:id="221" w:name="_Toc489955874"/>
      <w:bookmarkStart w:id="222" w:name="_Toc489438091"/>
      <w:bookmarkStart w:id="223" w:name="_Toc482284843"/>
      <w:bookmarkStart w:id="224" w:name="_Toc27055365"/>
      <w:bookmarkStart w:id="225" w:name="_Toc81230917"/>
      <w:bookmarkStart w:id="226" w:name="_Toc92461292"/>
      <w:bookmarkStart w:id="227" w:name="_Toc147503827"/>
      <w:bookmarkStart w:id="228" w:name="_Toc155863414"/>
      <w:r w:rsidRPr="00C620E2">
        <w:lastRenderedPageBreak/>
        <w:t>4.5</w:t>
      </w:r>
      <w:r w:rsidRPr="00C620E2">
        <w:tab/>
        <w:t>Refunds</w:t>
      </w:r>
      <w:bookmarkEnd w:id="219"/>
      <w:bookmarkEnd w:id="220"/>
      <w:bookmarkEnd w:id="221"/>
      <w:bookmarkEnd w:id="222"/>
      <w:bookmarkEnd w:id="223"/>
      <w:bookmarkEnd w:id="224"/>
      <w:bookmarkEnd w:id="225"/>
      <w:bookmarkEnd w:id="226"/>
      <w:bookmarkEnd w:id="227"/>
      <w:bookmarkEnd w:id="228"/>
    </w:p>
    <w:p w14:paraId="64252D13" w14:textId="77777777" w:rsidR="009D347E" w:rsidRPr="00C620E2" w:rsidRDefault="009D347E" w:rsidP="009D347E">
      <w:pPr>
        <w:keepNext/>
        <w:keepLines/>
        <w:tabs>
          <w:tab w:val="left" w:pos="284"/>
        </w:tabs>
        <w:spacing w:after="120"/>
      </w:pPr>
      <w:r w:rsidRPr="00C620E2">
        <w:t xml:space="preserve">When, in the reference year covered by the R&amp;D income return, a </w:t>
      </w:r>
      <w:proofErr w:type="gramStart"/>
      <w:r w:rsidRPr="00C620E2">
        <w:t>HEP refunds</w:t>
      </w:r>
      <w:proofErr w:type="gramEnd"/>
      <w:r w:rsidRPr="00C620E2">
        <w:t xml:space="preserve"> any income received either in the current year or an earlier year, income reported in the reference year must be reduced by the amount of the refund.</w:t>
      </w:r>
    </w:p>
    <w:p w14:paraId="013F19FB" w14:textId="77777777" w:rsidR="009D347E" w:rsidRPr="00C620E2" w:rsidRDefault="009D347E" w:rsidP="006108A9">
      <w:pPr>
        <w:pStyle w:val="Heading2"/>
      </w:pPr>
      <w:bookmarkStart w:id="229" w:name="_Toc523214684"/>
      <w:bookmarkStart w:id="230" w:name="_Toc491172991"/>
      <w:bookmarkStart w:id="231" w:name="_Toc489955875"/>
      <w:bookmarkStart w:id="232" w:name="_Toc489438092"/>
      <w:bookmarkStart w:id="233" w:name="_Toc482284844"/>
      <w:bookmarkStart w:id="234" w:name="_Toc27055366"/>
      <w:bookmarkStart w:id="235" w:name="_Toc81230918"/>
      <w:bookmarkStart w:id="236" w:name="_Toc92461293"/>
      <w:bookmarkStart w:id="237" w:name="_Toc147503828"/>
      <w:bookmarkStart w:id="238" w:name="_Toc155863415"/>
      <w:r w:rsidRPr="00C620E2">
        <w:t>4.6</w:t>
      </w:r>
      <w:r w:rsidRPr="00C620E2">
        <w:tab/>
        <w:t xml:space="preserve">CRCs that are no longer </w:t>
      </w:r>
      <w:proofErr w:type="gramStart"/>
      <w:r w:rsidRPr="00C620E2">
        <w:t>operational</w:t>
      </w:r>
      <w:bookmarkEnd w:id="229"/>
      <w:bookmarkEnd w:id="230"/>
      <w:bookmarkEnd w:id="231"/>
      <w:bookmarkEnd w:id="232"/>
      <w:bookmarkEnd w:id="233"/>
      <w:bookmarkEnd w:id="234"/>
      <w:bookmarkEnd w:id="235"/>
      <w:bookmarkEnd w:id="236"/>
      <w:bookmarkEnd w:id="237"/>
      <w:bookmarkEnd w:id="238"/>
      <w:proofErr w:type="gramEnd"/>
    </w:p>
    <w:p w14:paraId="6CD4711F" w14:textId="77777777" w:rsidR="009D347E" w:rsidRPr="00C620E2" w:rsidRDefault="009D347E" w:rsidP="003B4D16">
      <w:pPr>
        <w:tabs>
          <w:tab w:val="left" w:pos="284"/>
        </w:tabs>
        <w:spacing w:after="0"/>
      </w:pPr>
      <w:r w:rsidRPr="00C620E2">
        <w:t xml:space="preserve">When a CRC (or CRC-P) is no longer operational, and it is not possible to verify the R&amp;D proportion of the income with the CRC in which the HEP was the researcher or a participant, the amount reported and attributable to that CRC may be reported </w:t>
      </w:r>
      <w:proofErr w:type="gramStart"/>
      <w:r w:rsidRPr="00C620E2">
        <w:t>on the basis of</w:t>
      </w:r>
      <w:proofErr w:type="gramEnd"/>
      <w:r w:rsidRPr="00C620E2">
        <w:t xml:space="preserve"> the HEP’s financial records alone.</w:t>
      </w:r>
    </w:p>
    <w:p w14:paraId="2D04A248" w14:textId="6E9D02A2" w:rsidR="009D347E" w:rsidRPr="00FB7B35" w:rsidRDefault="009D347E" w:rsidP="003B4D16">
      <w:pPr>
        <w:pStyle w:val="Heading1"/>
        <w:spacing w:before="0"/>
      </w:pPr>
      <w:bookmarkStart w:id="239" w:name="_Toc491172992"/>
      <w:bookmarkStart w:id="240" w:name="_Toc489955876"/>
      <w:bookmarkStart w:id="241" w:name="_Toc489438093"/>
      <w:bookmarkStart w:id="242" w:name="_Toc482284845"/>
      <w:bookmarkStart w:id="243" w:name="_Toc523214685"/>
      <w:bookmarkStart w:id="244" w:name="_Toc27055367"/>
      <w:bookmarkStart w:id="245" w:name="_Toc81230919"/>
      <w:bookmarkStart w:id="246" w:name="_Toc92461294"/>
      <w:bookmarkStart w:id="247" w:name="_Toc147503829"/>
      <w:r w:rsidRPr="00FB7B35">
        <w:t>R&amp;D income categories</w:t>
      </w:r>
      <w:bookmarkEnd w:id="239"/>
      <w:bookmarkEnd w:id="240"/>
      <w:bookmarkEnd w:id="241"/>
      <w:bookmarkEnd w:id="242"/>
      <w:bookmarkEnd w:id="243"/>
      <w:bookmarkEnd w:id="244"/>
      <w:bookmarkEnd w:id="245"/>
      <w:bookmarkEnd w:id="246"/>
      <w:bookmarkEnd w:id="247"/>
    </w:p>
    <w:p w14:paraId="25D27874" w14:textId="77777777" w:rsidR="009D347E" w:rsidRPr="00FB7B35" w:rsidRDefault="009D347E" w:rsidP="009D347E">
      <w:pPr>
        <w:spacing w:after="120"/>
        <w:rPr>
          <w:rFonts w:cs="Arial"/>
        </w:rPr>
      </w:pPr>
      <w:r w:rsidRPr="00FB7B35">
        <w:rPr>
          <w:rFonts w:cs="Arial"/>
        </w:rPr>
        <w:t>HEPs must enter all R&amp;D income into the R&amp;D income return according to the following four categories:</w:t>
      </w:r>
    </w:p>
    <w:p w14:paraId="1663BAE2" w14:textId="77777777" w:rsidR="009D347E" w:rsidRPr="00FB7B35" w:rsidRDefault="009D347E" w:rsidP="009D347E">
      <w:pPr>
        <w:numPr>
          <w:ilvl w:val="0"/>
          <w:numId w:val="15"/>
        </w:numPr>
        <w:tabs>
          <w:tab w:val="clear" w:pos="360"/>
          <w:tab w:val="num" w:pos="720"/>
        </w:tabs>
        <w:spacing w:after="120" w:line="276" w:lineRule="auto"/>
        <w:ind w:left="720"/>
        <w:contextualSpacing/>
        <w:rPr>
          <w:rFonts w:eastAsia="Times New Roman" w:cs="Arial"/>
        </w:rPr>
      </w:pPr>
      <w:r w:rsidRPr="00FB7B35">
        <w:rPr>
          <w:rFonts w:eastAsia="Times New Roman" w:cs="Arial"/>
        </w:rPr>
        <w:t>Category 1: Australian competitive grant R&amp;D income</w:t>
      </w:r>
    </w:p>
    <w:p w14:paraId="0B05212F" w14:textId="77777777" w:rsidR="009D347E" w:rsidRPr="00FB7B35" w:rsidRDefault="009D347E" w:rsidP="009D347E">
      <w:pPr>
        <w:numPr>
          <w:ilvl w:val="0"/>
          <w:numId w:val="15"/>
        </w:numPr>
        <w:tabs>
          <w:tab w:val="clear" w:pos="360"/>
          <w:tab w:val="num" w:pos="720"/>
        </w:tabs>
        <w:spacing w:after="120" w:line="276" w:lineRule="auto"/>
        <w:ind w:left="720"/>
        <w:contextualSpacing/>
        <w:rPr>
          <w:rFonts w:eastAsia="Times New Roman" w:cs="Arial"/>
        </w:rPr>
      </w:pPr>
      <w:r w:rsidRPr="00FB7B35">
        <w:rPr>
          <w:rFonts w:eastAsia="Times New Roman" w:cs="Arial"/>
        </w:rPr>
        <w:t xml:space="preserve">Category 2: </w:t>
      </w:r>
      <w:r>
        <w:rPr>
          <w:rFonts w:eastAsia="Times New Roman" w:cs="Arial"/>
        </w:rPr>
        <w:t>o</w:t>
      </w:r>
      <w:r w:rsidRPr="00FB7B35">
        <w:rPr>
          <w:rFonts w:eastAsia="Times New Roman" w:cs="Arial"/>
        </w:rPr>
        <w:t>ther public sector R&amp;D income</w:t>
      </w:r>
    </w:p>
    <w:p w14:paraId="5ED6BA93" w14:textId="77777777" w:rsidR="009D347E" w:rsidRPr="00FB7B35" w:rsidRDefault="009D347E" w:rsidP="009D347E">
      <w:pPr>
        <w:numPr>
          <w:ilvl w:val="0"/>
          <w:numId w:val="15"/>
        </w:numPr>
        <w:tabs>
          <w:tab w:val="clear" w:pos="360"/>
          <w:tab w:val="num" w:pos="720"/>
        </w:tabs>
        <w:spacing w:after="120" w:line="276" w:lineRule="auto"/>
        <w:ind w:left="720"/>
        <w:contextualSpacing/>
        <w:rPr>
          <w:rFonts w:eastAsia="Times New Roman" w:cs="Arial"/>
        </w:rPr>
      </w:pPr>
      <w:r w:rsidRPr="00FB7B35">
        <w:rPr>
          <w:rFonts w:eastAsia="Times New Roman" w:cs="Arial"/>
        </w:rPr>
        <w:t xml:space="preserve">Category 3: </w:t>
      </w:r>
      <w:r>
        <w:rPr>
          <w:rFonts w:eastAsia="Times New Roman" w:cs="Arial"/>
        </w:rPr>
        <w:t>i</w:t>
      </w:r>
      <w:r w:rsidRPr="00FB7B35">
        <w:rPr>
          <w:rFonts w:eastAsia="Times New Roman" w:cs="Arial"/>
        </w:rPr>
        <w:t>ndustry and other R&amp;D income</w:t>
      </w:r>
    </w:p>
    <w:p w14:paraId="6EC08393" w14:textId="77777777" w:rsidR="009D347E" w:rsidRPr="00FB7B35" w:rsidRDefault="009D347E" w:rsidP="009D347E">
      <w:pPr>
        <w:numPr>
          <w:ilvl w:val="0"/>
          <w:numId w:val="15"/>
        </w:numPr>
        <w:tabs>
          <w:tab w:val="clear" w:pos="360"/>
          <w:tab w:val="num" w:pos="284"/>
          <w:tab w:val="num" w:pos="720"/>
        </w:tabs>
        <w:spacing w:before="120" w:after="0" w:line="276" w:lineRule="auto"/>
        <w:ind w:left="720"/>
        <w:contextualSpacing/>
        <w:rPr>
          <w:rFonts w:eastAsia="Times New Roman" w:cs="Arial"/>
        </w:rPr>
      </w:pPr>
      <w:r w:rsidRPr="00FB7B35">
        <w:rPr>
          <w:rFonts w:eastAsia="Times New Roman" w:cs="Arial"/>
        </w:rPr>
        <w:t>Category 4: CRC R&amp;D income.</w:t>
      </w:r>
    </w:p>
    <w:p w14:paraId="6A848700" w14:textId="77777777" w:rsidR="009D347E" w:rsidRPr="00FB7B35" w:rsidRDefault="009D347E" w:rsidP="009D347E">
      <w:pPr>
        <w:tabs>
          <w:tab w:val="num" w:pos="284"/>
        </w:tabs>
        <w:spacing w:before="120" w:after="0"/>
        <w:rPr>
          <w:rFonts w:eastAsia="Times New Roman" w:cs="Arial"/>
        </w:rPr>
      </w:pPr>
      <w:r w:rsidRPr="00FB7B35">
        <w:rPr>
          <w:rFonts w:eastAsia="Times New Roman" w:cs="Arial"/>
        </w:rPr>
        <w:t>R&amp;D income may be derived directly or indirectly from one or more ultimate funding entities. An ultimate funding entity will have full discretionary</w:t>
      </w:r>
      <w:r w:rsidRPr="00FB7B35">
        <w:rPr>
          <w:rFonts w:ascii="Arial" w:eastAsia="Times New Roman" w:hAnsi="Arial" w:cs="Arial"/>
          <w:sz w:val="21"/>
          <w:szCs w:val="21"/>
        </w:rPr>
        <w:t xml:space="preserve"> </w:t>
      </w:r>
      <w:r w:rsidRPr="00FB7B35">
        <w:rPr>
          <w:rFonts w:eastAsia="Times New Roman" w:cs="Arial"/>
        </w:rPr>
        <w:t>power to commence the research funding process that ends in the awarding of research funds to a HEP, for funding that it controls. If an entity is carrying out the instructions of another funding body through a contract or enforceable agreement, then that entity is not the original source of income/ultimate funding entity. HEPs should undertake reasonable effort to determine the original source of income/ultimate funding entity.</w:t>
      </w:r>
    </w:p>
    <w:p w14:paraId="793BFAB7" w14:textId="77777777" w:rsidR="009D347E" w:rsidRPr="00FB7B35" w:rsidRDefault="009D347E" w:rsidP="009D347E">
      <w:r w:rsidRPr="00FB7B35">
        <w:t>HEPs need to be able to determine the original source, or sources, of income from one or more ultimate funding entities.</w:t>
      </w:r>
    </w:p>
    <w:p w14:paraId="0D0E3805" w14:textId="77777777" w:rsidR="009D347E" w:rsidRPr="00582639" w:rsidRDefault="009D347E" w:rsidP="009D347E">
      <w:pPr>
        <w:tabs>
          <w:tab w:val="num" w:pos="284"/>
        </w:tabs>
        <w:spacing w:after="120"/>
        <w:rPr>
          <w:rFonts w:eastAsia="Times New Roman" w:cs="Arial"/>
        </w:rPr>
      </w:pPr>
      <w:r w:rsidRPr="00FB7B35" w:rsidDel="00C61298">
        <w:rPr>
          <w:rFonts w:eastAsia="Times New Roman" w:cs="Arial"/>
        </w:rPr>
        <w:t xml:space="preserve">There is no separate category for income received </w:t>
      </w:r>
      <w:r w:rsidRPr="00FB7B35">
        <w:rPr>
          <w:rFonts w:eastAsia="Times New Roman" w:cs="Arial"/>
        </w:rPr>
        <w:t>from</w:t>
      </w:r>
      <w:r w:rsidRPr="00FB7B35" w:rsidDel="00C61298">
        <w:rPr>
          <w:rFonts w:eastAsia="Times New Roman" w:cs="Arial"/>
        </w:rPr>
        <w:t xml:space="preserve"> </w:t>
      </w:r>
      <w:r w:rsidRPr="00FB7B35">
        <w:rPr>
          <w:rFonts w:eastAsia="Times New Roman" w:cs="Arial"/>
        </w:rPr>
        <w:t>multiple ultimate funding entities for an R&amp;D project</w:t>
      </w:r>
      <w:r w:rsidRPr="00FB7B35" w:rsidDel="00C61298">
        <w:rPr>
          <w:rFonts w:eastAsia="Times New Roman" w:cs="Arial"/>
        </w:rPr>
        <w:t xml:space="preserve">. </w:t>
      </w:r>
      <w:r w:rsidRPr="00FB7B35">
        <w:rPr>
          <w:rFonts w:eastAsia="Times New Roman" w:cs="Arial"/>
        </w:rPr>
        <w:t>I</w:t>
      </w:r>
      <w:r w:rsidRPr="00FB7B35" w:rsidDel="00C61298">
        <w:rPr>
          <w:rFonts w:eastAsia="Times New Roman" w:cs="Arial"/>
        </w:rPr>
        <w:t xml:space="preserve">ncome </w:t>
      </w:r>
      <w:r w:rsidRPr="00FB7B35">
        <w:rPr>
          <w:rFonts w:eastAsia="Times New Roman" w:cs="Arial"/>
        </w:rPr>
        <w:t xml:space="preserve">received from multiple ultimate funding entities </w:t>
      </w:r>
      <w:r w:rsidRPr="00FB7B35" w:rsidDel="00C61298">
        <w:rPr>
          <w:rFonts w:eastAsia="Times New Roman" w:cs="Arial"/>
        </w:rPr>
        <w:t>should be</w:t>
      </w:r>
      <w:r w:rsidRPr="00FB7B35">
        <w:rPr>
          <w:rFonts w:eastAsia="Times New Roman" w:cs="Arial"/>
        </w:rPr>
        <w:t xml:space="preserve"> apportioned and</w:t>
      </w:r>
      <w:r w:rsidRPr="00FB7B35" w:rsidDel="00C61298">
        <w:rPr>
          <w:rFonts w:eastAsia="Times New Roman" w:cs="Arial"/>
        </w:rPr>
        <w:t xml:space="preserve"> assigned to the appropriate reporting category</w:t>
      </w:r>
      <w:r w:rsidRPr="00FB7B35">
        <w:rPr>
          <w:rFonts w:eastAsia="Times New Roman" w:cs="Arial"/>
        </w:rPr>
        <w:t xml:space="preserve">, </w:t>
      </w:r>
      <w:r w:rsidRPr="00FB7B35" w:rsidDel="00C61298">
        <w:rPr>
          <w:rFonts w:eastAsia="Times New Roman" w:cs="Arial"/>
        </w:rPr>
        <w:t xml:space="preserve">according to </w:t>
      </w:r>
      <w:r w:rsidRPr="00FB7B35">
        <w:rPr>
          <w:rFonts w:eastAsia="Times New Roman" w:cs="Arial"/>
        </w:rPr>
        <w:t>each</w:t>
      </w:r>
      <w:r w:rsidRPr="00FB7B35" w:rsidDel="00C61298">
        <w:rPr>
          <w:rFonts w:eastAsia="Times New Roman" w:cs="Arial"/>
        </w:rPr>
        <w:t xml:space="preserve"> original source of income</w:t>
      </w:r>
      <w:r w:rsidRPr="00FB7B35">
        <w:rPr>
          <w:rFonts w:eastAsia="Times New Roman" w:cs="Arial"/>
        </w:rPr>
        <w:t xml:space="preserve"> from one or more </w:t>
      </w:r>
      <w:r w:rsidRPr="00FB7B35" w:rsidDel="00C61298">
        <w:rPr>
          <w:rFonts w:eastAsia="Times New Roman" w:cs="Arial"/>
        </w:rPr>
        <w:t>ultimate funding entit</w:t>
      </w:r>
      <w:r w:rsidRPr="00FB7B35">
        <w:rPr>
          <w:rFonts w:eastAsia="Times New Roman" w:cs="Arial"/>
        </w:rPr>
        <w:t>ies</w:t>
      </w:r>
      <w:r w:rsidRPr="00FB7B35" w:rsidDel="00C61298">
        <w:rPr>
          <w:rFonts w:eastAsia="Times New Roman" w:cs="Arial"/>
        </w:rPr>
        <w:t>.</w:t>
      </w:r>
    </w:p>
    <w:p w14:paraId="7587BCE7" w14:textId="77777777" w:rsidR="009D347E" w:rsidRPr="00FB7B35" w:rsidDel="00335C75" w:rsidRDefault="009D347E" w:rsidP="009D347E">
      <w:pPr>
        <w:tabs>
          <w:tab w:val="num" w:pos="284"/>
        </w:tabs>
        <w:spacing w:after="120"/>
        <w:rPr>
          <w:rFonts w:eastAsia="Times New Roman" w:cs="Arial"/>
        </w:rPr>
      </w:pPr>
      <w:r w:rsidRPr="00FB7B35" w:rsidDel="00335C75">
        <w:rPr>
          <w:rFonts w:eastAsia="Times New Roman" w:cs="Arial"/>
        </w:rPr>
        <w:t>HEPs are to correctly manage the categorisation of R&amp;D income. It is suggested that HEPs nominate the appropriate HERDC income category (or categories) at the time that funding agreements, grants or contracts are executed. HEPs should provide their faculties or departments with this information to help ensure that all income is coded to the correct HERDC income category for the duration of the funding.</w:t>
      </w:r>
    </w:p>
    <w:p w14:paraId="7366E6BF" w14:textId="77777777" w:rsidR="009D347E" w:rsidRPr="00FB7B35" w:rsidRDefault="009D347E" w:rsidP="009D347E">
      <w:pPr>
        <w:tabs>
          <w:tab w:val="num" w:pos="284"/>
        </w:tabs>
        <w:spacing w:after="120"/>
        <w:rPr>
          <w:rFonts w:eastAsia="Times New Roman" w:cs="Arial"/>
        </w:rPr>
      </w:pPr>
      <w:r w:rsidRPr="00FB7B35">
        <w:rPr>
          <w:rFonts w:eastAsia="Times New Roman" w:cs="Arial"/>
        </w:rPr>
        <w:t>Categories 2 and 3 consist of government income sub-categories for government’s ‘own purpose’ (sub-categories 2.1, 2.3 and 3.7) and ’other’ (sub-categories 2.2, 2.4 and 3.8). HEPs are required to distinguish between income provided for government's ‘own purpose’ and ‘other’.</w:t>
      </w:r>
    </w:p>
    <w:p w14:paraId="4DAF1EE7" w14:textId="77777777" w:rsidR="009D347E" w:rsidRDefault="009D347E" w:rsidP="009D347E">
      <w:pPr>
        <w:spacing w:after="120"/>
      </w:pPr>
      <w:r w:rsidRPr="00FB7B35">
        <w:t>The ‘own purpose’ sub-categories refer to investment by government where the government will be the end-user of that research. Research carried out for purposes where government is not the end-user are considered as ‘other’. The reason for distinguishing between these terms is to enable the collection of data that shows how much research investment by government is for its own use. The example below describes an instance of an ‘own purpose’ government R&amp;D income:</w:t>
      </w:r>
      <w:bookmarkStart w:id="248" w:name="_Toc168817211"/>
      <w:bookmarkStart w:id="249" w:name="_Toc168824830"/>
      <w:bookmarkStart w:id="250" w:name="_Ref213670512"/>
      <w:bookmarkStart w:id="251" w:name="_Toc406668881"/>
      <w:bookmarkEnd w:id="248"/>
      <w:bookmarkEnd w:id="249"/>
      <w:r>
        <w:br w:type="page"/>
      </w:r>
    </w:p>
    <w:p w14:paraId="524164F3" w14:textId="77777777" w:rsidR="009D347E" w:rsidRDefault="009D347E" w:rsidP="009D347E">
      <w:pPr>
        <w:spacing w:after="120"/>
      </w:pPr>
    </w:p>
    <w:tbl>
      <w:tblPr>
        <w:tblStyle w:val="PlainTable4"/>
        <w:tblW w:w="0" w:type="auto"/>
        <w:tblLook w:val="04A0" w:firstRow="1" w:lastRow="0" w:firstColumn="1" w:lastColumn="0" w:noHBand="0" w:noVBand="1"/>
      </w:tblPr>
      <w:tblGrid>
        <w:gridCol w:w="9026"/>
      </w:tblGrid>
      <w:tr w:rsidR="009D347E" w14:paraId="458519B3" w14:textId="77777777" w:rsidTr="00A0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02D3F"/>
          </w:tcPr>
          <w:p w14:paraId="31CAA0BC" w14:textId="77777777" w:rsidR="009D347E" w:rsidRPr="00572D68" w:rsidRDefault="009D347E" w:rsidP="00A07A86">
            <w:pPr>
              <w:spacing w:before="120" w:after="120"/>
              <w:rPr>
                <w:rFonts w:cs="Arial"/>
                <w:color w:val="FFFFFF" w:themeColor="background1"/>
              </w:rPr>
            </w:pPr>
            <w:r w:rsidRPr="00572D68">
              <w:rPr>
                <w:rFonts w:cs="Arial"/>
                <w:color w:val="FFFFFF" w:themeColor="background1"/>
              </w:rPr>
              <w:t>Example</w:t>
            </w:r>
          </w:p>
        </w:tc>
      </w:tr>
      <w:tr w:rsidR="009D347E" w14:paraId="59FBAB81"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E37B3DB" w14:textId="77777777" w:rsidR="009D347E" w:rsidRDefault="009D347E" w:rsidP="00A07A86">
            <w:pPr>
              <w:spacing w:before="120" w:after="120"/>
              <w:rPr>
                <w:rFonts w:cs="Arial"/>
              </w:rPr>
            </w:pPr>
            <w:r w:rsidRPr="00572D68">
              <w:rPr>
                <w:rFonts w:cs="Arial"/>
                <w:b w:val="0"/>
                <w:bCs w:val="0"/>
                <w:iCs/>
              </w:rPr>
              <w:t xml:space="preserve">A state government has an agreement with University A for a research project worth $400,000 to investigate childhood obesity, </w:t>
            </w:r>
            <w:proofErr w:type="gramStart"/>
            <w:r w:rsidRPr="00572D68">
              <w:rPr>
                <w:rFonts w:cs="Arial"/>
                <w:b w:val="0"/>
                <w:bCs w:val="0"/>
                <w:iCs/>
              </w:rPr>
              <w:t>nutrition</w:t>
            </w:r>
            <w:proofErr w:type="gramEnd"/>
            <w:r w:rsidRPr="00572D68">
              <w:rPr>
                <w:rFonts w:cs="Arial"/>
                <w:b w:val="0"/>
                <w:bCs w:val="0"/>
                <w:iCs/>
              </w:rPr>
              <w:t xml:space="preserve"> and lifestyle factors. The funds were not competitive, and the funding agreement between University A and the government contains a clause where the university must assign all or part of the intellectual property arising from the agreement back to the government customer. The state government intends to use this information to develop promotion materials and tools to encourage healthy lifestyles in young Australians. In this case, the $400,000 of income would be determined as own purpose, namely sub-category 2.3: State/territory/local (own purpose).</w:t>
            </w:r>
          </w:p>
        </w:tc>
      </w:tr>
    </w:tbl>
    <w:p w14:paraId="26EF50A0" w14:textId="77777777" w:rsidR="009D347E" w:rsidRDefault="009D347E" w:rsidP="009D347E">
      <w:pPr>
        <w:spacing w:after="120"/>
      </w:pPr>
    </w:p>
    <w:p w14:paraId="45F4DF05" w14:textId="77777777" w:rsidR="009D347E" w:rsidRPr="00FB7B35" w:rsidRDefault="009D347E" w:rsidP="009D347E">
      <w:pPr>
        <w:spacing w:after="120"/>
        <w:outlineLvl w:val="3"/>
        <w:rPr>
          <w:rFonts w:ascii="Arial" w:eastAsia="Times New Roman" w:hAnsi="Arial" w:cs="Arial"/>
          <w:b/>
        </w:rPr>
      </w:pPr>
      <w:r w:rsidRPr="00FB7B35">
        <w:rPr>
          <w:rFonts w:eastAsia="Times New Roman" w:cs="Arial"/>
        </w:rPr>
        <w:t xml:space="preserve">A list of all HERDC categories and sub-categories is provided at </w:t>
      </w:r>
      <w:r w:rsidRPr="00FB7B35">
        <w:rPr>
          <w:rFonts w:eastAsia="Times New Roman" w:cs="Arial"/>
          <w:b/>
        </w:rPr>
        <w:t>section 7</w:t>
      </w:r>
      <w:r w:rsidRPr="00FB7B35">
        <w:rPr>
          <w:rFonts w:eastAsia="Times New Roman" w:cs="Arial"/>
        </w:rPr>
        <w:t>.</w:t>
      </w:r>
      <w:r w:rsidRPr="00FB7B35">
        <w:rPr>
          <w:rFonts w:ascii="Arial" w:eastAsia="Times New Roman" w:hAnsi="Arial" w:cs="Arial"/>
          <w:b/>
        </w:rPr>
        <w:br w:type="page"/>
      </w:r>
    </w:p>
    <w:p w14:paraId="5E1C94F0" w14:textId="77777777" w:rsidR="009D347E" w:rsidRPr="00FB7B35" w:rsidRDefault="009D347E" w:rsidP="006108A9">
      <w:pPr>
        <w:pStyle w:val="Heading2"/>
      </w:pPr>
      <w:bookmarkStart w:id="252" w:name="_Toc523214686"/>
      <w:bookmarkStart w:id="253" w:name="_Toc491172993"/>
      <w:bookmarkStart w:id="254" w:name="_Toc27055368"/>
      <w:bookmarkStart w:id="255" w:name="_Toc81230920"/>
      <w:bookmarkStart w:id="256" w:name="_Toc92461295"/>
      <w:bookmarkStart w:id="257" w:name="_Toc147503830"/>
      <w:bookmarkStart w:id="258" w:name="_Toc155863416"/>
      <w:r w:rsidRPr="00FB7B35">
        <w:lastRenderedPageBreak/>
        <w:t>5.1</w:t>
      </w:r>
      <w:r w:rsidRPr="00FB7B35">
        <w:tab/>
        <w:t xml:space="preserve">Category 1: Australian competitive </w:t>
      </w:r>
      <w:bookmarkEnd w:id="250"/>
      <w:bookmarkEnd w:id="251"/>
      <w:r w:rsidRPr="00FB7B35">
        <w:t>grant R&amp;D income</w:t>
      </w:r>
      <w:bookmarkEnd w:id="252"/>
      <w:bookmarkEnd w:id="253"/>
      <w:bookmarkEnd w:id="254"/>
      <w:bookmarkEnd w:id="255"/>
      <w:bookmarkEnd w:id="256"/>
      <w:bookmarkEnd w:id="257"/>
      <w:bookmarkEnd w:id="258"/>
    </w:p>
    <w:p w14:paraId="098A9807" w14:textId="77777777" w:rsidR="009D347E" w:rsidRPr="00FB7B35" w:rsidRDefault="009D347E" w:rsidP="009D347E">
      <w:r w:rsidRPr="00FB7B35">
        <w:rPr>
          <w:iCs/>
        </w:rPr>
        <w:t>Category 1</w:t>
      </w:r>
      <w:r w:rsidRPr="00FB7B35">
        <w:t xml:space="preserve"> consists only of net receipted income received from Australian funding bodies for those R&amp;D schemes and programs that have been self-assessed as Australian competitive grant R&amp;D income, and must be sub-categorised as follows:</w:t>
      </w:r>
    </w:p>
    <w:p w14:paraId="24F6FA0B"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1.1 National Health and Medical Research Council (NHMRC)</w:t>
      </w:r>
    </w:p>
    <w:p w14:paraId="31E345FF"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1.2 Australian Research Council (ARC)</w:t>
      </w:r>
    </w:p>
    <w:p w14:paraId="770124D8"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1.3 Medical Research Future Fund (MRFF)</w:t>
      </w:r>
    </w:p>
    <w:p w14:paraId="01EF712D"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1.4 Rural R&amp;D</w:t>
      </w:r>
    </w:p>
    <w:p w14:paraId="59D584D1"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1.5 Commonwealth other</w:t>
      </w:r>
    </w:p>
    <w:p w14:paraId="6F552BFA"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1.6 State/territory government</w:t>
      </w:r>
    </w:p>
    <w:p w14:paraId="318515CD" w14:textId="77777777" w:rsidR="009D347E" w:rsidRPr="00FB7B35" w:rsidRDefault="009D347E" w:rsidP="009D347E">
      <w:pPr>
        <w:numPr>
          <w:ilvl w:val="0"/>
          <w:numId w:val="38"/>
        </w:numPr>
        <w:spacing w:after="120" w:line="276" w:lineRule="auto"/>
        <w:rPr>
          <w:rFonts w:eastAsia="Times New Roman" w:cs="Arial"/>
          <w:iCs/>
        </w:rPr>
      </w:pPr>
      <w:r w:rsidRPr="00FB7B35">
        <w:rPr>
          <w:rFonts w:eastAsia="Times New Roman" w:cs="Arial"/>
          <w:iCs/>
        </w:rPr>
        <w:t>Sub-category 1.7 Other.</w:t>
      </w:r>
    </w:p>
    <w:p w14:paraId="59A2163D" w14:textId="77777777" w:rsidR="009D347E" w:rsidRPr="00FB7B35" w:rsidRDefault="009D347E" w:rsidP="009D347E">
      <w:pPr>
        <w:rPr>
          <w:b/>
        </w:rPr>
      </w:pPr>
      <w:r w:rsidRPr="00FB7B35">
        <w:t xml:space="preserve">This section provides information to assist HEPs to determine whether R&amp;D income is eligible to be counted as Category 1 R&amp;D income. </w:t>
      </w:r>
    </w:p>
    <w:p w14:paraId="3A3C07EA" w14:textId="77777777" w:rsidR="009D347E" w:rsidRPr="00FB7B35" w:rsidRDefault="009D347E" w:rsidP="009D347E">
      <w:r w:rsidRPr="00FB7B35">
        <w:t xml:space="preserve">Partner organisation cash contributions to grants awarded by schemes that have been self-assessed as Australian competitive grant R&amp;D income should not be reported in </w:t>
      </w:r>
      <w:r w:rsidRPr="00FB7B35">
        <w:rPr>
          <w:iCs/>
        </w:rPr>
        <w:t>Category 1,</w:t>
      </w:r>
      <w:r w:rsidRPr="00FB7B35">
        <w:t xml:space="preserve"> regardless of whether the partner contributions were identified in the scheme and/or program. This income should instead be reported under the HERDC category relevant to the source of the funding. Competitive grant income from international organisations or schemes should be reported under </w:t>
      </w:r>
      <w:r w:rsidRPr="00FB7B35">
        <w:rPr>
          <w:iCs/>
        </w:rPr>
        <w:t>Category 3.</w:t>
      </w:r>
    </w:p>
    <w:p w14:paraId="2C08691C" w14:textId="77777777" w:rsidR="009D347E" w:rsidRPr="00FB7B35" w:rsidRDefault="009D347E" w:rsidP="009D347E">
      <w:r w:rsidRPr="00FB7B35">
        <w:t xml:space="preserve">Prior to 2018, the Australian Competitive Grants Register was used to determine which income could be counted as </w:t>
      </w:r>
      <w:r w:rsidRPr="00FB7B35">
        <w:rPr>
          <w:iCs/>
        </w:rPr>
        <w:t>Category 1</w:t>
      </w:r>
      <w:r w:rsidRPr="00FB7B35">
        <w:t xml:space="preserve"> R&amp;D income. For 2018 data onwards, self-assessment applied instead of the grants register, as the department is no longer updating the register. HEPs should use the</w:t>
      </w:r>
      <w:r>
        <w:t xml:space="preserve"> dark</w:t>
      </w:r>
      <w:r w:rsidRPr="00FB7B35">
        <w:t xml:space="preserve"> blue section of the </w:t>
      </w:r>
      <w:r w:rsidRPr="00FB7B35">
        <w:rPr>
          <w:bCs/>
        </w:rPr>
        <w:t>Decision Tree</w:t>
      </w:r>
      <w:r w:rsidRPr="00FB7B35">
        <w:t xml:space="preserve"> (</w:t>
      </w:r>
      <w:r w:rsidRPr="00FB7B35">
        <w:rPr>
          <w:b/>
          <w:bCs/>
        </w:rPr>
        <w:t>Fig. 1</w:t>
      </w:r>
      <w:r w:rsidRPr="00FB7B35">
        <w:t xml:space="preserve">) to determine if the income can be counted as Category 1. The </w:t>
      </w:r>
      <w:r>
        <w:t>light blue</w:t>
      </w:r>
      <w:r w:rsidRPr="00FB7B35">
        <w:t xml:space="preserve"> section of the Decision Tree can then be used to determine which of the seven sub-categories the R&amp;D income belongs to.</w:t>
      </w:r>
    </w:p>
    <w:p w14:paraId="59B52D7D" w14:textId="77777777" w:rsidR="009D347E" w:rsidRPr="00FB7B35" w:rsidRDefault="009D347E" w:rsidP="009D347E">
      <w:pPr>
        <w:tabs>
          <w:tab w:val="num" w:pos="284"/>
          <w:tab w:val="num" w:pos="1134"/>
        </w:tabs>
        <w:spacing w:after="120"/>
        <w:rPr>
          <w:rFonts w:ascii="Arial" w:eastAsia="Times New Roman" w:hAnsi="Arial" w:cs="Arial"/>
          <w:b/>
          <w:color w:val="1A5E2F"/>
          <w:sz w:val="28"/>
          <w:szCs w:val="21"/>
        </w:rPr>
        <w:sectPr w:rsidR="009D347E" w:rsidRPr="00FB7B35" w:rsidSect="009D347E">
          <w:headerReference w:type="even" r:id="rId27"/>
          <w:headerReference w:type="default" r:id="rId28"/>
          <w:headerReference w:type="first" r:id="rId29"/>
          <w:pgSz w:w="11906" w:h="16838"/>
          <w:pgMar w:top="851" w:right="1440" w:bottom="1151" w:left="1440" w:header="1134" w:footer="720" w:gutter="0"/>
          <w:cols w:space="720"/>
        </w:sectPr>
      </w:pPr>
    </w:p>
    <w:p w14:paraId="6CBBCA71" w14:textId="726B71D4" w:rsidR="009E6E4F" w:rsidRDefault="009D347E" w:rsidP="004163C4">
      <w:pPr>
        <w:pStyle w:val="Heading2"/>
      </w:pPr>
      <w:bookmarkStart w:id="259" w:name="_Toc92461296"/>
      <w:bookmarkStart w:id="260" w:name="_Toc147503831"/>
      <w:bookmarkStart w:id="261" w:name="_Toc155863417"/>
      <w:bookmarkStart w:id="262" w:name="_Toc27055369"/>
      <w:bookmarkStart w:id="263" w:name="_Toc81224889"/>
      <w:r>
        <w:lastRenderedPageBreak/>
        <w:t>F</w:t>
      </w:r>
      <w:r w:rsidRPr="00FB7B35">
        <w:t xml:space="preserve">ig. 1. Decision Tree to determine Category 1 Australian competitive grant R&amp;D </w:t>
      </w:r>
      <w:proofErr w:type="gramStart"/>
      <w:r w:rsidRPr="00FB7B35">
        <w:t>income</w:t>
      </w:r>
      <w:bookmarkEnd w:id="259"/>
      <w:bookmarkEnd w:id="260"/>
      <w:bookmarkEnd w:id="261"/>
      <w:proofErr w:type="gramEnd"/>
    </w:p>
    <w:bookmarkEnd w:id="262"/>
    <w:bookmarkEnd w:id="263"/>
    <w:p w14:paraId="6B96CE5E" w14:textId="3B2415F7" w:rsidR="009D347E" w:rsidRPr="00FB7B35" w:rsidRDefault="0066421C" w:rsidP="009D347E">
      <w:pPr>
        <w:spacing w:after="120"/>
        <w:rPr>
          <w:rFonts w:ascii="Arial" w:hAnsi="Arial" w:cs="Arial"/>
        </w:rPr>
        <w:sectPr w:rsidR="009D347E" w:rsidRPr="00FB7B35">
          <w:headerReference w:type="even" r:id="rId30"/>
          <w:headerReference w:type="default" r:id="rId31"/>
          <w:footerReference w:type="default" r:id="rId32"/>
          <w:headerReference w:type="first" r:id="rId33"/>
          <w:pgSz w:w="16838" w:h="11906" w:orient="landscape"/>
          <w:pgMar w:top="568" w:right="1560" w:bottom="1440" w:left="1151" w:header="596" w:footer="720" w:gutter="0"/>
          <w:cols w:space="720"/>
        </w:sectPr>
      </w:pPr>
      <w:r w:rsidRPr="0066421C">
        <w:rPr>
          <w:rFonts w:ascii="Arial" w:hAnsi="Arial" w:cs="Arial"/>
          <w:noProof/>
        </w:rPr>
        <w:drawing>
          <wp:anchor distT="0" distB="0" distL="114300" distR="114300" simplePos="0" relativeHeight="251659264" behindDoc="0" locked="0" layoutInCell="1" allowOverlap="1" wp14:anchorId="53486E3D" wp14:editId="1B74C742">
            <wp:simplePos x="0" y="0"/>
            <wp:positionH relativeFrom="margin">
              <wp:align>left</wp:align>
            </wp:positionH>
            <wp:positionV relativeFrom="paragraph">
              <wp:posOffset>89535</wp:posOffset>
            </wp:positionV>
            <wp:extent cx="9134475" cy="5673090"/>
            <wp:effectExtent l="0" t="0" r="9525" b="3810"/>
            <wp:wrapTopAndBottom/>
            <wp:docPr id="159040126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01265" name="Picture 1" descr="A diagram of a flowchar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9134475" cy="5673090"/>
                    </a:xfrm>
                    <a:prstGeom prst="rect">
                      <a:avLst/>
                    </a:prstGeom>
                  </pic:spPr>
                </pic:pic>
              </a:graphicData>
            </a:graphic>
            <wp14:sizeRelH relativeFrom="page">
              <wp14:pctWidth>0</wp14:pctWidth>
            </wp14:sizeRelH>
            <wp14:sizeRelV relativeFrom="page">
              <wp14:pctHeight>0</wp14:pctHeight>
            </wp14:sizeRelV>
          </wp:anchor>
        </w:drawing>
      </w:r>
    </w:p>
    <w:p w14:paraId="1377CF22" w14:textId="77777777" w:rsidR="009D347E" w:rsidRPr="00FB7B35" w:rsidRDefault="009D347E" w:rsidP="006108A9">
      <w:pPr>
        <w:pStyle w:val="Heading3"/>
      </w:pPr>
      <w:bookmarkStart w:id="264" w:name="_Toc27055370"/>
      <w:bookmarkStart w:id="265" w:name="_Toc81224890"/>
      <w:bookmarkStart w:id="266" w:name="_Toc81230921"/>
      <w:bookmarkStart w:id="267" w:name="_Toc92461297"/>
      <w:bookmarkStart w:id="268" w:name="_Toc147503832"/>
      <w:bookmarkStart w:id="269" w:name="_Toc155863418"/>
      <w:r w:rsidRPr="00FB7B35">
        <w:lastRenderedPageBreak/>
        <w:t>5.1.1</w:t>
      </w:r>
      <w:r w:rsidRPr="00FB7B35">
        <w:tab/>
        <w:t>Definition of terms associated with Decision Tree</w:t>
      </w:r>
      <w:bookmarkEnd w:id="264"/>
      <w:bookmarkEnd w:id="265"/>
      <w:bookmarkEnd w:id="266"/>
      <w:bookmarkEnd w:id="267"/>
      <w:bookmarkEnd w:id="268"/>
      <w:bookmarkEnd w:id="269"/>
    </w:p>
    <w:p w14:paraId="7651FCE0" w14:textId="77777777" w:rsidR="009D347E" w:rsidRPr="00FB7B35" w:rsidRDefault="009D347E" w:rsidP="00C02166">
      <w:pPr>
        <w:pStyle w:val="Heading5"/>
        <w:rPr>
          <w:rFonts w:eastAsia="Times New Roman"/>
        </w:rPr>
      </w:pPr>
      <w:r w:rsidRPr="00FB7B35">
        <w:rPr>
          <w:rFonts w:eastAsia="Times New Roman"/>
        </w:rPr>
        <w:t>Australian Research Council (ARC)</w:t>
      </w:r>
    </w:p>
    <w:p w14:paraId="425F200D" w14:textId="77777777" w:rsidR="009D347E" w:rsidRPr="00FB7B35" w:rsidRDefault="009D347E" w:rsidP="009D347E">
      <w:pPr>
        <w:spacing w:after="120"/>
        <w:rPr>
          <w:rFonts w:eastAsia="Times New Roman" w:cs="Arial"/>
        </w:rPr>
      </w:pPr>
      <w:r w:rsidRPr="00FB7B35">
        <w:rPr>
          <w:rFonts w:eastAsia="Times New Roman" w:cs="Arial"/>
        </w:rPr>
        <w:t>The ARC administers the National Competitive Grants Program (NCGP), which supports the highest</w:t>
      </w:r>
      <w:r w:rsidRPr="00FB7B35">
        <w:rPr>
          <w:rFonts w:eastAsia="Times New Roman" w:cs="Arial"/>
        </w:rPr>
        <w:noBreakHyphen/>
        <w:t xml:space="preserve">quality fundamental and applied research and research training through national competition. It should be noted that some ARC grants are excluded from Category 1, Please refer to </w:t>
      </w:r>
      <w:r w:rsidRPr="00FB7B35">
        <w:rPr>
          <w:rFonts w:eastAsia="Times New Roman" w:cs="Arial"/>
          <w:b/>
        </w:rPr>
        <w:t>section</w:t>
      </w:r>
      <w:r w:rsidRPr="00FB7B35">
        <w:rPr>
          <w:rFonts w:eastAsia="Times New Roman" w:cs="Arial"/>
          <w:bCs/>
        </w:rPr>
        <w:t xml:space="preserve"> </w:t>
      </w:r>
      <w:r w:rsidRPr="00FB7B35">
        <w:rPr>
          <w:rFonts w:eastAsia="Times New Roman" w:cs="Arial"/>
          <w:b/>
        </w:rPr>
        <w:t xml:space="preserve">4.2.2 </w:t>
      </w:r>
      <w:r>
        <w:rPr>
          <w:rFonts w:eastAsia="Times New Roman" w:cs="Arial"/>
          <w:b/>
        </w:rPr>
        <w:t>(x)</w:t>
      </w:r>
      <w:r w:rsidRPr="00FB7B35">
        <w:rPr>
          <w:rFonts w:eastAsia="Times New Roman" w:cs="Arial"/>
          <w:bCs/>
        </w:rPr>
        <w:t>.</w:t>
      </w:r>
    </w:p>
    <w:p w14:paraId="565D642B" w14:textId="77777777" w:rsidR="009D347E" w:rsidRPr="00FB7B35" w:rsidRDefault="009D347E" w:rsidP="00C02166">
      <w:pPr>
        <w:pStyle w:val="Heading5"/>
        <w:rPr>
          <w:rFonts w:eastAsia="Times New Roman"/>
        </w:rPr>
      </w:pPr>
      <w:r w:rsidRPr="00FB7B35">
        <w:rPr>
          <w:rFonts w:eastAsia="Times New Roman"/>
        </w:rPr>
        <w:t>Available to all Australian universities/HEPs</w:t>
      </w:r>
    </w:p>
    <w:p w14:paraId="57D8B078" w14:textId="77777777" w:rsidR="009D347E" w:rsidRPr="00FB7B35" w:rsidRDefault="009D347E" w:rsidP="009D347E">
      <w:pPr>
        <w:spacing w:after="120"/>
        <w:rPr>
          <w:rFonts w:eastAsia="Times New Roman" w:cs="Arial"/>
        </w:rPr>
      </w:pPr>
      <w:r w:rsidRPr="00FB7B35">
        <w:rPr>
          <w:rFonts w:eastAsia="Times New Roman" w:cs="Arial"/>
        </w:rPr>
        <w:t xml:space="preserve">There must not be preferential treatment of any applicant during the assessment process based solely on the type of institution nor its geographical location. Each HEP must have an equal chance to </w:t>
      </w:r>
      <w:proofErr w:type="gramStart"/>
      <w:r w:rsidRPr="00FB7B35">
        <w:rPr>
          <w:rFonts w:eastAsia="Times New Roman" w:cs="Arial"/>
        </w:rPr>
        <w:t>submit an application</w:t>
      </w:r>
      <w:proofErr w:type="gramEnd"/>
      <w:r w:rsidRPr="00FB7B35">
        <w:rPr>
          <w:rFonts w:eastAsia="Times New Roman" w:cs="Arial"/>
        </w:rPr>
        <w:t>.</w:t>
      </w:r>
    </w:p>
    <w:p w14:paraId="2EF6C62F" w14:textId="77777777" w:rsidR="009D347E" w:rsidRPr="00FB7B35" w:rsidRDefault="009D347E" w:rsidP="00C02166">
      <w:pPr>
        <w:pStyle w:val="Heading5"/>
        <w:rPr>
          <w:rFonts w:eastAsia="Times New Roman"/>
        </w:rPr>
      </w:pPr>
      <w:r w:rsidRPr="00FB7B35">
        <w:rPr>
          <w:rFonts w:eastAsia="Times New Roman"/>
        </w:rPr>
        <w:t>Direct payment</w:t>
      </w:r>
    </w:p>
    <w:p w14:paraId="4C1DC3B4" w14:textId="77777777" w:rsidR="009D347E" w:rsidRPr="00FB7B35" w:rsidRDefault="009D347E" w:rsidP="009D347E">
      <w:pPr>
        <w:spacing w:after="120"/>
        <w:rPr>
          <w:rFonts w:eastAsia="Times New Roman" w:cs="Arial"/>
        </w:rPr>
      </w:pPr>
      <w:r w:rsidRPr="00FB7B35">
        <w:rPr>
          <w:rFonts w:eastAsia="Times New Roman" w:cs="Arial"/>
        </w:rPr>
        <w:t xml:space="preserve">Funds must be provided directly </w:t>
      </w:r>
      <w:proofErr w:type="gramStart"/>
      <w:r w:rsidRPr="00FB7B35">
        <w:rPr>
          <w:rFonts w:eastAsia="Times New Roman" w:cs="Arial"/>
        </w:rPr>
        <w:t>as a result of</w:t>
      </w:r>
      <w:proofErr w:type="gramEnd"/>
      <w:r w:rsidRPr="00FB7B35">
        <w:rPr>
          <w:rFonts w:eastAsia="Times New Roman" w:cs="Arial"/>
        </w:rPr>
        <w:t xml:space="preserve"> a nationally competitive process. Funds provided through a third party are not eligible, except where the arrangements between the administering institution/administering organisation and the collaborating institutes are made clear in either the original application or in the agreement between the funding body and the research institutions. Such income would be considered shared income, please refer to </w:t>
      </w:r>
      <w:r w:rsidRPr="00FB7B35">
        <w:rPr>
          <w:rFonts w:eastAsia="Times New Roman" w:cs="Arial"/>
          <w:b/>
        </w:rPr>
        <w:t>section</w:t>
      </w:r>
      <w:r w:rsidRPr="00FB7B35">
        <w:rPr>
          <w:rFonts w:eastAsia="Times New Roman" w:cs="Arial"/>
          <w:bCs/>
        </w:rPr>
        <w:t xml:space="preserve"> </w:t>
      </w:r>
      <w:r w:rsidRPr="00FB7B35">
        <w:rPr>
          <w:rFonts w:eastAsia="Times New Roman" w:cs="Arial"/>
          <w:b/>
        </w:rPr>
        <w:t xml:space="preserve">4.3 </w:t>
      </w:r>
      <w:r w:rsidRPr="00FB7B35">
        <w:rPr>
          <w:rFonts w:eastAsia="Times New Roman" w:cs="Arial"/>
        </w:rPr>
        <w:t xml:space="preserve">for details. </w:t>
      </w:r>
    </w:p>
    <w:p w14:paraId="2CE9A6EF" w14:textId="77777777" w:rsidR="009D347E" w:rsidRPr="00FB7B35" w:rsidRDefault="009D347E" w:rsidP="00C02166">
      <w:pPr>
        <w:pStyle w:val="Heading5"/>
        <w:rPr>
          <w:rFonts w:eastAsia="Times New Roman"/>
        </w:rPr>
      </w:pPr>
      <w:r w:rsidRPr="00FB7B35">
        <w:rPr>
          <w:rFonts w:eastAsia="Times New Roman"/>
        </w:rPr>
        <w:t>MRFF</w:t>
      </w:r>
    </w:p>
    <w:p w14:paraId="1AB5F0CC" w14:textId="77777777" w:rsidR="009D347E" w:rsidRPr="00FB7B35" w:rsidRDefault="009D347E" w:rsidP="009D347E">
      <w:pPr>
        <w:spacing w:after="120"/>
        <w:rPr>
          <w:rFonts w:eastAsia="Times New Roman" w:cs="Arial"/>
        </w:rPr>
      </w:pPr>
      <w:r w:rsidRPr="00FB7B35">
        <w:rPr>
          <w:rFonts w:eastAsia="Times New Roman" w:cs="Arial"/>
        </w:rPr>
        <w:t xml:space="preserve">The MRFF, established by the Australian Government under the </w:t>
      </w:r>
      <w:r w:rsidRPr="00FB7B35">
        <w:rPr>
          <w:rFonts w:eastAsia="Times New Roman" w:cs="Arial"/>
          <w:i/>
        </w:rPr>
        <w:t>Medical Research Future Fund Act 2015</w:t>
      </w:r>
      <w:r w:rsidRPr="00FB7B35">
        <w:rPr>
          <w:rFonts w:eastAsia="Times New Roman" w:cs="Arial"/>
        </w:rPr>
        <w:t>, provides grants of financial assistance to support health and medical research and innovation in improving the health and wellbeing of Australians. The MRFF may disburse funds by open and contestable or targeted calls for applications. In cases where the NHMRC or any other organisation administers competitive MRFF income, the MRFF should be considered the ultimate funding entity. It should be noted that not all MRFF funding is necessarily Category 1; some MRFF funding may fall under Category 2 or be ineligible for HERDC.</w:t>
      </w:r>
    </w:p>
    <w:p w14:paraId="50E39102" w14:textId="77777777" w:rsidR="009D347E" w:rsidRPr="00FB7B35" w:rsidRDefault="009D347E" w:rsidP="00C02166">
      <w:pPr>
        <w:pStyle w:val="Heading5"/>
        <w:rPr>
          <w:rFonts w:eastAsia="Times New Roman"/>
        </w:rPr>
      </w:pPr>
      <w:r w:rsidRPr="00FB7B35">
        <w:rPr>
          <w:rFonts w:eastAsia="Times New Roman"/>
        </w:rPr>
        <w:t>NHMRC</w:t>
      </w:r>
    </w:p>
    <w:p w14:paraId="453EDDD5" w14:textId="77777777" w:rsidR="009D347E" w:rsidRPr="00FB7B35" w:rsidRDefault="009D347E" w:rsidP="009D347E">
      <w:pPr>
        <w:spacing w:after="120"/>
        <w:rPr>
          <w:rFonts w:eastAsia="Times New Roman" w:cs="Arial"/>
        </w:rPr>
      </w:pPr>
      <w:r w:rsidRPr="00FB7B35">
        <w:rPr>
          <w:rFonts w:eastAsia="Times New Roman" w:cs="Arial"/>
        </w:rPr>
        <w:t xml:space="preserve">The NHMRC manages research programs and schemes through a variety of mechanisms, including grants for specific research projects and broad programs of research. NHMRC funding supports research across the full spectrum of health and medical research, from basic science through to clinical, public health and health services research. It should be noted that some NHMRC grants are excluded from Category 1, please refer to </w:t>
      </w:r>
      <w:r w:rsidRPr="00FB7B35">
        <w:rPr>
          <w:rFonts w:eastAsia="Times New Roman" w:cs="Arial"/>
          <w:b/>
        </w:rPr>
        <w:t>section 4.2.2</w:t>
      </w:r>
      <w:r>
        <w:rPr>
          <w:rFonts w:eastAsia="Times New Roman" w:cs="Arial"/>
          <w:b/>
        </w:rPr>
        <w:t xml:space="preserve"> (x)</w:t>
      </w:r>
      <w:r w:rsidRPr="00FB7B35">
        <w:rPr>
          <w:rFonts w:eastAsia="Times New Roman" w:cs="Arial"/>
          <w:b/>
        </w:rPr>
        <w:t>.</w:t>
      </w:r>
    </w:p>
    <w:p w14:paraId="17D101A2" w14:textId="77777777" w:rsidR="009D347E" w:rsidRPr="00FB7B35" w:rsidRDefault="009D347E" w:rsidP="00C02166">
      <w:pPr>
        <w:pStyle w:val="Heading5"/>
        <w:rPr>
          <w:rFonts w:eastAsia="Times New Roman"/>
        </w:rPr>
      </w:pPr>
      <w:r w:rsidRPr="00FB7B35">
        <w:rPr>
          <w:rFonts w:eastAsia="Times New Roman"/>
        </w:rPr>
        <w:t xml:space="preserve">Nationally competitive </w:t>
      </w:r>
    </w:p>
    <w:p w14:paraId="483861BE" w14:textId="77777777" w:rsidR="009D347E" w:rsidRPr="00FB7B35" w:rsidRDefault="009D347E" w:rsidP="009D347E">
      <w:pPr>
        <w:spacing w:after="120"/>
        <w:rPr>
          <w:rFonts w:eastAsia="Times New Roman" w:cs="Arial"/>
        </w:rPr>
      </w:pPr>
      <w:r w:rsidRPr="00FB7B35">
        <w:rPr>
          <w:rFonts w:eastAsia="Times New Roman" w:cs="Arial"/>
        </w:rPr>
        <w:t xml:space="preserve">Every application submitted by Australian research institutions for funding in a selection process must be assessed and rated against all other applications submitted in that selection process. Projects funded </w:t>
      </w:r>
      <w:proofErr w:type="gramStart"/>
      <w:r w:rsidRPr="00FB7B35">
        <w:rPr>
          <w:rFonts w:eastAsia="Times New Roman" w:cs="Arial"/>
        </w:rPr>
        <w:t>as a result of</w:t>
      </w:r>
      <w:proofErr w:type="gramEnd"/>
      <w:r w:rsidRPr="00FB7B35">
        <w:rPr>
          <w:rFonts w:eastAsia="Times New Roman" w:cs="Arial"/>
        </w:rPr>
        <w:t xml:space="preserve"> a direct approach from a funding body are not considered to be nationally competitive.</w:t>
      </w:r>
    </w:p>
    <w:p w14:paraId="4E71A0A1" w14:textId="77777777" w:rsidR="009D347E" w:rsidRPr="00FB7B35" w:rsidRDefault="009D347E" w:rsidP="00C02166">
      <w:pPr>
        <w:pStyle w:val="Heading5"/>
        <w:rPr>
          <w:rFonts w:eastAsia="Times New Roman"/>
        </w:rPr>
      </w:pPr>
      <w:r w:rsidRPr="00FB7B35">
        <w:rPr>
          <w:rFonts w:eastAsia="Times New Roman"/>
        </w:rPr>
        <w:t xml:space="preserve">Nationally </w:t>
      </w:r>
      <w:proofErr w:type="gramStart"/>
      <w:r w:rsidRPr="00FB7B35">
        <w:rPr>
          <w:rFonts w:eastAsia="Times New Roman"/>
        </w:rPr>
        <w:t>advertised</w:t>
      </w:r>
      <w:proofErr w:type="gramEnd"/>
      <w:r w:rsidRPr="00FB7B35">
        <w:rPr>
          <w:rFonts w:eastAsia="Times New Roman"/>
        </w:rPr>
        <w:t xml:space="preserve"> </w:t>
      </w:r>
    </w:p>
    <w:p w14:paraId="782C1C6C" w14:textId="77777777" w:rsidR="009D347E" w:rsidRPr="00FB7B35" w:rsidRDefault="009D347E" w:rsidP="009D347E">
      <w:pPr>
        <w:spacing w:after="120"/>
        <w:rPr>
          <w:rFonts w:eastAsia="Times New Roman" w:cs="Arial"/>
        </w:rPr>
      </w:pPr>
      <w:r w:rsidRPr="00FB7B35">
        <w:rPr>
          <w:rFonts w:eastAsia="Times New Roman" w:cs="Arial"/>
        </w:rPr>
        <w:t xml:space="preserve">All potential applicants in each Australian state and territory must be given an equal opportunity to become aware of and apply to the scheme </w:t>
      </w:r>
      <w:proofErr w:type="gramStart"/>
      <w:r w:rsidRPr="00FB7B35">
        <w:rPr>
          <w:rFonts w:eastAsia="Times New Roman" w:cs="Arial"/>
        </w:rPr>
        <w:t>through the use of</w:t>
      </w:r>
      <w:proofErr w:type="gramEnd"/>
      <w:r w:rsidRPr="00FB7B35">
        <w:rPr>
          <w:rFonts w:eastAsia="Times New Roman" w:cs="Arial"/>
        </w:rPr>
        <w:t xml:space="preserve"> any combination of direct contact: newspapers, journals, magazines, Internet, or any other printed or electronic media.</w:t>
      </w:r>
    </w:p>
    <w:p w14:paraId="4F4B5691" w14:textId="77777777" w:rsidR="009D347E" w:rsidRPr="00FB7B35" w:rsidRDefault="009D347E" w:rsidP="00C02166">
      <w:pPr>
        <w:pStyle w:val="Heading5"/>
        <w:rPr>
          <w:rFonts w:eastAsia="Times New Roman"/>
        </w:rPr>
      </w:pPr>
      <w:r w:rsidRPr="00FB7B35">
        <w:rPr>
          <w:rFonts w:eastAsia="Times New Roman"/>
        </w:rPr>
        <w:t>Scheme</w:t>
      </w:r>
    </w:p>
    <w:p w14:paraId="1844D1EB" w14:textId="77777777" w:rsidR="009D347E" w:rsidRPr="00FB7B35" w:rsidRDefault="009D347E" w:rsidP="009D347E">
      <w:pPr>
        <w:spacing w:after="120"/>
        <w:rPr>
          <w:rFonts w:eastAsia="Times New Roman" w:cs="Arial"/>
          <w:u w:val="single"/>
        </w:rPr>
      </w:pPr>
      <w:r w:rsidRPr="00FB7B35">
        <w:rPr>
          <w:rFonts w:eastAsia="Times New Roman" w:cs="Arial"/>
        </w:rPr>
        <w:t xml:space="preserve">A scheme is an administrative process that allocates funds using a discrete set of rules. For example, the ARC’s Discovery and Linkage programs are known as schemes; each of which operate </w:t>
      </w:r>
      <w:proofErr w:type="gramStart"/>
      <w:r w:rsidRPr="00FB7B35">
        <w:rPr>
          <w:rFonts w:eastAsia="Times New Roman" w:cs="Arial"/>
        </w:rPr>
        <w:t>on the basis of</w:t>
      </w:r>
      <w:proofErr w:type="gramEnd"/>
      <w:r w:rsidRPr="00FB7B35">
        <w:rPr>
          <w:rFonts w:eastAsia="Times New Roman" w:cs="Arial"/>
        </w:rPr>
        <w:t xml:space="preserve"> a separate set of funding rules. Schemes can include grants and programs.</w:t>
      </w:r>
    </w:p>
    <w:p w14:paraId="2335E4A9" w14:textId="77777777" w:rsidR="009D347E" w:rsidRPr="00FB7B35" w:rsidRDefault="009D347E" w:rsidP="00C02166">
      <w:pPr>
        <w:pStyle w:val="Heading5"/>
        <w:rPr>
          <w:rFonts w:eastAsia="Times New Roman"/>
        </w:rPr>
      </w:pPr>
      <w:r w:rsidRPr="00FB7B35">
        <w:rPr>
          <w:rFonts w:eastAsia="Times New Roman"/>
        </w:rPr>
        <w:lastRenderedPageBreak/>
        <w:t>Selection by a qualified panel</w:t>
      </w:r>
    </w:p>
    <w:p w14:paraId="6591FB63" w14:textId="77777777" w:rsidR="009D347E" w:rsidRPr="00FB7B35" w:rsidRDefault="009D347E" w:rsidP="009D347E">
      <w:pPr>
        <w:spacing w:after="120"/>
        <w:rPr>
          <w:rFonts w:eastAsia="Times New Roman" w:cs="Arial"/>
        </w:rPr>
      </w:pPr>
      <w:r w:rsidRPr="00FB7B35">
        <w:rPr>
          <w:rFonts w:eastAsia="Times New Roman" w:cs="Arial"/>
        </w:rPr>
        <w:t>All scheme applications are assessed and rated by a panel with the collective expertise and experience to effectively assess applications against all selection criteria for that scheme.</w:t>
      </w:r>
    </w:p>
    <w:p w14:paraId="2C65F68F" w14:textId="77777777" w:rsidR="009D347E" w:rsidRPr="00FB7B35" w:rsidRDefault="009D347E" w:rsidP="00C02166">
      <w:pPr>
        <w:pStyle w:val="Heading5"/>
        <w:rPr>
          <w:rFonts w:eastAsia="Times New Roman"/>
        </w:rPr>
      </w:pPr>
      <w:r w:rsidRPr="00FB7B35">
        <w:rPr>
          <w:rFonts w:eastAsia="Times New Roman"/>
        </w:rPr>
        <w:t>Other</w:t>
      </w:r>
    </w:p>
    <w:p w14:paraId="5EB08D83" w14:textId="77777777" w:rsidR="009D347E" w:rsidRPr="00FB7B35" w:rsidRDefault="009D347E" w:rsidP="009D347E">
      <w:pPr>
        <w:spacing w:after="120"/>
        <w:rPr>
          <w:rFonts w:eastAsia="Times New Roman" w:cs="Arial"/>
        </w:rPr>
      </w:pPr>
      <w:r w:rsidRPr="00FB7B35">
        <w:rPr>
          <w:rFonts w:eastAsia="Times New Roman" w:cs="Arial"/>
        </w:rPr>
        <w:t xml:space="preserve">The </w:t>
      </w:r>
      <w:r>
        <w:rPr>
          <w:rFonts w:eastAsia="Times New Roman" w:cs="Arial"/>
        </w:rPr>
        <w:t>‘</w:t>
      </w:r>
      <w:r w:rsidRPr="00FB7B35">
        <w:rPr>
          <w:rFonts w:eastAsia="Times New Roman" w:cs="Arial"/>
        </w:rPr>
        <w:t>Other</w:t>
      </w:r>
      <w:r>
        <w:rPr>
          <w:rFonts w:eastAsia="Times New Roman" w:cs="Arial"/>
        </w:rPr>
        <w:t>’</w:t>
      </w:r>
      <w:r w:rsidRPr="00FB7B35">
        <w:rPr>
          <w:rFonts w:eastAsia="Times New Roman" w:cs="Arial"/>
        </w:rPr>
        <w:t xml:space="preserve"> sub-category 1.7 covers all fund sources eligible to be considered as Australian competitive grant R&amp;D income that do not fall into sub-categories 1.1 to 1.6.</w:t>
      </w:r>
    </w:p>
    <w:p w14:paraId="3631B1F5" w14:textId="77777777" w:rsidR="009D347E" w:rsidRPr="00FB7B35" w:rsidRDefault="009D347E" w:rsidP="00C02166">
      <w:pPr>
        <w:pStyle w:val="Heading5"/>
        <w:rPr>
          <w:rFonts w:eastAsia="Times New Roman"/>
        </w:rPr>
      </w:pPr>
      <w:r w:rsidRPr="00FB7B35">
        <w:rPr>
          <w:rFonts w:eastAsia="Times New Roman"/>
        </w:rPr>
        <w:t>Research only</w:t>
      </w:r>
    </w:p>
    <w:p w14:paraId="2B84D5E7" w14:textId="77777777" w:rsidR="009D347E" w:rsidRPr="00FB7B35" w:rsidRDefault="009D347E" w:rsidP="009D347E">
      <w:pPr>
        <w:spacing w:after="120"/>
        <w:rPr>
          <w:rFonts w:eastAsia="Times New Roman" w:cs="Arial"/>
        </w:rPr>
      </w:pPr>
      <w:r w:rsidRPr="00FB7B35">
        <w:rPr>
          <w:rFonts w:eastAsia="Times New Roman" w:cs="Arial"/>
        </w:rPr>
        <w:t xml:space="preserve">Research is defined as ‘creative and systematic work undertaken in order to increase the stock of knowledge – including knowledge of humankind, culture and society – and to devise new applications of available knowledge’. Please refer to </w:t>
      </w:r>
      <w:r w:rsidRPr="00FB7B35">
        <w:rPr>
          <w:rFonts w:eastAsia="Times New Roman" w:cs="Arial"/>
          <w:b/>
        </w:rPr>
        <w:t>section 3</w:t>
      </w:r>
      <w:r w:rsidRPr="00FB7B35">
        <w:rPr>
          <w:rFonts w:eastAsia="Times New Roman" w:cs="Arial"/>
        </w:rPr>
        <w:t xml:space="preserve"> for further details.</w:t>
      </w:r>
    </w:p>
    <w:p w14:paraId="220EC6DA" w14:textId="77777777" w:rsidR="009D347E" w:rsidRPr="00FB7B35" w:rsidRDefault="009D347E" w:rsidP="00C02166">
      <w:pPr>
        <w:pStyle w:val="Heading5"/>
        <w:rPr>
          <w:rFonts w:eastAsia="Times New Roman"/>
        </w:rPr>
      </w:pPr>
      <w:r w:rsidRPr="00FB7B35">
        <w:rPr>
          <w:rFonts w:eastAsia="Times New Roman"/>
        </w:rPr>
        <w:t>Rural R&amp;D Corporation</w:t>
      </w:r>
    </w:p>
    <w:p w14:paraId="2BEF5B0F" w14:textId="77777777" w:rsidR="009D347E" w:rsidRPr="00FB7B35" w:rsidRDefault="009D347E" w:rsidP="009D347E">
      <w:pPr>
        <w:spacing w:after="120"/>
        <w:rPr>
          <w:rFonts w:eastAsia="Times New Roman" w:cs="Arial"/>
        </w:rPr>
      </w:pPr>
      <w:r w:rsidRPr="00FB7B35">
        <w:rPr>
          <w:rFonts w:eastAsia="Times New Roman" w:cs="Arial"/>
        </w:rPr>
        <w:t xml:space="preserve">There are 15 Rural Research and Development Corporations (RDCs) across agriculture, </w:t>
      </w:r>
      <w:proofErr w:type="gramStart"/>
      <w:r w:rsidRPr="00FB7B35">
        <w:rPr>
          <w:rFonts w:eastAsia="Times New Roman" w:cs="Arial"/>
        </w:rPr>
        <w:t>fisheries</w:t>
      </w:r>
      <w:proofErr w:type="gramEnd"/>
      <w:r w:rsidRPr="00FB7B35">
        <w:rPr>
          <w:rFonts w:eastAsia="Times New Roman" w:cs="Arial"/>
        </w:rPr>
        <w:t xml:space="preserve"> and forestry industries in Australia. The Rural RDCs are a network of organisations which have been formed under a partnership between different agriculture, fisheries and forestry industries and government to drive innovation and improvement in and for rural industries. RDCs invest in agricultural R&amp;D on a competitive basis and partner with public and private providers using funds from levies on production which are matched by the Commonwealth. </w:t>
      </w:r>
    </w:p>
    <w:p w14:paraId="18851B54" w14:textId="77777777" w:rsidR="009D347E" w:rsidRPr="00FB7B35" w:rsidRDefault="009D347E" w:rsidP="00C02166">
      <w:pPr>
        <w:pStyle w:val="Heading5"/>
        <w:rPr>
          <w:rFonts w:eastAsia="Times New Roman"/>
        </w:rPr>
      </w:pPr>
      <w:r w:rsidRPr="00FB7B35">
        <w:rPr>
          <w:rFonts w:eastAsia="Times New Roman"/>
        </w:rPr>
        <w:t xml:space="preserve">Well-defined mechanism for competition </w:t>
      </w:r>
    </w:p>
    <w:p w14:paraId="457626EE" w14:textId="77777777" w:rsidR="009D347E" w:rsidRPr="00FB7B35" w:rsidRDefault="009D347E" w:rsidP="009D347E">
      <w:pPr>
        <w:spacing w:after="120"/>
        <w:rPr>
          <w:rFonts w:eastAsia="Times New Roman" w:cs="Arial"/>
        </w:rPr>
      </w:pPr>
      <w:r>
        <w:rPr>
          <w:rFonts w:eastAsia="Times New Roman" w:cs="Arial"/>
        </w:rPr>
        <w:t>T</w:t>
      </w:r>
      <w:r w:rsidRPr="00FB7B35">
        <w:rPr>
          <w:rFonts w:eastAsia="Times New Roman" w:cs="Arial"/>
        </w:rPr>
        <w:t>he project or scheme has publicly available selection criteria against which all applications are assessed. The scheme has publicly available rules stating how assessments are conducted, including provisions to manage conflicts of interest which are binding on the selection panel.</w:t>
      </w:r>
    </w:p>
    <w:p w14:paraId="60C041E4" w14:textId="77777777" w:rsidR="009D347E" w:rsidRPr="00FB7B35" w:rsidRDefault="009D347E" w:rsidP="006108A9">
      <w:pPr>
        <w:pStyle w:val="Heading2"/>
      </w:pPr>
      <w:bookmarkStart w:id="270" w:name="_7.4.2_Category_2:"/>
      <w:bookmarkStart w:id="271" w:name="_Toc168817213"/>
      <w:bookmarkStart w:id="272" w:name="_Toc168824832"/>
      <w:bookmarkStart w:id="273" w:name="_Toc491172994"/>
      <w:bookmarkStart w:id="274" w:name="_Toc523214687"/>
      <w:bookmarkStart w:id="275" w:name="_Toc27055371"/>
      <w:bookmarkStart w:id="276" w:name="_Toc81230922"/>
      <w:bookmarkStart w:id="277" w:name="_Toc92461298"/>
      <w:bookmarkStart w:id="278" w:name="_Toc147503833"/>
      <w:bookmarkStart w:id="279" w:name="_Toc155863419"/>
      <w:bookmarkStart w:id="280" w:name="_Toc87171322"/>
      <w:bookmarkStart w:id="281" w:name="_Toc96678062"/>
      <w:bookmarkStart w:id="282" w:name="_Toc112733805"/>
      <w:bookmarkStart w:id="283" w:name="_Toc112734015"/>
      <w:bookmarkStart w:id="284" w:name="_Ref114290897"/>
      <w:bookmarkStart w:id="285" w:name="_Ref115748270"/>
      <w:bookmarkStart w:id="286" w:name="_Ref115748274"/>
      <w:bookmarkStart w:id="287" w:name="_Toc116182987"/>
      <w:bookmarkStart w:id="288" w:name="_Ref117493856"/>
      <w:bookmarkStart w:id="289" w:name="_Toc406668882"/>
      <w:bookmarkStart w:id="290" w:name="_Ref440032156"/>
      <w:bookmarkStart w:id="291" w:name="_Ref445299481"/>
      <w:bookmarkEnd w:id="270"/>
      <w:bookmarkEnd w:id="271"/>
      <w:bookmarkEnd w:id="272"/>
      <w:r w:rsidRPr="00FB7B35">
        <w:t>5.2</w:t>
      </w:r>
      <w:r w:rsidRPr="00FB7B35">
        <w:tab/>
        <w:t xml:space="preserve">Category 2: </w:t>
      </w:r>
      <w:r>
        <w:t>o</w:t>
      </w:r>
      <w:r w:rsidRPr="00FB7B35">
        <w:t>ther public sector R&amp;D income</w:t>
      </w:r>
      <w:bookmarkEnd w:id="273"/>
      <w:bookmarkEnd w:id="274"/>
      <w:bookmarkEnd w:id="275"/>
      <w:bookmarkEnd w:id="276"/>
      <w:bookmarkEnd w:id="277"/>
      <w:bookmarkEnd w:id="278"/>
      <w:bookmarkEnd w:id="279"/>
    </w:p>
    <w:bookmarkEnd w:id="280"/>
    <w:bookmarkEnd w:id="281"/>
    <w:bookmarkEnd w:id="282"/>
    <w:bookmarkEnd w:id="283"/>
    <w:bookmarkEnd w:id="284"/>
    <w:bookmarkEnd w:id="285"/>
    <w:bookmarkEnd w:id="286"/>
    <w:bookmarkEnd w:id="287"/>
    <w:bookmarkEnd w:id="288"/>
    <w:bookmarkEnd w:id="289"/>
    <w:bookmarkEnd w:id="290"/>
    <w:bookmarkEnd w:id="291"/>
    <w:p w14:paraId="4AACA1F7" w14:textId="77777777" w:rsidR="009D347E" w:rsidRPr="00FB7B35" w:rsidRDefault="009D347E" w:rsidP="009D347E">
      <w:pPr>
        <w:tabs>
          <w:tab w:val="num" w:pos="284"/>
          <w:tab w:val="num" w:pos="1134"/>
        </w:tabs>
        <w:spacing w:after="120"/>
        <w:rPr>
          <w:rFonts w:eastAsia="Times New Roman" w:cs="Arial"/>
        </w:rPr>
      </w:pPr>
      <w:r w:rsidRPr="00FB7B35">
        <w:rPr>
          <w:rFonts w:eastAsia="Times New Roman" w:cs="Arial"/>
          <w:iCs/>
        </w:rPr>
        <w:t>Category 2</w:t>
      </w:r>
      <w:r w:rsidRPr="00FB7B35">
        <w:rPr>
          <w:rFonts w:eastAsia="Times New Roman" w:cs="Arial"/>
        </w:rPr>
        <w:t xml:space="preserve"> consists of R&amp;D income received from the Australian public sector that is not eligible for inclusion as Category 1 income, and must be sub-categorised as follows:</w:t>
      </w:r>
    </w:p>
    <w:p w14:paraId="5BCE6E46" w14:textId="77777777" w:rsidR="009D347E" w:rsidRPr="00FB7B35" w:rsidRDefault="009D347E" w:rsidP="009D347E">
      <w:pPr>
        <w:numPr>
          <w:ilvl w:val="0"/>
          <w:numId w:val="39"/>
        </w:numPr>
        <w:tabs>
          <w:tab w:val="num" w:pos="1134"/>
        </w:tabs>
        <w:spacing w:after="120" w:line="276" w:lineRule="auto"/>
        <w:rPr>
          <w:rFonts w:eastAsia="Times New Roman" w:cs="Arial"/>
          <w:iCs/>
        </w:rPr>
      </w:pPr>
      <w:r w:rsidRPr="00FB7B35">
        <w:rPr>
          <w:rFonts w:eastAsia="Times New Roman" w:cs="Arial"/>
          <w:iCs/>
        </w:rPr>
        <w:t>Sub-category 2.1 Commonwealth (own purpose)</w:t>
      </w:r>
    </w:p>
    <w:p w14:paraId="196962B3" w14:textId="77777777" w:rsidR="009D347E" w:rsidRPr="00FB7B35" w:rsidRDefault="009D347E" w:rsidP="009D347E">
      <w:pPr>
        <w:numPr>
          <w:ilvl w:val="0"/>
          <w:numId w:val="39"/>
        </w:numPr>
        <w:tabs>
          <w:tab w:val="num" w:pos="1134"/>
        </w:tabs>
        <w:spacing w:after="120" w:line="276" w:lineRule="auto"/>
        <w:rPr>
          <w:rFonts w:eastAsia="Times New Roman" w:cs="Arial"/>
          <w:iCs/>
        </w:rPr>
      </w:pPr>
      <w:r w:rsidRPr="00FB7B35">
        <w:rPr>
          <w:rFonts w:eastAsia="Times New Roman" w:cs="Arial"/>
          <w:iCs/>
        </w:rPr>
        <w:t xml:space="preserve">Sub-category 2.2 Commonwealth (other) </w:t>
      </w:r>
    </w:p>
    <w:p w14:paraId="7AFC3CBF" w14:textId="77777777" w:rsidR="009D347E" w:rsidRPr="00FB7B35" w:rsidRDefault="009D347E" w:rsidP="009D347E">
      <w:pPr>
        <w:numPr>
          <w:ilvl w:val="0"/>
          <w:numId w:val="39"/>
        </w:numPr>
        <w:tabs>
          <w:tab w:val="num" w:pos="1134"/>
        </w:tabs>
        <w:spacing w:after="120" w:line="276" w:lineRule="auto"/>
        <w:rPr>
          <w:rFonts w:eastAsia="Times New Roman" w:cs="Arial"/>
          <w:iCs/>
        </w:rPr>
      </w:pPr>
      <w:r w:rsidRPr="00FB7B35">
        <w:rPr>
          <w:rFonts w:eastAsia="Times New Roman" w:cs="Arial"/>
          <w:iCs/>
        </w:rPr>
        <w:t>Sub-category 2.3 State/Territory/Local (own purpose)</w:t>
      </w:r>
    </w:p>
    <w:p w14:paraId="39B375C8" w14:textId="77777777" w:rsidR="009D347E" w:rsidRPr="00FB7B35" w:rsidRDefault="009D347E" w:rsidP="009D347E">
      <w:pPr>
        <w:numPr>
          <w:ilvl w:val="0"/>
          <w:numId w:val="39"/>
        </w:numPr>
        <w:tabs>
          <w:tab w:val="num" w:pos="1134"/>
        </w:tabs>
        <w:spacing w:after="120" w:line="276" w:lineRule="auto"/>
        <w:ind w:left="714" w:hanging="357"/>
        <w:rPr>
          <w:rFonts w:eastAsia="Times New Roman" w:cs="Arial"/>
          <w:iCs/>
        </w:rPr>
      </w:pPr>
      <w:r w:rsidRPr="00FB7B35">
        <w:rPr>
          <w:rFonts w:eastAsia="Times New Roman" w:cs="Arial"/>
          <w:iCs/>
        </w:rPr>
        <w:t>Sub-category 2.4 State/Territory/Local (other).</w:t>
      </w:r>
    </w:p>
    <w:p w14:paraId="34BA4004" w14:textId="77777777" w:rsidR="009D347E" w:rsidRPr="00FB7B35" w:rsidRDefault="009D347E" w:rsidP="009D347E">
      <w:pPr>
        <w:tabs>
          <w:tab w:val="num" w:pos="284"/>
          <w:tab w:val="num" w:pos="1134"/>
        </w:tabs>
        <w:spacing w:after="120"/>
        <w:rPr>
          <w:rFonts w:eastAsia="Times New Roman" w:cs="Arial"/>
        </w:rPr>
      </w:pPr>
      <w:r w:rsidRPr="00FB7B35">
        <w:rPr>
          <w:rFonts w:eastAsia="Times New Roman" w:cs="Arial"/>
        </w:rPr>
        <w:t>Public sector agencies and authorities may include:</w:t>
      </w:r>
    </w:p>
    <w:p w14:paraId="6836A26E" w14:textId="77777777" w:rsidR="009D347E" w:rsidRPr="00FB7B35" w:rsidRDefault="009D347E" w:rsidP="009D347E">
      <w:pPr>
        <w:numPr>
          <w:ilvl w:val="0"/>
          <w:numId w:val="15"/>
        </w:numPr>
        <w:tabs>
          <w:tab w:val="clear" w:pos="360"/>
          <w:tab w:val="num" w:pos="717"/>
        </w:tabs>
        <w:spacing w:after="120" w:line="276" w:lineRule="auto"/>
        <w:ind w:left="714" w:hanging="357"/>
        <w:contextualSpacing/>
        <w:rPr>
          <w:rFonts w:eastAsia="Times New Roman" w:cs="Arial"/>
        </w:rPr>
      </w:pPr>
      <w:r w:rsidRPr="00FB7B35">
        <w:rPr>
          <w:rFonts w:eastAsia="Times New Roman" w:cs="Arial"/>
        </w:rPr>
        <w:t>Businesses that are wholly or partly owned or funded by Commonwealth, state or territory, or local governments; have a board; and operate on a profit or cost-recovery basis.</w:t>
      </w:r>
    </w:p>
    <w:p w14:paraId="13025305" w14:textId="77777777" w:rsidR="009D347E" w:rsidRPr="00FB7B35" w:rsidRDefault="009D347E" w:rsidP="009D347E">
      <w:pPr>
        <w:numPr>
          <w:ilvl w:val="0"/>
          <w:numId w:val="15"/>
        </w:numPr>
        <w:tabs>
          <w:tab w:val="clear" w:pos="360"/>
          <w:tab w:val="num" w:pos="717"/>
        </w:tabs>
        <w:spacing w:after="120" w:line="276" w:lineRule="auto"/>
        <w:ind w:left="714" w:hanging="357"/>
        <w:contextualSpacing/>
        <w:rPr>
          <w:rFonts w:eastAsia="Times New Roman" w:cs="Arial"/>
        </w:rPr>
      </w:pPr>
      <w:r w:rsidRPr="00FB7B35">
        <w:rPr>
          <w:rFonts w:eastAsia="Times New Roman" w:cs="Arial"/>
        </w:rPr>
        <w:t>RDCs where they are statutory corporations or authorities.</w:t>
      </w:r>
    </w:p>
    <w:p w14:paraId="5B37A05C" w14:textId="77777777" w:rsidR="009D347E" w:rsidRPr="00FB7B35" w:rsidRDefault="009D347E" w:rsidP="009D347E">
      <w:pPr>
        <w:numPr>
          <w:ilvl w:val="0"/>
          <w:numId w:val="15"/>
        </w:numPr>
        <w:tabs>
          <w:tab w:val="clear" w:pos="360"/>
          <w:tab w:val="num" w:pos="717"/>
        </w:tabs>
        <w:spacing w:before="120" w:after="120" w:line="276" w:lineRule="auto"/>
        <w:ind w:left="714" w:hanging="357"/>
        <w:rPr>
          <w:rFonts w:eastAsia="Times New Roman" w:cs="Arial"/>
        </w:rPr>
      </w:pPr>
      <w:r w:rsidRPr="00FB7B35">
        <w:rPr>
          <w:rFonts w:eastAsia="Times New Roman" w:cs="Arial"/>
        </w:rPr>
        <w:t xml:space="preserve">CRCs, where the reporting HEP has not been defined within the Commonwealth Agreement as ‘The Researcher’ or a ’Participant’ (that is, the reporting HEP was not a signatory to the Commonwealth Agreement, a CRC Participant’s Agreement, or a Company Constitution during the reporting period). </w:t>
      </w:r>
    </w:p>
    <w:p w14:paraId="000FD672" w14:textId="77777777" w:rsidR="009D347E" w:rsidRPr="009C0ED5" w:rsidRDefault="009D347E" w:rsidP="009D347E">
      <w:r w:rsidRPr="00FB7B35">
        <w:rPr>
          <w:rFonts w:eastAsia="Times New Roman" w:cs="Arial"/>
        </w:rPr>
        <w:t xml:space="preserve">In allocating the R&amp;D income to a specific sub-category, a HEP should determine which party is the primary beneficiary of the R&amp;D activity (and associated rights to intellectual property or other </w:t>
      </w:r>
      <w:r w:rsidRPr="009C0ED5">
        <w:t>non</w:t>
      </w:r>
      <w:r w:rsidRPr="009C0ED5">
        <w:noBreakHyphen/>
        <w:t xml:space="preserve">financial assets) undertaken by the HEP or its subsidiary. </w:t>
      </w:r>
    </w:p>
    <w:p w14:paraId="7AA291E7" w14:textId="77777777" w:rsidR="009D347E" w:rsidRPr="00FB7B35" w:rsidRDefault="009D347E" w:rsidP="009D347E">
      <w:pPr>
        <w:rPr>
          <w:rFonts w:eastAsia="Times New Roman" w:cs="Arial"/>
        </w:rPr>
      </w:pPr>
      <w:r w:rsidRPr="009C0ED5">
        <w:lastRenderedPageBreak/>
        <w:t>HEPs</w:t>
      </w:r>
      <w:r w:rsidRPr="00FB7B35">
        <w:rPr>
          <w:rFonts w:eastAsia="Times New Roman" w:cs="Arial"/>
        </w:rPr>
        <w:t xml:space="preserve"> are required to consult the terms and conditions of an agreement, particularly any identified intellectual property clauses to help determine which sub-category to allocate funding to. The department applies a strict interpretation to cases where there is a requirement that the HEP must license or assign any arising intellectual property back to the government; such income must be defined as </w:t>
      </w:r>
      <w:r w:rsidRPr="00FB7B35">
        <w:rPr>
          <w:rFonts w:eastAsia="Times New Roman" w:cs="Arial"/>
          <w:iCs/>
        </w:rPr>
        <w:t>own purpose</w:t>
      </w:r>
      <w:r w:rsidRPr="00FB7B35">
        <w:rPr>
          <w:rFonts w:eastAsia="Times New Roman" w:cs="Arial"/>
        </w:rPr>
        <w:t xml:space="preserve">. This includes cases where there is shared ownership of intellectual property rights. </w:t>
      </w:r>
    </w:p>
    <w:p w14:paraId="49C4377D" w14:textId="77777777" w:rsidR="009D347E" w:rsidRPr="00FB7B35" w:rsidRDefault="009D347E" w:rsidP="006108A9">
      <w:pPr>
        <w:pStyle w:val="Heading3"/>
      </w:pPr>
      <w:bookmarkStart w:id="292" w:name="_Toc81230923"/>
      <w:bookmarkStart w:id="293" w:name="_Toc92461299"/>
      <w:bookmarkStart w:id="294" w:name="_Toc147503834"/>
      <w:bookmarkStart w:id="295" w:name="_Toc155863420"/>
      <w:r w:rsidRPr="00FB7B35">
        <w:t>5.2.1</w:t>
      </w:r>
      <w:r w:rsidRPr="00FB7B35">
        <w:tab/>
        <w:t>Commonwealth government</w:t>
      </w:r>
      <w:bookmarkEnd w:id="292"/>
      <w:bookmarkEnd w:id="293"/>
      <w:bookmarkEnd w:id="294"/>
      <w:bookmarkEnd w:id="295"/>
    </w:p>
    <w:p w14:paraId="0791A588"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Sub-category 2.1 Commonwealth (own purpose)</w:t>
      </w:r>
    </w:p>
    <w:p w14:paraId="79881431"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income from government-commissioned R&amp;D services covered by a contract or other enforceable agreement. This sub-category can also include cash contributions to competitive grants (excluding in kind contributions) such as an Australian government agency cash contribution to an ARC Linkage grant (excluding ARC funding component).</w:t>
      </w:r>
    </w:p>
    <w:p w14:paraId="747B8812"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 xml:space="preserve">As a general guide, HEPs should report R&amp;D income in the own purpose category where the HEP must licence, </w:t>
      </w:r>
      <w:proofErr w:type="gramStart"/>
      <w:r w:rsidRPr="00FB7B35">
        <w:rPr>
          <w:rFonts w:eastAsia="Times New Roman" w:cs="Arial"/>
        </w:rPr>
        <w:t>option</w:t>
      </w:r>
      <w:proofErr w:type="gramEnd"/>
      <w:r w:rsidRPr="00FB7B35">
        <w:rPr>
          <w:rFonts w:eastAsia="Times New Roman" w:cs="Arial"/>
        </w:rPr>
        <w:t xml:space="preserve"> or assign all or part of the intellectual property (or other non-financial asset) arising from the agreement back to the Commonwealth Government customer. In the case of shared ownership of intellectual property rights, HEP income should also be reported as own purpose.</w:t>
      </w:r>
    </w:p>
    <w:p w14:paraId="42200683"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Sub-category 2.2 Commonwealth (other)</w:t>
      </w:r>
    </w:p>
    <w:p w14:paraId="61A69FB0"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 xml:space="preserve">This sub-category will include all other R&amp;D income from Commonwealth agencies and authorities. </w:t>
      </w:r>
    </w:p>
    <w:p w14:paraId="50490372"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For example, this sub-category could include non-specific or untied R&amp;D funding (for example, National Institute grants), R&amp;D grant income not eligible under Category 1 and R&amp;D income where the HEP is delivering a service to a third party on behalf of government.</w:t>
      </w:r>
    </w:p>
    <w:p w14:paraId="1C160475" w14:textId="77777777" w:rsidR="009D347E" w:rsidRPr="00FB7B35" w:rsidRDefault="009D347E" w:rsidP="006108A9">
      <w:pPr>
        <w:pStyle w:val="Heading3"/>
      </w:pPr>
      <w:bookmarkStart w:id="296" w:name="_Toc81230924"/>
      <w:bookmarkStart w:id="297" w:name="_Toc92461300"/>
      <w:bookmarkStart w:id="298" w:name="_Toc147503835"/>
      <w:bookmarkStart w:id="299" w:name="_Toc155863421"/>
      <w:r w:rsidRPr="00FB7B35">
        <w:t>5.2.2</w:t>
      </w:r>
      <w:r w:rsidRPr="00FB7B35">
        <w:tab/>
        <w:t>State/territory/local government R&amp;D</w:t>
      </w:r>
      <w:bookmarkEnd w:id="296"/>
      <w:bookmarkEnd w:id="297"/>
      <w:bookmarkEnd w:id="298"/>
      <w:bookmarkEnd w:id="299"/>
    </w:p>
    <w:p w14:paraId="13B5C064"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Sub-category 2.3 State/territory/local (own purpose)</w:t>
      </w:r>
    </w:p>
    <w:p w14:paraId="3EA28589"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income from government-commissioned R&amp;D services covered by a contract or other enforceable agreement. This sub-category can also include cash contributions to competitive grants (excluding in kind contributions) such as a Queensland Government agency cash contribution to an NHMRC Partnership Project (excluding NHMRC funding component).</w:t>
      </w:r>
    </w:p>
    <w:p w14:paraId="7BE99E00"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 xml:space="preserve">As a general guide, HEPs should report R&amp;D income in the own purpose category where the HEP must licence, </w:t>
      </w:r>
      <w:proofErr w:type="gramStart"/>
      <w:r w:rsidRPr="00FB7B35">
        <w:rPr>
          <w:rFonts w:eastAsia="Times New Roman" w:cs="Arial"/>
        </w:rPr>
        <w:t>option</w:t>
      </w:r>
      <w:proofErr w:type="gramEnd"/>
      <w:r w:rsidRPr="00FB7B35">
        <w:rPr>
          <w:rFonts w:eastAsia="Times New Roman" w:cs="Arial"/>
        </w:rPr>
        <w:t xml:space="preserve"> or assign all or part of the intellectual property (or other non-financial asset) arising from the agreement back to the state, territory or local government customer. In the case of shared ownership of intellectual property rights, HEP income should also be reported as own purpose.</w:t>
      </w:r>
    </w:p>
    <w:p w14:paraId="4C5F5FE8"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Sub-category 2.4 State/territory/local (other)</w:t>
      </w:r>
    </w:p>
    <w:p w14:paraId="01EF3581"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will include all other R&amp;D income from state, territory or local government agencies and authorities.</w:t>
      </w:r>
    </w:p>
    <w:p w14:paraId="50E450C2"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For example, this sub-category could include non-specific or untied R&amp;D funding, R&amp;D grant income not eligible under Category 1, and R&amp;D income where the HEP is delivering a service to a third party on behalf of government.</w:t>
      </w:r>
      <w:bookmarkStart w:id="300" w:name="_7.4.3_Category_3:"/>
      <w:bookmarkStart w:id="301" w:name="_Toc115747820"/>
      <w:bookmarkStart w:id="302" w:name="_Toc116182988"/>
      <w:bookmarkStart w:id="303" w:name="_Toc115747821"/>
      <w:bookmarkStart w:id="304" w:name="_Toc116182989"/>
      <w:bookmarkStart w:id="305" w:name="_Toc96319878"/>
      <w:bookmarkStart w:id="306" w:name="_Toc96319995"/>
      <w:bookmarkStart w:id="307" w:name="_Toc96320101"/>
      <w:bookmarkStart w:id="308" w:name="_Toc96320227"/>
      <w:bookmarkStart w:id="309" w:name="_Toc87171323"/>
      <w:bookmarkStart w:id="310" w:name="_Toc96678063"/>
      <w:bookmarkStart w:id="311" w:name="_Toc112733806"/>
      <w:bookmarkStart w:id="312" w:name="_Toc112734016"/>
      <w:bookmarkStart w:id="313" w:name="_Ref114290910"/>
      <w:bookmarkStart w:id="314" w:name="_Toc116182990"/>
      <w:bookmarkStart w:id="315" w:name="_Toc406668883"/>
      <w:bookmarkStart w:id="316" w:name="_Toc491172995"/>
      <w:bookmarkStart w:id="317" w:name="_Toc523214688"/>
      <w:bookmarkEnd w:id="300"/>
      <w:bookmarkEnd w:id="301"/>
      <w:bookmarkEnd w:id="302"/>
      <w:bookmarkEnd w:id="303"/>
      <w:bookmarkEnd w:id="304"/>
      <w:bookmarkEnd w:id="305"/>
      <w:bookmarkEnd w:id="306"/>
      <w:bookmarkEnd w:id="307"/>
      <w:bookmarkEnd w:id="308"/>
    </w:p>
    <w:p w14:paraId="61FAF37A" w14:textId="77777777" w:rsidR="009D347E" w:rsidRPr="00FB7B35" w:rsidRDefault="009D347E" w:rsidP="006108A9">
      <w:pPr>
        <w:pStyle w:val="Heading2"/>
      </w:pPr>
      <w:bookmarkStart w:id="318" w:name="_Toc27055372"/>
      <w:bookmarkStart w:id="319" w:name="_Toc81230925"/>
      <w:bookmarkStart w:id="320" w:name="_Toc92461301"/>
      <w:bookmarkStart w:id="321" w:name="_Toc147503836"/>
      <w:bookmarkStart w:id="322" w:name="_Toc155863422"/>
      <w:r w:rsidRPr="00FB7B35">
        <w:lastRenderedPageBreak/>
        <w:t>5.3</w:t>
      </w:r>
      <w:r w:rsidRPr="00FB7B35">
        <w:tab/>
        <w:t>Category 3: Industry and other R&amp;D income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735B675C" w14:textId="77777777" w:rsidR="009D347E" w:rsidRPr="00FB7B35" w:rsidRDefault="009D347E" w:rsidP="009D347E">
      <w:pPr>
        <w:keepNext/>
        <w:keepLines/>
        <w:tabs>
          <w:tab w:val="num" w:pos="1134"/>
        </w:tabs>
        <w:spacing w:after="120"/>
        <w:rPr>
          <w:rFonts w:eastAsia="Times New Roman" w:cs="Arial"/>
        </w:rPr>
      </w:pPr>
      <w:r w:rsidRPr="00FB7B35">
        <w:rPr>
          <w:rFonts w:eastAsia="Times New Roman" w:cs="Arial"/>
          <w:iCs/>
        </w:rPr>
        <w:t>Category 3</w:t>
      </w:r>
      <w:r w:rsidRPr="00FB7B35">
        <w:rPr>
          <w:rFonts w:eastAsia="Times New Roman" w:cs="Arial"/>
        </w:rPr>
        <w:t xml:space="preserve"> consists of R&amp;D income received from the private sector, philanthropic and international sources that are not eligible as Category 1 or Category 2 R&amp;D income, and</w:t>
      </w:r>
      <w:r w:rsidRPr="00FB7B35">
        <w:rPr>
          <w:rFonts w:eastAsia="Times New Roman" w:cs="Arial"/>
          <w:i/>
        </w:rPr>
        <w:t xml:space="preserve"> </w:t>
      </w:r>
      <w:r w:rsidRPr="00FB7B35">
        <w:rPr>
          <w:rFonts w:eastAsia="Times New Roman" w:cs="Arial"/>
        </w:rPr>
        <w:t>must be sub-categorised as follows:</w:t>
      </w:r>
    </w:p>
    <w:p w14:paraId="14991EAC"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3.1 Australian for-profit organisations</w:t>
      </w:r>
    </w:p>
    <w:p w14:paraId="513A75D7"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3.2 Australian not-for profit organisations</w:t>
      </w:r>
    </w:p>
    <w:p w14:paraId="4AC78C47"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3.3 Australian philanthropy</w:t>
      </w:r>
    </w:p>
    <w:p w14:paraId="645D4B18"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3.4 International for-profit organisations</w:t>
      </w:r>
    </w:p>
    <w:p w14:paraId="6A16C69C"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3.5 International not-for profit organisations</w:t>
      </w:r>
    </w:p>
    <w:p w14:paraId="06CE4849"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3.6 International philanthropy</w:t>
      </w:r>
    </w:p>
    <w:p w14:paraId="32B7C46E"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3.7 International government (own purpose)</w:t>
      </w:r>
    </w:p>
    <w:p w14:paraId="4EF7745F" w14:textId="77777777" w:rsidR="009D347E" w:rsidRPr="00FB7B35" w:rsidRDefault="009D347E" w:rsidP="009D347E">
      <w:pPr>
        <w:numPr>
          <w:ilvl w:val="0"/>
          <w:numId w:val="40"/>
        </w:numPr>
        <w:tabs>
          <w:tab w:val="num" w:pos="1134"/>
        </w:tabs>
        <w:spacing w:after="120" w:line="276" w:lineRule="auto"/>
        <w:rPr>
          <w:rFonts w:eastAsia="Times New Roman" w:cs="Arial"/>
          <w:iCs/>
        </w:rPr>
      </w:pPr>
      <w:r w:rsidRPr="00FB7B35">
        <w:rPr>
          <w:rFonts w:eastAsia="Times New Roman" w:cs="Arial"/>
          <w:iCs/>
        </w:rPr>
        <w:t>Sub-category 3.8 International government (other).</w:t>
      </w:r>
    </w:p>
    <w:p w14:paraId="06383423" w14:textId="77777777" w:rsidR="009D347E" w:rsidRPr="00FB7B35" w:rsidRDefault="009D347E" w:rsidP="006108A9">
      <w:pPr>
        <w:pStyle w:val="Heading3"/>
      </w:pPr>
      <w:bookmarkStart w:id="323" w:name="_Toc81230926"/>
      <w:bookmarkStart w:id="324" w:name="_Toc92461302"/>
      <w:bookmarkStart w:id="325" w:name="_Toc147503837"/>
      <w:bookmarkStart w:id="326" w:name="_Toc155863423"/>
      <w:r w:rsidRPr="00FB7B35">
        <w:t>5.3.1</w:t>
      </w:r>
      <w:r w:rsidRPr="00FB7B35">
        <w:tab/>
        <w:t>Australian private sector</w:t>
      </w:r>
      <w:bookmarkEnd w:id="323"/>
      <w:bookmarkEnd w:id="324"/>
      <w:bookmarkEnd w:id="325"/>
      <w:bookmarkEnd w:id="326"/>
    </w:p>
    <w:p w14:paraId="3534CB1A" w14:textId="77777777" w:rsidR="009D347E" w:rsidRPr="00FB7B35" w:rsidRDefault="009D347E" w:rsidP="009D347E">
      <w:pPr>
        <w:tabs>
          <w:tab w:val="num" w:pos="851"/>
          <w:tab w:val="num" w:pos="1134"/>
        </w:tabs>
        <w:spacing w:after="120"/>
        <w:rPr>
          <w:rFonts w:eastAsia="Times New Roman" w:cs="Arial"/>
          <w:b/>
          <w:bCs/>
        </w:rPr>
      </w:pPr>
      <w:r w:rsidRPr="00FB7B35">
        <w:rPr>
          <w:rFonts w:eastAsia="Times New Roman" w:cs="Arial"/>
        </w:rPr>
        <w:t xml:space="preserve">Income in this sub-category can include any R&amp;D commissioned by the Australian private sector. Income in this sub-category also includes cash contributions (excluding in-kind contributions) to competitive grants and R&amp;D grant income from Australian private sector organisations where the organisation or grant scheme is not considered to be Category 1 (see </w:t>
      </w:r>
      <w:r w:rsidRPr="00FB7B35">
        <w:rPr>
          <w:rFonts w:eastAsia="Times New Roman" w:cs="Arial"/>
          <w:b/>
          <w:bCs/>
        </w:rPr>
        <w:t>section 5.1.1</w:t>
      </w:r>
      <w:r w:rsidRPr="00FB7B35">
        <w:rPr>
          <w:rFonts w:eastAsia="Times New Roman" w:cs="Arial"/>
        </w:rPr>
        <w:t xml:space="preserve">). </w:t>
      </w:r>
    </w:p>
    <w:p w14:paraId="45607A9D"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The Australian private sector sub-category is divided into R&amp;D income from for profit and not</w:t>
      </w:r>
      <w:r w:rsidRPr="00FB7B35">
        <w:rPr>
          <w:rFonts w:eastAsia="Times New Roman" w:cs="Arial"/>
        </w:rPr>
        <w:noBreakHyphen/>
        <w:t>for</w:t>
      </w:r>
      <w:r w:rsidRPr="00FB7B35">
        <w:rPr>
          <w:rFonts w:eastAsia="Times New Roman" w:cs="Arial"/>
        </w:rPr>
        <w:noBreakHyphen/>
        <w:t>profit organisations.</w:t>
      </w:r>
    </w:p>
    <w:p w14:paraId="214CAE88"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Sub-category 3.1 Australian for-profit organisations</w:t>
      </w:r>
    </w:p>
    <w:p w14:paraId="15D0548D"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income for R&amp;D from:</w:t>
      </w:r>
    </w:p>
    <w:p w14:paraId="74486116" w14:textId="77777777" w:rsidR="009D347E" w:rsidRPr="00FB7B35" w:rsidRDefault="009D347E" w:rsidP="009D347E">
      <w:pPr>
        <w:numPr>
          <w:ilvl w:val="0"/>
          <w:numId w:val="38"/>
        </w:numPr>
        <w:tabs>
          <w:tab w:val="num" w:pos="851"/>
          <w:tab w:val="num" w:pos="1134"/>
        </w:tabs>
        <w:spacing w:after="120" w:line="276" w:lineRule="auto"/>
        <w:ind w:left="709" w:hanging="283"/>
        <w:rPr>
          <w:rFonts w:eastAsia="Times New Roman" w:cs="Arial"/>
        </w:rPr>
      </w:pPr>
      <w:r w:rsidRPr="00FB7B35">
        <w:rPr>
          <w:rFonts w:eastAsia="Times New Roman" w:cs="Arial"/>
        </w:rPr>
        <w:t xml:space="preserve">any for-profit business located in Australia including multi-nationals with their head office based in Australia or Australian subsidiaries of multi-national </w:t>
      </w:r>
      <w:proofErr w:type="gramStart"/>
      <w:r w:rsidRPr="00FB7B35">
        <w:rPr>
          <w:rFonts w:eastAsia="Times New Roman" w:cs="Arial"/>
        </w:rPr>
        <w:t>enterprises</w:t>
      </w:r>
      <w:proofErr w:type="gramEnd"/>
    </w:p>
    <w:p w14:paraId="17C18E38" w14:textId="77777777" w:rsidR="009D347E" w:rsidRPr="00FB7B35" w:rsidRDefault="009D347E" w:rsidP="009D347E">
      <w:pPr>
        <w:numPr>
          <w:ilvl w:val="0"/>
          <w:numId w:val="38"/>
        </w:numPr>
        <w:tabs>
          <w:tab w:val="num" w:pos="851"/>
          <w:tab w:val="num" w:pos="1134"/>
        </w:tabs>
        <w:spacing w:after="120" w:line="276" w:lineRule="auto"/>
        <w:ind w:left="709" w:hanging="283"/>
        <w:rPr>
          <w:rFonts w:eastAsia="Times New Roman" w:cs="Arial"/>
        </w:rPr>
      </w:pPr>
      <w:r w:rsidRPr="00FB7B35">
        <w:rPr>
          <w:rFonts w:eastAsia="Times New Roman" w:cs="Arial"/>
        </w:rPr>
        <w:t>syndicated R&amp;D arrangements</w:t>
      </w:r>
    </w:p>
    <w:p w14:paraId="7779AC51" w14:textId="77777777" w:rsidR="009D347E" w:rsidRPr="00FB7B35" w:rsidRDefault="009D347E" w:rsidP="009D347E">
      <w:pPr>
        <w:numPr>
          <w:ilvl w:val="0"/>
          <w:numId w:val="38"/>
        </w:numPr>
        <w:tabs>
          <w:tab w:val="num" w:pos="851"/>
          <w:tab w:val="num" w:pos="1134"/>
        </w:tabs>
        <w:spacing w:after="120" w:line="276" w:lineRule="auto"/>
        <w:ind w:left="709" w:hanging="283"/>
        <w:rPr>
          <w:rFonts w:eastAsia="Times New Roman" w:cs="Arial"/>
        </w:rPr>
      </w:pPr>
      <w:r w:rsidRPr="00FB7B35">
        <w:rPr>
          <w:rFonts w:eastAsia="Times New Roman" w:cs="Arial"/>
        </w:rPr>
        <w:t>any for-profit, industry-owned Research and Development Corporation.</w:t>
      </w:r>
    </w:p>
    <w:p w14:paraId="11D4A58D" w14:textId="77777777" w:rsidR="009D347E" w:rsidRPr="00FB7B35" w:rsidRDefault="009D347E" w:rsidP="009D347E">
      <w:pPr>
        <w:tabs>
          <w:tab w:val="num" w:pos="851"/>
          <w:tab w:val="num" w:pos="1134"/>
        </w:tabs>
        <w:spacing w:after="120"/>
        <w:rPr>
          <w:rFonts w:eastAsia="Times New Roman" w:cs="Arial"/>
          <w:i/>
          <w:iCs/>
        </w:rPr>
      </w:pPr>
      <w:r w:rsidRPr="00FB7B35">
        <w:rPr>
          <w:rFonts w:eastAsia="Times New Roman" w:cs="Arial"/>
        </w:rPr>
        <w:t xml:space="preserve">The Australian Business Register’s </w:t>
      </w:r>
      <w:hyperlink r:id="rId35" w:history="1">
        <w:r w:rsidRPr="007A2B63">
          <w:rPr>
            <w:rStyle w:val="Hyperlink"/>
          </w:rPr>
          <w:t>ABN look-up</w:t>
        </w:r>
      </w:hyperlink>
      <w:r w:rsidRPr="00FB7B35">
        <w:rPr>
          <w:rFonts w:eastAsia="Times New Roman" w:cs="Arial"/>
        </w:rPr>
        <w:t xml:space="preserve"> can be used to help determine if a business is registered in Australia.</w:t>
      </w:r>
    </w:p>
    <w:p w14:paraId="25DFCB18"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Sub-category 3.2 Australian not-for-</w:t>
      </w:r>
      <w:r w:rsidRPr="00210F56">
        <w:rPr>
          <w:rFonts w:ascii="Calibri" w:eastAsiaTheme="majorEastAsia" w:hAnsi="Calibri" w:cstheme="majorBidi"/>
          <w:iCs/>
          <w:color w:val="5F6369"/>
          <w:sz w:val="26"/>
        </w:rPr>
        <w:t>profit</w:t>
      </w:r>
      <w:r w:rsidRPr="00FB7B35">
        <w:rPr>
          <w:rFonts w:ascii="Calibri" w:eastAsiaTheme="majorEastAsia" w:hAnsi="Calibri" w:cstheme="majorBidi"/>
          <w:iCs/>
          <w:color w:val="5F6369"/>
          <w:sz w:val="26"/>
        </w:rPr>
        <w:t xml:space="preserve"> organisations</w:t>
      </w:r>
    </w:p>
    <w:p w14:paraId="157F2C64"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 xml:space="preserve">This sub-category includes R&amp;D income from any private, not-for-profit organisation based in Australia. This includes income from mutuals, cooperatives, </w:t>
      </w:r>
      <w:proofErr w:type="gramStart"/>
      <w:r w:rsidRPr="00FB7B35">
        <w:rPr>
          <w:rFonts w:eastAsia="Times New Roman" w:cs="Arial"/>
        </w:rPr>
        <w:t>charities</w:t>
      </w:r>
      <w:proofErr w:type="gramEnd"/>
      <w:r w:rsidRPr="00FB7B35">
        <w:rPr>
          <w:rFonts w:eastAsia="Times New Roman" w:cs="Arial"/>
        </w:rPr>
        <w:t xml:space="preserve"> and foundations.</w:t>
      </w:r>
    </w:p>
    <w:p w14:paraId="4AD6B58B" w14:textId="77777777" w:rsidR="009D347E" w:rsidRPr="00FB7B35" w:rsidRDefault="009D347E" w:rsidP="009D347E">
      <w:pPr>
        <w:tabs>
          <w:tab w:val="num" w:pos="851"/>
          <w:tab w:val="num" w:pos="1134"/>
        </w:tabs>
        <w:spacing w:after="120"/>
        <w:rPr>
          <w:rFonts w:eastAsia="Times New Roman" w:cs="Arial"/>
          <w:u w:val="single"/>
        </w:rPr>
      </w:pPr>
      <w:r w:rsidRPr="00FB7B35">
        <w:rPr>
          <w:rFonts w:eastAsia="Times New Roman" w:cs="Arial"/>
        </w:rPr>
        <w:t xml:space="preserve">A not-for-profit organisation does not operate for the profit or gain of its individual members, whether these gains would have been direct or indirect. A not-for-profit organisation can take many forms. For further guidance on how to identify not-for-profit organisations, please refer to the </w:t>
      </w:r>
      <w:hyperlink r:id="rId36" w:history="1">
        <w:r w:rsidRPr="007A2B63">
          <w:rPr>
            <w:rStyle w:val="Hyperlink"/>
          </w:rPr>
          <w:t>Australian Tax Office</w:t>
        </w:r>
      </w:hyperlink>
      <w:r w:rsidRPr="00FB7B35">
        <w:rPr>
          <w:rFonts w:eastAsia="Times New Roman" w:cs="Arial"/>
        </w:rPr>
        <w:t xml:space="preserve"> or the </w:t>
      </w:r>
      <w:hyperlink r:id="rId37" w:history="1">
        <w:r w:rsidRPr="007A2B63">
          <w:rPr>
            <w:rStyle w:val="Hyperlink"/>
          </w:rPr>
          <w:t>Australian Charities and Not-for-profits Commission</w:t>
        </w:r>
      </w:hyperlink>
      <w:r w:rsidRPr="007A2B63">
        <w:rPr>
          <w:rStyle w:val="Hyperlink"/>
        </w:rPr>
        <w:t xml:space="preserve"> (ACNC)</w:t>
      </w:r>
      <w:r w:rsidRPr="00FB7B35">
        <w:rPr>
          <w:rFonts w:eastAsia="Times New Roman" w:cs="Arial"/>
        </w:rPr>
        <w:t xml:space="preserve">. The Australian Business Register </w:t>
      </w:r>
      <w:hyperlink r:id="rId38" w:history="1">
        <w:r w:rsidRPr="007A2B63">
          <w:rPr>
            <w:rStyle w:val="Hyperlink"/>
          </w:rPr>
          <w:t>ABN look-up</w:t>
        </w:r>
      </w:hyperlink>
      <w:r w:rsidRPr="00FB7B35">
        <w:rPr>
          <w:rFonts w:eastAsia="Times New Roman" w:cs="Arial"/>
        </w:rPr>
        <w:t xml:space="preserve"> can be used to help determine if the R&amp;D income is from a not-for profit organisation and/or is registered with ACNC. A HEP may wish to contact the organisation to clarify the organisation’s status.</w:t>
      </w:r>
    </w:p>
    <w:p w14:paraId="29FF7EB2" w14:textId="77777777" w:rsidR="009D347E" w:rsidRPr="00210F56" w:rsidRDefault="009D347E" w:rsidP="009D347E">
      <w:pPr>
        <w:pStyle w:val="Heading4"/>
        <w:rPr>
          <w:rFonts w:asciiTheme="minorHAnsi" w:hAnsiTheme="minorHAnsi" w:cstheme="minorHAnsi"/>
          <w:b w:val="0"/>
          <w:bCs/>
          <w:color w:val="5F6369"/>
          <w:sz w:val="26"/>
          <w:szCs w:val="26"/>
        </w:rPr>
      </w:pPr>
      <w:bookmarkStart w:id="327" w:name="_Toc155863424"/>
      <w:r w:rsidRPr="00210F56">
        <w:rPr>
          <w:rFonts w:asciiTheme="minorHAnsi" w:hAnsiTheme="minorHAnsi" w:cstheme="minorHAnsi"/>
          <w:b w:val="0"/>
          <w:bCs/>
          <w:color w:val="5F6369"/>
          <w:sz w:val="26"/>
          <w:szCs w:val="26"/>
        </w:rPr>
        <w:lastRenderedPageBreak/>
        <w:t>Sub-category 3.3 Australian philanthropy</w:t>
      </w:r>
      <w:bookmarkEnd w:id="327"/>
    </w:p>
    <w:p w14:paraId="49AC4D67" w14:textId="77777777" w:rsidR="009D347E" w:rsidRPr="00FB7B35" w:rsidRDefault="009D347E" w:rsidP="009D347E">
      <w:pPr>
        <w:tabs>
          <w:tab w:val="num" w:pos="1134"/>
        </w:tabs>
        <w:spacing w:after="120"/>
        <w:contextualSpacing/>
        <w:rPr>
          <w:rFonts w:eastAsia="Times New Roman" w:cs="Arial"/>
        </w:rPr>
      </w:pPr>
      <w:r w:rsidRPr="00FB7B35">
        <w:rPr>
          <w:rFonts w:eastAsia="Times New Roman" w:cs="Arial"/>
        </w:rPr>
        <w:t xml:space="preserve">This sub-category includes donations, bequests, endowments and </w:t>
      </w:r>
      <w:proofErr w:type="gramStart"/>
      <w:r w:rsidRPr="00FB7B35">
        <w:rPr>
          <w:rFonts w:eastAsia="Times New Roman" w:cs="Arial"/>
        </w:rPr>
        <w:t>crowd-funding</w:t>
      </w:r>
      <w:proofErr w:type="gramEnd"/>
      <w:r w:rsidRPr="00FB7B35">
        <w:rPr>
          <w:rFonts w:eastAsia="Times New Roman" w:cs="Arial"/>
        </w:rPr>
        <w:t xml:space="preserve"> for the conduct of R&amp;D that have been received from any Australian source, and are defined as follows:</w:t>
      </w:r>
    </w:p>
    <w:p w14:paraId="722240FB" w14:textId="77777777" w:rsidR="009D347E" w:rsidRPr="00FB7B35" w:rsidRDefault="009D347E" w:rsidP="009D347E">
      <w:pPr>
        <w:keepNext/>
        <w:keepLines/>
        <w:spacing w:before="240" w:after="0"/>
        <w:outlineLvl w:val="4"/>
        <w:rPr>
          <w:rFonts w:ascii="Calibri" w:eastAsiaTheme="majorEastAsia" w:hAnsi="Calibri" w:cstheme="majorBidi"/>
          <w:b/>
          <w:color w:val="5F6369"/>
        </w:rPr>
      </w:pPr>
      <w:r w:rsidRPr="00FB7B35">
        <w:rPr>
          <w:rFonts w:ascii="Calibri" w:eastAsiaTheme="majorEastAsia" w:hAnsi="Calibri" w:cstheme="majorBidi"/>
          <w:b/>
          <w:color w:val="5F6369"/>
        </w:rPr>
        <w:t>Donation</w:t>
      </w:r>
    </w:p>
    <w:p w14:paraId="2723D1D9" w14:textId="77777777" w:rsidR="009D347E" w:rsidRPr="00FB7B35" w:rsidRDefault="009D347E" w:rsidP="009D347E">
      <w:pPr>
        <w:spacing w:after="120"/>
        <w:rPr>
          <w:rFonts w:eastAsia="Times New Roman" w:cs="Arial"/>
        </w:rPr>
      </w:pPr>
      <w:r w:rsidRPr="00FB7B35">
        <w:rPr>
          <w:rFonts w:eastAsia="Times New Roman" w:cs="Arial"/>
        </w:rPr>
        <w:t>A donation is defined as money given to a HEP by a donor for a broad R&amp;D purpose with no reciprocal expectation of material benefits or advantage such as specific R&amp;D deliverables and reporting except for recognition of the donor and the expenditure of the money in accordance with the donor's wishes.</w:t>
      </w:r>
    </w:p>
    <w:p w14:paraId="243644A1" w14:textId="77777777" w:rsidR="009D347E" w:rsidRPr="00FB7B35" w:rsidRDefault="009D347E" w:rsidP="009D347E">
      <w:pPr>
        <w:keepNext/>
        <w:keepLines/>
        <w:spacing w:before="240" w:after="0"/>
        <w:outlineLvl w:val="4"/>
        <w:rPr>
          <w:rFonts w:ascii="Calibri" w:eastAsiaTheme="majorEastAsia" w:hAnsi="Calibri" w:cstheme="majorBidi"/>
          <w:b/>
          <w:color w:val="5F6369"/>
        </w:rPr>
      </w:pPr>
      <w:r w:rsidRPr="00FB7B35">
        <w:rPr>
          <w:rFonts w:ascii="Calibri" w:eastAsiaTheme="majorEastAsia" w:hAnsi="Calibri" w:cstheme="majorBidi"/>
          <w:b/>
          <w:color w:val="5F6369"/>
        </w:rPr>
        <w:t>Bequest</w:t>
      </w:r>
    </w:p>
    <w:p w14:paraId="50F3A350" w14:textId="77777777" w:rsidR="009D347E" w:rsidRPr="00FB7B35" w:rsidRDefault="009D347E" w:rsidP="009D347E">
      <w:r w:rsidRPr="00FB7B35">
        <w:t>A bequest has all the elements of a donation except that it is received from the estate of a deceased person.</w:t>
      </w:r>
    </w:p>
    <w:p w14:paraId="2DCD1133" w14:textId="77777777" w:rsidR="009D347E" w:rsidRPr="00FB7B35" w:rsidRDefault="009D347E" w:rsidP="009D347E">
      <w:pPr>
        <w:keepNext/>
        <w:keepLines/>
        <w:spacing w:before="240" w:after="0"/>
        <w:outlineLvl w:val="4"/>
        <w:rPr>
          <w:rFonts w:ascii="Calibri" w:eastAsiaTheme="majorEastAsia" w:hAnsi="Calibri" w:cstheme="majorBidi"/>
          <w:b/>
          <w:color w:val="5F6369"/>
        </w:rPr>
      </w:pPr>
      <w:r w:rsidRPr="00FB7B35">
        <w:rPr>
          <w:rFonts w:ascii="Calibri" w:eastAsiaTheme="majorEastAsia" w:hAnsi="Calibri" w:cstheme="majorBidi"/>
          <w:b/>
          <w:color w:val="5F6369"/>
        </w:rPr>
        <w:t>Endowment</w:t>
      </w:r>
    </w:p>
    <w:p w14:paraId="2F19A2E7" w14:textId="77777777" w:rsidR="009D347E" w:rsidRPr="00FB7B35" w:rsidRDefault="009D347E" w:rsidP="009D347E">
      <w:pPr>
        <w:spacing w:after="120"/>
        <w:rPr>
          <w:rFonts w:eastAsia="Times New Roman" w:cs="Arial"/>
        </w:rPr>
      </w:pPr>
      <w:r w:rsidRPr="00FB7B35">
        <w:rPr>
          <w:rFonts w:eastAsia="Times New Roman" w:cs="Arial"/>
        </w:rPr>
        <w:t>An endowment is a transfer of an asset to a HEP for the ongoing support of R&amp;D and may (but not necessarily) be made as part of a donation or bequest. An endowment may be made for the perpetual benefit of the entity in that the transfer is made with a requirement for the principal to be preserved, and only income earned on investment activity to be made available for R&amp;D expenditure.</w:t>
      </w:r>
    </w:p>
    <w:p w14:paraId="058B3570" w14:textId="77777777" w:rsidR="009D347E" w:rsidRPr="00FB7B35" w:rsidRDefault="009D347E" w:rsidP="009D347E">
      <w:pPr>
        <w:keepNext/>
        <w:keepLines/>
        <w:spacing w:before="240" w:after="0"/>
        <w:outlineLvl w:val="4"/>
        <w:rPr>
          <w:rFonts w:ascii="Calibri" w:eastAsiaTheme="majorEastAsia" w:hAnsi="Calibri" w:cstheme="majorBidi"/>
          <w:b/>
          <w:color w:val="5F6369"/>
        </w:rPr>
      </w:pPr>
      <w:proofErr w:type="gramStart"/>
      <w:r w:rsidRPr="00FB7B35">
        <w:rPr>
          <w:rFonts w:ascii="Calibri" w:eastAsiaTheme="majorEastAsia" w:hAnsi="Calibri" w:cstheme="majorBidi"/>
          <w:b/>
          <w:color w:val="5F6369"/>
        </w:rPr>
        <w:t>Crowd-funding</w:t>
      </w:r>
      <w:proofErr w:type="gramEnd"/>
    </w:p>
    <w:p w14:paraId="488DC209" w14:textId="77777777" w:rsidR="009D347E" w:rsidRPr="00FB7B35" w:rsidRDefault="009D347E" w:rsidP="009D347E">
      <w:pPr>
        <w:spacing w:after="120"/>
        <w:rPr>
          <w:rFonts w:eastAsia="Times New Roman" w:cs="Arial"/>
        </w:rPr>
      </w:pPr>
      <w:proofErr w:type="gramStart"/>
      <w:r w:rsidRPr="00FB7B35">
        <w:rPr>
          <w:rFonts w:eastAsia="Times New Roman" w:cs="Arial"/>
        </w:rPr>
        <w:t>Crowd</w:t>
      </w:r>
      <w:r w:rsidRPr="00FB7B35">
        <w:rPr>
          <w:rFonts w:eastAsia="Times New Roman" w:cs="Arial"/>
          <w:i/>
          <w:iCs/>
        </w:rPr>
        <w:t>-</w:t>
      </w:r>
      <w:r w:rsidRPr="00FB7B35">
        <w:rPr>
          <w:rFonts w:eastAsia="Times New Roman" w:cs="Arial"/>
        </w:rPr>
        <w:t>funding</w:t>
      </w:r>
      <w:proofErr w:type="gramEnd"/>
      <w:r w:rsidRPr="00FB7B35">
        <w:rPr>
          <w:rFonts w:eastAsia="Times New Roman" w:cs="Arial"/>
        </w:rPr>
        <w:t xml:space="preserve"> is a type of (typically online) fundraising that allows a large number of individuals to make small financial contributions towards an R&amp;D project with little or no expectation of equal value return. To be eligible to report this income, any agreement with individual contributors must be non-reciprocal in nature, have no specific performance obligations and no obligation to licence, option or assign the intellectual property (or other non-financial asset) arising from the agreement back to the individual. All crowd-funding income should be reported in this sub-category, regardless of the proportion of </w:t>
      </w:r>
      <w:proofErr w:type="gramStart"/>
      <w:r w:rsidRPr="00FB7B35">
        <w:rPr>
          <w:rFonts w:eastAsia="Times New Roman" w:cs="Arial"/>
        </w:rPr>
        <w:t>crowd-funding</w:t>
      </w:r>
      <w:proofErr w:type="gramEnd"/>
      <w:r w:rsidRPr="00FB7B35">
        <w:rPr>
          <w:rFonts w:eastAsia="Times New Roman" w:cs="Arial"/>
        </w:rPr>
        <w:t xml:space="preserve"> from international donors.</w:t>
      </w:r>
    </w:p>
    <w:p w14:paraId="01599D87" w14:textId="77777777" w:rsidR="009D347E" w:rsidRPr="00FB7B35" w:rsidRDefault="009D347E" w:rsidP="009D347E">
      <w:r w:rsidRPr="00FB7B35">
        <w:t xml:space="preserve">Where all, or a proportion, of a donation, bequest, endowment, or </w:t>
      </w:r>
      <w:proofErr w:type="gramStart"/>
      <w:r w:rsidRPr="00FB7B35">
        <w:t>crowd-funding</w:t>
      </w:r>
      <w:proofErr w:type="gramEnd"/>
      <w:r w:rsidRPr="00FB7B35">
        <w:t xml:space="preserve"> is invested, then only the income earned from that investment which is available for expenditure on R&amp;D in the reference year should be included in the sub-category unless it is expressly for the purposes of R&amp;D.</w:t>
      </w:r>
    </w:p>
    <w:p w14:paraId="65FCF7BE" w14:textId="77777777" w:rsidR="009D347E" w:rsidRPr="00FB7B35" w:rsidRDefault="009D347E" w:rsidP="006108A9">
      <w:pPr>
        <w:pStyle w:val="Heading3"/>
      </w:pPr>
      <w:bookmarkStart w:id="328" w:name="_Toc81230927"/>
      <w:bookmarkStart w:id="329" w:name="_Toc92461303"/>
      <w:bookmarkStart w:id="330" w:name="_Toc147503838"/>
      <w:bookmarkStart w:id="331" w:name="_Toc155863425"/>
      <w:r w:rsidRPr="00FB7B35">
        <w:t>5.3.2</w:t>
      </w:r>
      <w:r w:rsidRPr="00FB7B35">
        <w:tab/>
        <w:t>International private sector</w:t>
      </w:r>
      <w:bookmarkEnd w:id="328"/>
      <w:bookmarkEnd w:id="329"/>
      <w:bookmarkEnd w:id="330"/>
      <w:bookmarkEnd w:id="331"/>
    </w:p>
    <w:p w14:paraId="34B91A9A" w14:textId="77777777" w:rsidR="009D347E" w:rsidRPr="00FB7B35" w:rsidRDefault="009D347E" w:rsidP="009D347E">
      <w:pPr>
        <w:tabs>
          <w:tab w:val="num" w:pos="1134"/>
        </w:tabs>
        <w:spacing w:after="120"/>
        <w:contextualSpacing/>
        <w:rPr>
          <w:rFonts w:eastAsia="Times New Roman" w:cs="Arial"/>
        </w:rPr>
      </w:pPr>
      <w:r w:rsidRPr="00FB7B35">
        <w:rPr>
          <w:rFonts w:eastAsia="Times New Roman" w:cs="Arial"/>
        </w:rPr>
        <w:t>Income can include any R&amp;D commissioned by the international private sector. Income in this sub-category also includes cash contributions to competitive grants (excluding in kind contributions).</w:t>
      </w:r>
    </w:p>
    <w:p w14:paraId="3C3E5E70" w14:textId="77777777" w:rsidR="009D347E" w:rsidRPr="00FB7B35" w:rsidRDefault="009D347E" w:rsidP="009D347E">
      <w:pPr>
        <w:tabs>
          <w:tab w:val="num" w:pos="1134"/>
        </w:tabs>
        <w:spacing w:after="120"/>
        <w:rPr>
          <w:rFonts w:eastAsia="Times New Roman" w:cs="Arial"/>
        </w:rPr>
      </w:pPr>
      <w:r w:rsidRPr="00FB7B35">
        <w:rPr>
          <w:rFonts w:eastAsia="Times New Roman" w:cs="Arial"/>
        </w:rPr>
        <w:t xml:space="preserve">The international private sector sub-category is divided into R&amp;D income from </w:t>
      </w:r>
      <w:r w:rsidRPr="00FB7B35">
        <w:rPr>
          <w:rFonts w:eastAsia="Times New Roman" w:cs="Arial"/>
          <w:iCs/>
        </w:rPr>
        <w:t>for profit</w:t>
      </w:r>
      <w:r w:rsidRPr="00FB7B35">
        <w:rPr>
          <w:rFonts w:eastAsia="Times New Roman" w:cs="Arial"/>
        </w:rPr>
        <w:t xml:space="preserve"> and </w:t>
      </w:r>
      <w:r w:rsidRPr="00FB7B35">
        <w:rPr>
          <w:rFonts w:eastAsia="Times New Roman" w:cs="Arial"/>
          <w:iCs/>
        </w:rPr>
        <w:t>not</w:t>
      </w:r>
      <w:r w:rsidRPr="00FB7B35">
        <w:rPr>
          <w:rFonts w:eastAsia="Times New Roman" w:cs="Arial"/>
          <w:iCs/>
        </w:rPr>
        <w:noBreakHyphen/>
        <w:t>for</w:t>
      </w:r>
      <w:r w:rsidRPr="00FB7B35">
        <w:rPr>
          <w:rFonts w:eastAsia="Times New Roman" w:cs="Arial"/>
          <w:iCs/>
        </w:rPr>
        <w:noBreakHyphen/>
        <w:t>profit</w:t>
      </w:r>
      <w:r w:rsidRPr="00FB7B35">
        <w:rPr>
          <w:rFonts w:eastAsia="Times New Roman" w:cs="Arial"/>
        </w:rPr>
        <w:t xml:space="preserve"> organisations.</w:t>
      </w:r>
    </w:p>
    <w:p w14:paraId="3FB9B605"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 xml:space="preserve">Sub-category 3.4 </w:t>
      </w:r>
      <w:r>
        <w:rPr>
          <w:rFonts w:ascii="Calibri" w:eastAsiaTheme="majorEastAsia" w:hAnsi="Calibri" w:cstheme="majorBidi"/>
          <w:iCs/>
          <w:color w:val="5F6369"/>
          <w:sz w:val="26"/>
        </w:rPr>
        <w:t>i</w:t>
      </w:r>
      <w:r w:rsidRPr="00FB7B35">
        <w:rPr>
          <w:rFonts w:ascii="Calibri" w:eastAsiaTheme="majorEastAsia" w:hAnsi="Calibri" w:cstheme="majorBidi"/>
          <w:iCs/>
          <w:color w:val="5F6369"/>
          <w:sz w:val="26"/>
        </w:rPr>
        <w:t>nternational for-profit organisations</w:t>
      </w:r>
    </w:p>
    <w:p w14:paraId="5288B4A8" w14:textId="77777777" w:rsidR="009D347E" w:rsidRPr="00FB7B35" w:rsidRDefault="009D347E" w:rsidP="009D347E">
      <w:pPr>
        <w:tabs>
          <w:tab w:val="left" w:pos="720"/>
        </w:tabs>
        <w:spacing w:after="120"/>
        <w:rPr>
          <w:rFonts w:eastAsia="Times New Roman" w:cs="Arial"/>
        </w:rPr>
      </w:pPr>
      <w:r w:rsidRPr="00FB7B35">
        <w:rPr>
          <w:rFonts w:eastAsia="Times New Roman" w:cs="Arial"/>
        </w:rPr>
        <w:t>This sub-category includes income for R&amp;D from any for-profit business wholly located outside Australia. Do not include R&amp;D income from Australian subsidiaries of multinational enterprises.</w:t>
      </w:r>
    </w:p>
    <w:p w14:paraId="61877EE0"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 xml:space="preserve">Sub-category 3.5 </w:t>
      </w:r>
      <w:r>
        <w:rPr>
          <w:rFonts w:ascii="Calibri" w:eastAsiaTheme="majorEastAsia" w:hAnsi="Calibri" w:cstheme="majorBidi"/>
          <w:iCs/>
          <w:color w:val="5F6369"/>
          <w:sz w:val="26"/>
        </w:rPr>
        <w:t>i</w:t>
      </w:r>
      <w:r w:rsidRPr="00FB7B35">
        <w:rPr>
          <w:rFonts w:ascii="Calibri" w:eastAsiaTheme="majorEastAsia" w:hAnsi="Calibri" w:cstheme="majorBidi"/>
          <w:iCs/>
          <w:color w:val="5F6369"/>
          <w:sz w:val="26"/>
        </w:rPr>
        <w:t>nternational not-for profit organisations</w:t>
      </w:r>
    </w:p>
    <w:p w14:paraId="261B3C28" w14:textId="77777777" w:rsidR="009D347E" w:rsidRPr="00FB7B35" w:rsidRDefault="009D347E" w:rsidP="009D347E">
      <w:pPr>
        <w:tabs>
          <w:tab w:val="num" w:pos="1134"/>
        </w:tabs>
        <w:spacing w:after="120"/>
        <w:rPr>
          <w:rFonts w:eastAsia="Times New Roman" w:cs="Arial"/>
          <w:iCs/>
        </w:rPr>
      </w:pPr>
      <w:r w:rsidRPr="00FB7B35">
        <w:rPr>
          <w:rFonts w:eastAsia="Times New Roman" w:cs="Arial"/>
        </w:rPr>
        <w:t xml:space="preserve">This sub-category includes income for R&amp;D from any private not-for-profit organisation located outside Australia. This includes income from mutuals, cooperatives, </w:t>
      </w:r>
      <w:proofErr w:type="gramStart"/>
      <w:r w:rsidRPr="00FB7B35">
        <w:rPr>
          <w:rFonts w:eastAsia="Times New Roman" w:cs="Arial"/>
        </w:rPr>
        <w:t>charities</w:t>
      </w:r>
      <w:proofErr w:type="gramEnd"/>
      <w:r w:rsidRPr="00FB7B35">
        <w:rPr>
          <w:rFonts w:eastAsia="Times New Roman" w:cs="Arial"/>
        </w:rPr>
        <w:t xml:space="preserve"> and foundations. This may also include R&amp;D income from international not-for-profit universities.</w:t>
      </w:r>
    </w:p>
    <w:p w14:paraId="7DDF89C4" w14:textId="77777777" w:rsidR="009D347E" w:rsidRPr="00FB7B35" w:rsidRDefault="009D347E" w:rsidP="009D347E">
      <w:pPr>
        <w:tabs>
          <w:tab w:val="num" w:pos="1134"/>
        </w:tabs>
        <w:spacing w:after="120"/>
        <w:rPr>
          <w:rFonts w:eastAsia="Times New Roman" w:cs="Arial"/>
        </w:rPr>
      </w:pPr>
      <w:r w:rsidRPr="00FB7B35">
        <w:rPr>
          <w:rFonts w:eastAsia="Times New Roman" w:cs="Arial"/>
        </w:rPr>
        <w:t xml:space="preserve">This sub-category can include grants from international not-for-profit organisations. </w:t>
      </w:r>
    </w:p>
    <w:p w14:paraId="03B53019" w14:textId="77777777" w:rsidR="009D347E" w:rsidRPr="00FB7B35" w:rsidRDefault="009D347E" w:rsidP="009D347E">
      <w:pPr>
        <w:tabs>
          <w:tab w:val="num" w:pos="1134"/>
        </w:tabs>
        <w:spacing w:after="120"/>
        <w:rPr>
          <w:rFonts w:eastAsia="Times New Roman" w:cs="Arial"/>
        </w:rPr>
      </w:pPr>
      <w:r w:rsidRPr="00FB7B35">
        <w:rPr>
          <w:rFonts w:eastAsia="Times New Roman" w:cs="Arial"/>
        </w:rPr>
        <w:lastRenderedPageBreak/>
        <w:t>If a HEP is unsure of the not-for-profit status of the international organisation, it is recommended that the organisation be contacted. A not-for-profit organisation does not operate for the profit or gain of its individual members, whether these gains would have been direct or indirect. A not</w:t>
      </w:r>
      <w:r w:rsidRPr="00FB7B35">
        <w:rPr>
          <w:rFonts w:eastAsia="Times New Roman" w:cs="Arial"/>
        </w:rPr>
        <w:noBreakHyphen/>
        <w:t>for</w:t>
      </w:r>
      <w:r w:rsidRPr="00FB7B35">
        <w:rPr>
          <w:rFonts w:eastAsia="Times New Roman" w:cs="Arial"/>
        </w:rPr>
        <w:noBreakHyphen/>
        <w:t>profit organisation can take many forms. For further guidance on how to identify not</w:t>
      </w:r>
      <w:r w:rsidRPr="00FB7B35">
        <w:rPr>
          <w:rFonts w:eastAsia="Times New Roman" w:cs="Arial"/>
        </w:rPr>
        <w:noBreakHyphen/>
        <w:t>for</w:t>
      </w:r>
      <w:r w:rsidRPr="00FB7B35">
        <w:rPr>
          <w:rFonts w:eastAsia="Times New Roman" w:cs="Arial"/>
        </w:rPr>
        <w:noBreakHyphen/>
        <w:t xml:space="preserve">profit organisations, please refer to the </w:t>
      </w:r>
      <w:hyperlink r:id="rId39" w:history="1">
        <w:r w:rsidRPr="00572D68">
          <w:rPr>
            <w:rStyle w:val="Hyperlink"/>
          </w:rPr>
          <w:t>ACNC</w:t>
        </w:r>
      </w:hyperlink>
      <w:r w:rsidRPr="00FB7B35">
        <w:rPr>
          <w:rFonts w:eastAsia="Times New Roman" w:cs="Arial"/>
        </w:rPr>
        <w:t>.</w:t>
      </w:r>
    </w:p>
    <w:p w14:paraId="5902E75A" w14:textId="77777777" w:rsidR="009D347E" w:rsidRPr="00FB7B35" w:rsidRDefault="009D347E" w:rsidP="009D347E">
      <w:pPr>
        <w:keepNext/>
        <w:keepLines/>
        <w:spacing w:before="240" w:after="0"/>
        <w:outlineLvl w:val="3"/>
        <w:rPr>
          <w:rFonts w:ascii="Calibri" w:eastAsiaTheme="majorEastAsia" w:hAnsi="Calibri" w:cstheme="majorBidi"/>
          <w:iCs/>
          <w:color w:val="5F6369"/>
          <w:sz w:val="26"/>
        </w:rPr>
      </w:pPr>
      <w:r w:rsidRPr="00FB7B35">
        <w:rPr>
          <w:rFonts w:ascii="Calibri" w:eastAsiaTheme="majorEastAsia" w:hAnsi="Calibri" w:cstheme="majorBidi"/>
          <w:iCs/>
          <w:color w:val="5F6369"/>
          <w:sz w:val="26"/>
        </w:rPr>
        <w:t xml:space="preserve">Sub-category 3.6 </w:t>
      </w:r>
      <w:r>
        <w:rPr>
          <w:rFonts w:ascii="Calibri" w:eastAsiaTheme="majorEastAsia" w:hAnsi="Calibri" w:cstheme="majorBidi"/>
          <w:iCs/>
          <w:color w:val="5F6369"/>
          <w:sz w:val="26"/>
        </w:rPr>
        <w:t>i</w:t>
      </w:r>
      <w:r w:rsidRPr="00FB7B35">
        <w:rPr>
          <w:rFonts w:ascii="Calibri" w:eastAsiaTheme="majorEastAsia" w:hAnsi="Calibri" w:cstheme="majorBidi"/>
          <w:iCs/>
          <w:color w:val="5F6369"/>
          <w:sz w:val="26"/>
        </w:rPr>
        <w:t xml:space="preserve">nternational philanthropy </w:t>
      </w:r>
    </w:p>
    <w:p w14:paraId="5F725158" w14:textId="77777777" w:rsidR="009D347E" w:rsidRPr="00FB7B35" w:rsidRDefault="009D347E" w:rsidP="009D347E">
      <w:pPr>
        <w:tabs>
          <w:tab w:val="num" w:pos="709"/>
          <w:tab w:val="num" w:pos="1134"/>
        </w:tabs>
        <w:spacing w:after="120"/>
        <w:rPr>
          <w:rFonts w:eastAsia="Times New Roman" w:cs="Arial"/>
        </w:rPr>
      </w:pPr>
      <w:r w:rsidRPr="00FB7B35">
        <w:rPr>
          <w:rFonts w:eastAsia="Times New Roman" w:cs="Arial"/>
        </w:rPr>
        <w:t xml:space="preserve">This sub-category includes donations, </w:t>
      </w:r>
      <w:proofErr w:type="gramStart"/>
      <w:r w:rsidRPr="00FB7B35">
        <w:rPr>
          <w:rFonts w:eastAsia="Times New Roman" w:cs="Arial"/>
        </w:rPr>
        <w:t>bequests</w:t>
      </w:r>
      <w:proofErr w:type="gramEnd"/>
      <w:r w:rsidRPr="00FB7B35">
        <w:rPr>
          <w:rFonts w:eastAsia="Times New Roman" w:cs="Arial"/>
        </w:rPr>
        <w:t xml:space="preserve"> and endowments for the conduct of R&amp;D that have been received from any international source. Please refer to the definitions and notes for donations, </w:t>
      </w:r>
      <w:proofErr w:type="gramStart"/>
      <w:r w:rsidRPr="00FB7B35">
        <w:rPr>
          <w:rFonts w:eastAsia="Times New Roman" w:cs="Arial"/>
        </w:rPr>
        <w:t>bequests</w:t>
      </w:r>
      <w:proofErr w:type="gramEnd"/>
      <w:r w:rsidRPr="00FB7B35">
        <w:rPr>
          <w:rFonts w:eastAsia="Times New Roman" w:cs="Arial"/>
        </w:rPr>
        <w:t xml:space="preserve"> and endowments in </w:t>
      </w:r>
      <w:r w:rsidRPr="00FB7B35">
        <w:rPr>
          <w:rFonts w:eastAsia="Times New Roman" w:cs="Arial"/>
          <w:iCs/>
        </w:rPr>
        <w:t>sub-category 3.3</w:t>
      </w:r>
      <w:r w:rsidRPr="00FB7B35">
        <w:rPr>
          <w:rFonts w:eastAsia="Times New Roman" w:cs="Arial"/>
        </w:rPr>
        <w:t xml:space="preserve"> above.</w:t>
      </w:r>
    </w:p>
    <w:p w14:paraId="3FA77B27" w14:textId="77777777" w:rsidR="009D347E" w:rsidRPr="00FB7B35" w:rsidRDefault="009D347E" w:rsidP="006108A9">
      <w:pPr>
        <w:pStyle w:val="Heading3"/>
      </w:pPr>
      <w:bookmarkStart w:id="332" w:name="_Toc81230928"/>
      <w:bookmarkStart w:id="333" w:name="_Toc92461304"/>
      <w:bookmarkStart w:id="334" w:name="_Toc147503839"/>
      <w:bookmarkStart w:id="335" w:name="_Toc155863426"/>
      <w:r w:rsidRPr="00FB7B35">
        <w:t>5.3.3</w:t>
      </w:r>
      <w:r w:rsidRPr="00FB7B35">
        <w:tab/>
        <w:t>International government</w:t>
      </w:r>
      <w:bookmarkEnd w:id="332"/>
      <w:bookmarkEnd w:id="333"/>
      <w:bookmarkEnd w:id="334"/>
      <w:bookmarkEnd w:id="335"/>
      <w:r w:rsidRPr="00FB7B35">
        <w:t xml:space="preserve"> </w:t>
      </w:r>
    </w:p>
    <w:p w14:paraId="172C6D5F" w14:textId="77777777" w:rsidR="009D347E" w:rsidRPr="00FB7B35" w:rsidRDefault="009D347E" w:rsidP="009D347E">
      <w:pPr>
        <w:tabs>
          <w:tab w:val="left" w:pos="720"/>
        </w:tabs>
        <w:spacing w:after="120"/>
        <w:rPr>
          <w:rFonts w:eastAsia="Times New Roman" w:cs="Arial"/>
        </w:rPr>
      </w:pPr>
      <w:r w:rsidRPr="00FB7B35">
        <w:rPr>
          <w:rFonts w:eastAsia="Times New Roman" w:cs="Arial"/>
        </w:rPr>
        <w:t>‘Government’, in the international context, can also include supra-national or intergovernmental organisations such as the European Commission, OECD and United Nations. This applies to sub-categories 3.4 and 3.5.</w:t>
      </w:r>
    </w:p>
    <w:p w14:paraId="1E6CA610" w14:textId="77777777" w:rsidR="009D347E" w:rsidRPr="00FB7B35" w:rsidRDefault="009D347E" w:rsidP="009D347E">
      <w:pPr>
        <w:tabs>
          <w:tab w:val="left" w:pos="720"/>
        </w:tabs>
        <w:spacing w:after="120"/>
        <w:rPr>
          <w:rFonts w:eastAsia="Times New Roman" w:cs="Arial"/>
        </w:rPr>
      </w:pPr>
      <w:r w:rsidRPr="00FB7B35">
        <w:rPr>
          <w:rFonts w:eastAsia="Times New Roman" w:cs="Arial"/>
        </w:rPr>
        <w:t xml:space="preserve">In allocating the R&amp;D income to a specific sub-category of international government R&amp;D income, a HEP should determine which party is the primary beneficiary from the R&amp;D activity (and associated rights to intellectual property or other non-financial assets) undertaken by the HEP or its subsidiary. HEPs are required to consult the terms and conditions of an agreement, particularly any identified intellectual property clauses to help determine which sub-category to allocate funding to. </w:t>
      </w:r>
    </w:p>
    <w:p w14:paraId="492B7167" w14:textId="77777777" w:rsidR="009D347E" w:rsidRPr="00FB7B35" w:rsidRDefault="009D347E" w:rsidP="009D347E">
      <w:pPr>
        <w:tabs>
          <w:tab w:val="left" w:pos="720"/>
        </w:tabs>
        <w:spacing w:after="120"/>
        <w:rPr>
          <w:rFonts w:eastAsia="Times New Roman" w:cs="Arial"/>
        </w:rPr>
      </w:pPr>
      <w:r w:rsidRPr="00FB7B35">
        <w:rPr>
          <w:rFonts w:eastAsia="Times New Roman" w:cs="Arial"/>
        </w:rPr>
        <w:t>The department has a strict interpretation that in cases where there is a requirement that the HEP must license or assign any arising intellectual property back to an international government, then such income must be defined as own purpose. This includes cases where there is shared ownership of intellectual property rights.</w:t>
      </w:r>
    </w:p>
    <w:p w14:paraId="22AA6219" w14:textId="77777777" w:rsidR="009D347E" w:rsidRPr="00A2384E" w:rsidRDefault="009D347E" w:rsidP="009D347E">
      <w:pPr>
        <w:pStyle w:val="Heading4"/>
        <w:rPr>
          <w:rFonts w:asciiTheme="minorHAnsi" w:hAnsiTheme="minorHAnsi" w:cstheme="minorHAnsi"/>
          <w:b w:val="0"/>
          <w:bCs/>
          <w:color w:val="5F6369"/>
          <w:sz w:val="26"/>
          <w:szCs w:val="26"/>
        </w:rPr>
      </w:pPr>
      <w:bookmarkStart w:id="336" w:name="_Toc155863427"/>
      <w:r w:rsidRPr="00A2384E">
        <w:rPr>
          <w:rFonts w:asciiTheme="minorHAnsi" w:hAnsiTheme="minorHAnsi" w:cstheme="minorHAnsi"/>
          <w:b w:val="0"/>
          <w:bCs/>
          <w:color w:val="5F6369"/>
          <w:sz w:val="26"/>
          <w:szCs w:val="26"/>
        </w:rPr>
        <w:t>Sub-category 3.7 international government (own purpose)</w:t>
      </w:r>
      <w:bookmarkEnd w:id="336"/>
    </w:p>
    <w:p w14:paraId="7D821F36" w14:textId="77777777" w:rsidR="009D347E" w:rsidRPr="00FB7B35" w:rsidRDefault="009D347E" w:rsidP="009D347E">
      <w:pPr>
        <w:tabs>
          <w:tab w:val="left" w:pos="720"/>
        </w:tabs>
        <w:spacing w:after="120"/>
        <w:rPr>
          <w:rFonts w:eastAsia="Times New Roman" w:cs="Arial"/>
        </w:rPr>
      </w:pPr>
      <w:r w:rsidRPr="00FB7B35">
        <w:rPr>
          <w:rFonts w:eastAsia="Times New Roman" w:cs="Arial"/>
        </w:rPr>
        <w:t xml:space="preserve">This sub-category includes income from government commissioned R&amp;D services covered by a contract or other enforceable agreement. This sub-category can also include cash contributions to Australian competitive grants (excluding in kind contributions). As a general guide, HEPs should report R&amp;D income in the own purpose category where the HEP must licence, </w:t>
      </w:r>
      <w:proofErr w:type="gramStart"/>
      <w:r w:rsidRPr="00FB7B35">
        <w:rPr>
          <w:rFonts w:eastAsia="Times New Roman" w:cs="Arial"/>
        </w:rPr>
        <w:t>option</w:t>
      </w:r>
      <w:proofErr w:type="gramEnd"/>
      <w:r w:rsidRPr="00FB7B35">
        <w:rPr>
          <w:rFonts w:eastAsia="Times New Roman" w:cs="Arial"/>
        </w:rPr>
        <w:t xml:space="preserve"> or assign all or part of the intellectual property (or other non-financial asset) arising from the agreement back to the international government customer. In the case of shared ownership of intellectual property rights, HEP income should also be reported as own purpose.</w:t>
      </w:r>
    </w:p>
    <w:p w14:paraId="03F45B6C" w14:textId="77777777" w:rsidR="009D347E" w:rsidRPr="00A2384E" w:rsidRDefault="009D347E" w:rsidP="009D347E">
      <w:pPr>
        <w:pStyle w:val="Heading4"/>
        <w:rPr>
          <w:rFonts w:asciiTheme="minorHAnsi" w:hAnsiTheme="minorHAnsi" w:cstheme="minorHAnsi"/>
          <w:b w:val="0"/>
          <w:bCs/>
          <w:color w:val="5F6369"/>
          <w:sz w:val="26"/>
          <w:szCs w:val="26"/>
        </w:rPr>
      </w:pPr>
      <w:bookmarkStart w:id="337" w:name="_Toc155863428"/>
      <w:r w:rsidRPr="00A2384E">
        <w:rPr>
          <w:rFonts w:asciiTheme="minorHAnsi" w:hAnsiTheme="minorHAnsi" w:cstheme="minorHAnsi"/>
          <w:b w:val="0"/>
          <w:bCs/>
          <w:color w:val="5F6369"/>
          <w:sz w:val="26"/>
          <w:szCs w:val="26"/>
        </w:rPr>
        <w:t>Sub-category 3.8 international government (other)</w:t>
      </w:r>
      <w:bookmarkEnd w:id="337"/>
    </w:p>
    <w:p w14:paraId="5063FB00" w14:textId="77777777" w:rsidR="009D347E" w:rsidRPr="00FB7B35" w:rsidRDefault="009D347E" w:rsidP="009D347E">
      <w:pPr>
        <w:tabs>
          <w:tab w:val="left" w:pos="720"/>
        </w:tabs>
        <w:spacing w:after="120"/>
        <w:rPr>
          <w:rFonts w:ascii="Arial Narrow" w:eastAsia="Times New Roman" w:hAnsi="Arial Narrow" w:cs="Arial"/>
          <w:sz w:val="21"/>
          <w:szCs w:val="21"/>
        </w:rPr>
      </w:pPr>
      <w:r w:rsidRPr="00FB7B35">
        <w:rPr>
          <w:rFonts w:eastAsia="Times New Roman" w:cs="Arial"/>
        </w:rPr>
        <w:t xml:space="preserve">This sub-category includes all other R&amp;D income from international government agencies and authorities, for example, competitive grants. Specific examples include research grants from the US </w:t>
      </w:r>
      <w:hyperlink r:id="rId40" w:history="1">
        <w:r w:rsidRPr="007A2B63">
          <w:rPr>
            <w:rStyle w:val="Hyperlink"/>
          </w:rPr>
          <w:t>National Institutes of Health</w:t>
        </w:r>
      </w:hyperlink>
      <w:r w:rsidRPr="00FB7B35">
        <w:rPr>
          <w:rFonts w:eastAsia="Times New Roman" w:cs="Arial"/>
        </w:rPr>
        <w:t xml:space="preserve"> or the European Commission’s </w:t>
      </w:r>
      <w:hyperlink r:id="rId41" w:history="1">
        <w:r w:rsidRPr="007A2B63">
          <w:rPr>
            <w:rStyle w:val="Hyperlink"/>
          </w:rPr>
          <w:t>Horizon Europe</w:t>
        </w:r>
      </w:hyperlink>
      <w:r w:rsidRPr="00FB7B35">
        <w:rPr>
          <w:rFonts w:eastAsia="Times New Roman" w:cs="Arial"/>
        </w:rPr>
        <w:t xml:space="preserve"> program.</w:t>
      </w:r>
    </w:p>
    <w:p w14:paraId="26A114C1" w14:textId="77777777" w:rsidR="009D347E" w:rsidRPr="00FB7B35" w:rsidRDefault="009D347E" w:rsidP="006108A9">
      <w:pPr>
        <w:pStyle w:val="Heading2"/>
      </w:pPr>
      <w:bookmarkStart w:id="338" w:name="_Toc491171975"/>
      <w:bookmarkStart w:id="339" w:name="_Toc491172068"/>
      <w:bookmarkStart w:id="340" w:name="_Toc491172355"/>
      <w:bookmarkStart w:id="341" w:name="_Toc491172580"/>
      <w:bookmarkStart w:id="342" w:name="_Toc491172996"/>
      <w:bookmarkStart w:id="343" w:name="_Toc523214689"/>
      <w:bookmarkStart w:id="344" w:name="_Toc27055373"/>
      <w:bookmarkStart w:id="345" w:name="_Toc81230929"/>
      <w:bookmarkStart w:id="346" w:name="_Toc92461305"/>
      <w:bookmarkStart w:id="347" w:name="_Toc147503840"/>
      <w:bookmarkStart w:id="348" w:name="_Toc155863429"/>
      <w:bookmarkEnd w:id="338"/>
      <w:bookmarkEnd w:id="339"/>
      <w:bookmarkEnd w:id="340"/>
      <w:bookmarkEnd w:id="341"/>
      <w:r w:rsidRPr="00FB7B35">
        <w:t>5.4</w:t>
      </w:r>
      <w:r w:rsidRPr="00FB7B35">
        <w:tab/>
        <w:t>Category 4: CRC R&amp;D income</w:t>
      </w:r>
      <w:bookmarkEnd w:id="342"/>
      <w:bookmarkEnd w:id="343"/>
      <w:bookmarkEnd w:id="344"/>
      <w:bookmarkEnd w:id="345"/>
      <w:bookmarkEnd w:id="346"/>
      <w:bookmarkEnd w:id="347"/>
      <w:bookmarkEnd w:id="348"/>
    </w:p>
    <w:p w14:paraId="0CA5FD38" w14:textId="77777777" w:rsidR="009D347E" w:rsidRPr="00FB7B35" w:rsidRDefault="009D347E" w:rsidP="009D347E">
      <w:pPr>
        <w:spacing w:after="120"/>
        <w:rPr>
          <w:rFonts w:eastAsia="Times New Roman" w:cs="Arial"/>
        </w:rPr>
      </w:pPr>
      <w:bookmarkStart w:id="349" w:name="_8.1_General_requirements"/>
      <w:bookmarkStart w:id="350" w:name="_Toc87171325"/>
      <w:bookmarkEnd w:id="349"/>
      <w:r w:rsidRPr="00FB7B35">
        <w:rPr>
          <w:rFonts w:eastAsia="Times New Roman" w:cs="Arial"/>
        </w:rPr>
        <w:t xml:space="preserve">Under </w:t>
      </w:r>
      <w:r w:rsidRPr="00FB7B35">
        <w:rPr>
          <w:rFonts w:eastAsia="Times New Roman" w:cs="Arial"/>
          <w:iCs/>
        </w:rPr>
        <w:t>Category 4,</w:t>
      </w:r>
      <w:r w:rsidRPr="00FB7B35">
        <w:rPr>
          <w:rFonts w:eastAsia="Times New Roman" w:cs="Arial"/>
        </w:rPr>
        <w:t xml:space="preserve"> HEPs must report the R&amp;D income from a CRC in which they were defined within the Commonwealth Agreement as a ‘Participant’, and are a signatory to the </w:t>
      </w:r>
      <w:proofErr w:type="gramStart"/>
      <w:r w:rsidRPr="00FB7B35">
        <w:rPr>
          <w:rFonts w:eastAsia="Times New Roman" w:cs="Arial"/>
        </w:rPr>
        <w:t>CRC‘</w:t>
      </w:r>
      <w:proofErr w:type="gramEnd"/>
      <w:r w:rsidRPr="00FB7B35">
        <w:rPr>
          <w:rFonts w:eastAsia="Times New Roman" w:cs="Arial"/>
        </w:rPr>
        <w:t xml:space="preserve">s Commonwealth Agreement or Participant‘s Agreement. </w:t>
      </w:r>
    </w:p>
    <w:p w14:paraId="56EFFD4C" w14:textId="77777777" w:rsidR="009D347E" w:rsidRPr="00FB7B35" w:rsidRDefault="009D347E" w:rsidP="009D347E">
      <w:pPr>
        <w:spacing w:after="120"/>
        <w:rPr>
          <w:rFonts w:eastAsia="Times New Roman" w:cs="Arial"/>
        </w:rPr>
      </w:pPr>
      <w:r w:rsidRPr="00FB7B35">
        <w:rPr>
          <w:rFonts w:eastAsia="Times New Roman" w:cs="Arial"/>
          <w:iCs/>
        </w:rPr>
        <w:t>Category 4</w:t>
      </w:r>
      <w:r w:rsidRPr="00FB7B35">
        <w:rPr>
          <w:rFonts w:eastAsia="Times New Roman" w:cs="Arial"/>
        </w:rPr>
        <w:t xml:space="preserve"> CRC R&amp;D income includes HEP income received from CRC Projects (CRC-P), which support short-term collaborative research projects. This must be categorised as </w:t>
      </w:r>
      <w:r w:rsidRPr="00FB7B35">
        <w:rPr>
          <w:rFonts w:eastAsia="Times New Roman" w:cs="Arial"/>
          <w:iCs/>
        </w:rPr>
        <w:t>Category 4</w:t>
      </w:r>
      <w:r w:rsidRPr="00FB7B35">
        <w:rPr>
          <w:rFonts w:eastAsia="Times New Roman" w:cs="Arial"/>
        </w:rPr>
        <w:t xml:space="preserve"> R&amp;D income, </w:t>
      </w:r>
      <w:r w:rsidRPr="00FB7B35">
        <w:rPr>
          <w:rFonts w:eastAsia="Times New Roman" w:cs="Arial"/>
        </w:rPr>
        <w:lastRenderedPageBreak/>
        <w:t xml:space="preserve">even if a HEP determines that the income is awarded on a competitive basis. Please note other references to CRC R&amp;D income in </w:t>
      </w:r>
      <w:r w:rsidRPr="00FB7B35">
        <w:rPr>
          <w:rFonts w:eastAsia="Times New Roman" w:cs="Arial"/>
          <w:b/>
        </w:rPr>
        <w:t>sections 4.1, 4.2, 4.6 and 5.2</w:t>
      </w:r>
      <w:r w:rsidRPr="00FB7B35">
        <w:rPr>
          <w:rFonts w:eastAsia="Times New Roman" w:cs="Arial"/>
        </w:rPr>
        <w:t>.</w:t>
      </w:r>
    </w:p>
    <w:p w14:paraId="4FD5300A" w14:textId="77777777" w:rsidR="009D347E" w:rsidRPr="00FB7B35" w:rsidRDefault="009D347E" w:rsidP="009D347E">
      <w:pPr>
        <w:spacing w:after="120"/>
        <w:rPr>
          <w:rFonts w:cs="Arial"/>
        </w:rPr>
      </w:pPr>
      <w:r w:rsidRPr="00FB7B35">
        <w:rPr>
          <w:rFonts w:cs="Arial"/>
        </w:rPr>
        <w:t>HEPs must consolidate the R&amp;D income from all CRCs in which they were a Participant and enter this into their R&amp;D income return, sub-categorised as appropriate. This data does not need to be split between HEPs and their subsidiaries.</w:t>
      </w:r>
    </w:p>
    <w:p w14:paraId="40A0CAE5" w14:textId="77777777" w:rsidR="009D347E" w:rsidRPr="00FB7B35" w:rsidRDefault="009D347E" w:rsidP="009D347E">
      <w:pPr>
        <w:spacing w:after="120"/>
        <w:rPr>
          <w:rFonts w:cs="Arial"/>
        </w:rPr>
      </w:pPr>
      <w:r w:rsidRPr="00FB7B35">
        <w:rPr>
          <w:rFonts w:cs="Arial"/>
          <w:iCs/>
        </w:rPr>
        <w:t>Category 4</w:t>
      </w:r>
      <w:r w:rsidRPr="00FB7B35">
        <w:rPr>
          <w:rFonts w:cs="Arial"/>
        </w:rPr>
        <w:t xml:space="preserve"> is comprised of the following three sub-categories:</w:t>
      </w:r>
    </w:p>
    <w:p w14:paraId="7394962B" w14:textId="77777777" w:rsidR="009D347E" w:rsidRPr="00A2384E" w:rsidRDefault="009D347E" w:rsidP="009D347E">
      <w:pPr>
        <w:pStyle w:val="Heading4"/>
        <w:rPr>
          <w:rFonts w:asciiTheme="minorHAnsi" w:hAnsiTheme="minorHAnsi" w:cstheme="minorHAnsi"/>
          <w:b w:val="0"/>
          <w:bCs/>
          <w:i/>
          <w:color w:val="5F6369"/>
          <w:sz w:val="26"/>
          <w:szCs w:val="26"/>
        </w:rPr>
      </w:pPr>
      <w:bookmarkStart w:id="351" w:name="_Toc155863430"/>
      <w:r w:rsidRPr="00A2384E">
        <w:rPr>
          <w:rFonts w:asciiTheme="minorHAnsi" w:hAnsiTheme="minorHAnsi" w:cstheme="minorHAnsi"/>
          <w:b w:val="0"/>
          <w:bCs/>
          <w:color w:val="5F6369"/>
          <w:sz w:val="26"/>
          <w:szCs w:val="26"/>
        </w:rPr>
        <w:t xml:space="preserve">Sub-category 4.1 R&amp;D income received from CRCs derived from Australian Government grants to </w:t>
      </w:r>
      <w:proofErr w:type="gramStart"/>
      <w:r w:rsidRPr="00A2384E">
        <w:rPr>
          <w:rFonts w:asciiTheme="minorHAnsi" w:hAnsiTheme="minorHAnsi" w:cstheme="minorHAnsi"/>
          <w:b w:val="0"/>
          <w:bCs/>
          <w:color w:val="5F6369"/>
          <w:sz w:val="26"/>
          <w:szCs w:val="26"/>
        </w:rPr>
        <w:t>CRCs</w:t>
      </w:r>
      <w:bookmarkEnd w:id="351"/>
      <w:proofErr w:type="gramEnd"/>
    </w:p>
    <w:p w14:paraId="2651EDCD" w14:textId="77777777" w:rsidR="009D347E" w:rsidRPr="00FB7B35" w:rsidRDefault="009D347E" w:rsidP="009D347E">
      <w:pPr>
        <w:spacing w:after="120"/>
        <w:rPr>
          <w:rFonts w:eastAsia="Times New Roman" w:cs="Arial"/>
          <w:b/>
          <w:i/>
        </w:rPr>
      </w:pPr>
      <w:r w:rsidRPr="00FB7B35">
        <w:rPr>
          <w:rFonts w:eastAsia="Times New Roman" w:cs="Arial"/>
        </w:rPr>
        <w:t>This sub-category includes income to the HEP derived from Commonwealth CRC program grants.</w:t>
      </w:r>
    </w:p>
    <w:p w14:paraId="301CA6D1" w14:textId="77777777" w:rsidR="009D347E" w:rsidRPr="00A2384E" w:rsidRDefault="009D347E" w:rsidP="009D347E">
      <w:pPr>
        <w:pStyle w:val="Heading4"/>
        <w:rPr>
          <w:rFonts w:asciiTheme="minorHAnsi" w:hAnsiTheme="minorHAnsi" w:cstheme="minorHAnsi"/>
          <w:b w:val="0"/>
          <w:bCs/>
          <w:i/>
          <w:color w:val="5F6369"/>
          <w:sz w:val="26"/>
          <w:szCs w:val="26"/>
        </w:rPr>
      </w:pPr>
      <w:bookmarkStart w:id="352" w:name="_Toc155863431"/>
      <w:r w:rsidRPr="00A2384E">
        <w:rPr>
          <w:rFonts w:asciiTheme="minorHAnsi" w:hAnsiTheme="minorHAnsi" w:cstheme="minorHAnsi"/>
          <w:b w:val="0"/>
          <w:bCs/>
          <w:color w:val="5F6369"/>
          <w:sz w:val="26"/>
          <w:szCs w:val="26"/>
        </w:rPr>
        <w:t xml:space="preserve">Sub-category 4.2 R&amp;D income received from CRCs derived from private industry participants of </w:t>
      </w:r>
      <w:proofErr w:type="gramStart"/>
      <w:r w:rsidRPr="00A2384E">
        <w:rPr>
          <w:rFonts w:asciiTheme="minorHAnsi" w:hAnsiTheme="minorHAnsi" w:cstheme="minorHAnsi"/>
          <w:b w:val="0"/>
          <w:bCs/>
          <w:color w:val="5F6369"/>
          <w:sz w:val="26"/>
          <w:szCs w:val="26"/>
        </w:rPr>
        <w:t>CRCs</w:t>
      </w:r>
      <w:bookmarkEnd w:id="352"/>
      <w:proofErr w:type="gramEnd"/>
    </w:p>
    <w:p w14:paraId="5638757E" w14:textId="77777777" w:rsidR="009D347E" w:rsidRPr="00FB7B35" w:rsidRDefault="009D347E" w:rsidP="009D347E">
      <w:pPr>
        <w:keepNext/>
        <w:keepLines/>
        <w:spacing w:after="120"/>
        <w:rPr>
          <w:rFonts w:eastAsia="Times New Roman" w:cs="Arial"/>
          <w:b/>
          <w:i/>
        </w:rPr>
      </w:pPr>
      <w:r w:rsidRPr="00FB7B35">
        <w:rPr>
          <w:rFonts w:eastAsia="Times New Roman" w:cs="Arial"/>
        </w:rPr>
        <w:t>This sub-category includes income to the HEP from private business CRC participants. This includes both for-profit and not-for profit businesses.</w:t>
      </w:r>
    </w:p>
    <w:p w14:paraId="4F004D3F" w14:textId="77777777" w:rsidR="009D347E" w:rsidRPr="00A2384E" w:rsidRDefault="009D347E" w:rsidP="009D347E">
      <w:pPr>
        <w:pStyle w:val="Heading4"/>
        <w:rPr>
          <w:rFonts w:asciiTheme="minorHAnsi" w:hAnsiTheme="minorHAnsi" w:cstheme="minorHAnsi"/>
          <w:b w:val="0"/>
          <w:bCs/>
          <w:i/>
          <w:color w:val="5F6369"/>
          <w:sz w:val="26"/>
          <w:szCs w:val="26"/>
        </w:rPr>
      </w:pPr>
      <w:bookmarkStart w:id="353" w:name="_Toc155863432"/>
      <w:r w:rsidRPr="00A2384E">
        <w:rPr>
          <w:rFonts w:asciiTheme="minorHAnsi" w:hAnsiTheme="minorHAnsi" w:cstheme="minorHAnsi"/>
          <w:b w:val="0"/>
          <w:bCs/>
          <w:color w:val="5F6369"/>
          <w:sz w:val="26"/>
          <w:szCs w:val="26"/>
        </w:rPr>
        <w:t xml:space="preserve">Sub-category 4.3 R&amp;D income received from CRCs derived from other </w:t>
      </w:r>
      <w:proofErr w:type="gramStart"/>
      <w:r w:rsidRPr="00A2384E">
        <w:rPr>
          <w:rFonts w:asciiTheme="minorHAnsi" w:hAnsiTheme="minorHAnsi" w:cstheme="minorHAnsi"/>
          <w:b w:val="0"/>
          <w:bCs/>
          <w:color w:val="5F6369"/>
          <w:sz w:val="26"/>
          <w:szCs w:val="26"/>
        </w:rPr>
        <w:t>sources</w:t>
      </w:r>
      <w:bookmarkEnd w:id="353"/>
      <w:proofErr w:type="gramEnd"/>
    </w:p>
    <w:p w14:paraId="6FE9F725" w14:textId="77777777" w:rsidR="007C31A3" w:rsidRDefault="009D347E" w:rsidP="009D347E">
      <w:pPr>
        <w:spacing w:after="120"/>
        <w:rPr>
          <w:rFonts w:eastAsia="Times New Roman" w:cs="Arial"/>
        </w:rPr>
        <w:sectPr w:rsidR="007C31A3">
          <w:footerReference w:type="default" r:id="rId42"/>
          <w:pgSz w:w="11906" w:h="16838"/>
          <w:pgMar w:top="1440" w:right="1440" w:bottom="1440" w:left="1440" w:header="708" w:footer="708" w:gutter="0"/>
          <w:cols w:space="708"/>
          <w:docGrid w:linePitch="360"/>
        </w:sectPr>
      </w:pPr>
      <w:r w:rsidRPr="00FB7B35">
        <w:rPr>
          <w:rFonts w:eastAsia="Times New Roman" w:cs="Arial"/>
        </w:rPr>
        <w:t>This sub</w:t>
      </w:r>
      <w:r w:rsidRPr="00FB7B35">
        <w:rPr>
          <w:rFonts w:eastAsia="Times New Roman" w:cs="Arial"/>
        </w:rPr>
        <w:noBreakHyphen/>
        <w:t>category includes income to the HEP from all other CRC funding sources. This may include for example, cash funding from CRC government participants, contract R&amp;D or donations.</w:t>
      </w:r>
    </w:p>
    <w:p w14:paraId="3E1D9FAE" w14:textId="77777777" w:rsidR="009D347E" w:rsidRPr="00FB7B35" w:rsidRDefault="009D347E" w:rsidP="006108A9">
      <w:pPr>
        <w:pStyle w:val="Heading3"/>
      </w:pPr>
      <w:bookmarkStart w:id="354" w:name="_8.2_Arrangements_applying"/>
      <w:bookmarkStart w:id="355" w:name="_Toc168817227"/>
      <w:bookmarkStart w:id="356" w:name="_Toc168824846"/>
      <w:bookmarkStart w:id="357" w:name="_8.3_Eligible_research"/>
      <w:bookmarkStart w:id="358" w:name="_Toc96675251"/>
      <w:bookmarkStart w:id="359" w:name="_Toc115747832"/>
      <w:bookmarkStart w:id="360" w:name="_Toc116183000"/>
      <w:bookmarkStart w:id="361" w:name="_Toc115747833"/>
      <w:bookmarkStart w:id="362" w:name="_Toc116183001"/>
      <w:bookmarkStart w:id="363" w:name="_Toc115747835"/>
      <w:bookmarkStart w:id="364" w:name="_Toc116183003"/>
      <w:bookmarkStart w:id="365" w:name="_8.5_Breakdown_by"/>
      <w:bookmarkStart w:id="366" w:name="_Toc96678069"/>
      <w:bookmarkStart w:id="367" w:name="_Toc112733812"/>
      <w:bookmarkStart w:id="368" w:name="_Toc112734022"/>
      <w:bookmarkStart w:id="369" w:name="_Ref114295790"/>
      <w:bookmarkStart w:id="370" w:name="_Ref114295816"/>
      <w:bookmarkStart w:id="371" w:name="_Toc116183006"/>
      <w:bookmarkStart w:id="372" w:name="_Ref147804798"/>
      <w:bookmarkStart w:id="373" w:name="_Toc251924138"/>
      <w:bookmarkStart w:id="374" w:name="_Toc406668889"/>
      <w:bookmarkStart w:id="375" w:name="_Ref440032416"/>
      <w:bookmarkStart w:id="376" w:name="_Toc81230930"/>
      <w:bookmarkStart w:id="377" w:name="_Toc92461306"/>
      <w:bookmarkStart w:id="378" w:name="_Toc147503841"/>
      <w:bookmarkStart w:id="379" w:name="_Toc155863433"/>
      <w:bookmarkStart w:id="380" w:name="_Toc96678074"/>
      <w:bookmarkStart w:id="381" w:name="_Toc112733816"/>
      <w:bookmarkStart w:id="382" w:name="_Toc112734026"/>
      <w:bookmarkEnd w:id="354"/>
      <w:bookmarkEnd w:id="355"/>
      <w:bookmarkEnd w:id="356"/>
      <w:bookmarkEnd w:id="357"/>
      <w:bookmarkEnd w:id="358"/>
      <w:bookmarkEnd w:id="359"/>
      <w:bookmarkEnd w:id="360"/>
      <w:bookmarkEnd w:id="361"/>
      <w:bookmarkEnd w:id="362"/>
      <w:bookmarkEnd w:id="363"/>
      <w:bookmarkEnd w:id="364"/>
      <w:bookmarkEnd w:id="365"/>
      <w:r w:rsidRPr="00FB7B35">
        <w:lastRenderedPageBreak/>
        <w:t>5.4.1</w:t>
      </w:r>
      <w:r w:rsidRPr="00FB7B35">
        <w:tab/>
        <w:t>Breakdown by source category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183B9F2" w14:textId="77777777" w:rsidR="009D347E" w:rsidRDefault="009D347E" w:rsidP="009D347E">
      <w:pPr>
        <w:spacing w:after="120"/>
        <w:rPr>
          <w:rFonts w:cs="Arial"/>
        </w:rPr>
      </w:pPr>
      <w:r w:rsidRPr="00FB7B35">
        <w:rPr>
          <w:rFonts w:cs="Arial"/>
        </w:rPr>
        <w:t>In some cases, CRC accounting systems do not readily distinguish between the funds provided to HEPs that are sourced from government grants, and funds sourced from non-HEP participants. If so, the CRC may split the funds between these two components in the same proportion as the cash funding it receives from these sources. If the receipt of funds from external parties cannot be tracked separately, this principle also applies.</w:t>
      </w:r>
    </w:p>
    <w:tbl>
      <w:tblPr>
        <w:tblStyle w:val="PlainTable4"/>
        <w:tblW w:w="0" w:type="auto"/>
        <w:tblLook w:val="04A0" w:firstRow="1" w:lastRow="0" w:firstColumn="1" w:lastColumn="0" w:noHBand="0" w:noVBand="1"/>
      </w:tblPr>
      <w:tblGrid>
        <w:gridCol w:w="9026"/>
      </w:tblGrid>
      <w:tr w:rsidR="009D347E" w14:paraId="4634F9A6" w14:textId="77777777" w:rsidTr="00A0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02D3F"/>
          </w:tcPr>
          <w:p w14:paraId="05812354" w14:textId="77777777" w:rsidR="009D347E" w:rsidRPr="00572D68" w:rsidRDefault="009D347E" w:rsidP="00A07A86">
            <w:pPr>
              <w:spacing w:before="120" w:after="120"/>
              <w:rPr>
                <w:rFonts w:cs="Arial"/>
                <w:color w:val="FFFFFF" w:themeColor="background1"/>
              </w:rPr>
            </w:pPr>
            <w:r w:rsidRPr="00572D68">
              <w:rPr>
                <w:rFonts w:cs="Arial"/>
                <w:color w:val="FFFFFF" w:themeColor="background1"/>
              </w:rPr>
              <w:t>Example</w:t>
            </w:r>
          </w:p>
        </w:tc>
      </w:tr>
      <w:tr w:rsidR="009D347E" w14:paraId="10DB0A8D"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95A2E9E" w14:textId="77777777" w:rsidR="009D347E" w:rsidRPr="00572D68" w:rsidRDefault="009D347E" w:rsidP="00A07A86">
            <w:pPr>
              <w:spacing w:before="120" w:after="120"/>
              <w:rPr>
                <w:rFonts w:cs="Arial"/>
                <w:b w:val="0"/>
                <w:bCs w:val="0"/>
                <w:iCs/>
              </w:rPr>
            </w:pPr>
            <w:r w:rsidRPr="00572D68">
              <w:rPr>
                <w:rFonts w:cs="Arial"/>
                <w:b w:val="0"/>
                <w:bCs w:val="0"/>
                <w:iCs/>
              </w:rPr>
              <w:t>Over the period 1 January 2021 to 31 December 2021 (see section 4.1) a CRC receives cash funding into a single account from the following sources:</w:t>
            </w:r>
          </w:p>
          <w:p w14:paraId="13BB5106"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Australian HEP sources: $5 million (25%)</w:t>
            </w:r>
          </w:p>
          <w:p w14:paraId="141FFCC5"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Government grant: $3 million (15%)</w:t>
            </w:r>
          </w:p>
          <w:p w14:paraId="2A30BDC7"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Private industry participants: $7 million (35%)</w:t>
            </w:r>
          </w:p>
          <w:p w14:paraId="2AED3537"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Other sources: $5 million (25%)</w:t>
            </w:r>
          </w:p>
          <w:p w14:paraId="691F421D" w14:textId="77777777" w:rsidR="009D347E" w:rsidRPr="00572D68" w:rsidRDefault="009D347E" w:rsidP="00A07A86">
            <w:pPr>
              <w:spacing w:after="120"/>
              <w:rPr>
                <w:rFonts w:cs="Arial"/>
                <w:b w:val="0"/>
                <w:bCs w:val="0"/>
              </w:rPr>
            </w:pPr>
            <w:r w:rsidRPr="00572D68">
              <w:rPr>
                <w:rFonts w:cs="Arial"/>
                <w:b w:val="0"/>
                <w:bCs w:val="0"/>
              </w:rPr>
              <w:t xml:space="preserve">If the CRC allocates $800,000 of the funds (which is not readily able to attribute to any </w:t>
            </w:r>
            <w:proofErr w:type="gramStart"/>
            <w:r w:rsidRPr="00572D68">
              <w:rPr>
                <w:rFonts w:cs="Arial"/>
                <w:b w:val="0"/>
                <w:bCs w:val="0"/>
              </w:rPr>
              <w:t>particular sources</w:t>
            </w:r>
            <w:proofErr w:type="gramEnd"/>
            <w:r w:rsidRPr="00572D68">
              <w:rPr>
                <w:rFonts w:cs="Arial"/>
                <w:b w:val="0"/>
                <w:bCs w:val="0"/>
              </w:rPr>
              <w:t>) to HEP X for R&amp;D purposes, in its Certified Statement for HEP X, the CRC may attribute:</w:t>
            </w:r>
          </w:p>
          <w:p w14:paraId="6F384925"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$120,000 (15% of the $800,000) to the ‘Allocation of funds from Commonwealth grant’ component</w:t>
            </w:r>
          </w:p>
          <w:p w14:paraId="5D5AFEE2"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$280,000 (35% of the $800,000) to the ‘Allocation of funds from Private industry participants’ component and</w:t>
            </w:r>
          </w:p>
          <w:p w14:paraId="06F11A6B" w14:textId="77777777" w:rsidR="009D347E" w:rsidRPr="00572D68" w:rsidRDefault="009D347E" w:rsidP="009D347E">
            <w:pPr>
              <w:numPr>
                <w:ilvl w:val="0"/>
                <w:numId w:val="15"/>
              </w:numPr>
              <w:tabs>
                <w:tab w:val="clear" w:pos="360"/>
              </w:tabs>
              <w:spacing w:after="120" w:line="276" w:lineRule="auto"/>
              <w:ind w:left="720"/>
              <w:rPr>
                <w:rFonts w:cs="Arial"/>
                <w:b w:val="0"/>
                <w:bCs w:val="0"/>
              </w:rPr>
            </w:pPr>
            <w:r w:rsidRPr="00572D68">
              <w:rPr>
                <w:rFonts w:cs="Arial"/>
                <w:b w:val="0"/>
                <w:bCs w:val="0"/>
              </w:rPr>
              <w:t>$200,000 (25% of the $800,000) to the ‘Allocation of funds from other sources’ component.</w:t>
            </w:r>
          </w:p>
          <w:p w14:paraId="6A8F2714" w14:textId="77777777" w:rsidR="009D347E" w:rsidRDefault="009D347E" w:rsidP="00A07A86">
            <w:pPr>
              <w:spacing w:after="120"/>
              <w:rPr>
                <w:rFonts w:cs="Arial"/>
              </w:rPr>
            </w:pPr>
            <w:r w:rsidRPr="00572D68">
              <w:rPr>
                <w:rFonts w:cs="Arial"/>
                <w:b w:val="0"/>
                <w:bCs w:val="0"/>
              </w:rPr>
              <w:t>The 25% share of the $800,000 sourced from Australian HEPs is not able to be counted.</w:t>
            </w:r>
          </w:p>
        </w:tc>
      </w:tr>
    </w:tbl>
    <w:p w14:paraId="3E30865C" w14:textId="77777777" w:rsidR="009D347E" w:rsidRPr="00FB7B35" w:rsidRDefault="009D347E" w:rsidP="009D347E">
      <w:bookmarkStart w:id="383" w:name="_Toc96678098"/>
      <w:bookmarkStart w:id="384" w:name="_Toc112733840"/>
      <w:bookmarkStart w:id="385" w:name="_Toc112734050"/>
      <w:bookmarkStart w:id="386" w:name="_Toc116183056"/>
      <w:bookmarkStart w:id="387" w:name="_Toc251924151"/>
      <w:bookmarkStart w:id="388" w:name="_Toc406668925"/>
      <w:bookmarkStart w:id="389" w:name="_Toc482284847"/>
      <w:bookmarkStart w:id="390" w:name="_Toc489438094"/>
      <w:bookmarkStart w:id="391" w:name="_Toc489955877"/>
      <w:bookmarkStart w:id="392" w:name="_Toc491172997"/>
      <w:bookmarkEnd w:id="350"/>
      <w:bookmarkEnd w:id="380"/>
      <w:bookmarkEnd w:id="381"/>
      <w:bookmarkEnd w:id="382"/>
    </w:p>
    <w:p w14:paraId="669F47AB" w14:textId="77777777" w:rsidR="009D347E" w:rsidRPr="00FB7B35" w:rsidRDefault="009D347E" w:rsidP="009D347E">
      <w:pPr>
        <w:spacing w:after="120"/>
        <w:rPr>
          <w:rFonts w:eastAsiaTheme="majorEastAsia" w:cstheme="majorBidi"/>
          <w:b/>
          <w:color w:val="205E29"/>
        </w:rPr>
      </w:pPr>
      <w:bookmarkStart w:id="393" w:name="_Toc523214690"/>
      <w:bookmarkStart w:id="394" w:name="_Toc27055374"/>
      <w:r w:rsidRPr="00FB7B35">
        <w:rPr>
          <w:b/>
          <w:color w:val="205E29"/>
        </w:rPr>
        <w:br w:type="page"/>
      </w:r>
    </w:p>
    <w:p w14:paraId="078D5992" w14:textId="28C26E95" w:rsidR="009D347E" w:rsidRPr="00FB7B35" w:rsidRDefault="009D347E" w:rsidP="009D347E">
      <w:pPr>
        <w:pStyle w:val="Heading1"/>
        <w:rPr>
          <w:bCs/>
        </w:rPr>
      </w:pPr>
      <w:bookmarkStart w:id="395" w:name="_Toc81230931"/>
      <w:bookmarkStart w:id="396" w:name="_Toc92461307"/>
      <w:bookmarkStart w:id="397" w:name="_Toc147503842"/>
      <w:bookmarkEnd w:id="383"/>
      <w:bookmarkEnd w:id="384"/>
      <w:bookmarkEnd w:id="385"/>
      <w:bookmarkEnd w:id="386"/>
      <w:bookmarkEnd w:id="387"/>
      <w:bookmarkEnd w:id="388"/>
      <w:bookmarkEnd w:id="389"/>
      <w:bookmarkEnd w:id="390"/>
      <w:bookmarkEnd w:id="391"/>
      <w:bookmarkEnd w:id="392"/>
      <w:bookmarkEnd w:id="393"/>
      <w:r w:rsidRPr="00FB7B35">
        <w:lastRenderedPageBreak/>
        <w:t>Acronyms</w:t>
      </w:r>
      <w:bookmarkEnd w:id="394"/>
      <w:bookmarkEnd w:id="395"/>
      <w:bookmarkEnd w:id="396"/>
      <w:bookmarkEnd w:id="397"/>
    </w:p>
    <w:p w14:paraId="54B1DF79"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AASB</w:t>
      </w:r>
      <w:r w:rsidRPr="00FB7B35">
        <w:rPr>
          <w:rFonts w:eastAsia="Times New Roman" w:cs="Arial"/>
        </w:rPr>
        <w:tab/>
        <w:t>Australian Accounting Standards Board</w:t>
      </w:r>
    </w:p>
    <w:p w14:paraId="46D70FF4" w14:textId="77777777" w:rsidR="009D347E" w:rsidRPr="00FB7B35" w:rsidRDefault="009D347E" w:rsidP="009D347E">
      <w:pPr>
        <w:tabs>
          <w:tab w:val="left" w:pos="3119"/>
        </w:tabs>
        <w:spacing w:after="120"/>
        <w:ind w:left="3119" w:hanging="3119"/>
        <w:rPr>
          <w:rFonts w:eastAsia="Times New Roman" w:cs="Arial"/>
        </w:rPr>
      </w:pPr>
      <w:r w:rsidRPr="00FB7B35">
        <w:rPr>
          <w:rFonts w:eastAsiaTheme="majorEastAsia" w:cs="Arial"/>
        </w:rPr>
        <w:t>ACNC</w:t>
      </w:r>
      <w:r w:rsidRPr="00FB7B35">
        <w:rPr>
          <w:rFonts w:eastAsiaTheme="majorEastAsia" w:cs="Arial"/>
        </w:rPr>
        <w:tab/>
        <w:t>Australian Charities and Not-for-profits Commission</w:t>
      </w:r>
    </w:p>
    <w:p w14:paraId="438BEC2A"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ARC</w:t>
      </w:r>
      <w:r w:rsidRPr="00FB7B35">
        <w:rPr>
          <w:rFonts w:eastAsia="Times New Roman" w:cs="Arial"/>
        </w:rPr>
        <w:tab/>
        <w:t>Australian Research Council</w:t>
      </w:r>
    </w:p>
    <w:p w14:paraId="69EFF001"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CRC</w:t>
      </w:r>
      <w:r w:rsidRPr="00FB7B35">
        <w:rPr>
          <w:rFonts w:eastAsia="Times New Roman" w:cs="Arial"/>
        </w:rPr>
        <w:tab/>
        <w:t>Cooperative Research Centre</w:t>
      </w:r>
    </w:p>
    <w:p w14:paraId="34D75405"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CRC-P</w:t>
      </w:r>
      <w:r w:rsidRPr="00FB7B35">
        <w:rPr>
          <w:rFonts w:eastAsia="Times New Roman" w:cs="Arial"/>
        </w:rPr>
        <w:tab/>
        <w:t>Cooperative Research Centre Projects</w:t>
      </w:r>
    </w:p>
    <w:p w14:paraId="43BF0EBF"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The department</w:t>
      </w:r>
      <w:r w:rsidRPr="00FB7B35">
        <w:rPr>
          <w:rFonts w:eastAsia="Times New Roman" w:cs="Arial"/>
        </w:rPr>
        <w:tab/>
      </w:r>
      <w:proofErr w:type="spellStart"/>
      <w:r w:rsidRPr="00FB7B35">
        <w:rPr>
          <w:rFonts w:eastAsia="Times New Roman" w:cs="Arial"/>
        </w:rPr>
        <w:t>Department</w:t>
      </w:r>
      <w:proofErr w:type="spellEnd"/>
      <w:r w:rsidRPr="00FB7B35">
        <w:rPr>
          <w:rFonts w:eastAsia="Times New Roman" w:cs="Arial"/>
        </w:rPr>
        <w:t xml:space="preserve"> of Education </w:t>
      </w:r>
    </w:p>
    <w:p w14:paraId="13A58171" w14:textId="77777777" w:rsidR="009D347E" w:rsidRPr="00FB7B35" w:rsidRDefault="009D347E" w:rsidP="009D347E">
      <w:pPr>
        <w:tabs>
          <w:tab w:val="left" w:pos="1780"/>
          <w:tab w:val="left" w:pos="3119"/>
        </w:tabs>
        <w:spacing w:after="120"/>
        <w:ind w:left="3119" w:hanging="3119"/>
        <w:rPr>
          <w:rFonts w:eastAsia="Times New Roman" w:cs="Arial"/>
          <w:i/>
        </w:rPr>
      </w:pPr>
      <w:r w:rsidRPr="00FB7B35">
        <w:rPr>
          <w:rFonts w:eastAsia="Times New Roman" w:cs="Arial"/>
        </w:rPr>
        <w:t>FOI Act</w:t>
      </w:r>
      <w:r w:rsidRPr="00FB7B35">
        <w:rPr>
          <w:rFonts w:eastAsia="Times New Roman" w:cs="Arial"/>
        </w:rPr>
        <w:tab/>
      </w:r>
      <w:r w:rsidRPr="00FB7B35">
        <w:rPr>
          <w:rFonts w:eastAsia="Times New Roman" w:cs="Arial"/>
        </w:rPr>
        <w:tab/>
      </w:r>
      <w:r w:rsidRPr="00FB7B35">
        <w:rPr>
          <w:rFonts w:eastAsia="Times New Roman" w:cs="Arial"/>
          <w:i/>
        </w:rPr>
        <w:t>Freedom of Information Act 1982</w:t>
      </w:r>
    </w:p>
    <w:p w14:paraId="4F638D8A"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GST</w:t>
      </w:r>
      <w:r w:rsidRPr="00FB7B35">
        <w:rPr>
          <w:rFonts w:eastAsia="Times New Roman" w:cs="Arial"/>
        </w:rPr>
        <w:tab/>
        <w:t>Goods and Services Tax</w:t>
      </w:r>
    </w:p>
    <w:p w14:paraId="3939B788"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HASS</w:t>
      </w:r>
      <w:r w:rsidRPr="00FB7B35">
        <w:rPr>
          <w:rFonts w:eastAsia="Times New Roman" w:cs="Arial"/>
        </w:rPr>
        <w:tab/>
        <w:t>Humanities and social sciences</w:t>
      </w:r>
    </w:p>
    <w:p w14:paraId="7642B26C"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HEP</w:t>
      </w:r>
      <w:r w:rsidRPr="00FB7B35">
        <w:rPr>
          <w:rFonts w:eastAsia="Times New Roman" w:cs="Arial"/>
        </w:rPr>
        <w:tab/>
        <w:t>Higher education provider</w:t>
      </w:r>
    </w:p>
    <w:p w14:paraId="77C3C727"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HERDC</w:t>
      </w:r>
      <w:r w:rsidRPr="00FB7B35">
        <w:rPr>
          <w:rFonts w:eastAsia="Times New Roman" w:cs="Arial"/>
        </w:rPr>
        <w:tab/>
        <w:t>Higher Education Research Data Collection</w:t>
      </w:r>
    </w:p>
    <w:p w14:paraId="2CBC0EFE"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HESA</w:t>
      </w:r>
      <w:r w:rsidRPr="00FB7B35">
        <w:rPr>
          <w:rFonts w:eastAsia="Times New Roman" w:cs="Arial"/>
        </w:rPr>
        <w:tab/>
      </w:r>
      <w:r w:rsidRPr="00FB7B35">
        <w:rPr>
          <w:rFonts w:eastAsia="Times New Roman" w:cs="Arial"/>
          <w:i/>
        </w:rPr>
        <w:t>Higher Education Support Act 2003</w:t>
      </w:r>
    </w:p>
    <w:p w14:paraId="4597E86F" w14:textId="77777777" w:rsidR="009D347E" w:rsidRDefault="009D347E" w:rsidP="009D347E">
      <w:pPr>
        <w:tabs>
          <w:tab w:val="left" w:pos="3119"/>
        </w:tabs>
        <w:spacing w:after="120"/>
        <w:ind w:left="3119" w:hanging="3119"/>
        <w:rPr>
          <w:rFonts w:eastAsia="Times New Roman" w:cs="Arial"/>
        </w:rPr>
      </w:pPr>
      <w:r w:rsidRPr="00FB7B35">
        <w:rPr>
          <w:rFonts w:eastAsia="Times New Roman" w:cs="Arial"/>
        </w:rPr>
        <w:t>HDR</w:t>
      </w:r>
      <w:r w:rsidRPr="00FB7B35">
        <w:rPr>
          <w:rFonts w:eastAsia="Times New Roman" w:cs="Arial"/>
        </w:rPr>
        <w:tab/>
        <w:t>Higher degree by research</w:t>
      </w:r>
    </w:p>
    <w:p w14:paraId="6FBCD312" w14:textId="77777777" w:rsidR="009D347E" w:rsidRPr="00FB7B35" w:rsidRDefault="009D347E" w:rsidP="009D347E">
      <w:pPr>
        <w:tabs>
          <w:tab w:val="left" w:pos="3119"/>
        </w:tabs>
        <w:spacing w:after="120"/>
        <w:ind w:left="3119" w:hanging="3119"/>
        <w:rPr>
          <w:rFonts w:eastAsia="Times New Roman" w:cs="Arial"/>
        </w:rPr>
      </w:pPr>
      <w:r>
        <w:rPr>
          <w:rFonts w:eastAsia="Times New Roman" w:cs="Arial"/>
        </w:rPr>
        <w:t>IRIISS</w:t>
      </w:r>
      <w:r>
        <w:rPr>
          <w:rFonts w:eastAsia="Times New Roman" w:cs="Arial"/>
        </w:rPr>
        <w:tab/>
      </w:r>
      <w:r w:rsidRPr="009C0ED5">
        <w:rPr>
          <w:rFonts w:eastAsia="Times New Roman" w:cs="Arial"/>
        </w:rPr>
        <w:t>Independent Research Institutes Infrastructure Support Scheme</w:t>
      </w:r>
    </w:p>
    <w:p w14:paraId="39FA5732"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NHMRC</w:t>
      </w:r>
      <w:r w:rsidRPr="00FB7B35">
        <w:rPr>
          <w:rFonts w:eastAsia="Times New Roman" w:cs="Arial"/>
        </w:rPr>
        <w:tab/>
        <w:t>National Health and Medical Research Council</w:t>
      </w:r>
    </w:p>
    <w:p w14:paraId="53EFE42B"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MRFF</w:t>
      </w:r>
      <w:r w:rsidRPr="00FB7B35">
        <w:rPr>
          <w:rFonts w:eastAsia="Times New Roman" w:cs="Arial"/>
        </w:rPr>
        <w:tab/>
        <w:t>Medical Research Future Fund</w:t>
      </w:r>
    </w:p>
    <w:p w14:paraId="351118A5"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OECD</w:t>
      </w:r>
      <w:r w:rsidRPr="00FB7B35">
        <w:rPr>
          <w:rFonts w:eastAsia="Times New Roman" w:cs="Arial"/>
        </w:rPr>
        <w:tab/>
        <w:t>Organisation for Economic Cooperation and Development</w:t>
      </w:r>
    </w:p>
    <w:p w14:paraId="6BEB2F4E"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R&amp;D</w:t>
      </w:r>
      <w:r w:rsidRPr="00FB7B35">
        <w:rPr>
          <w:rFonts w:eastAsia="Times New Roman" w:cs="Arial"/>
        </w:rPr>
        <w:tab/>
        <w:t>Research and experimental Development</w:t>
      </w:r>
    </w:p>
    <w:p w14:paraId="3882BA79"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RBG</w:t>
      </w:r>
      <w:r w:rsidRPr="00FB7B35">
        <w:rPr>
          <w:rFonts w:eastAsia="Times New Roman" w:cs="Arial"/>
        </w:rPr>
        <w:tab/>
        <w:t>Research block grants</w:t>
      </w:r>
    </w:p>
    <w:p w14:paraId="0A38869B"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RSP</w:t>
      </w:r>
      <w:r w:rsidRPr="00FB7B35">
        <w:rPr>
          <w:rFonts w:eastAsia="Times New Roman" w:cs="Arial"/>
        </w:rPr>
        <w:tab/>
        <w:t>Research Support Program</w:t>
      </w:r>
    </w:p>
    <w:p w14:paraId="3590A933" w14:textId="77777777" w:rsidR="009D347E" w:rsidRDefault="009D347E" w:rsidP="009D347E">
      <w:pPr>
        <w:tabs>
          <w:tab w:val="left" w:pos="3119"/>
        </w:tabs>
        <w:spacing w:after="120"/>
        <w:ind w:left="3119" w:hanging="3119"/>
        <w:rPr>
          <w:rFonts w:eastAsia="Times New Roman" w:cs="Arial"/>
        </w:rPr>
      </w:pPr>
      <w:r w:rsidRPr="00FB7B35">
        <w:rPr>
          <w:rFonts w:eastAsia="Times New Roman" w:cs="Arial"/>
        </w:rPr>
        <w:t>RTP</w:t>
      </w:r>
      <w:r w:rsidRPr="00FB7B35">
        <w:rPr>
          <w:rFonts w:eastAsia="Times New Roman" w:cs="Arial"/>
        </w:rPr>
        <w:tab/>
        <w:t>Research Training Program</w:t>
      </w:r>
    </w:p>
    <w:p w14:paraId="09B7C88C" w14:textId="77777777" w:rsidR="009D347E" w:rsidRPr="00FB7B35" w:rsidRDefault="009D347E" w:rsidP="009D347E">
      <w:pPr>
        <w:tabs>
          <w:tab w:val="left" w:pos="3119"/>
        </w:tabs>
        <w:spacing w:after="120"/>
        <w:ind w:left="3119" w:hanging="3119"/>
        <w:rPr>
          <w:rFonts w:ascii="Arial Narrow" w:eastAsia="Times New Roman" w:hAnsi="Arial Narrow" w:cs="Arial"/>
          <w:sz w:val="21"/>
          <w:szCs w:val="21"/>
        </w:rPr>
      </w:pPr>
      <w:r>
        <w:rPr>
          <w:rFonts w:eastAsia="Times New Roman" w:cs="Arial"/>
        </w:rPr>
        <w:t>SEER</w:t>
      </w:r>
      <w:r>
        <w:rPr>
          <w:rFonts w:eastAsia="Times New Roman" w:cs="Arial"/>
        </w:rPr>
        <w:tab/>
      </w:r>
      <w:r w:rsidRPr="009C0ED5">
        <w:rPr>
          <w:rFonts w:eastAsia="Times New Roman" w:cs="Arial"/>
        </w:rPr>
        <w:t>System to Evaluate Excellence in Research for Australia</w:t>
      </w:r>
    </w:p>
    <w:p w14:paraId="6A954D1E" w14:textId="77777777" w:rsidR="009D347E" w:rsidRPr="00FB7B35" w:rsidRDefault="009D347E" w:rsidP="009D347E">
      <w:pPr>
        <w:spacing w:after="120"/>
        <w:rPr>
          <w:b/>
        </w:rPr>
      </w:pPr>
      <w:r w:rsidRPr="00FB7B35">
        <w:br w:type="page"/>
      </w:r>
      <w:bookmarkStart w:id="398" w:name="_APPENDIX_A"/>
      <w:bookmarkStart w:id="399" w:name="_APPENDIX_B"/>
      <w:bookmarkStart w:id="400" w:name="_APPENDIX_C"/>
      <w:bookmarkStart w:id="401" w:name="_APPENDIX_D"/>
      <w:bookmarkStart w:id="402" w:name="_APPENDIX_D_-_"/>
      <w:bookmarkStart w:id="403" w:name="_APPENDIX_D_-"/>
      <w:bookmarkEnd w:id="398"/>
      <w:bookmarkEnd w:id="399"/>
      <w:bookmarkEnd w:id="400"/>
      <w:bookmarkEnd w:id="401"/>
      <w:bookmarkEnd w:id="402"/>
      <w:bookmarkEnd w:id="403"/>
    </w:p>
    <w:p w14:paraId="7CBC62D1" w14:textId="76444590" w:rsidR="009D347E" w:rsidRPr="00FB7B35" w:rsidRDefault="009D347E" w:rsidP="009D347E">
      <w:pPr>
        <w:pStyle w:val="Heading1"/>
      </w:pPr>
      <w:bookmarkStart w:id="404" w:name="_Toc523214691"/>
      <w:bookmarkStart w:id="405" w:name="_Toc491172998"/>
      <w:bookmarkStart w:id="406" w:name="_Toc489955878"/>
      <w:bookmarkStart w:id="407" w:name="_Toc489438095"/>
      <w:bookmarkStart w:id="408" w:name="_Toc27055375"/>
      <w:bookmarkStart w:id="409" w:name="_Toc81230932"/>
      <w:bookmarkStart w:id="410" w:name="_Toc92461308"/>
      <w:bookmarkStart w:id="411" w:name="_Toc147503843"/>
      <w:r w:rsidRPr="00FB7B35">
        <w:lastRenderedPageBreak/>
        <w:t>List of R&amp;D income sub-categories</w:t>
      </w:r>
      <w:bookmarkEnd w:id="404"/>
      <w:bookmarkEnd w:id="405"/>
      <w:bookmarkEnd w:id="406"/>
      <w:bookmarkEnd w:id="407"/>
      <w:bookmarkEnd w:id="408"/>
      <w:bookmarkEnd w:id="409"/>
      <w:bookmarkEnd w:id="410"/>
      <w:bookmarkEnd w:id="411"/>
    </w:p>
    <w:tbl>
      <w:tblPr>
        <w:tblStyle w:val="PlainTable4"/>
        <w:tblW w:w="0" w:type="auto"/>
        <w:tblLook w:val="04A0" w:firstRow="1" w:lastRow="0" w:firstColumn="1" w:lastColumn="0" w:noHBand="0" w:noVBand="1"/>
      </w:tblPr>
      <w:tblGrid>
        <w:gridCol w:w="1838"/>
        <w:gridCol w:w="7188"/>
      </w:tblGrid>
      <w:tr w:rsidR="009D347E" w14:paraId="31C2927E" w14:textId="77777777" w:rsidTr="00A0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002D3F"/>
          </w:tcPr>
          <w:p w14:paraId="6227F3D8" w14:textId="77777777" w:rsidR="009D347E" w:rsidRPr="00960EEA" w:rsidRDefault="009D347E" w:rsidP="00A07A86">
            <w:pPr>
              <w:spacing w:before="120" w:after="120"/>
              <w:rPr>
                <w:rFonts w:eastAsia="Times New Roman" w:cs="Arial"/>
                <w:b w:val="0"/>
                <w:color w:val="FFFFFF" w:themeColor="background1"/>
              </w:rPr>
            </w:pPr>
            <w:r w:rsidRPr="00960EEA">
              <w:rPr>
                <w:rFonts w:eastAsia="Times New Roman" w:cs="Arial"/>
                <w:color w:val="FFFFFF" w:themeColor="background1"/>
              </w:rPr>
              <w:t>Category 1: Australian competitive grant R&amp;D income</w:t>
            </w:r>
          </w:p>
        </w:tc>
      </w:tr>
      <w:tr w:rsidR="009D347E" w14:paraId="30DCA40D"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07AAA44" w14:textId="77777777" w:rsidR="009D347E" w:rsidRDefault="009D347E" w:rsidP="00A07A86">
            <w:pPr>
              <w:spacing w:after="120"/>
              <w:rPr>
                <w:rFonts w:eastAsia="Times New Roman" w:cs="Arial"/>
                <w:b w:val="0"/>
              </w:rPr>
            </w:pPr>
            <w:r w:rsidRPr="00FB7B35">
              <w:rPr>
                <w:rFonts w:eastAsia="Times New Roman" w:cs="Arial"/>
                <w:iCs/>
              </w:rPr>
              <w:t>Sub-category 1.1</w:t>
            </w:r>
          </w:p>
        </w:tc>
        <w:tc>
          <w:tcPr>
            <w:tcW w:w="7217" w:type="dxa"/>
          </w:tcPr>
          <w:p w14:paraId="4CE2B8E9"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iCs/>
              </w:rPr>
              <w:t>National Health and Medical Research Council (NHMRC)</w:t>
            </w:r>
          </w:p>
        </w:tc>
      </w:tr>
      <w:tr w:rsidR="009D347E" w14:paraId="3C0CCE81"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1B8E65A9" w14:textId="77777777" w:rsidR="009D347E" w:rsidRDefault="009D347E" w:rsidP="00A07A86">
            <w:pPr>
              <w:spacing w:after="120"/>
              <w:rPr>
                <w:rFonts w:eastAsia="Times New Roman" w:cs="Arial"/>
                <w:b w:val="0"/>
              </w:rPr>
            </w:pPr>
            <w:r w:rsidRPr="00FB7B35">
              <w:rPr>
                <w:rFonts w:eastAsia="Times New Roman" w:cs="Arial"/>
                <w:iCs/>
              </w:rPr>
              <w:t>Sub-category 1.2</w:t>
            </w:r>
          </w:p>
        </w:tc>
        <w:tc>
          <w:tcPr>
            <w:tcW w:w="7217" w:type="dxa"/>
          </w:tcPr>
          <w:p w14:paraId="40DEBD31"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iCs/>
              </w:rPr>
              <w:t>Australian Research Council (ARC)</w:t>
            </w:r>
          </w:p>
        </w:tc>
      </w:tr>
      <w:tr w:rsidR="009D347E" w14:paraId="5C1EDFF4"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25AEC33" w14:textId="77777777" w:rsidR="009D347E" w:rsidRDefault="009D347E" w:rsidP="00A07A86">
            <w:pPr>
              <w:spacing w:after="120"/>
              <w:rPr>
                <w:rFonts w:eastAsia="Times New Roman" w:cs="Arial"/>
                <w:b w:val="0"/>
              </w:rPr>
            </w:pPr>
            <w:r w:rsidRPr="00FB7B35">
              <w:rPr>
                <w:rFonts w:eastAsia="Times New Roman" w:cs="Arial"/>
                <w:iCs/>
              </w:rPr>
              <w:t>Sub-category 1.3</w:t>
            </w:r>
          </w:p>
        </w:tc>
        <w:tc>
          <w:tcPr>
            <w:tcW w:w="7217" w:type="dxa"/>
          </w:tcPr>
          <w:p w14:paraId="0524495B"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iCs/>
              </w:rPr>
              <w:t>Medical Research Future Fund (MRFF)</w:t>
            </w:r>
          </w:p>
        </w:tc>
      </w:tr>
      <w:tr w:rsidR="009D347E" w14:paraId="5ECC093D"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278280D0" w14:textId="77777777" w:rsidR="009D347E" w:rsidRDefault="009D347E" w:rsidP="00A07A86">
            <w:pPr>
              <w:spacing w:after="120"/>
              <w:rPr>
                <w:rFonts w:eastAsia="Times New Roman" w:cs="Arial"/>
                <w:b w:val="0"/>
              </w:rPr>
            </w:pPr>
            <w:r w:rsidRPr="00FB7B35">
              <w:rPr>
                <w:rFonts w:eastAsia="Times New Roman" w:cs="Arial"/>
                <w:iCs/>
              </w:rPr>
              <w:t>Sub-category 1.4</w:t>
            </w:r>
          </w:p>
        </w:tc>
        <w:tc>
          <w:tcPr>
            <w:tcW w:w="7217" w:type="dxa"/>
          </w:tcPr>
          <w:p w14:paraId="549477FD"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iCs/>
              </w:rPr>
              <w:t>Rural R&amp;D</w:t>
            </w:r>
          </w:p>
        </w:tc>
      </w:tr>
      <w:tr w:rsidR="009D347E" w14:paraId="552B11BD"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48B4B51" w14:textId="77777777" w:rsidR="009D347E" w:rsidRDefault="009D347E" w:rsidP="00A07A86">
            <w:pPr>
              <w:spacing w:after="120"/>
              <w:rPr>
                <w:rFonts w:eastAsia="Times New Roman" w:cs="Arial"/>
                <w:b w:val="0"/>
              </w:rPr>
            </w:pPr>
            <w:r w:rsidRPr="00FB7B35">
              <w:rPr>
                <w:rFonts w:eastAsia="Times New Roman" w:cs="Arial"/>
                <w:iCs/>
              </w:rPr>
              <w:t>Sub-category 1.5</w:t>
            </w:r>
          </w:p>
        </w:tc>
        <w:tc>
          <w:tcPr>
            <w:tcW w:w="7217" w:type="dxa"/>
          </w:tcPr>
          <w:p w14:paraId="7ED53A50"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iCs/>
              </w:rPr>
              <w:t>Commonwealth other</w:t>
            </w:r>
          </w:p>
        </w:tc>
      </w:tr>
      <w:tr w:rsidR="009D347E" w14:paraId="55D3FEC5"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7054511B" w14:textId="77777777" w:rsidR="009D347E" w:rsidRDefault="009D347E" w:rsidP="00A07A86">
            <w:pPr>
              <w:spacing w:after="120"/>
              <w:rPr>
                <w:rFonts w:eastAsia="Times New Roman" w:cs="Arial"/>
                <w:b w:val="0"/>
              </w:rPr>
            </w:pPr>
            <w:r w:rsidRPr="00FB7B35">
              <w:rPr>
                <w:rFonts w:eastAsia="Times New Roman" w:cs="Arial"/>
                <w:iCs/>
              </w:rPr>
              <w:t>Sub-category 1.6</w:t>
            </w:r>
          </w:p>
        </w:tc>
        <w:tc>
          <w:tcPr>
            <w:tcW w:w="7217" w:type="dxa"/>
          </w:tcPr>
          <w:p w14:paraId="6DB863A7"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iCs/>
              </w:rPr>
              <w:t>State/territory government</w:t>
            </w:r>
          </w:p>
        </w:tc>
      </w:tr>
      <w:tr w:rsidR="009D347E" w14:paraId="6A4E9547"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0E1A435" w14:textId="77777777" w:rsidR="009D347E" w:rsidRDefault="009D347E" w:rsidP="00A07A86">
            <w:pPr>
              <w:spacing w:after="120"/>
              <w:rPr>
                <w:rFonts w:eastAsia="Times New Roman" w:cs="Arial"/>
                <w:b w:val="0"/>
              </w:rPr>
            </w:pPr>
            <w:r w:rsidRPr="00FB7B35">
              <w:rPr>
                <w:rFonts w:eastAsia="Times New Roman" w:cs="Arial"/>
                <w:iCs/>
              </w:rPr>
              <w:t>Sub-category 1.7</w:t>
            </w:r>
          </w:p>
        </w:tc>
        <w:tc>
          <w:tcPr>
            <w:tcW w:w="7217" w:type="dxa"/>
          </w:tcPr>
          <w:p w14:paraId="2B655A86"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Pr>
                <w:rFonts w:eastAsia="Times New Roman" w:cs="Arial"/>
                <w:iCs/>
              </w:rPr>
              <w:t>O</w:t>
            </w:r>
            <w:r w:rsidRPr="00FB7B35">
              <w:rPr>
                <w:rFonts w:eastAsia="Times New Roman" w:cs="Arial"/>
                <w:iCs/>
              </w:rPr>
              <w:t>ther</w:t>
            </w:r>
          </w:p>
        </w:tc>
      </w:tr>
      <w:tr w:rsidR="009D347E" w14:paraId="190BBAB4" w14:textId="77777777" w:rsidTr="00A07A86">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002D3F"/>
          </w:tcPr>
          <w:p w14:paraId="63C1B363" w14:textId="77777777" w:rsidR="009D347E" w:rsidRPr="00960EEA" w:rsidRDefault="009D347E" w:rsidP="00A07A86">
            <w:pPr>
              <w:spacing w:before="120" w:after="120"/>
              <w:rPr>
                <w:rFonts w:eastAsia="Times New Roman" w:cs="Arial"/>
                <w:b w:val="0"/>
                <w:color w:val="FFFFFF" w:themeColor="background1"/>
              </w:rPr>
            </w:pPr>
            <w:r w:rsidRPr="00960EEA">
              <w:rPr>
                <w:rFonts w:eastAsia="Times New Roman" w:cs="Arial"/>
                <w:color w:val="FFFFFF" w:themeColor="background1"/>
              </w:rPr>
              <w:t xml:space="preserve">Category 2: </w:t>
            </w:r>
            <w:r>
              <w:rPr>
                <w:rFonts w:eastAsia="Times New Roman" w:cs="Arial"/>
                <w:color w:val="FFFFFF" w:themeColor="background1"/>
              </w:rPr>
              <w:t>O</w:t>
            </w:r>
            <w:r w:rsidRPr="00960EEA">
              <w:rPr>
                <w:rFonts w:eastAsia="Times New Roman" w:cs="Arial"/>
                <w:color w:val="FFFFFF" w:themeColor="background1"/>
              </w:rPr>
              <w:t>ther public sector R&amp;D income</w:t>
            </w:r>
          </w:p>
        </w:tc>
      </w:tr>
      <w:tr w:rsidR="009D347E" w14:paraId="7983083D"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20647C8" w14:textId="77777777" w:rsidR="009D347E" w:rsidRPr="00FB7B35" w:rsidRDefault="009D347E" w:rsidP="00A07A86">
            <w:pPr>
              <w:spacing w:after="120"/>
              <w:rPr>
                <w:rFonts w:eastAsia="Times New Roman" w:cs="Arial"/>
                <w:iCs/>
              </w:rPr>
            </w:pPr>
            <w:r w:rsidRPr="00FB7B35">
              <w:rPr>
                <w:rFonts w:eastAsia="Times New Roman" w:cs="Arial"/>
                <w:iCs/>
              </w:rPr>
              <w:t>Sub-category 2.1</w:t>
            </w:r>
          </w:p>
        </w:tc>
        <w:tc>
          <w:tcPr>
            <w:tcW w:w="7217" w:type="dxa"/>
          </w:tcPr>
          <w:p w14:paraId="75FCACED"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iCs/>
              </w:rPr>
              <w:t>Commonwealth (own purpose)</w:t>
            </w:r>
          </w:p>
        </w:tc>
      </w:tr>
      <w:tr w:rsidR="009D347E" w14:paraId="3551E45C"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32E00E03" w14:textId="77777777" w:rsidR="009D347E" w:rsidRPr="00FB7B35" w:rsidRDefault="009D347E" w:rsidP="00A07A86">
            <w:pPr>
              <w:spacing w:after="120"/>
              <w:rPr>
                <w:rFonts w:eastAsia="Times New Roman" w:cs="Arial"/>
                <w:iCs/>
              </w:rPr>
            </w:pPr>
            <w:r w:rsidRPr="00FB7B35">
              <w:rPr>
                <w:rFonts w:eastAsia="Times New Roman" w:cs="Arial"/>
                <w:iCs/>
              </w:rPr>
              <w:t>Sub-category 2.2</w:t>
            </w:r>
          </w:p>
        </w:tc>
        <w:tc>
          <w:tcPr>
            <w:tcW w:w="7217" w:type="dxa"/>
          </w:tcPr>
          <w:p w14:paraId="58865AB0"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iCs/>
              </w:rPr>
              <w:t>Commonwealth (other)</w:t>
            </w:r>
          </w:p>
        </w:tc>
      </w:tr>
      <w:tr w:rsidR="009D347E" w14:paraId="437C4A6A"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1B26FC5" w14:textId="77777777" w:rsidR="009D347E" w:rsidRPr="00FB7B35" w:rsidRDefault="009D347E" w:rsidP="00A07A86">
            <w:pPr>
              <w:spacing w:after="120"/>
              <w:rPr>
                <w:rFonts w:eastAsia="Times New Roman" w:cs="Arial"/>
                <w:iCs/>
              </w:rPr>
            </w:pPr>
            <w:r w:rsidRPr="00FB7B35">
              <w:rPr>
                <w:rFonts w:eastAsia="Times New Roman" w:cs="Arial"/>
                <w:iCs/>
              </w:rPr>
              <w:t>Sub-category 2.3</w:t>
            </w:r>
          </w:p>
        </w:tc>
        <w:tc>
          <w:tcPr>
            <w:tcW w:w="7217" w:type="dxa"/>
          </w:tcPr>
          <w:p w14:paraId="5576A3F1"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iCs/>
              </w:rPr>
              <w:t>State/territory/local (own purpose)</w:t>
            </w:r>
          </w:p>
        </w:tc>
      </w:tr>
      <w:tr w:rsidR="009D347E" w14:paraId="69C16F63"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123F93A3" w14:textId="77777777" w:rsidR="009D347E" w:rsidRPr="00FB7B35" w:rsidRDefault="009D347E" w:rsidP="00A07A86">
            <w:pPr>
              <w:spacing w:after="120"/>
              <w:rPr>
                <w:rFonts w:eastAsia="Times New Roman" w:cs="Arial"/>
                <w:iCs/>
              </w:rPr>
            </w:pPr>
            <w:r w:rsidRPr="00FB7B35">
              <w:rPr>
                <w:rFonts w:eastAsia="Times New Roman" w:cs="Arial"/>
                <w:iCs/>
              </w:rPr>
              <w:t>Sub-category 2.4</w:t>
            </w:r>
          </w:p>
        </w:tc>
        <w:tc>
          <w:tcPr>
            <w:tcW w:w="7217" w:type="dxa"/>
          </w:tcPr>
          <w:p w14:paraId="2C0F8080"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iCs/>
              </w:rPr>
              <w:t>State/territory/local (other)</w:t>
            </w:r>
          </w:p>
        </w:tc>
      </w:tr>
      <w:tr w:rsidR="009D347E" w14:paraId="3AC21698"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002D3F"/>
          </w:tcPr>
          <w:p w14:paraId="3CDB0E58" w14:textId="77777777" w:rsidR="009D347E" w:rsidRPr="00960EEA" w:rsidRDefault="009D347E" w:rsidP="00A07A86">
            <w:pPr>
              <w:spacing w:before="120" w:after="120"/>
              <w:rPr>
                <w:rFonts w:eastAsia="Times New Roman" w:cs="Arial"/>
                <w:b w:val="0"/>
                <w:color w:val="FFFFFF" w:themeColor="background1"/>
              </w:rPr>
            </w:pPr>
            <w:r w:rsidRPr="00960EEA">
              <w:rPr>
                <w:rFonts w:eastAsia="Times New Roman" w:cs="Arial"/>
                <w:color w:val="FFFFFF" w:themeColor="background1"/>
              </w:rPr>
              <w:t xml:space="preserve">Category 3: </w:t>
            </w:r>
            <w:r>
              <w:rPr>
                <w:rFonts w:eastAsia="Times New Roman" w:cs="Arial"/>
                <w:color w:val="FFFFFF" w:themeColor="background1"/>
              </w:rPr>
              <w:t>I</w:t>
            </w:r>
            <w:r w:rsidRPr="00960EEA">
              <w:rPr>
                <w:rFonts w:eastAsia="Times New Roman" w:cs="Arial"/>
                <w:color w:val="FFFFFF" w:themeColor="background1"/>
              </w:rPr>
              <w:t>ndustry and other R&amp;D income</w:t>
            </w:r>
          </w:p>
        </w:tc>
      </w:tr>
      <w:tr w:rsidR="009D347E" w14:paraId="7AC409B3"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42E989C7" w14:textId="77777777" w:rsidR="009D347E" w:rsidRPr="00FB7B35" w:rsidRDefault="009D347E" w:rsidP="00A07A86">
            <w:pPr>
              <w:spacing w:after="120"/>
              <w:rPr>
                <w:rFonts w:eastAsia="Times New Roman" w:cs="Arial"/>
                <w:iCs/>
              </w:rPr>
            </w:pPr>
            <w:r w:rsidRPr="00FB7B35">
              <w:rPr>
                <w:rFonts w:eastAsia="Times New Roman" w:cs="Arial"/>
              </w:rPr>
              <w:t>Sub-category 3.1</w:t>
            </w:r>
          </w:p>
        </w:tc>
        <w:tc>
          <w:tcPr>
            <w:tcW w:w="7217" w:type="dxa"/>
          </w:tcPr>
          <w:p w14:paraId="145778DA"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rPr>
              <w:t>Australian for-profit organisations</w:t>
            </w:r>
          </w:p>
        </w:tc>
      </w:tr>
      <w:tr w:rsidR="009D347E" w14:paraId="7A330075"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DB5154F" w14:textId="77777777" w:rsidR="009D347E" w:rsidRPr="00FB7B35" w:rsidRDefault="009D347E" w:rsidP="00A07A86">
            <w:pPr>
              <w:spacing w:after="120"/>
              <w:rPr>
                <w:rFonts w:eastAsia="Times New Roman" w:cs="Arial"/>
                <w:iCs/>
              </w:rPr>
            </w:pPr>
            <w:r w:rsidRPr="00FB7B35">
              <w:rPr>
                <w:rFonts w:eastAsia="Times New Roman" w:cs="Arial"/>
              </w:rPr>
              <w:t>Sub-category 3.2</w:t>
            </w:r>
          </w:p>
        </w:tc>
        <w:tc>
          <w:tcPr>
            <w:tcW w:w="7217" w:type="dxa"/>
          </w:tcPr>
          <w:p w14:paraId="36FF4626"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rPr>
              <w:t>Australian not-for profit organisations</w:t>
            </w:r>
          </w:p>
        </w:tc>
      </w:tr>
      <w:tr w:rsidR="009D347E" w14:paraId="37576625"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11A594D9" w14:textId="77777777" w:rsidR="009D347E" w:rsidRPr="00FB7B35" w:rsidRDefault="009D347E" w:rsidP="00A07A86">
            <w:pPr>
              <w:spacing w:after="120"/>
              <w:rPr>
                <w:rFonts w:eastAsia="Times New Roman" w:cs="Arial"/>
                <w:iCs/>
              </w:rPr>
            </w:pPr>
            <w:r w:rsidRPr="00FB7B35">
              <w:rPr>
                <w:rFonts w:eastAsia="Times New Roman" w:cs="Arial"/>
              </w:rPr>
              <w:t>Sub-category 3.3</w:t>
            </w:r>
          </w:p>
        </w:tc>
        <w:tc>
          <w:tcPr>
            <w:tcW w:w="7217" w:type="dxa"/>
          </w:tcPr>
          <w:p w14:paraId="184C048D"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rPr>
              <w:t>Australian philanthropy</w:t>
            </w:r>
          </w:p>
        </w:tc>
      </w:tr>
      <w:tr w:rsidR="009D347E" w14:paraId="7B5D9EC8"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EF679E0" w14:textId="77777777" w:rsidR="009D347E" w:rsidRPr="00FB7B35" w:rsidRDefault="009D347E" w:rsidP="00A07A86">
            <w:pPr>
              <w:spacing w:after="120"/>
              <w:rPr>
                <w:rFonts w:eastAsia="Times New Roman" w:cs="Arial"/>
                <w:iCs/>
              </w:rPr>
            </w:pPr>
            <w:r w:rsidRPr="00FB7B35">
              <w:rPr>
                <w:rFonts w:eastAsia="Times New Roman" w:cs="Arial"/>
              </w:rPr>
              <w:t>Sub-category 3.4</w:t>
            </w:r>
          </w:p>
        </w:tc>
        <w:tc>
          <w:tcPr>
            <w:tcW w:w="7217" w:type="dxa"/>
          </w:tcPr>
          <w:p w14:paraId="40AE5773"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Pr>
                <w:rFonts w:eastAsia="Times New Roman" w:cs="Arial"/>
              </w:rPr>
              <w:t>I</w:t>
            </w:r>
            <w:r w:rsidRPr="00FB7B35">
              <w:rPr>
                <w:rFonts w:eastAsia="Times New Roman" w:cs="Arial"/>
              </w:rPr>
              <w:t>nternational for-profit organisations</w:t>
            </w:r>
          </w:p>
        </w:tc>
      </w:tr>
      <w:tr w:rsidR="009D347E" w14:paraId="5A448E6D"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51A14DD9" w14:textId="77777777" w:rsidR="009D347E" w:rsidRPr="00FB7B35" w:rsidRDefault="009D347E" w:rsidP="00A07A86">
            <w:pPr>
              <w:spacing w:after="120"/>
              <w:rPr>
                <w:rFonts w:eastAsia="Times New Roman" w:cs="Arial"/>
                <w:iCs/>
              </w:rPr>
            </w:pPr>
            <w:r w:rsidRPr="00FB7B35">
              <w:rPr>
                <w:rFonts w:eastAsia="Times New Roman" w:cs="Arial"/>
              </w:rPr>
              <w:t>Sub-category 3.5</w:t>
            </w:r>
          </w:p>
        </w:tc>
        <w:tc>
          <w:tcPr>
            <w:tcW w:w="7217" w:type="dxa"/>
          </w:tcPr>
          <w:p w14:paraId="34346CF4"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rPr>
              <w:t>I</w:t>
            </w:r>
            <w:r w:rsidRPr="00FB7B35">
              <w:rPr>
                <w:rFonts w:eastAsia="Times New Roman" w:cs="Arial"/>
              </w:rPr>
              <w:t>nternational not-for profit organisations</w:t>
            </w:r>
          </w:p>
        </w:tc>
      </w:tr>
      <w:tr w:rsidR="009D347E" w14:paraId="144502EB"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318D7DF" w14:textId="77777777" w:rsidR="009D347E" w:rsidRPr="00FB7B35" w:rsidRDefault="009D347E" w:rsidP="00A07A86">
            <w:pPr>
              <w:spacing w:after="120"/>
              <w:rPr>
                <w:rFonts w:eastAsia="Times New Roman" w:cs="Arial"/>
                <w:iCs/>
              </w:rPr>
            </w:pPr>
            <w:r w:rsidRPr="00FB7B35">
              <w:rPr>
                <w:rFonts w:eastAsia="Times New Roman" w:cs="Arial"/>
              </w:rPr>
              <w:t>Sub-category 3.6</w:t>
            </w:r>
          </w:p>
        </w:tc>
        <w:tc>
          <w:tcPr>
            <w:tcW w:w="7217" w:type="dxa"/>
          </w:tcPr>
          <w:p w14:paraId="3B1E4B8C"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Pr>
                <w:rFonts w:eastAsia="Times New Roman" w:cs="Arial"/>
              </w:rPr>
              <w:t>I</w:t>
            </w:r>
            <w:r w:rsidRPr="00FB7B35">
              <w:rPr>
                <w:rFonts w:eastAsia="Times New Roman" w:cs="Arial"/>
              </w:rPr>
              <w:t>nternational philanthropy</w:t>
            </w:r>
          </w:p>
        </w:tc>
      </w:tr>
      <w:tr w:rsidR="009D347E" w14:paraId="70AD48AD"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368DA8AB" w14:textId="77777777" w:rsidR="009D347E" w:rsidRPr="00FB7B35" w:rsidRDefault="009D347E" w:rsidP="00A07A86">
            <w:pPr>
              <w:spacing w:after="120"/>
              <w:rPr>
                <w:rFonts w:eastAsia="Times New Roman" w:cs="Arial"/>
                <w:iCs/>
              </w:rPr>
            </w:pPr>
            <w:r w:rsidRPr="00FB7B35">
              <w:rPr>
                <w:rFonts w:eastAsia="Times New Roman" w:cs="Arial"/>
              </w:rPr>
              <w:t>Sub-category 3.7</w:t>
            </w:r>
          </w:p>
        </w:tc>
        <w:tc>
          <w:tcPr>
            <w:tcW w:w="7217" w:type="dxa"/>
          </w:tcPr>
          <w:p w14:paraId="738C83E8"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rPr>
              <w:t>I</w:t>
            </w:r>
            <w:r w:rsidRPr="00FB7B35">
              <w:rPr>
                <w:rFonts w:eastAsia="Times New Roman" w:cs="Arial"/>
              </w:rPr>
              <w:t>nternational government (own purpose)</w:t>
            </w:r>
          </w:p>
        </w:tc>
      </w:tr>
      <w:tr w:rsidR="009D347E" w14:paraId="746D21FF"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C9F62E" w14:textId="77777777" w:rsidR="009D347E" w:rsidRPr="00FB7B35" w:rsidRDefault="009D347E" w:rsidP="00A07A86">
            <w:pPr>
              <w:spacing w:after="120"/>
              <w:rPr>
                <w:rFonts w:eastAsia="Times New Roman" w:cs="Arial"/>
                <w:iCs/>
              </w:rPr>
            </w:pPr>
            <w:r w:rsidRPr="00FB7B35">
              <w:rPr>
                <w:rFonts w:eastAsia="Times New Roman" w:cs="Arial"/>
              </w:rPr>
              <w:t>Sub-category 3.8</w:t>
            </w:r>
          </w:p>
        </w:tc>
        <w:tc>
          <w:tcPr>
            <w:tcW w:w="7217" w:type="dxa"/>
          </w:tcPr>
          <w:p w14:paraId="58F61AC0"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Pr>
                <w:rFonts w:eastAsia="Times New Roman" w:cs="Arial"/>
              </w:rPr>
              <w:t>I</w:t>
            </w:r>
            <w:r w:rsidRPr="00FB7B35">
              <w:rPr>
                <w:rFonts w:eastAsia="Times New Roman" w:cs="Arial"/>
              </w:rPr>
              <w:t>nternational government (other)</w:t>
            </w:r>
          </w:p>
        </w:tc>
      </w:tr>
      <w:tr w:rsidR="009D347E" w14:paraId="2E596D90" w14:textId="77777777" w:rsidTr="00A07A86">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002D3F"/>
          </w:tcPr>
          <w:p w14:paraId="19BE2335" w14:textId="77777777" w:rsidR="009D347E" w:rsidRPr="00960EEA" w:rsidRDefault="009D347E" w:rsidP="00A07A86">
            <w:pPr>
              <w:spacing w:before="120" w:after="120"/>
              <w:rPr>
                <w:rFonts w:eastAsia="Times New Roman" w:cs="Arial"/>
                <w:b w:val="0"/>
                <w:color w:val="FFFFFF" w:themeColor="background1"/>
              </w:rPr>
            </w:pPr>
            <w:r w:rsidRPr="00960EEA">
              <w:rPr>
                <w:rFonts w:eastAsia="Times New Roman" w:cs="Arial"/>
                <w:color w:val="FFFFFF" w:themeColor="background1"/>
              </w:rPr>
              <w:t>Category 4: CRC R&amp;D income</w:t>
            </w:r>
          </w:p>
        </w:tc>
      </w:tr>
      <w:tr w:rsidR="009D347E" w14:paraId="7DA9AE82"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7CD07D4" w14:textId="77777777" w:rsidR="009D347E" w:rsidRPr="00FB7B35" w:rsidRDefault="009D347E" w:rsidP="00A07A86">
            <w:pPr>
              <w:spacing w:after="120"/>
              <w:rPr>
                <w:rFonts w:eastAsia="Times New Roman" w:cs="Arial"/>
                <w:iCs/>
              </w:rPr>
            </w:pPr>
            <w:r w:rsidRPr="00FB7B35">
              <w:rPr>
                <w:rFonts w:eastAsia="Times New Roman" w:cs="Arial"/>
                <w:iCs/>
              </w:rPr>
              <w:t>Sub-category 4.1</w:t>
            </w:r>
          </w:p>
        </w:tc>
        <w:tc>
          <w:tcPr>
            <w:tcW w:w="7217" w:type="dxa"/>
          </w:tcPr>
          <w:p w14:paraId="4FB213AD" w14:textId="77777777" w:rsidR="009D347E" w:rsidRPr="00960EEA"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iCs/>
              </w:rPr>
            </w:pPr>
            <w:r w:rsidRPr="00FB7B35">
              <w:rPr>
                <w:rFonts w:eastAsia="Times New Roman" w:cs="Arial"/>
                <w:iCs/>
              </w:rPr>
              <w:t>R&amp;D income received from CRCs derived from Australian Government grants to CRCs</w:t>
            </w:r>
          </w:p>
        </w:tc>
      </w:tr>
      <w:tr w:rsidR="009D347E" w14:paraId="66897236" w14:textId="77777777" w:rsidTr="00A07A86">
        <w:tc>
          <w:tcPr>
            <w:cnfStyle w:val="001000000000" w:firstRow="0" w:lastRow="0" w:firstColumn="1" w:lastColumn="0" w:oddVBand="0" w:evenVBand="0" w:oddHBand="0" w:evenHBand="0" w:firstRowFirstColumn="0" w:firstRowLastColumn="0" w:lastRowFirstColumn="0" w:lastRowLastColumn="0"/>
            <w:tcW w:w="1843" w:type="dxa"/>
          </w:tcPr>
          <w:p w14:paraId="7198A92F" w14:textId="77777777" w:rsidR="009D347E" w:rsidRPr="00FB7B35" w:rsidRDefault="009D347E" w:rsidP="00A07A86">
            <w:pPr>
              <w:spacing w:after="120"/>
              <w:rPr>
                <w:rFonts w:eastAsia="Times New Roman" w:cs="Arial"/>
                <w:iCs/>
              </w:rPr>
            </w:pPr>
            <w:r w:rsidRPr="00FB7B35">
              <w:rPr>
                <w:rFonts w:eastAsia="Times New Roman" w:cs="Arial"/>
                <w:iCs/>
              </w:rPr>
              <w:t>Sub-category 4.2</w:t>
            </w:r>
          </w:p>
        </w:tc>
        <w:tc>
          <w:tcPr>
            <w:tcW w:w="7217" w:type="dxa"/>
          </w:tcPr>
          <w:p w14:paraId="089F68F0" w14:textId="77777777" w:rsidR="009D347E" w:rsidRDefault="009D347E" w:rsidP="00A07A86">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rPr>
            </w:pPr>
            <w:r w:rsidRPr="00FB7B35">
              <w:rPr>
                <w:rFonts w:eastAsia="Times New Roman" w:cs="Arial"/>
                <w:iCs/>
              </w:rPr>
              <w:t>R&amp;D income received from CRCs derived from private industry participants of CRCs</w:t>
            </w:r>
          </w:p>
        </w:tc>
      </w:tr>
      <w:tr w:rsidR="009D347E" w14:paraId="1EC567B5" w14:textId="77777777" w:rsidTr="00A07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1EF7635" w14:textId="77777777" w:rsidR="009D347E" w:rsidRPr="00FB7B35" w:rsidRDefault="009D347E" w:rsidP="00A07A86">
            <w:pPr>
              <w:spacing w:after="120"/>
              <w:rPr>
                <w:rFonts w:eastAsia="Times New Roman" w:cs="Arial"/>
                <w:iCs/>
              </w:rPr>
            </w:pPr>
            <w:r w:rsidRPr="00FB7B35">
              <w:rPr>
                <w:rFonts w:eastAsia="Times New Roman" w:cs="Arial"/>
                <w:iCs/>
              </w:rPr>
              <w:t>Sub-category 4.3</w:t>
            </w:r>
          </w:p>
        </w:tc>
        <w:tc>
          <w:tcPr>
            <w:tcW w:w="7217" w:type="dxa"/>
          </w:tcPr>
          <w:p w14:paraId="1A969B02" w14:textId="77777777" w:rsidR="009D347E" w:rsidRDefault="009D347E" w:rsidP="00A07A86">
            <w:pPr>
              <w:spacing w:after="120"/>
              <w:cnfStyle w:val="000000100000" w:firstRow="0" w:lastRow="0" w:firstColumn="0" w:lastColumn="0" w:oddVBand="0" w:evenVBand="0" w:oddHBand="1" w:evenHBand="0" w:firstRowFirstColumn="0" w:firstRowLastColumn="0" w:lastRowFirstColumn="0" w:lastRowLastColumn="0"/>
              <w:rPr>
                <w:rFonts w:eastAsia="Times New Roman" w:cs="Arial"/>
                <w:b/>
              </w:rPr>
            </w:pPr>
            <w:r w:rsidRPr="00FB7B35">
              <w:rPr>
                <w:rFonts w:eastAsia="Times New Roman" w:cs="Arial"/>
                <w:iCs/>
              </w:rPr>
              <w:t>R&amp;D income received from CRCs derived from other sources</w:t>
            </w:r>
          </w:p>
        </w:tc>
      </w:tr>
    </w:tbl>
    <w:p w14:paraId="16284547" w14:textId="77777777" w:rsidR="009D347E" w:rsidRPr="001821A2" w:rsidRDefault="009D347E" w:rsidP="009D347E">
      <w:pPr>
        <w:spacing w:after="120"/>
      </w:pPr>
    </w:p>
    <w:p w14:paraId="53966706" w14:textId="4EECEE8B" w:rsidR="0017134D" w:rsidRDefault="0017134D" w:rsidP="009D347E">
      <w:pPr>
        <w:pStyle w:val="ListNumber4"/>
        <w:numPr>
          <w:ilvl w:val="0"/>
          <w:numId w:val="0"/>
        </w:numPr>
      </w:pPr>
    </w:p>
    <w:sectPr w:rsidR="001713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00C5" w14:textId="77777777" w:rsidR="00C8700E" w:rsidRDefault="00C8700E" w:rsidP="00C8700E">
    <w:pPr>
      <w:pStyle w:val="Footer"/>
    </w:pPr>
    <w:r>
      <w:t xml:space="preserve">Final HERDC specifications for the collection of 2023 data| </w:t>
    </w:r>
    <w:r w:rsidRPr="00AF1F18">
      <w:fldChar w:fldCharType="begin"/>
    </w:r>
    <w:r w:rsidRPr="00AF1F18">
      <w:instrText xml:space="preserve"> PAGE   \* MERGEFORMAT </w:instrText>
    </w:r>
    <w:r w:rsidRPr="00AF1F18">
      <w:fldChar w:fldCharType="separate"/>
    </w:r>
    <w:r>
      <w:t>21</w:t>
    </w:r>
    <w:r w:rsidRPr="00AF1F18">
      <w:fldChar w:fldCharType="end"/>
    </w:r>
    <w:r>
      <w:rPr>
        <w:noProof/>
      </w:rPr>
      <w:drawing>
        <wp:anchor distT="0" distB="0" distL="114300" distR="114300" simplePos="0" relativeHeight="251668480" behindDoc="1" locked="1" layoutInCell="1" allowOverlap="1" wp14:anchorId="0FC98134" wp14:editId="406E5021">
          <wp:simplePos x="0" y="0"/>
          <wp:positionH relativeFrom="page">
            <wp:align>right</wp:align>
          </wp:positionH>
          <wp:positionV relativeFrom="page">
            <wp:align>bottom</wp:align>
          </wp:positionV>
          <wp:extent cx="1220400" cy="651600"/>
          <wp:effectExtent l="0" t="0" r="0" b="0"/>
          <wp:wrapNone/>
          <wp:docPr id="84174468" name="Picture 84174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p w14:paraId="677FA8FE" w14:textId="77777777" w:rsidR="00C8700E" w:rsidRDefault="00C8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9139" w14:textId="77777777" w:rsidR="009D347E" w:rsidRDefault="009D347E">
    <w:pPr>
      <w:pStyle w:val="Footer"/>
    </w:pPr>
  </w:p>
  <w:p w14:paraId="1C54131F" w14:textId="000E6D73" w:rsidR="009D347E" w:rsidRDefault="009D347E" w:rsidP="00B37FB9">
    <w:pPr>
      <w:pStyle w:val="Footer"/>
    </w:pPr>
    <w:r>
      <w:rPr>
        <w:noProof/>
      </w:rPr>
      <mc:AlternateContent>
        <mc:Choice Requires="wps">
          <w:drawing>
            <wp:anchor distT="0" distB="0" distL="114300" distR="114300" simplePos="0" relativeHeight="251660288" behindDoc="0" locked="0" layoutInCell="1" allowOverlap="1" wp14:anchorId="36B7A0BF" wp14:editId="3D9E80A6">
              <wp:simplePos x="0" y="0"/>
              <wp:positionH relativeFrom="page">
                <wp:posOffset>-3810</wp:posOffset>
              </wp:positionH>
              <wp:positionV relativeFrom="paragraph">
                <wp:posOffset>435448</wp:posOffset>
              </wp:positionV>
              <wp:extent cx="10696353" cy="186365"/>
              <wp:effectExtent l="0" t="0" r="0" b="4445"/>
              <wp:wrapNone/>
              <wp:docPr id="1242333243" name="Rectangle 1242333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6353" cy="18636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F47B" id="Rectangle 1242333243" o:spid="_x0000_s1026" alt="&quot;&quot;" style="position:absolute;margin-left:-.3pt;margin-top:34.3pt;width:842.25pt;height:1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" fillcolor="#002d3f" stroked="f" strokeweight="1pt">
              <w10:wrap anchorx="page"/>
            </v:rect>
          </w:pict>
        </mc:Fallback>
      </mc:AlternateContent>
    </w:r>
    <w:r w:rsidR="00C8700E">
      <w:t>Final</w:t>
    </w:r>
    <w:r>
      <w:t xml:space="preserve"> HERDC s</w:t>
    </w:r>
    <w:r w:rsidRPr="006411D0">
      <w:t>pecifications for the collection of 202</w:t>
    </w:r>
    <w:r>
      <w:t>3</w:t>
    </w:r>
    <w:r w:rsidRPr="006411D0">
      <w:t xml:space="preserve"> data</w:t>
    </w:r>
    <w:r>
      <w:t xml:space="preserve">| </w:t>
    </w:r>
    <w:sdt>
      <w:sdtPr>
        <w:id w:val="-20764950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6D3958E1" w:rsidR="00221D8F" w:rsidRDefault="009D347E">
    <w:pPr>
      <w:pStyle w:val="Footer"/>
    </w:pPr>
    <w:r>
      <w:t>Final HERDC specifications for the collection of 2023 data</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 w:id="1">
    <w:p w14:paraId="4427EE8D" w14:textId="77777777" w:rsidR="009D347E" w:rsidRPr="00410CED" w:rsidRDefault="009D347E" w:rsidP="009D347E">
      <w:pPr>
        <w:pStyle w:val="FootnoteText"/>
        <w:rPr>
          <w:rFonts w:asciiTheme="minorHAnsi" w:hAnsiTheme="minorHAnsi" w:cstheme="minorHAnsi"/>
        </w:rPr>
      </w:pPr>
      <w:r w:rsidRPr="00410CED">
        <w:rPr>
          <w:rStyle w:val="FootnoteReference"/>
          <w:rFonts w:asciiTheme="minorHAnsi" w:eastAsiaTheme="majorEastAsia" w:hAnsiTheme="minorHAnsi" w:cstheme="minorHAnsi"/>
        </w:rPr>
        <w:footnoteRef/>
      </w:r>
      <w:r w:rsidRPr="00410CED">
        <w:rPr>
          <w:rFonts w:asciiTheme="minorHAnsi" w:hAnsiTheme="minorHAnsi" w:cstheme="minorHAnsi"/>
        </w:rPr>
        <w:t xml:space="preserve"> </w:t>
      </w:r>
      <w:r w:rsidRPr="00410CED">
        <w:rPr>
          <w:rFonts w:asciiTheme="minorHAnsi" w:hAnsiTheme="minorHAnsi" w:cstheme="minorHAnsi"/>
          <w:sz w:val="18"/>
          <w:szCs w:val="18"/>
        </w:rPr>
        <w:t xml:space="preserve">Eligible higher education providers (HEPs) </w:t>
      </w:r>
      <w:proofErr w:type="gramStart"/>
      <w:r w:rsidRPr="00410CED">
        <w:rPr>
          <w:rFonts w:asciiTheme="minorHAnsi" w:hAnsiTheme="minorHAnsi" w:cstheme="minorHAnsi"/>
          <w:sz w:val="18"/>
          <w:szCs w:val="18"/>
        </w:rPr>
        <w:t>means</w:t>
      </w:r>
      <w:proofErr w:type="gramEnd"/>
      <w:r w:rsidRPr="00410CED">
        <w:rPr>
          <w:rFonts w:asciiTheme="minorHAnsi" w:hAnsiTheme="minorHAnsi" w:cstheme="minorHAnsi"/>
          <w:sz w:val="18"/>
          <w:szCs w:val="18"/>
        </w:rPr>
        <w:t xml:space="preserve"> a HEP as specified in section 16-15 (Table A Providers) and section 16-20 (Table B Providers) of the </w:t>
      </w:r>
      <w:r w:rsidRPr="00410CED">
        <w:rPr>
          <w:rFonts w:asciiTheme="minorHAnsi" w:hAnsiTheme="minorHAnsi" w:cstheme="minorHAnsi"/>
          <w:i/>
          <w:iCs/>
          <w:sz w:val="18"/>
          <w:szCs w:val="18"/>
        </w:rPr>
        <w:t>Higher Education Support Act 2003</w:t>
      </w:r>
      <w:r w:rsidRPr="00410CED">
        <w:rPr>
          <w:rFonts w:asciiTheme="minorHAnsi" w:hAnsiTheme="minorHAnsi" w:cstheme="minorHAnsi"/>
          <w:sz w:val="18"/>
          <w:szCs w:val="18"/>
        </w:rPr>
        <w:t>.</w:t>
      </w:r>
    </w:p>
  </w:footnote>
  <w:footnote w:id="2">
    <w:p w14:paraId="4AF776E8" w14:textId="77777777" w:rsidR="009D347E" w:rsidRPr="000F3979" w:rsidRDefault="009D347E" w:rsidP="009D347E">
      <w:pPr>
        <w:pStyle w:val="FootnoteText"/>
        <w:rPr>
          <w:i/>
          <w:iCs/>
          <w:sz w:val="18"/>
          <w:szCs w:val="18"/>
        </w:rPr>
      </w:pPr>
      <w:r w:rsidRPr="000F3979">
        <w:rPr>
          <w:rStyle w:val="FootnoteReference"/>
          <w:rFonts w:asciiTheme="minorHAnsi" w:hAnsiTheme="minorHAnsi" w:cstheme="minorHAnsi"/>
          <w:sz w:val="18"/>
          <w:szCs w:val="18"/>
        </w:rPr>
        <w:footnoteRef/>
      </w:r>
      <w:r w:rsidRPr="000F3979">
        <w:rPr>
          <w:rFonts w:asciiTheme="minorHAnsi" w:hAnsiTheme="minorHAnsi" w:cstheme="minorHAnsi"/>
          <w:sz w:val="18"/>
          <w:szCs w:val="18"/>
        </w:rPr>
        <w:t xml:space="preserve"> </w:t>
      </w:r>
      <w:r w:rsidRPr="000F3979">
        <w:rPr>
          <w:rFonts w:asciiTheme="minorHAnsi" w:hAnsiTheme="minorHAnsi" w:cstheme="minorHAnsi"/>
          <w:i/>
          <w:iCs/>
          <w:sz w:val="18"/>
          <w:szCs w:val="18"/>
        </w:rPr>
        <w:t>Higher Education Support Act 2003</w:t>
      </w:r>
      <w:r w:rsidRPr="000F3979">
        <w:rPr>
          <w:rFonts w:asciiTheme="minorHAnsi" w:hAnsiTheme="minorHAnsi" w:cstheme="minorHAnsi"/>
          <w:sz w:val="18"/>
          <w:szCs w:val="18"/>
        </w:rPr>
        <w:t xml:space="preserve">, subsection 41-10(1), items 7 </w:t>
      </w:r>
      <w:r>
        <w:rPr>
          <w:rFonts w:asciiTheme="minorHAnsi" w:hAnsiTheme="minorHAnsi" w:cstheme="minorHAnsi"/>
          <w:sz w:val="18"/>
          <w:szCs w:val="18"/>
        </w:rPr>
        <w:t>and</w:t>
      </w:r>
      <w:r w:rsidRPr="000F3979">
        <w:rPr>
          <w:rFonts w:asciiTheme="minorHAnsi" w:hAnsiTheme="minorHAnsi" w:cstheme="minorHAnsi"/>
          <w:sz w:val="18"/>
          <w:szCs w:val="18"/>
        </w:rPr>
        <w:t xml:space="preserve"> 8.</w:t>
      </w:r>
      <w:r w:rsidRPr="000F3979">
        <w:rPr>
          <w:i/>
          <w:iCs/>
          <w:sz w:val="18"/>
          <w:szCs w:val="18"/>
        </w:rPr>
        <w:t xml:space="preserve"> </w:t>
      </w:r>
    </w:p>
  </w:footnote>
  <w:footnote w:id="3">
    <w:p w14:paraId="12997A66" w14:textId="77777777" w:rsidR="009D347E" w:rsidRPr="00410CED" w:rsidRDefault="009D347E" w:rsidP="009D347E">
      <w:pPr>
        <w:pStyle w:val="FootnoteText"/>
        <w:rPr>
          <w:rFonts w:asciiTheme="minorHAnsi" w:hAnsiTheme="minorHAnsi" w:cstheme="minorHAnsi"/>
        </w:rPr>
      </w:pPr>
      <w:r w:rsidRPr="00410CED">
        <w:rPr>
          <w:rStyle w:val="FootnoteReference"/>
          <w:rFonts w:asciiTheme="minorHAnsi" w:eastAsiaTheme="majorEastAsia" w:hAnsiTheme="minorHAnsi" w:cstheme="minorHAnsi"/>
        </w:rPr>
        <w:footnoteRef/>
      </w:r>
      <w:r w:rsidRPr="00410CED">
        <w:rPr>
          <w:rFonts w:asciiTheme="minorHAnsi" w:hAnsiTheme="minorHAnsi" w:cstheme="minorHAnsi"/>
        </w:rPr>
        <w:t xml:space="preserve"> </w:t>
      </w:r>
      <w:r w:rsidRPr="00410CED">
        <w:rPr>
          <w:rFonts w:asciiTheme="minorHAnsi" w:hAnsiTheme="minorHAnsi" w:cstheme="minorHAnsi"/>
          <w:sz w:val="18"/>
          <w:szCs w:val="18"/>
          <w:lang w:eastAsia="en-AU"/>
        </w:rPr>
        <w:t xml:space="preserve">Organisation for Economic Cooperation and Development (OECD) </w:t>
      </w:r>
      <w:r w:rsidRPr="00410CED">
        <w:rPr>
          <w:rFonts w:asciiTheme="minorHAnsi" w:hAnsiTheme="minorHAnsi" w:cstheme="minorHAnsi"/>
          <w:i/>
          <w:iCs/>
          <w:sz w:val="18"/>
          <w:szCs w:val="18"/>
          <w:lang w:eastAsia="en-AU"/>
        </w:rPr>
        <w:t>Frascati Manual 2015: Guidelines for Collecting and Reporting Data on Research and Experimental Development</w:t>
      </w:r>
      <w:r w:rsidRPr="00410CED">
        <w:rPr>
          <w:rFonts w:asciiTheme="minorHAnsi" w:hAnsiTheme="minorHAnsi" w:cstheme="minorHAnsi"/>
          <w:sz w:val="18"/>
          <w:szCs w:val="18"/>
          <w:lang w:eastAsia="en-AU"/>
        </w:rPr>
        <w:t>, The Measurement of Scientific, Technological and Innovation Activities, OECD Publishing, Paris, 2015, pp 44.</w:t>
      </w:r>
    </w:p>
  </w:footnote>
  <w:footnote w:id="4">
    <w:p w14:paraId="24F965E9" w14:textId="77777777" w:rsidR="009D347E" w:rsidRPr="00410CED" w:rsidRDefault="009D347E" w:rsidP="009D347E">
      <w:pPr>
        <w:pStyle w:val="FootnoteText"/>
        <w:rPr>
          <w:rFonts w:asciiTheme="minorHAnsi" w:hAnsiTheme="minorHAnsi" w:cstheme="minorHAnsi"/>
          <w:sz w:val="18"/>
          <w:szCs w:val="18"/>
        </w:rPr>
      </w:pPr>
      <w:r w:rsidRPr="00410CED">
        <w:rPr>
          <w:rStyle w:val="FootnoteReference"/>
          <w:rFonts w:asciiTheme="minorHAnsi" w:eastAsiaTheme="majorEastAsia" w:hAnsiTheme="minorHAnsi" w:cstheme="minorHAnsi"/>
          <w:sz w:val="18"/>
          <w:szCs w:val="18"/>
        </w:rPr>
        <w:footnoteRef/>
      </w:r>
      <w:r w:rsidRPr="00410CED">
        <w:rPr>
          <w:rFonts w:asciiTheme="minorHAnsi" w:hAnsiTheme="minorHAnsi" w:cstheme="minorHAnsi"/>
          <w:sz w:val="18"/>
          <w:szCs w:val="18"/>
        </w:rPr>
        <w:t xml:space="preserve"> </w:t>
      </w:r>
      <w:r w:rsidRPr="00410CED">
        <w:rPr>
          <w:rFonts w:asciiTheme="minorHAnsi" w:hAnsiTheme="minorHAnsi" w:cstheme="minorHAnsi"/>
          <w:sz w:val="18"/>
          <w:szCs w:val="18"/>
          <w:lang w:val="en-US"/>
        </w:rPr>
        <w:t xml:space="preserve">Any use of available knowledge that does not entail an attempt to expand the state of knowledge (for example, adaptation or </w:t>
      </w:r>
      <w:proofErr w:type="spellStart"/>
      <w:r w:rsidRPr="00410CED">
        <w:rPr>
          <w:rFonts w:asciiTheme="minorHAnsi" w:hAnsiTheme="minorHAnsi" w:cstheme="minorHAnsi"/>
          <w:sz w:val="18"/>
          <w:szCs w:val="18"/>
          <w:lang w:val="en-US"/>
        </w:rPr>
        <w:t>customisation</w:t>
      </w:r>
      <w:proofErr w:type="spellEnd"/>
      <w:r w:rsidRPr="00410CED">
        <w:rPr>
          <w:rFonts w:asciiTheme="minorHAnsi" w:hAnsiTheme="minorHAnsi" w:cstheme="minorHAnsi"/>
          <w:sz w:val="18"/>
          <w:szCs w:val="18"/>
          <w:lang w:val="en-US"/>
        </w:rPr>
        <w:t>) should be excluded.</w:t>
      </w:r>
    </w:p>
  </w:footnote>
  <w:footnote w:id="5">
    <w:p w14:paraId="0EC760BB" w14:textId="77777777" w:rsidR="009D347E" w:rsidRPr="000F3979" w:rsidRDefault="009D347E" w:rsidP="009D347E">
      <w:pPr>
        <w:pStyle w:val="FootnoteText"/>
        <w:rPr>
          <w:rFonts w:asciiTheme="minorHAnsi" w:hAnsiTheme="minorHAnsi" w:cstheme="minorHAnsi"/>
        </w:rPr>
      </w:pPr>
      <w:r w:rsidRPr="00410CED">
        <w:rPr>
          <w:rStyle w:val="FootnoteReference"/>
          <w:rFonts w:asciiTheme="minorHAnsi" w:eastAsiaTheme="majorEastAsia" w:hAnsiTheme="minorHAnsi" w:cstheme="minorHAnsi"/>
        </w:rPr>
        <w:footnoteRef/>
      </w:r>
      <w:r w:rsidRPr="00410CED">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pp 46-48.</w:t>
      </w:r>
    </w:p>
  </w:footnote>
  <w:footnote w:id="6">
    <w:p w14:paraId="11D6AB8C"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45.</w:t>
      </w:r>
    </w:p>
  </w:footnote>
  <w:footnote w:id="7">
    <w:p w14:paraId="737FC384"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50.</w:t>
      </w:r>
    </w:p>
  </w:footnote>
  <w:footnote w:id="8">
    <w:p w14:paraId="077C9EDC"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51.</w:t>
      </w:r>
    </w:p>
  </w:footnote>
  <w:footnote w:id="9">
    <w:p w14:paraId="52E713CB"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bookmarkStart w:id="83" w:name="_Hlk92375323"/>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51</w:t>
      </w:r>
      <w:bookmarkEnd w:id="83"/>
      <w:r w:rsidRPr="00410CED">
        <w:rPr>
          <w:rFonts w:asciiTheme="minorHAnsi" w:hAnsiTheme="minorHAnsi" w:cstheme="minorHAnsi"/>
          <w:sz w:val="18"/>
          <w:szCs w:val="18"/>
          <w:lang w:eastAsia="en-AU"/>
        </w:rPr>
        <w:t>.</w:t>
      </w:r>
    </w:p>
  </w:footnote>
  <w:footnote w:id="10">
    <w:p w14:paraId="05EF4398" w14:textId="77777777" w:rsidR="009D347E" w:rsidRDefault="009D347E" w:rsidP="009D347E">
      <w:pPr>
        <w:pStyle w:val="FootnoteText"/>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51.</w:t>
      </w:r>
    </w:p>
  </w:footnote>
  <w:footnote w:id="11">
    <w:p w14:paraId="4700C076"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eastAsiaTheme="majorEastAsia" w:hAnsiTheme="minorHAnsi" w:cstheme="minorHAnsi"/>
        </w:rPr>
        <w:footnoteRef/>
      </w:r>
      <w:r w:rsidRPr="000F3979">
        <w:rPr>
          <w:rFonts w:asciiTheme="minorHAnsi" w:hAnsiTheme="minorHAnsi" w:cstheme="minorHAnsi"/>
        </w:rPr>
        <w:t xml:space="preserve"> </w:t>
      </w:r>
      <w:r w:rsidRPr="000F3979">
        <w:rPr>
          <w:rFonts w:asciiTheme="minorHAnsi" w:hAnsiTheme="minorHAnsi" w:cstheme="minorHAnsi"/>
          <w:sz w:val="18"/>
          <w:szCs w:val="18"/>
        </w:rPr>
        <w:t xml:space="preserve">Higher degree by research (HDR) training is training undertaken by students to achieve a research doctorate or research </w:t>
      </w:r>
      <w:proofErr w:type="spellStart"/>
      <w:proofErr w:type="gramStart"/>
      <w:r w:rsidRPr="000F3979">
        <w:rPr>
          <w:rFonts w:asciiTheme="minorHAnsi" w:hAnsiTheme="minorHAnsi" w:cstheme="minorHAnsi"/>
          <w:sz w:val="18"/>
          <w:szCs w:val="18"/>
        </w:rPr>
        <w:t>masters</w:t>
      </w:r>
      <w:proofErr w:type="spellEnd"/>
      <w:proofErr w:type="gramEnd"/>
      <w:r w:rsidRPr="000F3979">
        <w:rPr>
          <w:rFonts w:asciiTheme="minorHAnsi" w:hAnsiTheme="minorHAnsi" w:cstheme="minorHAnsi"/>
          <w:sz w:val="18"/>
          <w:szCs w:val="18"/>
        </w:rPr>
        <w:t xml:space="preserve"> degree. A research doctorate means a Level 10 Doctoral Degree (Research) qualification as described in the Australian Qualifications Framework (AQF)and a research masters means a Level 9 </w:t>
      </w:r>
      <w:proofErr w:type="spellStart"/>
      <w:proofErr w:type="gramStart"/>
      <w:r w:rsidRPr="000F3979">
        <w:rPr>
          <w:rFonts w:asciiTheme="minorHAnsi" w:hAnsiTheme="minorHAnsi" w:cstheme="minorHAnsi"/>
          <w:sz w:val="18"/>
          <w:szCs w:val="18"/>
        </w:rPr>
        <w:t>Masters</w:t>
      </w:r>
      <w:proofErr w:type="spellEnd"/>
      <w:r w:rsidRPr="000F3979">
        <w:rPr>
          <w:rFonts w:asciiTheme="minorHAnsi" w:hAnsiTheme="minorHAnsi" w:cstheme="minorHAnsi"/>
          <w:sz w:val="18"/>
          <w:szCs w:val="18"/>
        </w:rPr>
        <w:t xml:space="preserve"> Degree</w:t>
      </w:r>
      <w:proofErr w:type="gramEnd"/>
      <w:r w:rsidRPr="000F3979">
        <w:rPr>
          <w:rFonts w:asciiTheme="minorHAnsi" w:hAnsiTheme="minorHAnsi" w:cstheme="minorHAnsi"/>
          <w:sz w:val="18"/>
          <w:szCs w:val="18"/>
        </w:rPr>
        <w:t xml:space="preserve"> (Research) qualification as described in the AQF. Professional doctorates may be included but only where at least two-thirds of the qualification is research.</w:t>
      </w:r>
    </w:p>
  </w:footnote>
  <w:footnote w:id="12">
    <w:p w14:paraId="02E44916" w14:textId="77777777" w:rsidR="009D347E" w:rsidRPr="000F3979" w:rsidRDefault="009D347E" w:rsidP="009D347E">
      <w:pPr>
        <w:autoSpaceDE w:val="0"/>
        <w:autoSpaceDN w:val="0"/>
        <w:adjustRightInd w:val="0"/>
        <w:spacing w:after="0" w:line="240" w:lineRule="auto"/>
        <w:rPr>
          <w:rFonts w:cstheme="minorHAnsi"/>
        </w:rPr>
      </w:pPr>
      <w:r w:rsidRPr="000F3979">
        <w:rPr>
          <w:rStyle w:val="FootnoteReference"/>
          <w:rFonts w:cstheme="minorHAnsi"/>
        </w:rPr>
        <w:footnoteRef/>
      </w:r>
      <w:r w:rsidRPr="000F3979">
        <w:rPr>
          <w:rFonts w:cstheme="minorHAnsi"/>
        </w:rPr>
        <w:t xml:space="preserve"> </w:t>
      </w:r>
      <w:r w:rsidRPr="00410CED">
        <w:rPr>
          <w:rFonts w:cstheme="minorHAnsi"/>
          <w:iCs/>
          <w:sz w:val="18"/>
          <w:szCs w:val="18"/>
          <w:lang w:eastAsia="en-AU"/>
        </w:rPr>
        <w:t>OECD</w:t>
      </w:r>
      <w:r w:rsidRPr="00410CED">
        <w:rPr>
          <w:rFonts w:cstheme="minorHAnsi"/>
          <w:sz w:val="18"/>
          <w:szCs w:val="18"/>
          <w:lang w:eastAsia="en-AU"/>
        </w:rPr>
        <w:t xml:space="preserve">, </w:t>
      </w:r>
      <w:r w:rsidRPr="00410CED">
        <w:rPr>
          <w:rFonts w:cstheme="minorHAnsi"/>
          <w:i/>
          <w:iCs/>
          <w:sz w:val="18"/>
          <w:szCs w:val="18"/>
          <w:lang w:eastAsia="en-AU"/>
        </w:rPr>
        <w:t>Frascati Manual</w:t>
      </w:r>
      <w:r w:rsidRPr="00410CED">
        <w:rPr>
          <w:rFonts w:cstheme="minorHAnsi"/>
          <w:sz w:val="18"/>
          <w:szCs w:val="18"/>
          <w:lang w:eastAsia="en-AU"/>
        </w:rPr>
        <w:t xml:space="preserve">, </w:t>
      </w:r>
      <w:r w:rsidRPr="000F3979">
        <w:rPr>
          <w:rFonts w:cstheme="minorHAnsi"/>
          <w:sz w:val="18"/>
          <w:szCs w:val="18"/>
          <w:lang w:eastAsia="en-AU"/>
        </w:rPr>
        <w:t>pp 53-54</w:t>
      </w:r>
      <w:r>
        <w:rPr>
          <w:rFonts w:cstheme="minorHAnsi"/>
          <w:sz w:val="18"/>
          <w:szCs w:val="18"/>
          <w:lang w:eastAsia="en-AU"/>
        </w:rPr>
        <w:t>.</w:t>
      </w:r>
    </w:p>
  </w:footnote>
  <w:footnote w:id="13">
    <w:p w14:paraId="0AD478C8" w14:textId="77777777" w:rsidR="009D347E" w:rsidRPr="00410CED" w:rsidRDefault="009D347E" w:rsidP="009D347E">
      <w:pPr>
        <w:pStyle w:val="FootnoteText"/>
      </w:pPr>
      <w:r w:rsidRPr="000F3979">
        <w:rPr>
          <w:rStyle w:val="FootnoteReference"/>
          <w:rFonts w:asciiTheme="minorHAnsi" w:eastAsiaTheme="majorEastAsia"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xml:space="preserve">, </w:t>
      </w:r>
      <w:r w:rsidRPr="000F3979">
        <w:rPr>
          <w:rFonts w:asciiTheme="minorHAnsi" w:hAnsiTheme="minorHAnsi" w:cstheme="minorHAnsi"/>
          <w:sz w:val="18"/>
          <w:szCs w:val="18"/>
          <w:lang w:eastAsia="en-AU"/>
        </w:rPr>
        <w:t>p 52.</w:t>
      </w:r>
    </w:p>
  </w:footnote>
  <w:footnote w:id="14">
    <w:p w14:paraId="142A5572" w14:textId="77777777" w:rsidR="009D347E" w:rsidRDefault="009D347E" w:rsidP="009D347E">
      <w:pPr>
        <w:pStyle w:val="FootnoteText"/>
      </w:pPr>
      <w:r w:rsidRPr="00877750">
        <w:rPr>
          <w:rStyle w:val="FootnoteReference"/>
        </w:rPr>
        <w:footnoteRef/>
      </w:r>
      <w:r w:rsidRPr="00920A19">
        <w:t xml:space="preserve"> </w:t>
      </w:r>
      <w:r w:rsidRPr="00920A19">
        <w:rPr>
          <w:sz w:val="18"/>
          <w:szCs w:val="18"/>
        </w:rPr>
        <w:t xml:space="preserve">Capital grants are those grants provided to a HEP to purchase an asset of a durable nature, even if the asset is for the purpose of conducting R&amp;D. Capital grants include grants for the construction and/or upgrade or refurbishment of buildings, </w:t>
      </w:r>
      <w:proofErr w:type="gramStart"/>
      <w:r w:rsidRPr="00920A19">
        <w:rPr>
          <w:sz w:val="18"/>
          <w:szCs w:val="18"/>
        </w:rPr>
        <w:t>centres</w:t>
      </w:r>
      <w:proofErr w:type="gramEnd"/>
      <w:r w:rsidRPr="00920A19">
        <w:rPr>
          <w:sz w:val="18"/>
          <w:szCs w:val="18"/>
        </w:rPr>
        <w:t xml:space="preserve"> or facilities, as well as purchase of properties or land. Capital grants are distinct from grants for R&amp;D infrastructure. Grants for R&amp;D infrastructure are considered to include grants for specific and specialised equipment which are used in the conduct of R&amp;D.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7F83" w14:textId="0F849D83" w:rsidR="009D347E" w:rsidRDefault="009D3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5024" w14:textId="6D9B5D2A" w:rsidR="009D347E" w:rsidRPr="00B37FB9" w:rsidRDefault="009D347E" w:rsidP="00B37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B939" w14:textId="748E3B44" w:rsidR="009D347E" w:rsidRDefault="009D34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7751" w14:textId="71A5FEAE" w:rsidR="009D347E" w:rsidRDefault="009D34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5B5B" w14:textId="08285752" w:rsidR="009D347E" w:rsidRPr="00FB7B35" w:rsidRDefault="009D347E" w:rsidP="00FB7B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F81" w14:textId="7C520565" w:rsidR="009D347E" w:rsidRDefault="009D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B5BC1"/>
    <w:multiLevelType w:val="hybridMultilevel"/>
    <w:tmpl w:val="8AD0E94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A7C3589"/>
    <w:multiLevelType w:val="hybridMultilevel"/>
    <w:tmpl w:val="686A00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BD07778"/>
    <w:multiLevelType w:val="hybridMultilevel"/>
    <w:tmpl w:val="1C6EF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C9B03C8"/>
    <w:multiLevelType w:val="hybridMultilevel"/>
    <w:tmpl w:val="822C5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D63BCD"/>
    <w:multiLevelType w:val="hybridMultilevel"/>
    <w:tmpl w:val="6B1EFEEE"/>
    <w:lvl w:ilvl="0" w:tplc="0C090017">
      <w:start w:val="1"/>
      <w:numFmt w:val="lowerLetter"/>
      <w:lvlText w:val="%1)"/>
      <w:lvlJc w:val="left"/>
      <w:pPr>
        <w:ind w:left="720" w:hanging="360"/>
      </w:pPr>
    </w:lvl>
    <w:lvl w:ilvl="1" w:tplc="0C09001B">
      <w:start w:val="1"/>
      <w:numFmt w:val="lowerRoman"/>
      <w:lvlText w:val="%2."/>
      <w:lvlJc w:val="righ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1B73210"/>
    <w:multiLevelType w:val="multilevel"/>
    <w:tmpl w:val="2C4CE3A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7D13635"/>
    <w:multiLevelType w:val="hybridMultilevel"/>
    <w:tmpl w:val="452ACE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BA43E3"/>
    <w:multiLevelType w:val="hybridMultilevel"/>
    <w:tmpl w:val="32CA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4A3288"/>
    <w:multiLevelType w:val="hybridMultilevel"/>
    <w:tmpl w:val="F292822A"/>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B1B43D7"/>
    <w:multiLevelType w:val="hybridMultilevel"/>
    <w:tmpl w:val="C6B24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0B2F23"/>
    <w:multiLevelType w:val="hybridMultilevel"/>
    <w:tmpl w:val="9E4A25F0"/>
    <w:lvl w:ilvl="0" w:tplc="F39EA63E">
      <w:start w:val="1"/>
      <w:numFmt w:val="decimal"/>
      <w:pStyle w:val="Heading1"/>
      <w:lvlText w:val="%1"/>
      <w:lvlJc w:val="left"/>
      <w:pPr>
        <w:ind w:left="2028" w:hanging="360"/>
      </w:pPr>
      <w:rPr>
        <w:rFonts w:hint="default"/>
      </w:rPr>
    </w:lvl>
    <w:lvl w:ilvl="1" w:tplc="0C090019" w:tentative="1">
      <w:start w:val="1"/>
      <w:numFmt w:val="lowerLetter"/>
      <w:lvlText w:val="%2."/>
      <w:lvlJc w:val="left"/>
      <w:pPr>
        <w:ind w:left="2748" w:hanging="360"/>
      </w:pPr>
    </w:lvl>
    <w:lvl w:ilvl="2" w:tplc="0C09001B" w:tentative="1">
      <w:start w:val="1"/>
      <w:numFmt w:val="lowerRoman"/>
      <w:lvlText w:val="%3."/>
      <w:lvlJc w:val="right"/>
      <w:pPr>
        <w:ind w:left="3468" w:hanging="180"/>
      </w:pPr>
    </w:lvl>
    <w:lvl w:ilvl="3" w:tplc="0C09000F" w:tentative="1">
      <w:start w:val="1"/>
      <w:numFmt w:val="decimal"/>
      <w:lvlText w:val="%4."/>
      <w:lvlJc w:val="left"/>
      <w:pPr>
        <w:ind w:left="4188" w:hanging="360"/>
      </w:pPr>
    </w:lvl>
    <w:lvl w:ilvl="4" w:tplc="0C090019" w:tentative="1">
      <w:start w:val="1"/>
      <w:numFmt w:val="lowerLetter"/>
      <w:lvlText w:val="%5."/>
      <w:lvlJc w:val="left"/>
      <w:pPr>
        <w:ind w:left="4908" w:hanging="360"/>
      </w:pPr>
    </w:lvl>
    <w:lvl w:ilvl="5" w:tplc="0C09001B" w:tentative="1">
      <w:start w:val="1"/>
      <w:numFmt w:val="lowerRoman"/>
      <w:lvlText w:val="%6."/>
      <w:lvlJc w:val="right"/>
      <w:pPr>
        <w:ind w:left="5628" w:hanging="180"/>
      </w:pPr>
    </w:lvl>
    <w:lvl w:ilvl="6" w:tplc="0C09000F" w:tentative="1">
      <w:start w:val="1"/>
      <w:numFmt w:val="decimal"/>
      <w:lvlText w:val="%7."/>
      <w:lvlJc w:val="left"/>
      <w:pPr>
        <w:ind w:left="6348" w:hanging="360"/>
      </w:pPr>
    </w:lvl>
    <w:lvl w:ilvl="7" w:tplc="0C090019" w:tentative="1">
      <w:start w:val="1"/>
      <w:numFmt w:val="lowerLetter"/>
      <w:lvlText w:val="%8."/>
      <w:lvlJc w:val="left"/>
      <w:pPr>
        <w:ind w:left="7068" w:hanging="360"/>
      </w:pPr>
    </w:lvl>
    <w:lvl w:ilvl="8" w:tplc="0C09001B" w:tentative="1">
      <w:start w:val="1"/>
      <w:numFmt w:val="lowerRoman"/>
      <w:lvlText w:val="%9."/>
      <w:lvlJc w:val="right"/>
      <w:pPr>
        <w:ind w:left="7788" w:hanging="180"/>
      </w:pPr>
    </w:lvl>
  </w:abstractNum>
  <w:abstractNum w:abstractNumId="32" w15:restartNumberingAfterBreak="0">
    <w:nsid w:val="705661E4"/>
    <w:multiLevelType w:val="hybridMultilevel"/>
    <w:tmpl w:val="2EA4C512"/>
    <w:lvl w:ilvl="0" w:tplc="0C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73E77"/>
    <w:multiLevelType w:val="hybridMultilevel"/>
    <w:tmpl w:val="9DC66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642365"/>
    <w:multiLevelType w:val="hybridMultilevel"/>
    <w:tmpl w:val="29B80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62774A0"/>
    <w:multiLevelType w:val="hybridMultilevel"/>
    <w:tmpl w:val="F292822A"/>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6D64D24"/>
    <w:multiLevelType w:val="hybridMultilevel"/>
    <w:tmpl w:val="238AC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A6F4991"/>
    <w:multiLevelType w:val="hybridMultilevel"/>
    <w:tmpl w:val="197AD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E46F61"/>
    <w:multiLevelType w:val="hybridMultilevel"/>
    <w:tmpl w:val="084248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1058A1"/>
    <w:multiLevelType w:val="hybridMultilevel"/>
    <w:tmpl w:val="CF7AF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3D297E"/>
    <w:multiLevelType w:val="multilevel"/>
    <w:tmpl w:val="F8160AF0"/>
    <w:lvl w:ilvl="0">
      <w:start w:val="1"/>
      <w:numFmt w:val="bullet"/>
      <w:lvlText w:val=""/>
      <w:lvlJc w:val="left"/>
      <w:pPr>
        <w:ind w:left="360" w:hanging="360"/>
      </w:pPr>
      <w:rPr>
        <w:rFonts w:ascii="Symbol" w:hAnsi="Symbol" w:hint="default"/>
      </w:rPr>
    </w:lvl>
    <w:lvl w:ilvl="1">
      <w:start w:val="1"/>
      <w:numFmt w:val="bullet"/>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60524279">
    <w:abstractNumId w:val="16"/>
  </w:num>
  <w:num w:numId="2" w16cid:durableId="436947581">
    <w:abstractNumId w:val="7"/>
  </w:num>
  <w:num w:numId="3" w16cid:durableId="75826877">
    <w:abstractNumId w:val="6"/>
  </w:num>
  <w:num w:numId="4" w16cid:durableId="306322255">
    <w:abstractNumId w:val="5"/>
  </w:num>
  <w:num w:numId="5" w16cid:durableId="75978829">
    <w:abstractNumId w:val="21"/>
  </w:num>
  <w:num w:numId="6" w16cid:durableId="932514008">
    <w:abstractNumId w:val="3"/>
  </w:num>
  <w:num w:numId="7" w16cid:durableId="1936595011">
    <w:abstractNumId w:val="2"/>
  </w:num>
  <w:num w:numId="8" w16cid:durableId="499849793">
    <w:abstractNumId w:val="1"/>
  </w:num>
  <w:num w:numId="9" w16cid:durableId="1493595375">
    <w:abstractNumId w:val="20"/>
  </w:num>
  <w:num w:numId="10" w16cid:durableId="1807892893">
    <w:abstractNumId w:val="11"/>
  </w:num>
  <w:num w:numId="11" w16cid:durableId="1829053031">
    <w:abstractNumId w:val="30"/>
  </w:num>
  <w:num w:numId="12" w16cid:durableId="1117526806">
    <w:abstractNumId w:val="15"/>
  </w:num>
  <w:num w:numId="13" w16cid:durableId="2129464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13"/>
  </w:num>
  <w:num w:numId="15" w16cid:durableId="158424565">
    <w:abstractNumId w:val="9"/>
  </w:num>
  <w:num w:numId="16" w16cid:durableId="807010820">
    <w:abstractNumId w:val="35"/>
  </w:num>
  <w:num w:numId="17" w16cid:durableId="801265162">
    <w:abstractNumId w:val="22"/>
  </w:num>
  <w:num w:numId="18" w16cid:durableId="1928150622">
    <w:abstractNumId w:val="12"/>
  </w:num>
  <w:num w:numId="19" w16cid:durableId="476995438">
    <w:abstractNumId w:val="26"/>
  </w:num>
  <w:num w:numId="20" w16cid:durableId="1947692068">
    <w:abstractNumId w:val="4"/>
  </w:num>
  <w:num w:numId="21" w16cid:durableId="2139105729">
    <w:abstractNumId w:val="8"/>
  </w:num>
  <w:num w:numId="22" w16cid:durableId="1963463369">
    <w:abstractNumId w:val="0"/>
  </w:num>
  <w:num w:numId="23" w16cid:durableId="500778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455849">
    <w:abstractNumId w:val="39"/>
  </w:num>
  <w:num w:numId="25" w16cid:durableId="733509551">
    <w:abstractNumId w:val="37"/>
  </w:num>
  <w:num w:numId="26" w16cid:durableId="276916215">
    <w:abstractNumId w:val="34"/>
  </w:num>
  <w:num w:numId="27" w16cid:durableId="948508219">
    <w:abstractNumId w:val="25"/>
  </w:num>
  <w:num w:numId="28" w16cid:durableId="555700439">
    <w:abstractNumId w:val="31"/>
  </w:num>
  <w:num w:numId="29" w16cid:durableId="154998259">
    <w:abstractNumId w:val="24"/>
  </w:num>
  <w:num w:numId="30" w16cid:durableId="945991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7931435">
    <w:abstractNumId w:val="28"/>
  </w:num>
  <w:num w:numId="32" w16cid:durableId="1351183258">
    <w:abstractNumId w:val="19"/>
  </w:num>
  <w:num w:numId="33" w16cid:durableId="1316185987">
    <w:abstractNumId w:val="41"/>
  </w:num>
  <w:num w:numId="34" w16cid:durableId="2053076068">
    <w:abstractNumId w:val="18"/>
  </w:num>
  <w:num w:numId="35" w16cid:durableId="896941027">
    <w:abstractNumId w:val="23"/>
  </w:num>
  <w:num w:numId="36" w16cid:durableId="1260722893">
    <w:abstractNumId w:val="10"/>
  </w:num>
  <w:num w:numId="37" w16cid:durableId="1919628841">
    <w:abstractNumId w:val="29"/>
  </w:num>
  <w:num w:numId="38" w16cid:durableId="684019625">
    <w:abstractNumId w:val="17"/>
  </w:num>
  <w:num w:numId="39" w16cid:durableId="1894268108">
    <w:abstractNumId w:val="27"/>
  </w:num>
  <w:num w:numId="40" w16cid:durableId="433861176">
    <w:abstractNumId w:val="38"/>
  </w:num>
  <w:num w:numId="41" w16cid:durableId="833644417">
    <w:abstractNumId w:val="33"/>
  </w:num>
  <w:num w:numId="42" w16cid:durableId="1101535171">
    <w:abstractNumId w:val="32"/>
  </w:num>
  <w:num w:numId="43" w16cid:durableId="11503688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61B80"/>
    <w:rsid w:val="000A0B58"/>
    <w:rsid w:val="000A6228"/>
    <w:rsid w:val="000B5D40"/>
    <w:rsid w:val="000B7EC6"/>
    <w:rsid w:val="00107D87"/>
    <w:rsid w:val="00107DD5"/>
    <w:rsid w:val="00111C36"/>
    <w:rsid w:val="0012343A"/>
    <w:rsid w:val="00133B8D"/>
    <w:rsid w:val="0013611E"/>
    <w:rsid w:val="001515BF"/>
    <w:rsid w:val="0017134D"/>
    <w:rsid w:val="001C1523"/>
    <w:rsid w:val="00210F56"/>
    <w:rsid w:val="00221D8F"/>
    <w:rsid w:val="002272DB"/>
    <w:rsid w:val="00276047"/>
    <w:rsid w:val="002A4458"/>
    <w:rsid w:val="002D589A"/>
    <w:rsid w:val="003055CD"/>
    <w:rsid w:val="003A566C"/>
    <w:rsid w:val="003B4D16"/>
    <w:rsid w:val="0040155D"/>
    <w:rsid w:val="004163C4"/>
    <w:rsid w:val="0041713E"/>
    <w:rsid w:val="00421D3F"/>
    <w:rsid w:val="00423785"/>
    <w:rsid w:val="00452D26"/>
    <w:rsid w:val="00472475"/>
    <w:rsid w:val="00487D08"/>
    <w:rsid w:val="004A06CD"/>
    <w:rsid w:val="004A4B6F"/>
    <w:rsid w:val="004A4CF9"/>
    <w:rsid w:val="004C647F"/>
    <w:rsid w:val="004D2965"/>
    <w:rsid w:val="004E0701"/>
    <w:rsid w:val="0055639E"/>
    <w:rsid w:val="00595C87"/>
    <w:rsid w:val="005A75C9"/>
    <w:rsid w:val="005B187D"/>
    <w:rsid w:val="005C0937"/>
    <w:rsid w:val="005F3100"/>
    <w:rsid w:val="006108A9"/>
    <w:rsid w:val="006232DC"/>
    <w:rsid w:val="0063094F"/>
    <w:rsid w:val="006572BF"/>
    <w:rsid w:val="0066421C"/>
    <w:rsid w:val="0069544C"/>
    <w:rsid w:val="006D67F3"/>
    <w:rsid w:val="006F1FFF"/>
    <w:rsid w:val="006F6D10"/>
    <w:rsid w:val="00712B94"/>
    <w:rsid w:val="00754C60"/>
    <w:rsid w:val="00757D17"/>
    <w:rsid w:val="007B2CA1"/>
    <w:rsid w:val="007C31A3"/>
    <w:rsid w:val="007D0ABC"/>
    <w:rsid w:val="008042F5"/>
    <w:rsid w:val="0086629D"/>
    <w:rsid w:val="00886959"/>
    <w:rsid w:val="008A36E1"/>
    <w:rsid w:val="008A37A7"/>
    <w:rsid w:val="008B0736"/>
    <w:rsid w:val="008F11AD"/>
    <w:rsid w:val="00950B06"/>
    <w:rsid w:val="00970069"/>
    <w:rsid w:val="0097022B"/>
    <w:rsid w:val="009721EB"/>
    <w:rsid w:val="009B706E"/>
    <w:rsid w:val="009C423A"/>
    <w:rsid w:val="009D347E"/>
    <w:rsid w:val="009E6E4F"/>
    <w:rsid w:val="009E79ED"/>
    <w:rsid w:val="00A07596"/>
    <w:rsid w:val="00A17A08"/>
    <w:rsid w:val="00A2384E"/>
    <w:rsid w:val="00A60673"/>
    <w:rsid w:val="00AC1872"/>
    <w:rsid w:val="00AD631F"/>
    <w:rsid w:val="00AE21FF"/>
    <w:rsid w:val="00AF1F18"/>
    <w:rsid w:val="00B0726E"/>
    <w:rsid w:val="00B219D1"/>
    <w:rsid w:val="00B81FA4"/>
    <w:rsid w:val="00B8794C"/>
    <w:rsid w:val="00B95EF4"/>
    <w:rsid w:val="00BB3647"/>
    <w:rsid w:val="00BB6509"/>
    <w:rsid w:val="00BC248C"/>
    <w:rsid w:val="00BF39D7"/>
    <w:rsid w:val="00C01EC0"/>
    <w:rsid w:val="00C02166"/>
    <w:rsid w:val="00C244EE"/>
    <w:rsid w:val="00C72224"/>
    <w:rsid w:val="00C75706"/>
    <w:rsid w:val="00C8700E"/>
    <w:rsid w:val="00CA4815"/>
    <w:rsid w:val="00CD7C87"/>
    <w:rsid w:val="00CE7254"/>
    <w:rsid w:val="00CF6562"/>
    <w:rsid w:val="00D5688A"/>
    <w:rsid w:val="00D96F7A"/>
    <w:rsid w:val="00DB3679"/>
    <w:rsid w:val="00DB7053"/>
    <w:rsid w:val="00DC5980"/>
    <w:rsid w:val="00DD2B46"/>
    <w:rsid w:val="00E529E5"/>
    <w:rsid w:val="00EB4C2F"/>
    <w:rsid w:val="00ED0DDF"/>
    <w:rsid w:val="00EF4DCF"/>
    <w:rsid w:val="00F1000D"/>
    <w:rsid w:val="00F311A4"/>
    <w:rsid w:val="00F82C2C"/>
    <w:rsid w:val="00F85913"/>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07EE0184-FB1E-4151-BAA0-AA53E94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9D347E"/>
    <w:pPr>
      <w:keepNext/>
      <w:keepLines/>
      <w:numPr>
        <w:numId w:val="28"/>
      </w:numPr>
      <w:tabs>
        <w:tab w:val="num" w:pos="397"/>
      </w:tabs>
      <w:spacing w:before="1320" w:after="0" w:line="940" w:lineRule="exact"/>
      <w:ind w:left="709" w:hanging="709"/>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6108A9"/>
    <w:pPr>
      <w:keepNext/>
      <w:keepLines/>
      <w:spacing w:before="240" w:after="0"/>
      <w:outlineLvl w:val="1"/>
    </w:pPr>
    <w:rPr>
      <w:rFonts w:eastAsiaTheme="majorEastAsia" w:cstheme="minorHAnsi"/>
      <w:b/>
      <w:color w:val="55437E" w:themeColor="accent2"/>
      <w:sz w:val="30"/>
      <w:szCs w:val="30"/>
    </w:rPr>
  </w:style>
  <w:style w:type="paragraph" w:styleId="Heading3">
    <w:name w:val="heading 3"/>
    <w:basedOn w:val="Normal"/>
    <w:next w:val="Normal"/>
    <w:link w:val="Heading3Char"/>
    <w:uiPriority w:val="9"/>
    <w:unhideWhenUsed/>
    <w:qFormat/>
    <w:rsid w:val="006108A9"/>
    <w:pPr>
      <w:keepNext/>
      <w:keepLines/>
      <w:spacing w:before="240" w:after="0"/>
      <w:outlineLvl w:val="2"/>
    </w:pPr>
    <w:rPr>
      <w:rFonts w:asciiTheme="majorHAnsi" w:eastAsiaTheme="majorEastAsia" w:hAnsiTheme="majorHAnsi" w:cstheme="majorBidi"/>
      <w:b/>
      <w:color w:val="008599" w:themeColor="accent1"/>
      <w:sz w:val="30"/>
      <w:szCs w:val="30"/>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C02166"/>
    <w:pPr>
      <w:keepNext/>
      <w:keepLines/>
      <w:spacing w:before="40" w:after="0"/>
      <w:outlineLvl w:val="4"/>
    </w:pPr>
    <w:rPr>
      <w:rFonts w:eastAsiaTheme="majorEastAsia" w:cstheme="minorHAnsi"/>
      <w:b/>
      <w:color w:val="5F6369"/>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347E"/>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6108A9"/>
    <w:rPr>
      <w:rFonts w:eastAsiaTheme="majorEastAsia" w:cstheme="minorHAnsi"/>
      <w:b/>
      <w:color w:val="55437E" w:themeColor="accent2"/>
      <w:sz w:val="30"/>
      <w:szCs w:val="30"/>
    </w:rPr>
  </w:style>
  <w:style w:type="character" w:customStyle="1" w:styleId="Heading3Char">
    <w:name w:val="Heading 3 Char"/>
    <w:basedOn w:val="DefaultParagraphFont"/>
    <w:link w:val="Heading3"/>
    <w:uiPriority w:val="9"/>
    <w:rsid w:val="006108A9"/>
    <w:rPr>
      <w:rFonts w:asciiTheme="majorHAnsi" w:eastAsiaTheme="majorEastAsia" w:hAnsiTheme="majorHAnsi" w:cstheme="majorBidi"/>
      <w:b/>
      <w:color w:val="008599" w:themeColor="accent1"/>
      <w:sz w:val="30"/>
      <w:szCs w:val="30"/>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C02166"/>
    <w:rPr>
      <w:rFonts w:eastAsiaTheme="majorEastAsia" w:cstheme="minorHAnsi"/>
      <w:b/>
      <w:color w:val="5F6369"/>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EB4C2F"/>
    <w:pPr>
      <w:spacing w:after="120" w:line="240" w:lineRule="auto"/>
    </w:pPr>
    <w:rPr>
      <w:b/>
      <w:iCs/>
      <w:color w:val="00254A" w:themeColor="text2"/>
      <w:szCs w:val="18"/>
    </w:rPr>
  </w:style>
  <w:style w:type="paragraph" w:customStyle="1" w:styleId="Source">
    <w:name w:val="Source"/>
    <w:basedOn w:val="Normal"/>
    <w:uiPriority w:val="1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8"/>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8"/>
    <w:rsid w:val="00221D8F"/>
    <w:rPr>
      <w:rFonts w:eastAsiaTheme="minorEastAsia"/>
      <w:color w:val="47BFAF" w:themeColor="accent4"/>
      <w:spacing w:val="15"/>
      <w:sz w:val="40"/>
    </w:rPr>
  </w:style>
  <w:style w:type="paragraph" w:styleId="List">
    <w:name w:val="List"/>
    <w:basedOn w:val="Normal"/>
    <w:uiPriority w:val="99"/>
    <w:qFormat/>
    <w:rsid w:val="00886959"/>
    <w:pPr>
      <w:numPr>
        <w:numId w:val="19"/>
      </w:numPr>
      <w:spacing w:after="200"/>
      <w:contextualSpacing/>
    </w:pPr>
  </w:style>
  <w:style w:type="paragraph" w:styleId="List2">
    <w:name w:val="List 2"/>
    <w:basedOn w:val="Normal"/>
    <w:uiPriority w:val="99"/>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210F56"/>
    <w:pPr>
      <w:tabs>
        <w:tab w:val="left" w:pos="660"/>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7"/>
    <w:qFormat/>
    <w:rsid w:val="009D347E"/>
    <w:pPr>
      <w:spacing w:before="720" w:after="0" w:line="276" w:lineRule="auto"/>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9D347E"/>
    <w:rPr>
      <w:rFonts w:ascii="Calibri" w:eastAsiaTheme="majorEastAsia" w:hAnsi="Calibri" w:cstheme="majorBidi"/>
      <w:b/>
      <w:color w:val="FFFFFF" w:themeColor="background1"/>
      <w:spacing w:val="-10"/>
      <w:kern w:val="28"/>
      <w:sz w:val="60"/>
      <w:szCs w:val="56"/>
    </w:rPr>
  </w:style>
  <w:style w:type="character" w:customStyle="1" w:styleId="UnresolvedMention1">
    <w:name w:val="Unresolved Mention1"/>
    <w:basedOn w:val="DefaultParagraphFont"/>
    <w:uiPriority w:val="99"/>
    <w:semiHidden/>
    <w:unhideWhenUsed/>
    <w:rsid w:val="009D347E"/>
    <w:rPr>
      <w:color w:val="605E5C"/>
      <w:shd w:val="clear" w:color="auto" w:fill="E1DFDD"/>
    </w:rPr>
  </w:style>
  <w:style w:type="table" w:customStyle="1" w:styleId="DESE">
    <w:name w:val="DESE"/>
    <w:basedOn w:val="TableNormal"/>
    <w:uiPriority w:val="99"/>
    <w:rsid w:val="009D34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9D347E"/>
    <w:pPr>
      <w:spacing w:after="200" w:line="360" w:lineRule="auto"/>
      <w:ind w:left="720"/>
      <w:contextualSpacing/>
    </w:pPr>
  </w:style>
  <w:style w:type="paragraph" w:styleId="BalloonText">
    <w:name w:val="Balloon Text"/>
    <w:basedOn w:val="Normal"/>
    <w:link w:val="BalloonTextChar"/>
    <w:uiPriority w:val="99"/>
    <w:semiHidden/>
    <w:unhideWhenUsed/>
    <w:rsid w:val="009D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7E"/>
    <w:rPr>
      <w:rFonts w:ascii="Segoe UI" w:hAnsi="Segoe UI" w:cs="Segoe UI"/>
      <w:sz w:val="18"/>
      <w:szCs w:val="18"/>
    </w:rPr>
  </w:style>
  <w:style w:type="paragraph" w:customStyle="1" w:styleId="numberedpara">
    <w:name w:val="numbered para"/>
    <w:basedOn w:val="Normal"/>
    <w:rsid w:val="009D347E"/>
    <w:pPr>
      <w:numPr>
        <w:numId w:val="2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D347E"/>
    <w:rPr>
      <w:color w:val="CE372F" w:themeColor="followedHyperlink"/>
      <w:u w:val="single"/>
    </w:rPr>
  </w:style>
  <w:style w:type="character" w:styleId="CommentReference">
    <w:name w:val="annotation reference"/>
    <w:basedOn w:val="DefaultParagraphFont"/>
    <w:uiPriority w:val="99"/>
    <w:semiHidden/>
    <w:unhideWhenUsed/>
    <w:rsid w:val="009D347E"/>
    <w:rPr>
      <w:sz w:val="16"/>
      <w:szCs w:val="16"/>
    </w:rPr>
  </w:style>
  <w:style w:type="paragraph" w:styleId="CommentText">
    <w:name w:val="annotation text"/>
    <w:basedOn w:val="Normal"/>
    <w:link w:val="CommentTextChar"/>
    <w:uiPriority w:val="99"/>
    <w:unhideWhenUsed/>
    <w:rsid w:val="009D347E"/>
    <w:pPr>
      <w:spacing w:after="200" w:line="240" w:lineRule="auto"/>
    </w:pPr>
    <w:rPr>
      <w:sz w:val="20"/>
      <w:szCs w:val="20"/>
    </w:rPr>
  </w:style>
  <w:style w:type="character" w:customStyle="1" w:styleId="CommentTextChar">
    <w:name w:val="Comment Text Char"/>
    <w:basedOn w:val="DefaultParagraphFont"/>
    <w:link w:val="CommentText"/>
    <w:uiPriority w:val="99"/>
    <w:rsid w:val="009D347E"/>
    <w:rPr>
      <w:sz w:val="20"/>
      <w:szCs w:val="20"/>
    </w:rPr>
  </w:style>
  <w:style w:type="paragraph" w:styleId="CommentSubject">
    <w:name w:val="annotation subject"/>
    <w:basedOn w:val="CommentText"/>
    <w:next w:val="CommentText"/>
    <w:link w:val="CommentSubjectChar"/>
    <w:uiPriority w:val="99"/>
    <w:semiHidden/>
    <w:unhideWhenUsed/>
    <w:rsid w:val="009D347E"/>
    <w:rPr>
      <w:b/>
      <w:bCs/>
    </w:rPr>
  </w:style>
  <w:style w:type="character" w:customStyle="1" w:styleId="CommentSubjectChar">
    <w:name w:val="Comment Subject Char"/>
    <w:basedOn w:val="CommentTextChar"/>
    <w:link w:val="CommentSubject"/>
    <w:uiPriority w:val="99"/>
    <w:semiHidden/>
    <w:rsid w:val="009D347E"/>
    <w:rPr>
      <w:b/>
      <w:bCs/>
      <w:sz w:val="20"/>
      <w:szCs w:val="20"/>
    </w:rPr>
  </w:style>
  <w:style w:type="paragraph" w:styleId="FootnoteText">
    <w:name w:val="footnote text"/>
    <w:basedOn w:val="Normal"/>
    <w:link w:val="FootnoteTextChar"/>
    <w:semiHidden/>
    <w:unhideWhenUsed/>
    <w:rsid w:val="009D347E"/>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9D347E"/>
    <w:rPr>
      <w:rFonts w:ascii="Arial" w:eastAsia="Times New Roman" w:hAnsi="Arial" w:cs="Arial"/>
      <w:sz w:val="20"/>
      <w:szCs w:val="20"/>
    </w:rPr>
  </w:style>
  <w:style w:type="character" w:styleId="FootnoteReference">
    <w:name w:val="footnote reference"/>
    <w:semiHidden/>
    <w:unhideWhenUsed/>
    <w:rsid w:val="009D347E"/>
    <w:rPr>
      <w:rFonts w:ascii="Times New Roman" w:hAnsi="Times New Roman" w:cs="Times New Roman" w:hint="default"/>
      <w:vertAlign w:val="superscript"/>
    </w:rPr>
  </w:style>
  <w:style w:type="paragraph" w:customStyle="1" w:styleId="ListBullet1">
    <w:name w:val="List Bullet1"/>
    <w:basedOn w:val="ListBullet"/>
    <w:rsid w:val="009D347E"/>
    <w:pPr>
      <w:numPr>
        <w:numId w:val="0"/>
      </w:numPr>
      <w:tabs>
        <w:tab w:val="num" w:pos="1209"/>
      </w:tabs>
      <w:spacing w:after="240" w:line="240" w:lineRule="auto"/>
      <w:ind w:left="1209" w:hanging="360"/>
    </w:pPr>
    <w:rPr>
      <w:rFonts w:ascii="Arial" w:eastAsia="Times New Roman" w:hAnsi="Arial" w:cs="Arial"/>
      <w:sz w:val="21"/>
      <w:szCs w:val="21"/>
    </w:rPr>
  </w:style>
  <w:style w:type="table" w:customStyle="1" w:styleId="TableGrid1">
    <w:name w:val="Table Grid1"/>
    <w:basedOn w:val="TableNormal"/>
    <w:next w:val="TableGrid"/>
    <w:uiPriority w:val="39"/>
    <w:rsid w:val="009D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9D347E"/>
    <w:pPr>
      <w:spacing w:after="0" w:line="240" w:lineRule="auto"/>
    </w:pPr>
    <w:tblPr>
      <w:tblStyleRowBandSize w:val="1"/>
      <w:tblStyleColBandSize w:val="1"/>
    </w:tblPr>
    <w:tblStylePr w:type="firstRow">
      <w:rPr>
        <w:b/>
        <w:bCs/>
      </w:rPr>
      <w:tblPr/>
      <w:tcPr>
        <w:tcBorders>
          <w:bottom w:val="single" w:sz="4" w:space="0" w:color="9482BD" w:themeColor="accent2" w:themeTint="99"/>
        </w:tcBorders>
      </w:tcPr>
    </w:tblStylePr>
    <w:tblStylePr w:type="lastRow">
      <w:rPr>
        <w:b/>
        <w:bCs/>
      </w:rPr>
      <w:tblPr/>
      <w:tcPr>
        <w:tcBorders>
          <w:top w:val="single" w:sz="4" w:space="0" w:color="9482BD" w:themeColor="accent2" w:themeTint="99"/>
        </w:tcBorders>
      </w:tcPr>
    </w:tblStylePr>
    <w:tblStylePr w:type="firstCol">
      <w:rPr>
        <w:b/>
        <w:bCs/>
      </w:rPr>
    </w:tblStylePr>
    <w:tblStylePr w:type="lastCol">
      <w:rPr>
        <w:b/>
        <w:bCs/>
      </w:rPr>
    </w:tblStylePr>
    <w:tblStylePr w:type="band1Vert">
      <w:tblPr/>
      <w:tcPr>
        <w:shd w:val="clear" w:color="auto" w:fill="DBD5E9" w:themeFill="accent2" w:themeFillTint="33"/>
      </w:tcPr>
    </w:tblStylePr>
    <w:tblStylePr w:type="band1Horz">
      <w:tblPr/>
      <w:tcPr>
        <w:shd w:val="clear" w:color="auto" w:fill="DBD5E9" w:themeFill="accent2" w:themeFillTint="33"/>
      </w:tcPr>
    </w:tblStylePr>
  </w:style>
  <w:style w:type="table" w:styleId="PlainTable4">
    <w:name w:val="Plain Table 4"/>
    <w:basedOn w:val="TableNormal"/>
    <w:uiPriority w:val="44"/>
    <w:rsid w:val="009D34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D3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arc.gov.au/sites/default/files/2022-06/ARC%20Privacy%20Policy%202022.pdf" TargetMode="External"/><Relationship Id="rId26" Type="http://schemas.openxmlformats.org/officeDocument/2006/relationships/hyperlink" Target="https://www.oecd.org/publications/frascati-manual-2015-9789264239012-en.htm" TargetMode="External"/><Relationship Id="rId39" Type="http://schemas.openxmlformats.org/officeDocument/2006/relationships/hyperlink" Target="http://www.acnc.gov.au" TargetMode="External"/><Relationship Id="rId21" Type="http://schemas.openxmlformats.org/officeDocument/2006/relationships/hyperlink" Target="https://seer.arc.gov.au/SEER/ActionCentre/Account/Login?ReturnUrl=%2fSEER%2fActionCentre" TargetMode="External"/><Relationship Id="rId34" Type="http://schemas.openxmlformats.org/officeDocument/2006/relationships/image" Target="media/image6.png"/><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BGrants@education.gov.au" TargetMode="External"/><Relationship Id="rId32" Type="http://schemas.openxmlformats.org/officeDocument/2006/relationships/footer" Target="footer2.xml"/><Relationship Id="rId37" Type="http://schemas.openxmlformats.org/officeDocument/2006/relationships/hyperlink" Target="http://www.acnc.gov.au" TargetMode="External"/><Relationship Id="rId40" Type="http://schemas.openxmlformats.org/officeDocument/2006/relationships/hyperlink" Target="https://www.nih.gov/grants-fundin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FOI@dese.gov.au" TargetMode="External"/><Relationship Id="rId28" Type="http://schemas.openxmlformats.org/officeDocument/2006/relationships/header" Target="header2.xml"/><Relationship Id="rId36" Type="http://schemas.openxmlformats.org/officeDocument/2006/relationships/hyperlink" Target="https://www.ato.gov.au/" TargetMode="External"/><Relationship Id="rId10" Type="http://schemas.openxmlformats.org/officeDocument/2006/relationships/endnotes" Target="endnotes.xml"/><Relationship Id="rId19" Type="http://schemas.openxmlformats.org/officeDocument/2006/relationships/hyperlink" Target="https://www.education.gov.au/research-block-grants" TargetMode="External"/><Relationship Id="rId31" Type="http://schemas.openxmlformats.org/officeDocument/2006/relationships/header" Target="header5.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rc.gov.au/evaluating-research/excellence-research-australia/seer-user-guide"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www.abr.business.gov.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www.oecd.org/publications/frascati-manual-2015-9789264239012-en.htm" TargetMode="External"/><Relationship Id="rId33" Type="http://schemas.openxmlformats.org/officeDocument/2006/relationships/header" Target="header6.xml"/><Relationship Id="rId38" Type="http://schemas.openxmlformats.org/officeDocument/2006/relationships/hyperlink" Target="http://www.abr.business.gov.au/" TargetMode="External"/><Relationship Id="rId20" Type="http://schemas.openxmlformats.org/officeDocument/2006/relationships/hyperlink" Target="https://www.education.gov.au/research-block-grants/consolidated-time-series-data" TargetMode="External"/><Relationship Id="rId41" Type="http://schemas.openxmlformats.org/officeDocument/2006/relationships/hyperlink" Target="https://ec.europa.eu/info/research-and-innovation/funding/funding-opportunities/funding-programmes-and-open-calls/horizon-europe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4A0E30"/>
    <w:rsid w:val="00785B1E"/>
    <w:rsid w:val="00B772DB"/>
    <w:rsid w:val="00D01170"/>
    <w:rsid w:val="00ED4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74EC-F0D7-4D79-BCF8-A441AD43D098}">
  <ds:schemaRefs>
    <ds:schemaRef ds:uri="http://purl.org/dc/elements/1.1/"/>
    <ds:schemaRef ds:uri="http://schemas.microsoft.com/office/2006/metadata/properties"/>
    <ds:schemaRef ds:uri="798DC259-F43D-4156-8F26-44EBBEFE304B"/>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7E99B95D-BA8E-4146-86B0-CA0CB632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9112</Words>
  <Characters>51942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Final Higher Education Research Data Collection specifications for the collection of 2023 data</vt:lpstr>
    </vt:vector>
  </TitlesOfParts>
  <Company/>
  <LinksUpToDate>false</LinksUpToDate>
  <CharactersWithSpaces>60933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Higher Education Research Data Collection specifications for the collection of 2023 data</dc:title>
  <dc:subject/>
  <dc:creator>ASHTON,Michael</dc:creator>
  <cp:keywords/>
  <dc:description/>
  <cp:lastModifiedBy>LENANE,Rochelle</cp:lastModifiedBy>
  <cp:revision>2</cp:revision>
  <dcterms:created xsi:type="dcterms:W3CDTF">2024-02-26T06:29:00Z</dcterms:created>
  <dcterms:modified xsi:type="dcterms:W3CDTF">2024-02-26T06:29:00Z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0x010100266966F133664895A6EE3632470D45F500090E2534C65B5C4F90F8B0C0619646BC</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