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69BC010" w:rsidR="005A7163" w:rsidRPr="003337FC" w:rsidRDefault="00492134" w:rsidP="00DA01EC">
      <w:pPr>
        <w:spacing w:before="480"/>
        <w:jc w:val="center"/>
        <w:rPr>
          <w:rFonts w:ascii="Calibri" w:hAnsi="Calibri" w:cs="Arial"/>
          <w:b/>
          <w:bCs/>
          <w:iCs/>
          <w:noProof/>
          <w:sz w:val="36"/>
        </w:rPr>
      </w:pPr>
      <w:r w:rsidRPr="00C411CA">
        <w:rPr>
          <w:rFonts w:ascii="Calibri" w:hAnsi="Calibri" w:cs="Arial"/>
          <w:b/>
          <w:bCs/>
          <w:iCs/>
          <w:noProof/>
          <w:sz w:val="36"/>
        </w:rPr>
        <w:t>La Trobe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1581452" w:rsidR="009310C3" w:rsidRPr="00C411CA" w:rsidRDefault="00492134" w:rsidP="009310C3">
      <w:pPr>
        <w:rPr>
          <w:rFonts w:ascii="Calibri" w:hAnsi="Calibri" w:cs="Calibri"/>
          <w:b/>
          <w:bCs/>
          <w:color w:val="000000"/>
          <w:sz w:val="22"/>
          <w:szCs w:val="22"/>
        </w:rPr>
      </w:pPr>
      <w:r w:rsidRPr="00C411CA">
        <w:rPr>
          <w:rFonts w:ascii="Calibri" w:hAnsi="Calibri" w:cs="Calibri"/>
          <w:b/>
          <w:bCs/>
          <w:color w:val="000000"/>
          <w:sz w:val="22"/>
          <w:szCs w:val="22"/>
        </w:rPr>
        <w:t>La Trobe University</w:t>
      </w:r>
      <w:r w:rsidR="009310C3" w:rsidRPr="00C411CA">
        <w:rPr>
          <w:rFonts w:cstheme="minorHAnsi"/>
          <w:sz w:val="22"/>
          <w:szCs w:val="22"/>
        </w:rPr>
        <w:t>,</w:t>
      </w:r>
      <w:r w:rsidR="009310C3" w:rsidRPr="00C411CA">
        <w:rPr>
          <w:rFonts w:cstheme="minorHAnsi"/>
          <w:bCs/>
          <w:sz w:val="22"/>
          <w:szCs w:val="22"/>
        </w:rPr>
        <w:t xml:space="preserve"> </w:t>
      </w:r>
      <w:r w:rsidRPr="00C411CA">
        <w:rPr>
          <w:rFonts w:cstheme="minorHAnsi"/>
          <w:bCs/>
          <w:sz w:val="22"/>
          <w:szCs w:val="22"/>
        </w:rPr>
        <w:t>Kingsbury Drive</w:t>
      </w:r>
      <w:r w:rsidR="009310C3" w:rsidRPr="00C411CA">
        <w:rPr>
          <w:rFonts w:cstheme="minorHAnsi"/>
          <w:bCs/>
          <w:noProof/>
          <w:sz w:val="22"/>
          <w:szCs w:val="22"/>
        </w:rPr>
        <w:t xml:space="preserve">, </w:t>
      </w:r>
      <w:r w:rsidRPr="00C411CA">
        <w:rPr>
          <w:rFonts w:cstheme="minorHAnsi"/>
          <w:bCs/>
          <w:noProof/>
          <w:sz w:val="22"/>
          <w:szCs w:val="22"/>
        </w:rPr>
        <w:t>BUNDOORA VIC 3068</w:t>
      </w:r>
      <w:r w:rsidR="009310C3" w:rsidRPr="00C411CA">
        <w:rPr>
          <w:rFonts w:cstheme="minorHAnsi"/>
          <w:noProof/>
          <w:sz w:val="22"/>
          <w:szCs w:val="22"/>
        </w:rPr>
        <w:t xml:space="preserve"> </w:t>
      </w:r>
      <w:r w:rsidR="009310C3" w:rsidRPr="00C411CA">
        <w:rPr>
          <w:rFonts w:cstheme="minorHAnsi"/>
          <w:sz w:val="22"/>
        </w:rPr>
        <w:t xml:space="preserve">(‘Provider’) </w:t>
      </w:r>
    </w:p>
    <w:p w14:paraId="7AB6E022" w14:textId="5C8897C4" w:rsidR="009310C3" w:rsidRPr="00BA1317" w:rsidRDefault="009310C3" w:rsidP="009310C3">
      <w:pPr>
        <w:spacing w:after="240"/>
        <w:rPr>
          <w:rFonts w:cstheme="minorHAnsi"/>
          <w:sz w:val="22"/>
          <w:szCs w:val="22"/>
        </w:rPr>
      </w:pPr>
      <w:r w:rsidRPr="00C411CA">
        <w:rPr>
          <w:rFonts w:cstheme="minorHAnsi"/>
          <w:sz w:val="22"/>
        </w:rPr>
        <w:t xml:space="preserve">[ABN </w:t>
      </w:r>
      <w:r w:rsidR="00492134" w:rsidRPr="00C411CA">
        <w:rPr>
          <w:rFonts w:cstheme="minorHAnsi"/>
          <w:sz w:val="22"/>
        </w:rPr>
        <w:t>64 804 735 113</w:t>
      </w:r>
      <w:r w:rsidRPr="00C411C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2D38F1F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4E69CC">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3655CFE9" w14:textId="77777777" w:rsidR="008113AA" w:rsidRPr="003337FC" w:rsidRDefault="008113AA" w:rsidP="008113AA">
      <w:pPr>
        <w:widowControl w:val="0"/>
        <w:tabs>
          <w:tab w:val="left" w:pos="8222"/>
        </w:tabs>
        <w:spacing w:before="120" w:after="120"/>
        <w:rPr>
          <w:rFonts w:ascii="Calibri" w:hAnsi="Calibri" w:cs="Arial"/>
          <w:b/>
          <w:sz w:val="22"/>
          <w:szCs w:val="22"/>
        </w:rPr>
      </w:pPr>
      <w:bookmarkStart w:id="0" w:name="FundingTable"/>
      <w:bookmarkEnd w:id="0"/>
      <w:r w:rsidRPr="003337FC">
        <w:rPr>
          <w:rFonts w:ascii="Calibri" w:hAnsi="Calibri" w:cs="Arial"/>
          <w:b/>
          <w:sz w:val="22"/>
          <w:szCs w:val="22"/>
        </w:rPr>
        <w:lastRenderedPageBreak/>
        <w:t xml:space="preserve">Table </w:t>
      </w:r>
      <w:r>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113AA" w14:paraId="3841E728" w14:textId="77777777" w:rsidTr="00571E16">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15EF0F" w14:textId="77777777" w:rsidR="008113AA" w:rsidRDefault="008113AA" w:rsidP="002974C6">
            <w:pPr>
              <w:jc w:val="center"/>
              <w:rPr>
                <w:rFonts w:ascii="Calibri" w:hAnsi="Calibri" w:cs="Calibri"/>
                <w:b/>
                <w:bCs/>
                <w:color w:val="000000"/>
                <w:sz w:val="22"/>
                <w:szCs w:val="22"/>
              </w:rPr>
            </w:pPr>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580C04F" w14:textId="77777777" w:rsidR="008113AA" w:rsidRDefault="008113AA" w:rsidP="002974C6">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75E5078" w14:textId="77777777" w:rsidR="008113AA" w:rsidRDefault="008113AA" w:rsidP="002974C6">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13AA" w14:paraId="69192782" w14:textId="77777777" w:rsidTr="00571E1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34DC205" w14:textId="77777777" w:rsidR="008113AA" w:rsidRDefault="008113AA" w:rsidP="002974C6">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8113AA" w14:paraId="6A34E3B6"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0DA370"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7743A0CE" w14:textId="62A2B004"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B6696">
              <w:rPr>
                <w:rFonts w:ascii="Calibri" w:hAnsi="Calibri" w:cs="Calibri"/>
                <w:color w:val="000000"/>
                <w:sz w:val="20"/>
                <w:szCs w:val="20"/>
              </w:rPr>
              <w:t>256,884,489</w:t>
            </w:r>
          </w:p>
        </w:tc>
        <w:tc>
          <w:tcPr>
            <w:tcW w:w="1077" w:type="pct"/>
            <w:tcBorders>
              <w:top w:val="nil"/>
              <w:left w:val="nil"/>
              <w:bottom w:val="single" w:sz="4" w:space="0" w:color="auto"/>
              <w:right w:val="single" w:sz="4" w:space="0" w:color="auto"/>
            </w:tcBorders>
            <w:shd w:val="clear" w:color="auto" w:fill="auto"/>
            <w:vAlign w:val="center"/>
            <w:hideMark/>
          </w:tcPr>
          <w:p w14:paraId="3A9E2273" w14:textId="77777777" w:rsidR="002470E2" w:rsidRPr="00DA16B1" w:rsidRDefault="002470E2" w:rsidP="002470E2">
            <w:pPr>
              <w:jc w:val="right"/>
              <w:rPr>
                <w:rFonts w:ascii="Calibri" w:hAnsi="Calibri" w:cs="Calibri"/>
                <w:sz w:val="20"/>
                <w:szCs w:val="20"/>
              </w:rPr>
            </w:pPr>
            <w:r w:rsidRPr="00DA16B1">
              <w:rPr>
                <w:rFonts w:ascii="Calibri" w:hAnsi="Calibri" w:cs="Calibri"/>
                <w:sz w:val="20"/>
                <w:szCs w:val="20"/>
              </w:rPr>
              <w:t>$274,830,844</w:t>
            </w:r>
          </w:p>
          <w:p w14:paraId="787CE39D" w14:textId="21595011" w:rsidR="008113AA" w:rsidRDefault="008113AA" w:rsidP="002974C6">
            <w:pPr>
              <w:jc w:val="right"/>
              <w:rPr>
                <w:rFonts w:ascii="Calibri" w:hAnsi="Calibri" w:cs="Calibri"/>
                <w:color w:val="000000"/>
                <w:sz w:val="20"/>
                <w:szCs w:val="20"/>
              </w:rPr>
            </w:pPr>
          </w:p>
        </w:tc>
      </w:tr>
      <w:tr w:rsidR="008113AA" w14:paraId="1EE4E914"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10A9B1"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C4AA658" w14:textId="1647658B"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w:t>
            </w:r>
            <w:r w:rsidR="0029565F">
              <w:rPr>
                <w:rFonts w:ascii="Calibri" w:hAnsi="Calibri" w:cs="Calibri"/>
                <w:i/>
                <w:iCs/>
                <w:color w:val="000000"/>
                <w:sz w:val="20"/>
                <w:szCs w:val="20"/>
              </w:rPr>
              <w:t>1,035,536</w:t>
            </w:r>
            <w:r>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16DC5CE8" w14:textId="7A615CB0" w:rsidR="008113AA" w:rsidRDefault="00CE60AE" w:rsidP="002974C6">
            <w:pPr>
              <w:jc w:val="right"/>
              <w:rPr>
                <w:rFonts w:ascii="Calibri" w:hAnsi="Calibri" w:cs="Calibri"/>
                <w:i/>
                <w:iCs/>
                <w:color w:val="000000"/>
                <w:sz w:val="20"/>
                <w:szCs w:val="20"/>
              </w:rPr>
            </w:pPr>
            <w:r>
              <w:rPr>
                <w:rFonts w:ascii="Calibri" w:hAnsi="Calibri" w:cs="Calibri"/>
                <w:i/>
                <w:iCs/>
                <w:color w:val="000000"/>
                <w:sz w:val="20"/>
                <w:szCs w:val="20"/>
              </w:rPr>
              <w:t>$1,077,925</w:t>
            </w:r>
          </w:p>
        </w:tc>
      </w:tr>
      <w:tr w:rsidR="008113AA" w14:paraId="50B10947"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ECE71F7"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0F6F86E" w14:textId="03DD8848"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w:t>
            </w:r>
            <w:r w:rsidR="004A7A15">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DA57CC8" w14:textId="08129431" w:rsidR="008113AA" w:rsidRDefault="0062656A" w:rsidP="002974C6">
            <w:pPr>
              <w:jc w:val="right"/>
              <w:rPr>
                <w:rFonts w:ascii="Calibri" w:hAnsi="Calibri" w:cs="Calibri"/>
                <w:i/>
                <w:iCs/>
                <w:color w:val="000000"/>
                <w:sz w:val="20"/>
                <w:szCs w:val="20"/>
              </w:rPr>
            </w:pPr>
            <w:r>
              <w:rPr>
                <w:rFonts w:ascii="Calibri" w:hAnsi="Calibri" w:cs="Calibri"/>
                <w:i/>
                <w:iCs/>
                <w:color w:val="000000"/>
                <w:sz w:val="20"/>
                <w:szCs w:val="20"/>
              </w:rPr>
              <w:t>$0</w:t>
            </w:r>
          </w:p>
        </w:tc>
      </w:tr>
      <w:tr w:rsidR="008113AA" w14:paraId="70F80D7B"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BDD61D"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7CBF0E6"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5E583A5" w14:textId="4BCBC204" w:rsidR="008113AA" w:rsidRDefault="002D2F8D" w:rsidP="002974C6">
            <w:pPr>
              <w:jc w:val="right"/>
              <w:rPr>
                <w:rFonts w:ascii="Calibri" w:hAnsi="Calibri" w:cs="Calibri"/>
                <w:i/>
                <w:iCs/>
                <w:color w:val="000000"/>
                <w:sz w:val="20"/>
                <w:szCs w:val="20"/>
              </w:rPr>
            </w:pPr>
            <w:r>
              <w:rPr>
                <w:rFonts w:ascii="Calibri" w:hAnsi="Calibri" w:cs="Calibri"/>
                <w:i/>
                <w:iCs/>
                <w:color w:val="000000"/>
                <w:sz w:val="20"/>
                <w:szCs w:val="20"/>
              </w:rPr>
              <w:t>$0</w:t>
            </w:r>
          </w:p>
        </w:tc>
      </w:tr>
      <w:tr w:rsidR="008113AA" w14:paraId="7FC60C76"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2A1EE4"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5F010BC"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5BEB22D"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N/A</w:t>
            </w:r>
          </w:p>
        </w:tc>
      </w:tr>
      <w:tr w:rsidR="008113AA" w14:paraId="719FBE26"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D8F9D5" w14:textId="77777777"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DF56107" w14:textId="7E20232F" w:rsidR="008113AA" w:rsidRDefault="008113AA" w:rsidP="002974C6">
            <w:pPr>
              <w:jc w:val="right"/>
              <w:rPr>
                <w:rFonts w:ascii="Calibri" w:hAnsi="Calibri" w:cs="Calibri"/>
                <w:i/>
                <w:iCs/>
                <w:color w:val="000000"/>
                <w:sz w:val="20"/>
                <w:szCs w:val="20"/>
              </w:rPr>
            </w:pPr>
            <w:r>
              <w:rPr>
                <w:rFonts w:ascii="Calibri" w:hAnsi="Calibri" w:cs="Calibri"/>
                <w:i/>
                <w:iCs/>
                <w:color w:val="000000"/>
                <w:sz w:val="20"/>
                <w:szCs w:val="20"/>
              </w:rPr>
              <w:t>$</w:t>
            </w:r>
            <w:r w:rsidR="004A7A15">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9984519" w14:textId="62DEDF5B" w:rsidR="008113AA" w:rsidRDefault="0062656A" w:rsidP="002974C6">
            <w:pPr>
              <w:jc w:val="right"/>
              <w:rPr>
                <w:rFonts w:ascii="Calibri" w:hAnsi="Calibri" w:cs="Calibri"/>
                <w:i/>
                <w:iCs/>
                <w:color w:val="000000"/>
                <w:sz w:val="20"/>
                <w:szCs w:val="20"/>
              </w:rPr>
            </w:pPr>
            <w:r>
              <w:rPr>
                <w:rFonts w:ascii="Calibri" w:hAnsi="Calibri" w:cs="Calibri"/>
                <w:i/>
                <w:iCs/>
                <w:color w:val="000000"/>
                <w:sz w:val="20"/>
                <w:szCs w:val="20"/>
              </w:rPr>
              <w:t>$0</w:t>
            </w:r>
          </w:p>
        </w:tc>
      </w:tr>
      <w:tr w:rsidR="008113AA" w14:paraId="722F21FF" w14:textId="77777777" w:rsidTr="00571E16">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84EB17E"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1DFBE1A7" w14:textId="477EA1D9"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4A7A15">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30C83F4"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73DA1F42"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38253B"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25F909FF"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5E015300"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8113AA" w14:paraId="1D1B0F31"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EE1546"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75B2E04A" w14:textId="7A46A36D"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F613A3">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A536A1F" w14:textId="383B2C44" w:rsidR="008113AA" w:rsidRDefault="005560FF" w:rsidP="002974C6">
            <w:pPr>
              <w:jc w:val="right"/>
              <w:rPr>
                <w:rFonts w:ascii="Calibri" w:hAnsi="Calibri" w:cs="Calibri"/>
                <w:color w:val="000000"/>
                <w:sz w:val="20"/>
                <w:szCs w:val="20"/>
              </w:rPr>
            </w:pPr>
            <w:r>
              <w:rPr>
                <w:rFonts w:ascii="Calibri" w:hAnsi="Calibri" w:cs="Calibri"/>
                <w:color w:val="000000"/>
                <w:sz w:val="20"/>
                <w:szCs w:val="20"/>
              </w:rPr>
              <w:t>$0</w:t>
            </w:r>
          </w:p>
        </w:tc>
      </w:tr>
      <w:tr w:rsidR="008113AA" w14:paraId="6FF45FBB" w14:textId="77777777" w:rsidTr="00571E1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2227BCE" w14:textId="77777777" w:rsidR="008113AA" w:rsidRDefault="008113AA" w:rsidP="002974C6">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8113AA" w14:paraId="221A60D3"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09773B"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3F2FD44C" w14:textId="14F87FFD"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21,227,058</w:t>
            </w:r>
          </w:p>
        </w:tc>
        <w:tc>
          <w:tcPr>
            <w:tcW w:w="1077" w:type="pct"/>
            <w:tcBorders>
              <w:top w:val="nil"/>
              <w:left w:val="nil"/>
              <w:bottom w:val="single" w:sz="4" w:space="0" w:color="auto"/>
              <w:right w:val="single" w:sz="4" w:space="0" w:color="auto"/>
            </w:tcBorders>
            <w:shd w:val="clear" w:color="auto" w:fill="auto"/>
            <w:vAlign w:val="center"/>
            <w:hideMark/>
          </w:tcPr>
          <w:p w14:paraId="28F0347D" w14:textId="042DB4D7" w:rsidR="008113AA" w:rsidRDefault="009C388B" w:rsidP="002974C6">
            <w:pPr>
              <w:jc w:val="right"/>
              <w:rPr>
                <w:rFonts w:ascii="Calibri" w:hAnsi="Calibri" w:cs="Calibri"/>
                <w:color w:val="000000"/>
                <w:sz w:val="20"/>
                <w:szCs w:val="20"/>
              </w:rPr>
            </w:pPr>
            <w:r>
              <w:rPr>
                <w:rFonts w:ascii="Calibri" w:hAnsi="Calibri" w:cs="Calibri"/>
                <w:color w:val="000000"/>
                <w:sz w:val="20"/>
                <w:szCs w:val="20"/>
              </w:rPr>
              <w:t>$22,110,470</w:t>
            </w:r>
          </w:p>
        </w:tc>
      </w:tr>
      <w:tr w:rsidR="008113AA" w14:paraId="75E7C9CD"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014814"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713727C4" w14:textId="1CFD08C6"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16,358,152</w:t>
            </w:r>
          </w:p>
        </w:tc>
        <w:tc>
          <w:tcPr>
            <w:tcW w:w="1077" w:type="pct"/>
            <w:tcBorders>
              <w:top w:val="nil"/>
              <w:left w:val="nil"/>
              <w:bottom w:val="single" w:sz="4" w:space="0" w:color="auto"/>
              <w:right w:val="single" w:sz="4" w:space="0" w:color="auto"/>
            </w:tcBorders>
            <w:shd w:val="clear" w:color="auto" w:fill="auto"/>
            <w:vAlign w:val="center"/>
            <w:hideMark/>
          </w:tcPr>
          <w:p w14:paraId="6BFD77BF" w14:textId="687F5AF8" w:rsidR="008113AA" w:rsidRDefault="009C388B" w:rsidP="002974C6">
            <w:pPr>
              <w:jc w:val="right"/>
              <w:rPr>
                <w:rFonts w:ascii="Calibri" w:hAnsi="Calibri" w:cs="Calibri"/>
                <w:color w:val="000000"/>
                <w:sz w:val="20"/>
                <w:szCs w:val="20"/>
              </w:rPr>
            </w:pPr>
            <w:r>
              <w:rPr>
                <w:rFonts w:ascii="Calibri" w:hAnsi="Calibri" w:cs="Calibri"/>
                <w:color w:val="000000"/>
                <w:sz w:val="20"/>
                <w:szCs w:val="20"/>
              </w:rPr>
              <w:t>$16,667,877</w:t>
            </w:r>
          </w:p>
        </w:tc>
      </w:tr>
      <w:tr w:rsidR="008113AA" w14:paraId="214FE0DF" w14:textId="77777777" w:rsidTr="00571E1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835C192" w14:textId="77777777" w:rsidR="008113AA" w:rsidRDefault="008113AA" w:rsidP="002974C6">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8113AA" w14:paraId="126408AC"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07294E5"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16C6CC6B" w14:textId="2C4F92EF"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7,880,400</w:t>
            </w:r>
          </w:p>
        </w:tc>
        <w:tc>
          <w:tcPr>
            <w:tcW w:w="1077" w:type="pct"/>
            <w:tcBorders>
              <w:top w:val="nil"/>
              <w:left w:val="nil"/>
              <w:bottom w:val="single" w:sz="4" w:space="0" w:color="auto"/>
              <w:right w:val="single" w:sz="4" w:space="0" w:color="auto"/>
            </w:tcBorders>
            <w:shd w:val="clear" w:color="auto" w:fill="auto"/>
            <w:vAlign w:val="center"/>
            <w:hideMark/>
          </w:tcPr>
          <w:p w14:paraId="639CD353" w14:textId="78D1C524" w:rsidR="008113AA" w:rsidRDefault="00796C73" w:rsidP="002974C6">
            <w:pPr>
              <w:jc w:val="right"/>
              <w:rPr>
                <w:rFonts w:ascii="Calibri" w:hAnsi="Calibri" w:cs="Calibri"/>
                <w:color w:val="000000"/>
                <w:sz w:val="20"/>
                <w:szCs w:val="20"/>
              </w:rPr>
            </w:pPr>
            <w:r>
              <w:rPr>
                <w:rFonts w:ascii="Calibri" w:hAnsi="Calibri" w:cs="Calibri"/>
                <w:color w:val="000000"/>
                <w:sz w:val="20"/>
                <w:szCs w:val="20"/>
              </w:rPr>
              <w:t>$8,203,496</w:t>
            </w:r>
          </w:p>
        </w:tc>
      </w:tr>
      <w:tr w:rsidR="008113AA" w14:paraId="772C18AA" w14:textId="77777777" w:rsidTr="00571E1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2AD6915"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1A4FFC0" w14:textId="21572BC5"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4,969,750</w:t>
            </w:r>
          </w:p>
        </w:tc>
        <w:tc>
          <w:tcPr>
            <w:tcW w:w="1077" w:type="pct"/>
            <w:tcBorders>
              <w:top w:val="nil"/>
              <w:left w:val="nil"/>
              <w:bottom w:val="single" w:sz="4" w:space="0" w:color="auto"/>
              <w:right w:val="single" w:sz="4" w:space="0" w:color="auto"/>
            </w:tcBorders>
            <w:shd w:val="clear" w:color="auto" w:fill="auto"/>
            <w:vAlign w:val="center"/>
            <w:hideMark/>
          </w:tcPr>
          <w:p w14:paraId="61F460A2" w14:textId="2C3EF8CB" w:rsidR="008113AA" w:rsidRDefault="00E7771F" w:rsidP="002974C6">
            <w:pPr>
              <w:jc w:val="right"/>
              <w:rPr>
                <w:rFonts w:ascii="Calibri" w:hAnsi="Calibri" w:cs="Calibri"/>
                <w:color w:val="000000"/>
                <w:sz w:val="20"/>
                <w:szCs w:val="20"/>
              </w:rPr>
            </w:pPr>
            <w:r w:rsidRPr="00E7771F">
              <w:rPr>
                <w:rFonts w:ascii="Calibri" w:hAnsi="Calibri" w:cs="Calibri"/>
                <w:color w:val="000000"/>
                <w:sz w:val="20"/>
                <w:szCs w:val="20"/>
              </w:rPr>
              <w:t>$5,070,841</w:t>
            </w:r>
          </w:p>
        </w:tc>
      </w:tr>
      <w:tr w:rsidR="008113AA" w14:paraId="4BC4FFEF"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1BB2E96"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4F72202" w14:textId="16011C42"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D76AF6">
              <w:rPr>
                <w:rFonts w:ascii="Calibri" w:hAnsi="Calibri" w:cs="Calibri"/>
                <w:color w:val="000000"/>
                <w:sz w:val="20"/>
                <w:szCs w:val="20"/>
              </w:rPr>
              <w:t>3,994,040</w:t>
            </w:r>
          </w:p>
        </w:tc>
        <w:tc>
          <w:tcPr>
            <w:tcW w:w="1077" w:type="pct"/>
            <w:tcBorders>
              <w:top w:val="nil"/>
              <w:left w:val="nil"/>
              <w:bottom w:val="single" w:sz="4" w:space="0" w:color="auto"/>
              <w:right w:val="single" w:sz="4" w:space="0" w:color="auto"/>
            </w:tcBorders>
            <w:shd w:val="clear" w:color="auto" w:fill="auto"/>
            <w:vAlign w:val="center"/>
            <w:hideMark/>
          </w:tcPr>
          <w:p w14:paraId="07E087C3"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TBA</w:t>
            </w:r>
          </w:p>
        </w:tc>
      </w:tr>
      <w:tr w:rsidR="008113AA" w14:paraId="60848E42"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9B4139"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22219E5" w14:textId="4A20986C"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w:t>
            </w:r>
            <w:r w:rsidR="0007044C">
              <w:rPr>
                <w:rFonts w:ascii="Calibri" w:hAnsi="Calibri" w:cs="Calibri"/>
                <w:color w:val="000000"/>
                <w:sz w:val="20"/>
                <w:szCs w:val="20"/>
              </w:rPr>
              <w:t>279,792</w:t>
            </w:r>
          </w:p>
        </w:tc>
        <w:tc>
          <w:tcPr>
            <w:tcW w:w="1077" w:type="pct"/>
            <w:tcBorders>
              <w:top w:val="nil"/>
              <w:left w:val="nil"/>
              <w:bottom w:val="single" w:sz="4" w:space="0" w:color="auto"/>
              <w:right w:val="single" w:sz="4" w:space="0" w:color="auto"/>
            </w:tcBorders>
            <w:shd w:val="clear" w:color="auto" w:fill="auto"/>
            <w:vAlign w:val="center"/>
            <w:hideMark/>
          </w:tcPr>
          <w:p w14:paraId="51485F80" w14:textId="2284E93F" w:rsidR="008113AA" w:rsidRDefault="002470E2" w:rsidP="002974C6">
            <w:pPr>
              <w:jc w:val="right"/>
              <w:rPr>
                <w:rFonts w:ascii="Calibri" w:hAnsi="Calibri" w:cs="Calibri"/>
                <w:color w:val="000000"/>
                <w:sz w:val="20"/>
                <w:szCs w:val="20"/>
              </w:rPr>
            </w:pPr>
            <w:r>
              <w:rPr>
                <w:rFonts w:ascii="Calibri" w:hAnsi="Calibri" w:cs="Calibri"/>
                <w:color w:val="000000"/>
                <w:sz w:val="20"/>
                <w:szCs w:val="20"/>
              </w:rPr>
              <w:t>N/A</w:t>
            </w:r>
          </w:p>
        </w:tc>
      </w:tr>
      <w:tr w:rsidR="008113AA" w14:paraId="017AE132" w14:textId="77777777" w:rsidTr="00571E1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852753C" w14:textId="77777777" w:rsidR="008113AA" w:rsidRDefault="008113AA" w:rsidP="002974C6">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E6850EA" w14:textId="77777777" w:rsidR="008113AA" w:rsidRDefault="008113AA" w:rsidP="002974C6">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2F52435" w14:textId="1B2B7FFA" w:rsidR="008113AA" w:rsidRDefault="00070DEB" w:rsidP="002974C6">
            <w:pPr>
              <w:jc w:val="right"/>
              <w:rPr>
                <w:rFonts w:ascii="Calibri" w:hAnsi="Calibri" w:cs="Calibri"/>
                <w:color w:val="000000"/>
                <w:sz w:val="20"/>
                <w:szCs w:val="20"/>
              </w:rPr>
            </w:pPr>
            <w:r>
              <w:rPr>
                <w:rFonts w:ascii="Calibri" w:hAnsi="Calibri" w:cs="Calibri"/>
                <w:color w:val="000000"/>
                <w:sz w:val="20"/>
                <w:szCs w:val="20"/>
              </w:rPr>
              <w:t>$0</w:t>
            </w:r>
          </w:p>
        </w:tc>
      </w:tr>
      <w:tr w:rsidR="008113AA" w14:paraId="2FB673D7" w14:textId="77777777" w:rsidTr="00571E16">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621DE9C5" w14:textId="77777777" w:rsidR="008113AA" w:rsidRDefault="008113AA" w:rsidP="002974C6">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309E03A9" w14:textId="4C0F420A" w:rsidR="008113AA" w:rsidRDefault="008113AA" w:rsidP="002974C6">
            <w:pPr>
              <w:jc w:val="right"/>
              <w:rPr>
                <w:rFonts w:ascii="Calibri" w:hAnsi="Calibri" w:cs="Calibri"/>
                <w:b/>
                <w:bCs/>
                <w:color w:val="000000"/>
                <w:sz w:val="20"/>
                <w:szCs w:val="20"/>
              </w:rPr>
            </w:pPr>
            <w:r>
              <w:rPr>
                <w:rFonts w:ascii="Calibri" w:hAnsi="Calibri" w:cs="Calibri"/>
                <w:b/>
                <w:bCs/>
                <w:color w:val="000000"/>
                <w:sz w:val="20"/>
                <w:szCs w:val="20"/>
              </w:rPr>
              <w:t>$</w:t>
            </w:r>
            <w:r w:rsidR="0029565F">
              <w:rPr>
                <w:rFonts w:ascii="Calibri" w:hAnsi="Calibri" w:cs="Calibri"/>
                <w:b/>
                <w:bCs/>
                <w:color w:val="000000"/>
                <w:sz w:val="20"/>
                <w:szCs w:val="20"/>
              </w:rPr>
              <w:t>311,593,681</w:t>
            </w:r>
          </w:p>
        </w:tc>
        <w:tc>
          <w:tcPr>
            <w:tcW w:w="1077" w:type="pct"/>
            <w:tcBorders>
              <w:top w:val="nil"/>
              <w:left w:val="nil"/>
              <w:bottom w:val="single" w:sz="4" w:space="0" w:color="auto"/>
              <w:right w:val="single" w:sz="4" w:space="0" w:color="auto"/>
            </w:tcBorders>
            <w:shd w:val="clear" w:color="000000" w:fill="F2F2F2"/>
            <w:vAlign w:val="center"/>
            <w:hideMark/>
          </w:tcPr>
          <w:p w14:paraId="38FF2836" w14:textId="77777777" w:rsidR="008113AA" w:rsidRDefault="008113AA" w:rsidP="002974C6">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2E4E4F92" w14:textId="77777777" w:rsidR="00B3272B" w:rsidRDefault="00B3272B" w:rsidP="001978A5">
      <w:pPr>
        <w:tabs>
          <w:tab w:val="left" w:pos="567"/>
          <w:tab w:val="left" w:pos="8222"/>
        </w:tabs>
        <w:spacing w:before="120" w:after="120"/>
        <w:rPr>
          <w:rFonts w:ascii="Calibri" w:hAnsi="Calibri" w:cs="Arial"/>
          <w:b/>
          <w:iCs/>
          <w:sz w:val="22"/>
          <w:szCs w:val="22"/>
        </w:rPr>
      </w:pPr>
    </w:p>
    <w:p w14:paraId="20F43D10" w14:textId="5DE4D1B7"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56084F24" w:rsidR="005A7163" w:rsidRPr="003337FC" w:rsidRDefault="005A7163" w:rsidP="003E776A">
      <w:pPr>
        <w:pStyle w:val="Heading2"/>
        <w:rPr>
          <w:rFonts w:cs="Arial"/>
        </w:rPr>
      </w:pPr>
      <w:r w:rsidRPr="003337FC">
        <w:rPr>
          <w:rFonts w:cs="Arial"/>
        </w:rPr>
        <w:t xml:space="preserve">PART B: Other conditions and requirements </w:t>
      </w:r>
    </w:p>
    <w:p w14:paraId="43159637" w14:textId="1A6E7DB8" w:rsidR="00EE7BC5" w:rsidRPr="00B3678C" w:rsidRDefault="00686799" w:rsidP="00EE7BC5">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5F7DBAE2" w:rsidR="00686799" w:rsidRPr="00BA5798" w:rsidRDefault="00686799" w:rsidP="00BA5798">
      <w:pPr>
        <w:pStyle w:val="ListParagraph"/>
        <w:numPr>
          <w:ilvl w:val="0"/>
          <w:numId w:val="2"/>
        </w:numPr>
        <w:tabs>
          <w:tab w:val="left" w:pos="426"/>
          <w:tab w:val="left" w:pos="567"/>
          <w:tab w:val="left" w:pos="8222"/>
        </w:tabs>
        <w:spacing w:before="120" w:after="120"/>
        <w:rPr>
          <w:rFonts w:ascii="Calibri" w:hAnsi="Calibri" w:cs="Arial"/>
          <w:sz w:val="22"/>
          <w:szCs w:val="22"/>
        </w:rPr>
      </w:pPr>
      <w:r w:rsidRPr="00BA5798">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BA5798">
        <w:rPr>
          <w:rFonts w:ascii="Calibri" w:hAnsi="Calibri" w:cs="Arial"/>
          <w:sz w:val="22"/>
          <w:szCs w:val="22"/>
        </w:rPr>
        <w:t>are capable of succeeding</w:t>
      </w:r>
      <w:proofErr w:type="gramEnd"/>
      <w:r w:rsidRPr="00BA5798">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2793EB0" w14:textId="77777777" w:rsidR="00B96616" w:rsidRDefault="00B96616">
      <w:pPr>
        <w:rPr>
          <w:rFonts w:ascii="Calibri" w:hAnsi="Calibri" w:cs="Arial"/>
          <w:bCs/>
          <w:i/>
          <w:sz w:val="22"/>
          <w:szCs w:val="22"/>
        </w:rPr>
      </w:pPr>
      <w:r>
        <w:rPr>
          <w:rFonts w:ascii="Calibri" w:hAnsi="Calibri" w:cs="Arial"/>
          <w:bCs/>
          <w:i/>
          <w:sz w:val="22"/>
          <w:szCs w:val="22"/>
        </w:rPr>
        <w:br w:type="page"/>
      </w:r>
    </w:p>
    <w:p w14:paraId="01CC7241" w14:textId="158DF83F"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20300E13" w:rsidR="005A7163" w:rsidRPr="00C411C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5870A9">
        <w:rPr>
          <w:rFonts w:ascii="Calibri" w:hAnsi="Calibri" w:cs="Arial"/>
          <w:sz w:val="22"/>
          <w:szCs w:val="22"/>
        </w:rPr>
        <w:t xml:space="preserve">Table </w:t>
      </w:r>
      <w:r w:rsidR="00492134" w:rsidRPr="00C411CA">
        <w:rPr>
          <w:rFonts w:ascii="Calibri" w:hAnsi="Calibri" w:cs="Arial"/>
          <w:sz w:val="22"/>
          <w:szCs w:val="22"/>
        </w:rPr>
        <w:t>3</w:t>
      </w:r>
      <w:r w:rsidR="001179E5" w:rsidRPr="00C411CA">
        <w:rPr>
          <w:rFonts w:ascii="Calibri" w:hAnsi="Calibri" w:cs="Arial"/>
          <w:sz w:val="22"/>
          <w:szCs w:val="22"/>
        </w:rPr>
        <w:t>.</w:t>
      </w:r>
    </w:p>
    <w:p w14:paraId="2C0391AE" w14:textId="55592C28" w:rsidR="005A7163" w:rsidRPr="00C411C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411CA">
        <w:rPr>
          <w:rFonts w:ascii="Calibri" w:hAnsi="Calibri" w:cs="Arial"/>
          <w:sz w:val="22"/>
          <w:szCs w:val="22"/>
        </w:rPr>
        <w:t>Similarly, if the Provider proposes to close a campus where Commonwealth supported students are enrolled, the Provider must obtain the Commonwealth’s prior written approval.</w:t>
      </w:r>
    </w:p>
    <w:p w14:paraId="48AF62A0" w14:textId="090C7391" w:rsidR="00BA5798" w:rsidRDefault="005A7163" w:rsidP="00BA5798">
      <w:pPr>
        <w:spacing w:before="120" w:after="120"/>
        <w:rPr>
          <w:rFonts w:cstheme="minorBidi"/>
          <w:b/>
          <w:sz w:val="22"/>
          <w:szCs w:val="22"/>
        </w:rPr>
      </w:pPr>
      <w:r w:rsidRPr="00C411CA">
        <w:rPr>
          <w:rFonts w:ascii="Calibri" w:hAnsi="Calibri"/>
          <w:b/>
          <w:sz w:val="22"/>
          <w:szCs w:val="22"/>
        </w:rPr>
        <w:t xml:space="preserve">Table </w:t>
      </w:r>
      <w:r w:rsidR="00492134" w:rsidRPr="00C411CA">
        <w:rPr>
          <w:rFonts w:ascii="Calibri" w:hAnsi="Calibri"/>
          <w:b/>
          <w:bCs/>
          <w:noProof/>
          <w:sz w:val="22"/>
          <w:szCs w:val="22"/>
        </w:rPr>
        <w:t>3</w:t>
      </w:r>
      <w:r w:rsidRPr="00C411CA">
        <w:rPr>
          <w:rFonts w:cstheme="minorBidi"/>
          <w:b/>
          <w:sz w:val="22"/>
          <w:szCs w:val="22"/>
        </w:rPr>
        <w:t xml:space="preserve">: </w:t>
      </w:r>
      <w:r w:rsidRPr="00C411CA">
        <w:rPr>
          <w:rFonts w:ascii="Calibri" w:hAnsi="Calibri"/>
          <w:b/>
          <w:sz w:val="22"/>
          <w:szCs w:val="22"/>
        </w:rPr>
        <w:t>Provider’s</w:t>
      </w:r>
      <w:r w:rsidRPr="00C411CA">
        <w:rPr>
          <w:rFonts w:cstheme="minorBidi"/>
          <w:b/>
          <w:sz w:val="22"/>
          <w:szCs w:val="22"/>
        </w:rPr>
        <w:t xml:space="preserve"> campuses</w:t>
      </w:r>
    </w:p>
    <w:tbl>
      <w:tblPr>
        <w:tblW w:w="5000" w:type="pct"/>
        <w:tblLook w:val="04A0" w:firstRow="1" w:lastRow="0" w:firstColumn="1" w:lastColumn="0" w:noHBand="0" w:noVBand="1"/>
      </w:tblPr>
      <w:tblGrid>
        <w:gridCol w:w="7650"/>
        <w:gridCol w:w="1978"/>
      </w:tblGrid>
      <w:tr w:rsidR="00BA5798" w14:paraId="1E53D99A" w14:textId="77777777" w:rsidTr="00571E16">
        <w:trPr>
          <w:trHeight w:val="465"/>
        </w:trPr>
        <w:tc>
          <w:tcPr>
            <w:tcW w:w="39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676533" w14:textId="77777777" w:rsidR="00BA5798" w:rsidRDefault="00BA5798">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27" w:type="pct"/>
            <w:tcBorders>
              <w:top w:val="single" w:sz="4" w:space="0" w:color="auto"/>
              <w:left w:val="nil"/>
              <w:bottom w:val="single" w:sz="4" w:space="0" w:color="auto"/>
              <w:right w:val="single" w:sz="4" w:space="0" w:color="auto"/>
            </w:tcBorders>
            <w:shd w:val="clear" w:color="auto" w:fill="D9D9D9"/>
            <w:vAlign w:val="center"/>
            <w:hideMark/>
          </w:tcPr>
          <w:p w14:paraId="18A21D89" w14:textId="77777777" w:rsidR="00BA5798" w:rsidRDefault="00BA5798">
            <w:pPr>
              <w:jc w:val="center"/>
              <w:rPr>
                <w:rFonts w:ascii="Calibri" w:hAnsi="Calibri" w:cs="Calibri"/>
                <w:b/>
                <w:bCs/>
                <w:color w:val="000000"/>
                <w:sz w:val="22"/>
                <w:szCs w:val="22"/>
              </w:rPr>
            </w:pPr>
            <w:r>
              <w:rPr>
                <w:rFonts w:ascii="Calibri" w:hAnsi="Calibri" w:cs="Calibri"/>
                <w:b/>
                <w:bCs/>
                <w:color w:val="000000"/>
                <w:sz w:val="22"/>
                <w:szCs w:val="22"/>
              </w:rPr>
              <w:t>Type</w:t>
            </w:r>
          </w:p>
        </w:tc>
      </w:tr>
      <w:tr w:rsidR="00BA5798" w14:paraId="3F03929F"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11CFB1B4" w14:textId="77777777" w:rsidR="00BA5798" w:rsidRDefault="00BA5798">
            <w:pPr>
              <w:rPr>
                <w:rFonts w:ascii="Calibri" w:hAnsi="Calibri" w:cs="Calibri"/>
                <w:color w:val="000000"/>
                <w:sz w:val="22"/>
                <w:szCs w:val="22"/>
              </w:rPr>
            </w:pPr>
            <w:r>
              <w:rPr>
                <w:rFonts w:ascii="Calibri" w:hAnsi="Calibri" w:cs="Calibri"/>
                <w:color w:val="000000"/>
                <w:sz w:val="22"/>
                <w:szCs w:val="22"/>
              </w:rPr>
              <w:t>Albury-Wodonga</w:t>
            </w:r>
          </w:p>
        </w:tc>
        <w:tc>
          <w:tcPr>
            <w:tcW w:w="1027" w:type="pct"/>
            <w:tcBorders>
              <w:top w:val="nil"/>
              <w:left w:val="nil"/>
              <w:bottom w:val="single" w:sz="4" w:space="0" w:color="auto"/>
              <w:right w:val="single" w:sz="4" w:space="0" w:color="auto"/>
            </w:tcBorders>
            <w:noWrap/>
            <w:vAlign w:val="center"/>
            <w:hideMark/>
          </w:tcPr>
          <w:p w14:paraId="67E1082D"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60494E6B"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071CA34D" w14:textId="77777777" w:rsidR="00BA5798" w:rsidRDefault="00BA5798">
            <w:pPr>
              <w:rPr>
                <w:rFonts w:ascii="Calibri" w:hAnsi="Calibri" w:cs="Calibri"/>
                <w:color w:val="000000"/>
                <w:sz w:val="22"/>
                <w:szCs w:val="22"/>
              </w:rPr>
            </w:pPr>
            <w:r>
              <w:rPr>
                <w:rFonts w:ascii="Calibri" w:hAnsi="Calibri" w:cs="Calibri"/>
                <w:color w:val="000000"/>
                <w:sz w:val="22"/>
                <w:szCs w:val="22"/>
              </w:rPr>
              <w:t>Bendigo</w:t>
            </w:r>
          </w:p>
        </w:tc>
        <w:tc>
          <w:tcPr>
            <w:tcW w:w="1027" w:type="pct"/>
            <w:tcBorders>
              <w:top w:val="nil"/>
              <w:left w:val="nil"/>
              <w:bottom w:val="single" w:sz="4" w:space="0" w:color="auto"/>
              <w:right w:val="single" w:sz="4" w:space="0" w:color="auto"/>
            </w:tcBorders>
            <w:noWrap/>
            <w:vAlign w:val="center"/>
            <w:hideMark/>
          </w:tcPr>
          <w:p w14:paraId="70B163A9"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26BF06DD"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77523ACE" w14:textId="77777777" w:rsidR="00BA5798" w:rsidRDefault="00BA5798">
            <w:pPr>
              <w:rPr>
                <w:rFonts w:ascii="Calibri" w:hAnsi="Calibri" w:cs="Calibri"/>
                <w:color w:val="000000"/>
                <w:sz w:val="22"/>
                <w:szCs w:val="22"/>
              </w:rPr>
            </w:pPr>
            <w:r>
              <w:rPr>
                <w:rFonts w:ascii="Calibri" w:hAnsi="Calibri" w:cs="Calibri"/>
                <w:color w:val="000000"/>
                <w:sz w:val="22"/>
                <w:szCs w:val="22"/>
              </w:rPr>
              <w:t>Melbourne (Bundoora)</w:t>
            </w:r>
          </w:p>
        </w:tc>
        <w:tc>
          <w:tcPr>
            <w:tcW w:w="1027" w:type="pct"/>
            <w:tcBorders>
              <w:top w:val="nil"/>
              <w:left w:val="nil"/>
              <w:bottom w:val="single" w:sz="4" w:space="0" w:color="auto"/>
              <w:right w:val="single" w:sz="4" w:space="0" w:color="auto"/>
            </w:tcBorders>
            <w:noWrap/>
            <w:vAlign w:val="center"/>
            <w:hideMark/>
          </w:tcPr>
          <w:p w14:paraId="28A6EC2B"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699C0F48"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09770C94" w14:textId="77777777" w:rsidR="00BA5798" w:rsidRDefault="00BA5798">
            <w:pPr>
              <w:rPr>
                <w:rFonts w:ascii="Calibri" w:hAnsi="Calibri" w:cs="Calibri"/>
                <w:color w:val="000000"/>
                <w:sz w:val="22"/>
                <w:szCs w:val="22"/>
              </w:rPr>
            </w:pPr>
            <w:r>
              <w:rPr>
                <w:rFonts w:ascii="Calibri" w:hAnsi="Calibri" w:cs="Calibri"/>
                <w:color w:val="000000"/>
                <w:sz w:val="22"/>
                <w:szCs w:val="22"/>
              </w:rPr>
              <w:t>Melbourne (CBD)</w:t>
            </w:r>
          </w:p>
        </w:tc>
        <w:tc>
          <w:tcPr>
            <w:tcW w:w="1027" w:type="pct"/>
            <w:tcBorders>
              <w:top w:val="nil"/>
              <w:left w:val="nil"/>
              <w:bottom w:val="single" w:sz="4" w:space="0" w:color="auto"/>
              <w:right w:val="single" w:sz="4" w:space="0" w:color="auto"/>
            </w:tcBorders>
            <w:noWrap/>
            <w:vAlign w:val="center"/>
            <w:hideMark/>
          </w:tcPr>
          <w:p w14:paraId="372A3766"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3A32A18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3032515" w14:textId="77777777" w:rsidR="00BA5798" w:rsidRDefault="00BA5798">
            <w:pPr>
              <w:rPr>
                <w:rFonts w:ascii="Calibri" w:hAnsi="Calibri" w:cs="Calibri"/>
                <w:color w:val="000000"/>
                <w:sz w:val="22"/>
                <w:szCs w:val="22"/>
              </w:rPr>
            </w:pPr>
            <w:r>
              <w:rPr>
                <w:rFonts w:ascii="Calibri" w:hAnsi="Calibri" w:cs="Calibri"/>
                <w:color w:val="000000"/>
                <w:sz w:val="22"/>
                <w:szCs w:val="22"/>
              </w:rPr>
              <w:t>Mildura</w:t>
            </w:r>
          </w:p>
        </w:tc>
        <w:tc>
          <w:tcPr>
            <w:tcW w:w="1027" w:type="pct"/>
            <w:tcBorders>
              <w:top w:val="nil"/>
              <w:left w:val="nil"/>
              <w:bottom w:val="single" w:sz="4" w:space="0" w:color="auto"/>
              <w:right w:val="single" w:sz="4" w:space="0" w:color="auto"/>
            </w:tcBorders>
            <w:noWrap/>
            <w:vAlign w:val="center"/>
            <w:hideMark/>
          </w:tcPr>
          <w:p w14:paraId="4AB26DF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1786A57E"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436BCCB3" w14:textId="77777777" w:rsidR="00BA5798" w:rsidRDefault="00BA5798">
            <w:pPr>
              <w:rPr>
                <w:rFonts w:ascii="Calibri" w:hAnsi="Calibri" w:cs="Calibri"/>
                <w:color w:val="000000"/>
                <w:sz w:val="22"/>
                <w:szCs w:val="22"/>
              </w:rPr>
            </w:pPr>
            <w:r>
              <w:rPr>
                <w:rFonts w:ascii="Calibri" w:hAnsi="Calibri" w:cs="Calibri"/>
                <w:color w:val="000000"/>
                <w:sz w:val="22"/>
                <w:szCs w:val="22"/>
              </w:rPr>
              <w:t>Shepparton</w:t>
            </w:r>
          </w:p>
        </w:tc>
        <w:tc>
          <w:tcPr>
            <w:tcW w:w="1027" w:type="pct"/>
            <w:tcBorders>
              <w:top w:val="nil"/>
              <w:left w:val="nil"/>
              <w:bottom w:val="single" w:sz="4" w:space="0" w:color="auto"/>
              <w:right w:val="single" w:sz="4" w:space="0" w:color="auto"/>
            </w:tcBorders>
            <w:noWrap/>
            <w:vAlign w:val="center"/>
            <w:hideMark/>
          </w:tcPr>
          <w:p w14:paraId="1998D741"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Campus</w:t>
            </w:r>
          </w:p>
        </w:tc>
      </w:tr>
      <w:tr w:rsidR="00BA5798" w14:paraId="524324C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3879430" w14:textId="77777777" w:rsidR="00BA5798" w:rsidRDefault="00BA5798">
            <w:pPr>
              <w:rPr>
                <w:rFonts w:ascii="Calibri" w:hAnsi="Calibri" w:cs="Calibri"/>
                <w:color w:val="000000"/>
                <w:sz w:val="22"/>
                <w:szCs w:val="22"/>
              </w:rPr>
            </w:pPr>
            <w:r>
              <w:rPr>
                <w:rFonts w:ascii="Calibri" w:hAnsi="Calibri" w:cs="Calibri"/>
                <w:color w:val="000000"/>
                <w:sz w:val="22"/>
                <w:szCs w:val="22"/>
              </w:rPr>
              <w:t>Bendigo Kangan Institute, Bendigo VIC</w:t>
            </w:r>
          </w:p>
        </w:tc>
        <w:tc>
          <w:tcPr>
            <w:tcW w:w="1027" w:type="pct"/>
            <w:tcBorders>
              <w:top w:val="nil"/>
              <w:left w:val="nil"/>
              <w:bottom w:val="single" w:sz="4" w:space="0" w:color="auto"/>
              <w:right w:val="single" w:sz="4" w:space="0" w:color="auto"/>
            </w:tcBorders>
            <w:noWrap/>
            <w:vAlign w:val="center"/>
            <w:hideMark/>
          </w:tcPr>
          <w:p w14:paraId="234CBED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6236DAED"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74E72090" w14:textId="77777777" w:rsidR="00BA5798" w:rsidRDefault="00BA5798">
            <w:pPr>
              <w:rPr>
                <w:rFonts w:ascii="Calibri" w:hAnsi="Calibri" w:cs="Calibri"/>
                <w:color w:val="000000"/>
                <w:sz w:val="22"/>
                <w:szCs w:val="22"/>
              </w:rPr>
            </w:pPr>
            <w:r>
              <w:rPr>
                <w:rFonts w:ascii="Calibri" w:hAnsi="Calibri" w:cs="Calibri"/>
                <w:color w:val="000000"/>
                <w:sz w:val="22"/>
                <w:szCs w:val="22"/>
              </w:rPr>
              <w:t>Bendigo Kangan Institute, Moonee Ponds VIC</w:t>
            </w:r>
          </w:p>
        </w:tc>
        <w:tc>
          <w:tcPr>
            <w:tcW w:w="1027" w:type="pct"/>
            <w:tcBorders>
              <w:top w:val="nil"/>
              <w:left w:val="nil"/>
              <w:bottom w:val="single" w:sz="4" w:space="0" w:color="auto"/>
              <w:right w:val="single" w:sz="4" w:space="0" w:color="auto"/>
            </w:tcBorders>
            <w:noWrap/>
            <w:vAlign w:val="center"/>
            <w:hideMark/>
          </w:tcPr>
          <w:p w14:paraId="61D92394"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297795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6D79A118"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Berwick VIC</w:t>
            </w:r>
          </w:p>
        </w:tc>
        <w:tc>
          <w:tcPr>
            <w:tcW w:w="1027" w:type="pct"/>
            <w:tcBorders>
              <w:top w:val="nil"/>
              <w:left w:val="nil"/>
              <w:bottom w:val="single" w:sz="4" w:space="0" w:color="auto"/>
              <w:right w:val="single" w:sz="4" w:space="0" w:color="auto"/>
            </w:tcBorders>
            <w:noWrap/>
            <w:vAlign w:val="center"/>
            <w:hideMark/>
          </w:tcPr>
          <w:p w14:paraId="6E25FE3E"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76C709DC"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481729AB"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Cranbourne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3BA652E6"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01F55D21"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4CD221A0"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Dandenong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3460D5C3"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20837F8"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3D0272CF"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Frankston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21FB5568"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94CF3FF"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5057FFFB"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Rosebud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5B0426A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491424F5"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2839511C" w14:textId="77777777" w:rsidR="00BA5798" w:rsidRDefault="00BA5798">
            <w:pPr>
              <w:rPr>
                <w:rFonts w:ascii="Calibri" w:hAnsi="Calibri" w:cs="Calibri"/>
                <w:color w:val="000000"/>
                <w:sz w:val="22"/>
                <w:szCs w:val="22"/>
              </w:rPr>
            </w:pPr>
            <w:r>
              <w:rPr>
                <w:rFonts w:ascii="Calibri" w:hAnsi="Calibri" w:cs="Calibri"/>
                <w:color w:val="000000"/>
                <w:sz w:val="22"/>
                <w:szCs w:val="22"/>
              </w:rPr>
              <w:t>Chisholm Institute, Wonthaggi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39E95FFC"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1BA751E8"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24DA9FC0" w14:textId="77777777" w:rsidR="00BA5798" w:rsidRDefault="00BA5798">
            <w:pPr>
              <w:rPr>
                <w:rFonts w:ascii="Calibri" w:hAnsi="Calibri" w:cs="Calibri"/>
                <w:color w:val="000000"/>
                <w:sz w:val="22"/>
                <w:szCs w:val="22"/>
              </w:rPr>
            </w:pPr>
            <w:r>
              <w:rPr>
                <w:rFonts w:ascii="Calibri" w:hAnsi="Calibri" w:cs="Calibri"/>
                <w:color w:val="000000"/>
                <w:sz w:val="22"/>
                <w:szCs w:val="22"/>
              </w:rPr>
              <w:t>GOTAFE, Benalla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722F4CEF"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2C1D53A"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7CFDE61A" w14:textId="77777777" w:rsidR="00BA5798" w:rsidRDefault="00BA5798">
            <w:pPr>
              <w:rPr>
                <w:rFonts w:ascii="Calibri" w:hAnsi="Calibri" w:cs="Calibri"/>
                <w:color w:val="000000"/>
                <w:sz w:val="22"/>
                <w:szCs w:val="22"/>
              </w:rPr>
            </w:pPr>
            <w:r>
              <w:rPr>
                <w:rFonts w:ascii="Calibri" w:hAnsi="Calibri" w:cs="Calibri"/>
                <w:color w:val="000000"/>
                <w:sz w:val="22"/>
                <w:szCs w:val="22"/>
              </w:rPr>
              <w:t>GOTAFE, Cobram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337175D2"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D73E8EC"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011DE70B" w14:textId="77777777" w:rsidR="00BA5798" w:rsidRDefault="00BA5798">
            <w:pPr>
              <w:rPr>
                <w:rFonts w:ascii="Calibri" w:hAnsi="Calibri" w:cs="Calibri"/>
                <w:color w:val="000000"/>
                <w:sz w:val="22"/>
                <w:szCs w:val="22"/>
              </w:rPr>
            </w:pPr>
            <w:r>
              <w:rPr>
                <w:rFonts w:ascii="Calibri" w:hAnsi="Calibri" w:cs="Calibri"/>
                <w:color w:val="000000"/>
                <w:sz w:val="22"/>
                <w:szCs w:val="22"/>
              </w:rPr>
              <w:t>GOTAFE, Echuca VIC</w:t>
            </w:r>
          </w:p>
        </w:tc>
        <w:tc>
          <w:tcPr>
            <w:tcW w:w="1027" w:type="pct"/>
            <w:tcBorders>
              <w:top w:val="single" w:sz="4" w:space="0" w:color="auto"/>
              <w:left w:val="single" w:sz="4" w:space="0" w:color="auto"/>
              <w:bottom w:val="single" w:sz="4" w:space="0" w:color="auto"/>
              <w:right w:val="single" w:sz="4" w:space="0" w:color="auto"/>
            </w:tcBorders>
            <w:noWrap/>
            <w:vAlign w:val="center"/>
            <w:hideMark/>
          </w:tcPr>
          <w:p w14:paraId="733543B8"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5112DF4" w14:textId="77777777" w:rsidTr="00571E16">
        <w:trPr>
          <w:trHeight w:val="300"/>
        </w:trPr>
        <w:tc>
          <w:tcPr>
            <w:tcW w:w="3973" w:type="pct"/>
            <w:tcBorders>
              <w:top w:val="single" w:sz="4" w:space="0" w:color="auto"/>
              <w:left w:val="single" w:sz="4" w:space="0" w:color="auto"/>
              <w:bottom w:val="single" w:sz="4" w:space="0" w:color="auto"/>
              <w:right w:val="single" w:sz="4" w:space="0" w:color="auto"/>
            </w:tcBorders>
            <w:noWrap/>
            <w:vAlign w:val="center"/>
            <w:hideMark/>
          </w:tcPr>
          <w:p w14:paraId="42BB8D83" w14:textId="77777777" w:rsidR="00BA5798" w:rsidRDefault="00BA5798">
            <w:pPr>
              <w:rPr>
                <w:rFonts w:ascii="Calibri" w:hAnsi="Calibri" w:cs="Calibri"/>
                <w:color w:val="000000"/>
                <w:sz w:val="22"/>
                <w:szCs w:val="22"/>
              </w:rPr>
            </w:pPr>
            <w:r>
              <w:rPr>
                <w:rFonts w:ascii="Calibri" w:hAnsi="Calibri" w:cs="Calibri"/>
                <w:color w:val="000000"/>
                <w:sz w:val="22"/>
                <w:szCs w:val="22"/>
              </w:rPr>
              <w:t>GOTAFE, Seymour VIC</w:t>
            </w:r>
          </w:p>
        </w:tc>
        <w:tc>
          <w:tcPr>
            <w:tcW w:w="1027" w:type="pct"/>
            <w:tcBorders>
              <w:top w:val="single" w:sz="4" w:space="0" w:color="auto"/>
              <w:left w:val="nil"/>
              <w:bottom w:val="single" w:sz="4" w:space="0" w:color="auto"/>
              <w:right w:val="single" w:sz="4" w:space="0" w:color="auto"/>
            </w:tcBorders>
            <w:noWrap/>
            <w:vAlign w:val="center"/>
            <w:hideMark/>
          </w:tcPr>
          <w:p w14:paraId="3030A405"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79D7A0B0"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0F1CD730" w14:textId="77777777" w:rsidR="00BA5798" w:rsidRDefault="00BA5798">
            <w:pPr>
              <w:rPr>
                <w:rFonts w:ascii="Calibri" w:hAnsi="Calibri" w:cs="Calibri"/>
                <w:color w:val="000000"/>
                <w:sz w:val="22"/>
                <w:szCs w:val="22"/>
              </w:rPr>
            </w:pPr>
            <w:r>
              <w:rPr>
                <w:rFonts w:ascii="Calibri" w:hAnsi="Calibri" w:cs="Calibri"/>
                <w:color w:val="000000"/>
                <w:sz w:val="22"/>
                <w:szCs w:val="22"/>
              </w:rPr>
              <w:t>GOTAFE, Shepparton VIC</w:t>
            </w:r>
          </w:p>
        </w:tc>
        <w:tc>
          <w:tcPr>
            <w:tcW w:w="1027" w:type="pct"/>
            <w:tcBorders>
              <w:top w:val="nil"/>
              <w:left w:val="nil"/>
              <w:bottom w:val="single" w:sz="4" w:space="0" w:color="auto"/>
              <w:right w:val="single" w:sz="4" w:space="0" w:color="auto"/>
            </w:tcBorders>
            <w:noWrap/>
            <w:vAlign w:val="center"/>
            <w:hideMark/>
          </w:tcPr>
          <w:p w14:paraId="60781557"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7436DE23"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603C8A54" w14:textId="77777777" w:rsidR="00BA5798" w:rsidRDefault="00BA5798">
            <w:pPr>
              <w:rPr>
                <w:rFonts w:ascii="Calibri" w:hAnsi="Calibri" w:cs="Calibri"/>
                <w:color w:val="000000"/>
                <w:sz w:val="22"/>
                <w:szCs w:val="22"/>
              </w:rPr>
            </w:pPr>
            <w:r>
              <w:rPr>
                <w:rFonts w:ascii="Calibri" w:hAnsi="Calibri" w:cs="Calibri"/>
                <w:color w:val="000000"/>
                <w:sz w:val="22"/>
                <w:szCs w:val="22"/>
              </w:rPr>
              <w:t>GOTAFE, Wangaratta VIC</w:t>
            </w:r>
          </w:p>
        </w:tc>
        <w:tc>
          <w:tcPr>
            <w:tcW w:w="1027" w:type="pct"/>
            <w:tcBorders>
              <w:top w:val="nil"/>
              <w:left w:val="nil"/>
              <w:bottom w:val="single" w:sz="4" w:space="0" w:color="auto"/>
              <w:right w:val="single" w:sz="4" w:space="0" w:color="auto"/>
            </w:tcBorders>
            <w:noWrap/>
            <w:vAlign w:val="center"/>
            <w:hideMark/>
          </w:tcPr>
          <w:p w14:paraId="0D93A53D"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1CE848ED"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77F4E1C4" w14:textId="77777777" w:rsidR="00BA5798" w:rsidRDefault="00BA5798">
            <w:pPr>
              <w:rPr>
                <w:rFonts w:ascii="Calibri" w:hAnsi="Calibri" w:cs="Calibri"/>
                <w:color w:val="000000"/>
                <w:sz w:val="22"/>
                <w:szCs w:val="22"/>
              </w:rPr>
            </w:pPr>
            <w:r>
              <w:rPr>
                <w:rFonts w:ascii="Calibri" w:hAnsi="Calibri" w:cs="Calibri"/>
                <w:color w:val="000000"/>
                <w:sz w:val="22"/>
                <w:szCs w:val="22"/>
              </w:rPr>
              <w:t>Hume Global Learning Centre, Broadmeadows VIC</w:t>
            </w:r>
          </w:p>
        </w:tc>
        <w:tc>
          <w:tcPr>
            <w:tcW w:w="1027" w:type="pct"/>
            <w:tcBorders>
              <w:top w:val="nil"/>
              <w:left w:val="nil"/>
              <w:bottom w:val="single" w:sz="4" w:space="0" w:color="auto"/>
              <w:right w:val="single" w:sz="4" w:space="0" w:color="auto"/>
            </w:tcBorders>
            <w:noWrap/>
            <w:vAlign w:val="center"/>
            <w:hideMark/>
          </w:tcPr>
          <w:p w14:paraId="0886228E"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F10A411"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16426D70" w14:textId="77777777" w:rsidR="00BA5798" w:rsidRDefault="00BA5798">
            <w:pPr>
              <w:rPr>
                <w:rFonts w:ascii="Calibri" w:hAnsi="Calibri" w:cs="Calibri"/>
                <w:color w:val="000000"/>
                <w:sz w:val="22"/>
                <w:szCs w:val="22"/>
              </w:rPr>
            </w:pPr>
            <w:r>
              <w:rPr>
                <w:rFonts w:ascii="Calibri" w:hAnsi="Calibri" w:cs="Calibri"/>
                <w:color w:val="000000"/>
                <w:sz w:val="22"/>
                <w:szCs w:val="22"/>
              </w:rPr>
              <w:t>La Trobe Sydney (Navitas), Sydney NSW</w:t>
            </w:r>
          </w:p>
        </w:tc>
        <w:tc>
          <w:tcPr>
            <w:tcW w:w="1027" w:type="pct"/>
            <w:tcBorders>
              <w:top w:val="nil"/>
              <w:left w:val="nil"/>
              <w:bottom w:val="single" w:sz="4" w:space="0" w:color="auto"/>
              <w:right w:val="single" w:sz="4" w:space="0" w:color="auto"/>
            </w:tcBorders>
            <w:noWrap/>
            <w:vAlign w:val="center"/>
            <w:hideMark/>
          </w:tcPr>
          <w:p w14:paraId="0D6D2427"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1CEBDC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C72E6FC"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Epping VIC</w:t>
            </w:r>
          </w:p>
        </w:tc>
        <w:tc>
          <w:tcPr>
            <w:tcW w:w="1027" w:type="pct"/>
            <w:tcBorders>
              <w:top w:val="nil"/>
              <w:left w:val="nil"/>
              <w:bottom w:val="single" w:sz="4" w:space="0" w:color="auto"/>
              <w:right w:val="single" w:sz="4" w:space="0" w:color="auto"/>
            </w:tcBorders>
            <w:noWrap/>
            <w:vAlign w:val="center"/>
            <w:hideMark/>
          </w:tcPr>
          <w:p w14:paraId="4F141DF9"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10A9F87A"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0353AA2E"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Fairfield VIC</w:t>
            </w:r>
          </w:p>
        </w:tc>
        <w:tc>
          <w:tcPr>
            <w:tcW w:w="1027" w:type="pct"/>
            <w:tcBorders>
              <w:top w:val="nil"/>
              <w:left w:val="nil"/>
              <w:bottom w:val="single" w:sz="4" w:space="0" w:color="auto"/>
              <w:right w:val="single" w:sz="4" w:space="0" w:color="auto"/>
            </w:tcBorders>
            <w:noWrap/>
            <w:vAlign w:val="center"/>
            <w:hideMark/>
          </w:tcPr>
          <w:p w14:paraId="3BB4583D"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5EF65CB9"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63AE2268"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Heidelberg VIC</w:t>
            </w:r>
          </w:p>
        </w:tc>
        <w:tc>
          <w:tcPr>
            <w:tcW w:w="1027" w:type="pct"/>
            <w:tcBorders>
              <w:top w:val="nil"/>
              <w:left w:val="nil"/>
              <w:bottom w:val="single" w:sz="4" w:space="0" w:color="auto"/>
              <w:right w:val="single" w:sz="4" w:space="0" w:color="auto"/>
            </w:tcBorders>
            <w:noWrap/>
            <w:vAlign w:val="center"/>
            <w:hideMark/>
          </w:tcPr>
          <w:p w14:paraId="2A6AD190"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629B0F9E"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C501620" w14:textId="77777777" w:rsidR="00BA5798" w:rsidRDefault="00BA5798">
            <w:pPr>
              <w:rPr>
                <w:rFonts w:ascii="Calibri" w:hAnsi="Calibri" w:cs="Calibri"/>
                <w:color w:val="000000"/>
                <w:sz w:val="22"/>
                <w:szCs w:val="22"/>
              </w:rPr>
            </w:pPr>
            <w:r>
              <w:rPr>
                <w:rFonts w:ascii="Calibri" w:hAnsi="Calibri" w:cs="Calibri"/>
                <w:color w:val="000000"/>
                <w:sz w:val="22"/>
                <w:szCs w:val="22"/>
              </w:rPr>
              <w:t>Melbourne Polytechnic, Preston VIC</w:t>
            </w:r>
          </w:p>
        </w:tc>
        <w:tc>
          <w:tcPr>
            <w:tcW w:w="1027" w:type="pct"/>
            <w:tcBorders>
              <w:top w:val="nil"/>
              <w:left w:val="nil"/>
              <w:bottom w:val="single" w:sz="4" w:space="0" w:color="auto"/>
              <w:right w:val="single" w:sz="4" w:space="0" w:color="auto"/>
            </w:tcBorders>
            <w:noWrap/>
            <w:vAlign w:val="center"/>
            <w:hideMark/>
          </w:tcPr>
          <w:p w14:paraId="176D9934"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3E86260"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71B31549" w14:textId="77777777" w:rsidR="00BA5798" w:rsidRDefault="00BA5798">
            <w:pPr>
              <w:rPr>
                <w:rFonts w:ascii="Calibri" w:hAnsi="Calibri" w:cs="Calibri"/>
                <w:color w:val="000000"/>
                <w:sz w:val="22"/>
                <w:szCs w:val="22"/>
              </w:rPr>
            </w:pPr>
            <w:r>
              <w:rPr>
                <w:rFonts w:ascii="Calibri" w:hAnsi="Calibri" w:cs="Calibri"/>
                <w:color w:val="000000"/>
                <w:sz w:val="22"/>
                <w:szCs w:val="22"/>
              </w:rPr>
              <w:t>SUNITAFE, Swan Hill VIC</w:t>
            </w:r>
          </w:p>
        </w:tc>
        <w:tc>
          <w:tcPr>
            <w:tcW w:w="1027" w:type="pct"/>
            <w:tcBorders>
              <w:top w:val="nil"/>
              <w:left w:val="nil"/>
              <w:bottom w:val="single" w:sz="4" w:space="0" w:color="auto"/>
              <w:right w:val="single" w:sz="4" w:space="0" w:color="auto"/>
            </w:tcBorders>
            <w:noWrap/>
            <w:vAlign w:val="center"/>
            <w:hideMark/>
          </w:tcPr>
          <w:p w14:paraId="7E447924"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r w:rsidR="00BA5798" w14:paraId="2C0F7ECC" w14:textId="77777777" w:rsidTr="00571E16">
        <w:trPr>
          <w:trHeight w:val="300"/>
        </w:trPr>
        <w:tc>
          <w:tcPr>
            <w:tcW w:w="3973" w:type="pct"/>
            <w:tcBorders>
              <w:top w:val="nil"/>
              <w:left w:val="single" w:sz="4" w:space="0" w:color="auto"/>
              <w:bottom w:val="single" w:sz="4" w:space="0" w:color="auto"/>
              <w:right w:val="single" w:sz="4" w:space="0" w:color="auto"/>
            </w:tcBorders>
            <w:noWrap/>
            <w:vAlign w:val="center"/>
            <w:hideMark/>
          </w:tcPr>
          <w:p w14:paraId="2512BFF0" w14:textId="77777777" w:rsidR="00BA5798" w:rsidRDefault="00BA5798">
            <w:pPr>
              <w:rPr>
                <w:rFonts w:ascii="Calibri" w:hAnsi="Calibri" w:cs="Calibri"/>
                <w:color w:val="000000"/>
                <w:sz w:val="22"/>
                <w:szCs w:val="22"/>
              </w:rPr>
            </w:pPr>
            <w:r>
              <w:rPr>
                <w:rFonts w:ascii="Calibri" w:hAnsi="Calibri" w:cs="Calibri"/>
                <w:color w:val="000000"/>
                <w:sz w:val="22"/>
                <w:szCs w:val="22"/>
              </w:rPr>
              <w:t>William Blue College of Hospitality Management, North Sydney NSW</w:t>
            </w:r>
          </w:p>
        </w:tc>
        <w:tc>
          <w:tcPr>
            <w:tcW w:w="1027" w:type="pct"/>
            <w:tcBorders>
              <w:top w:val="nil"/>
              <w:left w:val="nil"/>
              <w:bottom w:val="single" w:sz="4" w:space="0" w:color="auto"/>
              <w:right w:val="single" w:sz="4" w:space="0" w:color="auto"/>
            </w:tcBorders>
            <w:noWrap/>
            <w:vAlign w:val="center"/>
            <w:hideMark/>
          </w:tcPr>
          <w:p w14:paraId="5B5A2377" w14:textId="77777777" w:rsidR="00BA5798" w:rsidRDefault="00BA5798">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175071FB" w14:textId="40C492B2" w:rsidR="00985689" w:rsidRDefault="00985689"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571E16">
        <w:rPr>
          <w:rFonts w:ascii="Calibri" w:hAnsi="Calibri" w:cs="Arial"/>
          <w:bCs/>
          <w:sz w:val="22"/>
          <w:szCs w:val="22"/>
        </w:rPr>
        <w:t>c</w:t>
      </w:r>
      <w:r>
        <w:rPr>
          <w:rFonts w:ascii="Calibri" w:hAnsi="Calibri" w:cs="Arial"/>
          <w:bCs/>
          <w:sz w:val="22"/>
          <w:szCs w:val="22"/>
        </w:rPr>
        <w:t>lause 33</w:t>
      </w:r>
      <w:r w:rsidR="008E1A67">
        <w:rPr>
          <w:rFonts w:ascii="Calibri" w:hAnsi="Calibri" w:cs="Arial"/>
          <w:bCs/>
          <w:sz w:val="22"/>
          <w:szCs w:val="22"/>
        </w:rPr>
        <w:t>.</w:t>
      </w:r>
    </w:p>
    <w:p w14:paraId="60866879" w14:textId="4CC0B0EE"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6F67E5D7" w14:textId="77777777" w:rsidR="00C411CA" w:rsidRPr="00C411CA" w:rsidRDefault="00C411CA" w:rsidP="00C411CA">
      <w:pPr>
        <w:widowControl w:val="0"/>
        <w:tabs>
          <w:tab w:val="left" w:pos="567"/>
          <w:tab w:val="left" w:pos="8222"/>
        </w:tabs>
        <w:spacing w:before="120" w:after="120"/>
        <w:ind w:left="397"/>
        <w:rPr>
          <w:rFonts w:ascii="Calibri" w:hAnsi="Calibri" w:cs="Arial"/>
          <w:bCs/>
          <w:sz w:val="22"/>
          <w:szCs w:val="22"/>
        </w:rPr>
      </w:pPr>
    </w:p>
    <w:p w14:paraId="3900E771" w14:textId="77777777" w:rsidR="00C411CA" w:rsidRPr="00C411CA" w:rsidRDefault="00C411CA" w:rsidP="00C411CA">
      <w:pPr>
        <w:widowControl w:val="0"/>
        <w:tabs>
          <w:tab w:val="left" w:pos="567"/>
          <w:tab w:val="left" w:pos="8222"/>
        </w:tabs>
        <w:spacing w:before="120" w:after="120"/>
        <w:ind w:left="397"/>
        <w:rPr>
          <w:rFonts w:ascii="Calibri" w:hAnsi="Calibri" w:cs="Arial"/>
          <w:bCs/>
          <w:sz w:val="22"/>
          <w:szCs w:val="22"/>
        </w:rPr>
      </w:pPr>
    </w:p>
    <w:p w14:paraId="213A4685" w14:textId="7FE96CD3"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bookmarkEnd w:id="10"/>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2149305A"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C411CA">
        <w:rPr>
          <w:rFonts w:ascii="Calibri" w:hAnsi="Calibri" w:cs="Arial"/>
          <w:sz w:val="22"/>
          <w:szCs w:val="22"/>
        </w:rPr>
        <w:t>2</w:t>
      </w:r>
      <w:r w:rsidR="00571E16">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3C6F752" w14:textId="77777777" w:rsidR="00B96616" w:rsidRDefault="00B96616">
      <w:pPr>
        <w:rPr>
          <w:rFonts w:ascii="Calibri" w:hAnsi="Calibri" w:cs="Arial"/>
          <w:i/>
          <w:sz w:val="22"/>
          <w:szCs w:val="22"/>
        </w:rPr>
      </w:pPr>
      <w:r>
        <w:rPr>
          <w:rFonts w:ascii="Calibri" w:hAnsi="Calibri" w:cs="Arial"/>
          <w:i/>
          <w:sz w:val="22"/>
          <w:szCs w:val="22"/>
        </w:rPr>
        <w:br w:type="page"/>
      </w:r>
    </w:p>
    <w:p w14:paraId="20BB128A" w14:textId="26D0CFF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682A3632" w:rsidR="00845BE4" w:rsidRPr="00C411CA" w:rsidRDefault="00492134" w:rsidP="00845BE4">
      <w:pPr>
        <w:pStyle w:val="sub-paraxChar"/>
        <w:numPr>
          <w:ilvl w:val="0"/>
          <w:numId w:val="0"/>
        </w:numPr>
        <w:ind w:left="1134"/>
        <w:rPr>
          <w:rFonts w:ascii="Calibri" w:hAnsi="Calibri" w:cs="Arial"/>
          <w:noProof/>
          <w:sz w:val="22"/>
          <w:szCs w:val="22"/>
        </w:rPr>
      </w:pPr>
      <w:r w:rsidRPr="00C411CA">
        <w:rPr>
          <w:rFonts w:ascii="Calibri" w:hAnsi="Calibri" w:cs="Arial"/>
          <w:noProof/>
          <w:sz w:val="22"/>
          <w:szCs w:val="22"/>
        </w:rPr>
        <w:t>Kingsbury Drive</w:t>
      </w:r>
      <w:r w:rsidR="00845BE4" w:rsidRPr="00C411CA">
        <w:rPr>
          <w:rFonts w:ascii="Calibri" w:hAnsi="Calibri" w:cs="Arial"/>
          <w:noProof/>
          <w:sz w:val="22"/>
          <w:szCs w:val="22"/>
        </w:rPr>
        <w:t xml:space="preserve"> </w:t>
      </w:r>
    </w:p>
    <w:p w14:paraId="4FCEA5FA" w14:textId="4C0C78F1" w:rsidR="00845BE4" w:rsidRPr="00C411CA" w:rsidRDefault="00492134" w:rsidP="00845BE4">
      <w:pPr>
        <w:pStyle w:val="sub-paraxChar"/>
        <w:numPr>
          <w:ilvl w:val="0"/>
          <w:numId w:val="0"/>
        </w:numPr>
        <w:ind w:left="1134"/>
        <w:rPr>
          <w:rFonts w:ascii="Calibri" w:hAnsi="Calibri" w:cs="Arial"/>
          <w:sz w:val="22"/>
          <w:szCs w:val="22"/>
        </w:rPr>
      </w:pPr>
      <w:r w:rsidRPr="00C411CA">
        <w:rPr>
          <w:rFonts w:ascii="Calibri" w:hAnsi="Calibri" w:cs="Arial"/>
          <w:sz w:val="22"/>
          <w:szCs w:val="22"/>
        </w:rPr>
        <w:t>BUNDOORA VIC 3068</w:t>
      </w:r>
    </w:p>
    <w:p w14:paraId="73AEA943" w14:textId="224B00F0"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411CA">
        <w:rPr>
          <w:rFonts w:ascii="Calibri" w:hAnsi="Calibri" w:cs="Arial"/>
          <w:sz w:val="22"/>
          <w:szCs w:val="22"/>
        </w:rPr>
        <w:t xml:space="preserve">A notice given under clause </w:t>
      </w:r>
      <w:r w:rsidR="00492134" w:rsidRPr="00C411CA">
        <w:rPr>
          <w:rFonts w:ascii="Calibri" w:hAnsi="Calibri" w:cs="Arial"/>
          <w:bCs/>
          <w:sz w:val="22"/>
          <w:szCs w:val="22"/>
        </w:rPr>
        <w:t>3</w:t>
      </w:r>
      <w:r w:rsidR="002D2F8D">
        <w:rPr>
          <w:rFonts w:ascii="Calibri" w:hAnsi="Calibri" w:cs="Arial"/>
          <w:bCs/>
          <w:sz w:val="22"/>
          <w:szCs w:val="22"/>
        </w:rPr>
        <w:t>1</w:t>
      </w:r>
      <w:r w:rsidRPr="00C411CA">
        <w:rPr>
          <w:rFonts w:ascii="Calibri" w:hAnsi="Calibri" w:cs="Arial"/>
          <w:sz w:val="22"/>
          <w:szCs w:val="22"/>
        </w:rPr>
        <w:t xml:space="preserve"> is</w:t>
      </w:r>
      <w:r w:rsidRPr="5FFDBAB4">
        <w:rPr>
          <w:rFonts w:ascii="Calibri" w:hAnsi="Calibri" w:cs="Arial"/>
          <w:sz w:val="22"/>
          <w:szCs w:val="22"/>
        </w:rPr>
        <w:t xml:space="preserve">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38C78BF"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w:t>
      </w:r>
      <w:r w:rsidR="00C411CA">
        <w:rPr>
          <w:rFonts w:ascii="Calibri" w:hAnsi="Calibri" w:cs="Arial"/>
          <w:bCs/>
          <w:sz w:val="22"/>
          <w:szCs w:val="22"/>
        </w:rPr>
        <w:t>-</w:t>
      </w:r>
      <w:r w:rsidRPr="003337FC">
        <w:rPr>
          <w:rFonts w:ascii="Calibri" w:hAnsi="Calibri" w:cs="Arial"/>
          <w:bCs/>
          <w:sz w:val="22"/>
          <w:szCs w:val="22"/>
        </w:rPr>
        <w:t>paid post, 6 business days after the date of posting; or</w:t>
      </w:r>
    </w:p>
    <w:p w14:paraId="4215C6B2" w14:textId="195A54A9"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w:t>
      </w:r>
      <w:r w:rsidR="00C411CA">
        <w:rPr>
          <w:rFonts w:ascii="Calibri" w:hAnsi="Calibri" w:cs="Arial"/>
          <w:bCs/>
          <w:sz w:val="22"/>
          <w:szCs w:val="22"/>
        </w:rPr>
        <w:t>E</w:t>
      </w:r>
      <w:r w:rsidRPr="003337FC">
        <w:rPr>
          <w:rFonts w:ascii="Calibri" w:hAnsi="Calibri" w:cs="Arial"/>
          <w:bCs/>
          <w:sz w:val="22"/>
          <w:szCs w:val="22"/>
        </w:rPr>
        <w:t xml:space="preserv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396EA266"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1"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1"/>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2"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2"/>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473B89A0"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w:t>
      </w:r>
      <w:r w:rsidR="00C411CA">
        <w:rPr>
          <w:rFonts w:ascii="Calibri" w:hAnsi="Calibri" w:cs="Arial"/>
          <w:bCs/>
          <w:sz w:val="22"/>
          <w:szCs w:val="22"/>
        </w:rPr>
        <w:t>s</w:t>
      </w:r>
      <w:r w:rsidRPr="003337FC">
        <w:rPr>
          <w:rFonts w:ascii="Calibri" w:hAnsi="Calibri" w:cs="Arial"/>
          <w:bCs/>
          <w:sz w:val="22"/>
          <w:szCs w:val="22"/>
        </w:rPr>
        <w:t xml:space="preserve">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7D30F72B" w14:textId="77777777" w:rsidR="0092111A" w:rsidRDefault="0092111A" w:rsidP="00C411CA">
      <w:pPr>
        <w:spacing w:after="120"/>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729A405" w:rsidR="00C16EAC" w:rsidRPr="007C3AED" w:rsidRDefault="00956602">
            <w:pPr>
              <w:rPr>
                <w:rFonts w:ascii="Calibri" w:hAnsi="Calibri" w:cs="Arial"/>
                <w:sz w:val="22"/>
                <w:szCs w:val="22"/>
              </w:rPr>
            </w:pPr>
            <w:r>
              <w:rPr>
                <w:rFonts w:ascii="Calibri" w:hAnsi="Calibri" w:cs="Arial"/>
                <w:sz w:val="22"/>
                <w:szCs w:val="22"/>
              </w:rPr>
              <w:t>Danielle Donegan</w:t>
            </w:r>
            <w:r w:rsidR="00F2521B">
              <w:rPr>
                <w:rFonts w:ascii="Calibri" w:hAnsi="Calibri" w:cs="Arial"/>
                <w:sz w:val="22"/>
                <w:szCs w:val="22"/>
              </w:rPr>
              <w:t xml:space="preserve">       </w:t>
            </w:r>
            <w:r w:rsidR="00B300CD">
              <w:rPr>
                <w:rFonts w:ascii="Calibri" w:hAnsi="Calibri" w:cs="Arial"/>
                <w:sz w:val="22"/>
                <w:szCs w:val="22"/>
              </w:rPr>
              <w:t xml:space="preserve"> </w:t>
            </w:r>
          </w:p>
          <w:p w14:paraId="2B2C9884" w14:textId="77777777" w:rsidR="00C16EAC" w:rsidRPr="007C3AED" w:rsidRDefault="0095660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2E29F177" w14:textId="486D1D04" w:rsidR="00867798" w:rsidRPr="007C3AED" w:rsidRDefault="00956602">
            <w:pPr>
              <w:rPr>
                <w:rFonts w:ascii="Calibri" w:hAnsi="Calibri" w:cs="Arial"/>
              </w:rPr>
            </w:pPr>
            <w:r>
              <w:rPr>
                <w:rFonts w:ascii="Calibri" w:hAnsi="Calibri" w:cs="Arial"/>
              </w:rPr>
              <w:t>Clae Hyde-Tully</w:t>
            </w:r>
          </w:p>
          <w:p w14:paraId="40E004B4" w14:textId="77777777" w:rsidR="00867798" w:rsidRDefault="00956602">
            <w:pPr>
              <w:rPr>
                <w:rFonts w:ascii="Calibri" w:eastAsiaTheme="minorEastAsia" w:hAnsi="Calibri" w:cs="Arial"/>
                <w:lang w:eastAsia="en-US"/>
              </w:rPr>
            </w:pPr>
            <w:r>
              <w:rPr>
                <w:rFonts w:ascii="Calibri" w:eastAsiaTheme="minorEastAsia" w:hAnsi="Calibri" w:cs="Arial"/>
                <w:lang w:eastAsia="en-US"/>
              </w:rPr>
              <w:pict w14:anchorId="444BBB01">
                <v:rect id="_x0000_i1026" style="width:225.65pt;height:1pt" o:hrpct="500" o:hrstd="t" o:hrnoshade="t" o:hr="t" fillcolor="black [3213]" stroked="f"/>
              </w:pict>
            </w:r>
          </w:p>
          <w:p w14:paraId="045C80A0" w14:textId="1D00C05A" w:rsidR="00C16EAC" w:rsidRPr="007C3AED" w:rsidRDefault="00C16EAC">
            <w:pPr>
              <w:rPr>
                <w:rFonts w:ascii="Calibri" w:hAnsi="Calibri" w:cs="Arial"/>
                <w:sz w:val="22"/>
              </w:rPr>
            </w:pPr>
          </w:p>
        </w:tc>
      </w:tr>
      <w:tr w:rsidR="00C16EAC" w:rsidRPr="007C3AED" w14:paraId="30BEBCB3" w14:textId="77777777" w:rsidTr="7704FC00">
        <w:trPr>
          <w:trHeight w:val="1120"/>
        </w:trPr>
        <w:tc>
          <w:tcPr>
            <w:tcW w:w="4710" w:type="dxa"/>
          </w:tcPr>
          <w:p w14:paraId="2205AA72" w14:textId="777E693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7C3AED" w:rsidRDefault="00C16EAC">
            <w:pPr>
              <w:rPr>
                <w:rFonts w:ascii="Calibri" w:hAnsi="Calibri" w:cs="Arial"/>
                <w:sz w:val="22"/>
                <w:szCs w:val="22"/>
              </w:rPr>
            </w:pPr>
          </w:p>
          <w:p w14:paraId="2217A6BE" w14:textId="09E5E300" w:rsidR="0081394C" w:rsidRPr="00B300CD" w:rsidRDefault="00956602">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r w:rsidR="00B300CD" w:rsidRPr="00B300CD">
              <w:rPr>
                <w:rFonts w:ascii="Calibri" w:hAnsi="Calibri" w:cs="Calibri"/>
                <w:color w:val="242424"/>
                <w:sz w:val="21"/>
                <w:szCs w:val="21"/>
                <w:shd w:val="clear" w:color="auto" w:fill="FFFFFF"/>
              </w:rPr>
              <w:t xml:space="preserve">  </w:t>
            </w:r>
            <w:r w:rsidR="0077454A">
              <w:rPr>
                <w:rFonts w:ascii="Calibri" w:hAnsi="Calibri" w:cs="Calibri"/>
                <w:color w:val="242424"/>
                <w:sz w:val="21"/>
                <w:szCs w:val="21"/>
                <w:shd w:val="clear" w:color="auto" w:fill="FFFFFF"/>
              </w:rPr>
              <w:t xml:space="preserve">  </w:t>
            </w:r>
            <w:r w:rsidR="00B300CD" w:rsidRPr="00B300CD">
              <w:rPr>
                <w:rFonts w:ascii="Calibri" w:hAnsi="Calibri" w:cs="Calibri"/>
                <w:color w:val="242424"/>
                <w:sz w:val="21"/>
                <w:szCs w:val="21"/>
                <w:shd w:val="clear" w:color="auto" w:fill="FFFFFF"/>
              </w:rPr>
              <w:t xml:space="preserve">     </w:t>
            </w:r>
          </w:p>
          <w:p w14:paraId="599190C5" w14:textId="7A1566DA" w:rsidR="00C16EAC" w:rsidRPr="007C3AED" w:rsidRDefault="0095660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479882E8"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Pr="007C3AED" w:rsidRDefault="00C16EAC">
            <w:pPr>
              <w:rPr>
                <w:rFonts w:ascii="Calibri" w:hAnsi="Calibri" w:cs="Arial"/>
                <w:sz w:val="22"/>
                <w:szCs w:val="22"/>
              </w:rPr>
            </w:pPr>
          </w:p>
          <w:p w14:paraId="2C058043" w14:textId="77777777" w:rsidR="00956602" w:rsidRPr="00C35FE9" w:rsidRDefault="00956602" w:rsidP="00956602">
            <w:pPr>
              <w:rPr>
                <w:rFonts w:ascii="Calibri" w:hAnsi="Calibri" w:cs="Arial"/>
                <w:sz w:val="22"/>
                <w:szCs w:val="22"/>
              </w:rPr>
            </w:pPr>
            <w:r>
              <w:rPr>
                <w:rFonts w:ascii="Calibri" w:hAnsi="Calibri" w:cs="Arial"/>
                <w:sz w:val="22"/>
                <w:szCs w:val="22"/>
              </w:rPr>
              <w:t>Assistant Director, CGS Policy</w:t>
            </w:r>
          </w:p>
          <w:p w14:paraId="04727999" w14:textId="77777777" w:rsidR="00867798" w:rsidRDefault="00867798">
            <w:pPr>
              <w:rPr>
                <w:rFonts w:ascii="Calibri" w:hAnsi="Calibri" w:cs="Arial"/>
                <w:sz w:val="22"/>
                <w:szCs w:val="22"/>
              </w:rPr>
            </w:pPr>
          </w:p>
          <w:p w14:paraId="4F0FEB32" w14:textId="1A212418" w:rsidR="00C16EAC" w:rsidRPr="007C3AED" w:rsidRDefault="0095660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B335BCB"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95660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40E2E336"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95660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468A28D3" w14:textId="2DA0111D" w:rsidR="00571E16" w:rsidRDefault="00C16EAC" w:rsidP="00956602">
            <w:pPr>
              <w:tabs>
                <w:tab w:val="center" w:pos="2247"/>
              </w:tabs>
              <w:rPr>
                <w:rFonts w:ascii="Calibri" w:hAnsi="Calibri" w:cs="Arial"/>
                <w:sz w:val="22"/>
                <w:szCs w:val="22"/>
              </w:rPr>
            </w:pPr>
            <w:r w:rsidRPr="007C3AED">
              <w:rPr>
                <w:rFonts w:ascii="Calibri" w:hAnsi="Calibri" w:cs="Arial"/>
                <w:sz w:val="22"/>
                <w:szCs w:val="22"/>
              </w:rPr>
              <w:t>Signature</w:t>
            </w:r>
            <w:r w:rsidR="00956602">
              <w:rPr>
                <w:rFonts w:ascii="Calibri" w:hAnsi="Calibri" w:cs="Arial"/>
                <w:sz w:val="22"/>
                <w:szCs w:val="22"/>
              </w:rPr>
              <w:tab/>
            </w:r>
            <w:r w:rsidR="00956602">
              <w:rPr>
                <w:rFonts w:ascii="Calibri" w:hAnsi="Calibri" w:cs="Arial"/>
                <w:sz w:val="22"/>
                <w:szCs w:val="22"/>
              </w:rPr>
              <w:t>18 March 2025</w:t>
            </w:r>
          </w:p>
          <w:p w14:paraId="778ACC83" w14:textId="0B333712" w:rsidR="00C16EAC" w:rsidRPr="007C3AED" w:rsidRDefault="0095660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5C555808" w:rsidR="00C16EAC" w:rsidRPr="007C3AED" w:rsidRDefault="00C16EAC">
            <w:pPr>
              <w:rPr>
                <w:rFonts w:ascii="Calibri" w:hAnsi="Calibri" w:cs="Arial"/>
                <w:sz w:val="22"/>
                <w:szCs w:val="22"/>
              </w:rPr>
            </w:pPr>
            <w:r w:rsidRPr="007C3AED">
              <w:rPr>
                <w:rFonts w:ascii="Calibri" w:hAnsi="Calibri" w:cs="Arial"/>
                <w:sz w:val="22"/>
                <w:szCs w:val="22"/>
              </w:rPr>
              <w:t>Date</w:t>
            </w:r>
            <w:r w:rsidR="00F2521B">
              <w:rPr>
                <w:rFonts w:ascii="Calibri" w:hAnsi="Calibri" w:cs="Arial"/>
                <w:sz w:val="22"/>
                <w:szCs w:val="22"/>
              </w:rPr>
              <w:t xml:space="preserve">  </w:t>
            </w:r>
          </w:p>
        </w:tc>
        <w:tc>
          <w:tcPr>
            <w:tcW w:w="4710" w:type="dxa"/>
          </w:tcPr>
          <w:p w14:paraId="46235033" w14:textId="01B3A4C5"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00400124" w:rsidR="00C16EAC" w:rsidRDefault="00492134">
            <w:pPr>
              <w:rPr>
                <w:rFonts w:ascii="Calibri" w:hAnsi="Calibri" w:cs="Arial"/>
                <w:noProof/>
              </w:rPr>
            </w:pPr>
            <w:r w:rsidRPr="00C411CA">
              <w:rPr>
                <w:rFonts w:ascii="Calibri" w:hAnsi="Calibri" w:cs="Arial"/>
                <w:noProof/>
              </w:rPr>
              <w:t>La Trobe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Pr="00B300CD" w:rsidRDefault="00C16EAC">
            <w:pPr>
              <w:rPr>
                <w:rFonts w:ascii="Calibri" w:hAnsi="Calibri" w:cs="Arial"/>
                <w:sz w:val="22"/>
                <w:szCs w:val="22"/>
              </w:rPr>
            </w:pPr>
          </w:p>
          <w:p w14:paraId="43519F01" w14:textId="4323D3B8" w:rsidR="00867798" w:rsidRDefault="004E1A18">
            <w:pPr>
              <w:rPr>
                <w:rFonts w:ascii="Calibri" w:hAnsi="Calibri" w:cs="Arial"/>
                <w:sz w:val="22"/>
                <w:szCs w:val="22"/>
              </w:rPr>
            </w:pPr>
            <w:r>
              <w:rPr>
                <w:rFonts w:ascii="Calibri" w:hAnsi="Calibri" w:cs="Arial"/>
                <w:sz w:val="22"/>
                <w:szCs w:val="22"/>
              </w:rPr>
              <w:t>Theo Farrell</w:t>
            </w:r>
          </w:p>
          <w:p w14:paraId="641A6B0F" w14:textId="058B1281" w:rsidR="00C16EAC" w:rsidRPr="007C3AED" w:rsidRDefault="0095660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D4A5493" w14:textId="4C762FEA" w:rsidR="00867798" w:rsidRDefault="004E1A18">
            <w:pPr>
              <w:rPr>
                <w:rFonts w:ascii="Calibri" w:hAnsi="Calibri" w:cs="Arial"/>
                <w:sz w:val="22"/>
                <w:szCs w:val="22"/>
              </w:rPr>
            </w:pPr>
            <w:r>
              <w:rPr>
                <w:rFonts w:ascii="Calibri" w:hAnsi="Calibri" w:cs="Arial"/>
                <w:sz w:val="22"/>
                <w:szCs w:val="22"/>
              </w:rPr>
              <w:t>Shirley Gao</w:t>
            </w:r>
          </w:p>
          <w:p w14:paraId="2B877AA0" w14:textId="5CA6279B" w:rsidR="00C16EAC" w:rsidRPr="007C3AED" w:rsidRDefault="0095660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2ED7BB9F"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Pr="007C3AED" w:rsidRDefault="00C16EAC">
            <w:pPr>
              <w:rPr>
                <w:rFonts w:ascii="Calibri" w:hAnsi="Calibri" w:cs="Arial"/>
                <w:sz w:val="22"/>
                <w:szCs w:val="22"/>
              </w:rPr>
            </w:pPr>
          </w:p>
          <w:p w14:paraId="28CAC241" w14:textId="5212F449" w:rsidR="00867798" w:rsidRDefault="004E1A18">
            <w:pPr>
              <w:rPr>
                <w:rFonts w:ascii="Calibri" w:hAnsi="Calibri" w:cs="Arial"/>
                <w:sz w:val="22"/>
                <w:szCs w:val="22"/>
              </w:rPr>
            </w:pPr>
            <w:r>
              <w:rPr>
                <w:rFonts w:ascii="Calibri" w:hAnsi="Calibri" w:cs="Arial"/>
                <w:sz w:val="22"/>
                <w:szCs w:val="22"/>
              </w:rPr>
              <w:t>Vice Chancellor</w:t>
            </w:r>
          </w:p>
          <w:p w14:paraId="401AF776" w14:textId="7D89C155" w:rsidR="00C16EAC" w:rsidRPr="007C3AED" w:rsidRDefault="0095660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25457BDC"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Pr="007C3AED" w:rsidRDefault="00C16EAC">
            <w:pPr>
              <w:rPr>
                <w:rFonts w:ascii="Calibri" w:hAnsi="Calibri" w:cs="Arial"/>
                <w:sz w:val="22"/>
                <w:szCs w:val="22"/>
              </w:rPr>
            </w:pPr>
          </w:p>
          <w:p w14:paraId="03C37C72" w14:textId="26700ED3" w:rsidR="00867798" w:rsidRDefault="004E1A18">
            <w:pPr>
              <w:rPr>
                <w:rFonts w:ascii="Calibri" w:hAnsi="Calibri" w:cs="Arial"/>
                <w:sz w:val="22"/>
                <w:szCs w:val="22"/>
              </w:rPr>
            </w:pPr>
            <w:r>
              <w:rPr>
                <w:rFonts w:ascii="Calibri" w:hAnsi="Calibri" w:cs="Arial"/>
                <w:sz w:val="22"/>
                <w:szCs w:val="22"/>
              </w:rPr>
              <w:t>Executive Assistant</w:t>
            </w:r>
          </w:p>
          <w:p w14:paraId="1156A798" w14:textId="579B817D" w:rsidR="00C16EAC" w:rsidRPr="007C3AED" w:rsidRDefault="0095660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11F0A37"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95660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5AD6A21"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95660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3" w:name="_Hlk152862943"/>
      <w:r w:rsidRPr="00C411CA">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774"/>
        <w:gridCol w:w="1475"/>
        <w:gridCol w:w="1477"/>
        <w:gridCol w:w="1475"/>
        <w:gridCol w:w="1477"/>
        <w:gridCol w:w="1475"/>
        <w:gridCol w:w="1475"/>
      </w:tblGrid>
      <w:tr w:rsidR="007B4864" w14:paraId="54250EE7" w14:textId="77777777" w:rsidTr="0062656A">
        <w:trPr>
          <w:trHeight w:val="675"/>
        </w:trPr>
        <w:tc>
          <w:tcPr>
            <w:tcW w:w="4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B58E29" w14:textId="77777777" w:rsidR="00D40921" w:rsidRDefault="00D40921">
            <w:pPr>
              <w:jc w:val="center"/>
              <w:rPr>
                <w:rFonts w:ascii="Calibri" w:hAnsi="Calibri" w:cs="Calibri"/>
                <w:b/>
                <w:bCs/>
                <w:color w:val="000000"/>
                <w:sz w:val="22"/>
                <w:szCs w:val="22"/>
              </w:rPr>
            </w:pPr>
            <w:bookmarkStart w:id="14" w:name="MBGATable"/>
            <w:bookmarkEnd w:id="13"/>
            <w:bookmarkEnd w:id="14"/>
            <w:r>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auto" w:fill="D9D9D9"/>
            <w:vAlign w:val="center"/>
            <w:hideMark/>
          </w:tcPr>
          <w:p w14:paraId="781BA896"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auto" w:fill="D9D9D9"/>
            <w:vAlign w:val="center"/>
            <w:hideMark/>
          </w:tcPr>
          <w:p w14:paraId="581F7FB2"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6" w:type="pct"/>
            <w:tcBorders>
              <w:top w:val="single" w:sz="4" w:space="0" w:color="auto"/>
              <w:left w:val="nil"/>
              <w:bottom w:val="single" w:sz="4" w:space="0" w:color="auto"/>
              <w:right w:val="single" w:sz="4" w:space="0" w:color="auto"/>
            </w:tcBorders>
            <w:shd w:val="clear" w:color="auto" w:fill="D9D9D9"/>
            <w:vAlign w:val="center"/>
            <w:hideMark/>
          </w:tcPr>
          <w:p w14:paraId="4B72BD95"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7" w:type="pct"/>
            <w:tcBorders>
              <w:top w:val="single" w:sz="4" w:space="0" w:color="auto"/>
              <w:left w:val="nil"/>
              <w:bottom w:val="single" w:sz="4" w:space="0" w:color="auto"/>
              <w:right w:val="single" w:sz="4" w:space="0" w:color="auto"/>
            </w:tcBorders>
            <w:shd w:val="clear" w:color="auto" w:fill="D9D9D9"/>
            <w:vAlign w:val="center"/>
            <w:hideMark/>
          </w:tcPr>
          <w:p w14:paraId="0BDFE8E1"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6" w:type="pct"/>
            <w:tcBorders>
              <w:top w:val="single" w:sz="4" w:space="0" w:color="auto"/>
              <w:left w:val="nil"/>
              <w:bottom w:val="single" w:sz="4" w:space="0" w:color="auto"/>
              <w:right w:val="single" w:sz="4" w:space="0" w:color="auto"/>
            </w:tcBorders>
            <w:shd w:val="clear" w:color="auto" w:fill="D9D9D9"/>
            <w:vAlign w:val="center"/>
            <w:hideMark/>
          </w:tcPr>
          <w:p w14:paraId="27F5BADC"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auto" w:fill="D9D9D9"/>
            <w:noWrap/>
            <w:vAlign w:val="center"/>
            <w:hideMark/>
          </w:tcPr>
          <w:p w14:paraId="190E4977"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D40921" w14:paraId="51A47805" w14:textId="77777777" w:rsidTr="00571E16">
        <w:trPr>
          <w:trHeight w:val="465"/>
        </w:trPr>
        <w:tc>
          <w:tcPr>
            <w:tcW w:w="402" w:type="pct"/>
            <w:tcBorders>
              <w:top w:val="nil"/>
              <w:left w:val="single" w:sz="4" w:space="0" w:color="auto"/>
              <w:bottom w:val="single" w:sz="4" w:space="0" w:color="auto"/>
              <w:right w:val="single" w:sz="4" w:space="0" w:color="auto"/>
            </w:tcBorders>
            <w:noWrap/>
            <w:vAlign w:val="center"/>
            <w:hideMark/>
          </w:tcPr>
          <w:p w14:paraId="2CB9A85C"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noWrap/>
            <w:vAlign w:val="center"/>
            <w:hideMark/>
          </w:tcPr>
          <w:p w14:paraId="697C8F3C" w14:textId="48E72A26" w:rsidR="00D40921" w:rsidRDefault="00D40921">
            <w:pPr>
              <w:jc w:val="center"/>
              <w:rPr>
                <w:rFonts w:ascii="Calibri" w:hAnsi="Calibri" w:cs="Calibri"/>
                <w:color w:val="000000"/>
                <w:sz w:val="22"/>
                <w:szCs w:val="22"/>
              </w:rPr>
            </w:pPr>
            <w:r>
              <w:rPr>
                <w:rFonts w:ascii="Calibri" w:hAnsi="Calibri" w:cs="Calibri"/>
                <w:color w:val="000000"/>
                <w:sz w:val="22"/>
                <w:szCs w:val="22"/>
              </w:rPr>
              <w:t>$</w:t>
            </w:r>
            <w:r w:rsidR="0029565F">
              <w:rPr>
                <w:rFonts w:ascii="Calibri" w:hAnsi="Calibri" w:cs="Calibri"/>
                <w:color w:val="000000"/>
                <w:sz w:val="22"/>
                <w:szCs w:val="22"/>
              </w:rPr>
              <w:t>256,884,489</w:t>
            </w:r>
          </w:p>
        </w:tc>
        <w:tc>
          <w:tcPr>
            <w:tcW w:w="767" w:type="pct"/>
            <w:tcBorders>
              <w:top w:val="nil"/>
              <w:left w:val="nil"/>
              <w:bottom w:val="single" w:sz="4" w:space="0" w:color="auto"/>
              <w:right w:val="single" w:sz="4" w:space="0" w:color="auto"/>
            </w:tcBorders>
            <w:noWrap/>
            <w:vAlign w:val="center"/>
            <w:hideMark/>
          </w:tcPr>
          <w:p w14:paraId="6A8FEB61"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766" w:type="pct"/>
            <w:tcBorders>
              <w:top w:val="nil"/>
              <w:left w:val="nil"/>
              <w:bottom w:val="single" w:sz="4" w:space="0" w:color="auto"/>
              <w:right w:val="single" w:sz="4" w:space="0" w:color="auto"/>
            </w:tcBorders>
            <w:noWrap/>
            <w:vAlign w:val="center"/>
            <w:hideMark/>
          </w:tcPr>
          <w:p w14:paraId="2E45C85F"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noWrap/>
            <w:vAlign w:val="center"/>
            <w:hideMark/>
          </w:tcPr>
          <w:p w14:paraId="4624C013"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766" w:type="pct"/>
            <w:tcBorders>
              <w:top w:val="nil"/>
              <w:left w:val="nil"/>
              <w:bottom w:val="single" w:sz="4" w:space="0" w:color="auto"/>
              <w:right w:val="single" w:sz="4" w:space="0" w:color="auto"/>
            </w:tcBorders>
            <w:noWrap/>
            <w:vAlign w:val="center"/>
            <w:hideMark/>
          </w:tcPr>
          <w:p w14:paraId="0AE97165" w14:textId="77777777" w:rsidR="00D40921" w:rsidRDefault="00D40921">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noWrap/>
            <w:vAlign w:val="center"/>
            <w:hideMark/>
          </w:tcPr>
          <w:p w14:paraId="38AFF706" w14:textId="6748C8FF" w:rsidR="00D40921" w:rsidRDefault="00D40921">
            <w:pPr>
              <w:jc w:val="center"/>
              <w:rPr>
                <w:rFonts w:ascii="Calibri" w:hAnsi="Calibri" w:cs="Calibri"/>
                <w:color w:val="000000"/>
                <w:sz w:val="22"/>
                <w:szCs w:val="22"/>
              </w:rPr>
            </w:pPr>
            <w:r>
              <w:rPr>
                <w:rFonts w:ascii="Calibri" w:hAnsi="Calibri" w:cs="Calibri"/>
                <w:color w:val="000000"/>
                <w:sz w:val="22"/>
                <w:szCs w:val="22"/>
              </w:rPr>
              <w:t>$</w:t>
            </w:r>
            <w:r w:rsidR="0029565F">
              <w:rPr>
                <w:rFonts w:ascii="Calibri" w:hAnsi="Calibri" w:cs="Calibri"/>
                <w:color w:val="000000"/>
                <w:sz w:val="22"/>
                <w:szCs w:val="22"/>
              </w:rPr>
              <w:t>256,884,489</w:t>
            </w:r>
          </w:p>
        </w:tc>
      </w:tr>
      <w:tr w:rsidR="0062656A" w14:paraId="1F8172A8" w14:textId="77777777" w:rsidTr="00571E16">
        <w:trPr>
          <w:trHeight w:val="465"/>
        </w:trPr>
        <w:tc>
          <w:tcPr>
            <w:tcW w:w="402" w:type="pct"/>
            <w:tcBorders>
              <w:top w:val="nil"/>
              <w:left w:val="single" w:sz="4" w:space="0" w:color="auto"/>
              <w:bottom w:val="single" w:sz="4" w:space="0" w:color="auto"/>
              <w:right w:val="single" w:sz="4" w:space="0" w:color="auto"/>
            </w:tcBorders>
            <w:noWrap/>
            <w:vAlign w:val="center"/>
            <w:hideMark/>
          </w:tcPr>
          <w:p w14:paraId="2D9D45AA" w14:textId="77777777" w:rsidR="0062656A" w:rsidRDefault="0062656A" w:rsidP="0062656A">
            <w:pPr>
              <w:jc w:val="center"/>
              <w:rPr>
                <w:rFonts w:ascii="Calibri" w:hAnsi="Calibri" w:cs="Calibri"/>
                <w:color w:val="000000"/>
                <w:sz w:val="22"/>
                <w:szCs w:val="22"/>
              </w:rPr>
            </w:pPr>
            <w:r>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noWrap/>
            <w:vAlign w:val="center"/>
            <w:hideMark/>
          </w:tcPr>
          <w:p w14:paraId="402CC4EA" w14:textId="77777777" w:rsidR="002470E2" w:rsidRDefault="002470E2" w:rsidP="002470E2">
            <w:pPr>
              <w:jc w:val="center"/>
              <w:rPr>
                <w:rFonts w:ascii="Calibri" w:hAnsi="Calibri" w:cs="Calibri"/>
                <w:sz w:val="22"/>
                <w:szCs w:val="22"/>
              </w:rPr>
            </w:pPr>
            <w:r>
              <w:rPr>
                <w:rFonts w:ascii="Calibri" w:hAnsi="Calibri" w:cs="Calibri"/>
                <w:sz w:val="22"/>
                <w:szCs w:val="22"/>
              </w:rPr>
              <w:t>$274,830,844</w:t>
            </w:r>
          </w:p>
          <w:p w14:paraId="0586492D" w14:textId="4DEBFA4D" w:rsidR="0062656A" w:rsidRDefault="0062656A" w:rsidP="0062656A">
            <w:pPr>
              <w:jc w:val="center"/>
              <w:rPr>
                <w:rFonts w:ascii="Calibri" w:hAnsi="Calibri" w:cs="Calibri"/>
                <w:color w:val="000000"/>
                <w:sz w:val="22"/>
                <w:szCs w:val="22"/>
              </w:rPr>
            </w:pPr>
          </w:p>
        </w:tc>
        <w:tc>
          <w:tcPr>
            <w:tcW w:w="767" w:type="pct"/>
            <w:tcBorders>
              <w:top w:val="nil"/>
              <w:left w:val="nil"/>
              <w:bottom w:val="single" w:sz="4" w:space="0" w:color="auto"/>
              <w:right w:val="single" w:sz="4" w:space="0" w:color="auto"/>
            </w:tcBorders>
            <w:noWrap/>
            <w:vAlign w:val="center"/>
            <w:hideMark/>
          </w:tcPr>
          <w:p w14:paraId="0BB20297" w14:textId="0EC75E83" w:rsidR="0062656A" w:rsidRDefault="0062656A" w:rsidP="0062656A">
            <w:pPr>
              <w:jc w:val="center"/>
              <w:rPr>
                <w:rFonts w:ascii="Calibri" w:hAnsi="Calibri" w:cs="Calibri"/>
                <w:color w:val="000000"/>
                <w:sz w:val="22"/>
                <w:szCs w:val="22"/>
              </w:rPr>
            </w:pPr>
            <w:r>
              <w:rPr>
                <w:rFonts w:ascii="Calibri" w:hAnsi="Calibri" w:cs="Calibri"/>
                <w:color w:val="000000"/>
                <w:sz w:val="22"/>
                <w:szCs w:val="22"/>
              </w:rPr>
              <w:t>$0</w:t>
            </w:r>
          </w:p>
        </w:tc>
        <w:tc>
          <w:tcPr>
            <w:tcW w:w="766" w:type="pct"/>
            <w:tcBorders>
              <w:top w:val="nil"/>
              <w:left w:val="nil"/>
              <w:bottom w:val="single" w:sz="4" w:space="0" w:color="auto"/>
              <w:right w:val="single" w:sz="4" w:space="0" w:color="auto"/>
            </w:tcBorders>
            <w:noWrap/>
            <w:vAlign w:val="center"/>
            <w:hideMark/>
          </w:tcPr>
          <w:p w14:paraId="471A1A05" w14:textId="11817E37" w:rsidR="0062656A" w:rsidRDefault="0062656A" w:rsidP="0062656A">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noWrap/>
            <w:vAlign w:val="center"/>
            <w:hideMark/>
          </w:tcPr>
          <w:p w14:paraId="4F651060" w14:textId="2FD3C76B" w:rsidR="0062656A" w:rsidRDefault="007B4864" w:rsidP="0062656A">
            <w:pPr>
              <w:jc w:val="center"/>
              <w:rPr>
                <w:rFonts w:ascii="Calibri" w:hAnsi="Calibri" w:cs="Calibri"/>
                <w:color w:val="000000"/>
                <w:sz w:val="22"/>
                <w:szCs w:val="22"/>
              </w:rPr>
            </w:pPr>
            <w:r>
              <w:rPr>
                <w:rFonts w:ascii="Calibri" w:hAnsi="Calibri" w:cs="Calibri"/>
                <w:color w:val="000000"/>
                <w:sz w:val="22"/>
                <w:szCs w:val="22"/>
              </w:rPr>
              <w:t>N/A</w:t>
            </w:r>
          </w:p>
        </w:tc>
        <w:tc>
          <w:tcPr>
            <w:tcW w:w="766" w:type="pct"/>
            <w:tcBorders>
              <w:top w:val="nil"/>
              <w:left w:val="nil"/>
              <w:bottom w:val="single" w:sz="4" w:space="0" w:color="auto"/>
              <w:right w:val="single" w:sz="4" w:space="0" w:color="auto"/>
            </w:tcBorders>
            <w:noWrap/>
            <w:vAlign w:val="center"/>
            <w:hideMark/>
          </w:tcPr>
          <w:p w14:paraId="7332158E" w14:textId="6A9619A1" w:rsidR="0062656A" w:rsidRDefault="009A5F80" w:rsidP="0062656A">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noWrap/>
            <w:vAlign w:val="center"/>
            <w:hideMark/>
          </w:tcPr>
          <w:p w14:paraId="5F92C44D" w14:textId="77777777" w:rsidR="002470E2" w:rsidRDefault="002470E2" w:rsidP="002470E2">
            <w:pPr>
              <w:jc w:val="center"/>
              <w:rPr>
                <w:rFonts w:ascii="Calibri" w:hAnsi="Calibri" w:cs="Calibri"/>
                <w:sz w:val="22"/>
                <w:szCs w:val="22"/>
              </w:rPr>
            </w:pPr>
            <w:r>
              <w:rPr>
                <w:rFonts w:ascii="Calibri" w:hAnsi="Calibri" w:cs="Calibri"/>
                <w:sz w:val="22"/>
                <w:szCs w:val="22"/>
              </w:rPr>
              <w:t>$274,830,844</w:t>
            </w:r>
          </w:p>
          <w:p w14:paraId="6371CAE4" w14:textId="70EE319D" w:rsidR="0062656A" w:rsidRDefault="0062656A" w:rsidP="0062656A">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34"/>
        <w:gridCol w:w="1498"/>
        <w:gridCol w:w="1498"/>
        <w:gridCol w:w="1498"/>
      </w:tblGrid>
      <w:tr w:rsidR="00D40921" w14:paraId="425E9A77" w14:textId="77777777" w:rsidTr="00571E16">
        <w:trPr>
          <w:trHeight w:val="465"/>
        </w:trPr>
        <w:tc>
          <w:tcPr>
            <w:tcW w:w="2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A8E422" w14:textId="77777777" w:rsidR="00D40921" w:rsidRPr="00D40921" w:rsidRDefault="00D40921" w:rsidP="00D40921">
            <w:pPr>
              <w:rPr>
                <w:rFonts w:ascii="Calibri" w:hAnsi="Calibri" w:cs="Calibri"/>
                <w:b/>
                <w:bCs/>
                <w:color w:val="000000"/>
                <w:sz w:val="22"/>
                <w:szCs w:val="22"/>
              </w:rPr>
            </w:pPr>
            <w:r w:rsidRPr="00D40921">
              <w:rPr>
                <w:rFonts w:ascii="Calibri" w:hAnsi="Calibri" w:cs="Calibri"/>
                <w:b/>
                <w:bCs/>
                <w:color w:val="000000"/>
                <w:sz w:val="22"/>
                <w:szCs w:val="22"/>
              </w:rPr>
              <w:t>Campus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3544C91D"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2AE4326E"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0F6F7816" w14:textId="77777777" w:rsidR="00D40921" w:rsidRDefault="00D40921">
            <w:pPr>
              <w:jc w:val="center"/>
              <w:rPr>
                <w:rFonts w:ascii="Calibri" w:hAnsi="Calibri" w:cs="Calibri"/>
                <w:b/>
                <w:bCs/>
                <w:color w:val="000000"/>
                <w:sz w:val="22"/>
                <w:szCs w:val="22"/>
              </w:rPr>
            </w:pPr>
            <w:r>
              <w:rPr>
                <w:rFonts w:ascii="Calibri" w:hAnsi="Calibri" w:cs="Calibri"/>
                <w:b/>
                <w:bCs/>
                <w:color w:val="000000"/>
                <w:sz w:val="22"/>
                <w:szCs w:val="22"/>
              </w:rPr>
              <w:t>2025</w:t>
            </w:r>
          </w:p>
        </w:tc>
      </w:tr>
      <w:tr w:rsidR="009A5F80" w14:paraId="01B4C35C"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4258A318"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Sydney City</w:t>
            </w:r>
          </w:p>
        </w:tc>
        <w:tc>
          <w:tcPr>
            <w:tcW w:w="778" w:type="pct"/>
            <w:tcBorders>
              <w:top w:val="nil"/>
              <w:left w:val="nil"/>
              <w:bottom w:val="single" w:sz="4" w:space="0" w:color="auto"/>
              <w:right w:val="single" w:sz="4" w:space="0" w:color="auto"/>
            </w:tcBorders>
            <w:vAlign w:val="center"/>
            <w:hideMark/>
          </w:tcPr>
          <w:p w14:paraId="5D759DB8"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low</w:t>
            </w:r>
          </w:p>
        </w:tc>
        <w:tc>
          <w:tcPr>
            <w:tcW w:w="778" w:type="pct"/>
            <w:tcBorders>
              <w:top w:val="nil"/>
              <w:left w:val="nil"/>
              <w:bottom w:val="single" w:sz="4" w:space="0" w:color="auto"/>
              <w:right w:val="single" w:sz="4" w:space="0" w:color="auto"/>
            </w:tcBorders>
            <w:vAlign w:val="center"/>
            <w:hideMark/>
          </w:tcPr>
          <w:p w14:paraId="0430790F"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1.00%</w:t>
            </w:r>
          </w:p>
        </w:tc>
        <w:tc>
          <w:tcPr>
            <w:tcW w:w="778" w:type="pct"/>
            <w:tcBorders>
              <w:top w:val="nil"/>
              <w:left w:val="nil"/>
              <w:bottom w:val="single" w:sz="4" w:space="0" w:color="auto"/>
              <w:right w:val="single" w:sz="4" w:space="0" w:color="auto"/>
            </w:tcBorders>
            <w:vAlign w:val="center"/>
            <w:hideMark/>
          </w:tcPr>
          <w:p w14:paraId="52A0E66D" w14:textId="1C90F414"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1.00%</w:t>
            </w:r>
          </w:p>
        </w:tc>
      </w:tr>
      <w:tr w:rsidR="009A5F80" w14:paraId="74ED37CE"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0EB75925"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Melbourne</w:t>
            </w:r>
          </w:p>
        </w:tc>
        <w:tc>
          <w:tcPr>
            <w:tcW w:w="778" w:type="pct"/>
            <w:tcBorders>
              <w:top w:val="nil"/>
              <w:left w:val="nil"/>
              <w:bottom w:val="single" w:sz="4" w:space="0" w:color="auto"/>
              <w:right w:val="single" w:sz="4" w:space="0" w:color="auto"/>
            </w:tcBorders>
            <w:vAlign w:val="center"/>
            <w:hideMark/>
          </w:tcPr>
          <w:p w14:paraId="2AE3A72D"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low</w:t>
            </w:r>
          </w:p>
        </w:tc>
        <w:tc>
          <w:tcPr>
            <w:tcW w:w="778" w:type="pct"/>
            <w:tcBorders>
              <w:top w:val="nil"/>
              <w:left w:val="nil"/>
              <w:bottom w:val="single" w:sz="4" w:space="0" w:color="auto"/>
              <w:right w:val="single" w:sz="4" w:space="0" w:color="auto"/>
            </w:tcBorders>
            <w:vAlign w:val="center"/>
            <w:hideMark/>
          </w:tcPr>
          <w:p w14:paraId="7A9145CE"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1.00%</w:t>
            </w:r>
          </w:p>
        </w:tc>
        <w:tc>
          <w:tcPr>
            <w:tcW w:w="778" w:type="pct"/>
            <w:tcBorders>
              <w:top w:val="nil"/>
              <w:left w:val="nil"/>
              <w:bottom w:val="single" w:sz="4" w:space="0" w:color="auto"/>
              <w:right w:val="single" w:sz="4" w:space="0" w:color="auto"/>
            </w:tcBorders>
            <w:vAlign w:val="center"/>
            <w:hideMark/>
          </w:tcPr>
          <w:p w14:paraId="322FF596" w14:textId="7FF059CF"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1.00%</w:t>
            </w:r>
          </w:p>
        </w:tc>
      </w:tr>
      <w:tr w:rsidR="009A5F80" w14:paraId="0F27274E"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4B82E281"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Epping (VIC)</w:t>
            </w:r>
          </w:p>
        </w:tc>
        <w:tc>
          <w:tcPr>
            <w:tcW w:w="778" w:type="pct"/>
            <w:tcBorders>
              <w:top w:val="nil"/>
              <w:left w:val="nil"/>
              <w:bottom w:val="single" w:sz="4" w:space="0" w:color="auto"/>
              <w:right w:val="single" w:sz="4" w:space="0" w:color="auto"/>
            </w:tcBorders>
            <w:vAlign w:val="bottom"/>
            <w:hideMark/>
          </w:tcPr>
          <w:p w14:paraId="773854B0"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bottom"/>
            <w:hideMark/>
          </w:tcPr>
          <w:p w14:paraId="4715DE5F"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bottom"/>
            <w:hideMark/>
          </w:tcPr>
          <w:p w14:paraId="2D00B4DC" w14:textId="42B26365"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2.50%</w:t>
            </w:r>
          </w:p>
        </w:tc>
      </w:tr>
      <w:tr w:rsidR="009A5F80" w14:paraId="28985D76"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6C1B8478"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Melbourne (Bundoora)</w:t>
            </w:r>
          </w:p>
        </w:tc>
        <w:tc>
          <w:tcPr>
            <w:tcW w:w="778" w:type="pct"/>
            <w:tcBorders>
              <w:top w:val="nil"/>
              <w:left w:val="nil"/>
              <w:bottom w:val="single" w:sz="4" w:space="0" w:color="auto"/>
              <w:right w:val="single" w:sz="4" w:space="0" w:color="auto"/>
            </w:tcBorders>
            <w:vAlign w:val="bottom"/>
            <w:hideMark/>
          </w:tcPr>
          <w:p w14:paraId="76B5E514"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bottom"/>
            <w:hideMark/>
          </w:tcPr>
          <w:p w14:paraId="3B222947"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bottom"/>
            <w:hideMark/>
          </w:tcPr>
          <w:p w14:paraId="289649C2" w14:textId="509BE3A5"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2.50%</w:t>
            </w:r>
          </w:p>
        </w:tc>
      </w:tr>
      <w:tr w:rsidR="009A5F80" w14:paraId="09E716CA"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7846445E"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Dandenong North</w:t>
            </w:r>
          </w:p>
        </w:tc>
        <w:tc>
          <w:tcPr>
            <w:tcW w:w="778" w:type="pct"/>
            <w:tcBorders>
              <w:top w:val="nil"/>
              <w:left w:val="nil"/>
              <w:bottom w:val="single" w:sz="4" w:space="0" w:color="auto"/>
              <w:right w:val="single" w:sz="4" w:space="0" w:color="auto"/>
            </w:tcBorders>
            <w:vAlign w:val="bottom"/>
            <w:hideMark/>
          </w:tcPr>
          <w:p w14:paraId="3AB9B572"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bottom"/>
            <w:hideMark/>
          </w:tcPr>
          <w:p w14:paraId="0172B474"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bottom"/>
            <w:hideMark/>
          </w:tcPr>
          <w:p w14:paraId="2881780B" w14:textId="07791580"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2.50%</w:t>
            </w:r>
          </w:p>
        </w:tc>
      </w:tr>
      <w:tr w:rsidR="009A5F80" w14:paraId="4CD4E4B8"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01620BBB"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Frankston</w:t>
            </w:r>
          </w:p>
        </w:tc>
        <w:tc>
          <w:tcPr>
            <w:tcW w:w="778" w:type="pct"/>
            <w:tcBorders>
              <w:top w:val="nil"/>
              <w:left w:val="nil"/>
              <w:bottom w:val="single" w:sz="4" w:space="0" w:color="auto"/>
              <w:right w:val="single" w:sz="4" w:space="0" w:color="auto"/>
            </w:tcBorders>
            <w:vAlign w:val="bottom"/>
            <w:hideMark/>
          </w:tcPr>
          <w:p w14:paraId="2968B394"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low</w:t>
            </w:r>
          </w:p>
        </w:tc>
        <w:tc>
          <w:tcPr>
            <w:tcW w:w="778" w:type="pct"/>
            <w:tcBorders>
              <w:top w:val="nil"/>
              <w:left w:val="nil"/>
              <w:bottom w:val="single" w:sz="4" w:space="0" w:color="auto"/>
              <w:right w:val="single" w:sz="4" w:space="0" w:color="auto"/>
            </w:tcBorders>
            <w:vAlign w:val="bottom"/>
            <w:hideMark/>
          </w:tcPr>
          <w:p w14:paraId="30BDFE29"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1.00%</w:t>
            </w:r>
          </w:p>
        </w:tc>
        <w:tc>
          <w:tcPr>
            <w:tcW w:w="778" w:type="pct"/>
            <w:tcBorders>
              <w:top w:val="nil"/>
              <w:left w:val="nil"/>
              <w:bottom w:val="single" w:sz="4" w:space="0" w:color="auto"/>
              <w:right w:val="single" w:sz="4" w:space="0" w:color="auto"/>
            </w:tcBorders>
            <w:vAlign w:val="bottom"/>
            <w:hideMark/>
          </w:tcPr>
          <w:p w14:paraId="03CC39DF" w14:textId="4B3A79D6"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1.00%</w:t>
            </w:r>
          </w:p>
        </w:tc>
      </w:tr>
      <w:tr w:rsidR="009A5F80" w14:paraId="5189A835"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1E575657"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Mildura</w:t>
            </w:r>
          </w:p>
        </w:tc>
        <w:tc>
          <w:tcPr>
            <w:tcW w:w="778" w:type="pct"/>
            <w:tcBorders>
              <w:top w:val="nil"/>
              <w:left w:val="nil"/>
              <w:bottom w:val="single" w:sz="4" w:space="0" w:color="auto"/>
              <w:right w:val="single" w:sz="4" w:space="0" w:color="auto"/>
            </w:tcBorders>
            <w:vAlign w:val="bottom"/>
            <w:hideMark/>
          </w:tcPr>
          <w:p w14:paraId="179805E0"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bottom"/>
            <w:hideMark/>
          </w:tcPr>
          <w:p w14:paraId="3E2613AE"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bottom"/>
            <w:hideMark/>
          </w:tcPr>
          <w:p w14:paraId="55CDC19E" w14:textId="1D60D246"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3.50%</w:t>
            </w:r>
          </w:p>
        </w:tc>
      </w:tr>
      <w:tr w:rsidR="009A5F80" w14:paraId="0A07A786"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2906E2FB"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Bendigo</w:t>
            </w:r>
          </w:p>
        </w:tc>
        <w:tc>
          <w:tcPr>
            <w:tcW w:w="778" w:type="pct"/>
            <w:tcBorders>
              <w:top w:val="nil"/>
              <w:left w:val="nil"/>
              <w:bottom w:val="single" w:sz="4" w:space="0" w:color="auto"/>
              <w:right w:val="single" w:sz="4" w:space="0" w:color="auto"/>
            </w:tcBorders>
            <w:vAlign w:val="bottom"/>
            <w:hideMark/>
          </w:tcPr>
          <w:p w14:paraId="083E75FA"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bottom"/>
            <w:hideMark/>
          </w:tcPr>
          <w:p w14:paraId="5F40B389"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bottom"/>
            <w:hideMark/>
          </w:tcPr>
          <w:p w14:paraId="5034860E" w14:textId="266F7E81"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3.50%</w:t>
            </w:r>
          </w:p>
        </w:tc>
      </w:tr>
      <w:tr w:rsidR="009A5F80" w14:paraId="31D6FC2F"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62B26A63"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Shepparton</w:t>
            </w:r>
          </w:p>
        </w:tc>
        <w:tc>
          <w:tcPr>
            <w:tcW w:w="778" w:type="pct"/>
            <w:tcBorders>
              <w:top w:val="nil"/>
              <w:left w:val="nil"/>
              <w:bottom w:val="single" w:sz="4" w:space="0" w:color="auto"/>
              <w:right w:val="single" w:sz="4" w:space="0" w:color="auto"/>
            </w:tcBorders>
            <w:vAlign w:val="bottom"/>
            <w:hideMark/>
          </w:tcPr>
          <w:p w14:paraId="71A84655"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bottom"/>
            <w:hideMark/>
          </w:tcPr>
          <w:p w14:paraId="5F9F1A12"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bottom"/>
            <w:hideMark/>
          </w:tcPr>
          <w:p w14:paraId="75B813A8" w14:textId="1E54E1BF"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3.50%</w:t>
            </w:r>
          </w:p>
        </w:tc>
      </w:tr>
      <w:tr w:rsidR="009A5F80" w14:paraId="36258A53"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1F955D22"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Wodonga</w:t>
            </w:r>
          </w:p>
        </w:tc>
        <w:tc>
          <w:tcPr>
            <w:tcW w:w="778" w:type="pct"/>
            <w:tcBorders>
              <w:top w:val="nil"/>
              <w:left w:val="nil"/>
              <w:bottom w:val="single" w:sz="4" w:space="0" w:color="auto"/>
              <w:right w:val="single" w:sz="4" w:space="0" w:color="auto"/>
            </w:tcBorders>
            <w:vAlign w:val="bottom"/>
            <w:hideMark/>
          </w:tcPr>
          <w:p w14:paraId="4022B4D2"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bottom"/>
            <w:hideMark/>
          </w:tcPr>
          <w:p w14:paraId="0E7FC378"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bottom"/>
            <w:hideMark/>
          </w:tcPr>
          <w:p w14:paraId="567A8AA4" w14:textId="39652FC8"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3.50%</w:t>
            </w:r>
          </w:p>
        </w:tc>
      </w:tr>
      <w:tr w:rsidR="009A5F80" w14:paraId="7E04896C" w14:textId="77777777" w:rsidTr="00571E16">
        <w:trPr>
          <w:trHeight w:val="300"/>
        </w:trPr>
        <w:tc>
          <w:tcPr>
            <w:tcW w:w="2666" w:type="pct"/>
            <w:tcBorders>
              <w:top w:val="nil"/>
              <w:left w:val="single" w:sz="4" w:space="0" w:color="auto"/>
              <w:bottom w:val="single" w:sz="4" w:space="0" w:color="auto"/>
              <w:right w:val="single" w:sz="4" w:space="0" w:color="auto"/>
            </w:tcBorders>
            <w:vAlign w:val="bottom"/>
            <w:hideMark/>
          </w:tcPr>
          <w:p w14:paraId="59385656" w14:textId="77777777" w:rsidR="009A5F80" w:rsidRDefault="009A5F80" w:rsidP="009A5F80">
            <w:pPr>
              <w:rPr>
                <w:rFonts w:ascii="Calibri" w:hAnsi="Calibri" w:cs="Calibri"/>
                <w:color w:val="000000"/>
                <w:sz w:val="22"/>
                <w:szCs w:val="22"/>
              </w:rPr>
            </w:pPr>
            <w:r>
              <w:rPr>
                <w:rFonts w:ascii="Calibri" w:hAnsi="Calibri" w:cs="Calibri"/>
                <w:color w:val="000000"/>
                <w:sz w:val="22"/>
                <w:szCs w:val="22"/>
              </w:rPr>
              <w:t>Berwick</w:t>
            </w:r>
          </w:p>
        </w:tc>
        <w:tc>
          <w:tcPr>
            <w:tcW w:w="778" w:type="pct"/>
            <w:tcBorders>
              <w:top w:val="nil"/>
              <w:left w:val="nil"/>
              <w:bottom w:val="single" w:sz="4" w:space="0" w:color="auto"/>
              <w:right w:val="single" w:sz="4" w:space="0" w:color="auto"/>
            </w:tcBorders>
            <w:vAlign w:val="bottom"/>
            <w:hideMark/>
          </w:tcPr>
          <w:p w14:paraId="61550652" w14:textId="77777777"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bottom"/>
            <w:hideMark/>
          </w:tcPr>
          <w:p w14:paraId="15E052E8" w14:textId="77777777" w:rsidR="009A5F80" w:rsidRDefault="009A5F80" w:rsidP="009A5F8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bottom"/>
            <w:hideMark/>
          </w:tcPr>
          <w:p w14:paraId="59D93CF6" w14:textId="79E6EBDC" w:rsidR="009A5F80" w:rsidRDefault="009A5F80" w:rsidP="009A5F80">
            <w:pPr>
              <w:jc w:val="center"/>
              <w:rPr>
                <w:rFonts w:ascii="Calibri" w:hAnsi="Calibri" w:cs="Calibri"/>
                <w:color w:val="000000"/>
                <w:sz w:val="22"/>
                <w:szCs w:val="22"/>
              </w:rPr>
            </w:pPr>
            <w:r>
              <w:rPr>
                <w:rFonts w:ascii="Calibri" w:hAnsi="Calibri" w:cs="Calibri"/>
                <w:color w:val="000000"/>
                <w:sz w:val="22"/>
                <w:szCs w:val="22"/>
              </w:rPr>
              <w:t>2.50%</w:t>
            </w:r>
          </w:p>
        </w:tc>
      </w:tr>
    </w:tbl>
    <w:p w14:paraId="63C3C8A3" w14:textId="77777777" w:rsidR="00824120" w:rsidRDefault="00824120" w:rsidP="00650BDC">
      <w:pPr>
        <w:widowControl w:val="0"/>
        <w:spacing w:before="120" w:after="120"/>
        <w:rPr>
          <w:rFonts w:ascii="Calibri" w:hAnsi="Calibri"/>
          <w:i/>
          <w:iCs/>
          <w:sz w:val="22"/>
        </w:rPr>
      </w:pPr>
      <w:bookmarkStart w:id="15" w:name="NPSTable"/>
      <w:bookmarkStart w:id="16" w:name="Remoteness"/>
      <w:bookmarkEnd w:id="15"/>
      <w:bookmarkEnd w:id="16"/>
    </w:p>
    <w:p w14:paraId="17B0432B" w14:textId="5855845D" w:rsidR="00650BDC" w:rsidRPr="00D40921" w:rsidRDefault="00D40921" w:rsidP="00650BDC">
      <w:pPr>
        <w:widowControl w:val="0"/>
        <w:spacing w:before="120" w:after="120"/>
        <w:rPr>
          <w:rFonts w:ascii="Calibri" w:hAnsi="Calibri"/>
          <w:i/>
          <w:iCs/>
          <w:sz w:val="22"/>
        </w:rPr>
      </w:pPr>
      <w:r>
        <w:rPr>
          <w:rFonts w:ascii="Calibri" w:hAnsi="Calibri"/>
          <w:i/>
          <w:iCs/>
          <w:sz w:val="22"/>
        </w:rPr>
        <w:t>Regional University Study Hubs</w:t>
      </w:r>
    </w:p>
    <w:p w14:paraId="1B74339A" w14:textId="14BD227B" w:rsidR="00BA5798" w:rsidRPr="0082474E" w:rsidRDefault="00686799" w:rsidP="00BA5798">
      <w:pPr>
        <w:widowControl w:val="0"/>
        <w:numPr>
          <w:ilvl w:val="0"/>
          <w:numId w:val="7"/>
        </w:numPr>
        <w:tabs>
          <w:tab w:val="left" w:pos="567"/>
          <w:tab w:val="left" w:pos="8222"/>
        </w:tabs>
        <w:spacing w:before="120" w:after="120"/>
        <w:rPr>
          <w:rFonts w:cstheme="minorBidi"/>
          <w:sz w:val="22"/>
          <w:szCs w:val="22"/>
        </w:rPr>
      </w:pPr>
      <w:bookmarkStart w:id="17" w:name="rucs"/>
      <w:r w:rsidRPr="00686799">
        <w:rPr>
          <w:rFonts w:cstheme="minorBidi"/>
          <w:sz w:val="22"/>
          <w:szCs w:val="22"/>
        </w:rPr>
        <w:t xml:space="preserve">The MBGA for higher education courses includes funding for bachelor places, allocated </w:t>
      </w:r>
      <w:proofErr w:type="gramStart"/>
      <w:r w:rsidRPr="00686799">
        <w:rPr>
          <w:rFonts w:cstheme="minorBidi"/>
          <w:sz w:val="22"/>
          <w:szCs w:val="22"/>
        </w:rPr>
        <w:t>as a result of</w:t>
      </w:r>
      <w:proofErr w:type="gramEnd"/>
      <w:r w:rsidRPr="00686799">
        <w:rPr>
          <w:rFonts w:cstheme="minorBidi"/>
          <w:sz w:val="22"/>
          <w:szCs w:val="22"/>
        </w:rPr>
        <w:t xml:space="preserve"> the Provider’s partnership with the Regional University Study Hub/s in Table 1d, and must only be used for students being supported by a Hub</w:t>
      </w:r>
      <w:r w:rsidR="00D876AA" w:rsidRPr="00BF45EF">
        <w:rPr>
          <w:rFonts w:cstheme="minorBidi"/>
          <w:sz w:val="22"/>
          <w:szCs w:val="22"/>
        </w:rPr>
        <w:t>.</w:t>
      </w:r>
    </w:p>
    <w:p w14:paraId="7ECD6DCB" w14:textId="507E6326" w:rsidR="003D186F" w:rsidRPr="00C411CA" w:rsidRDefault="003D186F" w:rsidP="0082474E">
      <w:pPr>
        <w:pStyle w:val="ListParagraph"/>
        <w:widowControl w:val="0"/>
        <w:numPr>
          <w:ilvl w:val="0"/>
          <w:numId w:val="7"/>
        </w:numPr>
        <w:spacing w:before="120" w:after="120"/>
        <w:rPr>
          <w:rFonts w:ascii="Calibri" w:hAnsi="Calibri" w:cs="Arial"/>
          <w:b/>
          <w:bCs/>
          <w:sz w:val="22"/>
          <w:szCs w:val="22"/>
        </w:rPr>
      </w:pPr>
      <w:bookmarkStart w:id="18" w:name="RUCTable"/>
      <w:bookmarkEnd w:id="18"/>
      <w:r w:rsidRPr="0082474E">
        <w:rPr>
          <w:rFonts w:ascii="Calibri" w:hAnsi="Calibri"/>
          <w:sz w:val="22"/>
          <w:szCs w:val="22"/>
        </w:rPr>
        <w:t xml:space="preserve">The MBGA for higher education courses includes </w:t>
      </w:r>
      <w:r w:rsidRPr="00C411CA">
        <w:rPr>
          <w:rFonts w:ascii="Calibri" w:hAnsi="Calibri"/>
          <w:sz w:val="22"/>
          <w:szCs w:val="22"/>
        </w:rPr>
        <w:t>funding</w:t>
      </w:r>
      <w:r w:rsidRPr="00C411CA">
        <w:rPr>
          <w:rFonts w:ascii="Calibri" w:hAnsi="Calibri"/>
        </w:rPr>
        <w:t xml:space="preserve"> </w:t>
      </w:r>
      <w:r w:rsidRPr="00C411CA">
        <w:rPr>
          <w:rFonts w:ascii="Calibri" w:hAnsi="Calibri"/>
          <w:sz w:val="22"/>
          <w:szCs w:val="22"/>
        </w:rPr>
        <w:t xml:space="preserve">for bachelor places, allocated </w:t>
      </w:r>
      <w:proofErr w:type="gramStart"/>
      <w:r w:rsidRPr="00C411CA">
        <w:rPr>
          <w:rFonts w:ascii="Calibri" w:hAnsi="Calibri"/>
          <w:sz w:val="22"/>
          <w:szCs w:val="22"/>
        </w:rPr>
        <w:t>as a result of</w:t>
      </w:r>
      <w:proofErr w:type="gramEnd"/>
      <w:r w:rsidRPr="00C411CA">
        <w:rPr>
          <w:rFonts w:ascii="Calibri" w:hAnsi="Calibri"/>
          <w:sz w:val="22"/>
          <w:szCs w:val="22"/>
        </w:rPr>
        <w:t xml:space="preserve"> the Provider’s partnership with the Regional University Study Hub/s in Table 1</w:t>
      </w:r>
      <w:r w:rsidR="00D909E4" w:rsidRPr="00C411CA">
        <w:rPr>
          <w:rFonts w:ascii="Calibri" w:hAnsi="Calibri"/>
          <w:sz w:val="22"/>
          <w:szCs w:val="22"/>
        </w:rPr>
        <w:t>b</w:t>
      </w:r>
      <w:r w:rsidRPr="00C411CA">
        <w:rPr>
          <w:rFonts w:ascii="Calibri" w:hAnsi="Calibri"/>
          <w:sz w:val="22"/>
          <w:szCs w:val="22"/>
        </w:rPr>
        <w:t xml:space="preserve">, and must only be used for students being supported by a Hub. </w:t>
      </w:r>
      <w:r w:rsidRPr="00C411CA">
        <w:br/>
      </w:r>
    </w:p>
    <w:p w14:paraId="29F9F930" w14:textId="155B96B9" w:rsidR="003D186F" w:rsidRPr="00304D26" w:rsidRDefault="003D186F" w:rsidP="003D186F">
      <w:pPr>
        <w:widowControl w:val="0"/>
        <w:tabs>
          <w:tab w:val="left" w:pos="284"/>
          <w:tab w:val="left" w:pos="8222"/>
        </w:tabs>
        <w:spacing w:before="120" w:after="120"/>
        <w:rPr>
          <w:rFonts w:ascii="Calibri" w:hAnsi="Calibri"/>
          <w:sz w:val="22"/>
        </w:rPr>
      </w:pPr>
      <w:r w:rsidRPr="00C411CA">
        <w:rPr>
          <w:rFonts w:ascii="Calibri" w:hAnsi="Calibri" w:cs="Arial"/>
          <w:b/>
          <w:bCs/>
          <w:iCs/>
          <w:sz w:val="22"/>
          <w:szCs w:val="22"/>
        </w:rPr>
        <w:t>Table 1</w:t>
      </w:r>
      <w:r w:rsidR="00D909E4" w:rsidRPr="00C411CA">
        <w:rPr>
          <w:rFonts w:ascii="Calibri" w:hAnsi="Calibri" w:cs="Arial"/>
          <w:b/>
          <w:bCs/>
          <w:iCs/>
          <w:sz w:val="22"/>
          <w:szCs w:val="22"/>
        </w:rPr>
        <w:t>b</w:t>
      </w:r>
      <w:r w:rsidRPr="00C411CA">
        <w:rPr>
          <w:rFonts w:ascii="Calibri" w:hAnsi="Calibri" w:cs="Arial"/>
          <w:b/>
          <w:bCs/>
          <w:iCs/>
          <w:sz w:val="22"/>
          <w:szCs w:val="22"/>
        </w:rPr>
        <w:t>. Allocated</w:t>
      </w:r>
      <w:r w:rsidRPr="00304D26">
        <w:rPr>
          <w:rFonts w:ascii="Calibri" w:hAnsi="Calibri" w:cs="Arial"/>
          <w:b/>
          <w:bCs/>
          <w:iCs/>
          <w:sz w:val="22"/>
          <w:szCs w:val="22"/>
        </w:rPr>
        <w:t xml:space="preserve"> R</w:t>
      </w:r>
      <w:r>
        <w:rPr>
          <w:rFonts w:ascii="Calibri" w:hAnsi="Calibri" w:cs="Arial"/>
          <w:b/>
          <w:bCs/>
          <w:iCs/>
          <w:sz w:val="22"/>
          <w:szCs w:val="22"/>
        </w:rPr>
        <w:t>egional University Study Hub</w:t>
      </w:r>
      <w:r w:rsidRPr="00304D26">
        <w:rPr>
          <w:rFonts w:ascii="Calibri" w:hAnsi="Calibri" w:cs="Arial"/>
          <w:b/>
          <w:bCs/>
          <w:iCs/>
          <w:sz w:val="22"/>
          <w:szCs w:val="22"/>
        </w:rPr>
        <w:t xml:space="preserve"> places</w:t>
      </w:r>
      <w:r>
        <w:rPr>
          <w:rFonts w:ascii="Calibri" w:hAnsi="Calibri" w:cs="Arial"/>
          <w:b/>
          <w:bCs/>
          <w:iCs/>
          <w:sz w:val="22"/>
          <w:szCs w:val="22"/>
        </w:rPr>
        <w:t xml:space="preserve"> (EFTSL)</w:t>
      </w:r>
    </w:p>
    <w:tbl>
      <w:tblPr>
        <w:tblStyle w:val="TableGrid"/>
        <w:tblW w:w="5000" w:type="pct"/>
        <w:tblLook w:val="04A0" w:firstRow="1" w:lastRow="0" w:firstColumn="1" w:lastColumn="0" w:noHBand="0" w:noVBand="1"/>
      </w:tblPr>
      <w:tblGrid>
        <w:gridCol w:w="3578"/>
        <w:gridCol w:w="3025"/>
        <w:gridCol w:w="3025"/>
      </w:tblGrid>
      <w:tr w:rsidR="00D01ED3" w:rsidRPr="00A046BC" w14:paraId="4AF5D071" w14:textId="459CEE13" w:rsidTr="00D01ED3">
        <w:trPr>
          <w:trHeight w:val="300"/>
        </w:trPr>
        <w:tc>
          <w:tcPr>
            <w:tcW w:w="1858" w:type="pct"/>
            <w:noWrap/>
            <w:hideMark/>
          </w:tcPr>
          <w:p w14:paraId="75D96466" w14:textId="0CA66E7E" w:rsidR="00D01ED3" w:rsidRPr="00A046BC" w:rsidRDefault="00D01ED3" w:rsidP="00D805D1">
            <w:pPr>
              <w:spacing w:before="120" w:after="120"/>
              <w:jc w:val="center"/>
              <w:rPr>
                <w:rFonts w:ascii="Calibri" w:hAnsi="Calibri"/>
                <w:b/>
                <w:bCs/>
                <w:sz w:val="22"/>
              </w:rPr>
            </w:pPr>
            <w:r>
              <w:rPr>
                <w:rFonts w:ascii="Calibri" w:hAnsi="Calibri"/>
                <w:b/>
                <w:bCs/>
                <w:sz w:val="22"/>
              </w:rPr>
              <w:t xml:space="preserve">Regional University Study Hub </w:t>
            </w:r>
            <w:r w:rsidRPr="00A046BC">
              <w:rPr>
                <w:rFonts w:ascii="Calibri" w:hAnsi="Calibri"/>
                <w:b/>
                <w:bCs/>
                <w:sz w:val="22"/>
              </w:rPr>
              <w:t>Name</w:t>
            </w:r>
          </w:p>
        </w:tc>
        <w:tc>
          <w:tcPr>
            <w:tcW w:w="1571" w:type="pct"/>
            <w:noWrap/>
            <w:hideMark/>
          </w:tcPr>
          <w:p w14:paraId="2FEDA593" w14:textId="04569606" w:rsidR="00D01ED3" w:rsidRPr="00A046BC" w:rsidRDefault="00D01ED3" w:rsidP="00D805D1">
            <w:pPr>
              <w:spacing w:before="120" w:after="120"/>
              <w:jc w:val="center"/>
              <w:rPr>
                <w:rFonts w:ascii="Calibri" w:hAnsi="Calibri"/>
                <w:b/>
                <w:bCs/>
                <w:sz w:val="22"/>
                <w:szCs w:val="22"/>
              </w:rPr>
            </w:pPr>
            <w:r w:rsidRPr="196A4066">
              <w:rPr>
                <w:rFonts w:ascii="Calibri" w:hAnsi="Calibri"/>
                <w:b/>
                <w:bCs/>
                <w:sz w:val="22"/>
                <w:szCs w:val="22"/>
              </w:rPr>
              <w:t>2024 Places</w:t>
            </w:r>
          </w:p>
        </w:tc>
        <w:tc>
          <w:tcPr>
            <w:tcW w:w="1571" w:type="pct"/>
          </w:tcPr>
          <w:p w14:paraId="306615DC" w14:textId="40C2136F" w:rsidR="00D01ED3" w:rsidRPr="196A4066" w:rsidRDefault="00D01ED3" w:rsidP="00D805D1">
            <w:pPr>
              <w:spacing w:before="120" w:after="120"/>
              <w:jc w:val="center"/>
              <w:rPr>
                <w:rFonts w:ascii="Calibri" w:hAnsi="Calibri"/>
                <w:b/>
                <w:bCs/>
                <w:sz w:val="22"/>
                <w:szCs w:val="22"/>
              </w:rPr>
            </w:pPr>
            <w:r>
              <w:rPr>
                <w:rFonts w:ascii="Calibri" w:hAnsi="Calibri"/>
                <w:b/>
                <w:bCs/>
                <w:sz w:val="22"/>
                <w:szCs w:val="22"/>
              </w:rPr>
              <w:t>2025 Places</w:t>
            </w:r>
          </w:p>
        </w:tc>
      </w:tr>
      <w:tr w:rsidR="00D01ED3" w:rsidRPr="00A046BC" w14:paraId="3B2D41F2" w14:textId="57617349" w:rsidTr="00D01ED3">
        <w:trPr>
          <w:trHeight w:val="300"/>
        </w:trPr>
        <w:tc>
          <w:tcPr>
            <w:tcW w:w="1858" w:type="pct"/>
            <w:noWrap/>
            <w:hideMark/>
          </w:tcPr>
          <w:p w14:paraId="534A694C" w14:textId="228A0ABB" w:rsidR="00D01ED3" w:rsidRPr="00A046BC" w:rsidRDefault="00D01ED3" w:rsidP="00D805D1">
            <w:pPr>
              <w:spacing w:before="120" w:after="120"/>
              <w:rPr>
                <w:rFonts w:ascii="Calibri" w:hAnsi="Calibri"/>
                <w:sz w:val="22"/>
              </w:rPr>
            </w:pPr>
            <w:r>
              <w:rPr>
                <w:rFonts w:ascii="Calibri" w:hAnsi="Calibri"/>
                <w:sz w:val="22"/>
              </w:rPr>
              <w:t>Country Universities Centres</w:t>
            </w:r>
          </w:p>
        </w:tc>
        <w:tc>
          <w:tcPr>
            <w:tcW w:w="1571" w:type="pct"/>
            <w:noWrap/>
            <w:hideMark/>
          </w:tcPr>
          <w:p w14:paraId="68B6782D" w14:textId="6E53DB04" w:rsidR="00D01ED3" w:rsidRPr="00A046BC" w:rsidRDefault="00D01ED3" w:rsidP="00D805D1">
            <w:pPr>
              <w:spacing w:before="120" w:after="120"/>
              <w:jc w:val="right"/>
              <w:rPr>
                <w:rFonts w:ascii="Calibri" w:hAnsi="Calibri"/>
                <w:sz w:val="22"/>
              </w:rPr>
            </w:pPr>
            <w:r>
              <w:rPr>
                <w:rFonts w:ascii="Calibri" w:hAnsi="Calibri"/>
                <w:sz w:val="22"/>
              </w:rPr>
              <w:t>97.1</w:t>
            </w:r>
          </w:p>
        </w:tc>
        <w:tc>
          <w:tcPr>
            <w:tcW w:w="1571" w:type="pct"/>
          </w:tcPr>
          <w:p w14:paraId="5090939B" w14:textId="6B250056" w:rsidR="00D01ED3" w:rsidRDefault="00D01ED3" w:rsidP="00D805D1">
            <w:pPr>
              <w:spacing w:before="120" w:after="120"/>
              <w:jc w:val="right"/>
              <w:rPr>
                <w:rFonts w:ascii="Calibri" w:hAnsi="Calibri"/>
                <w:sz w:val="22"/>
              </w:rPr>
            </w:pPr>
            <w:r>
              <w:rPr>
                <w:rFonts w:ascii="Calibri" w:hAnsi="Calibri"/>
                <w:sz w:val="22"/>
              </w:rPr>
              <w:t>97.1</w:t>
            </w:r>
          </w:p>
        </w:tc>
      </w:tr>
    </w:tbl>
    <w:p w14:paraId="39C0C5A6" w14:textId="77777777" w:rsidR="0057713C" w:rsidRDefault="0057713C" w:rsidP="0084164B">
      <w:pPr>
        <w:spacing w:after="200" w:line="276" w:lineRule="auto"/>
        <w:rPr>
          <w:rFonts w:ascii="Calibri" w:hAnsi="Calibri" w:cs="Arial"/>
          <w:b/>
          <w:bCs/>
          <w:sz w:val="20"/>
          <w:szCs w:val="20"/>
        </w:rPr>
      </w:pPr>
    </w:p>
    <w:bookmarkEnd w:id="17"/>
    <w:p w14:paraId="4E2ABEE5" w14:textId="77777777" w:rsidR="00C411CA" w:rsidRDefault="00C411CA" w:rsidP="00033D05">
      <w:pPr>
        <w:tabs>
          <w:tab w:val="left" w:pos="567"/>
          <w:tab w:val="left" w:pos="8222"/>
        </w:tabs>
        <w:spacing w:before="120" w:after="120"/>
        <w:rPr>
          <w:rFonts w:ascii="Calibri" w:hAnsi="Calibri" w:cs="Arial"/>
          <w:bCs/>
          <w:i/>
          <w:sz w:val="22"/>
          <w:szCs w:val="22"/>
        </w:rPr>
      </w:pPr>
    </w:p>
    <w:p w14:paraId="3206BBC1" w14:textId="3CE23C29"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008669D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Providers </w:t>
      </w:r>
      <w:r w:rsidR="001860CC">
        <w:rPr>
          <w:rFonts w:cstheme="minorBidi"/>
          <w:sz w:val="22"/>
          <w:szCs w:val="22"/>
        </w:rPr>
        <w:t>will be required to have</w:t>
      </w:r>
      <w:r w:rsidRPr="001A6067">
        <w:rPr>
          <w:rFonts w:cstheme="minorBidi"/>
          <w:sz w:val="22"/>
          <w:szCs w:val="22"/>
        </w:rPr>
        <w:t xml:space="preserve"> an Equity Plan </w:t>
      </w:r>
      <w:r w:rsidR="001860CC" w:rsidRPr="001860CC">
        <w:rPr>
          <w:rFonts w:cstheme="minorBidi"/>
          <w:sz w:val="22"/>
          <w:szCs w:val="22"/>
        </w:rPr>
        <w:t>to be eligible for future grants under the ‘Higher Education Continuity Guarantee – Equity’ program</w:t>
      </w:r>
      <w:r w:rsidR="001860CC">
        <w:rPr>
          <w:rFonts w:cstheme="minorBidi"/>
          <w:sz w:val="22"/>
          <w:szCs w:val="22"/>
        </w:rPr>
        <w:t>.</w:t>
      </w:r>
      <w:r w:rsidR="001860CC" w:rsidRPr="001860CC">
        <w:rPr>
          <w:rFonts w:cstheme="minorBidi"/>
          <w:sz w:val="22"/>
          <w:szCs w:val="22"/>
        </w:rPr>
        <w:t xml:space="preserve"> </w:t>
      </w:r>
      <w:r w:rsidRPr="001A6067">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29090A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741A06">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1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2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618E4E1" w14:textId="5C0D192F" w:rsidR="00DB3375" w:rsidRPr="00DB3375" w:rsidRDefault="000C57A7" w:rsidP="00DB3375">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w:t>
      </w:r>
      <w:r w:rsidRPr="00C411CA">
        <w:rPr>
          <w:rFonts w:ascii="Calibri" w:hAnsi="Calibri" w:cs="Arial"/>
          <w:b/>
          <w:sz w:val="22"/>
          <w:szCs w:val="22"/>
        </w:rPr>
        <w:t>HEPPP, RLP and ELP funding</w:t>
      </w:r>
      <w:bookmarkStart w:id="21" w:name="IRLSAFTable"/>
      <w:bookmarkEnd w:id="21"/>
    </w:p>
    <w:tbl>
      <w:tblPr>
        <w:tblW w:w="5000" w:type="pct"/>
        <w:tblLook w:val="04A0" w:firstRow="1" w:lastRow="0" w:firstColumn="1" w:lastColumn="0" w:noHBand="0" w:noVBand="1"/>
      </w:tblPr>
      <w:tblGrid>
        <w:gridCol w:w="5482"/>
        <w:gridCol w:w="2074"/>
        <w:gridCol w:w="2072"/>
      </w:tblGrid>
      <w:tr w:rsidR="00DB3375" w14:paraId="223B6FAD" w14:textId="77777777" w:rsidTr="00571E16">
        <w:trPr>
          <w:trHeight w:val="465"/>
        </w:trPr>
        <w:tc>
          <w:tcPr>
            <w:tcW w:w="28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113F37" w14:textId="77777777" w:rsidR="00DB3375" w:rsidRDefault="00DB3375">
            <w:pPr>
              <w:rPr>
                <w:rFonts w:ascii="Calibri" w:hAnsi="Calibri" w:cs="Calibri"/>
                <w:b/>
                <w:bCs/>
                <w:color w:val="000000"/>
                <w:sz w:val="22"/>
                <w:szCs w:val="22"/>
              </w:rPr>
            </w:pPr>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34B2F2A7" w14:textId="77777777" w:rsidR="00DB3375" w:rsidRDefault="00DB3375">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5013CA0F" w14:textId="77777777" w:rsidR="00DB3375" w:rsidRDefault="00DB3375">
            <w:pPr>
              <w:jc w:val="center"/>
              <w:rPr>
                <w:rFonts w:ascii="Calibri" w:hAnsi="Calibri" w:cs="Calibri"/>
                <w:b/>
                <w:bCs/>
                <w:color w:val="000000"/>
                <w:sz w:val="22"/>
                <w:szCs w:val="22"/>
              </w:rPr>
            </w:pPr>
            <w:r>
              <w:rPr>
                <w:rFonts w:ascii="Calibri" w:hAnsi="Calibri" w:cs="Calibri"/>
                <w:b/>
                <w:bCs/>
                <w:color w:val="000000"/>
                <w:sz w:val="22"/>
                <w:szCs w:val="22"/>
              </w:rPr>
              <w:t>2025</w:t>
            </w:r>
          </w:p>
        </w:tc>
      </w:tr>
      <w:tr w:rsidR="00DB3375" w14:paraId="7C5C55EA" w14:textId="77777777" w:rsidTr="00571E16">
        <w:trPr>
          <w:trHeight w:val="465"/>
        </w:trPr>
        <w:tc>
          <w:tcPr>
            <w:tcW w:w="2847" w:type="pct"/>
            <w:tcBorders>
              <w:top w:val="nil"/>
              <w:left w:val="single" w:sz="4" w:space="0" w:color="auto"/>
              <w:bottom w:val="single" w:sz="4" w:space="0" w:color="auto"/>
              <w:right w:val="single" w:sz="4" w:space="0" w:color="auto"/>
            </w:tcBorders>
            <w:vAlign w:val="center"/>
            <w:hideMark/>
          </w:tcPr>
          <w:p w14:paraId="5D380B99" w14:textId="77777777" w:rsidR="00DB3375" w:rsidRDefault="00DB3375">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vAlign w:val="center"/>
            <w:hideMark/>
          </w:tcPr>
          <w:p w14:paraId="4A21DEEC" w14:textId="747D8957" w:rsidR="00DB3375" w:rsidRDefault="001860CC">
            <w:pPr>
              <w:jc w:val="center"/>
              <w:rPr>
                <w:rFonts w:ascii="Calibri" w:hAnsi="Calibri" w:cs="Calibri"/>
                <w:color w:val="000000"/>
                <w:sz w:val="22"/>
                <w:szCs w:val="22"/>
              </w:rPr>
            </w:pPr>
            <w:r w:rsidRPr="001860CC">
              <w:rPr>
                <w:rFonts w:ascii="Calibri" w:hAnsi="Calibri" w:cs="Calibri"/>
                <w:color w:val="000000"/>
                <w:sz w:val="22"/>
                <w:szCs w:val="22"/>
              </w:rPr>
              <w:t>$4,969,750</w:t>
            </w:r>
          </w:p>
        </w:tc>
        <w:tc>
          <w:tcPr>
            <w:tcW w:w="1077" w:type="pct"/>
            <w:tcBorders>
              <w:top w:val="nil"/>
              <w:left w:val="nil"/>
              <w:bottom w:val="single" w:sz="4" w:space="0" w:color="auto"/>
              <w:right w:val="single" w:sz="4" w:space="0" w:color="auto"/>
            </w:tcBorders>
            <w:vAlign w:val="center"/>
            <w:hideMark/>
          </w:tcPr>
          <w:p w14:paraId="1071E49F" w14:textId="23538CE4" w:rsidR="00DB3375" w:rsidRDefault="00867798" w:rsidP="00867798">
            <w:pPr>
              <w:jc w:val="center"/>
              <w:rPr>
                <w:rFonts w:ascii="Calibri" w:hAnsi="Calibri" w:cs="Calibri"/>
                <w:color w:val="000000"/>
                <w:sz w:val="22"/>
                <w:szCs w:val="22"/>
              </w:rPr>
            </w:pPr>
            <w:r>
              <w:rPr>
                <w:rFonts w:ascii="Calibri" w:hAnsi="Calibri" w:cs="Calibri"/>
                <w:color w:val="000000"/>
                <w:sz w:val="22"/>
                <w:szCs w:val="22"/>
              </w:rPr>
              <w:t>$5,070,841</w:t>
            </w:r>
          </w:p>
        </w:tc>
      </w:tr>
      <w:tr w:rsidR="00DB3375" w14:paraId="263DE510" w14:textId="77777777" w:rsidTr="00571E16">
        <w:trPr>
          <w:trHeight w:val="465"/>
        </w:trPr>
        <w:tc>
          <w:tcPr>
            <w:tcW w:w="2847" w:type="pct"/>
            <w:tcBorders>
              <w:top w:val="nil"/>
              <w:left w:val="single" w:sz="4" w:space="0" w:color="auto"/>
              <w:bottom w:val="single" w:sz="4" w:space="0" w:color="auto"/>
              <w:right w:val="single" w:sz="4" w:space="0" w:color="auto"/>
            </w:tcBorders>
            <w:vAlign w:val="center"/>
            <w:hideMark/>
          </w:tcPr>
          <w:p w14:paraId="7D58EE03" w14:textId="77777777" w:rsidR="00DB3375" w:rsidRDefault="00DB3375">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vAlign w:val="center"/>
            <w:hideMark/>
          </w:tcPr>
          <w:p w14:paraId="57AFDA9B" w14:textId="0490F1D3" w:rsidR="00DB3375" w:rsidRDefault="001860CC">
            <w:pPr>
              <w:jc w:val="center"/>
              <w:rPr>
                <w:rFonts w:ascii="Calibri" w:hAnsi="Calibri" w:cs="Calibri"/>
                <w:color w:val="000000"/>
                <w:sz w:val="22"/>
                <w:szCs w:val="22"/>
              </w:rPr>
            </w:pPr>
            <w:r w:rsidRPr="001860CC">
              <w:rPr>
                <w:rFonts w:ascii="Calibri" w:hAnsi="Calibri" w:cs="Calibri"/>
                <w:color w:val="000000"/>
                <w:sz w:val="22"/>
                <w:szCs w:val="22"/>
              </w:rPr>
              <w:t>$3,994,040</w:t>
            </w:r>
          </w:p>
        </w:tc>
        <w:tc>
          <w:tcPr>
            <w:tcW w:w="1077" w:type="pct"/>
            <w:tcBorders>
              <w:top w:val="nil"/>
              <w:left w:val="nil"/>
              <w:bottom w:val="single" w:sz="4" w:space="0" w:color="auto"/>
              <w:right w:val="single" w:sz="4" w:space="0" w:color="auto"/>
            </w:tcBorders>
            <w:vAlign w:val="center"/>
            <w:hideMark/>
          </w:tcPr>
          <w:p w14:paraId="10624D58" w14:textId="77777777" w:rsidR="00DB3375" w:rsidRDefault="00DB3375">
            <w:pPr>
              <w:jc w:val="center"/>
              <w:rPr>
                <w:rFonts w:ascii="Calibri" w:hAnsi="Calibri" w:cs="Calibri"/>
                <w:color w:val="000000"/>
                <w:sz w:val="22"/>
                <w:szCs w:val="22"/>
              </w:rPr>
            </w:pPr>
            <w:r>
              <w:rPr>
                <w:rFonts w:ascii="Calibri" w:hAnsi="Calibri" w:cs="Calibri"/>
                <w:color w:val="000000"/>
                <w:sz w:val="22"/>
                <w:szCs w:val="22"/>
              </w:rPr>
              <w:t>TBA</w:t>
            </w:r>
          </w:p>
        </w:tc>
      </w:tr>
      <w:tr w:rsidR="00DB3375" w14:paraId="2E07E534" w14:textId="77777777" w:rsidTr="00571E16">
        <w:trPr>
          <w:trHeight w:val="465"/>
        </w:trPr>
        <w:tc>
          <w:tcPr>
            <w:tcW w:w="2847" w:type="pct"/>
            <w:tcBorders>
              <w:top w:val="nil"/>
              <w:left w:val="single" w:sz="4" w:space="0" w:color="auto"/>
              <w:bottom w:val="single" w:sz="4" w:space="0" w:color="auto"/>
              <w:right w:val="single" w:sz="4" w:space="0" w:color="auto"/>
            </w:tcBorders>
            <w:vAlign w:val="center"/>
            <w:hideMark/>
          </w:tcPr>
          <w:p w14:paraId="2F896437" w14:textId="77777777" w:rsidR="00DB3375" w:rsidRDefault="00DB3375">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vAlign w:val="center"/>
            <w:hideMark/>
          </w:tcPr>
          <w:p w14:paraId="44D65DCF" w14:textId="5FAA177D" w:rsidR="00DB3375" w:rsidRDefault="001860CC">
            <w:pPr>
              <w:jc w:val="center"/>
              <w:rPr>
                <w:rFonts w:ascii="Calibri" w:hAnsi="Calibri" w:cs="Calibri"/>
                <w:color w:val="000000"/>
                <w:sz w:val="22"/>
                <w:szCs w:val="22"/>
              </w:rPr>
            </w:pPr>
            <w:r w:rsidRPr="001860CC">
              <w:rPr>
                <w:rFonts w:ascii="Calibri" w:hAnsi="Calibri" w:cs="Calibri"/>
                <w:color w:val="000000"/>
                <w:sz w:val="22"/>
                <w:szCs w:val="22"/>
              </w:rPr>
              <w:t>$279,792</w:t>
            </w:r>
          </w:p>
        </w:tc>
        <w:tc>
          <w:tcPr>
            <w:tcW w:w="1077" w:type="pct"/>
            <w:tcBorders>
              <w:top w:val="nil"/>
              <w:left w:val="nil"/>
              <w:bottom w:val="single" w:sz="4" w:space="0" w:color="auto"/>
              <w:right w:val="single" w:sz="4" w:space="0" w:color="auto"/>
            </w:tcBorders>
            <w:vAlign w:val="center"/>
            <w:hideMark/>
          </w:tcPr>
          <w:p w14:paraId="6ED9A124" w14:textId="0629A9BE" w:rsidR="00DB3375" w:rsidRDefault="002470E2">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87E087F" w:rsidR="000C57A7" w:rsidRDefault="000C57A7" w:rsidP="7704FC00">
      <w:pPr>
        <w:spacing w:after="200" w:line="276" w:lineRule="auto"/>
        <w:rPr>
          <w:rFonts w:cstheme="minorBidi"/>
          <w:sz w:val="22"/>
          <w:szCs w:val="22"/>
        </w:rPr>
      </w:pP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22" w:name="Enabling"/>
      <w:bookmarkEnd w:id="20"/>
      <w:r w:rsidRPr="003337FC">
        <w:rPr>
          <w:rFonts w:cstheme="minorHAnsi"/>
          <w:b/>
          <w:bCs/>
          <w:sz w:val="22"/>
          <w:szCs w:val="22"/>
        </w:rPr>
        <w:t>Allocation of places for the purposes of the ELP</w:t>
      </w:r>
    </w:p>
    <w:p w14:paraId="59C652A7" w14:textId="3FD7BD86"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492134" w:rsidRPr="00C411CA">
        <w:rPr>
          <w:rFonts w:ascii="Calibri" w:hAnsi="Calibri"/>
          <w:sz w:val="22"/>
        </w:rPr>
        <w:t>72</w:t>
      </w:r>
      <w:r w:rsidR="004A35E5" w:rsidRPr="00C411CA">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2024 2025</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22"/>
    <w:p w14:paraId="5A6EC058" w14:textId="77777777" w:rsidR="00C411CA" w:rsidRDefault="00C411CA">
      <w:pPr>
        <w:rPr>
          <w:rFonts w:ascii="Calibri" w:hAnsi="Calibri" w:cs="Arial"/>
          <w:b/>
          <w:sz w:val="22"/>
          <w:szCs w:val="22"/>
        </w:rPr>
      </w:pPr>
      <w:r>
        <w:rPr>
          <w:rFonts w:ascii="Calibri" w:hAnsi="Calibri" w:cs="Arial"/>
          <w:b/>
          <w:sz w:val="22"/>
          <w:szCs w:val="22"/>
        </w:rPr>
        <w:br w:type="page"/>
      </w:r>
    </w:p>
    <w:p w14:paraId="584556F0" w14:textId="53435DB5"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113A36D5" w:rsidR="00CB7A1E" w:rsidRPr="00B3678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19"/>
    </w:p>
    <w:p w14:paraId="2A6C7F84" w14:textId="77777777" w:rsidR="00B3678C" w:rsidRDefault="00B3678C" w:rsidP="00B3678C">
      <w:pPr>
        <w:widowControl w:val="0"/>
        <w:spacing w:before="120" w:after="120"/>
        <w:rPr>
          <w:rFonts w:ascii="Calibri" w:hAnsi="Calibri"/>
          <w:sz w:val="22"/>
        </w:rPr>
      </w:pPr>
    </w:p>
    <w:p w14:paraId="1A19091B" w14:textId="77777777" w:rsidR="00B3678C" w:rsidRDefault="00B3678C" w:rsidP="00B3678C">
      <w:pPr>
        <w:widowControl w:val="0"/>
        <w:spacing w:before="120" w:after="120"/>
        <w:rPr>
          <w:rFonts w:ascii="Calibri" w:hAnsi="Calibri"/>
          <w:sz w:val="22"/>
        </w:rPr>
      </w:pPr>
    </w:p>
    <w:p w14:paraId="1F7A97AC" w14:textId="77777777" w:rsidR="00B3678C" w:rsidRDefault="00B3678C" w:rsidP="00B3678C">
      <w:pPr>
        <w:widowControl w:val="0"/>
        <w:spacing w:before="120" w:after="120"/>
        <w:rPr>
          <w:rFonts w:ascii="Calibri" w:hAnsi="Calibri"/>
          <w:sz w:val="22"/>
        </w:rPr>
      </w:pPr>
    </w:p>
    <w:p w14:paraId="138648E2" w14:textId="77777777" w:rsidR="00B3678C" w:rsidRDefault="00B3678C" w:rsidP="00B3678C">
      <w:pPr>
        <w:widowControl w:val="0"/>
        <w:spacing w:before="120" w:after="120"/>
        <w:rPr>
          <w:rFonts w:ascii="Calibri" w:hAnsi="Calibri"/>
          <w:sz w:val="22"/>
        </w:rPr>
      </w:pPr>
    </w:p>
    <w:p w14:paraId="13FC3682" w14:textId="77777777" w:rsidR="00B3678C" w:rsidRDefault="00B3678C" w:rsidP="00B3678C">
      <w:pPr>
        <w:widowControl w:val="0"/>
        <w:spacing w:before="120" w:after="120"/>
        <w:rPr>
          <w:rFonts w:ascii="Calibri" w:hAnsi="Calibri"/>
          <w:sz w:val="22"/>
        </w:rPr>
      </w:pPr>
    </w:p>
    <w:p w14:paraId="6FA1783E" w14:textId="77777777" w:rsidR="00B3678C" w:rsidRDefault="00B3678C" w:rsidP="00B3678C">
      <w:pPr>
        <w:widowControl w:val="0"/>
        <w:spacing w:before="120" w:after="120"/>
        <w:rPr>
          <w:rFonts w:ascii="Calibri" w:hAnsi="Calibri"/>
          <w:sz w:val="22"/>
        </w:rPr>
      </w:pPr>
    </w:p>
    <w:p w14:paraId="25324498" w14:textId="77777777" w:rsidR="00B3678C" w:rsidRDefault="00B3678C" w:rsidP="00B3678C">
      <w:pPr>
        <w:widowControl w:val="0"/>
        <w:spacing w:before="120" w:after="120"/>
        <w:rPr>
          <w:rFonts w:ascii="Calibri" w:hAnsi="Calibri"/>
          <w:sz w:val="22"/>
        </w:rPr>
      </w:pPr>
    </w:p>
    <w:p w14:paraId="4B2DADAB" w14:textId="77777777" w:rsidR="00B3678C" w:rsidRDefault="00B3678C" w:rsidP="00B3678C">
      <w:pPr>
        <w:widowControl w:val="0"/>
        <w:spacing w:before="120" w:after="120"/>
        <w:rPr>
          <w:rFonts w:ascii="Calibri" w:hAnsi="Calibri"/>
          <w:sz w:val="22"/>
        </w:rPr>
      </w:pPr>
    </w:p>
    <w:p w14:paraId="7FF6E1B3" w14:textId="77777777" w:rsidR="00B3678C" w:rsidRDefault="00B3678C" w:rsidP="00B3678C">
      <w:pPr>
        <w:widowControl w:val="0"/>
        <w:spacing w:before="120" w:after="120"/>
        <w:rPr>
          <w:rFonts w:ascii="Calibri" w:hAnsi="Calibri"/>
          <w:sz w:val="22"/>
        </w:rPr>
      </w:pPr>
    </w:p>
    <w:p w14:paraId="7EE40CF7" w14:textId="77777777" w:rsidR="00B3678C" w:rsidRDefault="00B3678C" w:rsidP="00B3678C">
      <w:pPr>
        <w:widowControl w:val="0"/>
        <w:spacing w:before="120" w:after="120"/>
        <w:rPr>
          <w:rFonts w:ascii="Calibri" w:hAnsi="Calibri"/>
          <w:sz w:val="22"/>
        </w:rPr>
      </w:pPr>
    </w:p>
    <w:p w14:paraId="5B8EBBF2" w14:textId="77777777" w:rsidR="00B3678C" w:rsidRDefault="00B3678C" w:rsidP="00B3678C">
      <w:pPr>
        <w:widowControl w:val="0"/>
        <w:spacing w:before="120" w:after="120"/>
        <w:rPr>
          <w:rFonts w:ascii="Calibri" w:hAnsi="Calibri"/>
          <w:sz w:val="22"/>
        </w:rPr>
      </w:pPr>
    </w:p>
    <w:p w14:paraId="10212643" w14:textId="77777777" w:rsidR="00B3678C" w:rsidRDefault="00B3678C" w:rsidP="00B3678C">
      <w:pPr>
        <w:widowControl w:val="0"/>
        <w:spacing w:before="120" w:after="120"/>
        <w:rPr>
          <w:rFonts w:ascii="Calibri" w:hAnsi="Calibri"/>
          <w:sz w:val="22"/>
        </w:rPr>
      </w:pPr>
    </w:p>
    <w:p w14:paraId="4E3B91FD" w14:textId="77777777" w:rsidR="00B3678C" w:rsidRDefault="00B3678C" w:rsidP="00B3678C">
      <w:pPr>
        <w:widowControl w:val="0"/>
        <w:spacing w:before="120" w:after="120"/>
        <w:rPr>
          <w:rFonts w:ascii="Calibri" w:hAnsi="Calibri"/>
          <w:sz w:val="22"/>
        </w:rPr>
      </w:pPr>
    </w:p>
    <w:p w14:paraId="1A0DF68E" w14:textId="77777777" w:rsidR="00B3678C" w:rsidRDefault="00B3678C" w:rsidP="00B3678C">
      <w:pPr>
        <w:widowControl w:val="0"/>
        <w:spacing w:before="120" w:after="120"/>
        <w:rPr>
          <w:rFonts w:ascii="Calibri" w:hAnsi="Calibri"/>
          <w:sz w:val="22"/>
        </w:rPr>
      </w:pPr>
    </w:p>
    <w:p w14:paraId="5270C7A0" w14:textId="77777777" w:rsidR="00B3678C" w:rsidRDefault="00B3678C" w:rsidP="00B3678C">
      <w:pPr>
        <w:widowControl w:val="0"/>
        <w:spacing w:before="120" w:after="120"/>
        <w:rPr>
          <w:rFonts w:ascii="Calibri" w:hAnsi="Calibri"/>
          <w:sz w:val="22"/>
        </w:rPr>
      </w:pPr>
    </w:p>
    <w:p w14:paraId="6780C2B3" w14:textId="77777777" w:rsidR="00B3678C" w:rsidRDefault="00B3678C" w:rsidP="00B3678C">
      <w:pPr>
        <w:widowControl w:val="0"/>
        <w:spacing w:before="120" w:after="120"/>
        <w:rPr>
          <w:rFonts w:ascii="Calibri" w:hAnsi="Calibri"/>
          <w:sz w:val="22"/>
        </w:rPr>
      </w:pPr>
    </w:p>
    <w:p w14:paraId="7026A526" w14:textId="77777777" w:rsidR="00B3678C" w:rsidRDefault="00B3678C" w:rsidP="00B3678C">
      <w:pPr>
        <w:widowControl w:val="0"/>
        <w:spacing w:before="120" w:after="120"/>
        <w:rPr>
          <w:rFonts w:ascii="Calibri" w:hAnsi="Calibri"/>
          <w:sz w:val="22"/>
        </w:rPr>
      </w:pPr>
    </w:p>
    <w:p w14:paraId="68FEEEF3" w14:textId="77777777" w:rsidR="00B3678C" w:rsidRDefault="00B3678C" w:rsidP="00B3678C">
      <w:pPr>
        <w:widowControl w:val="0"/>
        <w:spacing w:before="120" w:after="120"/>
        <w:rPr>
          <w:rFonts w:ascii="Calibri" w:hAnsi="Calibri"/>
          <w:sz w:val="22"/>
        </w:rPr>
      </w:pPr>
    </w:p>
    <w:p w14:paraId="08F2C8C4" w14:textId="77777777" w:rsidR="00B3678C" w:rsidRDefault="00B3678C" w:rsidP="00B3678C">
      <w:pPr>
        <w:widowControl w:val="0"/>
        <w:spacing w:before="120" w:after="120"/>
        <w:rPr>
          <w:rFonts w:ascii="Calibri" w:hAnsi="Calibri"/>
          <w:sz w:val="22"/>
        </w:rPr>
      </w:pPr>
    </w:p>
    <w:p w14:paraId="343758D3" w14:textId="77777777" w:rsidR="00B3678C" w:rsidRDefault="00B3678C" w:rsidP="00B3678C">
      <w:pPr>
        <w:widowControl w:val="0"/>
        <w:spacing w:before="120" w:after="120"/>
        <w:rPr>
          <w:rFonts w:ascii="Calibri" w:hAnsi="Calibri"/>
          <w:sz w:val="22"/>
        </w:rPr>
      </w:pPr>
    </w:p>
    <w:p w14:paraId="15361DF6" w14:textId="77777777" w:rsidR="00B3678C" w:rsidRDefault="00B3678C" w:rsidP="00B3678C">
      <w:pPr>
        <w:widowControl w:val="0"/>
        <w:spacing w:before="120" w:after="120"/>
        <w:rPr>
          <w:rFonts w:ascii="Calibri" w:hAnsi="Calibri"/>
          <w:sz w:val="22"/>
        </w:rPr>
      </w:pPr>
    </w:p>
    <w:p w14:paraId="1582A47F" w14:textId="77777777" w:rsidR="00B3678C" w:rsidRDefault="00B3678C" w:rsidP="00B3678C">
      <w:pPr>
        <w:widowControl w:val="0"/>
        <w:spacing w:before="120" w:after="120"/>
        <w:rPr>
          <w:rFonts w:ascii="Calibri" w:hAnsi="Calibri"/>
          <w:sz w:val="22"/>
        </w:rPr>
      </w:pPr>
    </w:p>
    <w:p w14:paraId="60AC0DD5" w14:textId="77777777" w:rsidR="00B3678C" w:rsidRDefault="00B3678C" w:rsidP="00B3678C">
      <w:pPr>
        <w:widowControl w:val="0"/>
        <w:spacing w:before="120" w:after="120"/>
        <w:rPr>
          <w:rFonts w:ascii="Calibri" w:hAnsi="Calibri"/>
          <w:sz w:val="22"/>
        </w:rPr>
      </w:pPr>
    </w:p>
    <w:p w14:paraId="4045D082" w14:textId="77777777" w:rsidR="00B3678C" w:rsidRDefault="00B3678C" w:rsidP="00B3678C">
      <w:pPr>
        <w:widowControl w:val="0"/>
        <w:spacing w:before="120" w:after="120"/>
        <w:rPr>
          <w:rFonts w:ascii="Calibri" w:hAnsi="Calibri"/>
          <w:sz w:val="22"/>
        </w:rPr>
      </w:pPr>
    </w:p>
    <w:p w14:paraId="708254BD" w14:textId="77777777" w:rsidR="00B3678C" w:rsidRDefault="00B3678C" w:rsidP="00B3678C">
      <w:pPr>
        <w:widowControl w:val="0"/>
        <w:spacing w:before="120" w:after="120"/>
        <w:rPr>
          <w:rFonts w:ascii="Calibri" w:hAnsi="Calibri"/>
          <w:sz w:val="22"/>
        </w:rPr>
      </w:pPr>
    </w:p>
    <w:p w14:paraId="529E3185" w14:textId="77777777" w:rsidR="00B3678C" w:rsidRDefault="00B3678C" w:rsidP="00B3678C">
      <w:pPr>
        <w:widowControl w:val="0"/>
        <w:spacing w:before="120" w:after="120"/>
        <w:rPr>
          <w:rFonts w:ascii="Calibri" w:hAnsi="Calibri"/>
          <w:sz w:val="22"/>
        </w:rPr>
      </w:pPr>
    </w:p>
    <w:p w14:paraId="0E17EE29" w14:textId="77777777" w:rsidR="00B3678C" w:rsidRDefault="00B3678C" w:rsidP="00B3678C">
      <w:pPr>
        <w:widowControl w:val="0"/>
        <w:spacing w:before="120" w:after="120"/>
        <w:rPr>
          <w:rFonts w:ascii="Calibri" w:hAnsi="Calibri"/>
          <w:sz w:val="22"/>
        </w:rPr>
      </w:pPr>
    </w:p>
    <w:p w14:paraId="09CE4C56" w14:textId="77777777" w:rsidR="00B3678C" w:rsidRDefault="00B3678C" w:rsidP="00B3678C">
      <w:pPr>
        <w:widowControl w:val="0"/>
        <w:spacing w:before="120" w:after="120"/>
        <w:rPr>
          <w:rFonts w:ascii="Calibri" w:hAnsi="Calibri"/>
          <w:sz w:val="22"/>
        </w:rPr>
      </w:pPr>
    </w:p>
    <w:p w14:paraId="73663EAE" w14:textId="77777777" w:rsidR="00B3678C" w:rsidRDefault="00B3678C" w:rsidP="00B3678C">
      <w:pPr>
        <w:widowControl w:val="0"/>
        <w:spacing w:before="120" w:after="120"/>
        <w:rPr>
          <w:rFonts w:ascii="Calibri" w:hAnsi="Calibri"/>
          <w:sz w:val="22"/>
        </w:rPr>
      </w:pPr>
    </w:p>
    <w:p w14:paraId="1AD1CFDA" w14:textId="77777777" w:rsidR="00B3678C" w:rsidRDefault="00B3678C" w:rsidP="00B3678C">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0309F939" w:rsidR="00AF4A16" w:rsidRPr="0088616E" w:rsidRDefault="00131F92"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La Trobe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31BF0773" w:rsidR="00AF4A16" w:rsidRPr="0088616E" w:rsidRDefault="00131F92" w:rsidP="00AF4A16">
    <w:pPr>
      <w:pStyle w:val="Header"/>
      <w:pBdr>
        <w:bottom w:val="single" w:sz="4" w:space="0" w:color="auto"/>
      </w:pBdr>
      <w:rPr>
        <w:rFonts w:ascii="Calibri" w:hAnsi="Calibri" w:cs="Arial"/>
        <w:sz w:val="16"/>
        <w:szCs w:val="16"/>
      </w:rPr>
    </w:pPr>
    <w:r>
      <w:rPr>
        <w:rFonts w:ascii="Calibri" w:hAnsi="Calibri" w:cs="Arial"/>
        <w:noProof/>
        <w:sz w:val="16"/>
        <w:szCs w:val="16"/>
      </w:rPr>
      <w:t>La Trobe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1F1C0A16" w:rsidR="00AF4A16" w:rsidRPr="0088616E" w:rsidRDefault="00131F92"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La Trobe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D49"/>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350A"/>
    <w:rsid w:val="000542C2"/>
    <w:rsid w:val="00056255"/>
    <w:rsid w:val="0005667D"/>
    <w:rsid w:val="00057255"/>
    <w:rsid w:val="0006062B"/>
    <w:rsid w:val="000608B6"/>
    <w:rsid w:val="00061544"/>
    <w:rsid w:val="00061660"/>
    <w:rsid w:val="000623B5"/>
    <w:rsid w:val="00062418"/>
    <w:rsid w:val="00062A0D"/>
    <w:rsid w:val="00064D22"/>
    <w:rsid w:val="00065AE6"/>
    <w:rsid w:val="00065CF1"/>
    <w:rsid w:val="000665DF"/>
    <w:rsid w:val="00067104"/>
    <w:rsid w:val="0007021C"/>
    <w:rsid w:val="000702B7"/>
    <w:rsid w:val="0007044C"/>
    <w:rsid w:val="00070607"/>
    <w:rsid w:val="00070674"/>
    <w:rsid w:val="00070DEB"/>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5B03"/>
    <w:rsid w:val="000C6423"/>
    <w:rsid w:val="000C6D01"/>
    <w:rsid w:val="000C6D8A"/>
    <w:rsid w:val="000C778B"/>
    <w:rsid w:val="000C7D12"/>
    <w:rsid w:val="000C7D3C"/>
    <w:rsid w:val="000D1BEC"/>
    <w:rsid w:val="000D2474"/>
    <w:rsid w:val="000D3841"/>
    <w:rsid w:val="000D3FA3"/>
    <w:rsid w:val="000D409B"/>
    <w:rsid w:val="000D5549"/>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1D1"/>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890"/>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1F92"/>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0CC"/>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A7D62"/>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164D8"/>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0E2"/>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467"/>
    <w:rsid w:val="0028171A"/>
    <w:rsid w:val="002819E8"/>
    <w:rsid w:val="002821A5"/>
    <w:rsid w:val="00282681"/>
    <w:rsid w:val="002826F8"/>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565F"/>
    <w:rsid w:val="00296F06"/>
    <w:rsid w:val="00296F90"/>
    <w:rsid w:val="00297791"/>
    <w:rsid w:val="002A01FE"/>
    <w:rsid w:val="002A1C2A"/>
    <w:rsid w:val="002A2490"/>
    <w:rsid w:val="002A3522"/>
    <w:rsid w:val="002A36A2"/>
    <w:rsid w:val="002A3FBF"/>
    <w:rsid w:val="002A421F"/>
    <w:rsid w:val="002A4B7C"/>
    <w:rsid w:val="002A60A5"/>
    <w:rsid w:val="002A6D74"/>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2F8D"/>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B9F"/>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86F"/>
    <w:rsid w:val="003D19C0"/>
    <w:rsid w:val="003D1C1B"/>
    <w:rsid w:val="003D2973"/>
    <w:rsid w:val="003D29E2"/>
    <w:rsid w:val="003D3234"/>
    <w:rsid w:val="003D35BC"/>
    <w:rsid w:val="003D434C"/>
    <w:rsid w:val="003D45B4"/>
    <w:rsid w:val="003D47C7"/>
    <w:rsid w:val="003D52DC"/>
    <w:rsid w:val="003D7645"/>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1F13"/>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21B"/>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2134"/>
    <w:rsid w:val="00492EE0"/>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A7A1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550A"/>
    <w:rsid w:val="004D65FE"/>
    <w:rsid w:val="004D6EAF"/>
    <w:rsid w:val="004D79C5"/>
    <w:rsid w:val="004D7EFB"/>
    <w:rsid w:val="004E1635"/>
    <w:rsid w:val="004E177A"/>
    <w:rsid w:val="004E1A18"/>
    <w:rsid w:val="004E2DE0"/>
    <w:rsid w:val="004E5E1D"/>
    <w:rsid w:val="004E5F79"/>
    <w:rsid w:val="004E69CC"/>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0FF"/>
    <w:rsid w:val="00556AE1"/>
    <w:rsid w:val="00557D5F"/>
    <w:rsid w:val="005626F0"/>
    <w:rsid w:val="00562956"/>
    <w:rsid w:val="00562A5B"/>
    <w:rsid w:val="0056344D"/>
    <w:rsid w:val="00563F74"/>
    <w:rsid w:val="005641BF"/>
    <w:rsid w:val="0056487A"/>
    <w:rsid w:val="00567BE0"/>
    <w:rsid w:val="00571E16"/>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568"/>
    <w:rsid w:val="00593815"/>
    <w:rsid w:val="00593DA4"/>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5BE0"/>
    <w:rsid w:val="005C6CE6"/>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56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0C9A"/>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A0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291F"/>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324C"/>
    <w:rsid w:val="0077427E"/>
    <w:rsid w:val="00774281"/>
    <w:rsid w:val="0077454A"/>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96C73"/>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864"/>
    <w:rsid w:val="007B4CA2"/>
    <w:rsid w:val="007B4E0E"/>
    <w:rsid w:val="007B4E22"/>
    <w:rsid w:val="007B5AF5"/>
    <w:rsid w:val="007B62E6"/>
    <w:rsid w:val="007B67CE"/>
    <w:rsid w:val="007B7B5D"/>
    <w:rsid w:val="007C0CC0"/>
    <w:rsid w:val="007C1376"/>
    <w:rsid w:val="007C15A2"/>
    <w:rsid w:val="007C15C4"/>
    <w:rsid w:val="007C1A1B"/>
    <w:rsid w:val="007C1DD4"/>
    <w:rsid w:val="007C2171"/>
    <w:rsid w:val="007C3AED"/>
    <w:rsid w:val="007C4520"/>
    <w:rsid w:val="007C47AE"/>
    <w:rsid w:val="007C4835"/>
    <w:rsid w:val="007C4FD9"/>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05D9"/>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53F7"/>
    <w:rsid w:val="008064DF"/>
    <w:rsid w:val="00806BF1"/>
    <w:rsid w:val="008074F7"/>
    <w:rsid w:val="00807759"/>
    <w:rsid w:val="0081060E"/>
    <w:rsid w:val="00810F00"/>
    <w:rsid w:val="008113AA"/>
    <w:rsid w:val="0081156F"/>
    <w:rsid w:val="00811C04"/>
    <w:rsid w:val="00812DA2"/>
    <w:rsid w:val="00813300"/>
    <w:rsid w:val="00813898"/>
    <w:rsid w:val="0081394C"/>
    <w:rsid w:val="00816DD1"/>
    <w:rsid w:val="00820134"/>
    <w:rsid w:val="008205AE"/>
    <w:rsid w:val="00820624"/>
    <w:rsid w:val="0082086C"/>
    <w:rsid w:val="008213CC"/>
    <w:rsid w:val="008218A4"/>
    <w:rsid w:val="00822F10"/>
    <w:rsid w:val="008234B0"/>
    <w:rsid w:val="00823C00"/>
    <w:rsid w:val="00823D2C"/>
    <w:rsid w:val="00824120"/>
    <w:rsid w:val="0082474E"/>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3055"/>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98"/>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67"/>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048"/>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602"/>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689"/>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5F80"/>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388B"/>
    <w:rsid w:val="009C5212"/>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0DB8"/>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18A"/>
    <w:rsid w:val="00A715E6"/>
    <w:rsid w:val="00A71BAA"/>
    <w:rsid w:val="00A724BA"/>
    <w:rsid w:val="00A72D26"/>
    <w:rsid w:val="00A731A3"/>
    <w:rsid w:val="00A7374C"/>
    <w:rsid w:val="00A73865"/>
    <w:rsid w:val="00A74CEE"/>
    <w:rsid w:val="00A761E3"/>
    <w:rsid w:val="00A76623"/>
    <w:rsid w:val="00A77E11"/>
    <w:rsid w:val="00A8008B"/>
    <w:rsid w:val="00A80479"/>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0B7C"/>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27B"/>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CD"/>
    <w:rsid w:val="00B300E1"/>
    <w:rsid w:val="00B308FF"/>
    <w:rsid w:val="00B31285"/>
    <w:rsid w:val="00B31AE2"/>
    <w:rsid w:val="00B3272B"/>
    <w:rsid w:val="00B33163"/>
    <w:rsid w:val="00B3417D"/>
    <w:rsid w:val="00B354CD"/>
    <w:rsid w:val="00B36658"/>
    <w:rsid w:val="00B366E5"/>
    <w:rsid w:val="00B3678C"/>
    <w:rsid w:val="00B41F1B"/>
    <w:rsid w:val="00B421A6"/>
    <w:rsid w:val="00B42C95"/>
    <w:rsid w:val="00B43EFD"/>
    <w:rsid w:val="00B44F0F"/>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D33"/>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6616"/>
    <w:rsid w:val="00B97D21"/>
    <w:rsid w:val="00BA020B"/>
    <w:rsid w:val="00BA0CD8"/>
    <w:rsid w:val="00BA17EA"/>
    <w:rsid w:val="00BA2818"/>
    <w:rsid w:val="00BA2FBD"/>
    <w:rsid w:val="00BA35E0"/>
    <w:rsid w:val="00BA411E"/>
    <w:rsid w:val="00BA4FDA"/>
    <w:rsid w:val="00BA5060"/>
    <w:rsid w:val="00BA5798"/>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1CA"/>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6D97"/>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0933"/>
    <w:rsid w:val="00CC1839"/>
    <w:rsid w:val="00CC3BAA"/>
    <w:rsid w:val="00CC43EF"/>
    <w:rsid w:val="00CC5B35"/>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0AE"/>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1ED3"/>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4"/>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921"/>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5A64"/>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AF6"/>
    <w:rsid w:val="00D76CC4"/>
    <w:rsid w:val="00D776F3"/>
    <w:rsid w:val="00D77EA7"/>
    <w:rsid w:val="00D811D9"/>
    <w:rsid w:val="00D8128A"/>
    <w:rsid w:val="00D83024"/>
    <w:rsid w:val="00D84E9B"/>
    <w:rsid w:val="00D852FD"/>
    <w:rsid w:val="00D859B1"/>
    <w:rsid w:val="00D876AA"/>
    <w:rsid w:val="00D87CBD"/>
    <w:rsid w:val="00D909E4"/>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16B1"/>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375"/>
    <w:rsid w:val="00DB3541"/>
    <w:rsid w:val="00DB38A4"/>
    <w:rsid w:val="00DB5131"/>
    <w:rsid w:val="00DB6393"/>
    <w:rsid w:val="00DB6696"/>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1B5"/>
    <w:rsid w:val="00E33880"/>
    <w:rsid w:val="00E33CD3"/>
    <w:rsid w:val="00E33D2B"/>
    <w:rsid w:val="00E33EE0"/>
    <w:rsid w:val="00E34C2D"/>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386"/>
    <w:rsid w:val="00E776F7"/>
    <w:rsid w:val="00E7771F"/>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E7BC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583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1BEF"/>
    <w:rsid w:val="00F23B5F"/>
    <w:rsid w:val="00F24E62"/>
    <w:rsid w:val="00F250FE"/>
    <w:rsid w:val="00F2521B"/>
    <w:rsid w:val="00F26FF3"/>
    <w:rsid w:val="00F27585"/>
    <w:rsid w:val="00F2760E"/>
    <w:rsid w:val="00F2772D"/>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13A3"/>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813"/>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9847803">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74054056">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35606251">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916126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45025743">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16138246">
      <w:bodyDiv w:val="1"/>
      <w:marLeft w:val="0"/>
      <w:marRight w:val="0"/>
      <w:marTop w:val="0"/>
      <w:marBottom w:val="0"/>
      <w:divBdr>
        <w:top w:val="none" w:sz="0" w:space="0" w:color="auto"/>
        <w:left w:val="none" w:sz="0" w:space="0" w:color="auto"/>
        <w:bottom w:val="none" w:sz="0" w:space="0" w:color="auto"/>
        <w:right w:val="none" w:sz="0" w:space="0" w:color="auto"/>
      </w:divBdr>
    </w:div>
    <w:div w:id="1621766980">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17268732">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49175531">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6866373">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316453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0782E-6913-4714-98EA-E4633220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1D8F2A95-8EA8-4A3A-87D4-482B058D57B6"/>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18</Pages>
  <Words>5023</Words>
  <Characters>28636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27</cp:revision>
  <cp:lastPrinted>2024-08-27T01:13:00Z</cp:lastPrinted>
  <dcterms:created xsi:type="dcterms:W3CDTF">2024-08-01T01:23:00Z</dcterms:created>
  <dcterms:modified xsi:type="dcterms:W3CDTF">2025-03-24T23:50:00Z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