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3136FF18" w14:textId="77777777" w:rsidR="00D33EE3" w:rsidRPr="007C3AED" w:rsidRDefault="00D33EE3" w:rsidP="00D33EE3">
      <w:pPr>
        <w:spacing w:before="480"/>
        <w:jc w:val="center"/>
        <w:rPr>
          <w:rFonts w:ascii="Calibri" w:hAnsi="Calibri" w:cs="Arial"/>
          <w:b/>
          <w:bCs/>
          <w:iCs/>
          <w:sz w:val="36"/>
        </w:rPr>
      </w:pPr>
      <w:r w:rsidRPr="00C200BF">
        <w:rPr>
          <w:rFonts w:ascii="Calibri" w:hAnsi="Calibri" w:cs="Arial"/>
          <w:b/>
          <w:bCs/>
          <w:iCs/>
          <w:noProof/>
          <w:sz w:val="36"/>
        </w:rPr>
        <w:t>Melbourne Polytechnic</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3A7C5F92" w14:textId="77777777" w:rsidR="00D33EE3" w:rsidRPr="00086969" w:rsidRDefault="00D33EE3" w:rsidP="00D33EE3">
      <w:pPr>
        <w:rPr>
          <w:rFonts w:asciiTheme="minorHAnsi" w:hAnsiTheme="minorHAnsi" w:cstheme="minorHAnsi"/>
          <w:sz w:val="22"/>
        </w:rPr>
      </w:pPr>
      <w:r w:rsidRPr="00C200BF">
        <w:rPr>
          <w:rFonts w:asciiTheme="minorHAnsi" w:hAnsiTheme="minorHAnsi" w:cstheme="minorHAnsi"/>
          <w:b/>
          <w:noProof/>
          <w:sz w:val="22"/>
          <w:szCs w:val="22"/>
        </w:rPr>
        <w:t>Melbourne Polytechnic</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200BF">
        <w:rPr>
          <w:rFonts w:asciiTheme="minorHAnsi" w:hAnsiTheme="minorHAnsi" w:cstheme="minorHAnsi"/>
          <w:b/>
          <w:noProof/>
          <w:sz w:val="22"/>
          <w:szCs w:val="22"/>
        </w:rPr>
        <w:t>77 St Georges Road</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PRESTON</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VIC</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3072</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506B2587" w14:textId="77777777" w:rsidR="00D33EE3" w:rsidRPr="00BA1317" w:rsidRDefault="00D33EE3" w:rsidP="00D33EE3">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50</w:t>
      </w:r>
      <w:r w:rsidRPr="00727909">
        <w:rPr>
          <w:rFonts w:asciiTheme="minorHAnsi" w:hAnsiTheme="minorHAnsi" w:cstheme="minorHAnsi"/>
          <w:noProof/>
          <w:sz w:val="22"/>
        </w:rPr>
        <w:t xml:space="preserve"> </w:t>
      </w:r>
      <w:r>
        <w:rPr>
          <w:rFonts w:asciiTheme="minorHAnsi" w:hAnsiTheme="minorHAnsi" w:cstheme="minorHAnsi"/>
          <w:noProof/>
          <w:sz w:val="22"/>
        </w:rPr>
        <w:t>230</w:t>
      </w:r>
      <w:r w:rsidRPr="00727909">
        <w:rPr>
          <w:rFonts w:asciiTheme="minorHAnsi" w:hAnsiTheme="minorHAnsi" w:cstheme="minorHAnsi"/>
          <w:noProof/>
          <w:sz w:val="22"/>
        </w:rPr>
        <w:t xml:space="preserve"> </w:t>
      </w:r>
      <w:r>
        <w:rPr>
          <w:rFonts w:asciiTheme="minorHAnsi" w:hAnsiTheme="minorHAnsi" w:cstheme="minorHAnsi"/>
          <w:noProof/>
          <w:sz w:val="22"/>
        </w:rPr>
        <w:t>165</w:t>
      </w:r>
      <w:r w:rsidRPr="00727909">
        <w:rPr>
          <w:rFonts w:asciiTheme="minorHAnsi" w:hAnsiTheme="minorHAnsi" w:cstheme="minorHAnsi"/>
          <w:noProof/>
          <w:sz w:val="22"/>
        </w:rPr>
        <w:t xml:space="preserve"> </w:t>
      </w:r>
      <w:r>
        <w:rPr>
          <w:rFonts w:asciiTheme="minorHAnsi" w:hAnsiTheme="minorHAnsi" w:cstheme="minorHAnsi"/>
          <w:noProof/>
          <w:sz w:val="22"/>
        </w:rPr>
        <w:t>243</w:t>
      </w:r>
      <w:r w:rsidRPr="00086969">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DF6548F" w14:textId="77777777" w:rsidR="00D20FEE" w:rsidRPr="00CD725B" w:rsidRDefault="00D20FEE" w:rsidP="00D20FEE">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This agreement complements</w:t>
      </w:r>
      <w:r w:rsidRPr="0033349B">
        <w:rPr>
          <w:rFonts w:ascii="Calibri" w:hAnsi="Calibri" w:cs="Arial"/>
          <w:sz w:val="22"/>
          <w:szCs w:val="22"/>
        </w:rPr>
        <w:t xml:space="preserve"> </w:t>
      </w:r>
      <w:r>
        <w:rPr>
          <w:rFonts w:ascii="Calibri" w:hAnsi="Calibri" w:cs="Arial"/>
          <w:sz w:val="22"/>
          <w:szCs w:val="22"/>
        </w:rPr>
        <w:t>t</w:t>
      </w:r>
      <w:r w:rsidRPr="0033349B">
        <w:rPr>
          <w:rFonts w:ascii="Calibri" w:hAnsi="Calibri" w:cs="Arial"/>
          <w:sz w:val="22"/>
          <w:szCs w:val="22"/>
        </w:rPr>
        <w:t xml:space="preserve">he Provider’s Equity Plan setting out how the Provider intends to use </w:t>
      </w:r>
      <w:r>
        <w:rPr>
          <w:rFonts w:ascii="Calibri" w:hAnsi="Calibri" w:cs="Arial"/>
          <w:sz w:val="22"/>
          <w:szCs w:val="22"/>
        </w:rPr>
        <w:t xml:space="preserve">any amounts equivalent to </w:t>
      </w:r>
      <w:r w:rsidRPr="0033349B">
        <w:rPr>
          <w:rFonts w:ascii="Calibri" w:hAnsi="Calibri" w:cs="Arial"/>
          <w:sz w:val="22"/>
          <w:szCs w:val="22"/>
        </w:rPr>
        <w:t>any unspent Part 2-2 grant funding in the 2024 and 2025 grant years.</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720BEBED" w14:textId="77777777" w:rsidR="00D20FEE" w:rsidRPr="00725A67" w:rsidRDefault="00D20FEE" w:rsidP="00D20FEE">
      <w:pPr>
        <w:widowControl w:val="0"/>
        <w:numPr>
          <w:ilvl w:val="0"/>
          <w:numId w:val="1"/>
        </w:numPr>
        <w:tabs>
          <w:tab w:val="left" w:pos="567"/>
          <w:tab w:val="left" w:pos="8222"/>
        </w:tabs>
        <w:spacing w:before="120" w:after="120"/>
        <w:rPr>
          <w:rFonts w:ascii="Calibri" w:hAnsi="Calibri" w:cs="Arial"/>
          <w:sz w:val="22"/>
          <w:szCs w:val="22"/>
        </w:rPr>
      </w:pPr>
      <w:r w:rsidRPr="00725A67">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5F1B7F44"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and</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6184AC8F" w:rsidR="007E29F9" w:rsidRPr="00CD725B"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on the basis of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D22F2F">
        <w:rPr>
          <w:rFonts w:asciiTheme="minorHAnsi" w:hAnsiTheme="minorHAnsi" w:cstheme="minorHAnsi"/>
          <w:sz w:val="22"/>
          <w:szCs w:val="22"/>
        </w:rPr>
        <w:t xml:space="preserve"> or</w:t>
      </w:r>
      <w:r w:rsidRPr="00CD725B">
        <w:rPr>
          <w:rFonts w:asciiTheme="minorHAnsi" w:hAnsiTheme="minorHAnsi" w:cstheme="minorHAnsi"/>
          <w:sz w:val="22"/>
          <w:szCs w:val="22"/>
        </w:rPr>
        <w:t xml:space="preserve"> </w:t>
      </w:r>
      <w:r w:rsidRPr="00CD725B">
        <w:rPr>
          <w:rFonts w:asciiTheme="minorHAnsi" w:hAnsiTheme="minorHAnsi" w:cstheme="minorHAnsi"/>
          <w:sz w:val="22"/>
          <w:szCs w:val="22"/>
          <w:u w:val="single"/>
        </w:rPr>
        <w:t>Table 2b</w:t>
      </w:r>
      <w:r w:rsidRPr="00CD725B">
        <w:rPr>
          <w:rFonts w:asciiTheme="minorHAnsi" w:hAnsiTheme="minorHAnsi" w:cstheme="minorHAnsi"/>
          <w:sz w:val="22"/>
          <w:szCs w:val="22"/>
        </w:rPr>
        <w:t xml:space="preserve"> 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65189AF5"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or</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73189A8F" w14:textId="1DE4400B" w:rsidR="007E29F9"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682B8B13" w14:textId="77777777" w:rsidR="00725A67" w:rsidRDefault="00725A67" w:rsidP="00725A67">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6983357C" w14:textId="77777777" w:rsidR="00725A67" w:rsidRDefault="00725A67" w:rsidP="00725A67">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9A7D13A" w14:textId="77777777" w:rsidR="00725A67" w:rsidRDefault="00725A67" w:rsidP="00725A67">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66128F96" w14:textId="77777777" w:rsidR="00725A67" w:rsidRDefault="00725A67" w:rsidP="00725A67">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711B4E72" w14:textId="77777777" w:rsidR="00725A67" w:rsidRDefault="00725A67" w:rsidP="00725A67">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3F9D6D44" w14:textId="77777777" w:rsidR="00725A67" w:rsidRDefault="00725A67" w:rsidP="00725A67">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Year 11 students;</w:t>
      </w:r>
    </w:p>
    <w:p w14:paraId="5E290ED9" w14:textId="7BBAAEA5" w:rsidR="00725A67" w:rsidRPr="00725A67" w:rsidRDefault="00725A67" w:rsidP="008F3F9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77777777"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D33EE3"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w:t>
      </w:r>
      <w:r w:rsidRPr="00D33EE3">
        <w:rPr>
          <w:rFonts w:ascii="Calibri" w:hAnsi="Calibri" w:cs="Arial"/>
          <w:sz w:val="22"/>
          <w:szCs w:val="22"/>
        </w:rPr>
        <w:t>enrolled in that course has access to clinical placements or practicums in accordance with the relevant professional accreditation standards.</w:t>
      </w:r>
    </w:p>
    <w:p w14:paraId="534FD5CE" w14:textId="77777777" w:rsidR="00B7665C" w:rsidRPr="00D33EE3" w:rsidRDefault="00B7665C" w:rsidP="00B7665C">
      <w:pPr>
        <w:tabs>
          <w:tab w:val="left" w:pos="426"/>
        </w:tabs>
        <w:spacing w:after="120"/>
        <w:rPr>
          <w:rFonts w:ascii="Calibri" w:hAnsi="Calibri" w:cs="Arial"/>
          <w:i/>
          <w:sz w:val="22"/>
          <w:szCs w:val="22"/>
        </w:rPr>
      </w:pPr>
      <w:r w:rsidRPr="00D33EE3">
        <w:rPr>
          <w:rFonts w:ascii="Calibri" w:hAnsi="Calibri" w:cs="Arial"/>
          <w:i/>
          <w:sz w:val="22"/>
          <w:szCs w:val="22"/>
        </w:rPr>
        <w:t>Equity Places</w:t>
      </w:r>
    </w:p>
    <w:p w14:paraId="38CA169B" w14:textId="77777777" w:rsidR="00B7665C" w:rsidRPr="00D33EE3"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D33EE3">
        <w:rPr>
          <w:rFonts w:ascii="Calibri" w:hAnsi="Calibri" w:cs="Arial"/>
          <w:sz w:val="22"/>
          <w:szCs w:val="22"/>
        </w:rPr>
        <w:t>Equity Places are non-ongoing and funding is expected to terminate in 2028.</w:t>
      </w:r>
    </w:p>
    <w:p w14:paraId="7722CC7E" w14:textId="77777777" w:rsidR="00D22F2F" w:rsidRPr="0046595F" w:rsidRDefault="00D22F2F" w:rsidP="00D22F2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 and 2024 grant years.</w:t>
      </w:r>
    </w:p>
    <w:bookmarkEnd w:id="1"/>
    <w:p w14:paraId="4B4588AC" w14:textId="1AC6E805" w:rsidR="00B7665C" w:rsidRPr="00D33EE3"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D33EE3">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BBFD930" w14:textId="7D736B14" w:rsidR="00731946" w:rsidRPr="00D33EE3" w:rsidRDefault="00731946" w:rsidP="00C156A9">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D33EE3">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D33EE3" w:rsidRDefault="007E29F9" w:rsidP="0069202F">
      <w:pPr>
        <w:tabs>
          <w:tab w:val="left" w:pos="567"/>
          <w:tab w:val="left" w:pos="8222"/>
        </w:tabs>
        <w:spacing w:before="120" w:after="120"/>
        <w:rPr>
          <w:rFonts w:ascii="Calibri" w:hAnsi="Calibri" w:cs="Arial"/>
          <w:bCs/>
          <w:i/>
          <w:sz w:val="22"/>
          <w:szCs w:val="22"/>
        </w:rPr>
      </w:pPr>
      <w:r w:rsidRPr="00D33EE3">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D33EE3">
        <w:rPr>
          <w:rFonts w:ascii="Calibri" w:hAnsi="Calibri" w:cs="Arial"/>
          <w:sz w:val="22"/>
          <w:szCs w:val="22"/>
        </w:rPr>
        <w:t>The Provider must use the Commonwealth supported places it is allocated under this agreement to deliver courses of study at the campuses or</w:t>
      </w:r>
      <w:r w:rsidRPr="00CD725B">
        <w:rPr>
          <w:rFonts w:ascii="Calibri" w:hAnsi="Calibri" w:cs="Arial"/>
          <w:sz w:val="22"/>
          <w:szCs w:val="22"/>
        </w:rPr>
        <w:t xml:space="preserve">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04E4AF80"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Pr="00CD725B">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09583E1B" w14:textId="77777777" w:rsidR="00D33EE3" w:rsidRDefault="007E29F9" w:rsidP="00D33EE3">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D33EE3" w:rsidRPr="00435322" w14:paraId="74C9FF34" w14:textId="77777777" w:rsidTr="0052370D">
        <w:tc>
          <w:tcPr>
            <w:tcW w:w="5000" w:type="pct"/>
            <w:gridSpan w:val="2"/>
            <w:shd w:val="clear" w:color="auto" w:fill="auto"/>
            <w:vAlign w:val="center"/>
            <w:hideMark/>
          </w:tcPr>
          <w:p w14:paraId="5704F8CF" w14:textId="77777777" w:rsidR="00D33EE3" w:rsidRPr="00435322" w:rsidRDefault="00D33EE3" w:rsidP="0052370D">
            <w:pPr>
              <w:jc w:val="center"/>
              <w:rPr>
                <w:rFonts w:ascii="Calibri" w:hAnsi="Calibri"/>
                <w:b/>
                <w:color w:val="000000"/>
                <w:sz w:val="22"/>
              </w:rPr>
            </w:pPr>
            <w:r w:rsidRPr="00435322">
              <w:rPr>
                <w:rFonts w:ascii="Calibri" w:hAnsi="Calibri"/>
                <w:b/>
                <w:color w:val="000000"/>
                <w:sz w:val="22"/>
              </w:rPr>
              <w:t>Name of campus</w:t>
            </w:r>
          </w:p>
        </w:tc>
      </w:tr>
      <w:tr w:rsidR="00D33EE3" w:rsidRPr="00947B56" w14:paraId="63DDE4C4" w14:textId="77777777" w:rsidTr="0052370D">
        <w:tc>
          <w:tcPr>
            <w:tcW w:w="2685" w:type="pct"/>
            <w:shd w:val="clear" w:color="auto" w:fill="auto"/>
            <w:vAlign w:val="center"/>
          </w:tcPr>
          <w:p w14:paraId="04505E36" w14:textId="77777777" w:rsidR="00D33EE3" w:rsidRPr="00947B56" w:rsidRDefault="00D33EE3" w:rsidP="0052370D">
            <w:pPr>
              <w:rPr>
                <w:rFonts w:ascii="Calibri" w:hAnsi="Calibri" w:cs="Calibri"/>
                <w:color w:val="000000"/>
                <w:sz w:val="22"/>
                <w:szCs w:val="22"/>
                <w:highlight w:val="yellow"/>
              </w:rPr>
            </w:pPr>
            <w:r w:rsidRPr="00C200BF">
              <w:rPr>
                <w:rFonts w:ascii="Calibri" w:hAnsi="Calibri" w:cs="Calibri"/>
                <w:noProof/>
                <w:color w:val="000000"/>
                <w:sz w:val="22"/>
                <w:szCs w:val="22"/>
              </w:rPr>
              <w:t>Preston</w:t>
            </w:r>
          </w:p>
        </w:tc>
        <w:tc>
          <w:tcPr>
            <w:tcW w:w="2315" w:type="pct"/>
            <w:shd w:val="clear" w:color="auto" w:fill="auto"/>
            <w:vAlign w:val="center"/>
          </w:tcPr>
          <w:p w14:paraId="1A3AFBE3" w14:textId="77777777" w:rsidR="00D33EE3" w:rsidRPr="00947B56" w:rsidRDefault="00D33EE3" w:rsidP="0052370D">
            <w:pPr>
              <w:rPr>
                <w:rFonts w:ascii="Calibri" w:hAnsi="Calibri" w:cs="Calibri"/>
                <w:color w:val="000000"/>
                <w:sz w:val="22"/>
                <w:szCs w:val="22"/>
                <w:highlight w:val="yellow"/>
              </w:rPr>
            </w:pPr>
            <w:r w:rsidRPr="00C200BF">
              <w:rPr>
                <w:rFonts w:ascii="Calibri" w:hAnsi="Calibri" w:cs="Calibri"/>
                <w:noProof/>
                <w:color w:val="000000"/>
                <w:sz w:val="22"/>
                <w:szCs w:val="22"/>
              </w:rPr>
              <w:t>N/A</w:t>
            </w:r>
          </w:p>
        </w:tc>
      </w:tr>
    </w:tbl>
    <w:p w14:paraId="28E0E6DA" w14:textId="77777777" w:rsidR="00D33EE3" w:rsidRDefault="00D33EE3" w:rsidP="00D33EE3">
      <w:pPr>
        <w:spacing w:before="120" w:after="120"/>
        <w:rPr>
          <w:rFonts w:asciiTheme="minorHAnsi" w:hAnsiTheme="minorHAnsi" w:cstheme="minorHAnsi"/>
          <w:b/>
          <w:sz w:val="22"/>
          <w:szCs w:val="22"/>
        </w:rPr>
      </w:pPr>
    </w:p>
    <w:p w14:paraId="58F1F1D0" w14:textId="195339E6" w:rsidR="00BF3CA3" w:rsidRPr="00CD725B" w:rsidRDefault="00BF3CA3" w:rsidP="00D33EE3">
      <w:pPr>
        <w:spacing w:before="120" w:after="120"/>
        <w:rPr>
          <w:rFonts w:ascii="Calibri" w:hAnsi="Calibri" w:cs="Arial"/>
          <w:bCs/>
          <w:i/>
          <w:sz w:val="22"/>
          <w:szCs w:val="22"/>
        </w:rPr>
      </w:pPr>
      <w:r w:rsidRPr="00CD725B">
        <w:rPr>
          <w:rFonts w:ascii="Calibri" w:hAnsi="Calibri" w:cs="Arial"/>
          <w:bCs/>
          <w:i/>
          <w:sz w:val="22"/>
          <w:szCs w:val="22"/>
        </w:rPr>
        <w:t>Closures of courses</w:t>
      </w:r>
    </w:p>
    <w:p w14:paraId="5F897F81" w14:textId="106A2E62" w:rsidR="00CE2529" w:rsidRPr="00CD725B"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Commonwealth supported places. </w:t>
      </w:r>
      <w:r w:rsidR="0054348A" w:rsidRPr="000268A4">
        <w:rPr>
          <w:rFonts w:ascii="Calibri" w:hAnsi="Calibri" w:cs="Arial"/>
          <w:sz w:val="22"/>
          <w:szCs w:val="22"/>
        </w:rPr>
        <w:t>The Provider’s notice to the Commonwealth must be in the form included at Appendix 3</w:t>
      </w:r>
      <w:r w:rsidR="0054348A">
        <w:rPr>
          <w:rFonts w:ascii="Calibri" w:hAnsi="Calibri" w:cs="Arial"/>
          <w:sz w:val="22"/>
          <w:szCs w:val="22"/>
        </w:rPr>
        <w:t>.</w:t>
      </w:r>
    </w:p>
    <w:p w14:paraId="76BAFE1D" w14:textId="3CFDEA8B"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CD725B">
        <w:rPr>
          <w:rFonts w:ascii="Calibri" w:hAnsi="Calibri" w:cs="Arial"/>
          <w:bCs/>
          <w:sz w:val="22"/>
          <w:szCs w:val="22"/>
        </w:rPr>
        <w:t xml:space="preserve">In making a decision to approve a course closure under </w:t>
      </w:r>
      <w:r w:rsidRPr="00D33EE3">
        <w:rPr>
          <w:rFonts w:ascii="Calibri" w:hAnsi="Calibri" w:cs="Arial"/>
          <w:bCs/>
          <w:sz w:val="22"/>
          <w:szCs w:val="22"/>
        </w:rPr>
        <w:t>clause 2</w:t>
      </w:r>
      <w:r w:rsidR="00F14F6C">
        <w:rPr>
          <w:rFonts w:ascii="Calibri" w:hAnsi="Calibri" w:cs="Arial"/>
          <w:bCs/>
          <w:sz w:val="22"/>
          <w:szCs w:val="22"/>
        </w:rPr>
        <w:t>7</w:t>
      </w:r>
      <w:r w:rsidRPr="00CD725B">
        <w:rPr>
          <w:rFonts w:ascii="Calibri" w:hAnsi="Calibri" w:cs="Arial"/>
          <w:bCs/>
          <w:sz w:val="22"/>
          <w:szCs w:val="22"/>
        </w:rPr>
        <w:t>, the Commonwealth will:</w:t>
      </w:r>
    </w:p>
    <w:p w14:paraId="20F44451" w14:textId="632D47C1" w:rsidR="0054348A" w:rsidRPr="00D3165B" w:rsidRDefault="00BF3CA3" w:rsidP="0054348A">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seek to reach a mutually agreeable arrangement with the Provider regarding the course closure;</w:t>
      </w:r>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given by the Provider, marked for the attention of the First Assistant Secretary of the Higher Education Division of the Department of Education or other person as notified in writing by the Commonwealth to the Provider; or</w:t>
      </w:r>
    </w:p>
    <w:p w14:paraId="79AB51F5" w14:textId="77777777" w:rsidR="00447B44" w:rsidRPr="00CD725B" w:rsidRDefault="00447B44" w:rsidP="00447B44">
      <w:pPr>
        <w:pStyle w:val="ListParagraph"/>
        <w:widowControl w:val="0"/>
        <w:tabs>
          <w:tab w:val="left" w:pos="567"/>
          <w:tab w:val="left" w:pos="8222"/>
        </w:tabs>
        <w:spacing w:before="120" w:after="120"/>
        <w:ind w:left="851"/>
        <w:contextualSpacing w:val="0"/>
        <w:rPr>
          <w:rFonts w:ascii="Calibri" w:hAnsi="Calibri" w:cs="Arial"/>
          <w:sz w:val="22"/>
          <w:szCs w:val="22"/>
        </w:rPr>
      </w:pP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Commonwealth;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7C124516" w14:textId="11D33C4A"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63F156D3"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C9CC3FB"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65173A2A" w14:textId="745E579B"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471F501F"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751A090"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31896BFC" w14:textId="77777777" w:rsidR="007E29F9" w:rsidRPr="00CD725B"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CANBERRA  ACT  2601</w:t>
      </w:r>
    </w:p>
    <w:p w14:paraId="00007AD1" w14:textId="6253CE17" w:rsidR="007E29F9"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004746BA"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5075212B"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141D96F4"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5B35717B"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7B6B3D85"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6EA466B3"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3952D0D7"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001EB8ED"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333A1B65"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5C6AB2CC"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0FFD31F6"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60B52294"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3501D1E3"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561AB201"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7E357BA4"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6458C570"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293FB1C7"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43346847"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7DA1B894"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7FFD3253"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716CA0DF"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7EEA328D"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5F268985"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3550EF57"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365BE5F0"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17DA4854"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4D7DF20C"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00D960B3"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1BFABF67"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3B20EF3D"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4058295A"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0BB7EDB1"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1AD532E2"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2A4969C9"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12B4DA6E"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26DBFDC1"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5A80AAEF"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1A38292C"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70C57A5D"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507A4E4F" w14:textId="77777777" w:rsidR="00725A67" w:rsidRPr="00CD725B" w:rsidRDefault="00725A67" w:rsidP="00C23C01">
      <w:pPr>
        <w:pStyle w:val="sub-paraxChar"/>
        <w:keepNext/>
        <w:keepLines/>
        <w:numPr>
          <w:ilvl w:val="0"/>
          <w:numId w:val="0"/>
        </w:numPr>
        <w:ind w:left="851"/>
        <w:rPr>
          <w:rFonts w:ascii="Calibri" w:hAnsi="Calibri" w:cs="Arial"/>
          <w:color w:val="auto"/>
          <w:sz w:val="22"/>
          <w:szCs w:val="22"/>
        </w:rPr>
      </w:pPr>
    </w:p>
    <w:p w14:paraId="15517D9F" w14:textId="77777777" w:rsidR="00725A67" w:rsidRDefault="00725A67" w:rsidP="00725A67">
      <w:pPr>
        <w:widowControl w:val="0"/>
        <w:tabs>
          <w:tab w:val="left" w:pos="567"/>
          <w:tab w:val="left" w:pos="8222"/>
        </w:tabs>
        <w:spacing w:before="120" w:after="120"/>
        <w:rPr>
          <w:rFonts w:ascii="Calibri" w:hAnsi="Calibri" w:cs="Arial"/>
          <w:sz w:val="22"/>
          <w:szCs w:val="22"/>
        </w:rPr>
      </w:pPr>
    </w:p>
    <w:p w14:paraId="3D177AB5" w14:textId="77777777" w:rsidR="00725A67" w:rsidRPr="00CD725B" w:rsidRDefault="00725A67" w:rsidP="00725A67">
      <w:pPr>
        <w:pStyle w:val="sub-paraxChar"/>
        <w:keepNext/>
        <w:keepLines/>
        <w:numPr>
          <w:ilvl w:val="0"/>
          <w:numId w:val="0"/>
        </w:numPr>
        <w:spacing w:before="120" w:after="120"/>
        <w:ind w:left="1067" w:hanging="641"/>
        <w:rPr>
          <w:rFonts w:ascii="Calibri" w:hAnsi="Calibri" w:cs="Arial"/>
          <w:sz w:val="22"/>
          <w:szCs w:val="22"/>
        </w:rPr>
      </w:pPr>
      <w:r w:rsidRPr="00CD725B">
        <w:rPr>
          <w:rFonts w:ascii="Calibri" w:hAnsi="Calibri" w:cs="Arial"/>
          <w:sz w:val="22"/>
          <w:szCs w:val="22"/>
        </w:rPr>
        <w:lastRenderedPageBreak/>
        <w:t xml:space="preserve">The address for notices to the </w:t>
      </w:r>
      <w:r w:rsidRPr="00CD725B">
        <w:rPr>
          <w:rFonts w:ascii="Calibri" w:hAnsi="Calibri" w:cs="Arial"/>
          <w:noProof/>
          <w:sz w:val="22"/>
          <w:szCs w:val="22"/>
        </w:rPr>
        <w:t>Provider</w:t>
      </w:r>
      <w:r w:rsidRPr="00CD725B">
        <w:rPr>
          <w:rFonts w:ascii="Calibri" w:hAnsi="Calibri" w:cs="Arial"/>
          <w:sz w:val="22"/>
          <w:szCs w:val="22"/>
        </w:rPr>
        <w:t xml:space="preserve"> is:</w:t>
      </w:r>
    </w:p>
    <w:p w14:paraId="48CB37BA" w14:textId="77777777" w:rsidR="00725A67" w:rsidRPr="00D33EE3" w:rsidRDefault="00725A67" w:rsidP="00725A67">
      <w:pPr>
        <w:pStyle w:val="sub-paraxChar"/>
        <w:keepNext/>
        <w:keepLines/>
        <w:numPr>
          <w:ilvl w:val="0"/>
          <w:numId w:val="0"/>
        </w:numPr>
        <w:ind w:left="851"/>
        <w:rPr>
          <w:rFonts w:asciiTheme="minorHAnsi" w:hAnsiTheme="minorHAnsi" w:cstheme="minorHAnsi"/>
          <w:sz w:val="22"/>
          <w:szCs w:val="22"/>
        </w:rPr>
      </w:pPr>
      <w:r w:rsidRPr="00D33EE3">
        <w:rPr>
          <w:rFonts w:asciiTheme="minorHAnsi" w:hAnsiTheme="minorHAnsi" w:cstheme="minorHAnsi"/>
          <w:sz w:val="22"/>
          <w:szCs w:val="22"/>
        </w:rPr>
        <w:t>77 St Georges Road</w:t>
      </w:r>
    </w:p>
    <w:p w14:paraId="3725BE27" w14:textId="77777777" w:rsidR="00725A67" w:rsidRPr="00D33EE3" w:rsidRDefault="00725A67" w:rsidP="00725A67">
      <w:pPr>
        <w:pStyle w:val="sub-paraxChar"/>
        <w:keepNext/>
        <w:keepLines/>
        <w:numPr>
          <w:ilvl w:val="0"/>
          <w:numId w:val="0"/>
        </w:numPr>
        <w:ind w:left="851"/>
        <w:rPr>
          <w:rFonts w:asciiTheme="minorHAnsi" w:hAnsiTheme="minorHAnsi" w:cstheme="minorHAnsi"/>
          <w:sz w:val="22"/>
          <w:szCs w:val="22"/>
        </w:rPr>
      </w:pPr>
      <w:r w:rsidRPr="00D33EE3">
        <w:rPr>
          <w:rFonts w:asciiTheme="minorHAnsi" w:hAnsiTheme="minorHAnsi" w:cstheme="minorHAnsi"/>
          <w:sz w:val="22"/>
          <w:szCs w:val="22"/>
        </w:rPr>
        <w:t>PRESTON VIC 3072</w:t>
      </w:r>
    </w:p>
    <w:p w14:paraId="054EDA40" w14:textId="1FB97E1B" w:rsidR="00725A67" w:rsidRPr="00725A67" w:rsidRDefault="00FF6592" w:rsidP="00725A67">
      <w:pPr>
        <w:pStyle w:val="sub-paraxChar"/>
        <w:keepNext/>
        <w:keepLines/>
        <w:numPr>
          <w:ilvl w:val="0"/>
          <w:numId w:val="0"/>
        </w:numPr>
        <w:ind w:left="851"/>
        <w:rPr>
          <w:rFonts w:ascii="Calibri" w:hAnsi="Calibri" w:cs="Arial"/>
          <w:color w:val="0000FF" w:themeColor="hyperlink"/>
          <w:sz w:val="22"/>
          <w:szCs w:val="18"/>
          <w:u w:val="single"/>
        </w:rPr>
      </w:pPr>
      <w:hyperlink r:id="rId14" w:history="1">
        <w:r w:rsidR="00725A67" w:rsidRPr="00D33EE3">
          <w:rPr>
            <w:rStyle w:val="Hyperlink"/>
            <w:rFonts w:ascii="Calibri" w:hAnsi="Calibri" w:cs="Arial"/>
            <w:sz w:val="22"/>
            <w:szCs w:val="18"/>
          </w:rPr>
          <w:t>ceo@nmit.vic.edu.au</w:t>
        </w:r>
      </w:hyperlink>
    </w:p>
    <w:p w14:paraId="39AA6F81" w14:textId="27A343EC" w:rsidR="007E29F9" w:rsidRPr="00CD725B" w:rsidRDefault="007E29F9" w:rsidP="00725A67">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 notice given </w:t>
      </w:r>
      <w:r w:rsidRPr="00D33EE3">
        <w:rPr>
          <w:rFonts w:ascii="Calibri" w:hAnsi="Calibri" w:cs="Arial"/>
          <w:sz w:val="22"/>
          <w:szCs w:val="22"/>
        </w:rPr>
        <w:t xml:space="preserve">under clause </w:t>
      </w:r>
      <w:r w:rsidR="002F196A" w:rsidRPr="00D33EE3">
        <w:rPr>
          <w:rFonts w:ascii="Calibri" w:hAnsi="Calibri" w:cs="Arial"/>
          <w:sz w:val="22"/>
          <w:szCs w:val="22"/>
        </w:rPr>
        <w:t>3</w:t>
      </w:r>
      <w:r w:rsidR="007A5CD5">
        <w:rPr>
          <w:rFonts w:ascii="Calibri" w:hAnsi="Calibri" w:cs="Arial"/>
          <w:sz w:val="22"/>
          <w:szCs w:val="22"/>
        </w:rPr>
        <w:t>4</w:t>
      </w:r>
      <w:r w:rsidR="004C764C" w:rsidRPr="00D33EE3">
        <w:rPr>
          <w:rFonts w:ascii="Calibri" w:hAnsi="Calibri" w:cs="Arial"/>
          <w:sz w:val="22"/>
          <w:szCs w:val="22"/>
        </w:rPr>
        <w:t xml:space="preserve"> </w:t>
      </w:r>
      <w:r w:rsidRPr="00D33EE3">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hand delivered, on delivery;</w:t>
      </w:r>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A New Tax System (Australian Business Number) Act 1999</w:t>
      </w:r>
      <w:r w:rsidRPr="00CD725B">
        <w:rPr>
          <w:rFonts w:ascii="Calibri" w:hAnsi="Calibri"/>
          <w:sz w:val="22"/>
          <w:szCs w:val="22"/>
        </w:rPr>
        <w:t>;</w:t>
      </w:r>
    </w:p>
    <w:p w14:paraId="6FCCAF45"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means Commonwealth Grant Scheme;</w:t>
      </w:r>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HESA;</w:t>
      </w:r>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r w:rsidR="00B37B4A" w:rsidRPr="00CD725B">
        <w:rPr>
          <w:rFonts w:ascii="Calibri" w:hAnsi="Calibri"/>
          <w:b/>
          <w:sz w:val="22"/>
          <w:szCs w:val="22"/>
          <w:lang w:eastAsia="en-US"/>
        </w:rPr>
        <w:t>c</w:t>
      </w:r>
      <w:r w:rsidRPr="00CD725B">
        <w:rPr>
          <w:rFonts w:ascii="Calibri" w:hAnsi="Calibri"/>
          <w:b/>
          <w:sz w:val="22"/>
          <w:szCs w:val="22"/>
          <w:lang w:eastAsia="en-US"/>
        </w:rPr>
        <w:t>ourse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HESA;</w:t>
      </w:r>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refers to funding allocated to the provider for the purpose of increasing the number of persons from under-represented backgrounds undertaking courses of study in the following areas of study: Education, Nursing, Engineering, Computing, Commerce, and Society and Culture;</w:t>
      </w:r>
    </w:p>
    <w:p w14:paraId="36232AC0" w14:textId="1B84DA2A" w:rsidR="003167B1" w:rsidRPr="00CD725B" w:rsidRDefault="003167B1" w:rsidP="003167B1">
      <w:pPr>
        <w:pStyle w:val="Interpretation"/>
        <w:ind w:left="426"/>
        <w:rPr>
          <w:rFonts w:ascii="Calibri" w:hAnsi="Calibri"/>
          <w:sz w:val="22"/>
          <w:szCs w:val="22"/>
        </w:rPr>
      </w:pPr>
      <w:r w:rsidRPr="5FFDBAB4">
        <w:rPr>
          <w:rFonts w:ascii="Calibri" w:hAnsi="Calibri"/>
          <w:b/>
          <w:bCs/>
          <w:sz w:val="22"/>
          <w:szCs w:val="22"/>
        </w:rPr>
        <w:t xml:space="preserve">‘Equity Plan’ </w:t>
      </w:r>
      <w:r w:rsidR="00725A67" w:rsidRPr="00725A67">
        <w:rPr>
          <w:rFonts w:ascii="Calibri" w:hAnsi="Calibri"/>
          <w:sz w:val="22"/>
          <w:szCs w:val="22"/>
        </w:rPr>
        <w:t>refers to documents developed by the Provider detailing how the Provider will spend 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places’;</w:t>
      </w:r>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e</w:t>
      </w:r>
      <w:r w:rsidRPr="00CD725B">
        <w:rPr>
          <w:rFonts w:ascii="Calibri" w:hAnsi="Calibri"/>
          <w:b/>
          <w:sz w:val="22"/>
          <w:szCs w:val="22"/>
        </w:rPr>
        <w:t xml:space="preserve">lectronic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r w:rsidR="0081242A" w:rsidRPr="00CD725B">
        <w:rPr>
          <w:rFonts w:ascii="Calibri" w:hAnsi="Calibri"/>
          <w:b/>
          <w:sz w:val="22"/>
          <w:szCs w:val="22"/>
        </w:rPr>
        <w:t>f</w:t>
      </w:r>
      <w:r w:rsidRPr="00CD725B">
        <w:rPr>
          <w:rFonts w:ascii="Calibri" w:hAnsi="Calibri"/>
          <w:b/>
          <w:sz w:val="22"/>
          <w:szCs w:val="22"/>
        </w:rPr>
        <w:t xml:space="preserve">unding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r w:rsidR="0081242A" w:rsidRPr="00CD725B">
        <w:rPr>
          <w:rFonts w:ascii="Calibri" w:hAnsi="Calibri" w:cs="Arial"/>
          <w:b/>
          <w:sz w:val="22"/>
          <w:szCs w:val="22"/>
        </w:rPr>
        <w:t>g</w:t>
      </w:r>
      <w:r w:rsidRPr="00CD725B">
        <w:rPr>
          <w:rFonts w:ascii="Calibri" w:hAnsi="Calibri" w:cs="Arial"/>
          <w:b/>
          <w:sz w:val="22"/>
          <w:szCs w:val="22"/>
        </w:rPr>
        <w:t xml:space="preserve">rant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Higher Education Support Act 2003</w:t>
      </w:r>
      <w:r w:rsidRPr="00CD725B">
        <w:rPr>
          <w:rFonts w:ascii="Calibri" w:hAnsi="Calibri"/>
          <w:sz w:val="22"/>
          <w:szCs w:val="22"/>
        </w:rPr>
        <w:t>;</w:t>
      </w:r>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m</w:t>
      </w:r>
      <w:r w:rsidRPr="00CD725B">
        <w:rPr>
          <w:rFonts w:ascii="Calibri" w:hAnsi="Calibri"/>
          <w:b/>
          <w:sz w:val="22"/>
          <w:szCs w:val="22"/>
        </w:rPr>
        <w:t xml:space="preserve">aximum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t>‘</w:t>
      </w:r>
      <w:r w:rsidR="00B37B4A" w:rsidRPr="00CD725B">
        <w:rPr>
          <w:rFonts w:ascii="Calibri" w:hAnsi="Calibri" w:cs="Arial"/>
          <w:b/>
          <w:sz w:val="22"/>
          <w:szCs w:val="22"/>
        </w:rPr>
        <w:t>n</w:t>
      </w:r>
      <w:r w:rsidRPr="00CD725B">
        <w:rPr>
          <w:rFonts w:ascii="Calibri" w:hAnsi="Calibri" w:cs="Arial"/>
          <w:b/>
          <w:sz w:val="22"/>
          <w:szCs w:val="22"/>
        </w:rPr>
        <w:t>umber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r w:rsidR="00B37B4A" w:rsidRPr="00CD725B">
        <w:rPr>
          <w:rFonts w:ascii="Calibri" w:hAnsi="Calibri"/>
          <w:b/>
          <w:sz w:val="22"/>
          <w:szCs w:val="22"/>
        </w:rPr>
        <w:t>p</w:t>
      </w:r>
      <w:r w:rsidRPr="00CD725B">
        <w:rPr>
          <w:rFonts w:ascii="Calibri" w:hAnsi="Calibri"/>
          <w:b/>
          <w:sz w:val="22"/>
          <w:szCs w:val="22"/>
        </w:rPr>
        <w:t>ostgraduate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r w:rsidR="00B37B4A" w:rsidRPr="00CD725B">
        <w:rPr>
          <w:rFonts w:ascii="Calibri" w:hAnsi="Calibri"/>
          <w:b/>
          <w:bCs/>
          <w:sz w:val="22"/>
          <w:szCs w:val="22"/>
        </w:rPr>
        <w:t>u</w:t>
      </w:r>
      <w:r w:rsidRPr="00CD725B">
        <w:rPr>
          <w:rFonts w:ascii="Calibri" w:hAnsi="Calibri"/>
          <w:b/>
          <w:bCs/>
          <w:sz w:val="22"/>
          <w:szCs w:val="22"/>
        </w:rPr>
        <w:t>ndergraduate course of study’</w:t>
      </w:r>
      <w:r w:rsidRPr="00CD725B">
        <w:rPr>
          <w:rFonts w:ascii="Calibri" w:hAnsi="Calibri"/>
          <w:sz w:val="22"/>
          <w:szCs w:val="22"/>
        </w:rPr>
        <w:t xml:space="preserve"> has the same meaning as in subclause 1(1) of Schedule 1 of HESA</w:t>
      </w:r>
      <w:r w:rsidRPr="00CD725B">
        <w:t>.</w:t>
      </w:r>
    </w:p>
    <w:p w14:paraId="4D496891" w14:textId="77777777" w:rsidR="00725A67" w:rsidRPr="00CD725B" w:rsidRDefault="00725A67" w:rsidP="00E35C11">
      <w:pPr>
        <w:spacing w:after="120"/>
        <w:ind w:left="426"/>
      </w:pPr>
    </w:p>
    <w:p w14:paraId="0FAE95AA" w14:textId="77777777" w:rsidR="00725A67" w:rsidRDefault="00725A67" w:rsidP="00725A67">
      <w:pPr>
        <w:pStyle w:val="ListParagraph"/>
        <w:widowControl w:val="0"/>
        <w:tabs>
          <w:tab w:val="left" w:pos="567"/>
          <w:tab w:val="left" w:pos="8222"/>
        </w:tabs>
        <w:spacing w:before="120" w:after="120"/>
        <w:ind w:left="397"/>
        <w:contextualSpacing w:val="0"/>
        <w:rPr>
          <w:rFonts w:ascii="Calibri" w:hAnsi="Calibri" w:cs="Arial"/>
          <w:sz w:val="22"/>
          <w:szCs w:val="22"/>
        </w:rPr>
      </w:pPr>
    </w:p>
    <w:p w14:paraId="3AF3B5E1" w14:textId="143D533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words in the singular include the plural and vice versa;</w:t>
      </w:r>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clause headings or words in bold format are inserted for convenience only, and have no effect in limiting or extending the language of provisions;</w:t>
      </w:r>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all references to dollars are to Australian dollars;</w:t>
      </w:r>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unless stated otherwise, a reference to legislation is to legislation of the Commonwealth, as amended from time to time;</w:t>
      </w:r>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726A7F" w:rsidRPr="00CD725B" w14:paraId="65750B89" w14:textId="77777777" w:rsidTr="00726A7F">
        <w:trPr>
          <w:trHeight w:val="1845"/>
        </w:trPr>
        <w:tc>
          <w:tcPr>
            <w:tcW w:w="4555" w:type="dxa"/>
          </w:tcPr>
          <w:p w14:paraId="2BBD66EA" w14:textId="77777777" w:rsidR="00726A7F" w:rsidRDefault="00726A7F" w:rsidP="00726A7F">
            <w:pPr>
              <w:rPr>
                <w:rFonts w:ascii="Calibri" w:hAnsi="Calibri" w:cs="Arial"/>
              </w:rPr>
            </w:pPr>
            <w:bookmarkStart w:id="4" w:name="_Hlk120192239"/>
            <w:r>
              <w:rPr>
                <w:rFonts w:ascii="Calibri" w:hAnsi="Calibri" w:cs="Arial"/>
              </w:rPr>
              <w:lastRenderedPageBreak/>
              <w:t>SIGNED for and on behalf of</w:t>
            </w:r>
          </w:p>
          <w:p w14:paraId="1C21DC01" w14:textId="77777777" w:rsidR="00726A7F" w:rsidRDefault="00726A7F" w:rsidP="00726A7F">
            <w:pPr>
              <w:rPr>
                <w:rFonts w:ascii="Calibri" w:hAnsi="Calibri" w:cs="Arial"/>
              </w:rPr>
            </w:pPr>
          </w:p>
          <w:p w14:paraId="5A01C04B" w14:textId="77777777" w:rsidR="00726A7F" w:rsidRDefault="00726A7F" w:rsidP="00726A7F">
            <w:pPr>
              <w:rPr>
                <w:rFonts w:ascii="Calibri" w:hAnsi="Calibri" w:cs="Arial"/>
              </w:rPr>
            </w:pPr>
            <w:r>
              <w:rPr>
                <w:rFonts w:ascii="Calibri" w:hAnsi="Calibri" w:cs="Arial"/>
              </w:rPr>
              <w:t>THE COMMONWEALTH OF AUSTRALIA</w:t>
            </w:r>
          </w:p>
          <w:p w14:paraId="103AE45A" w14:textId="77777777" w:rsidR="00726A7F" w:rsidRDefault="00726A7F" w:rsidP="00726A7F">
            <w:pPr>
              <w:rPr>
                <w:rFonts w:ascii="Calibri" w:hAnsi="Calibri" w:cs="Arial"/>
              </w:rPr>
            </w:pPr>
          </w:p>
          <w:p w14:paraId="3E5701C6" w14:textId="77777777" w:rsidR="00726A7F" w:rsidRDefault="00726A7F" w:rsidP="00726A7F">
            <w:pPr>
              <w:rPr>
                <w:rFonts w:ascii="Calibri" w:hAnsi="Calibri" w:cs="Arial"/>
                <w:sz w:val="22"/>
                <w:szCs w:val="22"/>
              </w:rPr>
            </w:pPr>
            <w:r>
              <w:rPr>
                <w:rFonts w:ascii="Calibri" w:hAnsi="Calibri" w:cs="Arial"/>
                <w:sz w:val="22"/>
                <w:szCs w:val="22"/>
              </w:rPr>
              <w:t>by</w:t>
            </w:r>
          </w:p>
          <w:p w14:paraId="2AEBE1CC" w14:textId="04D898C1" w:rsidR="00726A7F" w:rsidRPr="00FF6592" w:rsidRDefault="00FF6592" w:rsidP="00726A7F">
            <w:pPr>
              <w:rPr>
                <w:rFonts w:ascii="Calibri" w:hAnsi="Calibri" w:cs="Arial"/>
                <w:sz w:val="22"/>
                <w:szCs w:val="22"/>
              </w:rPr>
            </w:pPr>
            <w:r>
              <w:rPr>
                <w:rFonts w:ascii="Calibri" w:hAnsi="Calibri" w:cs="Arial"/>
                <w:sz w:val="22"/>
                <w:szCs w:val="22"/>
              </w:rPr>
              <w:t xml:space="preserve">       Madonna Morton</w:t>
            </w:r>
          </w:p>
          <w:p w14:paraId="364212EC" w14:textId="77777777" w:rsidR="00726A7F" w:rsidRDefault="00FF6592" w:rsidP="00726A7F">
            <w:pPr>
              <w:divId w:val="1938177014"/>
              <w:rPr>
                <w:rFonts w:ascii="Calibri" w:hAnsi="Calibri" w:cs="Arial"/>
                <w:sz w:val="22"/>
                <w:szCs w:val="22"/>
              </w:rPr>
            </w:pPr>
            <w:r>
              <w:rPr>
                <w:rFonts w:ascii="Calibri" w:hAnsi="Calibri" w:cs="Arial"/>
                <w:sz w:val="22"/>
                <w:szCs w:val="22"/>
              </w:rPr>
              <w:pict w14:anchorId="203BA88A">
                <v:rect id="_x0000_i1025" style="width:234pt;height:.5pt" o:hrpct="500" o:hrstd="t" o:hrnoshade="t" o:hr="t" fillcolor="black [3213]" stroked="f"/>
              </w:pict>
            </w:r>
          </w:p>
          <w:p w14:paraId="1A8883ED" w14:textId="45A32E7F" w:rsidR="00726A7F" w:rsidRPr="00CD725B" w:rsidRDefault="00726A7F" w:rsidP="00726A7F"/>
        </w:tc>
        <w:tc>
          <w:tcPr>
            <w:tcW w:w="4471" w:type="dxa"/>
          </w:tcPr>
          <w:p w14:paraId="701AC4BB" w14:textId="77777777" w:rsidR="00726A7F" w:rsidRDefault="00726A7F" w:rsidP="00726A7F">
            <w:pPr>
              <w:rPr>
                <w:rFonts w:ascii="Calibri" w:hAnsi="Calibri" w:cs="Arial"/>
              </w:rPr>
            </w:pPr>
            <w:r>
              <w:rPr>
                <w:rFonts w:ascii="Calibri" w:hAnsi="Calibri" w:cs="Arial"/>
              </w:rPr>
              <w:t>In the presence of:</w:t>
            </w:r>
          </w:p>
          <w:p w14:paraId="4DFA2BC0" w14:textId="77777777" w:rsidR="00726A7F" w:rsidRDefault="00726A7F" w:rsidP="00726A7F">
            <w:pPr>
              <w:rPr>
                <w:rFonts w:ascii="Calibri" w:hAnsi="Calibri" w:cs="Arial"/>
              </w:rPr>
            </w:pPr>
          </w:p>
          <w:p w14:paraId="116D3B4C" w14:textId="77777777" w:rsidR="00726A7F" w:rsidRDefault="00726A7F" w:rsidP="00726A7F">
            <w:pPr>
              <w:rPr>
                <w:rFonts w:ascii="Calibri" w:hAnsi="Calibri" w:cs="Arial"/>
              </w:rPr>
            </w:pPr>
          </w:p>
          <w:p w14:paraId="26887E38" w14:textId="77777777" w:rsidR="00726A7F" w:rsidRDefault="00726A7F" w:rsidP="00726A7F">
            <w:pPr>
              <w:rPr>
                <w:rFonts w:ascii="Calibri" w:hAnsi="Calibri" w:cs="Arial"/>
              </w:rPr>
            </w:pPr>
          </w:p>
          <w:p w14:paraId="5D5EF93E" w14:textId="77777777" w:rsidR="00726A7F" w:rsidRDefault="00726A7F" w:rsidP="00726A7F">
            <w:pPr>
              <w:rPr>
                <w:rFonts w:ascii="Calibri" w:hAnsi="Calibri" w:cs="Arial"/>
              </w:rPr>
            </w:pPr>
          </w:p>
          <w:p w14:paraId="1F8CA3A1" w14:textId="3FAC11EA" w:rsidR="00726A7F" w:rsidRPr="00FF6592" w:rsidRDefault="00FF6592" w:rsidP="00726A7F">
            <w:pPr>
              <w:rPr>
                <w:rFonts w:ascii="Calibri" w:hAnsi="Calibri" w:cs="Arial"/>
                <w:sz w:val="22"/>
                <w:szCs w:val="22"/>
              </w:rPr>
            </w:pPr>
            <w:r>
              <w:rPr>
                <w:rFonts w:ascii="Calibri" w:hAnsi="Calibri" w:cs="Arial"/>
                <w:sz w:val="22"/>
                <w:szCs w:val="22"/>
              </w:rPr>
              <w:t>Clae Hyde</w:t>
            </w:r>
          </w:p>
          <w:p w14:paraId="716E24BD" w14:textId="77777777" w:rsidR="00726A7F" w:rsidRDefault="00FF6592" w:rsidP="00726A7F">
            <w:pPr>
              <w:divId w:val="1795437952"/>
              <w:rPr>
                <w:rFonts w:ascii="Calibri" w:hAnsi="Calibri" w:cs="Arial"/>
              </w:rPr>
            </w:pPr>
            <w:r>
              <w:rPr>
                <w:rFonts w:ascii="Calibri" w:hAnsi="Calibri" w:cs="Arial"/>
              </w:rPr>
              <w:pict w14:anchorId="6F717ECF">
                <v:rect id="_x0000_i1026" style="width:234pt;height:.5pt" o:hrpct="500" o:hrstd="t" o:hrnoshade="t" o:hr="t" fillcolor="black [3213]" stroked="f"/>
              </w:pict>
            </w:r>
          </w:p>
          <w:p w14:paraId="35D2723B" w14:textId="1FDCA9F9" w:rsidR="00726A7F" w:rsidRPr="00CD725B" w:rsidRDefault="00726A7F" w:rsidP="00726A7F">
            <w:pPr>
              <w:rPr>
                <w:rFonts w:ascii="Calibri" w:hAnsi="Calibri" w:cs="Arial"/>
                <w:sz w:val="22"/>
              </w:rPr>
            </w:pPr>
          </w:p>
        </w:tc>
      </w:tr>
      <w:tr w:rsidR="00726A7F" w:rsidRPr="00CD725B" w14:paraId="0CB27A06" w14:textId="77777777" w:rsidTr="00726A7F">
        <w:trPr>
          <w:trHeight w:val="1120"/>
        </w:trPr>
        <w:tc>
          <w:tcPr>
            <w:tcW w:w="4555" w:type="dxa"/>
          </w:tcPr>
          <w:p w14:paraId="120AEFEC" w14:textId="77777777" w:rsidR="00726A7F" w:rsidRDefault="00726A7F" w:rsidP="00726A7F">
            <w:pPr>
              <w:rPr>
                <w:rFonts w:ascii="Calibri" w:hAnsi="Calibri" w:cs="Arial"/>
                <w:sz w:val="22"/>
                <w:szCs w:val="22"/>
              </w:rPr>
            </w:pPr>
            <w:r>
              <w:rPr>
                <w:rFonts w:ascii="Calibri" w:hAnsi="Calibri" w:cs="Arial"/>
                <w:sz w:val="22"/>
                <w:szCs w:val="22"/>
              </w:rPr>
              <w:t>Full name (please print)</w:t>
            </w:r>
          </w:p>
          <w:p w14:paraId="48A2DE11" w14:textId="77777777" w:rsidR="00726A7F" w:rsidRDefault="00726A7F" w:rsidP="00726A7F">
            <w:pPr>
              <w:rPr>
                <w:rFonts w:ascii="Calibri" w:hAnsi="Calibri" w:cs="Arial"/>
                <w:sz w:val="22"/>
                <w:szCs w:val="22"/>
              </w:rPr>
            </w:pPr>
          </w:p>
          <w:p w14:paraId="2B2E07E5" w14:textId="202BFC9B" w:rsidR="00726A7F" w:rsidRDefault="00726A7F" w:rsidP="00726A7F">
            <w:pPr>
              <w:rPr>
                <w:rFonts w:ascii="Calibri" w:hAnsi="Calibri" w:cs="Arial"/>
                <w:sz w:val="22"/>
                <w:szCs w:val="22"/>
              </w:rPr>
            </w:pPr>
            <w:r>
              <w:rPr>
                <w:rFonts w:ascii="Calibri" w:hAnsi="Calibri" w:cs="Arial"/>
                <w:sz w:val="22"/>
                <w:szCs w:val="22"/>
              </w:rPr>
              <w:t>First Assistant Secretary</w:t>
            </w:r>
          </w:p>
          <w:p w14:paraId="1FF1AE3D" w14:textId="77777777" w:rsidR="00726A7F" w:rsidRDefault="00FF6592" w:rsidP="00726A7F">
            <w:pPr>
              <w:divId w:val="300380733"/>
              <w:rPr>
                <w:rFonts w:ascii="Calibri" w:hAnsi="Calibri" w:cs="Arial"/>
                <w:sz w:val="22"/>
                <w:szCs w:val="22"/>
              </w:rPr>
            </w:pPr>
            <w:r>
              <w:rPr>
                <w:rFonts w:ascii="Calibri" w:hAnsi="Calibri" w:cs="Arial"/>
                <w:sz w:val="22"/>
                <w:szCs w:val="22"/>
              </w:rPr>
              <w:pict w14:anchorId="533ACE58">
                <v:rect id="_x0000_i1027" style="width:234pt;height:.5pt" o:hrpct="500" o:hrstd="t" o:hrnoshade="t" o:hr="t" fillcolor="black [3213]" stroked="f"/>
              </w:pict>
            </w:r>
          </w:p>
          <w:p w14:paraId="3EB8115C" w14:textId="29844AEA" w:rsidR="00726A7F" w:rsidRPr="00CD725B" w:rsidRDefault="00726A7F" w:rsidP="00726A7F">
            <w:pPr>
              <w:rPr>
                <w:rFonts w:ascii="Calibri" w:hAnsi="Calibri" w:cs="Arial"/>
                <w:sz w:val="22"/>
                <w:szCs w:val="22"/>
              </w:rPr>
            </w:pPr>
          </w:p>
        </w:tc>
        <w:tc>
          <w:tcPr>
            <w:tcW w:w="4471" w:type="dxa"/>
          </w:tcPr>
          <w:p w14:paraId="5DB374AB" w14:textId="77777777" w:rsidR="00726A7F" w:rsidRDefault="00726A7F" w:rsidP="00726A7F">
            <w:pPr>
              <w:rPr>
                <w:rFonts w:ascii="Calibri" w:hAnsi="Calibri" w:cs="Arial"/>
                <w:sz w:val="22"/>
                <w:szCs w:val="22"/>
              </w:rPr>
            </w:pPr>
            <w:r>
              <w:rPr>
                <w:rFonts w:ascii="Calibri" w:hAnsi="Calibri" w:cs="Arial"/>
                <w:sz w:val="22"/>
                <w:szCs w:val="22"/>
              </w:rPr>
              <w:t>Witness (please print)</w:t>
            </w:r>
          </w:p>
          <w:p w14:paraId="488FA4DA" w14:textId="77777777" w:rsidR="00726A7F" w:rsidRDefault="00726A7F" w:rsidP="00726A7F">
            <w:pPr>
              <w:rPr>
                <w:rFonts w:ascii="Calibri" w:hAnsi="Calibri" w:cs="Arial"/>
                <w:sz w:val="22"/>
                <w:szCs w:val="22"/>
              </w:rPr>
            </w:pPr>
          </w:p>
          <w:p w14:paraId="49B42C24" w14:textId="1C8FC80E" w:rsidR="00726A7F" w:rsidRDefault="00FF6592" w:rsidP="00726A7F">
            <w:pPr>
              <w:rPr>
                <w:rFonts w:ascii="Calibri" w:hAnsi="Calibri" w:cs="Arial"/>
                <w:sz w:val="22"/>
                <w:szCs w:val="22"/>
              </w:rPr>
            </w:pPr>
            <w:r>
              <w:rPr>
                <w:rFonts w:ascii="Calibri" w:hAnsi="Calibri" w:cs="Arial"/>
                <w:sz w:val="22"/>
                <w:szCs w:val="22"/>
              </w:rPr>
              <w:t xml:space="preserve">Assistant Director, CGS Policy </w:t>
            </w:r>
          </w:p>
          <w:p w14:paraId="200E3EF7" w14:textId="77777777" w:rsidR="00726A7F" w:rsidRDefault="00FF6592" w:rsidP="00726A7F">
            <w:pPr>
              <w:divId w:val="844323497"/>
              <w:rPr>
                <w:rFonts w:ascii="Calibri" w:hAnsi="Calibri" w:cs="Arial"/>
                <w:sz w:val="22"/>
                <w:szCs w:val="22"/>
              </w:rPr>
            </w:pPr>
            <w:r>
              <w:rPr>
                <w:rFonts w:ascii="Calibri" w:hAnsi="Calibri" w:cs="Arial"/>
                <w:sz w:val="22"/>
                <w:szCs w:val="22"/>
              </w:rPr>
              <w:pict w14:anchorId="095D5C88">
                <v:rect id="_x0000_i1028" style="width:234pt;height:.5pt" o:hrpct="500" o:hrstd="t" o:hrnoshade="t" o:hr="t" fillcolor="black [3213]" stroked="f"/>
              </w:pict>
            </w:r>
          </w:p>
          <w:p w14:paraId="04D579E8" w14:textId="15B63008" w:rsidR="00726A7F" w:rsidRPr="00CD725B" w:rsidRDefault="00726A7F" w:rsidP="00726A7F">
            <w:pPr>
              <w:rPr>
                <w:rFonts w:ascii="Calibri" w:hAnsi="Calibri" w:cs="Arial"/>
                <w:sz w:val="22"/>
                <w:szCs w:val="22"/>
              </w:rPr>
            </w:pPr>
          </w:p>
        </w:tc>
      </w:tr>
      <w:tr w:rsidR="00726A7F" w:rsidRPr="00CD725B" w14:paraId="1646F1F9" w14:textId="77777777" w:rsidTr="00C71177">
        <w:trPr>
          <w:trHeight w:hRule="exact" w:val="2098"/>
        </w:trPr>
        <w:tc>
          <w:tcPr>
            <w:tcW w:w="4555" w:type="dxa"/>
          </w:tcPr>
          <w:p w14:paraId="5A45E523" w14:textId="77777777" w:rsidR="00726A7F" w:rsidRDefault="00726A7F" w:rsidP="00726A7F">
            <w:pPr>
              <w:rPr>
                <w:rFonts w:ascii="Calibri" w:hAnsi="Calibri" w:cs="Arial"/>
                <w:sz w:val="22"/>
                <w:szCs w:val="22"/>
              </w:rPr>
            </w:pPr>
            <w:r>
              <w:rPr>
                <w:rFonts w:ascii="Calibri" w:hAnsi="Calibri" w:cs="Arial"/>
                <w:sz w:val="22"/>
                <w:szCs w:val="22"/>
              </w:rPr>
              <w:t>Position (please print)</w:t>
            </w:r>
          </w:p>
          <w:p w14:paraId="4674637B" w14:textId="77777777" w:rsidR="00726A7F" w:rsidRDefault="00726A7F" w:rsidP="00726A7F">
            <w:pPr>
              <w:rPr>
                <w:rFonts w:ascii="Calibri" w:hAnsi="Calibri" w:cs="Arial"/>
                <w:sz w:val="22"/>
                <w:szCs w:val="22"/>
              </w:rPr>
            </w:pPr>
          </w:p>
          <w:p w14:paraId="7A193182" w14:textId="77777777" w:rsidR="00726A7F" w:rsidRDefault="00726A7F" w:rsidP="00726A7F">
            <w:pPr>
              <w:rPr>
                <w:rFonts w:ascii="Calibri" w:hAnsi="Calibri" w:cs="Arial"/>
                <w:sz w:val="22"/>
                <w:szCs w:val="22"/>
              </w:rPr>
            </w:pPr>
            <w:r>
              <w:rPr>
                <w:rFonts w:ascii="Calibri" w:hAnsi="Calibri" w:cs="Arial"/>
                <w:sz w:val="22"/>
                <w:szCs w:val="22"/>
              </w:rPr>
              <w:t>of the Department of Education as delegate of the Minister for Education.</w:t>
            </w:r>
          </w:p>
          <w:p w14:paraId="338D4189" w14:textId="77777777" w:rsidR="00726A7F" w:rsidRDefault="00726A7F" w:rsidP="00726A7F">
            <w:pPr>
              <w:rPr>
                <w:rFonts w:ascii="Calibri" w:hAnsi="Calibri" w:cs="Arial"/>
                <w:sz w:val="22"/>
                <w:szCs w:val="22"/>
              </w:rPr>
            </w:pPr>
          </w:p>
          <w:p w14:paraId="4D18019B" w14:textId="77777777" w:rsidR="00726A7F" w:rsidRDefault="00726A7F" w:rsidP="00726A7F">
            <w:pPr>
              <w:rPr>
                <w:rFonts w:ascii="Calibri" w:hAnsi="Calibri" w:cs="Arial"/>
                <w:sz w:val="22"/>
                <w:szCs w:val="22"/>
              </w:rPr>
            </w:pPr>
          </w:p>
          <w:p w14:paraId="2D02732C" w14:textId="77777777" w:rsidR="00726A7F" w:rsidRDefault="00726A7F" w:rsidP="00726A7F">
            <w:pPr>
              <w:rPr>
                <w:rFonts w:ascii="Calibri" w:hAnsi="Calibri" w:cs="Arial"/>
                <w:sz w:val="22"/>
                <w:szCs w:val="22"/>
              </w:rPr>
            </w:pPr>
          </w:p>
          <w:p w14:paraId="52092CFC" w14:textId="77777777" w:rsidR="00726A7F" w:rsidRDefault="00FF6592" w:rsidP="00726A7F">
            <w:pPr>
              <w:divId w:val="821583215"/>
              <w:rPr>
                <w:rFonts w:ascii="Calibri" w:hAnsi="Calibri" w:cs="Arial"/>
                <w:sz w:val="22"/>
                <w:szCs w:val="22"/>
              </w:rPr>
            </w:pPr>
            <w:r>
              <w:rPr>
                <w:rFonts w:ascii="Calibri" w:hAnsi="Calibri" w:cs="Arial"/>
                <w:sz w:val="22"/>
                <w:szCs w:val="22"/>
              </w:rPr>
              <w:pict w14:anchorId="51AFA47B">
                <v:rect id="_x0000_i1029" style="width:234pt;height:.5pt" o:hrpct="500" o:hrstd="t" o:hrnoshade="t" o:hr="t" fillcolor="black [3213]" stroked="f"/>
              </w:pict>
            </w:r>
          </w:p>
          <w:p w14:paraId="4CF986B5" w14:textId="5D92540F" w:rsidR="00726A7F" w:rsidRPr="00CD725B" w:rsidRDefault="00726A7F" w:rsidP="00726A7F">
            <w:pPr>
              <w:rPr>
                <w:rFonts w:ascii="Calibri" w:hAnsi="Calibri" w:cs="Arial"/>
                <w:sz w:val="22"/>
                <w:szCs w:val="22"/>
              </w:rPr>
            </w:pPr>
          </w:p>
        </w:tc>
        <w:tc>
          <w:tcPr>
            <w:tcW w:w="4471" w:type="dxa"/>
          </w:tcPr>
          <w:p w14:paraId="558FAFAF" w14:textId="77777777" w:rsidR="00726A7F" w:rsidRDefault="00726A7F" w:rsidP="00726A7F">
            <w:pPr>
              <w:rPr>
                <w:rFonts w:ascii="Calibri" w:hAnsi="Calibri" w:cs="Arial"/>
                <w:sz w:val="22"/>
                <w:szCs w:val="22"/>
              </w:rPr>
            </w:pPr>
            <w:r>
              <w:rPr>
                <w:rFonts w:ascii="Calibri" w:hAnsi="Calibri" w:cs="Arial"/>
                <w:sz w:val="22"/>
                <w:szCs w:val="22"/>
              </w:rPr>
              <w:t>Position or profession of witness (please print)</w:t>
            </w:r>
          </w:p>
          <w:p w14:paraId="0453ABAA" w14:textId="77777777" w:rsidR="00726A7F" w:rsidRDefault="00726A7F" w:rsidP="00726A7F">
            <w:pPr>
              <w:rPr>
                <w:rFonts w:ascii="Calibri" w:hAnsi="Calibri" w:cs="Arial"/>
                <w:sz w:val="22"/>
                <w:szCs w:val="22"/>
              </w:rPr>
            </w:pPr>
          </w:p>
          <w:p w14:paraId="18ED5022" w14:textId="77777777" w:rsidR="00726A7F" w:rsidRDefault="00726A7F" w:rsidP="00726A7F">
            <w:pPr>
              <w:rPr>
                <w:rFonts w:ascii="Calibri" w:hAnsi="Calibri" w:cs="Arial"/>
                <w:sz w:val="22"/>
                <w:szCs w:val="22"/>
              </w:rPr>
            </w:pPr>
          </w:p>
          <w:p w14:paraId="6327E4BE" w14:textId="77777777" w:rsidR="00726A7F" w:rsidRDefault="00726A7F" w:rsidP="00726A7F">
            <w:pPr>
              <w:rPr>
                <w:rFonts w:ascii="Calibri" w:hAnsi="Calibri" w:cs="Arial"/>
                <w:sz w:val="22"/>
                <w:szCs w:val="22"/>
              </w:rPr>
            </w:pPr>
          </w:p>
          <w:p w14:paraId="0C7F364D" w14:textId="77777777" w:rsidR="00726A7F" w:rsidRDefault="00726A7F" w:rsidP="00726A7F">
            <w:pPr>
              <w:rPr>
                <w:rFonts w:ascii="Calibri" w:hAnsi="Calibri" w:cs="Arial"/>
                <w:sz w:val="22"/>
                <w:szCs w:val="22"/>
              </w:rPr>
            </w:pPr>
          </w:p>
          <w:p w14:paraId="0752E352" w14:textId="77777777" w:rsidR="00726A7F" w:rsidRDefault="00726A7F" w:rsidP="00726A7F">
            <w:pPr>
              <w:rPr>
                <w:rFonts w:ascii="Calibri" w:hAnsi="Calibri" w:cs="Arial"/>
                <w:sz w:val="22"/>
                <w:szCs w:val="22"/>
              </w:rPr>
            </w:pPr>
          </w:p>
          <w:p w14:paraId="11E76EE0" w14:textId="77777777" w:rsidR="00726A7F" w:rsidRDefault="00726A7F" w:rsidP="00726A7F">
            <w:pPr>
              <w:rPr>
                <w:rFonts w:ascii="Calibri" w:hAnsi="Calibri" w:cs="Arial"/>
                <w:sz w:val="22"/>
                <w:szCs w:val="22"/>
              </w:rPr>
            </w:pPr>
          </w:p>
          <w:p w14:paraId="76952FAF" w14:textId="77777777" w:rsidR="00726A7F" w:rsidRDefault="00FF6592" w:rsidP="00726A7F">
            <w:pPr>
              <w:divId w:val="245310593"/>
              <w:rPr>
                <w:rFonts w:ascii="Calibri" w:hAnsi="Calibri" w:cs="Arial"/>
                <w:sz w:val="22"/>
                <w:szCs w:val="22"/>
              </w:rPr>
            </w:pPr>
            <w:r>
              <w:rPr>
                <w:rFonts w:ascii="Calibri" w:hAnsi="Calibri" w:cs="Arial"/>
                <w:sz w:val="22"/>
                <w:szCs w:val="22"/>
              </w:rPr>
              <w:pict w14:anchorId="02FD96D2">
                <v:rect id="_x0000_i1030" style="width:234pt;height:.5pt" o:hrpct="500" o:hrstd="t" o:hrnoshade="t" o:hr="t" fillcolor="black [3213]" stroked="f"/>
              </w:pict>
            </w:r>
          </w:p>
          <w:p w14:paraId="7A728435" w14:textId="450F9CC2" w:rsidR="00726A7F" w:rsidRPr="00CD725B" w:rsidRDefault="00726A7F" w:rsidP="00726A7F">
            <w:pPr>
              <w:rPr>
                <w:rFonts w:ascii="Calibri" w:hAnsi="Calibri" w:cs="Arial"/>
                <w:sz w:val="22"/>
                <w:szCs w:val="22"/>
              </w:rPr>
            </w:pPr>
          </w:p>
        </w:tc>
      </w:tr>
      <w:tr w:rsidR="00726A7F" w:rsidRPr="00CD725B" w14:paraId="404D6047" w14:textId="77777777" w:rsidTr="00C71177">
        <w:trPr>
          <w:trHeight w:hRule="exact" w:val="1418"/>
        </w:trPr>
        <w:tc>
          <w:tcPr>
            <w:tcW w:w="4555" w:type="dxa"/>
          </w:tcPr>
          <w:p w14:paraId="0B57E385" w14:textId="77777777" w:rsidR="00726A7F" w:rsidRDefault="00726A7F" w:rsidP="00726A7F">
            <w:pPr>
              <w:rPr>
                <w:rFonts w:ascii="Calibri" w:hAnsi="Calibri" w:cs="Arial"/>
                <w:sz w:val="22"/>
                <w:szCs w:val="22"/>
              </w:rPr>
            </w:pPr>
            <w:r>
              <w:rPr>
                <w:rFonts w:ascii="Calibri" w:hAnsi="Calibri" w:cs="Arial"/>
                <w:sz w:val="22"/>
                <w:szCs w:val="22"/>
              </w:rPr>
              <w:t>Signature</w:t>
            </w:r>
          </w:p>
          <w:p w14:paraId="45C02096" w14:textId="77777777" w:rsidR="00726A7F" w:rsidRDefault="00726A7F" w:rsidP="00726A7F">
            <w:pPr>
              <w:rPr>
                <w:rFonts w:ascii="Calibri" w:hAnsi="Calibri" w:cs="Arial"/>
                <w:sz w:val="22"/>
                <w:szCs w:val="22"/>
              </w:rPr>
            </w:pPr>
          </w:p>
          <w:p w14:paraId="7AAD004E" w14:textId="77777777" w:rsidR="00C71177" w:rsidRDefault="00C71177" w:rsidP="00726A7F">
            <w:pPr>
              <w:rPr>
                <w:rFonts w:ascii="Calibri" w:hAnsi="Calibri" w:cs="Arial"/>
                <w:sz w:val="22"/>
                <w:szCs w:val="22"/>
              </w:rPr>
            </w:pPr>
          </w:p>
          <w:p w14:paraId="7471412F" w14:textId="77777777" w:rsidR="00D243A8" w:rsidRDefault="00D243A8" w:rsidP="00726A7F">
            <w:pPr>
              <w:divId w:val="2043165514"/>
              <w:rPr>
                <w:rFonts w:ascii="Calibri" w:hAnsi="Calibri" w:cs="Arial"/>
                <w:sz w:val="22"/>
                <w:szCs w:val="22"/>
              </w:rPr>
            </w:pPr>
          </w:p>
          <w:p w14:paraId="2F05E7E4" w14:textId="55493489" w:rsidR="00726A7F" w:rsidRDefault="00FF6592" w:rsidP="00726A7F">
            <w:pPr>
              <w:divId w:val="2043165514"/>
              <w:rPr>
                <w:rFonts w:ascii="Calibri" w:hAnsi="Calibri" w:cs="Arial"/>
                <w:sz w:val="22"/>
                <w:szCs w:val="22"/>
              </w:rPr>
            </w:pPr>
            <w:r>
              <w:rPr>
                <w:rFonts w:ascii="Calibri" w:hAnsi="Calibri" w:cs="Arial"/>
                <w:sz w:val="22"/>
                <w:szCs w:val="22"/>
              </w:rPr>
              <w:pict w14:anchorId="191D1268">
                <v:rect id="_x0000_i1031" style="width:234pt;height:.5pt" o:hrpct="500" o:hrstd="t" o:hrnoshade="t" o:hr="t" fillcolor="black [3213]" stroked="f"/>
              </w:pict>
            </w:r>
          </w:p>
          <w:p w14:paraId="112CD540" w14:textId="54534223" w:rsidR="00726A7F" w:rsidRPr="00CD725B" w:rsidRDefault="00726A7F" w:rsidP="00726A7F">
            <w:pPr>
              <w:rPr>
                <w:rFonts w:ascii="Calibri" w:hAnsi="Calibri" w:cs="Arial"/>
                <w:sz w:val="22"/>
                <w:szCs w:val="22"/>
              </w:rPr>
            </w:pPr>
          </w:p>
        </w:tc>
        <w:tc>
          <w:tcPr>
            <w:tcW w:w="4471" w:type="dxa"/>
          </w:tcPr>
          <w:p w14:paraId="7FFDA26E" w14:textId="145C97AD" w:rsidR="00726A7F" w:rsidRPr="00CD725B" w:rsidRDefault="00726A7F" w:rsidP="00726A7F">
            <w:pPr>
              <w:rPr>
                <w:rFonts w:ascii="Calibri" w:hAnsi="Calibri" w:cs="Arial"/>
                <w:sz w:val="22"/>
                <w:szCs w:val="22"/>
              </w:rPr>
            </w:pPr>
            <w:r>
              <w:rPr>
                <w:rFonts w:ascii="Calibri" w:hAnsi="Calibri" w:cs="Arial"/>
                <w:sz w:val="22"/>
                <w:szCs w:val="22"/>
              </w:rPr>
              <w:t>Signature</w:t>
            </w:r>
          </w:p>
        </w:tc>
      </w:tr>
      <w:tr w:rsidR="00726A7F" w:rsidRPr="00CD725B" w14:paraId="1969D9BA" w14:textId="77777777" w:rsidTr="00C163DC">
        <w:trPr>
          <w:trHeight w:hRule="exact" w:val="1247"/>
        </w:trPr>
        <w:tc>
          <w:tcPr>
            <w:tcW w:w="4555" w:type="dxa"/>
          </w:tcPr>
          <w:p w14:paraId="7373699E" w14:textId="5A9B2AD9" w:rsidR="00726A7F" w:rsidRPr="00CD725B" w:rsidRDefault="00726A7F" w:rsidP="00726A7F">
            <w:pPr>
              <w:rPr>
                <w:rFonts w:ascii="Calibri" w:hAnsi="Calibri" w:cs="Arial"/>
                <w:sz w:val="22"/>
                <w:szCs w:val="22"/>
              </w:rPr>
            </w:pPr>
            <w:r>
              <w:rPr>
                <w:rFonts w:ascii="Calibri" w:hAnsi="Calibri" w:cs="Arial"/>
                <w:sz w:val="22"/>
                <w:szCs w:val="22"/>
              </w:rPr>
              <w:t>Date</w:t>
            </w:r>
            <w:r w:rsidR="00FF6592">
              <w:rPr>
                <w:rFonts w:ascii="Calibri" w:hAnsi="Calibri" w:cs="Arial"/>
                <w:sz w:val="22"/>
                <w:szCs w:val="22"/>
              </w:rPr>
              <w:t xml:space="preserve">   14 May 2024</w:t>
            </w:r>
          </w:p>
        </w:tc>
        <w:tc>
          <w:tcPr>
            <w:tcW w:w="4471" w:type="dxa"/>
          </w:tcPr>
          <w:p w14:paraId="2DA7CCD5" w14:textId="77777777" w:rsidR="00726A7F" w:rsidRPr="00CD725B" w:rsidRDefault="00726A7F" w:rsidP="00726A7F">
            <w:pPr>
              <w:rPr>
                <w:rFonts w:ascii="Calibri" w:hAnsi="Calibri" w:cs="Arial"/>
                <w:sz w:val="22"/>
                <w:szCs w:val="22"/>
              </w:rPr>
            </w:pPr>
          </w:p>
        </w:tc>
      </w:tr>
      <w:tr w:rsidR="007E29F9" w:rsidRPr="00CD725B" w14:paraId="4E9ADD47" w14:textId="77777777" w:rsidTr="00726A7F">
        <w:trPr>
          <w:trHeight w:val="397"/>
        </w:trPr>
        <w:tc>
          <w:tcPr>
            <w:tcW w:w="4555" w:type="dxa"/>
          </w:tcPr>
          <w:p w14:paraId="0CD27FF4" w14:textId="2D6C6CEF" w:rsidR="007E29F9" w:rsidRPr="00CD725B" w:rsidRDefault="00C163DC" w:rsidP="00BE7CF5">
            <w:pPr>
              <w:rPr>
                <w:rFonts w:ascii="Calibri" w:hAnsi="Calibri" w:cs="Arial"/>
              </w:rPr>
            </w:pPr>
            <w:r>
              <w:rPr>
                <w:rFonts w:ascii="Calibri" w:hAnsi="Calibri" w:cs="Arial"/>
              </w:rPr>
              <w:t>S</w:t>
            </w:r>
            <w:r w:rsidR="007E29F9" w:rsidRPr="00CD725B">
              <w:rPr>
                <w:rFonts w:ascii="Calibri" w:hAnsi="Calibri" w:cs="Arial"/>
              </w:rPr>
              <w:t>IGNED for and on behalf of</w:t>
            </w:r>
          </w:p>
          <w:p w14:paraId="02835CC8" w14:textId="77777777" w:rsidR="007E29F9" w:rsidRPr="00CD725B" w:rsidRDefault="007E29F9" w:rsidP="00BE7CF5">
            <w:pPr>
              <w:rPr>
                <w:rFonts w:ascii="Calibri" w:hAnsi="Calibri" w:cs="Arial"/>
              </w:rPr>
            </w:pPr>
          </w:p>
          <w:p w14:paraId="048B0D6C" w14:textId="2B4E6A99" w:rsidR="007E29F9" w:rsidRPr="00D33EE3" w:rsidRDefault="00D33EE3" w:rsidP="00BE7CF5">
            <w:pPr>
              <w:rPr>
                <w:rFonts w:ascii="Calibri" w:hAnsi="Calibri" w:cs="Arial"/>
                <w:noProof/>
              </w:rPr>
            </w:pPr>
            <w:r w:rsidRPr="00D33EE3">
              <w:rPr>
                <w:rFonts w:ascii="Calibri" w:hAnsi="Calibri" w:cs="Arial"/>
                <w:noProof/>
              </w:rPr>
              <w:t>Melbourne Polytechnic</w:t>
            </w:r>
          </w:p>
          <w:p w14:paraId="658E9484" w14:textId="77777777" w:rsidR="007E29F9" w:rsidRPr="00CD725B" w:rsidRDefault="007E29F9" w:rsidP="00BE7CF5">
            <w:pPr>
              <w:rPr>
                <w:rFonts w:ascii="Calibri" w:hAnsi="Calibri" w:cs="Arial"/>
              </w:rPr>
            </w:pPr>
            <w:r w:rsidRPr="00CD725B">
              <w:rPr>
                <w:rFonts w:ascii="Calibri" w:hAnsi="Calibri" w:cs="Arial"/>
              </w:rPr>
              <w:t>by</w:t>
            </w:r>
          </w:p>
          <w:p w14:paraId="29E48A33" w14:textId="77777777" w:rsidR="007E29F9" w:rsidRPr="00CD725B" w:rsidRDefault="007E29F9" w:rsidP="00BE7CF5">
            <w:pPr>
              <w:rPr>
                <w:rFonts w:ascii="Calibri" w:hAnsi="Calibri" w:cs="Arial"/>
              </w:rPr>
            </w:pPr>
          </w:p>
          <w:p w14:paraId="3F96938E" w14:textId="26A05A15" w:rsidR="007E29F9" w:rsidRPr="00FF6592" w:rsidRDefault="00FF6592" w:rsidP="00BE7CF5">
            <w:pPr>
              <w:rPr>
                <w:rFonts w:ascii="Calibri" w:hAnsi="Calibri" w:cs="Arial"/>
                <w:sz w:val="22"/>
                <w:szCs w:val="22"/>
              </w:rPr>
            </w:pPr>
            <w:r>
              <w:rPr>
                <w:rFonts w:ascii="Calibri" w:hAnsi="Calibri" w:cs="Arial"/>
                <w:sz w:val="22"/>
                <w:szCs w:val="22"/>
              </w:rPr>
              <w:t>Frances Coppolillo</w:t>
            </w:r>
          </w:p>
          <w:p w14:paraId="0EA77DF0" w14:textId="6143B109" w:rsidR="007E29F9" w:rsidRPr="00CD725B" w:rsidRDefault="00FF6592" w:rsidP="00BE7CF5">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77777777" w:rsidR="007E29F9" w:rsidRPr="00CD725B" w:rsidRDefault="007E29F9" w:rsidP="00BE7CF5">
            <w:pPr>
              <w:rPr>
                <w:rFonts w:ascii="Calibri" w:hAnsi="Calibri" w:cs="Arial"/>
              </w:rPr>
            </w:pPr>
            <w:r w:rsidRPr="00CD725B">
              <w:rPr>
                <w:rFonts w:ascii="Calibri" w:hAnsi="Calibri" w:cs="Arial"/>
              </w:rPr>
              <w:t>In the presence of:</w:t>
            </w:r>
          </w:p>
          <w:p w14:paraId="22E83AC4" w14:textId="77777777" w:rsidR="007E29F9" w:rsidRPr="00CD725B" w:rsidRDefault="007E29F9" w:rsidP="00BE7CF5">
            <w:pPr>
              <w:rPr>
                <w:rFonts w:ascii="Calibri" w:hAnsi="Calibri" w:cs="Arial"/>
              </w:rPr>
            </w:pPr>
          </w:p>
          <w:p w14:paraId="42233158" w14:textId="77777777" w:rsidR="007E29F9" w:rsidRPr="00CD725B" w:rsidRDefault="007E29F9" w:rsidP="00BE7CF5">
            <w:pPr>
              <w:rPr>
                <w:rFonts w:ascii="Calibri" w:hAnsi="Calibri" w:cs="Arial"/>
              </w:rPr>
            </w:pPr>
          </w:p>
          <w:p w14:paraId="5B28C306" w14:textId="77777777" w:rsidR="007E29F9" w:rsidRPr="00CD725B" w:rsidRDefault="007E29F9" w:rsidP="00BE7CF5">
            <w:pPr>
              <w:rPr>
                <w:rFonts w:ascii="Calibri" w:hAnsi="Calibri" w:cs="Arial"/>
              </w:rPr>
            </w:pPr>
          </w:p>
          <w:p w14:paraId="45CEB703" w14:textId="77777777" w:rsidR="007E29F9" w:rsidRPr="00CD725B" w:rsidRDefault="007E29F9" w:rsidP="00BE7CF5">
            <w:pPr>
              <w:rPr>
                <w:rFonts w:ascii="Calibri" w:hAnsi="Calibri" w:cs="Arial"/>
              </w:rPr>
            </w:pPr>
          </w:p>
          <w:p w14:paraId="264FD545" w14:textId="6BC3487F" w:rsidR="007E29F9" w:rsidRPr="00FF6592" w:rsidRDefault="00FF6592" w:rsidP="00BE7CF5">
            <w:pPr>
              <w:rPr>
                <w:rFonts w:ascii="Calibri" w:hAnsi="Calibri" w:cs="Arial"/>
                <w:sz w:val="22"/>
                <w:szCs w:val="22"/>
              </w:rPr>
            </w:pPr>
            <w:r>
              <w:rPr>
                <w:rFonts w:ascii="Calibri" w:hAnsi="Calibri" w:cs="Arial"/>
                <w:sz w:val="22"/>
                <w:szCs w:val="22"/>
              </w:rPr>
              <w:t>Gabby Biyikli</w:t>
            </w:r>
          </w:p>
          <w:p w14:paraId="5FB5701C" w14:textId="14B300CE" w:rsidR="007E29F9" w:rsidRPr="00CD725B" w:rsidRDefault="00FF6592" w:rsidP="00BE7CF5">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7E29F9" w:rsidRPr="00CD725B" w14:paraId="61E58D39" w14:textId="77777777" w:rsidTr="00726A7F">
        <w:trPr>
          <w:trHeight w:val="397"/>
        </w:trPr>
        <w:tc>
          <w:tcPr>
            <w:tcW w:w="4555" w:type="dxa"/>
          </w:tcPr>
          <w:p w14:paraId="2627D758"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617D09AF" w14:textId="77777777" w:rsidR="007E29F9" w:rsidRPr="00CD725B" w:rsidRDefault="007E29F9" w:rsidP="00BE7CF5">
            <w:pPr>
              <w:rPr>
                <w:rFonts w:ascii="Calibri" w:hAnsi="Calibri" w:cs="Arial"/>
                <w:sz w:val="22"/>
                <w:szCs w:val="22"/>
              </w:rPr>
            </w:pPr>
          </w:p>
          <w:p w14:paraId="14E959B1" w14:textId="234A514D" w:rsidR="007E29F9" w:rsidRPr="00CD725B" w:rsidRDefault="00FF6592" w:rsidP="00BE7CF5">
            <w:pPr>
              <w:rPr>
                <w:rFonts w:ascii="Calibri" w:hAnsi="Calibri" w:cs="Arial"/>
                <w:sz w:val="22"/>
                <w:szCs w:val="22"/>
              </w:rPr>
            </w:pPr>
            <w:r>
              <w:rPr>
                <w:rFonts w:ascii="Calibri" w:hAnsi="Calibri" w:cs="Arial"/>
                <w:sz w:val="22"/>
                <w:szCs w:val="22"/>
              </w:rPr>
              <w:t xml:space="preserve">Chief Executive </w:t>
            </w:r>
          </w:p>
          <w:p w14:paraId="572289FB" w14:textId="3A2D41A4" w:rsidR="007E29F9" w:rsidRPr="00CD725B" w:rsidRDefault="00FF6592" w:rsidP="00BE7CF5">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77777777" w:rsidR="007E29F9" w:rsidRDefault="007E29F9" w:rsidP="00BE7CF5">
            <w:pPr>
              <w:rPr>
                <w:rFonts w:ascii="Calibri" w:hAnsi="Calibri" w:cs="Arial"/>
                <w:sz w:val="22"/>
                <w:szCs w:val="22"/>
              </w:rPr>
            </w:pPr>
            <w:r w:rsidRPr="00CD725B">
              <w:rPr>
                <w:rFonts w:ascii="Calibri" w:hAnsi="Calibri" w:cs="Arial"/>
                <w:sz w:val="22"/>
                <w:szCs w:val="22"/>
              </w:rPr>
              <w:t>Witness (please print)</w:t>
            </w:r>
          </w:p>
          <w:p w14:paraId="2ADC5E4E" w14:textId="77777777" w:rsidR="00FF6592" w:rsidRDefault="00FF6592" w:rsidP="009F2E7B">
            <w:pPr>
              <w:rPr>
                <w:rFonts w:ascii="Calibri" w:hAnsi="Calibri" w:cs="Arial"/>
                <w:sz w:val="22"/>
                <w:szCs w:val="22"/>
              </w:rPr>
            </w:pPr>
          </w:p>
          <w:p w14:paraId="233F7B39" w14:textId="68E8178D" w:rsidR="00FF6592" w:rsidRDefault="00FF6592" w:rsidP="009F2E7B">
            <w:pPr>
              <w:rPr>
                <w:rFonts w:ascii="Calibri" w:hAnsi="Calibri" w:cs="Arial"/>
                <w:sz w:val="22"/>
                <w:szCs w:val="22"/>
              </w:rPr>
            </w:pPr>
            <w:r>
              <w:rPr>
                <w:rFonts w:ascii="Calibri" w:hAnsi="Calibri" w:cs="Arial"/>
                <w:sz w:val="22"/>
                <w:szCs w:val="22"/>
              </w:rPr>
              <w:t xml:space="preserve">Senior Executive Assistant to Chief Executive </w:t>
            </w:r>
          </w:p>
          <w:p w14:paraId="6727188B" w14:textId="08042D03" w:rsidR="007E29F9" w:rsidRPr="00CD725B" w:rsidRDefault="00FF6592" w:rsidP="009F2E7B">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7E29F9" w:rsidRPr="00CD725B" w14:paraId="2EB1E768" w14:textId="77777777" w:rsidTr="00726A7F">
        <w:trPr>
          <w:trHeight w:val="397"/>
        </w:trPr>
        <w:tc>
          <w:tcPr>
            <w:tcW w:w="4555" w:type="dxa"/>
          </w:tcPr>
          <w:p w14:paraId="3E679FCB" w14:textId="00BBAD9D"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286A11A7" w14:textId="77777777" w:rsidR="007E29F9" w:rsidRPr="00CD725B" w:rsidRDefault="007E29F9" w:rsidP="00BE7CF5">
            <w:pPr>
              <w:rPr>
                <w:rFonts w:ascii="Calibri" w:hAnsi="Calibri" w:cs="Arial"/>
                <w:sz w:val="22"/>
                <w:szCs w:val="22"/>
              </w:rPr>
            </w:pPr>
          </w:p>
          <w:p w14:paraId="08340485" w14:textId="77777777" w:rsidR="007E29F9" w:rsidRPr="00CD725B" w:rsidRDefault="007E29F9" w:rsidP="00BE7CF5">
            <w:pPr>
              <w:rPr>
                <w:rFonts w:ascii="Calibri" w:hAnsi="Calibri" w:cs="Arial"/>
                <w:sz w:val="22"/>
                <w:szCs w:val="22"/>
              </w:rPr>
            </w:pPr>
          </w:p>
          <w:p w14:paraId="4E9E156B" w14:textId="3166E8EC" w:rsidR="007E29F9" w:rsidRPr="00CD725B" w:rsidRDefault="00FF6592" w:rsidP="00BE7CF5">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7E29F9" w:rsidRPr="00CD725B" w:rsidRDefault="007E29F9" w:rsidP="00BE7CF5">
            <w:pPr>
              <w:rPr>
                <w:rFonts w:ascii="Calibri" w:hAnsi="Calibri" w:cs="Arial"/>
                <w:sz w:val="22"/>
                <w:szCs w:val="22"/>
              </w:rPr>
            </w:pPr>
          </w:p>
          <w:p w14:paraId="4A1DAF8D" w14:textId="77777777" w:rsidR="007E29F9" w:rsidRPr="00CD725B" w:rsidRDefault="007E29F9" w:rsidP="00BE7CF5">
            <w:pPr>
              <w:rPr>
                <w:rFonts w:ascii="Calibri" w:hAnsi="Calibri" w:cs="Arial"/>
                <w:sz w:val="22"/>
                <w:szCs w:val="22"/>
              </w:rPr>
            </w:pPr>
          </w:p>
          <w:p w14:paraId="6FE49195" w14:textId="4DCB6C75" w:rsidR="007E29F9" w:rsidRPr="00CD725B" w:rsidRDefault="00FF6592" w:rsidP="00BE7CF5">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7E29F9" w:rsidRPr="00CD725B" w14:paraId="5EE2ADFE" w14:textId="77777777" w:rsidTr="00726A7F">
        <w:trPr>
          <w:trHeight w:val="397"/>
        </w:trPr>
        <w:tc>
          <w:tcPr>
            <w:tcW w:w="4555" w:type="dxa"/>
          </w:tcPr>
          <w:p w14:paraId="7A07585F"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6"/>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7"/>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8"/>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6717B5C4" w:rsidR="007E29F9" w:rsidRPr="00CD725B" w:rsidRDefault="00D33EE3" w:rsidP="009341AA">
            <w:pPr>
              <w:tabs>
                <w:tab w:val="left" w:pos="567"/>
                <w:tab w:val="left" w:pos="8222"/>
              </w:tabs>
              <w:jc w:val="center"/>
              <w:rPr>
                <w:rFonts w:ascii="Calibri" w:hAnsi="Calibri" w:cs="Arial"/>
                <w:bCs/>
                <w:noProof/>
                <w:sz w:val="22"/>
                <w:szCs w:val="22"/>
              </w:rPr>
            </w:pPr>
            <w:r w:rsidRPr="00D33EE3">
              <w:rPr>
                <w:rFonts w:ascii="Calibri" w:hAnsi="Calibri" w:cs="Arial"/>
                <w:noProof/>
                <w:sz w:val="22"/>
                <w:szCs w:val="22"/>
              </w:rPr>
              <w:t>$2,183,814</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11313E11" w:rsidR="007E29F9" w:rsidRPr="00CD725B" w:rsidRDefault="007E4933" w:rsidP="009F2DE4">
            <w:pPr>
              <w:tabs>
                <w:tab w:val="left" w:pos="567"/>
                <w:tab w:val="left" w:pos="8222"/>
              </w:tabs>
              <w:jc w:val="center"/>
              <w:rPr>
                <w:rFonts w:ascii="Calibri" w:hAnsi="Calibri" w:cs="Arial"/>
                <w:bCs/>
                <w:noProof/>
                <w:sz w:val="22"/>
                <w:szCs w:val="22"/>
              </w:rPr>
            </w:pPr>
            <w:r w:rsidRPr="007E4933">
              <w:rPr>
                <w:rFonts w:ascii="Calibri" w:hAnsi="Calibri" w:cs="Arial"/>
                <w:noProof/>
                <w:color w:val="000000" w:themeColor="text1"/>
                <w:sz w:val="22"/>
                <w:szCs w:val="22"/>
              </w:rPr>
              <w:t>TBA</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511800B4" w14:textId="5D335972" w:rsidR="007E29F9" w:rsidRPr="00CD725B" w:rsidRDefault="007E29F9" w:rsidP="00F110C5">
      <w:pPr>
        <w:pStyle w:val="ListParagraph"/>
        <w:widowControl w:val="0"/>
        <w:numPr>
          <w:ilvl w:val="0"/>
          <w:numId w:val="54"/>
        </w:numPr>
        <w:spacing w:before="120" w:after="120"/>
        <w:rPr>
          <w:rFonts w:ascii="Calibri" w:hAnsi="Calibri"/>
          <w:sz w:val="22"/>
        </w:rPr>
      </w:pPr>
      <w:r w:rsidRPr="00CD725B">
        <w:rPr>
          <w:rFonts w:ascii="Calibri" w:hAnsi="Calibri"/>
          <w:sz w:val="22"/>
        </w:rPr>
        <w:t>The Provider’s maximum basic grant amount is calculated by applying indexation consistent with the methodology set out in Part 5-6 of HESA.</w:t>
      </w:r>
    </w:p>
    <w:p w14:paraId="13E731F4" w14:textId="4946E6B7" w:rsidR="00B7665C" w:rsidRPr="00CD725B" w:rsidRDefault="00B7665C" w:rsidP="00F129B1">
      <w:pPr>
        <w:pStyle w:val="ListParagraph"/>
        <w:widowControl w:val="0"/>
        <w:numPr>
          <w:ilvl w:val="0"/>
          <w:numId w:val="54"/>
        </w:numPr>
        <w:spacing w:before="120" w:after="120"/>
        <w:rPr>
          <w:rFonts w:ascii="Calibri" w:hAnsi="Calibri"/>
          <w:sz w:val="22"/>
        </w:rPr>
      </w:pPr>
      <w:r w:rsidRPr="00CD725B">
        <w:rPr>
          <w:rFonts w:ascii="Calibri" w:hAnsi="Calibri"/>
          <w:sz w:val="22"/>
        </w:rPr>
        <w:t>The 202</w:t>
      </w:r>
      <w:r w:rsidR="00D22F2F">
        <w:rPr>
          <w:rFonts w:ascii="Calibri" w:hAnsi="Calibri"/>
          <w:sz w:val="22"/>
        </w:rPr>
        <w:t>4</w:t>
      </w:r>
      <w:r w:rsidRPr="00CD725B">
        <w:rPr>
          <w:rFonts w:ascii="Calibri" w:hAnsi="Calibri"/>
          <w:sz w:val="22"/>
        </w:rPr>
        <w:t xml:space="preserve"> maximum basic grant amount include</w:t>
      </w:r>
      <w:r w:rsidRPr="00D33EE3">
        <w:rPr>
          <w:rFonts w:ascii="Calibri" w:hAnsi="Calibri"/>
          <w:sz w:val="22"/>
        </w:rPr>
        <w:t xml:space="preserve">s </w:t>
      </w:r>
      <w:r w:rsidR="00D33EE3" w:rsidRPr="00D33EE3">
        <w:rPr>
          <w:rFonts w:ascii="Calibri" w:hAnsi="Calibri"/>
          <w:sz w:val="22"/>
        </w:rPr>
        <w:t>$390,042</w:t>
      </w:r>
      <w:r w:rsidRPr="00D33EE3">
        <w:rPr>
          <w:rFonts w:ascii="Calibri" w:hAnsi="Calibri"/>
          <w:sz w:val="22"/>
        </w:rPr>
        <w:t xml:space="preserve"> </w:t>
      </w:r>
      <w:r w:rsidRPr="00CD725B">
        <w:rPr>
          <w:rFonts w:ascii="Calibri" w:hAnsi="Calibri"/>
          <w:sz w:val="22"/>
        </w:rPr>
        <w:t>for commencing Equity Places as set out in Table 3a(</w:t>
      </w:r>
      <w:proofErr w:type="spellStart"/>
      <w:r w:rsidR="00AF391D">
        <w:rPr>
          <w:rFonts w:ascii="Calibri" w:hAnsi="Calibri"/>
          <w:sz w:val="22"/>
        </w:rPr>
        <w:t>i</w:t>
      </w:r>
      <w:proofErr w:type="spellEnd"/>
      <w:r w:rsidRPr="00CD725B">
        <w:rPr>
          <w:rFonts w:ascii="Calibri" w:hAnsi="Calibri"/>
          <w:sz w:val="22"/>
        </w:rPr>
        <w:t>) of Appendix 2.</w:t>
      </w:r>
    </w:p>
    <w:p w14:paraId="15FB4E39" w14:textId="77777777" w:rsidR="00F129B1" w:rsidRPr="00CD725B" w:rsidRDefault="00F129B1" w:rsidP="009F5205">
      <w:pPr>
        <w:pStyle w:val="ListParagraph"/>
        <w:widowControl w:val="0"/>
        <w:spacing w:before="120" w:after="120"/>
        <w:ind w:left="397"/>
        <w:rPr>
          <w:rFonts w:ascii="Calibri" w:hAnsi="Calibri"/>
          <w:sz w:val="22"/>
        </w:rPr>
      </w:pPr>
    </w:p>
    <w:p w14:paraId="42FFF203" w14:textId="77777777" w:rsidR="00456AD8" w:rsidRPr="00456AD8" w:rsidRDefault="00456AD8" w:rsidP="00456AD8">
      <w:pPr>
        <w:widowControl w:val="0"/>
        <w:spacing w:before="120" w:after="120"/>
        <w:rPr>
          <w:rFonts w:ascii="Calibri" w:hAnsi="Calibri"/>
          <w:b/>
          <w:bCs/>
          <w:sz w:val="22"/>
        </w:rPr>
      </w:pPr>
      <w:r w:rsidRPr="00456AD8">
        <w:rPr>
          <w:rFonts w:ascii="Calibri" w:hAnsi="Calibri"/>
          <w:b/>
          <w:bCs/>
          <w:sz w:val="22"/>
        </w:rPr>
        <w:t>Equity Plan</w:t>
      </w:r>
    </w:p>
    <w:p w14:paraId="25A196C7" w14:textId="66A4C7FD"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Providers will be required to have an Equity Plan to be eligible for future grants under the ‘Higher Education Continuity Guarantee – Equity’ program.</w:t>
      </w:r>
      <w:r w:rsidRPr="00725A67">
        <w:rPr>
          <w:rFonts w:cstheme="minorBidi"/>
          <w:sz w:val="22"/>
          <w:szCs w:val="22"/>
        </w:rPr>
        <w:t xml:space="preserve"> </w:t>
      </w:r>
      <w:r w:rsidRPr="00725A67">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p>
    <w:p w14:paraId="43222350" w14:textId="77777777"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Nuclear Powered Submarine Student Pathways.  </w:t>
      </w:r>
    </w:p>
    <w:p w14:paraId="0FB197CC" w14:textId="77777777"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2B191785" w14:textId="77777777"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lang w:val="en-US"/>
        </w:rPr>
        <w:t>Providers will be required to adhere to any Departmental requests in relation to the preparation of Equity Plans.</w:t>
      </w:r>
    </w:p>
    <w:p w14:paraId="7CA81BCF" w14:textId="77777777"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Providers will also be required to provide information to the Department in relation to their Equity Plans, which may include:</w:t>
      </w:r>
    </w:p>
    <w:p w14:paraId="583FD3E0" w14:textId="77777777" w:rsidR="00725A67" w:rsidRPr="00725A67" w:rsidRDefault="00725A67" w:rsidP="00725A67">
      <w:pPr>
        <w:widowControl w:val="0"/>
        <w:numPr>
          <w:ilvl w:val="1"/>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itemised information on the activities or initiatives to be funded, including amounts spent per item and the timing of the spending;</w:t>
      </w:r>
    </w:p>
    <w:p w14:paraId="23B025FF" w14:textId="77777777" w:rsidR="00725A67" w:rsidRPr="00725A67" w:rsidRDefault="00725A67" w:rsidP="00725A67">
      <w:pPr>
        <w:widowControl w:val="0"/>
        <w:numPr>
          <w:ilvl w:val="1"/>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data which may provide an indication of the impact of the proposed spending, particularly in relation to outcomes for disadvantaged or under-represented students;</w:t>
      </w:r>
    </w:p>
    <w:p w14:paraId="4CAB47A1" w14:textId="37AE7783" w:rsidR="00456AD8" w:rsidRPr="00725A67" w:rsidRDefault="00725A67" w:rsidP="00725A67">
      <w:pPr>
        <w:widowControl w:val="0"/>
        <w:numPr>
          <w:ilvl w:val="1"/>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any requests for financial information associated with the Provider.</w:t>
      </w:r>
    </w:p>
    <w:p w14:paraId="20DFDAA6" w14:textId="77777777" w:rsidR="007E29F9" w:rsidRPr="00CD725B"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D725B">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49C3E860" w14:textId="74E08BD3" w:rsidR="007E29F9" w:rsidRPr="00CD725B" w:rsidRDefault="007E29F9" w:rsidP="005D6471">
      <w:pPr>
        <w:tabs>
          <w:tab w:val="left" w:pos="567"/>
          <w:tab w:val="left" w:pos="8222"/>
        </w:tabs>
        <w:rPr>
          <w:rFonts w:ascii="Calibri" w:hAnsi="Calibri" w:cs="Arial"/>
          <w:bCs/>
          <w:sz w:val="16"/>
          <w:szCs w:val="16"/>
        </w:rPr>
      </w:pPr>
      <w:r w:rsidRPr="00CD725B">
        <w:rPr>
          <w:rFonts w:ascii="Calibri" w:hAnsi="Calibri" w:cs="Arial"/>
          <w:b/>
          <w:sz w:val="20"/>
          <w:szCs w:val="20"/>
        </w:rPr>
        <w:t>Table 2a: Allocation of Commonwealth supported places for 202</w:t>
      </w:r>
      <w:r w:rsidR="00AB5590" w:rsidRPr="00CD725B">
        <w:rPr>
          <w:rFonts w:ascii="Calibri" w:hAnsi="Calibri" w:cs="Arial"/>
          <w:b/>
          <w:sz w:val="20"/>
          <w:szCs w:val="20"/>
        </w:rPr>
        <w:t>4</w:t>
      </w:r>
      <w:r w:rsidR="00B064B9" w:rsidRPr="00CD725B">
        <w:rPr>
          <w:rFonts w:ascii="Calibri" w:hAnsi="Calibri" w:cs="Arial"/>
          <w:b/>
          <w:sz w:val="20"/>
          <w:szCs w:val="20"/>
        </w:rPr>
        <w:t xml:space="preserve"> </w:t>
      </w:r>
      <w:r w:rsidRPr="00CD725B">
        <w:rPr>
          <w:rFonts w:ascii="Calibri" w:hAnsi="Calibri" w:cs="Arial"/>
          <w:b/>
          <w:sz w:val="20"/>
          <w:szCs w:val="20"/>
          <w:vertAlign w:val="superscript"/>
        </w:rPr>
        <w:t>1</w:t>
      </w:r>
      <w:r w:rsidRPr="00CD725B">
        <w:rPr>
          <w:rFonts w:ascii="Calibri" w:hAnsi="Calibri" w:cs="Arial"/>
          <w:b/>
          <w:sz w:val="20"/>
          <w:szCs w:val="20"/>
        </w:rPr>
        <w:br/>
      </w:r>
    </w:p>
    <w:p w14:paraId="7BB677D3" w14:textId="129B18A2" w:rsidR="007E29F9" w:rsidRPr="00CD725B" w:rsidRDefault="007E29F9" w:rsidP="005B455A">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05"/>
        <w:gridCol w:w="1482"/>
        <w:gridCol w:w="1343"/>
        <w:gridCol w:w="1898"/>
      </w:tblGrid>
      <w:tr w:rsidR="002F47EE" w:rsidRPr="00CD725B" w14:paraId="51834BDA" w14:textId="77777777" w:rsidTr="00FF791F">
        <w:tc>
          <w:tcPr>
            <w:tcW w:w="800" w:type="dxa"/>
          </w:tcPr>
          <w:p w14:paraId="4F85A15D"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05" w:type="dxa"/>
            <w:tcBorders>
              <w:bottom w:val="single" w:sz="4" w:space="0" w:color="auto"/>
            </w:tcBorders>
            <w:vAlign w:val="center"/>
          </w:tcPr>
          <w:p w14:paraId="548C3C6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22F74B63"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0413DF5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43" w:type="dxa"/>
          </w:tcPr>
          <w:p w14:paraId="096D0127"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898" w:type="dxa"/>
            <w:vAlign w:val="center"/>
          </w:tcPr>
          <w:p w14:paraId="35D1ED24"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AB5590" w:rsidRPr="00CD725B" w14:paraId="62257511" w14:textId="77777777" w:rsidTr="009F5205">
        <w:tc>
          <w:tcPr>
            <w:tcW w:w="800" w:type="dxa"/>
          </w:tcPr>
          <w:p w14:paraId="3501D8D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22E97AFE"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72201A8B" w14:textId="17327005"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43" w:type="dxa"/>
          </w:tcPr>
          <w:p w14:paraId="54A73025" w14:textId="745083A5"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898" w:type="dxa"/>
          </w:tcPr>
          <w:p w14:paraId="2CEED9C7" w14:textId="0F9089F4"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AB5590" w:rsidRPr="00CD725B" w14:paraId="010582B5" w14:textId="77777777" w:rsidTr="009F5205">
        <w:tc>
          <w:tcPr>
            <w:tcW w:w="800" w:type="dxa"/>
          </w:tcPr>
          <w:p w14:paraId="5208FBD8"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3DB2722C"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D2E09F" w14:textId="784D4296"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120.0</w:t>
            </w:r>
          </w:p>
        </w:tc>
        <w:tc>
          <w:tcPr>
            <w:tcW w:w="1343" w:type="dxa"/>
          </w:tcPr>
          <w:p w14:paraId="11FFF70D" w14:textId="772506DC"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898" w:type="dxa"/>
          </w:tcPr>
          <w:p w14:paraId="23B5658C" w14:textId="08C9615F"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120.0</w:t>
            </w:r>
          </w:p>
        </w:tc>
      </w:tr>
      <w:tr w:rsidR="00AB5590" w:rsidRPr="00CD725B" w14:paraId="195B6FA6" w14:textId="77777777" w:rsidTr="009F5205">
        <w:tc>
          <w:tcPr>
            <w:tcW w:w="800" w:type="dxa"/>
          </w:tcPr>
          <w:p w14:paraId="4B73FADF"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3B6C21CB"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3E593373" w14:textId="62DCB25A"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43" w:type="dxa"/>
          </w:tcPr>
          <w:p w14:paraId="7F17A049" w14:textId="3A72EA92"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898" w:type="dxa"/>
          </w:tcPr>
          <w:p w14:paraId="486D04BC" w14:textId="6D4A4D97"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AB5590" w:rsidRPr="00CD725B" w14:paraId="01D4500B" w14:textId="77777777" w:rsidTr="009F5205">
        <w:tc>
          <w:tcPr>
            <w:tcW w:w="800" w:type="dxa"/>
          </w:tcPr>
          <w:p w14:paraId="63D6F47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486E60A9"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D7F19E5" w14:textId="5E861E3A"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43" w:type="dxa"/>
          </w:tcPr>
          <w:p w14:paraId="2011529D" w14:textId="42E10195"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898" w:type="dxa"/>
          </w:tcPr>
          <w:p w14:paraId="539B2481" w14:textId="0F7878FC"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AB5590" w:rsidRPr="00CD725B" w14:paraId="5E7BFF75" w14:textId="77777777" w:rsidTr="009F5205">
        <w:tc>
          <w:tcPr>
            <w:tcW w:w="800" w:type="dxa"/>
          </w:tcPr>
          <w:p w14:paraId="490F6E0B" w14:textId="77777777" w:rsidR="00AB5590" w:rsidRPr="00CD725B" w:rsidRDefault="00AB5590" w:rsidP="00AB5590">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6FFD70BD"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68DB0436" w14:textId="3DA019E8" w:rsidR="00AB5590" w:rsidRPr="00DE7A6A" w:rsidRDefault="00DE7A6A" w:rsidP="00AB5590">
            <w:pPr>
              <w:tabs>
                <w:tab w:val="left" w:pos="567"/>
                <w:tab w:val="left" w:pos="8222"/>
              </w:tabs>
              <w:spacing w:after="120"/>
              <w:jc w:val="right"/>
              <w:rPr>
                <w:rFonts w:ascii="Calibri" w:hAnsi="Calibri" w:cs="Arial"/>
                <w:b/>
                <w:sz w:val="20"/>
                <w:szCs w:val="20"/>
              </w:rPr>
            </w:pPr>
            <w:r w:rsidRPr="00DE7A6A">
              <w:rPr>
                <w:rFonts w:ascii="Calibri" w:hAnsi="Calibri" w:cs="Arial"/>
                <w:bCs/>
                <w:sz w:val="20"/>
                <w:szCs w:val="20"/>
              </w:rPr>
              <w:t>120.0</w:t>
            </w:r>
          </w:p>
        </w:tc>
        <w:tc>
          <w:tcPr>
            <w:tcW w:w="1343" w:type="dxa"/>
          </w:tcPr>
          <w:p w14:paraId="353D67B4" w14:textId="463FFD5C" w:rsidR="00AB5590" w:rsidRPr="00DE7A6A" w:rsidRDefault="00DE7A6A" w:rsidP="00AB5590">
            <w:pPr>
              <w:tabs>
                <w:tab w:val="left" w:pos="567"/>
                <w:tab w:val="left" w:pos="8222"/>
              </w:tabs>
              <w:spacing w:after="120"/>
              <w:jc w:val="right"/>
              <w:rPr>
                <w:rFonts w:ascii="Calibri" w:hAnsi="Calibri" w:cs="Arial"/>
                <w:b/>
                <w:sz w:val="20"/>
                <w:szCs w:val="20"/>
              </w:rPr>
            </w:pPr>
            <w:r w:rsidRPr="00DE7A6A">
              <w:rPr>
                <w:rFonts w:ascii="Calibri" w:hAnsi="Calibri" w:cs="Arial"/>
                <w:bCs/>
                <w:sz w:val="20"/>
                <w:szCs w:val="20"/>
              </w:rPr>
              <w:t>0</w:t>
            </w:r>
          </w:p>
        </w:tc>
        <w:tc>
          <w:tcPr>
            <w:tcW w:w="1898" w:type="dxa"/>
          </w:tcPr>
          <w:p w14:paraId="0FC0474D" w14:textId="150A4BA3" w:rsidR="00AB5590" w:rsidRPr="00DE7A6A" w:rsidRDefault="00DE7A6A" w:rsidP="00AB5590">
            <w:pPr>
              <w:tabs>
                <w:tab w:val="left" w:pos="567"/>
                <w:tab w:val="left" w:pos="8222"/>
              </w:tabs>
              <w:spacing w:after="120"/>
              <w:jc w:val="right"/>
              <w:rPr>
                <w:rFonts w:ascii="Calibri" w:hAnsi="Calibri" w:cs="Arial"/>
                <w:b/>
                <w:sz w:val="20"/>
                <w:szCs w:val="20"/>
              </w:rPr>
            </w:pPr>
            <w:r w:rsidRPr="00DE7A6A">
              <w:rPr>
                <w:rFonts w:ascii="Calibri" w:hAnsi="Calibri" w:cs="Arial"/>
                <w:bCs/>
                <w:sz w:val="20"/>
                <w:szCs w:val="20"/>
              </w:rPr>
              <w:t>120.0</w:t>
            </w:r>
          </w:p>
        </w:tc>
      </w:tr>
    </w:tbl>
    <w:p w14:paraId="4D6A7BDC" w14:textId="77777777" w:rsidR="00DE7A6A" w:rsidRDefault="004746BA" w:rsidP="00DE7A6A">
      <w:pPr>
        <w:tabs>
          <w:tab w:val="left" w:pos="567"/>
          <w:tab w:val="left" w:pos="8222"/>
        </w:tabs>
        <w:spacing w:after="120"/>
        <w:rPr>
          <w:rFonts w:ascii="Calibri" w:hAnsi="Calibri" w:cs="Arial"/>
          <w:bCs/>
          <w:sz w:val="16"/>
          <w:szCs w:val="16"/>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Figures are rounded for display, however they may contain underlying decimal places.</w:t>
      </w:r>
    </w:p>
    <w:p w14:paraId="04E7FCA0" w14:textId="77777777" w:rsidR="00DE7A6A" w:rsidRDefault="00DE7A6A" w:rsidP="00DE7A6A">
      <w:pPr>
        <w:tabs>
          <w:tab w:val="left" w:pos="567"/>
          <w:tab w:val="left" w:pos="8222"/>
        </w:tabs>
        <w:spacing w:after="120"/>
        <w:rPr>
          <w:rFonts w:ascii="Calibri" w:hAnsi="Calibri" w:cs="Arial"/>
          <w:bCs/>
          <w:sz w:val="16"/>
          <w:szCs w:val="16"/>
        </w:rPr>
      </w:pPr>
    </w:p>
    <w:p w14:paraId="6B818DEE" w14:textId="5C83F568" w:rsidR="00CD2796" w:rsidRPr="00CD725B" w:rsidRDefault="007E29F9" w:rsidP="00DE7A6A">
      <w:pPr>
        <w:tabs>
          <w:tab w:val="left" w:pos="567"/>
          <w:tab w:val="left" w:pos="8222"/>
        </w:tabs>
        <w:spacing w:after="120"/>
        <w:rPr>
          <w:rFonts w:ascii="Calibri" w:hAnsi="Calibri" w:cs="Arial"/>
          <w:b/>
          <w:sz w:val="20"/>
          <w:szCs w:val="20"/>
        </w:rPr>
      </w:pPr>
      <w:r w:rsidRPr="00CD725B">
        <w:rPr>
          <w:rFonts w:ascii="Calibri" w:hAnsi="Calibri" w:cs="Arial"/>
          <w:b/>
          <w:sz w:val="20"/>
          <w:szCs w:val="20"/>
        </w:rPr>
        <w:t>Table 2b: Allocation of Commonwealth supported places for 202</w:t>
      </w:r>
      <w:r w:rsidR="00AB5590" w:rsidRPr="00CD725B">
        <w:rPr>
          <w:rFonts w:ascii="Calibri" w:hAnsi="Calibri" w:cs="Arial"/>
          <w:b/>
          <w:sz w:val="20"/>
          <w:szCs w:val="20"/>
        </w:rPr>
        <w:t>5</w:t>
      </w:r>
      <w:r w:rsidRPr="00CD725B">
        <w:rPr>
          <w:rFonts w:ascii="Calibri" w:hAnsi="Calibri" w:cs="Arial"/>
          <w:b/>
          <w:sz w:val="20"/>
          <w:szCs w:val="20"/>
          <w:vertAlign w:val="superscript"/>
        </w:rPr>
        <w:t>1</w:t>
      </w:r>
    </w:p>
    <w:p w14:paraId="15252EF1" w14:textId="77777777" w:rsidR="007E29F9" w:rsidRPr="00CD725B" w:rsidRDefault="007E29F9" w:rsidP="00647AF2">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1"/>
        <w:tblW w:w="0" w:type="auto"/>
        <w:tblLook w:val="04A0" w:firstRow="1" w:lastRow="0" w:firstColumn="1" w:lastColumn="0" w:noHBand="0" w:noVBand="1"/>
      </w:tblPr>
      <w:tblGrid>
        <w:gridCol w:w="800"/>
        <w:gridCol w:w="4116"/>
        <w:gridCol w:w="1482"/>
        <w:gridCol w:w="1328"/>
        <w:gridCol w:w="1902"/>
      </w:tblGrid>
      <w:tr w:rsidR="002C6EA0" w:rsidRPr="00CD725B" w14:paraId="3605AB3E" w14:textId="77777777" w:rsidTr="00C11E08">
        <w:tc>
          <w:tcPr>
            <w:tcW w:w="800" w:type="dxa"/>
          </w:tcPr>
          <w:p w14:paraId="4148D34E"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16" w:type="dxa"/>
            <w:tcBorders>
              <w:bottom w:val="single" w:sz="4" w:space="0" w:color="auto"/>
            </w:tcBorders>
            <w:vAlign w:val="center"/>
          </w:tcPr>
          <w:p w14:paraId="21DF1E4C"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0799FD9D"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39A325C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28" w:type="dxa"/>
          </w:tcPr>
          <w:p w14:paraId="42EC666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902" w:type="dxa"/>
            <w:vAlign w:val="center"/>
          </w:tcPr>
          <w:p w14:paraId="02208E74"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7E4933" w:rsidRPr="00CD725B" w14:paraId="2A61B030" w14:textId="77777777" w:rsidTr="009F5205">
        <w:tc>
          <w:tcPr>
            <w:tcW w:w="800" w:type="dxa"/>
          </w:tcPr>
          <w:p w14:paraId="12873EB9"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697DF77A"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208BECF9" w14:textId="52DCE7A0"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330EC448" w14:textId="1E208667"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588CBDFE" w14:textId="09BFEB78"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4B9EBBBA" w14:textId="77777777" w:rsidTr="009F5205">
        <w:tc>
          <w:tcPr>
            <w:tcW w:w="800" w:type="dxa"/>
          </w:tcPr>
          <w:p w14:paraId="00B0DF08"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C68F539"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9451D8" w14:textId="052E0070"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32148B0C" w14:textId="5EDBAB92"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592716B3" w14:textId="5E989672"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53B8FAAD" w14:textId="77777777" w:rsidTr="009F5205">
        <w:tc>
          <w:tcPr>
            <w:tcW w:w="800" w:type="dxa"/>
          </w:tcPr>
          <w:p w14:paraId="23949B39"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1713AC95"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68D07F8E" w14:textId="21C32FD4"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21BA69F7" w14:textId="6F8D8857"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077FFA7B" w14:textId="03FA0777"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789E7DAF" w14:textId="77777777" w:rsidTr="009F5205">
        <w:tc>
          <w:tcPr>
            <w:tcW w:w="800" w:type="dxa"/>
          </w:tcPr>
          <w:p w14:paraId="7A75AF50"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FD3828E"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0444A0B" w14:textId="44A7C8CD"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16D95447" w14:textId="5BC40C6D"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2A82D7D3" w14:textId="6C8AFCB1"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74F28A2C" w14:textId="77777777" w:rsidTr="009F5205">
        <w:tc>
          <w:tcPr>
            <w:tcW w:w="800" w:type="dxa"/>
          </w:tcPr>
          <w:p w14:paraId="7348A014" w14:textId="77777777" w:rsidR="007E4933" w:rsidRPr="00CD725B" w:rsidRDefault="007E4933" w:rsidP="007E4933">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443202B2"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4D9E4200" w14:textId="72474659"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4B56E3F3" w14:textId="0966A340"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5F73B4F8" w14:textId="2CDCAF72"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bl>
    <w:p w14:paraId="69B5C5B0" w14:textId="77777777" w:rsidR="007E29F9" w:rsidRPr="00CD725B" w:rsidRDefault="007E29F9" w:rsidP="00551A8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Figures are rounded for display, however they may contain underlying decimal places.</w:t>
      </w:r>
    </w:p>
    <w:p w14:paraId="7653F61C" w14:textId="77777777" w:rsidR="00CD2796" w:rsidRPr="00CD725B" w:rsidRDefault="00CD2796">
      <w:pPr>
        <w:spacing w:after="200" w:line="276" w:lineRule="auto"/>
        <w:rPr>
          <w:rFonts w:ascii="Calibri" w:hAnsi="Calibri" w:cs="Arial"/>
          <w:b/>
          <w:sz w:val="20"/>
          <w:szCs w:val="20"/>
        </w:rPr>
      </w:pPr>
      <w:r w:rsidRPr="00CD725B">
        <w:rPr>
          <w:rFonts w:ascii="Calibri" w:hAnsi="Calibri" w:cs="Arial"/>
          <w:b/>
          <w:sz w:val="20"/>
          <w:szCs w:val="20"/>
        </w:rPr>
        <w:br w:type="page"/>
      </w:r>
    </w:p>
    <w:p w14:paraId="18E3559B" w14:textId="6A5E4876" w:rsidR="00B7665C" w:rsidRPr="00CD725B" w:rsidRDefault="00B7665C" w:rsidP="00B7665C">
      <w:pPr>
        <w:spacing w:after="200" w:line="276" w:lineRule="auto"/>
      </w:pPr>
      <w:r w:rsidRPr="00CD725B">
        <w:rPr>
          <w:rFonts w:ascii="Calibri" w:hAnsi="Calibri" w:cs="Arial"/>
          <w:b/>
          <w:sz w:val="20"/>
          <w:szCs w:val="20"/>
        </w:rPr>
        <w:lastRenderedPageBreak/>
        <w:t>Table 3a: Allocation of Commonwealth supported places to deliver Equity Places commencing in 202</w:t>
      </w:r>
      <w:r w:rsidR="00D22F2F">
        <w:rPr>
          <w:rFonts w:ascii="Calibri" w:hAnsi="Calibri" w:cs="Arial"/>
          <w:b/>
          <w:sz w:val="20"/>
          <w:szCs w:val="20"/>
        </w:rPr>
        <w:t>4</w:t>
      </w:r>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71D2AAFC"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D22F2F">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405F151E"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D22F2F">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5B1BAF" w:rsidRPr="00CD725B" w14:paraId="423D8B42" w14:textId="77777777" w:rsidTr="00E74049">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6F8CE7C" w14:textId="61A2EA35" w:rsidR="005B1BAF" w:rsidRPr="00D22F2F" w:rsidRDefault="00D22F2F" w:rsidP="005B1BAF">
            <w:pPr>
              <w:jc w:val="right"/>
              <w:rPr>
                <w:rFonts w:ascii="Calibri" w:hAnsi="Calibri" w:cs="Calibri"/>
                <w:sz w:val="20"/>
                <w:szCs w:val="20"/>
              </w:rPr>
            </w:pPr>
            <w:r w:rsidRPr="00D22F2F">
              <w:rPr>
                <w:rFonts w:ascii="Calibri" w:hAnsi="Calibri" w:cs="Arial"/>
                <w:bCs/>
                <w:sz w:val="20"/>
                <w:szCs w:val="20"/>
              </w:rPr>
              <w:t>12</w:t>
            </w:r>
          </w:p>
        </w:tc>
        <w:tc>
          <w:tcPr>
            <w:tcW w:w="1222" w:type="pct"/>
            <w:tcBorders>
              <w:top w:val="single" w:sz="4" w:space="0" w:color="auto"/>
              <w:left w:val="single" w:sz="4" w:space="0" w:color="auto"/>
              <w:bottom w:val="single" w:sz="4" w:space="0" w:color="auto"/>
              <w:right w:val="single" w:sz="4" w:space="0" w:color="auto"/>
            </w:tcBorders>
            <w:hideMark/>
          </w:tcPr>
          <w:p w14:paraId="62162E68" w14:textId="0FBC08C1" w:rsidR="005B1BAF" w:rsidRPr="00D22F2F" w:rsidRDefault="00D22F2F" w:rsidP="005B1BAF">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7FF30F0" w14:textId="321CB54E" w:rsidR="005B1BAF" w:rsidRPr="00D22F2F" w:rsidRDefault="00D22F2F" w:rsidP="005B1BAF">
            <w:pPr>
              <w:jc w:val="right"/>
              <w:rPr>
                <w:rFonts w:ascii="Calibri" w:hAnsi="Calibri" w:cs="Calibri"/>
                <w:sz w:val="20"/>
                <w:szCs w:val="20"/>
              </w:rPr>
            </w:pPr>
            <w:r w:rsidRPr="00D22F2F">
              <w:rPr>
                <w:rFonts w:ascii="Calibri" w:hAnsi="Calibri" w:cs="Arial"/>
                <w:bCs/>
                <w:sz w:val="20"/>
                <w:szCs w:val="20"/>
              </w:rPr>
              <w:t>12</w:t>
            </w:r>
          </w:p>
        </w:tc>
      </w:tr>
      <w:tr w:rsidR="005B1BAF" w:rsidRPr="00CD725B" w14:paraId="6326AD89" w14:textId="77777777" w:rsidTr="00E74049">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404073A" w14:textId="7ED38E88" w:rsidR="005B1BAF" w:rsidRPr="00D22F2F" w:rsidRDefault="00D22F2F" w:rsidP="005B1BAF">
            <w:pPr>
              <w:jc w:val="right"/>
              <w:rPr>
                <w:rFonts w:ascii="Calibri" w:hAnsi="Calibri" w:cs="Calibri"/>
                <w:sz w:val="20"/>
                <w:szCs w:val="20"/>
              </w:rPr>
            </w:pPr>
            <w:r w:rsidRPr="00D22F2F">
              <w:rPr>
                <w:rFonts w:ascii="Calibri" w:hAnsi="Calibri" w:cs="Arial"/>
                <w:bCs/>
                <w:sz w:val="20"/>
                <w:szCs w:val="20"/>
              </w:rPr>
              <w:t>10</w:t>
            </w:r>
          </w:p>
        </w:tc>
        <w:tc>
          <w:tcPr>
            <w:tcW w:w="1222" w:type="pct"/>
            <w:tcBorders>
              <w:top w:val="single" w:sz="4" w:space="0" w:color="auto"/>
              <w:left w:val="single" w:sz="4" w:space="0" w:color="auto"/>
              <w:bottom w:val="single" w:sz="4" w:space="0" w:color="auto"/>
              <w:right w:val="single" w:sz="4" w:space="0" w:color="auto"/>
            </w:tcBorders>
            <w:hideMark/>
          </w:tcPr>
          <w:p w14:paraId="49960413" w14:textId="1EB24368" w:rsidR="005B1BAF" w:rsidRPr="00D22F2F" w:rsidRDefault="00D22F2F" w:rsidP="005B1BAF">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B273C19" w14:textId="3CFA8488" w:rsidR="005B1BAF" w:rsidRPr="00D22F2F" w:rsidRDefault="00D22F2F" w:rsidP="005B1BAF">
            <w:pPr>
              <w:jc w:val="right"/>
              <w:rPr>
                <w:rFonts w:ascii="Calibri" w:hAnsi="Calibri" w:cs="Calibri"/>
                <w:sz w:val="20"/>
                <w:szCs w:val="20"/>
              </w:rPr>
            </w:pPr>
            <w:r w:rsidRPr="00D22F2F">
              <w:rPr>
                <w:rFonts w:ascii="Calibri" w:hAnsi="Calibri" w:cs="Arial"/>
                <w:bCs/>
                <w:sz w:val="20"/>
                <w:szCs w:val="20"/>
              </w:rPr>
              <w:t>10</w:t>
            </w:r>
          </w:p>
        </w:tc>
      </w:tr>
      <w:tr w:rsidR="005B1BAF" w:rsidRPr="00CD725B" w14:paraId="772CBB19" w14:textId="77777777" w:rsidTr="00E74049">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73B1260D" w14:textId="343B9F21" w:rsidR="005B1BAF" w:rsidRPr="00D22F2F" w:rsidRDefault="00D22F2F" w:rsidP="005B1BAF">
            <w:pPr>
              <w:jc w:val="right"/>
              <w:rPr>
                <w:rFonts w:ascii="Calibri" w:hAnsi="Calibri" w:cs="Calibri"/>
                <w:sz w:val="20"/>
                <w:szCs w:val="20"/>
              </w:rPr>
            </w:pPr>
            <w:r w:rsidRPr="00D22F2F">
              <w:rPr>
                <w:rFonts w:ascii="Calibri" w:hAnsi="Calibri" w:cs="Arial"/>
                <w:bCs/>
                <w:sz w:val="20"/>
                <w:szCs w:val="20"/>
              </w:rPr>
              <w:t>5</w:t>
            </w:r>
          </w:p>
        </w:tc>
        <w:tc>
          <w:tcPr>
            <w:tcW w:w="1222" w:type="pct"/>
            <w:tcBorders>
              <w:top w:val="single" w:sz="4" w:space="0" w:color="auto"/>
              <w:left w:val="single" w:sz="4" w:space="0" w:color="auto"/>
              <w:bottom w:val="single" w:sz="4" w:space="0" w:color="auto"/>
              <w:right w:val="single" w:sz="4" w:space="0" w:color="auto"/>
            </w:tcBorders>
            <w:hideMark/>
          </w:tcPr>
          <w:p w14:paraId="6E0DB72F" w14:textId="3C9C30D4" w:rsidR="005B1BAF" w:rsidRPr="00D22F2F" w:rsidRDefault="00D22F2F" w:rsidP="005B1BAF">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F3966A9" w14:textId="4CA15EFE" w:rsidR="005B1BAF" w:rsidRPr="00D22F2F" w:rsidRDefault="00D22F2F" w:rsidP="005B1BAF">
            <w:pPr>
              <w:jc w:val="right"/>
              <w:rPr>
                <w:rFonts w:ascii="Calibri" w:hAnsi="Calibri" w:cs="Calibri"/>
                <w:sz w:val="20"/>
                <w:szCs w:val="20"/>
              </w:rPr>
            </w:pPr>
            <w:r w:rsidRPr="00D22F2F">
              <w:rPr>
                <w:rFonts w:ascii="Calibri" w:hAnsi="Calibri" w:cs="Arial"/>
                <w:bCs/>
                <w:sz w:val="20"/>
                <w:szCs w:val="20"/>
              </w:rPr>
              <w:t>5</w:t>
            </w:r>
          </w:p>
        </w:tc>
      </w:tr>
      <w:tr w:rsidR="005B1BAF" w:rsidRPr="00CD725B" w14:paraId="651F8DC1" w14:textId="77777777" w:rsidTr="00E74049">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5B1BAF" w:rsidRPr="00CD725B" w:rsidRDefault="005B1BAF" w:rsidP="005B1BA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5B1BAF" w:rsidRPr="00CD725B" w:rsidRDefault="005B1BAF" w:rsidP="005B1BAF">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DDACA26" w14:textId="74EEE4BE" w:rsidR="005B1BAF" w:rsidRPr="00D22F2F" w:rsidRDefault="00D22F2F" w:rsidP="005B1BAF">
            <w:pPr>
              <w:jc w:val="right"/>
              <w:rPr>
                <w:rFonts w:ascii="Calibri" w:hAnsi="Calibri" w:cs="Calibri"/>
                <w:b/>
                <w:sz w:val="20"/>
                <w:szCs w:val="20"/>
              </w:rPr>
            </w:pPr>
            <w:r w:rsidRPr="00D22F2F">
              <w:rPr>
                <w:rFonts w:ascii="Calibri" w:hAnsi="Calibri" w:cs="Arial"/>
                <w:b/>
                <w:sz w:val="20"/>
                <w:szCs w:val="20"/>
              </w:rPr>
              <w:t>27</w:t>
            </w:r>
          </w:p>
        </w:tc>
        <w:tc>
          <w:tcPr>
            <w:tcW w:w="1222" w:type="pct"/>
            <w:tcBorders>
              <w:top w:val="single" w:sz="4" w:space="0" w:color="auto"/>
              <w:left w:val="single" w:sz="4" w:space="0" w:color="auto"/>
              <w:bottom w:val="single" w:sz="4" w:space="0" w:color="auto"/>
              <w:right w:val="single" w:sz="4" w:space="0" w:color="auto"/>
            </w:tcBorders>
            <w:hideMark/>
          </w:tcPr>
          <w:p w14:paraId="7D89F595" w14:textId="67FF1E79" w:rsidR="005B1BAF" w:rsidRPr="00D22F2F" w:rsidRDefault="00D22F2F" w:rsidP="005B1BAF">
            <w:pPr>
              <w:jc w:val="right"/>
              <w:rPr>
                <w:rFonts w:ascii="Calibri" w:hAnsi="Calibri" w:cs="Calibri"/>
                <w:b/>
                <w:sz w:val="20"/>
                <w:szCs w:val="20"/>
              </w:rPr>
            </w:pPr>
            <w:r w:rsidRPr="00D22F2F">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F56FB" w14:textId="6CBA8A5C" w:rsidR="005B1BAF" w:rsidRPr="00D22F2F" w:rsidRDefault="00D22F2F" w:rsidP="005B1BAF">
            <w:pPr>
              <w:jc w:val="right"/>
              <w:rPr>
                <w:rFonts w:ascii="Calibri" w:hAnsi="Calibri" w:cs="Calibri"/>
                <w:b/>
                <w:sz w:val="20"/>
                <w:szCs w:val="20"/>
              </w:rPr>
            </w:pPr>
            <w:r w:rsidRPr="00D22F2F">
              <w:rPr>
                <w:rFonts w:ascii="Calibri" w:hAnsi="Calibri" w:cs="Arial"/>
                <w:b/>
                <w:sz w:val="20"/>
                <w:szCs w:val="20"/>
              </w:rPr>
              <w:t>27</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Figures are rounded for display, however they may contain underlying decimal places.</w:t>
      </w:r>
    </w:p>
    <w:p w14:paraId="4FFCFE7D" w14:textId="7B80399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285BCD20" w:rsidR="00B7665C" w:rsidRPr="00CD725B"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commencing EFTSL implied by the allocated funding amounts.</w:t>
      </w:r>
    </w:p>
    <w:p w14:paraId="64D910AD" w14:textId="77777777" w:rsidR="003209E6" w:rsidRPr="00CD725B" w:rsidRDefault="003209E6" w:rsidP="00C156A9">
      <w:pPr>
        <w:tabs>
          <w:tab w:val="left" w:pos="567"/>
          <w:tab w:val="left" w:pos="8222"/>
        </w:tabs>
        <w:rPr>
          <w:rFonts w:ascii="Calibri" w:hAnsi="Calibri" w:cs="Arial"/>
          <w:bCs/>
          <w:sz w:val="16"/>
          <w:szCs w:val="16"/>
        </w:rPr>
      </w:pPr>
    </w:p>
    <w:p w14:paraId="550FA270" w14:textId="417F853C" w:rsidR="00D22F2F" w:rsidRPr="005F41B1" w:rsidRDefault="00D22F2F" w:rsidP="00D22F2F">
      <w:pPr>
        <w:tabs>
          <w:tab w:val="left" w:pos="567"/>
          <w:tab w:val="left" w:pos="8222"/>
        </w:tabs>
        <w:spacing w:after="120"/>
        <w:rPr>
          <w:rFonts w:ascii="Calibri" w:hAnsi="Calibri" w:cs="Arial"/>
          <w:b/>
          <w:sz w:val="20"/>
          <w:szCs w:val="20"/>
        </w:rPr>
      </w:pPr>
      <w:r w:rsidRPr="005651CB">
        <w:rPr>
          <w:rFonts w:ascii="Calibri" w:hAnsi="Calibri" w:cs="Arial"/>
          <w:b/>
          <w:sz w:val="20"/>
          <w:szCs w:val="20"/>
        </w:rPr>
        <w:t xml:space="preserve">Table </w:t>
      </w:r>
      <w:r>
        <w:rPr>
          <w:rFonts w:ascii="Calibri" w:hAnsi="Calibri" w:cs="Arial"/>
          <w:b/>
          <w:sz w:val="20"/>
          <w:szCs w:val="20"/>
        </w:rPr>
        <w:t>3</w:t>
      </w:r>
      <w:r w:rsidRPr="005651CB">
        <w:rPr>
          <w:rFonts w:ascii="Calibri" w:hAnsi="Calibri" w:cs="Arial"/>
          <w:b/>
          <w:sz w:val="20"/>
          <w:szCs w:val="20"/>
        </w:rPr>
        <w:t>a(</w:t>
      </w:r>
      <w:proofErr w:type="spellStart"/>
      <w:r w:rsidRPr="005651CB">
        <w:rPr>
          <w:rFonts w:ascii="Calibri" w:hAnsi="Calibri" w:cs="Arial"/>
          <w:b/>
          <w:sz w:val="20"/>
          <w:szCs w:val="20"/>
        </w:rPr>
        <w:t>i</w:t>
      </w:r>
      <w:proofErr w:type="spellEnd"/>
      <w:r w:rsidRPr="005651CB">
        <w:rPr>
          <w:rFonts w:ascii="Calibri" w:hAnsi="Calibri" w:cs="Arial"/>
          <w:b/>
          <w:sz w:val="20"/>
          <w:szCs w:val="20"/>
        </w:rPr>
        <w:t xml:space="preserve">): </w:t>
      </w:r>
      <w:r w:rsidRPr="005F41B1">
        <w:rPr>
          <w:rFonts w:ascii="Calibri" w:hAnsi="Calibri" w:cs="Arial"/>
          <w:b/>
          <w:sz w:val="20"/>
          <w:szCs w:val="20"/>
        </w:rPr>
        <w:t xml:space="preserve">Allocated funding for </w:t>
      </w:r>
      <w:r>
        <w:rPr>
          <w:rFonts w:ascii="Calibri" w:hAnsi="Calibri" w:cs="Arial"/>
          <w:b/>
          <w:sz w:val="20"/>
          <w:szCs w:val="20"/>
        </w:rPr>
        <w:t xml:space="preserve">Equity Places </w:t>
      </w:r>
      <w:r w:rsidRPr="005F41B1">
        <w:rPr>
          <w:rFonts w:ascii="Calibri" w:hAnsi="Calibri" w:cs="Arial"/>
          <w:b/>
          <w:sz w:val="20"/>
          <w:szCs w:val="20"/>
        </w:rPr>
        <w:t xml:space="preserve">for </w:t>
      </w:r>
      <w:r>
        <w:rPr>
          <w:rFonts w:ascii="Calibri" w:hAnsi="Calibri" w:cs="Arial"/>
          <w:b/>
          <w:sz w:val="20"/>
          <w:szCs w:val="20"/>
        </w:rPr>
        <w:t xml:space="preserve">2024 </w:t>
      </w:r>
    </w:p>
    <w:tbl>
      <w:tblPr>
        <w:tblStyle w:val="TableGrid"/>
        <w:tblW w:w="5000" w:type="pct"/>
        <w:tblLook w:val="04A0" w:firstRow="1" w:lastRow="0" w:firstColumn="1" w:lastColumn="0" w:noHBand="0" w:noVBand="1"/>
      </w:tblPr>
      <w:tblGrid>
        <w:gridCol w:w="1925"/>
        <w:gridCol w:w="1925"/>
        <w:gridCol w:w="1926"/>
        <w:gridCol w:w="1926"/>
        <w:gridCol w:w="1926"/>
      </w:tblGrid>
      <w:tr w:rsidR="00D22F2F" w:rsidRPr="00CD725B" w14:paraId="2848C97D" w14:textId="77777777" w:rsidTr="00B04A85">
        <w:tc>
          <w:tcPr>
            <w:tcW w:w="1000" w:type="pct"/>
          </w:tcPr>
          <w:p w14:paraId="53D797F3" w14:textId="77777777" w:rsidR="00D22F2F" w:rsidRPr="00CD725B" w:rsidRDefault="00D22F2F" w:rsidP="00B04A85">
            <w:pPr>
              <w:rPr>
                <w:rFonts w:asciiTheme="minorHAnsi" w:hAnsiTheme="minorHAnsi" w:cstheme="minorHAnsi"/>
                <w:b/>
                <w:bCs/>
                <w:sz w:val="20"/>
                <w:szCs w:val="20"/>
              </w:rPr>
            </w:pPr>
            <w:bookmarkStart w:id="5" w:name="_Hlk153218792"/>
            <w:r w:rsidRPr="00CD725B">
              <w:rPr>
                <w:rFonts w:asciiTheme="minorHAnsi" w:hAnsiTheme="minorHAnsi" w:cstheme="minorHAnsi"/>
                <w:b/>
                <w:bCs/>
                <w:sz w:val="20"/>
                <w:szCs w:val="20"/>
              </w:rPr>
              <w:t>Priority Area</w:t>
            </w:r>
          </w:p>
        </w:tc>
        <w:tc>
          <w:tcPr>
            <w:tcW w:w="1000" w:type="pct"/>
          </w:tcPr>
          <w:p w14:paraId="10ED2962" w14:textId="77777777" w:rsidR="00D22F2F" w:rsidRPr="00CD725B" w:rsidRDefault="00D22F2F" w:rsidP="00B04A85">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1000" w:type="pct"/>
          </w:tcPr>
          <w:p w14:paraId="755961DA" w14:textId="77777777" w:rsidR="00D22F2F" w:rsidRPr="00CD725B" w:rsidRDefault="00D22F2F" w:rsidP="00B04A85">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1000" w:type="pct"/>
          </w:tcPr>
          <w:p w14:paraId="010BCC74" w14:textId="77777777" w:rsidR="00D22F2F" w:rsidRPr="00CD725B" w:rsidRDefault="00D22F2F" w:rsidP="00B04A85">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1000" w:type="pct"/>
          </w:tcPr>
          <w:p w14:paraId="3CAF331E" w14:textId="77777777" w:rsidR="00D22F2F" w:rsidRPr="00CD725B" w:rsidRDefault="00D22F2F" w:rsidP="00B04A85">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D22F2F" w:rsidRPr="00CD725B" w14:paraId="23F68084" w14:textId="77777777" w:rsidTr="00B04A85">
        <w:tc>
          <w:tcPr>
            <w:tcW w:w="1000" w:type="pct"/>
          </w:tcPr>
          <w:p w14:paraId="0B667936" w14:textId="77777777" w:rsidR="00D22F2F" w:rsidRPr="00CD725B" w:rsidRDefault="00D22F2F"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Commerce</w:t>
            </w:r>
          </w:p>
        </w:tc>
        <w:tc>
          <w:tcPr>
            <w:tcW w:w="1000" w:type="pct"/>
          </w:tcPr>
          <w:p w14:paraId="7544B3F4"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5</w:t>
            </w:r>
          </w:p>
        </w:tc>
        <w:tc>
          <w:tcPr>
            <w:tcW w:w="1000" w:type="pct"/>
          </w:tcPr>
          <w:p w14:paraId="67B87F57" w14:textId="77777777" w:rsidR="00D22F2F" w:rsidRPr="00634C40" w:rsidRDefault="00D22F2F" w:rsidP="00B04A85">
            <w:pPr>
              <w:jc w:val="right"/>
              <w:rPr>
                <w:rFonts w:asciiTheme="minorHAnsi" w:hAnsiTheme="minorHAnsi" w:cstheme="minorHAnsi"/>
                <w:sz w:val="20"/>
                <w:szCs w:val="20"/>
              </w:rPr>
            </w:pPr>
            <w:r>
              <w:rPr>
                <w:rFonts w:asciiTheme="minorHAnsi" w:hAnsiTheme="minorHAnsi" w:cstheme="minorHAnsi"/>
                <w:sz w:val="20"/>
                <w:szCs w:val="20"/>
              </w:rPr>
              <w:t>12</w:t>
            </w:r>
          </w:p>
        </w:tc>
        <w:tc>
          <w:tcPr>
            <w:tcW w:w="1000" w:type="pct"/>
          </w:tcPr>
          <w:p w14:paraId="2BFA156F" w14:textId="77777777" w:rsidR="00D22F2F" w:rsidRPr="00634C40" w:rsidRDefault="00D22F2F" w:rsidP="00B04A85">
            <w:pPr>
              <w:jc w:val="right"/>
              <w:rPr>
                <w:rFonts w:asciiTheme="minorHAnsi" w:hAnsiTheme="minorHAnsi" w:cstheme="minorHAnsi"/>
                <w:sz w:val="20"/>
                <w:szCs w:val="20"/>
              </w:rPr>
            </w:pPr>
            <w:r>
              <w:rPr>
                <w:rFonts w:asciiTheme="minorHAnsi" w:hAnsiTheme="minorHAnsi" w:cstheme="minorHAnsi"/>
                <w:sz w:val="20"/>
                <w:szCs w:val="20"/>
              </w:rPr>
              <w:t>$19,467</w:t>
            </w:r>
          </w:p>
        </w:tc>
        <w:tc>
          <w:tcPr>
            <w:tcW w:w="1000" w:type="pct"/>
          </w:tcPr>
          <w:p w14:paraId="3414FB39" w14:textId="77777777" w:rsidR="00D22F2F" w:rsidRPr="00634C40" w:rsidRDefault="00D22F2F" w:rsidP="00B04A85">
            <w:pPr>
              <w:jc w:val="right"/>
              <w:rPr>
                <w:rFonts w:ascii="Calibri" w:hAnsi="Calibri" w:cs="Arial"/>
                <w:bCs/>
                <w:sz w:val="20"/>
                <w:szCs w:val="20"/>
              </w:rPr>
            </w:pPr>
            <w:r w:rsidRPr="00634C40">
              <w:rPr>
                <w:rFonts w:ascii="Calibri" w:hAnsi="Calibri" w:cs="Arial"/>
                <w:bCs/>
                <w:sz w:val="20"/>
                <w:szCs w:val="20"/>
              </w:rPr>
              <w:t>TBA</w:t>
            </w:r>
          </w:p>
        </w:tc>
      </w:tr>
      <w:tr w:rsidR="00D22F2F" w:rsidRPr="00CD725B" w14:paraId="1FEE89B0" w14:textId="77777777" w:rsidTr="00B04A85">
        <w:tc>
          <w:tcPr>
            <w:tcW w:w="1000" w:type="pct"/>
          </w:tcPr>
          <w:p w14:paraId="42AD1461" w14:textId="77777777" w:rsidR="00D22F2F" w:rsidRDefault="00D22F2F"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Computing</w:t>
            </w:r>
          </w:p>
        </w:tc>
        <w:tc>
          <w:tcPr>
            <w:tcW w:w="1000" w:type="pct"/>
          </w:tcPr>
          <w:p w14:paraId="04F3B192"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7</w:t>
            </w:r>
          </w:p>
        </w:tc>
        <w:tc>
          <w:tcPr>
            <w:tcW w:w="1000" w:type="pct"/>
          </w:tcPr>
          <w:p w14:paraId="13EFE9D6"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10</w:t>
            </w:r>
          </w:p>
        </w:tc>
        <w:tc>
          <w:tcPr>
            <w:tcW w:w="1000" w:type="pct"/>
          </w:tcPr>
          <w:p w14:paraId="75EA6844"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$220,246</w:t>
            </w:r>
          </w:p>
        </w:tc>
        <w:tc>
          <w:tcPr>
            <w:tcW w:w="1000" w:type="pct"/>
          </w:tcPr>
          <w:p w14:paraId="3CAEFB61"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TBA</w:t>
            </w:r>
          </w:p>
        </w:tc>
      </w:tr>
      <w:tr w:rsidR="00D22F2F" w:rsidRPr="00CD725B" w14:paraId="1C1F7B0D" w14:textId="77777777" w:rsidTr="00B04A85">
        <w:tc>
          <w:tcPr>
            <w:tcW w:w="1000" w:type="pct"/>
          </w:tcPr>
          <w:p w14:paraId="1D24E96D" w14:textId="77777777" w:rsidR="00D22F2F" w:rsidRDefault="00D22F2F"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Engineering</w:t>
            </w:r>
          </w:p>
        </w:tc>
        <w:tc>
          <w:tcPr>
            <w:tcW w:w="1000" w:type="pct"/>
          </w:tcPr>
          <w:p w14:paraId="2C1BAED3"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4</w:t>
            </w:r>
          </w:p>
        </w:tc>
        <w:tc>
          <w:tcPr>
            <w:tcW w:w="1000" w:type="pct"/>
          </w:tcPr>
          <w:p w14:paraId="3D0E9F48"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5</w:t>
            </w:r>
          </w:p>
        </w:tc>
        <w:tc>
          <w:tcPr>
            <w:tcW w:w="1000" w:type="pct"/>
          </w:tcPr>
          <w:p w14:paraId="750163B2"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$150,329</w:t>
            </w:r>
          </w:p>
        </w:tc>
        <w:tc>
          <w:tcPr>
            <w:tcW w:w="1000" w:type="pct"/>
          </w:tcPr>
          <w:p w14:paraId="515A9C00"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TBA</w:t>
            </w:r>
          </w:p>
        </w:tc>
      </w:tr>
      <w:tr w:rsidR="00D22F2F" w:rsidRPr="00CD725B" w14:paraId="2BF90434" w14:textId="77777777" w:rsidTr="00B04A85">
        <w:tc>
          <w:tcPr>
            <w:tcW w:w="1000" w:type="pct"/>
          </w:tcPr>
          <w:p w14:paraId="7EC06D66" w14:textId="77777777" w:rsidR="00D22F2F" w:rsidRPr="00CD725B" w:rsidRDefault="00D22F2F" w:rsidP="00B04A85">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1000" w:type="pct"/>
          </w:tcPr>
          <w:p w14:paraId="3731CD6E" w14:textId="77777777" w:rsidR="00D22F2F" w:rsidRPr="00D22F2F" w:rsidRDefault="00D22F2F" w:rsidP="00B04A85">
            <w:pPr>
              <w:jc w:val="right"/>
              <w:rPr>
                <w:rFonts w:ascii="Calibri" w:hAnsi="Calibri" w:cs="Arial"/>
                <w:b/>
                <w:sz w:val="20"/>
                <w:szCs w:val="20"/>
              </w:rPr>
            </w:pPr>
            <w:r w:rsidRPr="00D22F2F">
              <w:rPr>
                <w:rFonts w:ascii="Calibri" w:hAnsi="Calibri" w:cs="Arial"/>
                <w:b/>
                <w:sz w:val="20"/>
                <w:szCs w:val="20"/>
              </w:rPr>
              <w:t>16</w:t>
            </w:r>
          </w:p>
        </w:tc>
        <w:tc>
          <w:tcPr>
            <w:tcW w:w="1000" w:type="pct"/>
          </w:tcPr>
          <w:p w14:paraId="0CA2B3AE" w14:textId="77777777" w:rsidR="00D22F2F" w:rsidRPr="00D22F2F" w:rsidRDefault="00D22F2F" w:rsidP="00B04A85">
            <w:pPr>
              <w:jc w:val="right"/>
              <w:rPr>
                <w:rFonts w:asciiTheme="minorHAnsi" w:hAnsiTheme="minorHAnsi" w:cstheme="minorHAnsi"/>
                <w:b/>
                <w:sz w:val="20"/>
                <w:szCs w:val="20"/>
              </w:rPr>
            </w:pPr>
            <w:r w:rsidRPr="00D22F2F">
              <w:rPr>
                <w:rFonts w:asciiTheme="minorHAnsi" w:hAnsiTheme="minorHAnsi" w:cstheme="minorHAnsi"/>
                <w:b/>
                <w:sz w:val="20"/>
                <w:szCs w:val="20"/>
              </w:rPr>
              <w:t>27</w:t>
            </w:r>
          </w:p>
        </w:tc>
        <w:tc>
          <w:tcPr>
            <w:tcW w:w="1000" w:type="pct"/>
          </w:tcPr>
          <w:p w14:paraId="58D3CEF6" w14:textId="77777777" w:rsidR="00D22F2F" w:rsidRPr="00D22F2F" w:rsidRDefault="00D22F2F" w:rsidP="00B04A85">
            <w:pPr>
              <w:jc w:val="right"/>
              <w:rPr>
                <w:rFonts w:asciiTheme="minorHAnsi" w:hAnsiTheme="minorHAnsi" w:cstheme="minorHAnsi"/>
                <w:b/>
                <w:sz w:val="20"/>
                <w:szCs w:val="20"/>
              </w:rPr>
            </w:pPr>
            <w:r w:rsidRPr="00D22F2F">
              <w:rPr>
                <w:rFonts w:asciiTheme="minorHAnsi" w:hAnsiTheme="minorHAnsi" w:cstheme="minorHAnsi"/>
                <w:b/>
                <w:sz w:val="20"/>
                <w:szCs w:val="20"/>
              </w:rPr>
              <w:t>$390,042</w:t>
            </w:r>
          </w:p>
        </w:tc>
        <w:tc>
          <w:tcPr>
            <w:tcW w:w="1000" w:type="pct"/>
          </w:tcPr>
          <w:p w14:paraId="50B78869" w14:textId="77777777" w:rsidR="00D22F2F" w:rsidRPr="00D22F2F" w:rsidRDefault="00D22F2F" w:rsidP="00B04A85">
            <w:pPr>
              <w:jc w:val="right"/>
              <w:rPr>
                <w:rFonts w:ascii="Calibri" w:hAnsi="Calibri" w:cs="Arial"/>
                <w:b/>
                <w:sz w:val="20"/>
                <w:szCs w:val="20"/>
              </w:rPr>
            </w:pPr>
            <w:r w:rsidRPr="00D22F2F">
              <w:rPr>
                <w:rFonts w:ascii="Calibri" w:hAnsi="Calibri" w:cs="Arial"/>
                <w:b/>
                <w:sz w:val="20"/>
                <w:szCs w:val="20"/>
              </w:rPr>
              <w:t>TBA</w:t>
            </w:r>
          </w:p>
        </w:tc>
      </w:tr>
    </w:tbl>
    <w:bookmarkEnd w:id="5"/>
    <w:p w14:paraId="0B23137D" w14:textId="77777777" w:rsidR="00D22F2F" w:rsidRPr="009D134B" w:rsidRDefault="00D22F2F" w:rsidP="00D22F2F">
      <w:pPr>
        <w:tabs>
          <w:tab w:val="left" w:pos="567"/>
          <w:tab w:val="left" w:pos="8222"/>
        </w:tabs>
        <w:rPr>
          <w:rFonts w:ascii="Calibri" w:hAnsi="Calibri" w:cs="Arial"/>
          <w:bCs/>
          <w:sz w:val="16"/>
          <w:szCs w:val="16"/>
        </w:rPr>
      </w:pPr>
      <w:r w:rsidRPr="009D134B">
        <w:rPr>
          <w:rFonts w:ascii="Calibri" w:hAnsi="Calibri" w:cs="Arial"/>
          <w:bCs/>
          <w:sz w:val="16"/>
          <w:szCs w:val="16"/>
        </w:rPr>
        <w:t>Note: Quoted</w:t>
      </w:r>
      <w:r w:rsidRPr="00E77AD2">
        <w:rPr>
          <w:rFonts w:ascii="Calibri" w:hAnsi="Calibri" w:cs="Arial"/>
          <w:bCs/>
          <w:sz w:val="16"/>
          <w:szCs w:val="16"/>
        </w:rPr>
        <w:t xml:space="preserve"> </w:t>
      </w:r>
      <w:r w:rsidRPr="009D134B">
        <w:rPr>
          <w:rFonts w:ascii="Calibri" w:hAnsi="Calibri" w:cs="Arial"/>
          <w:bCs/>
          <w:sz w:val="16"/>
          <w:szCs w:val="16"/>
        </w:rPr>
        <w:t>places are indicative only of commencing EFTSL implied by the allocated funding amounts.</w:t>
      </w:r>
    </w:p>
    <w:p w14:paraId="5BAF58A8" w14:textId="7C35138F" w:rsidR="00D22F2F" w:rsidRPr="005651CB" w:rsidRDefault="00D22F2F" w:rsidP="00D22F2F">
      <w:pPr>
        <w:widowControl w:val="0"/>
        <w:tabs>
          <w:tab w:val="left" w:pos="567"/>
          <w:tab w:val="left" w:pos="8222"/>
        </w:tabs>
        <w:spacing w:before="120" w:after="120"/>
        <w:rPr>
          <w:rFonts w:ascii="Calibri" w:hAnsi="Calibri" w:cs="Arial"/>
          <w:b/>
          <w:sz w:val="20"/>
          <w:szCs w:val="20"/>
        </w:rPr>
      </w:pPr>
      <w:r>
        <w:rPr>
          <w:rFonts w:ascii="Calibri" w:hAnsi="Calibri" w:cs="Arial"/>
          <w:b/>
          <w:sz w:val="20"/>
          <w:szCs w:val="20"/>
        </w:rPr>
        <w:br/>
      </w:r>
      <w:r w:rsidRPr="005651CB">
        <w:rPr>
          <w:rFonts w:ascii="Calibri" w:hAnsi="Calibri" w:cs="Arial"/>
          <w:b/>
          <w:sz w:val="20"/>
          <w:szCs w:val="20"/>
        </w:rPr>
        <w:t xml:space="preserve">Table </w:t>
      </w:r>
      <w:r>
        <w:rPr>
          <w:rFonts w:ascii="Calibri" w:hAnsi="Calibri" w:cs="Arial"/>
          <w:b/>
          <w:sz w:val="20"/>
          <w:szCs w:val="20"/>
        </w:rPr>
        <w:t>3</w:t>
      </w:r>
      <w:r w:rsidRPr="005651CB">
        <w:rPr>
          <w:rFonts w:ascii="Calibri" w:hAnsi="Calibri" w:cs="Arial"/>
          <w:b/>
          <w:sz w:val="20"/>
          <w:szCs w:val="20"/>
        </w:rPr>
        <w:t xml:space="preserve">a(ii): Approved </w:t>
      </w:r>
      <w:r>
        <w:rPr>
          <w:rFonts w:ascii="Calibri" w:hAnsi="Calibri" w:cs="Arial"/>
          <w:b/>
          <w:sz w:val="20"/>
          <w:szCs w:val="20"/>
        </w:rPr>
        <w:t>courses to be delivered with allocated funding for Equity Places in 2024</w:t>
      </w:r>
    </w:p>
    <w:tbl>
      <w:tblPr>
        <w:tblStyle w:val="TableGrid1"/>
        <w:tblW w:w="5000" w:type="pct"/>
        <w:tblLook w:val="04A0" w:firstRow="1" w:lastRow="0" w:firstColumn="1" w:lastColumn="0" w:noHBand="0" w:noVBand="1"/>
      </w:tblPr>
      <w:tblGrid>
        <w:gridCol w:w="2166"/>
        <w:gridCol w:w="2825"/>
        <w:gridCol w:w="4637"/>
      </w:tblGrid>
      <w:tr w:rsidR="00D22F2F" w:rsidRPr="001A1D49" w14:paraId="712CA26A" w14:textId="77777777" w:rsidTr="00B04A85">
        <w:tc>
          <w:tcPr>
            <w:tcW w:w="1125" w:type="pct"/>
          </w:tcPr>
          <w:p w14:paraId="70E91259" w14:textId="77777777" w:rsidR="00D22F2F" w:rsidRPr="005651CB" w:rsidRDefault="00D22F2F" w:rsidP="00B04A85">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3871E10F" w14:textId="77777777" w:rsidR="00D22F2F" w:rsidRPr="005651CB" w:rsidRDefault="00D22F2F" w:rsidP="00B04A85">
            <w:pPr>
              <w:spacing w:before="120" w:after="120"/>
              <w:rPr>
                <w:rFonts w:ascii="Calibri" w:hAnsi="Calibri"/>
                <w:b/>
                <w:bCs/>
                <w:sz w:val="20"/>
                <w:szCs w:val="22"/>
              </w:rPr>
            </w:pPr>
            <w:r>
              <w:rPr>
                <w:rFonts w:ascii="Calibri" w:hAnsi="Calibri"/>
                <w:b/>
                <w:bCs/>
                <w:sz w:val="20"/>
                <w:szCs w:val="22"/>
              </w:rPr>
              <w:t>Priority Area</w:t>
            </w:r>
          </w:p>
        </w:tc>
        <w:tc>
          <w:tcPr>
            <w:tcW w:w="2408" w:type="pct"/>
          </w:tcPr>
          <w:p w14:paraId="03D3D8B1" w14:textId="77777777" w:rsidR="00D22F2F" w:rsidRPr="005651CB" w:rsidRDefault="00D22F2F" w:rsidP="00B04A85">
            <w:pPr>
              <w:spacing w:before="120" w:after="120"/>
              <w:rPr>
                <w:rFonts w:ascii="Calibri" w:hAnsi="Calibri"/>
                <w:b/>
                <w:bCs/>
                <w:sz w:val="20"/>
                <w:szCs w:val="22"/>
              </w:rPr>
            </w:pPr>
            <w:r w:rsidRPr="005651CB">
              <w:rPr>
                <w:rFonts w:ascii="Calibri" w:hAnsi="Calibri"/>
                <w:b/>
                <w:bCs/>
                <w:sz w:val="20"/>
                <w:szCs w:val="22"/>
              </w:rPr>
              <w:t>Course Name</w:t>
            </w:r>
          </w:p>
        </w:tc>
      </w:tr>
      <w:tr w:rsidR="00D22F2F" w14:paraId="65327668" w14:textId="77777777" w:rsidTr="00B04A85">
        <w:trPr>
          <w:trHeight w:val="70"/>
        </w:trPr>
        <w:tc>
          <w:tcPr>
            <w:tcW w:w="1125" w:type="pct"/>
          </w:tcPr>
          <w:p w14:paraId="585FAB7A" w14:textId="77777777" w:rsidR="00D22F2F" w:rsidRPr="00F54AE1" w:rsidRDefault="00D22F2F" w:rsidP="00B04A85">
            <w:pPr>
              <w:rPr>
                <w:rFonts w:asciiTheme="minorHAnsi" w:hAnsiTheme="minorHAnsi" w:cstheme="minorHAnsi"/>
                <w:color w:val="000000"/>
                <w:sz w:val="20"/>
                <w:szCs w:val="22"/>
              </w:rPr>
            </w:pPr>
            <w:r>
              <w:rPr>
                <w:rFonts w:asciiTheme="minorHAnsi" w:hAnsiTheme="minorHAnsi" w:cstheme="minorHAnsi"/>
                <w:color w:val="000000"/>
                <w:sz w:val="20"/>
                <w:szCs w:val="22"/>
              </w:rPr>
              <w:t>Bachelor Degree</w:t>
            </w:r>
          </w:p>
        </w:tc>
        <w:tc>
          <w:tcPr>
            <w:tcW w:w="1467" w:type="pct"/>
          </w:tcPr>
          <w:p w14:paraId="6942419B" w14:textId="77777777" w:rsidR="00D22F2F" w:rsidRPr="00F54AE1" w:rsidRDefault="00D22F2F" w:rsidP="00B04A85">
            <w:pPr>
              <w:rPr>
                <w:rFonts w:asciiTheme="minorHAnsi" w:hAnsiTheme="minorHAnsi" w:cstheme="minorHAnsi"/>
                <w:color w:val="000000"/>
                <w:sz w:val="20"/>
                <w:szCs w:val="22"/>
              </w:rPr>
            </w:pPr>
            <w:r>
              <w:rPr>
                <w:rFonts w:asciiTheme="minorHAnsi" w:hAnsiTheme="minorHAnsi" w:cstheme="minorHAnsi"/>
                <w:color w:val="000000"/>
                <w:sz w:val="20"/>
                <w:szCs w:val="22"/>
              </w:rPr>
              <w:t>Engineering</w:t>
            </w:r>
          </w:p>
        </w:tc>
        <w:tc>
          <w:tcPr>
            <w:tcW w:w="2408" w:type="pct"/>
            <w:vAlign w:val="bottom"/>
          </w:tcPr>
          <w:p w14:paraId="2DDBD2CB" w14:textId="77777777" w:rsidR="00D22F2F" w:rsidRPr="009D134B" w:rsidRDefault="00D22F2F" w:rsidP="00B04A85">
            <w:pPr>
              <w:rPr>
                <w:rFonts w:asciiTheme="minorHAnsi" w:hAnsiTheme="minorHAnsi" w:cstheme="minorHAnsi"/>
                <w:color w:val="000000"/>
                <w:sz w:val="20"/>
                <w:szCs w:val="20"/>
              </w:rPr>
            </w:pPr>
            <w:r w:rsidRPr="009D134B">
              <w:rPr>
                <w:rFonts w:asciiTheme="minorHAnsi" w:hAnsiTheme="minorHAnsi" w:cstheme="minorHAnsi"/>
                <w:color w:val="000000"/>
                <w:sz w:val="20"/>
                <w:szCs w:val="20"/>
              </w:rPr>
              <w:t xml:space="preserve">Bachelor of </w:t>
            </w:r>
            <w:r>
              <w:rPr>
                <w:rFonts w:asciiTheme="minorHAnsi" w:hAnsiTheme="minorHAnsi" w:cstheme="minorHAnsi"/>
                <w:color w:val="000000"/>
                <w:sz w:val="20"/>
                <w:szCs w:val="20"/>
              </w:rPr>
              <w:t>Engineering Technology (Civil)</w:t>
            </w:r>
          </w:p>
        </w:tc>
      </w:tr>
      <w:tr w:rsidR="00D22F2F" w14:paraId="3106362D" w14:textId="77777777" w:rsidTr="00B04A85">
        <w:trPr>
          <w:trHeight w:val="70"/>
        </w:trPr>
        <w:tc>
          <w:tcPr>
            <w:tcW w:w="1125" w:type="pct"/>
          </w:tcPr>
          <w:p w14:paraId="5BF56A9E" w14:textId="77777777" w:rsidR="00D22F2F" w:rsidRDefault="00D22F2F" w:rsidP="00B04A85">
            <w:pPr>
              <w:rPr>
                <w:rFonts w:asciiTheme="minorHAnsi" w:hAnsiTheme="minorHAnsi" w:cstheme="minorHAnsi"/>
                <w:color w:val="000000"/>
                <w:sz w:val="20"/>
                <w:szCs w:val="22"/>
              </w:rPr>
            </w:pPr>
            <w:r w:rsidRPr="00E82A09">
              <w:rPr>
                <w:rFonts w:asciiTheme="minorHAnsi" w:hAnsiTheme="minorHAnsi" w:cstheme="minorHAnsi"/>
                <w:color w:val="000000"/>
                <w:sz w:val="20"/>
                <w:szCs w:val="22"/>
              </w:rPr>
              <w:t>Bachelor Degree</w:t>
            </w:r>
          </w:p>
        </w:tc>
        <w:tc>
          <w:tcPr>
            <w:tcW w:w="1467" w:type="pct"/>
          </w:tcPr>
          <w:p w14:paraId="71080C62" w14:textId="77777777" w:rsidR="00D22F2F" w:rsidRDefault="00D22F2F" w:rsidP="00B04A85">
            <w:pPr>
              <w:rPr>
                <w:rFonts w:asciiTheme="minorHAnsi" w:hAnsiTheme="minorHAnsi" w:cstheme="minorHAnsi"/>
                <w:color w:val="000000"/>
                <w:sz w:val="20"/>
                <w:szCs w:val="22"/>
              </w:rPr>
            </w:pPr>
            <w:r>
              <w:rPr>
                <w:rFonts w:asciiTheme="minorHAnsi" w:hAnsiTheme="minorHAnsi" w:cstheme="minorHAnsi"/>
                <w:color w:val="000000"/>
                <w:sz w:val="20"/>
                <w:szCs w:val="22"/>
              </w:rPr>
              <w:t>Computing</w:t>
            </w:r>
          </w:p>
        </w:tc>
        <w:tc>
          <w:tcPr>
            <w:tcW w:w="2408" w:type="pct"/>
            <w:vAlign w:val="bottom"/>
          </w:tcPr>
          <w:p w14:paraId="5CCFF566" w14:textId="77777777" w:rsidR="00D22F2F" w:rsidRPr="000547FD" w:rsidRDefault="00D22F2F" w:rsidP="00B04A85">
            <w:pPr>
              <w:rPr>
                <w:rFonts w:ascii="Calibri" w:hAnsi="Calibri" w:cs="Calibri"/>
                <w:color w:val="000000"/>
                <w:sz w:val="20"/>
                <w:szCs w:val="20"/>
              </w:rPr>
            </w:pPr>
            <w:r>
              <w:rPr>
                <w:rFonts w:ascii="Calibri" w:hAnsi="Calibri" w:cs="Calibri"/>
                <w:color w:val="000000"/>
                <w:sz w:val="20"/>
                <w:szCs w:val="20"/>
              </w:rPr>
              <w:t>Bachelor of Information Technology</w:t>
            </w:r>
          </w:p>
        </w:tc>
      </w:tr>
      <w:tr w:rsidR="00D22F2F" w14:paraId="573605B0" w14:textId="77777777" w:rsidTr="00B04A85">
        <w:trPr>
          <w:trHeight w:val="70"/>
        </w:trPr>
        <w:tc>
          <w:tcPr>
            <w:tcW w:w="1125" w:type="pct"/>
          </w:tcPr>
          <w:p w14:paraId="56593A4F" w14:textId="77777777" w:rsidR="00D22F2F" w:rsidRDefault="00D22F2F" w:rsidP="00B04A85">
            <w:pPr>
              <w:rPr>
                <w:rFonts w:asciiTheme="minorHAnsi" w:hAnsiTheme="minorHAnsi" w:cstheme="minorHAnsi"/>
                <w:color w:val="000000"/>
                <w:sz w:val="20"/>
                <w:szCs w:val="22"/>
              </w:rPr>
            </w:pPr>
            <w:r w:rsidRPr="00E82A09">
              <w:rPr>
                <w:rFonts w:asciiTheme="minorHAnsi" w:hAnsiTheme="minorHAnsi" w:cstheme="minorHAnsi"/>
                <w:color w:val="000000"/>
                <w:sz w:val="20"/>
                <w:szCs w:val="22"/>
              </w:rPr>
              <w:t>Bachelor Degree</w:t>
            </w:r>
          </w:p>
        </w:tc>
        <w:tc>
          <w:tcPr>
            <w:tcW w:w="1467" w:type="pct"/>
          </w:tcPr>
          <w:p w14:paraId="381EB9FF" w14:textId="77777777" w:rsidR="00D22F2F" w:rsidRDefault="00D22F2F" w:rsidP="00B04A85">
            <w:pPr>
              <w:rPr>
                <w:rFonts w:asciiTheme="minorHAnsi" w:hAnsiTheme="minorHAnsi" w:cstheme="minorHAnsi"/>
                <w:color w:val="000000"/>
                <w:sz w:val="20"/>
                <w:szCs w:val="22"/>
              </w:rPr>
            </w:pPr>
            <w:r>
              <w:rPr>
                <w:rFonts w:asciiTheme="minorHAnsi" w:hAnsiTheme="minorHAnsi" w:cstheme="minorHAnsi"/>
                <w:color w:val="000000"/>
                <w:sz w:val="20"/>
                <w:szCs w:val="22"/>
              </w:rPr>
              <w:t>Commerce</w:t>
            </w:r>
          </w:p>
        </w:tc>
        <w:tc>
          <w:tcPr>
            <w:tcW w:w="2408" w:type="pct"/>
            <w:vAlign w:val="bottom"/>
          </w:tcPr>
          <w:p w14:paraId="0DD2488D" w14:textId="77777777" w:rsidR="00D22F2F" w:rsidRPr="000547FD" w:rsidRDefault="00D22F2F" w:rsidP="00B04A85">
            <w:pPr>
              <w:rPr>
                <w:rFonts w:ascii="Calibri" w:hAnsi="Calibri" w:cs="Calibri"/>
                <w:color w:val="000000"/>
                <w:sz w:val="20"/>
                <w:szCs w:val="20"/>
              </w:rPr>
            </w:pPr>
            <w:r>
              <w:rPr>
                <w:rFonts w:ascii="Calibri" w:hAnsi="Calibri" w:cs="Calibri"/>
                <w:color w:val="000000"/>
                <w:sz w:val="20"/>
                <w:szCs w:val="20"/>
              </w:rPr>
              <w:t>Bachelor of Accounting</w:t>
            </w:r>
          </w:p>
        </w:tc>
      </w:tr>
      <w:tr w:rsidR="00D22F2F" w14:paraId="5F58961D" w14:textId="77777777" w:rsidTr="00B04A85">
        <w:trPr>
          <w:trHeight w:val="70"/>
        </w:trPr>
        <w:tc>
          <w:tcPr>
            <w:tcW w:w="1125" w:type="pct"/>
          </w:tcPr>
          <w:p w14:paraId="4E85212E" w14:textId="77777777" w:rsidR="00D22F2F" w:rsidRDefault="00D22F2F" w:rsidP="00B04A85">
            <w:pPr>
              <w:rPr>
                <w:rFonts w:asciiTheme="minorHAnsi" w:hAnsiTheme="minorHAnsi" w:cstheme="minorHAnsi"/>
                <w:color w:val="000000"/>
                <w:sz w:val="20"/>
                <w:szCs w:val="22"/>
              </w:rPr>
            </w:pPr>
            <w:r w:rsidRPr="00E82A09">
              <w:rPr>
                <w:rFonts w:asciiTheme="minorHAnsi" w:hAnsiTheme="minorHAnsi" w:cstheme="minorHAnsi"/>
                <w:color w:val="000000"/>
                <w:sz w:val="20"/>
                <w:szCs w:val="22"/>
              </w:rPr>
              <w:t>Bachelor Degree</w:t>
            </w:r>
          </w:p>
        </w:tc>
        <w:tc>
          <w:tcPr>
            <w:tcW w:w="1467" w:type="pct"/>
          </w:tcPr>
          <w:p w14:paraId="6456BF4B" w14:textId="77777777" w:rsidR="00D22F2F" w:rsidRDefault="00D22F2F" w:rsidP="00B04A85">
            <w:pPr>
              <w:rPr>
                <w:rFonts w:asciiTheme="minorHAnsi" w:hAnsiTheme="minorHAnsi" w:cstheme="minorHAnsi"/>
                <w:color w:val="000000"/>
                <w:sz w:val="20"/>
                <w:szCs w:val="22"/>
              </w:rPr>
            </w:pPr>
            <w:r>
              <w:rPr>
                <w:rFonts w:asciiTheme="minorHAnsi" w:hAnsiTheme="minorHAnsi" w:cstheme="minorHAnsi"/>
                <w:color w:val="000000"/>
                <w:sz w:val="20"/>
                <w:szCs w:val="22"/>
              </w:rPr>
              <w:t>Commerce</w:t>
            </w:r>
          </w:p>
        </w:tc>
        <w:tc>
          <w:tcPr>
            <w:tcW w:w="2408" w:type="pct"/>
            <w:vAlign w:val="bottom"/>
          </w:tcPr>
          <w:p w14:paraId="6EF59B6D" w14:textId="77777777" w:rsidR="00D22F2F" w:rsidRPr="000547FD" w:rsidRDefault="00D22F2F" w:rsidP="00B04A85">
            <w:pPr>
              <w:rPr>
                <w:rFonts w:ascii="Calibri" w:hAnsi="Calibri" w:cs="Calibri"/>
                <w:color w:val="000000"/>
                <w:sz w:val="20"/>
                <w:szCs w:val="20"/>
              </w:rPr>
            </w:pPr>
            <w:r>
              <w:rPr>
                <w:rFonts w:ascii="Calibri" w:hAnsi="Calibri" w:cs="Calibri"/>
                <w:color w:val="000000"/>
                <w:sz w:val="20"/>
                <w:szCs w:val="20"/>
              </w:rPr>
              <w:t>Bachelor of Business</w:t>
            </w:r>
          </w:p>
        </w:tc>
      </w:tr>
    </w:tbl>
    <w:p w14:paraId="3815F5D6" w14:textId="6CC16A05" w:rsidR="00E35403" w:rsidRDefault="00E35403" w:rsidP="00456AD8">
      <w:pPr>
        <w:widowControl w:val="0"/>
        <w:tabs>
          <w:tab w:val="left" w:pos="567"/>
          <w:tab w:val="left" w:pos="8222"/>
        </w:tabs>
        <w:spacing w:before="120" w:after="120"/>
        <w:rPr>
          <w:rFonts w:asciiTheme="minorHAnsi" w:hAnsiTheme="minorHAnsi" w:cstheme="minorHAnsi"/>
          <w:sz w:val="22"/>
          <w:szCs w:val="22"/>
        </w:rPr>
      </w:pPr>
    </w:p>
    <w:p w14:paraId="530D3FEB" w14:textId="77777777" w:rsidR="00E35403" w:rsidRDefault="00E35403">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E5A0F2F" w14:textId="77777777" w:rsidR="00E35403" w:rsidRPr="00E35403" w:rsidRDefault="00E35403" w:rsidP="00E35403">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20055EBC" w14:textId="77777777" w:rsidR="00E35403" w:rsidRPr="000268A4" w:rsidRDefault="00E35403" w:rsidP="00E35403">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E35403" w:rsidRPr="000268A4" w14:paraId="3CF5459F" w14:textId="77777777" w:rsidTr="00762C2B">
        <w:tc>
          <w:tcPr>
            <w:tcW w:w="4705" w:type="dxa"/>
          </w:tcPr>
          <w:p w14:paraId="091011EA"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488BF9A7"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Details</w:t>
            </w:r>
          </w:p>
        </w:tc>
      </w:tr>
      <w:tr w:rsidR="00E35403" w:rsidRPr="000268A4" w14:paraId="757BDC47" w14:textId="77777777" w:rsidTr="00762C2B">
        <w:trPr>
          <w:trHeight w:val="2246"/>
        </w:trPr>
        <w:tc>
          <w:tcPr>
            <w:tcW w:w="9628" w:type="dxa"/>
            <w:gridSpan w:val="2"/>
          </w:tcPr>
          <w:p w14:paraId="287CC951"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E35403" w:rsidRPr="000268A4" w14:paraId="0FBEEE0C" w14:textId="77777777" w:rsidTr="00762C2B">
              <w:tc>
                <w:tcPr>
                  <w:tcW w:w="2717" w:type="dxa"/>
                </w:tcPr>
                <w:p w14:paraId="5643F91F" w14:textId="77777777" w:rsidR="00E35403" w:rsidRPr="000268A4" w:rsidRDefault="00E35403" w:rsidP="00762C2B">
                  <w:pPr>
                    <w:tabs>
                      <w:tab w:val="left" w:pos="8222"/>
                    </w:tabs>
                    <w:spacing w:before="120" w:after="120"/>
                    <w:rPr>
                      <w:rFonts w:ascii="Calibri" w:hAnsi="Calibri"/>
                      <w:b/>
                      <w:bCs/>
                      <w:sz w:val="22"/>
                    </w:rPr>
                  </w:pPr>
                </w:p>
              </w:tc>
              <w:tc>
                <w:tcPr>
                  <w:tcW w:w="1332" w:type="dxa"/>
                </w:tcPr>
                <w:p w14:paraId="08B90C28"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3E14119B"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22F42E31"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0C9CE133"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79781B5E"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2024</w:t>
                  </w:r>
                </w:p>
              </w:tc>
            </w:tr>
            <w:tr w:rsidR="00E35403" w:rsidRPr="000268A4" w14:paraId="1421991F" w14:textId="77777777" w:rsidTr="00762C2B">
              <w:tc>
                <w:tcPr>
                  <w:tcW w:w="2717" w:type="dxa"/>
                </w:tcPr>
                <w:p w14:paraId="2ABEF071"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7A1AEDB9"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761EC7C4" w14:textId="77777777" w:rsidR="00E35403" w:rsidRPr="000268A4" w:rsidRDefault="00E35403" w:rsidP="00762C2B">
                  <w:pPr>
                    <w:tabs>
                      <w:tab w:val="left" w:pos="8222"/>
                    </w:tabs>
                    <w:spacing w:before="120" w:after="120"/>
                    <w:rPr>
                      <w:rFonts w:ascii="Calibri" w:hAnsi="Calibri"/>
                      <w:b/>
                      <w:bCs/>
                      <w:sz w:val="22"/>
                    </w:rPr>
                  </w:pPr>
                </w:p>
              </w:tc>
              <w:tc>
                <w:tcPr>
                  <w:tcW w:w="1332" w:type="dxa"/>
                </w:tcPr>
                <w:p w14:paraId="15E2AA42"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33AA69CA"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2BA92C9F"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599101F4" w14:textId="77777777" w:rsidTr="00762C2B">
              <w:tc>
                <w:tcPr>
                  <w:tcW w:w="2717" w:type="dxa"/>
                </w:tcPr>
                <w:p w14:paraId="67FBE711"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45DC68D8"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33AEEF00" w14:textId="77777777" w:rsidR="00E35403" w:rsidRPr="000268A4" w:rsidRDefault="00E35403" w:rsidP="00762C2B">
                  <w:pPr>
                    <w:tabs>
                      <w:tab w:val="left" w:pos="8222"/>
                    </w:tabs>
                    <w:spacing w:before="120" w:after="120"/>
                    <w:rPr>
                      <w:rFonts w:ascii="Calibri" w:hAnsi="Calibri"/>
                      <w:b/>
                      <w:bCs/>
                      <w:sz w:val="22"/>
                    </w:rPr>
                  </w:pPr>
                </w:p>
              </w:tc>
              <w:tc>
                <w:tcPr>
                  <w:tcW w:w="1332" w:type="dxa"/>
                </w:tcPr>
                <w:p w14:paraId="5913A63E"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61DD9128"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0C16964F" w14:textId="77777777" w:rsidR="00E35403" w:rsidRPr="000268A4" w:rsidRDefault="00E35403" w:rsidP="00762C2B">
                  <w:pPr>
                    <w:tabs>
                      <w:tab w:val="left" w:pos="8222"/>
                    </w:tabs>
                    <w:spacing w:before="120" w:after="120"/>
                    <w:rPr>
                      <w:rFonts w:ascii="Calibri" w:hAnsi="Calibri"/>
                      <w:b/>
                      <w:bCs/>
                      <w:sz w:val="22"/>
                    </w:rPr>
                  </w:pPr>
                </w:p>
              </w:tc>
            </w:tr>
          </w:tbl>
          <w:p w14:paraId="2B04E2C1"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4D12C14D" w14:textId="77777777" w:rsidTr="00762C2B">
        <w:tc>
          <w:tcPr>
            <w:tcW w:w="4705" w:type="dxa"/>
          </w:tcPr>
          <w:p w14:paraId="2BBE8BA7"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480042E2"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2F9C022C" w14:textId="77777777" w:rsidTr="00762C2B">
        <w:tc>
          <w:tcPr>
            <w:tcW w:w="4705" w:type="dxa"/>
          </w:tcPr>
          <w:p w14:paraId="638E81B5" w14:textId="77777777" w:rsidR="00E35403" w:rsidRPr="000268A4" w:rsidRDefault="00E35403"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6D12FBAE" w14:textId="77777777" w:rsidR="00E35403" w:rsidRPr="000268A4" w:rsidRDefault="00E35403"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0C4E36E1"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41BDE0EA" w14:textId="77777777" w:rsidTr="00762C2B">
        <w:tc>
          <w:tcPr>
            <w:tcW w:w="4705" w:type="dxa"/>
          </w:tcPr>
          <w:p w14:paraId="0F0C20D0" w14:textId="77777777" w:rsidR="00E35403" w:rsidRPr="000268A4" w:rsidRDefault="00E35403"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5F538255"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21BBEE9E"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75AF67D7" w14:textId="77777777" w:rsidTr="00762C2B">
        <w:tc>
          <w:tcPr>
            <w:tcW w:w="4705" w:type="dxa"/>
          </w:tcPr>
          <w:p w14:paraId="2C6A4FB8"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0581101A" w14:textId="77777777" w:rsidR="00E35403" w:rsidRPr="000268A4" w:rsidRDefault="00E35403"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43536925"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71F59704"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7658B1CB" w14:textId="77777777" w:rsidTr="00762C2B">
        <w:tc>
          <w:tcPr>
            <w:tcW w:w="4705" w:type="dxa"/>
          </w:tcPr>
          <w:p w14:paraId="652F98D1" w14:textId="77777777" w:rsidR="00E35403" w:rsidRPr="000268A4" w:rsidRDefault="00E35403"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6E06718D"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083F1015"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010EA554" w14:textId="77777777" w:rsidTr="00762C2B">
        <w:tc>
          <w:tcPr>
            <w:tcW w:w="4705" w:type="dxa"/>
          </w:tcPr>
          <w:p w14:paraId="43A9B37B" w14:textId="6AB3CA3A" w:rsidR="00E35403" w:rsidRPr="000268A4" w:rsidRDefault="00E35403"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Pr>
                <w:rFonts w:ascii="Calibri" w:hAnsi="Calibri" w:cs="Arial"/>
                <w:bCs/>
                <w:sz w:val="22"/>
                <w:szCs w:val="22"/>
                <w:u w:val="single"/>
              </w:rPr>
              <w:t>3a(ii)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60573D8A"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0DE0B865" w14:textId="77777777" w:rsidR="00E35403" w:rsidRPr="000268A4" w:rsidRDefault="00E35403" w:rsidP="00762C2B">
            <w:pPr>
              <w:tabs>
                <w:tab w:val="left" w:pos="8222"/>
              </w:tabs>
              <w:spacing w:before="120" w:after="120"/>
              <w:rPr>
                <w:rFonts w:ascii="Calibri" w:hAnsi="Calibri"/>
                <w:b/>
                <w:bCs/>
                <w:sz w:val="22"/>
              </w:rPr>
            </w:pPr>
          </w:p>
        </w:tc>
      </w:tr>
      <w:tr w:rsidR="00E35403" w14:paraId="5FCC4E03" w14:textId="77777777" w:rsidTr="00762C2B">
        <w:tc>
          <w:tcPr>
            <w:tcW w:w="4705" w:type="dxa"/>
          </w:tcPr>
          <w:p w14:paraId="29E9488E" w14:textId="77777777" w:rsidR="00E35403" w:rsidRDefault="00E35403"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75913C89" w14:textId="77777777" w:rsidR="00E35403" w:rsidRDefault="00E35403" w:rsidP="00762C2B">
            <w:pPr>
              <w:tabs>
                <w:tab w:val="left" w:pos="8222"/>
              </w:tabs>
              <w:spacing w:before="120" w:after="120"/>
              <w:rPr>
                <w:rFonts w:ascii="Calibri" w:hAnsi="Calibri"/>
                <w:b/>
                <w:bCs/>
                <w:sz w:val="22"/>
              </w:rPr>
            </w:pPr>
          </w:p>
        </w:tc>
      </w:tr>
    </w:tbl>
    <w:p w14:paraId="28DACB99" w14:textId="77777777" w:rsidR="00456AD8" w:rsidRPr="007B5678" w:rsidRDefault="00456AD8" w:rsidP="00456AD8">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07ED" w14:textId="039DA4D4" w:rsidR="00BB6CD8" w:rsidRPr="0088616E" w:rsidRDefault="00D33EE3" w:rsidP="00736EFC">
    <w:pPr>
      <w:pStyle w:val="Header"/>
      <w:pBdr>
        <w:bottom w:val="single" w:sz="4" w:space="0" w:color="auto"/>
      </w:pBdr>
      <w:rPr>
        <w:rFonts w:ascii="Calibri" w:hAnsi="Calibri"/>
      </w:rPr>
    </w:pPr>
    <w:r w:rsidRPr="00D33EE3">
      <w:rPr>
        <w:rFonts w:ascii="Calibri" w:hAnsi="Calibri" w:cs="Arial"/>
        <w:noProof/>
        <w:sz w:val="16"/>
        <w:szCs w:val="16"/>
      </w:rPr>
      <w:t>Melbourne Polytechnic</w:t>
    </w:r>
    <w:r>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55A5" w14:textId="6A57E17B" w:rsidR="00BB6CD8" w:rsidRPr="0088616E" w:rsidRDefault="00D33EE3" w:rsidP="00736EFC">
    <w:pPr>
      <w:pStyle w:val="Header"/>
      <w:pBdr>
        <w:bottom w:val="single" w:sz="4" w:space="0" w:color="auto"/>
      </w:pBdr>
      <w:rPr>
        <w:rFonts w:ascii="Calibri" w:hAnsi="Calibri"/>
      </w:rPr>
    </w:pPr>
    <w:r w:rsidRPr="00D33EE3">
      <w:rPr>
        <w:rFonts w:ascii="Calibri" w:hAnsi="Calibri" w:cs="Arial"/>
        <w:noProof/>
        <w:sz w:val="16"/>
        <w:szCs w:val="16"/>
      </w:rPr>
      <w:t>Melbourne Polytechnic</w:t>
    </w:r>
    <w:r>
      <w:rPr>
        <w:rFonts w:ascii="Calibri" w:hAnsi="Calibri" w:cs="Arial"/>
        <w:noProof/>
        <w:sz w:val="16"/>
        <w:szCs w:val="16"/>
      </w:rPr>
      <w:t xml:space="preserve"> 2024-25</w:t>
    </w:r>
    <w:r w:rsidR="00BB6CD8">
      <w:rPr>
        <w:rFonts w:ascii="Calibri" w:hAnsi="Calibri" w:cs="Arial"/>
        <w:sz w:val="16"/>
        <w:szCs w:val="16"/>
      </w:rPr>
      <w:t xml:space="preserve"> CGS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61FA" w14:textId="4C71940B" w:rsidR="00BB6CD8" w:rsidRPr="0088616E" w:rsidRDefault="00D33EE3" w:rsidP="00736EFC">
    <w:pPr>
      <w:pStyle w:val="Header"/>
      <w:pBdr>
        <w:bottom w:val="single" w:sz="4" w:space="0" w:color="auto"/>
      </w:pBdr>
      <w:rPr>
        <w:rFonts w:ascii="Calibri" w:hAnsi="Calibri"/>
      </w:rPr>
    </w:pPr>
    <w:r w:rsidRPr="00D33EE3">
      <w:rPr>
        <w:rFonts w:ascii="Calibri" w:hAnsi="Calibri" w:cs="Arial"/>
        <w:noProof/>
        <w:sz w:val="16"/>
        <w:szCs w:val="16"/>
      </w:rPr>
      <w:t>Melbourne Polytechnic</w:t>
    </w:r>
    <w:r w:rsidR="00D72257">
      <w:rPr>
        <w:rFonts w:ascii="Calibri" w:hAnsi="Calibri" w:cs="Arial"/>
        <w:noProof/>
        <w:sz w:val="16"/>
        <w:szCs w:val="16"/>
      </w:rPr>
      <w:t xml:space="preserve"> 2024-25</w:t>
    </w:r>
    <w:r w:rsidR="00BB6CD8">
      <w:rPr>
        <w:rFonts w:ascii="Calibri" w:hAnsi="Calibri" w:cs="Arial"/>
        <w:sz w:val="16"/>
        <w:szCs w:val="16"/>
      </w:rPr>
      <w:t xml:space="preserve"> CGS</w:t>
    </w:r>
    <w:r w:rsidR="00BB6CD8">
      <w:rPr>
        <w:rFonts w:ascii="Calibri" w:hAnsi="Calibri" w:cs="Arial"/>
        <w:noProof/>
        <w:sz w:val="16"/>
        <w:szCs w:val="16"/>
      </w:rPr>
      <w:t xml:space="preserve">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792867263">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2F6"/>
    <w:rsid w:val="000A43A5"/>
    <w:rsid w:val="000A5D78"/>
    <w:rsid w:val="000A5D98"/>
    <w:rsid w:val="000A69D9"/>
    <w:rsid w:val="000A6EB5"/>
    <w:rsid w:val="000A7469"/>
    <w:rsid w:val="000A7DAF"/>
    <w:rsid w:val="000B4407"/>
    <w:rsid w:val="000B49BD"/>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386E"/>
    <w:rsid w:val="00144091"/>
    <w:rsid w:val="001452AB"/>
    <w:rsid w:val="001465E0"/>
    <w:rsid w:val="001475B6"/>
    <w:rsid w:val="00147AB4"/>
    <w:rsid w:val="00147B49"/>
    <w:rsid w:val="00151FF4"/>
    <w:rsid w:val="00152BE8"/>
    <w:rsid w:val="00153BE6"/>
    <w:rsid w:val="00153C2B"/>
    <w:rsid w:val="00157896"/>
    <w:rsid w:val="00161862"/>
    <w:rsid w:val="00161C59"/>
    <w:rsid w:val="00161CAA"/>
    <w:rsid w:val="00161E0A"/>
    <w:rsid w:val="00161F1D"/>
    <w:rsid w:val="00161F7D"/>
    <w:rsid w:val="00161F7F"/>
    <w:rsid w:val="00162A2A"/>
    <w:rsid w:val="00163C14"/>
    <w:rsid w:val="00165F93"/>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532B"/>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174F0"/>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4DC1"/>
    <w:rsid w:val="0024611A"/>
    <w:rsid w:val="002463EB"/>
    <w:rsid w:val="00246AA7"/>
    <w:rsid w:val="00247437"/>
    <w:rsid w:val="00247685"/>
    <w:rsid w:val="002518B1"/>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EE1"/>
    <w:rsid w:val="0033349B"/>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118E"/>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47B44"/>
    <w:rsid w:val="00450AF4"/>
    <w:rsid w:val="004525D9"/>
    <w:rsid w:val="00452683"/>
    <w:rsid w:val="00452FD7"/>
    <w:rsid w:val="00455960"/>
    <w:rsid w:val="00455E37"/>
    <w:rsid w:val="00456487"/>
    <w:rsid w:val="00456AD8"/>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47F0"/>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48A"/>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4D06"/>
    <w:rsid w:val="00725A67"/>
    <w:rsid w:val="0072653D"/>
    <w:rsid w:val="00726A7F"/>
    <w:rsid w:val="00727F55"/>
    <w:rsid w:val="0073018E"/>
    <w:rsid w:val="00731946"/>
    <w:rsid w:val="00731C5F"/>
    <w:rsid w:val="00731D11"/>
    <w:rsid w:val="007337D4"/>
    <w:rsid w:val="0073485A"/>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62257"/>
    <w:rsid w:val="007628FB"/>
    <w:rsid w:val="00762F3F"/>
    <w:rsid w:val="00764635"/>
    <w:rsid w:val="00764D33"/>
    <w:rsid w:val="00770A9C"/>
    <w:rsid w:val="00770DB1"/>
    <w:rsid w:val="00771A4B"/>
    <w:rsid w:val="00771D5F"/>
    <w:rsid w:val="00772915"/>
    <w:rsid w:val="00773184"/>
    <w:rsid w:val="00774281"/>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5CD5"/>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4F6D"/>
    <w:rsid w:val="0082562E"/>
    <w:rsid w:val="008256CC"/>
    <w:rsid w:val="00826599"/>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2E7B"/>
    <w:rsid w:val="009F445E"/>
    <w:rsid w:val="009F4C61"/>
    <w:rsid w:val="009F5205"/>
    <w:rsid w:val="009F71C0"/>
    <w:rsid w:val="00A01723"/>
    <w:rsid w:val="00A037FD"/>
    <w:rsid w:val="00A0411F"/>
    <w:rsid w:val="00A058B8"/>
    <w:rsid w:val="00A061CC"/>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91F"/>
    <w:rsid w:val="00AF391D"/>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6197"/>
    <w:rsid w:val="00BB6CD8"/>
    <w:rsid w:val="00BB779A"/>
    <w:rsid w:val="00BC0CA6"/>
    <w:rsid w:val="00BC110B"/>
    <w:rsid w:val="00BC24F9"/>
    <w:rsid w:val="00BC3041"/>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C68"/>
    <w:rsid w:val="00C05F45"/>
    <w:rsid w:val="00C06799"/>
    <w:rsid w:val="00C115AD"/>
    <w:rsid w:val="00C11E08"/>
    <w:rsid w:val="00C1211F"/>
    <w:rsid w:val="00C156A9"/>
    <w:rsid w:val="00C163DC"/>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177"/>
    <w:rsid w:val="00C71AF4"/>
    <w:rsid w:val="00C732B6"/>
    <w:rsid w:val="00C766DF"/>
    <w:rsid w:val="00C7714D"/>
    <w:rsid w:val="00C77475"/>
    <w:rsid w:val="00C8090B"/>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0FEE"/>
    <w:rsid w:val="00D2194B"/>
    <w:rsid w:val="00D22F2F"/>
    <w:rsid w:val="00D2391B"/>
    <w:rsid w:val="00D243A8"/>
    <w:rsid w:val="00D266B6"/>
    <w:rsid w:val="00D269CB"/>
    <w:rsid w:val="00D3000A"/>
    <w:rsid w:val="00D30A41"/>
    <w:rsid w:val="00D30D98"/>
    <w:rsid w:val="00D3165B"/>
    <w:rsid w:val="00D32577"/>
    <w:rsid w:val="00D33EE3"/>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8"/>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A6A"/>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403"/>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29B1"/>
    <w:rsid w:val="00F13523"/>
    <w:rsid w:val="00F13E41"/>
    <w:rsid w:val="00F14722"/>
    <w:rsid w:val="00F14D64"/>
    <w:rsid w:val="00F14F6C"/>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77D8"/>
    <w:rsid w:val="00FB79E9"/>
    <w:rsid w:val="00FB7E3A"/>
    <w:rsid w:val="00FC3E9A"/>
    <w:rsid w:val="00FC419A"/>
    <w:rsid w:val="00FC5BEF"/>
    <w:rsid w:val="00FC7FC7"/>
    <w:rsid w:val="00FD0109"/>
    <w:rsid w:val="00FD180A"/>
    <w:rsid w:val="00FD60A1"/>
    <w:rsid w:val="00FD6483"/>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1EC2"/>
    <w:rsid w:val="00FF2A2A"/>
    <w:rsid w:val="00FF46DE"/>
    <w:rsid w:val="00FF49C0"/>
    <w:rsid w:val="00FF6592"/>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B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30311955">
      <w:bodyDiv w:val="1"/>
      <w:marLeft w:val="0"/>
      <w:marRight w:val="0"/>
      <w:marTop w:val="0"/>
      <w:marBottom w:val="0"/>
      <w:divBdr>
        <w:top w:val="none" w:sz="0" w:space="0" w:color="auto"/>
        <w:left w:val="none" w:sz="0" w:space="0" w:color="auto"/>
        <w:bottom w:val="none" w:sz="0" w:space="0" w:color="auto"/>
        <w:right w:val="none" w:sz="0" w:space="0" w:color="auto"/>
      </w:divBdr>
      <w:divsChild>
        <w:div w:id="1938177014">
          <w:marLeft w:val="0"/>
          <w:marRight w:val="0"/>
          <w:marTop w:val="0"/>
          <w:marBottom w:val="0"/>
          <w:divBdr>
            <w:top w:val="none" w:sz="0" w:space="0" w:color="auto"/>
            <w:left w:val="none" w:sz="0" w:space="0" w:color="auto"/>
            <w:bottom w:val="none" w:sz="0" w:space="0" w:color="auto"/>
            <w:right w:val="none" w:sz="0" w:space="0" w:color="auto"/>
          </w:divBdr>
        </w:div>
        <w:div w:id="1795437952">
          <w:marLeft w:val="0"/>
          <w:marRight w:val="0"/>
          <w:marTop w:val="0"/>
          <w:marBottom w:val="0"/>
          <w:divBdr>
            <w:top w:val="none" w:sz="0" w:space="0" w:color="auto"/>
            <w:left w:val="none" w:sz="0" w:space="0" w:color="auto"/>
            <w:bottom w:val="none" w:sz="0" w:space="0" w:color="auto"/>
            <w:right w:val="none" w:sz="0" w:space="0" w:color="auto"/>
          </w:divBdr>
        </w:div>
        <w:div w:id="300380733">
          <w:marLeft w:val="0"/>
          <w:marRight w:val="0"/>
          <w:marTop w:val="0"/>
          <w:marBottom w:val="0"/>
          <w:divBdr>
            <w:top w:val="none" w:sz="0" w:space="0" w:color="auto"/>
            <w:left w:val="none" w:sz="0" w:space="0" w:color="auto"/>
            <w:bottom w:val="none" w:sz="0" w:space="0" w:color="auto"/>
            <w:right w:val="none" w:sz="0" w:space="0" w:color="auto"/>
          </w:divBdr>
        </w:div>
        <w:div w:id="844323497">
          <w:marLeft w:val="0"/>
          <w:marRight w:val="0"/>
          <w:marTop w:val="0"/>
          <w:marBottom w:val="0"/>
          <w:divBdr>
            <w:top w:val="none" w:sz="0" w:space="0" w:color="auto"/>
            <w:left w:val="none" w:sz="0" w:space="0" w:color="auto"/>
            <w:bottom w:val="none" w:sz="0" w:space="0" w:color="auto"/>
            <w:right w:val="none" w:sz="0" w:space="0" w:color="auto"/>
          </w:divBdr>
        </w:div>
        <w:div w:id="821583215">
          <w:marLeft w:val="0"/>
          <w:marRight w:val="0"/>
          <w:marTop w:val="0"/>
          <w:marBottom w:val="0"/>
          <w:divBdr>
            <w:top w:val="none" w:sz="0" w:space="0" w:color="auto"/>
            <w:left w:val="none" w:sz="0" w:space="0" w:color="auto"/>
            <w:bottom w:val="none" w:sz="0" w:space="0" w:color="auto"/>
            <w:right w:val="none" w:sz="0" w:space="0" w:color="auto"/>
          </w:divBdr>
        </w:div>
        <w:div w:id="245310593">
          <w:marLeft w:val="0"/>
          <w:marRight w:val="0"/>
          <w:marTop w:val="0"/>
          <w:marBottom w:val="0"/>
          <w:divBdr>
            <w:top w:val="none" w:sz="0" w:space="0" w:color="auto"/>
            <w:left w:val="none" w:sz="0" w:space="0" w:color="auto"/>
            <w:bottom w:val="none" w:sz="0" w:space="0" w:color="auto"/>
            <w:right w:val="none" w:sz="0" w:space="0" w:color="auto"/>
          </w:divBdr>
        </w:div>
        <w:div w:id="2043165514">
          <w:marLeft w:val="0"/>
          <w:marRight w:val="0"/>
          <w:marTop w:val="0"/>
          <w:marBottom w:val="0"/>
          <w:divBdr>
            <w:top w:val="none" w:sz="0" w:space="0" w:color="auto"/>
            <w:left w:val="none" w:sz="0" w:space="0" w:color="auto"/>
            <w:bottom w:val="none" w:sz="0" w:space="0" w:color="auto"/>
            <w:right w:val="none" w:sz="0" w:space="0" w:color="auto"/>
          </w:divBdr>
        </w:div>
      </w:divsChild>
    </w:div>
    <w:div w:id="394863772">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6710127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o@nmit.v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schemas.microsoft.com/office/2006/metadata/properties"/>
    <ds:schemaRef ds:uri="http://purl.org/dc/dcmitype/"/>
    <ds:schemaRef ds:uri="F4ED384C-304E-4858-B689-6566CFEFBB79"/>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s>
</ds:datastoreItem>
</file>

<file path=customXml/itemProps4.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28</cp:revision>
  <cp:lastPrinted>2024-01-02T23:58:00Z</cp:lastPrinted>
  <dcterms:created xsi:type="dcterms:W3CDTF">2023-12-11T06:48:00Z</dcterms:created>
  <dcterms:modified xsi:type="dcterms:W3CDTF">2024-05-13T06:30:00Z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