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72A3CEE2" w14:textId="77777777" w:rsidR="00221DD6" w:rsidRPr="00BA1317" w:rsidRDefault="00221DD6" w:rsidP="00221DD6">
      <w:pPr>
        <w:spacing w:before="480"/>
        <w:jc w:val="center"/>
        <w:rPr>
          <w:rFonts w:ascii="Calibri" w:hAnsi="Calibri" w:cs="Arial"/>
          <w:b/>
          <w:bCs/>
          <w:iCs/>
          <w:sz w:val="36"/>
        </w:rPr>
      </w:pPr>
      <w:r w:rsidRPr="00C413CB">
        <w:rPr>
          <w:rFonts w:ascii="Calibri" w:hAnsi="Calibri" w:cs="Arial"/>
          <w:b/>
          <w:bCs/>
          <w:iCs/>
          <w:noProof/>
          <w:sz w:val="36"/>
        </w:rPr>
        <w:t>Torrens University Australia Limited</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20FFCD35" w14:textId="77777777" w:rsidR="00221DD6" w:rsidRPr="00A54985" w:rsidRDefault="00221DD6" w:rsidP="00221DD6">
      <w:pPr>
        <w:rPr>
          <w:rFonts w:asciiTheme="minorHAnsi" w:hAnsiTheme="minorHAnsi" w:cstheme="minorHAnsi"/>
          <w:sz w:val="22"/>
        </w:rPr>
      </w:pPr>
      <w:r w:rsidRPr="00C413CB">
        <w:rPr>
          <w:rFonts w:asciiTheme="minorHAnsi" w:hAnsiTheme="minorHAnsi" w:cstheme="minorHAnsi"/>
          <w:b/>
          <w:noProof/>
          <w:sz w:val="22"/>
          <w:szCs w:val="22"/>
        </w:rPr>
        <w:t>Torrens University Australia Limited</w:t>
      </w:r>
      <w:r w:rsidRPr="00C413CB">
        <w:rPr>
          <w:rFonts w:asciiTheme="minorHAnsi" w:hAnsiTheme="minorHAnsi" w:cstheme="minorHAnsi"/>
          <w:sz w:val="22"/>
          <w:szCs w:val="22"/>
        </w:rPr>
        <w:t>,</w:t>
      </w:r>
      <w:r w:rsidRPr="00C413CB">
        <w:rPr>
          <w:rFonts w:asciiTheme="minorHAnsi" w:hAnsiTheme="minorHAnsi" w:cstheme="minorHAnsi"/>
          <w:b/>
          <w:sz w:val="22"/>
          <w:szCs w:val="22"/>
        </w:rPr>
        <w:t xml:space="preserve"> 17-51 Foveaux Street, Surry Hills NSW 2010</w:t>
      </w:r>
      <w:r w:rsidRPr="00A54985">
        <w:rPr>
          <w:rFonts w:asciiTheme="minorHAnsi" w:hAnsiTheme="minorHAnsi" w:cstheme="minorHAnsi"/>
          <w:sz w:val="22"/>
          <w:szCs w:val="22"/>
        </w:rPr>
        <w:t xml:space="preserve"> (‘Provider’)</w:t>
      </w:r>
    </w:p>
    <w:p w14:paraId="10703064" w14:textId="77777777" w:rsidR="00221DD6" w:rsidRPr="00BA1317" w:rsidRDefault="00221DD6" w:rsidP="00221DD6">
      <w:pPr>
        <w:spacing w:after="240"/>
        <w:rPr>
          <w:rFonts w:asciiTheme="minorHAnsi" w:hAnsiTheme="minorHAnsi" w:cstheme="minorHAnsi"/>
          <w:sz w:val="22"/>
          <w:szCs w:val="22"/>
        </w:rPr>
      </w:pPr>
      <w:r w:rsidRPr="00A54985">
        <w:rPr>
          <w:rFonts w:asciiTheme="minorHAnsi" w:hAnsiTheme="minorHAnsi" w:cstheme="minorHAnsi"/>
          <w:sz w:val="22"/>
        </w:rPr>
        <w:t>[</w:t>
      </w:r>
      <w:r w:rsidRPr="00872EC9">
        <w:rPr>
          <w:rFonts w:asciiTheme="minorHAnsi" w:hAnsiTheme="minorHAnsi" w:cstheme="minorHAnsi"/>
          <w:sz w:val="22"/>
        </w:rPr>
        <w:t xml:space="preserve">ABN </w:t>
      </w:r>
      <w:r w:rsidRPr="00C413CB">
        <w:rPr>
          <w:rFonts w:asciiTheme="minorHAnsi" w:hAnsiTheme="minorHAnsi" w:cstheme="minorHAnsi"/>
          <w:sz w:val="22"/>
        </w:rPr>
        <w:t>99 154 937 005</w:t>
      </w:r>
      <w:r w:rsidRPr="00A54985">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12D0BC4" w14:textId="4C96A50B" w:rsidR="001A4BDF" w:rsidRPr="00CD725B" w:rsidRDefault="001A4BDF" w:rsidP="001A4BDF">
      <w:pPr>
        <w:widowControl w:val="0"/>
        <w:numPr>
          <w:ilvl w:val="0"/>
          <w:numId w:val="2"/>
        </w:numPr>
        <w:tabs>
          <w:tab w:val="left" w:pos="8222"/>
        </w:tabs>
        <w:spacing w:before="120" w:after="120"/>
        <w:ind w:hanging="720"/>
        <w:rPr>
          <w:rFonts w:asciiTheme="minorHAnsi" w:hAnsiTheme="minorHAnsi" w:cstheme="minorHAnsi"/>
          <w:sz w:val="22"/>
          <w:szCs w:val="22"/>
        </w:rPr>
      </w:pPr>
      <w:r w:rsidRPr="00577A19">
        <w:rPr>
          <w:rFonts w:asciiTheme="minorHAnsi" w:hAnsiTheme="minorHAnsi" w:cstheme="minorHAnsi"/>
          <w:sz w:val="22"/>
          <w:szCs w:val="22"/>
        </w:rPr>
        <w:t>This agreement complements the mission-based compact between both parties setting out how the Provider’s mission aligns with the Commonwealth of Australia’s goals for higher education. It also complements the Provider’s Equity</w:t>
      </w:r>
      <w:r w:rsidR="005B1C78">
        <w:rPr>
          <w:rFonts w:asciiTheme="minorHAnsi" w:hAnsiTheme="minorHAnsi" w:cstheme="minorHAnsi"/>
          <w:sz w:val="22"/>
          <w:szCs w:val="22"/>
        </w:rPr>
        <w:t xml:space="preserve"> Plan</w:t>
      </w:r>
      <w:r w:rsidRPr="00577A19">
        <w:rPr>
          <w:rFonts w:asciiTheme="minorHAnsi" w:hAnsiTheme="minorHAnsi" w:cstheme="minorHAnsi"/>
          <w:sz w:val="22"/>
          <w:szCs w:val="22"/>
        </w:rPr>
        <w:t xml:space="preserve"> setting out how the Provider intends to use any amounts equivalent to any unspent Part 2-2 grant funding in the 2024 and 2025 grant years</w:t>
      </w:r>
      <w:r w:rsidRPr="0033349B">
        <w:rPr>
          <w:rFonts w:ascii="Calibri" w:hAnsi="Calibri" w:cs="Arial"/>
          <w:sz w:val="22"/>
          <w:szCs w:val="22"/>
        </w:rPr>
        <w:t>.</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62693032" w14:textId="77777777" w:rsidR="004F59B5" w:rsidRPr="004F59B5" w:rsidRDefault="004F59B5" w:rsidP="004F59B5">
      <w:pPr>
        <w:widowControl w:val="0"/>
        <w:numPr>
          <w:ilvl w:val="0"/>
          <w:numId w:val="1"/>
        </w:numPr>
        <w:tabs>
          <w:tab w:val="left" w:pos="567"/>
          <w:tab w:val="left" w:pos="8222"/>
        </w:tabs>
        <w:spacing w:before="120" w:after="120"/>
        <w:rPr>
          <w:rFonts w:ascii="Calibri" w:hAnsi="Calibri" w:cs="Arial"/>
          <w:sz w:val="22"/>
          <w:szCs w:val="22"/>
        </w:rPr>
      </w:pPr>
      <w:r w:rsidRPr="004F59B5">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7546650D"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289F9BFC" w:rsidR="007E29F9" w:rsidRPr="00CD725B"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on the basis of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9226BC">
        <w:rPr>
          <w:rFonts w:asciiTheme="minorHAnsi" w:hAnsiTheme="minorHAnsi" w:cstheme="minorHAnsi"/>
          <w:sz w:val="22"/>
          <w:szCs w:val="22"/>
        </w:rPr>
        <w:t xml:space="preserve"> </w:t>
      </w:r>
      <w:r w:rsidRPr="00CD725B">
        <w:rPr>
          <w:rFonts w:asciiTheme="minorHAnsi" w:hAnsiTheme="minorHAnsi" w:cstheme="minorHAnsi"/>
          <w:sz w:val="22"/>
          <w:szCs w:val="22"/>
        </w:rPr>
        <w:t>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0E2FDA8E"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73189A8F" w14:textId="1DE4400B" w:rsidR="007E29F9" w:rsidRPr="00CD725B"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50382F77" w14:textId="77777777" w:rsidR="004F59B5" w:rsidRDefault="004F59B5" w:rsidP="004F59B5">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681B82F" w14:textId="77777777" w:rsidR="004F59B5" w:rsidRDefault="004F59B5" w:rsidP="004F59B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09838F49" w14:textId="77777777" w:rsidR="004F59B5" w:rsidRDefault="004F59B5" w:rsidP="004F59B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171C9D71" w14:textId="77777777" w:rsidR="004F59B5" w:rsidRDefault="004F59B5" w:rsidP="004F59B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3FD0BB30" w14:textId="77777777" w:rsidR="004F59B5" w:rsidRDefault="004F59B5" w:rsidP="004F59B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45A9F0B0" w14:textId="77777777" w:rsidR="004F59B5" w:rsidRDefault="004F59B5" w:rsidP="004F59B5">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Year 11 students;</w:t>
      </w:r>
    </w:p>
    <w:p w14:paraId="7DEB8AC9" w14:textId="49884A78" w:rsidR="004F59B5" w:rsidRPr="004F59B5" w:rsidRDefault="004F59B5" w:rsidP="0069202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177BA812"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professional accreditation standards.</w:t>
      </w:r>
    </w:p>
    <w:p w14:paraId="534FD5CE" w14:textId="77777777" w:rsidR="00B7665C" w:rsidRPr="00221DD6" w:rsidRDefault="00B7665C" w:rsidP="00B7665C">
      <w:pPr>
        <w:tabs>
          <w:tab w:val="left" w:pos="426"/>
        </w:tabs>
        <w:spacing w:after="120"/>
        <w:rPr>
          <w:rFonts w:ascii="Calibri" w:hAnsi="Calibri" w:cs="Arial"/>
          <w:i/>
          <w:sz w:val="22"/>
          <w:szCs w:val="22"/>
        </w:rPr>
      </w:pPr>
      <w:r w:rsidRPr="00221DD6">
        <w:rPr>
          <w:rFonts w:ascii="Calibri" w:hAnsi="Calibri" w:cs="Arial"/>
          <w:i/>
          <w:sz w:val="22"/>
          <w:szCs w:val="22"/>
        </w:rPr>
        <w:t>Equity Places</w:t>
      </w:r>
    </w:p>
    <w:p w14:paraId="38CA169B" w14:textId="77777777" w:rsidR="00B7665C" w:rsidRPr="00221DD6"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21DD6">
        <w:rPr>
          <w:rFonts w:ascii="Calibri" w:hAnsi="Calibri" w:cs="Arial"/>
          <w:sz w:val="22"/>
          <w:szCs w:val="22"/>
        </w:rPr>
        <w:t>Equity Places are non-ongoing and funding is expected to terminate in 2028.</w:t>
      </w:r>
    </w:p>
    <w:p w14:paraId="7670A146" w14:textId="77777777" w:rsidR="009226BC" w:rsidRPr="0046595F" w:rsidRDefault="009226BC" w:rsidP="009226B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 and 2024 grant years.</w:t>
      </w:r>
    </w:p>
    <w:bookmarkEnd w:id="1"/>
    <w:p w14:paraId="4B4588AC" w14:textId="1AC6E805" w:rsidR="00B7665C" w:rsidRPr="00221DD6"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21DD6">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221DD6"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221DD6">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CD725B" w:rsidRDefault="007E29F9" w:rsidP="0069202F">
      <w:pPr>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0132EED5"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221DD6">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221DD6" w:rsidRPr="00A37B5E" w14:paraId="4F1F5C0D" w14:textId="77777777" w:rsidTr="00F35996">
        <w:tc>
          <w:tcPr>
            <w:tcW w:w="5000" w:type="pct"/>
            <w:gridSpan w:val="2"/>
            <w:shd w:val="clear" w:color="auto" w:fill="auto"/>
            <w:vAlign w:val="center"/>
            <w:hideMark/>
          </w:tcPr>
          <w:p w14:paraId="05635778" w14:textId="77777777" w:rsidR="00221DD6" w:rsidRPr="00A37B5E" w:rsidRDefault="00221DD6" w:rsidP="00F35996">
            <w:pPr>
              <w:jc w:val="center"/>
              <w:rPr>
                <w:rFonts w:ascii="Calibri" w:hAnsi="Calibri"/>
                <w:b/>
                <w:color w:val="000000"/>
                <w:sz w:val="22"/>
              </w:rPr>
            </w:pPr>
            <w:r w:rsidRPr="00A37B5E">
              <w:rPr>
                <w:rFonts w:ascii="Calibri" w:hAnsi="Calibri"/>
                <w:b/>
                <w:color w:val="000000"/>
                <w:sz w:val="22"/>
              </w:rPr>
              <w:t>Name of campus</w:t>
            </w:r>
          </w:p>
        </w:tc>
      </w:tr>
      <w:tr w:rsidR="00221DD6" w:rsidRPr="00A37B5E" w14:paraId="5008EE9E" w14:textId="77777777" w:rsidTr="00F35996">
        <w:tc>
          <w:tcPr>
            <w:tcW w:w="2574" w:type="pct"/>
            <w:shd w:val="clear" w:color="auto" w:fill="auto"/>
            <w:vAlign w:val="center"/>
          </w:tcPr>
          <w:p w14:paraId="011B472D"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Ultimo</w:t>
            </w:r>
          </w:p>
        </w:tc>
        <w:tc>
          <w:tcPr>
            <w:tcW w:w="2426" w:type="pct"/>
            <w:shd w:val="clear" w:color="auto" w:fill="auto"/>
            <w:vAlign w:val="center"/>
          </w:tcPr>
          <w:p w14:paraId="0E8644C5"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Surry Hills</w:t>
            </w:r>
          </w:p>
        </w:tc>
      </w:tr>
      <w:tr w:rsidR="00221DD6" w:rsidRPr="00A37B5E" w14:paraId="2817F73B" w14:textId="77777777" w:rsidTr="00F35996">
        <w:tc>
          <w:tcPr>
            <w:tcW w:w="2574" w:type="pct"/>
            <w:shd w:val="clear" w:color="auto" w:fill="auto"/>
            <w:vAlign w:val="center"/>
          </w:tcPr>
          <w:p w14:paraId="01B6F975"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Fitzroy</w:t>
            </w:r>
          </w:p>
        </w:tc>
        <w:tc>
          <w:tcPr>
            <w:tcW w:w="2426" w:type="pct"/>
            <w:shd w:val="clear" w:color="auto" w:fill="auto"/>
            <w:vAlign w:val="center"/>
          </w:tcPr>
          <w:p w14:paraId="638CB566"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Melbourne</w:t>
            </w:r>
          </w:p>
        </w:tc>
      </w:tr>
      <w:tr w:rsidR="00221DD6" w:rsidRPr="00A37B5E" w14:paraId="6BC867D1" w14:textId="77777777" w:rsidTr="00F35996">
        <w:tc>
          <w:tcPr>
            <w:tcW w:w="2574" w:type="pct"/>
            <w:shd w:val="clear" w:color="auto" w:fill="auto"/>
            <w:vAlign w:val="center"/>
          </w:tcPr>
          <w:p w14:paraId="3A744F80"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Fortitude Valley</w:t>
            </w:r>
          </w:p>
        </w:tc>
        <w:tc>
          <w:tcPr>
            <w:tcW w:w="2426" w:type="pct"/>
            <w:shd w:val="clear" w:color="auto" w:fill="auto"/>
            <w:vAlign w:val="center"/>
          </w:tcPr>
          <w:p w14:paraId="1B1ABCC4"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Adelaide</w:t>
            </w:r>
          </w:p>
        </w:tc>
      </w:tr>
      <w:tr w:rsidR="00221DD6" w:rsidRPr="00A37B5E" w14:paraId="3ED73DBD" w14:textId="77777777" w:rsidTr="00F35996">
        <w:tc>
          <w:tcPr>
            <w:tcW w:w="2574" w:type="pct"/>
            <w:shd w:val="clear" w:color="auto" w:fill="auto"/>
            <w:vAlign w:val="center"/>
          </w:tcPr>
          <w:p w14:paraId="0243BB1C" w14:textId="77777777" w:rsidR="00221DD6" w:rsidRPr="003477A4" w:rsidRDefault="00221DD6" w:rsidP="00F35996">
            <w:pPr>
              <w:rPr>
                <w:rFonts w:ascii="Calibri" w:hAnsi="Calibri" w:cs="Calibri"/>
                <w:strike/>
                <w:color w:val="000000"/>
                <w:sz w:val="22"/>
                <w:szCs w:val="22"/>
              </w:rPr>
            </w:pPr>
            <w:r w:rsidRPr="003477A4">
              <w:rPr>
                <w:rFonts w:ascii="Calibri" w:hAnsi="Calibri" w:cs="Calibri"/>
                <w:strike/>
                <w:color w:val="000000"/>
                <w:sz w:val="22"/>
                <w:szCs w:val="22"/>
              </w:rPr>
              <w:t>Southport</w:t>
            </w:r>
          </w:p>
        </w:tc>
        <w:tc>
          <w:tcPr>
            <w:tcW w:w="2426" w:type="pct"/>
            <w:shd w:val="clear" w:color="auto" w:fill="auto"/>
            <w:vAlign w:val="center"/>
          </w:tcPr>
          <w:p w14:paraId="7B6DD026"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Leura</w:t>
            </w:r>
          </w:p>
        </w:tc>
      </w:tr>
    </w:tbl>
    <w:p w14:paraId="58F1F1D0" w14:textId="77777777" w:rsidR="00BF3CA3" w:rsidRPr="00BB3C26"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4FC15937" w14:textId="6B2EEDF5" w:rsidR="00BB3C26" w:rsidRPr="00283D3D" w:rsidRDefault="00BB3C26" w:rsidP="00BB3C26">
      <w:pPr>
        <w:pStyle w:val="ListParagraph"/>
        <w:numPr>
          <w:ilvl w:val="0"/>
          <w:numId w:val="1"/>
        </w:numPr>
        <w:rPr>
          <w:rFonts w:ascii="Calibri" w:hAnsi="Calibri" w:cs="Arial"/>
          <w:iCs/>
          <w:sz w:val="22"/>
          <w:szCs w:val="22"/>
        </w:rPr>
      </w:pPr>
      <w:r w:rsidRPr="000C2222">
        <w:rPr>
          <w:rFonts w:ascii="Calibri" w:hAnsi="Calibri" w:cs="Arial"/>
          <w:iCs/>
          <w:sz w:val="22"/>
          <w:szCs w:val="22"/>
        </w:rPr>
        <w:t xml:space="preserve">The </w:t>
      </w:r>
      <w:r w:rsidRPr="00283D3D">
        <w:rPr>
          <w:rFonts w:ascii="Calibri" w:hAnsi="Calibri" w:cs="Arial"/>
          <w:iCs/>
          <w:sz w:val="22"/>
          <w:szCs w:val="22"/>
        </w:rPr>
        <w:t xml:space="preserve">interpretation of ‘Closing a Course’ or ‘Closure’ is set out in </w:t>
      </w:r>
      <w:r w:rsidR="00794125">
        <w:rPr>
          <w:rFonts w:ascii="Calibri" w:hAnsi="Calibri" w:cs="Arial"/>
          <w:iCs/>
          <w:sz w:val="22"/>
          <w:szCs w:val="22"/>
        </w:rPr>
        <w:t>c</w:t>
      </w:r>
      <w:r w:rsidRPr="00283D3D">
        <w:rPr>
          <w:rFonts w:ascii="Calibri" w:hAnsi="Calibri" w:cs="Arial"/>
          <w:iCs/>
          <w:sz w:val="22"/>
          <w:szCs w:val="22"/>
        </w:rPr>
        <w:t>lause 3</w:t>
      </w:r>
      <w:r w:rsidR="00283D3D">
        <w:rPr>
          <w:rFonts w:ascii="Calibri" w:hAnsi="Calibri" w:cs="Arial"/>
          <w:iCs/>
          <w:sz w:val="22"/>
          <w:szCs w:val="22"/>
        </w:rPr>
        <w:t>7</w:t>
      </w:r>
      <w:r w:rsidR="005758E4">
        <w:rPr>
          <w:rFonts w:ascii="Calibri" w:hAnsi="Calibri" w:cs="Arial"/>
          <w:iCs/>
          <w:sz w:val="22"/>
          <w:szCs w:val="22"/>
        </w:rPr>
        <w:t>.</w:t>
      </w:r>
      <w:r w:rsidRPr="00283D3D">
        <w:rPr>
          <w:rFonts w:ascii="Calibri" w:hAnsi="Calibri" w:cs="Arial"/>
          <w:iCs/>
          <w:sz w:val="22"/>
          <w:szCs w:val="22"/>
        </w:rPr>
        <w:t xml:space="preserve"> </w:t>
      </w:r>
    </w:p>
    <w:p w14:paraId="5F897F81" w14:textId="3887FD4B" w:rsidR="00CE2529" w:rsidRPr="00CD725B"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Commonwealth supported places. </w:t>
      </w:r>
      <w:r w:rsidR="00CC7117" w:rsidRPr="000268A4">
        <w:rPr>
          <w:rFonts w:ascii="Calibri" w:hAnsi="Calibri" w:cs="Arial"/>
          <w:sz w:val="22"/>
          <w:szCs w:val="22"/>
        </w:rPr>
        <w:t>The Provider’s notice to the Commonwealth must be in the form included at Appendix 3</w:t>
      </w:r>
      <w:r w:rsidR="00CC7117">
        <w:rPr>
          <w:rFonts w:ascii="Calibri" w:hAnsi="Calibri" w:cs="Arial"/>
          <w:sz w:val="22"/>
          <w:szCs w:val="22"/>
        </w:rPr>
        <w:t>.</w:t>
      </w:r>
    </w:p>
    <w:p w14:paraId="76BAFE1D" w14:textId="007C86A9"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CD725B">
        <w:rPr>
          <w:rFonts w:ascii="Calibri" w:hAnsi="Calibri" w:cs="Arial"/>
          <w:bCs/>
          <w:sz w:val="22"/>
          <w:szCs w:val="22"/>
        </w:rPr>
        <w:t xml:space="preserve">In making a decision to approve a course </w:t>
      </w:r>
      <w:r w:rsidRPr="00221DD6">
        <w:rPr>
          <w:rFonts w:ascii="Calibri" w:hAnsi="Calibri" w:cs="Arial"/>
          <w:bCs/>
          <w:sz w:val="22"/>
          <w:szCs w:val="22"/>
        </w:rPr>
        <w:t>closure under clause 2</w:t>
      </w:r>
      <w:r w:rsidR="00283D3D">
        <w:rPr>
          <w:rFonts w:ascii="Calibri" w:hAnsi="Calibri" w:cs="Arial"/>
          <w:bCs/>
          <w:sz w:val="22"/>
          <w:szCs w:val="22"/>
        </w:rPr>
        <w:t>8</w:t>
      </w:r>
      <w:r w:rsidRPr="00221DD6">
        <w:rPr>
          <w:rFonts w:ascii="Calibri" w:hAnsi="Calibri" w:cs="Arial"/>
          <w:bCs/>
          <w:sz w:val="22"/>
          <w:szCs w:val="22"/>
        </w:rPr>
        <w:t>, the Commonwealth</w:t>
      </w:r>
      <w:r w:rsidRPr="00CD725B">
        <w:rPr>
          <w:rFonts w:ascii="Calibri" w:hAnsi="Calibri" w:cs="Arial"/>
          <w:bCs/>
          <w:sz w:val="22"/>
          <w:szCs w:val="22"/>
        </w:rPr>
        <w:t xml:space="preserve">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seek to reach a mutually agreeable arrangement with the Provider regarding the course closure;</w:t>
      </w:r>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Provider, marked for the attention of the First Assistant Secretary of the Higher </w:t>
      </w:r>
      <w:r w:rsidRPr="00CD725B">
        <w:rPr>
          <w:rFonts w:ascii="Calibri" w:hAnsi="Calibri" w:cs="Arial"/>
          <w:sz w:val="22"/>
          <w:szCs w:val="22"/>
        </w:rPr>
        <w:lastRenderedPageBreak/>
        <w:t>Education Division of the Department of Education or other person as notified in writing by the Commonwealth to the Provider; or</w:t>
      </w: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Commonwealth;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7C124516" w14:textId="11D33C4A"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CANBERRA  ACT  2601</w:t>
      </w:r>
    </w:p>
    <w:p w14:paraId="00007AD1" w14:textId="6253CE17" w:rsidR="007E29F9"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17DB22C9" w14:textId="4CD23CC1" w:rsidR="004F59B5" w:rsidRDefault="004F59B5" w:rsidP="00C23C01">
      <w:pPr>
        <w:pStyle w:val="sub-paraxChar"/>
        <w:keepNext/>
        <w:keepLines/>
        <w:numPr>
          <w:ilvl w:val="0"/>
          <w:numId w:val="0"/>
        </w:numPr>
        <w:ind w:left="851"/>
        <w:rPr>
          <w:rFonts w:ascii="Calibri" w:hAnsi="Calibri" w:cs="Arial"/>
          <w:color w:val="auto"/>
          <w:sz w:val="22"/>
          <w:szCs w:val="22"/>
        </w:rPr>
      </w:pPr>
      <w:r>
        <w:rPr>
          <w:rFonts w:ascii="Calibri" w:hAnsi="Calibri" w:cs="Arial"/>
          <w:color w:val="auto"/>
          <w:sz w:val="22"/>
          <w:szCs w:val="22"/>
        </w:rPr>
        <w:t xml:space="preserve"> </w:t>
      </w:r>
    </w:p>
    <w:p w14:paraId="792401DC"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3D884A87"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055BBBEE"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1D96DA00"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117D8D53"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4DB26355"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52824AA2"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2B127DCD"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27FF306F"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6DD3946B"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1BE58B3A"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32D4A0D1"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4A1FA198"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6AE6EAA6"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12A63B6E"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2BF329CD"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652F118D" w14:textId="77777777" w:rsidR="004F59B5" w:rsidRDefault="004F59B5" w:rsidP="00221DD6">
      <w:pPr>
        <w:pStyle w:val="sub-paraxChar"/>
        <w:keepNext/>
        <w:keepLines/>
        <w:numPr>
          <w:ilvl w:val="0"/>
          <w:numId w:val="0"/>
        </w:numPr>
        <w:ind w:left="851"/>
        <w:rPr>
          <w:rFonts w:ascii="Calibri" w:hAnsi="Calibri" w:cs="Arial"/>
          <w:sz w:val="22"/>
          <w:szCs w:val="22"/>
        </w:rPr>
      </w:pPr>
    </w:p>
    <w:p w14:paraId="64AEA283" w14:textId="77777777" w:rsidR="004F59B5" w:rsidRDefault="004F59B5" w:rsidP="00221DD6">
      <w:pPr>
        <w:pStyle w:val="sub-paraxChar"/>
        <w:keepNext/>
        <w:keepLines/>
        <w:numPr>
          <w:ilvl w:val="0"/>
          <w:numId w:val="0"/>
        </w:numPr>
        <w:ind w:left="851"/>
        <w:rPr>
          <w:rFonts w:ascii="Calibri" w:hAnsi="Calibri" w:cs="Arial"/>
          <w:sz w:val="22"/>
          <w:szCs w:val="22"/>
        </w:rPr>
      </w:pPr>
    </w:p>
    <w:p w14:paraId="2635B156" w14:textId="77777777" w:rsidR="004F59B5" w:rsidRDefault="004F59B5" w:rsidP="00221DD6">
      <w:pPr>
        <w:pStyle w:val="sub-paraxChar"/>
        <w:keepNext/>
        <w:keepLines/>
        <w:numPr>
          <w:ilvl w:val="0"/>
          <w:numId w:val="0"/>
        </w:numPr>
        <w:ind w:left="851"/>
        <w:rPr>
          <w:rFonts w:ascii="Calibri" w:hAnsi="Calibri" w:cs="Arial"/>
          <w:sz w:val="22"/>
          <w:szCs w:val="22"/>
        </w:rPr>
      </w:pPr>
    </w:p>
    <w:p w14:paraId="72F456DB" w14:textId="77777777" w:rsidR="004F59B5" w:rsidRDefault="004F59B5" w:rsidP="00221DD6">
      <w:pPr>
        <w:pStyle w:val="sub-paraxChar"/>
        <w:keepNext/>
        <w:keepLines/>
        <w:numPr>
          <w:ilvl w:val="0"/>
          <w:numId w:val="0"/>
        </w:numPr>
        <w:ind w:left="851"/>
        <w:rPr>
          <w:rFonts w:ascii="Calibri" w:hAnsi="Calibri" w:cs="Arial"/>
          <w:sz w:val="22"/>
          <w:szCs w:val="22"/>
        </w:rPr>
      </w:pPr>
    </w:p>
    <w:p w14:paraId="17E27550" w14:textId="77777777" w:rsidR="004F59B5" w:rsidRDefault="004F59B5" w:rsidP="00221DD6">
      <w:pPr>
        <w:pStyle w:val="sub-paraxChar"/>
        <w:keepNext/>
        <w:keepLines/>
        <w:numPr>
          <w:ilvl w:val="0"/>
          <w:numId w:val="0"/>
        </w:numPr>
        <w:ind w:left="851"/>
        <w:rPr>
          <w:rFonts w:ascii="Calibri" w:hAnsi="Calibri" w:cs="Arial"/>
          <w:sz w:val="22"/>
          <w:szCs w:val="22"/>
        </w:rPr>
      </w:pPr>
    </w:p>
    <w:p w14:paraId="5B1A5946" w14:textId="77777777" w:rsidR="004F59B5" w:rsidRDefault="004F59B5" w:rsidP="00221DD6">
      <w:pPr>
        <w:pStyle w:val="sub-paraxChar"/>
        <w:keepNext/>
        <w:keepLines/>
        <w:numPr>
          <w:ilvl w:val="0"/>
          <w:numId w:val="0"/>
        </w:numPr>
        <w:ind w:left="851"/>
        <w:rPr>
          <w:rFonts w:ascii="Calibri" w:hAnsi="Calibri" w:cs="Arial"/>
          <w:sz w:val="22"/>
          <w:szCs w:val="22"/>
        </w:rPr>
      </w:pPr>
    </w:p>
    <w:p w14:paraId="504A51EA" w14:textId="77777777" w:rsidR="004F59B5" w:rsidRDefault="004F59B5" w:rsidP="00221DD6">
      <w:pPr>
        <w:pStyle w:val="sub-paraxChar"/>
        <w:keepNext/>
        <w:keepLines/>
        <w:numPr>
          <w:ilvl w:val="0"/>
          <w:numId w:val="0"/>
        </w:numPr>
        <w:ind w:left="851"/>
        <w:rPr>
          <w:rFonts w:ascii="Calibri" w:hAnsi="Calibri" w:cs="Arial"/>
          <w:sz w:val="22"/>
          <w:szCs w:val="22"/>
        </w:rPr>
      </w:pPr>
    </w:p>
    <w:p w14:paraId="6E27A0A2" w14:textId="77777777" w:rsidR="004F59B5" w:rsidRDefault="004F59B5" w:rsidP="00221DD6">
      <w:pPr>
        <w:pStyle w:val="sub-paraxChar"/>
        <w:keepNext/>
        <w:keepLines/>
        <w:numPr>
          <w:ilvl w:val="0"/>
          <w:numId w:val="0"/>
        </w:numPr>
        <w:ind w:left="851"/>
        <w:rPr>
          <w:rFonts w:ascii="Calibri" w:hAnsi="Calibri" w:cs="Arial"/>
          <w:sz w:val="22"/>
          <w:szCs w:val="22"/>
        </w:rPr>
      </w:pPr>
    </w:p>
    <w:p w14:paraId="1BD3D31E" w14:textId="77777777" w:rsidR="004F59B5" w:rsidRDefault="004F59B5" w:rsidP="00221DD6">
      <w:pPr>
        <w:pStyle w:val="sub-paraxChar"/>
        <w:keepNext/>
        <w:keepLines/>
        <w:numPr>
          <w:ilvl w:val="0"/>
          <w:numId w:val="0"/>
        </w:numPr>
        <w:ind w:left="851"/>
        <w:rPr>
          <w:rFonts w:ascii="Calibri" w:hAnsi="Calibri" w:cs="Arial"/>
          <w:sz w:val="22"/>
          <w:szCs w:val="22"/>
        </w:rPr>
      </w:pPr>
    </w:p>
    <w:p w14:paraId="29031C59" w14:textId="77777777" w:rsidR="004F59B5" w:rsidRDefault="004F59B5" w:rsidP="00221DD6">
      <w:pPr>
        <w:pStyle w:val="sub-paraxChar"/>
        <w:keepNext/>
        <w:keepLines/>
        <w:numPr>
          <w:ilvl w:val="0"/>
          <w:numId w:val="0"/>
        </w:numPr>
        <w:ind w:left="851"/>
        <w:rPr>
          <w:rFonts w:ascii="Calibri" w:hAnsi="Calibri" w:cs="Arial"/>
          <w:sz w:val="22"/>
          <w:szCs w:val="22"/>
        </w:rPr>
      </w:pPr>
    </w:p>
    <w:p w14:paraId="38FACF6C" w14:textId="77777777" w:rsidR="004F59B5" w:rsidRDefault="004F59B5" w:rsidP="00221DD6">
      <w:pPr>
        <w:pStyle w:val="sub-paraxChar"/>
        <w:keepNext/>
        <w:keepLines/>
        <w:numPr>
          <w:ilvl w:val="0"/>
          <w:numId w:val="0"/>
        </w:numPr>
        <w:ind w:left="851"/>
        <w:rPr>
          <w:rFonts w:ascii="Calibri" w:hAnsi="Calibri" w:cs="Arial"/>
          <w:sz w:val="22"/>
          <w:szCs w:val="22"/>
        </w:rPr>
      </w:pPr>
    </w:p>
    <w:p w14:paraId="1A6710F6" w14:textId="77777777" w:rsidR="004F59B5" w:rsidRDefault="004F59B5" w:rsidP="00221DD6">
      <w:pPr>
        <w:pStyle w:val="sub-paraxChar"/>
        <w:keepNext/>
        <w:keepLines/>
        <w:numPr>
          <w:ilvl w:val="0"/>
          <w:numId w:val="0"/>
        </w:numPr>
        <w:ind w:left="851"/>
        <w:rPr>
          <w:rFonts w:ascii="Calibri" w:hAnsi="Calibri" w:cs="Arial"/>
          <w:sz w:val="22"/>
          <w:szCs w:val="22"/>
        </w:rPr>
      </w:pPr>
    </w:p>
    <w:p w14:paraId="18BA569C" w14:textId="77777777" w:rsidR="004F59B5" w:rsidRDefault="004F59B5" w:rsidP="00221DD6">
      <w:pPr>
        <w:pStyle w:val="sub-paraxChar"/>
        <w:keepNext/>
        <w:keepLines/>
        <w:numPr>
          <w:ilvl w:val="0"/>
          <w:numId w:val="0"/>
        </w:numPr>
        <w:ind w:left="851"/>
        <w:rPr>
          <w:rFonts w:ascii="Calibri" w:hAnsi="Calibri" w:cs="Arial"/>
          <w:sz w:val="22"/>
          <w:szCs w:val="22"/>
        </w:rPr>
      </w:pPr>
    </w:p>
    <w:p w14:paraId="7A0235AD" w14:textId="77777777" w:rsidR="004F59B5" w:rsidRPr="00FD6616" w:rsidRDefault="004F59B5" w:rsidP="00221DD6">
      <w:pPr>
        <w:pStyle w:val="sub-paraxChar"/>
        <w:keepNext/>
        <w:keepLines/>
        <w:numPr>
          <w:ilvl w:val="0"/>
          <w:numId w:val="0"/>
        </w:numPr>
        <w:ind w:left="851"/>
        <w:rPr>
          <w:rFonts w:ascii="Calibri" w:hAnsi="Calibri" w:cs="Arial"/>
          <w:sz w:val="22"/>
          <w:szCs w:val="22"/>
        </w:rPr>
      </w:pPr>
    </w:p>
    <w:p w14:paraId="2E4DB168" w14:textId="77777777" w:rsidR="004F59B5" w:rsidRDefault="004F59B5" w:rsidP="004F59B5">
      <w:pPr>
        <w:pStyle w:val="ListParagraph"/>
        <w:widowControl w:val="0"/>
        <w:tabs>
          <w:tab w:val="left" w:pos="567"/>
          <w:tab w:val="left" w:pos="8222"/>
        </w:tabs>
        <w:spacing w:before="120" w:after="120"/>
        <w:ind w:left="397"/>
        <w:contextualSpacing w:val="0"/>
        <w:rPr>
          <w:rFonts w:ascii="Calibri" w:hAnsi="Calibri" w:cs="Arial"/>
          <w:sz w:val="22"/>
          <w:szCs w:val="22"/>
        </w:rPr>
      </w:pPr>
    </w:p>
    <w:p w14:paraId="62360E23" w14:textId="77777777" w:rsidR="004F59B5" w:rsidRPr="00CD725B" w:rsidRDefault="004F59B5" w:rsidP="004F59B5">
      <w:pPr>
        <w:pStyle w:val="sub-paraxChar"/>
        <w:keepNext/>
        <w:keepLines/>
        <w:numPr>
          <w:ilvl w:val="0"/>
          <w:numId w:val="0"/>
        </w:numPr>
        <w:spacing w:before="120" w:after="120"/>
        <w:ind w:left="1067" w:hanging="641"/>
        <w:rPr>
          <w:rFonts w:ascii="Calibri" w:hAnsi="Calibri" w:cs="Arial"/>
          <w:sz w:val="22"/>
          <w:szCs w:val="22"/>
        </w:rPr>
      </w:pPr>
      <w:r w:rsidRPr="00CD725B">
        <w:rPr>
          <w:rFonts w:ascii="Calibri" w:hAnsi="Calibri" w:cs="Arial"/>
          <w:sz w:val="22"/>
          <w:szCs w:val="22"/>
        </w:rPr>
        <w:lastRenderedPageBreak/>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4EC9482E" w14:textId="77777777" w:rsidR="004F59B5" w:rsidRDefault="004F59B5" w:rsidP="004F59B5">
      <w:pPr>
        <w:pStyle w:val="sub-paraxChar"/>
        <w:keepNext/>
        <w:keepLines/>
        <w:numPr>
          <w:ilvl w:val="0"/>
          <w:numId w:val="0"/>
        </w:numPr>
        <w:ind w:left="851"/>
        <w:rPr>
          <w:rFonts w:ascii="Calibri" w:hAnsi="Calibri" w:cs="Arial"/>
          <w:sz w:val="22"/>
          <w:szCs w:val="22"/>
        </w:rPr>
      </w:pPr>
      <w:r w:rsidRPr="000C7416">
        <w:rPr>
          <w:rFonts w:ascii="Calibri" w:hAnsi="Calibri" w:cs="Arial"/>
          <w:sz w:val="22"/>
          <w:szCs w:val="22"/>
        </w:rPr>
        <w:t>Torrens University Australia Ltd</w:t>
      </w:r>
    </w:p>
    <w:p w14:paraId="1AE2E308" w14:textId="77777777" w:rsidR="004F59B5" w:rsidRPr="00221DD6" w:rsidRDefault="004F59B5" w:rsidP="004F59B5">
      <w:pPr>
        <w:pStyle w:val="sub-paraxChar"/>
        <w:keepNext/>
        <w:keepLines/>
        <w:numPr>
          <w:ilvl w:val="0"/>
          <w:numId w:val="0"/>
        </w:numPr>
        <w:ind w:left="851"/>
        <w:rPr>
          <w:rFonts w:ascii="Calibri" w:hAnsi="Calibri" w:cs="Arial"/>
          <w:sz w:val="22"/>
          <w:szCs w:val="22"/>
        </w:rPr>
      </w:pPr>
      <w:r w:rsidRPr="000C7416">
        <w:rPr>
          <w:rFonts w:ascii="Calibri" w:hAnsi="Calibri" w:cs="Arial"/>
          <w:sz w:val="22"/>
          <w:szCs w:val="22"/>
        </w:rPr>
        <w:t>17-51 Foveaux Street</w:t>
      </w:r>
    </w:p>
    <w:p w14:paraId="0D2C66FA" w14:textId="77777777" w:rsidR="004F59B5" w:rsidRPr="00221DD6" w:rsidRDefault="004F59B5" w:rsidP="004F59B5">
      <w:pPr>
        <w:pStyle w:val="sub-paraxChar"/>
        <w:keepNext/>
        <w:keepLines/>
        <w:numPr>
          <w:ilvl w:val="0"/>
          <w:numId w:val="0"/>
        </w:numPr>
        <w:ind w:left="851"/>
        <w:rPr>
          <w:rFonts w:ascii="Calibri" w:hAnsi="Calibri" w:cs="Arial"/>
          <w:sz w:val="22"/>
          <w:szCs w:val="22"/>
        </w:rPr>
      </w:pPr>
      <w:r w:rsidRPr="000C7416">
        <w:rPr>
          <w:rFonts w:ascii="Calibri" w:hAnsi="Calibri" w:cs="Arial"/>
          <w:sz w:val="22"/>
          <w:szCs w:val="22"/>
        </w:rPr>
        <w:t>Surry Hills NSW 2010</w:t>
      </w:r>
    </w:p>
    <w:p w14:paraId="6FC8B227" w14:textId="71A75815" w:rsidR="004F59B5" w:rsidRPr="004F59B5" w:rsidRDefault="004F59B5" w:rsidP="004F59B5">
      <w:pPr>
        <w:pStyle w:val="sub-paraxChar"/>
        <w:keepNext/>
        <w:keepLines/>
        <w:numPr>
          <w:ilvl w:val="0"/>
          <w:numId w:val="0"/>
        </w:numPr>
        <w:ind w:left="851"/>
        <w:rPr>
          <w:rFonts w:ascii="Calibri" w:hAnsi="Calibri" w:cs="Arial"/>
          <w:sz w:val="22"/>
          <w:szCs w:val="22"/>
        </w:rPr>
      </w:pPr>
      <w:r w:rsidRPr="000C7416">
        <w:rPr>
          <w:rFonts w:ascii="Calibri" w:hAnsi="Calibri" w:cs="Arial"/>
          <w:sz w:val="22"/>
          <w:szCs w:val="22"/>
        </w:rPr>
        <w:t>Email:</w:t>
      </w:r>
      <w:r>
        <w:rPr>
          <w:rFonts w:ascii="Calibri" w:hAnsi="Calibri" w:cs="Arial"/>
          <w:sz w:val="22"/>
          <w:szCs w:val="22"/>
        </w:rPr>
        <w:t xml:space="preserve"> </w:t>
      </w:r>
      <w:hyperlink r:id="rId14" w:history="1">
        <w:r w:rsidRPr="00BA1CE0">
          <w:rPr>
            <w:rStyle w:val="Hyperlink"/>
            <w:rFonts w:ascii="Calibri" w:hAnsi="Calibri" w:cs="Arial"/>
            <w:sz w:val="22"/>
            <w:szCs w:val="22"/>
          </w:rPr>
          <w:t>lbrown@laureate.net.au</w:t>
        </w:r>
      </w:hyperlink>
      <w:r>
        <w:rPr>
          <w:rFonts w:ascii="Calibri" w:hAnsi="Calibri" w:cs="Arial"/>
          <w:sz w:val="22"/>
          <w:szCs w:val="22"/>
        </w:rPr>
        <w:t xml:space="preserve"> </w:t>
      </w:r>
    </w:p>
    <w:p w14:paraId="39AA6F81" w14:textId="34F9D663"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notice given u</w:t>
      </w:r>
      <w:r w:rsidRPr="00221DD6">
        <w:rPr>
          <w:rFonts w:ascii="Calibri" w:hAnsi="Calibri" w:cs="Arial"/>
          <w:sz w:val="22"/>
          <w:szCs w:val="22"/>
        </w:rPr>
        <w:t xml:space="preserve">nder clause </w:t>
      </w:r>
      <w:r w:rsidR="002F196A" w:rsidRPr="00221DD6">
        <w:rPr>
          <w:rFonts w:ascii="Calibri" w:hAnsi="Calibri" w:cs="Arial"/>
          <w:sz w:val="22"/>
          <w:szCs w:val="22"/>
        </w:rPr>
        <w:t>3</w:t>
      </w:r>
      <w:r w:rsidR="00283D3D">
        <w:rPr>
          <w:rFonts w:ascii="Calibri" w:hAnsi="Calibri" w:cs="Arial"/>
          <w:sz w:val="22"/>
          <w:szCs w:val="22"/>
        </w:rPr>
        <w:t>5</w:t>
      </w:r>
      <w:r w:rsidR="004C764C" w:rsidRPr="00221DD6">
        <w:rPr>
          <w:rFonts w:ascii="Calibri" w:hAnsi="Calibri" w:cs="Arial"/>
          <w:sz w:val="22"/>
          <w:szCs w:val="22"/>
        </w:rPr>
        <w:t xml:space="preserve"> </w:t>
      </w:r>
      <w:r w:rsidRPr="00221DD6">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hand delivered, on delivery;</w:t>
      </w:r>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A New Tax System (Australian Business Number) Act 1999</w:t>
      </w:r>
      <w:r w:rsidRPr="00CD725B">
        <w:rPr>
          <w:rFonts w:ascii="Calibri" w:hAnsi="Calibri"/>
          <w:sz w:val="22"/>
          <w:szCs w:val="22"/>
        </w:rPr>
        <w:t>;</w:t>
      </w:r>
    </w:p>
    <w:p w14:paraId="6FCCAF45" w14:textId="77777777" w:rsidR="007E29F9"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means Commonwealth Grant Scheme;</w:t>
      </w:r>
    </w:p>
    <w:p w14:paraId="34C8E27E" w14:textId="5365DEE8" w:rsidR="00283D3D" w:rsidRPr="00CD725B" w:rsidRDefault="00283D3D" w:rsidP="00283D3D">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year;</w:t>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HESA;</w:t>
      </w:r>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r w:rsidR="00B37B4A" w:rsidRPr="00CD725B">
        <w:rPr>
          <w:rFonts w:ascii="Calibri" w:hAnsi="Calibri"/>
          <w:b/>
          <w:sz w:val="22"/>
          <w:szCs w:val="22"/>
          <w:lang w:eastAsia="en-US"/>
        </w:rPr>
        <w:t>c</w:t>
      </w:r>
      <w:r w:rsidRPr="00CD725B">
        <w:rPr>
          <w:rFonts w:ascii="Calibri" w:hAnsi="Calibri"/>
          <w:b/>
          <w:sz w:val="22"/>
          <w:szCs w:val="22"/>
          <w:lang w:eastAsia="en-US"/>
        </w:rPr>
        <w:t>ourse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HESA;</w:t>
      </w:r>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refers to funding allocated to the provider for the purpose of increasing the number of persons from under-represented backgrounds undertaking courses of study in the following areas of study: Education, Nursing, Engineering, Computing, Commerce, and Society and Culture;</w:t>
      </w:r>
    </w:p>
    <w:p w14:paraId="36232AC0" w14:textId="1B950C2C" w:rsidR="003167B1" w:rsidRPr="00CD725B" w:rsidRDefault="003167B1" w:rsidP="004F59B5">
      <w:pPr>
        <w:pStyle w:val="Interpretation"/>
        <w:ind w:left="426"/>
        <w:rPr>
          <w:rFonts w:ascii="Calibri" w:hAnsi="Calibri"/>
          <w:sz w:val="22"/>
          <w:szCs w:val="22"/>
        </w:rPr>
      </w:pPr>
      <w:r w:rsidRPr="5FFDBAB4">
        <w:rPr>
          <w:rFonts w:ascii="Calibri" w:hAnsi="Calibri"/>
          <w:b/>
          <w:bCs/>
          <w:sz w:val="22"/>
          <w:szCs w:val="22"/>
        </w:rPr>
        <w:t xml:space="preserve">‘Equity Plan’ </w:t>
      </w:r>
      <w:r w:rsidR="004F59B5" w:rsidRPr="004F59B5">
        <w:rPr>
          <w:rFonts w:ascii="Calibri" w:hAnsi="Calibri"/>
          <w:sz w:val="22"/>
          <w:szCs w:val="22"/>
        </w:rPr>
        <w:t>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places’;</w:t>
      </w:r>
      <w:r w:rsidR="004F59B5" w:rsidRPr="5FFDBAB4">
        <w:rPr>
          <w:rFonts w:ascii="Calibri" w:hAnsi="Calibri"/>
          <w:sz w:val="22"/>
          <w:szCs w:val="22"/>
        </w:rPr>
        <w:t xml:space="preserve"> </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e</w:t>
      </w:r>
      <w:r w:rsidRPr="00CD725B">
        <w:rPr>
          <w:rFonts w:ascii="Calibri" w:hAnsi="Calibri"/>
          <w:b/>
          <w:sz w:val="22"/>
          <w:szCs w:val="22"/>
        </w:rPr>
        <w:t xml:space="preserve">lectronic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r w:rsidR="0081242A" w:rsidRPr="00CD725B">
        <w:rPr>
          <w:rFonts w:ascii="Calibri" w:hAnsi="Calibri"/>
          <w:b/>
          <w:sz w:val="22"/>
          <w:szCs w:val="22"/>
        </w:rPr>
        <w:t>f</w:t>
      </w:r>
      <w:r w:rsidRPr="00CD725B">
        <w:rPr>
          <w:rFonts w:ascii="Calibri" w:hAnsi="Calibri"/>
          <w:b/>
          <w:sz w:val="22"/>
          <w:szCs w:val="22"/>
        </w:rPr>
        <w:t xml:space="preserve">unding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r w:rsidR="0081242A" w:rsidRPr="00CD725B">
        <w:rPr>
          <w:rFonts w:ascii="Calibri" w:hAnsi="Calibri" w:cs="Arial"/>
          <w:b/>
          <w:sz w:val="22"/>
          <w:szCs w:val="22"/>
        </w:rPr>
        <w:t>g</w:t>
      </w:r>
      <w:r w:rsidRPr="00CD725B">
        <w:rPr>
          <w:rFonts w:ascii="Calibri" w:hAnsi="Calibri" w:cs="Arial"/>
          <w:b/>
          <w:sz w:val="22"/>
          <w:szCs w:val="22"/>
        </w:rPr>
        <w:t xml:space="preserve">rant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Higher Education Support Act 2003</w:t>
      </w:r>
      <w:r w:rsidRPr="00CD725B">
        <w:rPr>
          <w:rFonts w:ascii="Calibri" w:hAnsi="Calibri"/>
          <w:sz w:val="22"/>
          <w:szCs w:val="22"/>
        </w:rPr>
        <w:t>;</w:t>
      </w:r>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m</w:t>
      </w:r>
      <w:r w:rsidRPr="00CD725B">
        <w:rPr>
          <w:rFonts w:ascii="Calibri" w:hAnsi="Calibri"/>
          <w:b/>
          <w:sz w:val="22"/>
          <w:szCs w:val="22"/>
        </w:rPr>
        <w:t xml:space="preserve">aximum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lastRenderedPageBreak/>
        <w:t>‘</w:t>
      </w:r>
      <w:r w:rsidR="00B37B4A" w:rsidRPr="00CD725B">
        <w:rPr>
          <w:rFonts w:ascii="Calibri" w:hAnsi="Calibri" w:cs="Arial"/>
          <w:b/>
          <w:sz w:val="22"/>
          <w:szCs w:val="22"/>
        </w:rPr>
        <w:t>n</w:t>
      </w:r>
      <w:r w:rsidRPr="00CD725B">
        <w:rPr>
          <w:rFonts w:ascii="Calibri" w:hAnsi="Calibri" w:cs="Arial"/>
          <w:b/>
          <w:sz w:val="22"/>
          <w:szCs w:val="22"/>
        </w:rPr>
        <w:t>umber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r w:rsidR="00B37B4A" w:rsidRPr="00CD725B">
        <w:rPr>
          <w:rFonts w:ascii="Calibri" w:hAnsi="Calibri"/>
          <w:b/>
          <w:sz w:val="22"/>
          <w:szCs w:val="22"/>
        </w:rPr>
        <w:t>p</w:t>
      </w:r>
      <w:r w:rsidRPr="00CD725B">
        <w:rPr>
          <w:rFonts w:ascii="Calibri" w:hAnsi="Calibri"/>
          <w:b/>
          <w:sz w:val="22"/>
          <w:szCs w:val="22"/>
        </w:rPr>
        <w:t>ostgraduate course of study’</w:t>
      </w:r>
      <w:r w:rsidRPr="00CD725B">
        <w:rPr>
          <w:rFonts w:ascii="Calibri" w:hAnsi="Calibri"/>
          <w:bCs/>
          <w:sz w:val="22"/>
          <w:szCs w:val="22"/>
        </w:rPr>
        <w:t xml:space="preserve"> has the same meaning as in subclause 1(1) of Schedule 1 of HESA;</w:t>
      </w:r>
    </w:p>
    <w:p w14:paraId="54E0463F" w14:textId="32F9160C" w:rsidR="007E29F9" w:rsidRPr="00CD725B" w:rsidRDefault="007E29F9" w:rsidP="00E35C11">
      <w:pPr>
        <w:spacing w:after="120"/>
        <w:ind w:left="426"/>
      </w:pPr>
      <w:r w:rsidRPr="00CD725B">
        <w:rPr>
          <w:rFonts w:ascii="Calibri" w:hAnsi="Calibri"/>
          <w:b/>
          <w:bCs/>
          <w:sz w:val="22"/>
          <w:szCs w:val="22"/>
        </w:rPr>
        <w:t>‘</w:t>
      </w:r>
      <w:r w:rsidR="00B37B4A" w:rsidRPr="00CD725B">
        <w:rPr>
          <w:rFonts w:ascii="Calibri" w:hAnsi="Calibri"/>
          <w:b/>
          <w:bCs/>
          <w:sz w:val="22"/>
          <w:szCs w:val="22"/>
        </w:rPr>
        <w:t>u</w:t>
      </w:r>
      <w:r w:rsidRPr="00CD725B">
        <w:rPr>
          <w:rFonts w:ascii="Calibri" w:hAnsi="Calibri"/>
          <w:b/>
          <w:bCs/>
          <w:sz w:val="22"/>
          <w:szCs w:val="22"/>
        </w:rPr>
        <w:t>ndergraduate course of study’</w:t>
      </w:r>
      <w:r w:rsidRPr="00CD725B">
        <w:rPr>
          <w:rFonts w:ascii="Calibri" w:hAnsi="Calibri"/>
          <w:sz w:val="22"/>
          <w:szCs w:val="22"/>
        </w:rPr>
        <w:t xml:space="preserve"> has the same meaning as in subclause 1(1) of Schedule 1 of HESA</w:t>
      </w:r>
      <w:r w:rsidRPr="00CD725B">
        <w:t>.</w:t>
      </w: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words in the singular include the plural and vice versa;</w:t>
      </w:r>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all references to dollars are to Australian dollars;</w:t>
      </w:r>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unless stated otherwise, a reference to legislation is to legislation of the Commonwealth, as amended from time to time;</w:t>
      </w:r>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D60B4F" w:rsidRPr="00CD725B" w14:paraId="65750B89" w14:textId="77777777" w:rsidTr="00D60B4F">
        <w:trPr>
          <w:trHeight w:val="1845"/>
        </w:trPr>
        <w:tc>
          <w:tcPr>
            <w:tcW w:w="4555" w:type="dxa"/>
          </w:tcPr>
          <w:p w14:paraId="6D6986F4" w14:textId="77777777" w:rsidR="00D60B4F" w:rsidRDefault="00D60B4F" w:rsidP="00D60B4F">
            <w:pPr>
              <w:rPr>
                <w:rFonts w:ascii="Calibri" w:hAnsi="Calibri" w:cs="Arial"/>
              </w:rPr>
            </w:pPr>
            <w:bookmarkStart w:id="4" w:name="_Hlk120192239"/>
            <w:r>
              <w:rPr>
                <w:rFonts w:ascii="Calibri" w:hAnsi="Calibri" w:cs="Arial"/>
              </w:rPr>
              <w:lastRenderedPageBreak/>
              <w:t>SIGNED for and on behalf of</w:t>
            </w:r>
          </w:p>
          <w:p w14:paraId="046B2825" w14:textId="77777777" w:rsidR="00D60B4F" w:rsidRDefault="00D60B4F" w:rsidP="00D60B4F">
            <w:pPr>
              <w:rPr>
                <w:rFonts w:ascii="Calibri" w:hAnsi="Calibri" w:cs="Arial"/>
              </w:rPr>
            </w:pPr>
          </w:p>
          <w:p w14:paraId="1DEFBD54" w14:textId="77777777" w:rsidR="00D60B4F" w:rsidRDefault="00D60B4F" w:rsidP="00D60B4F">
            <w:pPr>
              <w:rPr>
                <w:rFonts w:ascii="Calibri" w:hAnsi="Calibri" w:cs="Arial"/>
              </w:rPr>
            </w:pPr>
            <w:r>
              <w:rPr>
                <w:rFonts w:ascii="Calibri" w:hAnsi="Calibri" w:cs="Arial"/>
              </w:rPr>
              <w:t>THE COMMONWEALTH OF AUSTRALIA</w:t>
            </w:r>
          </w:p>
          <w:p w14:paraId="113F079A" w14:textId="77777777" w:rsidR="00D60B4F" w:rsidRDefault="00D60B4F" w:rsidP="00D60B4F">
            <w:pPr>
              <w:rPr>
                <w:rFonts w:ascii="Calibri" w:hAnsi="Calibri" w:cs="Arial"/>
              </w:rPr>
            </w:pPr>
          </w:p>
          <w:p w14:paraId="3A134862" w14:textId="77777777" w:rsidR="00D60B4F" w:rsidRDefault="00D60B4F" w:rsidP="00D60B4F">
            <w:pPr>
              <w:rPr>
                <w:rFonts w:ascii="Calibri" w:hAnsi="Calibri" w:cs="Arial"/>
                <w:sz w:val="22"/>
                <w:szCs w:val="22"/>
              </w:rPr>
            </w:pPr>
            <w:r>
              <w:rPr>
                <w:rFonts w:ascii="Calibri" w:hAnsi="Calibri" w:cs="Arial"/>
                <w:sz w:val="22"/>
                <w:szCs w:val="22"/>
              </w:rPr>
              <w:t>by</w:t>
            </w:r>
          </w:p>
          <w:p w14:paraId="10CC9C3D" w14:textId="44114766" w:rsidR="00D60B4F" w:rsidRPr="0020375B" w:rsidRDefault="00A9534D" w:rsidP="00D60B4F">
            <w:pPr>
              <w:rPr>
                <w:rFonts w:ascii="Calibri" w:hAnsi="Calibri" w:cs="Arial"/>
                <w:sz w:val="22"/>
                <w:szCs w:val="22"/>
              </w:rPr>
            </w:pPr>
            <w:r w:rsidRPr="0020375B">
              <w:rPr>
                <w:rFonts w:ascii="Calibri" w:hAnsi="Calibri" w:cs="Arial"/>
                <w:sz w:val="22"/>
                <w:szCs w:val="22"/>
              </w:rPr>
              <w:t xml:space="preserve">       </w:t>
            </w:r>
            <w:r w:rsidR="0020375B" w:rsidRPr="0020375B">
              <w:rPr>
                <w:rFonts w:ascii="Calibri" w:hAnsi="Calibri" w:cs="Arial"/>
                <w:sz w:val="22"/>
                <w:szCs w:val="22"/>
              </w:rPr>
              <w:t xml:space="preserve"> </w:t>
            </w:r>
            <w:r w:rsidR="0020375B">
              <w:rPr>
                <w:rFonts w:ascii="Calibri" w:hAnsi="Calibri" w:cs="Arial"/>
                <w:sz w:val="22"/>
                <w:szCs w:val="22"/>
              </w:rPr>
              <w:t xml:space="preserve"> </w:t>
            </w:r>
            <w:r w:rsidR="0020375B" w:rsidRPr="0020375B">
              <w:rPr>
                <w:rFonts w:ascii="Calibri" w:hAnsi="Calibri" w:cs="Arial"/>
                <w:sz w:val="22"/>
                <w:szCs w:val="22"/>
              </w:rPr>
              <w:t xml:space="preserve"> Brett Nordstrom</w:t>
            </w:r>
          </w:p>
          <w:p w14:paraId="14929253" w14:textId="77777777" w:rsidR="00D60B4F" w:rsidRDefault="00B51E41" w:rsidP="00D60B4F">
            <w:pPr>
              <w:divId w:val="629676106"/>
              <w:rPr>
                <w:rFonts w:ascii="Calibri" w:hAnsi="Calibri" w:cs="Arial"/>
                <w:sz w:val="22"/>
                <w:szCs w:val="22"/>
              </w:rPr>
            </w:pPr>
            <w:r>
              <w:rPr>
                <w:rFonts w:ascii="Calibri" w:hAnsi="Calibri" w:cs="Arial"/>
                <w:sz w:val="22"/>
                <w:szCs w:val="22"/>
              </w:rPr>
              <w:pict w14:anchorId="0FB9FE9D">
                <v:rect id="_x0000_i1025" style="width:234pt;height:.5pt" o:hrpct="500" o:hrstd="t" o:hrnoshade="t" o:hr="t" fillcolor="black [3213]" stroked="f"/>
              </w:pict>
            </w:r>
          </w:p>
          <w:p w14:paraId="1A8883ED" w14:textId="1B89C792" w:rsidR="00D60B4F" w:rsidRPr="00CD725B" w:rsidRDefault="00D60B4F" w:rsidP="00D60B4F"/>
        </w:tc>
        <w:tc>
          <w:tcPr>
            <w:tcW w:w="4471" w:type="dxa"/>
          </w:tcPr>
          <w:p w14:paraId="5DA78D86" w14:textId="77777777" w:rsidR="00D60B4F" w:rsidRDefault="00D60B4F" w:rsidP="00D60B4F">
            <w:pPr>
              <w:rPr>
                <w:rFonts w:ascii="Calibri" w:hAnsi="Calibri" w:cs="Arial"/>
              </w:rPr>
            </w:pPr>
            <w:r>
              <w:rPr>
                <w:rFonts w:ascii="Calibri" w:hAnsi="Calibri" w:cs="Arial"/>
              </w:rPr>
              <w:t>In the presence of:</w:t>
            </w:r>
          </w:p>
          <w:p w14:paraId="7FED4017" w14:textId="77777777" w:rsidR="00D60B4F" w:rsidRDefault="00D60B4F" w:rsidP="00D60B4F">
            <w:pPr>
              <w:rPr>
                <w:rFonts w:ascii="Calibri" w:hAnsi="Calibri" w:cs="Arial"/>
              </w:rPr>
            </w:pPr>
          </w:p>
          <w:p w14:paraId="4BC0C092" w14:textId="77777777" w:rsidR="00D60B4F" w:rsidRDefault="00D60B4F" w:rsidP="00D60B4F">
            <w:pPr>
              <w:rPr>
                <w:rFonts w:ascii="Calibri" w:hAnsi="Calibri" w:cs="Arial"/>
              </w:rPr>
            </w:pPr>
          </w:p>
          <w:p w14:paraId="3CA87196" w14:textId="77777777" w:rsidR="00D60B4F" w:rsidRDefault="00D60B4F" w:rsidP="00D60B4F">
            <w:pPr>
              <w:rPr>
                <w:rFonts w:ascii="Calibri" w:hAnsi="Calibri" w:cs="Arial"/>
              </w:rPr>
            </w:pPr>
          </w:p>
          <w:p w14:paraId="251A6B73" w14:textId="77777777" w:rsidR="00D60B4F" w:rsidRDefault="00D60B4F" w:rsidP="00D60B4F">
            <w:pPr>
              <w:rPr>
                <w:rFonts w:ascii="Calibri" w:hAnsi="Calibri" w:cs="Arial"/>
              </w:rPr>
            </w:pPr>
          </w:p>
          <w:p w14:paraId="0198DA19" w14:textId="2F7DEAA1" w:rsidR="00D60B4F" w:rsidRPr="00A9534D" w:rsidRDefault="0020375B" w:rsidP="00D60B4F">
            <w:pPr>
              <w:rPr>
                <w:rFonts w:ascii="Calibri" w:hAnsi="Calibri" w:cs="Arial"/>
                <w:sz w:val="22"/>
                <w:szCs w:val="22"/>
              </w:rPr>
            </w:pPr>
            <w:r>
              <w:rPr>
                <w:rFonts w:ascii="Calibri" w:hAnsi="Calibri" w:cs="Arial"/>
                <w:sz w:val="22"/>
                <w:szCs w:val="22"/>
              </w:rPr>
              <w:t>James Braid</w:t>
            </w:r>
          </w:p>
          <w:p w14:paraId="5FF390DA" w14:textId="77777777" w:rsidR="00D60B4F" w:rsidRDefault="00B51E41" w:rsidP="00D60B4F">
            <w:pPr>
              <w:divId w:val="1808082344"/>
              <w:rPr>
                <w:rFonts w:ascii="Calibri" w:hAnsi="Calibri" w:cs="Arial"/>
              </w:rPr>
            </w:pPr>
            <w:r>
              <w:rPr>
                <w:rFonts w:ascii="Calibri" w:hAnsi="Calibri" w:cs="Arial"/>
              </w:rPr>
              <w:pict w14:anchorId="7B93516C">
                <v:rect id="_x0000_i1026" style="width:234pt;height:.5pt" o:hrpct="500" o:hrstd="t" o:hrnoshade="t" o:hr="t" fillcolor="black [3213]" stroked="f"/>
              </w:pict>
            </w:r>
          </w:p>
          <w:p w14:paraId="35D2723B" w14:textId="56043C8A" w:rsidR="00D60B4F" w:rsidRPr="00CD725B" w:rsidRDefault="00D60B4F" w:rsidP="00D60B4F">
            <w:pPr>
              <w:rPr>
                <w:rFonts w:ascii="Calibri" w:hAnsi="Calibri" w:cs="Arial"/>
                <w:sz w:val="22"/>
              </w:rPr>
            </w:pPr>
          </w:p>
        </w:tc>
      </w:tr>
      <w:tr w:rsidR="00D60B4F" w:rsidRPr="00CD725B" w14:paraId="0CB27A06" w14:textId="77777777" w:rsidTr="00D60B4F">
        <w:trPr>
          <w:trHeight w:val="1120"/>
        </w:trPr>
        <w:tc>
          <w:tcPr>
            <w:tcW w:w="4555" w:type="dxa"/>
          </w:tcPr>
          <w:p w14:paraId="02AD9148" w14:textId="77777777" w:rsidR="00D60B4F" w:rsidRDefault="00D60B4F" w:rsidP="00D60B4F">
            <w:pPr>
              <w:rPr>
                <w:rFonts w:ascii="Calibri" w:hAnsi="Calibri" w:cs="Arial"/>
                <w:sz w:val="22"/>
                <w:szCs w:val="22"/>
              </w:rPr>
            </w:pPr>
            <w:r>
              <w:rPr>
                <w:rFonts w:ascii="Calibri" w:hAnsi="Calibri" w:cs="Arial"/>
                <w:sz w:val="22"/>
                <w:szCs w:val="22"/>
              </w:rPr>
              <w:t>Full name (please print)</w:t>
            </w:r>
          </w:p>
          <w:p w14:paraId="57AB37AB" w14:textId="77777777" w:rsidR="00D60B4F" w:rsidRDefault="00D60B4F" w:rsidP="00D60B4F">
            <w:pPr>
              <w:rPr>
                <w:rFonts w:ascii="Calibri" w:hAnsi="Calibri" w:cs="Arial"/>
                <w:sz w:val="22"/>
                <w:szCs w:val="22"/>
              </w:rPr>
            </w:pPr>
          </w:p>
          <w:p w14:paraId="462123C8" w14:textId="4A34DEC0" w:rsidR="0020375B" w:rsidRDefault="0020375B" w:rsidP="00D60B4F">
            <w:pPr>
              <w:divId w:val="512767125"/>
              <w:rPr>
                <w:rFonts w:ascii="Calibri" w:hAnsi="Calibri" w:cs="Arial"/>
                <w:sz w:val="22"/>
                <w:szCs w:val="22"/>
              </w:rPr>
            </w:pPr>
            <w:r>
              <w:rPr>
                <w:rFonts w:ascii="Calibri" w:hAnsi="Calibri" w:cs="Arial"/>
                <w:sz w:val="22"/>
                <w:szCs w:val="22"/>
              </w:rPr>
              <w:t>Acting First Assistant Secretary, Higher Education</w:t>
            </w:r>
          </w:p>
          <w:p w14:paraId="766CB00B" w14:textId="0C9EE0C2" w:rsidR="00D60B4F" w:rsidRDefault="00B51E41" w:rsidP="00D60B4F">
            <w:pPr>
              <w:divId w:val="512767125"/>
              <w:rPr>
                <w:rFonts w:ascii="Calibri" w:hAnsi="Calibri" w:cs="Arial"/>
                <w:sz w:val="22"/>
                <w:szCs w:val="22"/>
              </w:rPr>
            </w:pPr>
            <w:r>
              <w:rPr>
                <w:rFonts w:ascii="Calibri" w:hAnsi="Calibri" w:cs="Arial"/>
                <w:sz w:val="22"/>
                <w:szCs w:val="22"/>
              </w:rPr>
              <w:pict w14:anchorId="53F8965F">
                <v:rect id="_x0000_i1027" style="width:234pt;height:.5pt" o:hrpct="500" o:hrstd="t" o:hrnoshade="t" o:hr="t" fillcolor="black [3213]" stroked="f"/>
              </w:pict>
            </w:r>
          </w:p>
          <w:p w14:paraId="3EB8115C" w14:textId="1E08D5A3" w:rsidR="00D60B4F" w:rsidRPr="00CD725B" w:rsidRDefault="00D60B4F" w:rsidP="00D60B4F">
            <w:pPr>
              <w:rPr>
                <w:rFonts w:ascii="Calibri" w:hAnsi="Calibri" w:cs="Arial"/>
                <w:sz w:val="22"/>
                <w:szCs w:val="22"/>
              </w:rPr>
            </w:pPr>
          </w:p>
        </w:tc>
        <w:tc>
          <w:tcPr>
            <w:tcW w:w="4471" w:type="dxa"/>
          </w:tcPr>
          <w:p w14:paraId="0045ECD3" w14:textId="77777777" w:rsidR="00D60B4F" w:rsidRDefault="00D60B4F" w:rsidP="00D60B4F">
            <w:pPr>
              <w:rPr>
                <w:rFonts w:ascii="Calibri" w:hAnsi="Calibri" w:cs="Arial"/>
                <w:sz w:val="22"/>
                <w:szCs w:val="22"/>
              </w:rPr>
            </w:pPr>
            <w:r>
              <w:rPr>
                <w:rFonts w:ascii="Calibri" w:hAnsi="Calibri" w:cs="Arial"/>
                <w:sz w:val="22"/>
                <w:szCs w:val="22"/>
              </w:rPr>
              <w:t>Witness (please print)</w:t>
            </w:r>
          </w:p>
          <w:p w14:paraId="159B1D1E" w14:textId="77777777" w:rsidR="00D60B4F" w:rsidRDefault="00D60B4F" w:rsidP="00D60B4F">
            <w:pPr>
              <w:rPr>
                <w:rFonts w:ascii="Calibri" w:hAnsi="Calibri" w:cs="Arial"/>
                <w:sz w:val="22"/>
                <w:szCs w:val="22"/>
              </w:rPr>
            </w:pPr>
          </w:p>
          <w:p w14:paraId="75F27E9F" w14:textId="77777777" w:rsidR="0020375B" w:rsidRDefault="0020375B" w:rsidP="00D60B4F">
            <w:pPr>
              <w:divId w:val="1550260658"/>
              <w:rPr>
                <w:rFonts w:ascii="Calibri" w:hAnsi="Calibri" w:cs="Arial"/>
                <w:sz w:val="22"/>
                <w:szCs w:val="22"/>
              </w:rPr>
            </w:pPr>
          </w:p>
          <w:p w14:paraId="129836CD" w14:textId="234960DD" w:rsidR="0020375B" w:rsidRDefault="0020375B" w:rsidP="00D60B4F">
            <w:pPr>
              <w:divId w:val="1550260658"/>
              <w:rPr>
                <w:rFonts w:ascii="Calibri" w:hAnsi="Calibri" w:cs="Arial"/>
                <w:sz w:val="22"/>
                <w:szCs w:val="22"/>
              </w:rPr>
            </w:pPr>
            <w:r>
              <w:rPr>
                <w:rFonts w:ascii="Calibri" w:hAnsi="Calibri" w:cs="Arial"/>
                <w:sz w:val="22"/>
                <w:szCs w:val="22"/>
              </w:rPr>
              <w:t>Assistant Director, CGS Policy</w:t>
            </w:r>
          </w:p>
          <w:p w14:paraId="1CA2CA49" w14:textId="69523A6C" w:rsidR="00D60B4F" w:rsidRDefault="00B51E41" w:rsidP="00D60B4F">
            <w:pPr>
              <w:divId w:val="1550260658"/>
              <w:rPr>
                <w:rFonts w:ascii="Calibri" w:hAnsi="Calibri" w:cs="Arial"/>
                <w:sz w:val="22"/>
                <w:szCs w:val="22"/>
              </w:rPr>
            </w:pPr>
            <w:r>
              <w:rPr>
                <w:rFonts w:ascii="Calibri" w:hAnsi="Calibri" w:cs="Arial"/>
                <w:sz w:val="22"/>
                <w:szCs w:val="22"/>
              </w:rPr>
              <w:pict w14:anchorId="263CA9AC">
                <v:rect id="_x0000_i1028" style="width:234pt;height:.5pt" o:hrpct="500" o:hrstd="t" o:hrnoshade="t" o:hr="t" fillcolor="black [3213]" stroked="f"/>
              </w:pict>
            </w:r>
          </w:p>
          <w:p w14:paraId="04D579E8" w14:textId="42AA9C58" w:rsidR="00D60B4F" w:rsidRPr="00CD725B" w:rsidRDefault="00D60B4F" w:rsidP="00D60B4F">
            <w:pPr>
              <w:rPr>
                <w:rFonts w:ascii="Calibri" w:hAnsi="Calibri" w:cs="Arial"/>
                <w:sz w:val="22"/>
                <w:szCs w:val="22"/>
              </w:rPr>
            </w:pPr>
          </w:p>
        </w:tc>
      </w:tr>
      <w:tr w:rsidR="00D60B4F" w:rsidRPr="00CD725B" w14:paraId="1646F1F9" w14:textId="77777777" w:rsidTr="00107236">
        <w:trPr>
          <w:trHeight w:hRule="exact" w:val="2098"/>
        </w:trPr>
        <w:tc>
          <w:tcPr>
            <w:tcW w:w="4555" w:type="dxa"/>
          </w:tcPr>
          <w:p w14:paraId="3B953833" w14:textId="77777777" w:rsidR="00D60B4F" w:rsidRDefault="00D60B4F" w:rsidP="00D60B4F">
            <w:pPr>
              <w:rPr>
                <w:rFonts w:ascii="Calibri" w:hAnsi="Calibri" w:cs="Arial"/>
                <w:sz w:val="22"/>
                <w:szCs w:val="22"/>
              </w:rPr>
            </w:pPr>
            <w:r>
              <w:rPr>
                <w:rFonts w:ascii="Calibri" w:hAnsi="Calibri" w:cs="Arial"/>
                <w:sz w:val="22"/>
                <w:szCs w:val="22"/>
              </w:rPr>
              <w:t>Position (please print)</w:t>
            </w:r>
          </w:p>
          <w:p w14:paraId="6699BD6A" w14:textId="77777777" w:rsidR="00D60B4F" w:rsidRDefault="00D60B4F" w:rsidP="00D60B4F">
            <w:pPr>
              <w:rPr>
                <w:rFonts w:ascii="Calibri" w:hAnsi="Calibri" w:cs="Arial"/>
                <w:sz w:val="22"/>
                <w:szCs w:val="22"/>
              </w:rPr>
            </w:pPr>
          </w:p>
          <w:p w14:paraId="330470E3" w14:textId="77777777" w:rsidR="00D60B4F" w:rsidRDefault="00D60B4F" w:rsidP="00D60B4F">
            <w:pPr>
              <w:rPr>
                <w:rFonts w:ascii="Calibri" w:hAnsi="Calibri" w:cs="Arial"/>
                <w:sz w:val="22"/>
                <w:szCs w:val="22"/>
              </w:rPr>
            </w:pPr>
            <w:r>
              <w:rPr>
                <w:rFonts w:ascii="Calibri" w:hAnsi="Calibri" w:cs="Arial"/>
                <w:sz w:val="22"/>
                <w:szCs w:val="22"/>
              </w:rPr>
              <w:t>of the Department of Education as delegate of the Minister for Education.</w:t>
            </w:r>
          </w:p>
          <w:p w14:paraId="4C6B8516" w14:textId="77777777" w:rsidR="00D60B4F" w:rsidRDefault="00D60B4F" w:rsidP="00D60B4F">
            <w:pPr>
              <w:rPr>
                <w:rFonts w:ascii="Calibri" w:hAnsi="Calibri" w:cs="Arial"/>
                <w:sz w:val="22"/>
                <w:szCs w:val="22"/>
              </w:rPr>
            </w:pPr>
          </w:p>
          <w:p w14:paraId="53DD87EA" w14:textId="77777777" w:rsidR="00D60B4F" w:rsidRDefault="00D60B4F" w:rsidP="00D60B4F">
            <w:pPr>
              <w:rPr>
                <w:rFonts w:ascii="Calibri" w:hAnsi="Calibri" w:cs="Arial"/>
                <w:sz w:val="22"/>
                <w:szCs w:val="22"/>
              </w:rPr>
            </w:pPr>
          </w:p>
          <w:p w14:paraId="74B3FD90" w14:textId="16A43C43" w:rsidR="00D60B4F" w:rsidRDefault="00D60B4F" w:rsidP="00D60B4F">
            <w:pPr>
              <w:rPr>
                <w:rFonts w:ascii="Calibri" w:hAnsi="Calibri" w:cs="Arial"/>
                <w:sz w:val="22"/>
                <w:szCs w:val="22"/>
              </w:rPr>
            </w:pPr>
          </w:p>
          <w:p w14:paraId="38136A2F" w14:textId="77777777" w:rsidR="00D60B4F" w:rsidRDefault="00B51E41" w:rsidP="00D60B4F">
            <w:pPr>
              <w:divId w:val="1525246285"/>
              <w:rPr>
                <w:rFonts w:ascii="Calibri" w:hAnsi="Calibri" w:cs="Arial"/>
                <w:sz w:val="22"/>
                <w:szCs w:val="22"/>
              </w:rPr>
            </w:pPr>
            <w:r>
              <w:rPr>
                <w:rFonts w:ascii="Calibri" w:hAnsi="Calibri" w:cs="Arial"/>
                <w:sz w:val="22"/>
                <w:szCs w:val="22"/>
              </w:rPr>
              <w:pict w14:anchorId="5A20E8F0">
                <v:rect id="_x0000_i1029" style="width:234pt;height:.5pt" o:hrpct="500" o:hrstd="t" o:hrnoshade="t" o:hr="t" fillcolor="black [3213]" stroked="f"/>
              </w:pict>
            </w:r>
          </w:p>
          <w:p w14:paraId="4CF986B5" w14:textId="2C372205" w:rsidR="00D60B4F" w:rsidRPr="00CD725B" w:rsidRDefault="00D60B4F" w:rsidP="00D60B4F">
            <w:pPr>
              <w:rPr>
                <w:rFonts w:ascii="Calibri" w:hAnsi="Calibri" w:cs="Arial"/>
                <w:sz w:val="22"/>
                <w:szCs w:val="22"/>
              </w:rPr>
            </w:pPr>
          </w:p>
        </w:tc>
        <w:tc>
          <w:tcPr>
            <w:tcW w:w="4471" w:type="dxa"/>
          </w:tcPr>
          <w:p w14:paraId="67C764C1" w14:textId="77777777" w:rsidR="00D60B4F" w:rsidRDefault="00D60B4F" w:rsidP="00D60B4F">
            <w:pPr>
              <w:rPr>
                <w:rFonts w:ascii="Calibri" w:hAnsi="Calibri" w:cs="Arial"/>
                <w:sz w:val="22"/>
                <w:szCs w:val="22"/>
              </w:rPr>
            </w:pPr>
            <w:r>
              <w:rPr>
                <w:rFonts w:ascii="Calibri" w:hAnsi="Calibri" w:cs="Arial"/>
                <w:sz w:val="22"/>
                <w:szCs w:val="22"/>
              </w:rPr>
              <w:t>Position or profession of witness (please print)</w:t>
            </w:r>
          </w:p>
          <w:p w14:paraId="67712677" w14:textId="77777777" w:rsidR="00D60B4F" w:rsidRDefault="00D60B4F" w:rsidP="00D60B4F">
            <w:pPr>
              <w:rPr>
                <w:rFonts w:ascii="Calibri" w:hAnsi="Calibri" w:cs="Arial"/>
                <w:sz w:val="22"/>
                <w:szCs w:val="22"/>
              </w:rPr>
            </w:pPr>
          </w:p>
          <w:p w14:paraId="7ADD81B6" w14:textId="77777777" w:rsidR="00D60B4F" w:rsidRDefault="00D60B4F" w:rsidP="00D60B4F">
            <w:pPr>
              <w:rPr>
                <w:rFonts w:ascii="Calibri" w:hAnsi="Calibri" w:cs="Arial"/>
                <w:sz w:val="22"/>
                <w:szCs w:val="22"/>
              </w:rPr>
            </w:pPr>
          </w:p>
          <w:p w14:paraId="1EC62532" w14:textId="77777777" w:rsidR="00D60B4F" w:rsidRDefault="00D60B4F" w:rsidP="00D60B4F">
            <w:pPr>
              <w:rPr>
                <w:rFonts w:ascii="Calibri" w:hAnsi="Calibri" w:cs="Arial"/>
                <w:sz w:val="22"/>
                <w:szCs w:val="22"/>
              </w:rPr>
            </w:pPr>
          </w:p>
          <w:p w14:paraId="328DAF3B" w14:textId="77777777" w:rsidR="00D60B4F" w:rsidRDefault="00D60B4F" w:rsidP="00D60B4F">
            <w:pPr>
              <w:rPr>
                <w:rFonts w:ascii="Calibri" w:hAnsi="Calibri" w:cs="Arial"/>
                <w:sz w:val="22"/>
                <w:szCs w:val="22"/>
              </w:rPr>
            </w:pPr>
          </w:p>
          <w:p w14:paraId="00882987" w14:textId="77777777" w:rsidR="00D60B4F" w:rsidRDefault="00D60B4F" w:rsidP="00D60B4F">
            <w:pPr>
              <w:rPr>
                <w:rFonts w:ascii="Calibri" w:hAnsi="Calibri" w:cs="Arial"/>
                <w:sz w:val="22"/>
                <w:szCs w:val="22"/>
              </w:rPr>
            </w:pPr>
          </w:p>
          <w:p w14:paraId="02ADD146" w14:textId="35A8919C" w:rsidR="00D60B4F" w:rsidRDefault="00D60B4F" w:rsidP="00D60B4F">
            <w:pPr>
              <w:rPr>
                <w:rFonts w:ascii="Calibri" w:hAnsi="Calibri" w:cs="Arial"/>
                <w:sz w:val="22"/>
                <w:szCs w:val="22"/>
              </w:rPr>
            </w:pPr>
          </w:p>
          <w:p w14:paraId="61422ADE" w14:textId="77777777" w:rsidR="00D60B4F" w:rsidRDefault="00B51E41" w:rsidP="00D60B4F">
            <w:pPr>
              <w:divId w:val="1589927722"/>
              <w:rPr>
                <w:rFonts w:ascii="Calibri" w:hAnsi="Calibri" w:cs="Arial"/>
                <w:sz w:val="22"/>
                <w:szCs w:val="22"/>
              </w:rPr>
            </w:pPr>
            <w:r>
              <w:rPr>
                <w:rFonts w:ascii="Calibri" w:hAnsi="Calibri" w:cs="Arial"/>
                <w:sz w:val="22"/>
                <w:szCs w:val="22"/>
              </w:rPr>
              <w:pict w14:anchorId="5754B598">
                <v:rect id="_x0000_i1030" style="width:234pt;height:.5pt" o:hrpct="500" o:hrstd="t" o:hrnoshade="t" o:hr="t" fillcolor="black [3213]" stroked="f"/>
              </w:pict>
            </w:r>
          </w:p>
          <w:p w14:paraId="7A728435" w14:textId="5BDD6411" w:rsidR="00D60B4F" w:rsidRPr="00CD725B" w:rsidRDefault="00D60B4F" w:rsidP="00D60B4F">
            <w:pPr>
              <w:rPr>
                <w:rFonts w:ascii="Calibri" w:hAnsi="Calibri" w:cs="Arial"/>
                <w:sz w:val="22"/>
                <w:szCs w:val="22"/>
              </w:rPr>
            </w:pPr>
          </w:p>
        </w:tc>
      </w:tr>
      <w:tr w:rsidR="00D60B4F" w:rsidRPr="00CD725B" w14:paraId="404D6047" w14:textId="77777777" w:rsidTr="00107236">
        <w:trPr>
          <w:trHeight w:hRule="exact" w:val="1361"/>
        </w:trPr>
        <w:tc>
          <w:tcPr>
            <w:tcW w:w="4555" w:type="dxa"/>
          </w:tcPr>
          <w:p w14:paraId="4066BA11" w14:textId="77777777" w:rsidR="00D60B4F" w:rsidRDefault="00D60B4F" w:rsidP="00D60B4F">
            <w:pPr>
              <w:rPr>
                <w:rFonts w:ascii="Calibri" w:hAnsi="Calibri" w:cs="Arial"/>
                <w:sz w:val="22"/>
                <w:szCs w:val="22"/>
              </w:rPr>
            </w:pPr>
            <w:r>
              <w:rPr>
                <w:rFonts w:ascii="Calibri" w:hAnsi="Calibri" w:cs="Arial"/>
                <w:sz w:val="22"/>
                <w:szCs w:val="22"/>
              </w:rPr>
              <w:t>Signature</w:t>
            </w:r>
          </w:p>
          <w:p w14:paraId="3FFCEB94" w14:textId="77777777" w:rsidR="00D60B4F" w:rsidRDefault="00D60B4F" w:rsidP="00D60B4F">
            <w:pPr>
              <w:rPr>
                <w:rFonts w:ascii="Calibri" w:hAnsi="Calibri" w:cs="Arial"/>
                <w:sz w:val="22"/>
                <w:szCs w:val="22"/>
              </w:rPr>
            </w:pPr>
          </w:p>
          <w:p w14:paraId="612FC500" w14:textId="77777777" w:rsidR="00107236" w:rsidRDefault="00107236" w:rsidP="00D60B4F">
            <w:pPr>
              <w:rPr>
                <w:rFonts w:ascii="Calibri" w:hAnsi="Calibri" w:cs="Arial"/>
                <w:sz w:val="22"/>
                <w:szCs w:val="22"/>
              </w:rPr>
            </w:pPr>
          </w:p>
          <w:p w14:paraId="64E65897" w14:textId="636E9781" w:rsidR="00D60B4F" w:rsidRDefault="004976F1" w:rsidP="00D60B4F">
            <w:pPr>
              <w:rPr>
                <w:rFonts w:ascii="Calibri" w:hAnsi="Calibri" w:cs="Arial"/>
                <w:sz w:val="22"/>
                <w:szCs w:val="22"/>
              </w:rPr>
            </w:pPr>
            <w:r>
              <w:rPr>
                <w:rFonts w:ascii="Calibri" w:hAnsi="Calibri" w:cs="Arial"/>
                <w:sz w:val="22"/>
                <w:szCs w:val="22"/>
              </w:rPr>
              <w:t xml:space="preserve">               </w:t>
            </w:r>
            <w:r w:rsidR="00B51E41">
              <w:rPr>
                <w:rFonts w:ascii="Calibri" w:hAnsi="Calibri" w:cs="Arial"/>
                <w:sz w:val="22"/>
                <w:szCs w:val="22"/>
              </w:rPr>
              <w:t>20</w:t>
            </w:r>
            <w:r w:rsidR="0020375B">
              <w:rPr>
                <w:rFonts w:ascii="Calibri" w:hAnsi="Calibri" w:cs="Arial"/>
                <w:sz w:val="22"/>
                <w:szCs w:val="22"/>
              </w:rPr>
              <w:t xml:space="preserve"> December 2024</w:t>
            </w:r>
          </w:p>
          <w:p w14:paraId="73E19229" w14:textId="77777777" w:rsidR="00D60B4F" w:rsidRDefault="00B51E41" w:rsidP="00D60B4F">
            <w:pPr>
              <w:divId w:val="1925913897"/>
              <w:rPr>
                <w:rFonts w:ascii="Calibri" w:hAnsi="Calibri" w:cs="Arial"/>
                <w:sz w:val="22"/>
                <w:szCs w:val="22"/>
              </w:rPr>
            </w:pPr>
            <w:r>
              <w:rPr>
                <w:rFonts w:ascii="Calibri" w:hAnsi="Calibri" w:cs="Arial"/>
                <w:sz w:val="22"/>
                <w:szCs w:val="22"/>
              </w:rPr>
              <w:pict w14:anchorId="6239044C">
                <v:rect id="_x0000_i1031" style="width:234pt;height:.5pt" o:hrpct="500" o:hrstd="t" o:hrnoshade="t" o:hr="t" fillcolor="black [3213]" stroked="f"/>
              </w:pict>
            </w:r>
          </w:p>
          <w:p w14:paraId="112CD540" w14:textId="42737414" w:rsidR="00D60B4F" w:rsidRPr="00CD725B" w:rsidRDefault="00D60B4F" w:rsidP="00D60B4F">
            <w:pPr>
              <w:rPr>
                <w:rFonts w:ascii="Calibri" w:hAnsi="Calibri" w:cs="Arial"/>
                <w:sz w:val="22"/>
                <w:szCs w:val="22"/>
              </w:rPr>
            </w:pPr>
          </w:p>
        </w:tc>
        <w:tc>
          <w:tcPr>
            <w:tcW w:w="4471" w:type="dxa"/>
          </w:tcPr>
          <w:p w14:paraId="7FFDA26E" w14:textId="3BD8BEDC" w:rsidR="00D60B4F" w:rsidRPr="00CD725B" w:rsidRDefault="00D60B4F" w:rsidP="00D60B4F">
            <w:pPr>
              <w:rPr>
                <w:rFonts w:ascii="Calibri" w:hAnsi="Calibri" w:cs="Arial"/>
                <w:sz w:val="22"/>
                <w:szCs w:val="22"/>
              </w:rPr>
            </w:pPr>
            <w:r>
              <w:rPr>
                <w:rFonts w:ascii="Calibri" w:hAnsi="Calibri" w:cs="Arial"/>
                <w:sz w:val="22"/>
                <w:szCs w:val="22"/>
              </w:rPr>
              <w:t>Signature</w:t>
            </w:r>
          </w:p>
        </w:tc>
      </w:tr>
      <w:tr w:rsidR="00D60B4F" w:rsidRPr="00CD725B" w14:paraId="1969D9BA" w14:textId="77777777" w:rsidTr="00107236">
        <w:trPr>
          <w:trHeight w:hRule="exact" w:val="1108"/>
        </w:trPr>
        <w:tc>
          <w:tcPr>
            <w:tcW w:w="4555" w:type="dxa"/>
          </w:tcPr>
          <w:p w14:paraId="7373699E" w14:textId="26FAEEF2" w:rsidR="00D60B4F" w:rsidRPr="00CD725B" w:rsidRDefault="00D60B4F" w:rsidP="00D60B4F">
            <w:pPr>
              <w:rPr>
                <w:rFonts w:ascii="Calibri" w:hAnsi="Calibri" w:cs="Arial"/>
                <w:sz w:val="22"/>
                <w:szCs w:val="22"/>
              </w:rPr>
            </w:pPr>
            <w:r>
              <w:rPr>
                <w:rFonts w:ascii="Calibri" w:hAnsi="Calibri" w:cs="Arial"/>
                <w:sz w:val="22"/>
                <w:szCs w:val="22"/>
              </w:rPr>
              <w:t>Date</w:t>
            </w:r>
            <w:r w:rsidR="00A9534D">
              <w:rPr>
                <w:rFonts w:ascii="Calibri" w:hAnsi="Calibri" w:cs="Arial"/>
                <w:sz w:val="22"/>
                <w:szCs w:val="22"/>
              </w:rPr>
              <w:t xml:space="preserve">   </w:t>
            </w:r>
          </w:p>
        </w:tc>
        <w:tc>
          <w:tcPr>
            <w:tcW w:w="4471" w:type="dxa"/>
          </w:tcPr>
          <w:p w14:paraId="2DA7CCD5" w14:textId="77777777" w:rsidR="00D60B4F" w:rsidRPr="00CD725B" w:rsidRDefault="00D60B4F" w:rsidP="00D60B4F">
            <w:pPr>
              <w:rPr>
                <w:rFonts w:ascii="Calibri" w:hAnsi="Calibri" w:cs="Arial"/>
                <w:sz w:val="22"/>
                <w:szCs w:val="22"/>
              </w:rPr>
            </w:pPr>
          </w:p>
        </w:tc>
      </w:tr>
      <w:tr w:rsidR="007E29F9" w:rsidRPr="00CD725B" w14:paraId="4E9ADD47" w14:textId="77777777" w:rsidTr="00D60B4F">
        <w:trPr>
          <w:trHeight w:val="397"/>
        </w:trPr>
        <w:tc>
          <w:tcPr>
            <w:tcW w:w="4555" w:type="dxa"/>
          </w:tcPr>
          <w:p w14:paraId="0CD27FF4" w14:textId="77777777" w:rsidR="007E29F9" w:rsidRPr="00CD725B" w:rsidRDefault="007E29F9" w:rsidP="00BE7CF5">
            <w:pPr>
              <w:rPr>
                <w:rFonts w:ascii="Calibri" w:hAnsi="Calibri" w:cs="Arial"/>
              </w:rPr>
            </w:pPr>
            <w:r w:rsidRPr="00CD725B">
              <w:rPr>
                <w:rFonts w:ascii="Calibri" w:hAnsi="Calibri" w:cs="Arial"/>
              </w:rPr>
              <w:t>SIGNED for and on behalf of</w:t>
            </w:r>
          </w:p>
          <w:p w14:paraId="02835CC8" w14:textId="77777777" w:rsidR="007E29F9" w:rsidRPr="00CD725B" w:rsidRDefault="007E29F9" w:rsidP="00BE7CF5">
            <w:pPr>
              <w:rPr>
                <w:rFonts w:ascii="Calibri" w:hAnsi="Calibri" w:cs="Arial"/>
              </w:rPr>
            </w:pPr>
          </w:p>
          <w:p w14:paraId="048B0D6C" w14:textId="57D8C3C2" w:rsidR="007E29F9" w:rsidRPr="00221DD6" w:rsidRDefault="00221DD6" w:rsidP="00BE7CF5">
            <w:pPr>
              <w:rPr>
                <w:rFonts w:ascii="Calibri" w:hAnsi="Calibri" w:cs="Arial"/>
                <w:noProof/>
              </w:rPr>
            </w:pPr>
            <w:r w:rsidRPr="00221DD6">
              <w:rPr>
                <w:rFonts w:ascii="Calibri" w:hAnsi="Calibri" w:cs="Arial"/>
                <w:noProof/>
              </w:rPr>
              <w:t>Torrens University Australia Limited</w:t>
            </w:r>
          </w:p>
          <w:p w14:paraId="658E9484" w14:textId="77777777" w:rsidR="007E29F9" w:rsidRPr="00CD725B" w:rsidRDefault="007E29F9" w:rsidP="00BE7CF5">
            <w:pPr>
              <w:rPr>
                <w:rFonts w:ascii="Calibri" w:hAnsi="Calibri" w:cs="Arial"/>
              </w:rPr>
            </w:pPr>
            <w:r w:rsidRPr="00CD725B">
              <w:rPr>
                <w:rFonts w:ascii="Calibri" w:hAnsi="Calibri" w:cs="Arial"/>
              </w:rPr>
              <w:t>by</w:t>
            </w:r>
          </w:p>
          <w:p w14:paraId="29E48A33" w14:textId="77777777" w:rsidR="007E29F9" w:rsidRDefault="007E29F9" w:rsidP="00BE7CF5">
            <w:pPr>
              <w:rPr>
                <w:rFonts w:ascii="Calibri" w:hAnsi="Calibri" w:cs="Arial"/>
              </w:rPr>
            </w:pPr>
          </w:p>
          <w:p w14:paraId="7AB4DEB7" w14:textId="1F702CCE" w:rsidR="00414CFD" w:rsidRPr="0020375B" w:rsidRDefault="0020375B" w:rsidP="00BE7CF5">
            <w:pPr>
              <w:rPr>
                <w:rFonts w:ascii="Calibri" w:hAnsi="Calibri" w:cs="Arial"/>
                <w:sz w:val="22"/>
                <w:szCs w:val="22"/>
              </w:rPr>
            </w:pPr>
            <w:r w:rsidRPr="0020375B">
              <w:rPr>
                <w:rFonts w:ascii="Calibri" w:hAnsi="Calibri" w:cs="Arial"/>
                <w:sz w:val="22"/>
                <w:szCs w:val="22"/>
              </w:rPr>
              <w:t>Anna Sutton</w:t>
            </w:r>
          </w:p>
          <w:p w14:paraId="0EA77DF0" w14:textId="6143B109" w:rsidR="007E29F9" w:rsidRPr="00CD725B" w:rsidRDefault="00B51E41"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77777777" w:rsidR="007E29F9" w:rsidRPr="00CD725B" w:rsidRDefault="007E29F9" w:rsidP="00BE7CF5">
            <w:pPr>
              <w:rPr>
                <w:rFonts w:ascii="Calibri" w:hAnsi="Calibri" w:cs="Arial"/>
              </w:rPr>
            </w:pPr>
          </w:p>
          <w:p w14:paraId="45CEB703" w14:textId="77777777" w:rsidR="007E29F9" w:rsidRPr="00CD725B" w:rsidRDefault="007E29F9" w:rsidP="00BE7CF5">
            <w:pPr>
              <w:rPr>
                <w:rFonts w:ascii="Calibri" w:hAnsi="Calibri" w:cs="Arial"/>
              </w:rPr>
            </w:pPr>
          </w:p>
          <w:p w14:paraId="264FD545" w14:textId="3E9D7340" w:rsidR="007E29F9" w:rsidRPr="00A9534D" w:rsidRDefault="0020375B" w:rsidP="00BE7CF5">
            <w:pPr>
              <w:rPr>
                <w:rFonts w:ascii="Calibri" w:hAnsi="Calibri" w:cs="Arial"/>
                <w:sz w:val="22"/>
                <w:szCs w:val="22"/>
              </w:rPr>
            </w:pPr>
            <w:r>
              <w:rPr>
                <w:rFonts w:ascii="Calibri" w:hAnsi="Calibri" w:cs="Arial"/>
                <w:sz w:val="22"/>
                <w:szCs w:val="22"/>
              </w:rPr>
              <w:t>Catherine Adams</w:t>
            </w:r>
          </w:p>
          <w:p w14:paraId="5FB5701C" w14:textId="14B300CE" w:rsidR="007E29F9" w:rsidRPr="00CD725B" w:rsidRDefault="00B51E41"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D60B4F">
        <w:trPr>
          <w:trHeight w:val="397"/>
        </w:trPr>
        <w:tc>
          <w:tcPr>
            <w:tcW w:w="4555"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617D09AF" w14:textId="77777777" w:rsidR="007E29F9" w:rsidRDefault="007E29F9" w:rsidP="00BE7CF5">
            <w:pPr>
              <w:rPr>
                <w:rFonts w:ascii="Calibri" w:hAnsi="Calibri" w:cs="Arial"/>
                <w:sz w:val="22"/>
                <w:szCs w:val="22"/>
              </w:rPr>
            </w:pPr>
          </w:p>
          <w:p w14:paraId="7C3E739E" w14:textId="5514EC19" w:rsidR="0020375B" w:rsidRPr="00CD725B" w:rsidRDefault="0020375B" w:rsidP="00BE7CF5">
            <w:pPr>
              <w:rPr>
                <w:rFonts w:ascii="Calibri" w:hAnsi="Calibri" w:cs="Arial"/>
                <w:sz w:val="22"/>
                <w:szCs w:val="22"/>
              </w:rPr>
            </w:pPr>
            <w:r>
              <w:rPr>
                <w:rFonts w:ascii="Calibri" w:hAnsi="Calibri" w:cs="Arial"/>
                <w:sz w:val="22"/>
                <w:szCs w:val="22"/>
              </w:rPr>
              <w:t>General Counsel</w:t>
            </w:r>
          </w:p>
          <w:p w14:paraId="572289FB" w14:textId="3A2D41A4" w:rsidR="007E29F9" w:rsidRPr="00CD725B" w:rsidRDefault="00B51E41"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1B3E191F" w14:textId="77777777" w:rsidR="007E29F9" w:rsidRPr="00CD725B" w:rsidRDefault="007E29F9" w:rsidP="00BE7CF5">
            <w:pPr>
              <w:rPr>
                <w:rFonts w:ascii="Calibri" w:hAnsi="Calibri" w:cs="Arial"/>
                <w:sz w:val="22"/>
                <w:szCs w:val="22"/>
              </w:rPr>
            </w:pPr>
          </w:p>
          <w:p w14:paraId="39935D5D" w14:textId="596E8330" w:rsidR="0020375B" w:rsidRDefault="0020375B" w:rsidP="00BE7CF5">
            <w:pPr>
              <w:rPr>
                <w:rFonts w:ascii="Calibri" w:hAnsi="Calibri" w:cs="Arial"/>
                <w:sz w:val="22"/>
                <w:szCs w:val="22"/>
              </w:rPr>
            </w:pPr>
            <w:r>
              <w:rPr>
                <w:rFonts w:ascii="Calibri" w:hAnsi="Calibri" w:cs="Arial"/>
                <w:sz w:val="22"/>
                <w:szCs w:val="22"/>
              </w:rPr>
              <w:t xml:space="preserve">Junior Executive Assistant </w:t>
            </w:r>
          </w:p>
          <w:p w14:paraId="6727188B" w14:textId="1EB24F27" w:rsidR="007E29F9" w:rsidRPr="00CD725B" w:rsidRDefault="00B51E41" w:rsidP="00BE7CF5">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D60B4F">
        <w:trPr>
          <w:trHeight w:val="397"/>
        </w:trPr>
        <w:tc>
          <w:tcPr>
            <w:tcW w:w="4555"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B51E41"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B51E41"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D60B4F">
        <w:trPr>
          <w:trHeight w:val="397"/>
        </w:trPr>
        <w:tc>
          <w:tcPr>
            <w:tcW w:w="4555"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5040874F" w:rsidR="007E29F9" w:rsidRPr="00CD725B" w:rsidRDefault="009226BC" w:rsidP="009341AA">
            <w:pPr>
              <w:tabs>
                <w:tab w:val="left" w:pos="567"/>
                <w:tab w:val="left" w:pos="8222"/>
              </w:tabs>
              <w:jc w:val="center"/>
              <w:rPr>
                <w:rFonts w:ascii="Calibri" w:hAnsi="Calibri" w:cs="Arial"/>
                <w:bCs/>
                <w:noProof/>
                <w:sz w:val="22"/>
                <w:szCs w:val="22"/>
              </w:rPr>
            </w:pPr>
            <w:r w:rsidRPr="009226BC">
              <w:rPr>
                <w:rFonts w:ascii="Calibri" w:hAnsi="Calibri" w:cs="Arial"/>
                <w:noProof/>
                <w:sz w:val="22"/>
                <w:szCs w:val="22"/>
              </w:rPr>
              <w:t>$1,954,612</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731C174A" w:rsidR="007E29F9" w:rsidRPr="00CD725B" w:rsidRDefault="00BB3C26" w:rsidP="009F2DE4">
            <w:pPr>
              <w:tabs>
                <w:tab w:val="left" w:pos="567"/>
                <w:tab w:val="left" w:pos="8222"/>
              </w:tabs>
              <w:jc w:val="center"/>
              <w:rPr>
                <w:rFonts w:ascii="Calibri" w:hAnsi="Calibri" w:cs="Arial"/>
                <w:bCs/>
                <w:noProof/>
                <w:sz w:val="22"/>
                <w:szCs w:val="22"/>
              </w:rPr>
            </w:pPr>
            <w:r w:rsidRPr="00BB3C26">
              <w:rPr>
                <w:rFonts w:ascii="Calibri" w:hAnsi="Calibri" w:cs="Arial"/>
                <w:noProof/>
                <w:color w:val="000000" w:themeColor="text1"/>
                <w:sz w:val="22"/>
                <w:szCs w:val="22"/>
              </w:rPr>
              <w:t>$1,229,073</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67787044" w14:textId="77777777" w:rsidR="004F59B5" w:rsidRPr="00CD725B" w:rsidRDefault="004F59B5" w:rsidP="004F59B5">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1277D3F2" w14:textId="17B66221" w:rsidR="004F59B5" w:rsidRPr="00DE7227" w:rsidRDefault="004F59B5" w:rsidP="00283D3D">
      <w:pPr>
        <w:pStyle w:val="ListParagraph"/>
        <w:widowControl w:val="0"/>
        <w:numPr>
          <w:ilvl w:val="0"/>
          <w:numId w:val="54"/>
        </w:numPr>
        <w:spacing w:before="120" w:after="120"/>
        <w:rPr>
          <w:rFonts w:ascii="Calibri" w:hAnsi="Calibri"/>
          <w:sz w:val="22"/>
        </w:rPr>
      </w:pPr>
      <w:r w:rsidRPr="00CD725B">
        <w:rPr>
          <w:rFonts w:ascii="Calibri" w:hAnsi="Calibri"/>
          <w:sz w:val="22"/>
        </w:rPr>
        <w:t>The 202</w:t>
      </w:r>
      <w:r>
        <w:rPr>
          <w:rFonts w:ascii="Calibri" w:hAnsi="Calibri"/>
          <w:sz w:val="22"/>
        </w:rPr>
        <w:t>4</w:t>
      </w:r>
      <w:r w:rsidRPr="00CD725B">
        <w:rPr>
          <w:rFonts w:ascii="Calibri" w:hAnsi="Calibri"/>
          <w:sz w:val="22"/>
        </w:rPr>
        <w:t xml:space="preserve"> maximum basic grant amount include</w:t>
      </w:r>
      <w:r w:rsidRPr="0046595F">
        <w:rPr>
          <w:rFonts w:ascii="Calibri" w:hAnsi="Calibri"/>
          <w:sz w:val="22"/>
        </w:rPr>
        <w:t>s $</w:t>
      </w:r>
      <w:r w:rsidR="00C1118E">
        <w:rPr>
          <w:rFonts w:ascii="Calibri" w:hAnsi="Calibri"/>
          <w:sz w:val="22"/>
        </w:rPr>
        <w:t>1,954,612</w:t>
      </w:r>
      <w:r w:rsidRPr="0046595F">
        <w:rPr>
          <w:rFonts w:ascii="Calibri" w:hAnsi="Calibri"/>
          <w:sz w:val="22"/>
        </w:rPr>
        <w:t xml:space="preserve"> </w:t>
      </w:r>
      <w:r w:rsidRPr="00CD725B">
        <w:rPr>
          <w:rFonts w:ascii="Calibri" w:hAnsi="Calibri"/>
          <w:sz w:val="22"/>
        </w:rPr>
        <w:t xml:space="preserve">for Equity Places as set out in Table </w:t>
      </w:r>
      <w:r w:rsidR="00221706">
        <w:rPr>
          <w:rFonts w:ascii="Calibri" w:hAnsi="Calibri"/>
          <w:sz w:val="22"/>
        </w:rPr>
        <w:t>2</w:t>
      </w:r>
      <w:r w:rsidR="00283D3D">
        <w:rPr>
          <w:rFonts w:ascii="Calibri" w:hAnsi="Calibri"/>
          <w:sz w:val="22"/>
        </w:rPr>
        <w:t>c</w:t>
      </w:r>
      <w:r w:rsidRPr="00CD725B">
        <w:rPr>
          <w:rFonts w:ascii="Calibri" w:hAnsi="Calibri"/>
          <w:sz w:val="22"/>
        </w:rPr>
        <w:t>(i) of Appendix 2.</w:t>
      </w:r>
      <w:r w:rsidR="00283D3D">
        <w:rPr>
          <w:rFonts w:ascii="Calibri" w:hAnsi="Calibri"/>
          <w:sz w:val="22"/>
        </w:rPr>
        <w:t xml:space="preserve"> </w:t>
      </w:r>
      <w:r w:rsidR="00283D3D" w:rsidRPr="00CD725B">
        <w:rPr>
          <w:rFonts w:ascii="Calibri" w:hAnsi="Calibri"/>
          <w:sz w:val="22"/>
        </w:rPr>
        <w:t>The 202</w:t>
      </w:r>
      <w:r w:rsidR="00283D3D">
        <w:rPr>
          <w:rFonts w:ascii="Calibri" w:hAnsi="Calibri"/>
          <w:sz w:val="22"/>
        </w:rPr>
        <w:t>5</w:t>
      </w:r>
      <w:r w:rsidR="00283D3D" w:rsidRPr="00CD725B">
        <w:rPr>
          <w:rFonts w:ascii="Calibri" w:hAnsi="Calibri"/>
          <w:sz w:val="22"/>
        </w:rPr>
        <w:t xml:space="preserve"> maximum basic grant amount include</w:t>
      </w:r>
      <w:r w:rsidR="00283D3D" w:rsidRPr="0046595F">
        <w:rPr>
          <w:rFonts w:ascii="Calibri" w:hAnsi="Calibri"/>
          <w:sz w:val="22"/>
        </w:rPr>
        <w:t>s $</w:t>
      </w:r>
      <w:r w:rsidR="00283D3D">
        <w:rPr>
          <w:rFonts w:ascii="Calibri" w:hAnsi="Calibri"/>
          <w:sz w:val="22"/>
        </w:rPr>
        <w:t>1,229,073</w:t>
      </w:r>
      <w:r w:rsidR="00283D3D" w:rsidRPr="0046595F">
        <w:rPr>
          <w:rFonts w:ascii="Calibri" w:hAnsi="Calibri"/>
          <w:sz w:val="22"/>
        </w:rPr>
        <w:t xml:space="preserve"> </w:t>
      </w:r>
      <w:r w:rsidR="00283D3D" w:rsidRPr="00CD725B">
        <w:rPr>
          <w:rFonts w:ascii="Calibri" w:hAnsi="Calibri"/>
          <w:sz w:val="22"/>
        </w:rPr>
        <w:t xml:space="preserve">for Equity Places as set out in Table </w:t>
      </w:r>
      <w:r w:rsidR="00283D3D">
        <w:rPr>
          <w:rFonts w:ascii="Calibri" w:hAnsi="Calibri"/>
          <w:sz w:val="22"/>
        </w:rPr>
        <w:t>2c</w:t>
      </w:r>
      <w:r w:rsidR="00283D3D" w:rsidRPr="00CD725B">
        <w:rPr>
          <w:rFonts w:ascii="Calibri" w:hAnsi="Calibri"/>
          <w:sz w:val="22"/>
        </w:rPr>
        <w:t>(i) of Appendix 2.</w:t>
      </w:r>
      <w:r w:rsidR="00283D3D">
        <w:rPr>
          <w:rFonts w:ascii="Calibri" w:hAnsi="Calibri"/>
          <w:sz w:val="22"/>
        </w:rPr>
        <w:t xml:space="preserve"> </w:t>
      </w:r>
    </w:p>
    <w:p w14:paraId="1A0AAC54" w14:textId="77777777" w:rsidR="004F59B5" w:rsidRPr="00CD725B" w:rsidRDefault="004F59B5" w:rsidP="004F59B5">
      <w:pPr>
        <w:pStyle w:val="ListParagraph"/>
        <w:widowControl w:val="0"/>
        <w:spacing w:before="120" w:after="120"/>
        <w:ind w:left="397"/>
        <w:rPr>
          <w:rFonts w:ascii="Calibri" w:hAnsi="Calibri"/>
          <w:sz w:val="22"/>
        </w:rPr>
      </w:pPr>
      <w:bookmarkStart w:id="5" w:name="_Hlk153219613"/>
    </w:p>
    <w:p w14:paraId="2681DBF2" w14:textId="77777777" w:rsidR="004F59B5" w:rsidRPr="00456AD8" w:rsidRDefault="004F59B5" w:rsidP="004F59B5">
      <w:pPr>
        <w:widowControl w:val="0"/>
        <w:spacing w:before="120" w:after="120"/>
        <w:rPr>
          <w:rFonts w:ascii="Calibri" w:hAnsi="Calibri"/>
          <w:b/>
          <w:bCs/>
          <w:sz w:val="22"/>
        </w:rPr>
      </w:pPr>
      <w:r w:rsidRPr="00456AD8">
        <w:rPr>
          <w:rFonts w:ascii="Calibri" w:hAnsi="Calibri"/>
          <w:b/>
          <w:bCs/>
          <w:sz w:val="22"/>
        </w:rPr>
        <w:t>Equity Plan</w:t>
      </w:r>
    </w:p>
    <w:p w14:paraId="5EDFAD0D" w14:textId="5E478520" w:rsidR="004F59B5" w:rsidRPr="00C1118E" w:rsidRDefault="004F59B5" w:rsidP="004F59B5">
      <w:pPr>
        <w:widowControl w:val="0"/>
        <w:numPr>
          <w:ilvl w:val="0"/>
          <w:numId w:val="54"/>
        </w:numPr>
        <w:tabs>
          <w:tab w:val="left" w:pos="567"/>
          <w:tab w:val="left" w:pos="8222"/>
        </w:tabs>
        <w:spacing w:before="120" w:after="120"/>
        <w:rPr>
          <w:rFonts w:asciiTheme="minorHAnsi" w:hAnsiTheme="minorHAnsi" w:cstheme="minorHAnsi"/>
          <w:sz w:val="22"/>
          <w:szCs w:val="22"/>
        </w:rPr>
      </w:pPr>
      <w:r w:rsidRPr="00C1118E">
        <w:rPr>
          <w:rFonts w:asciiTheme="minorHAnsi" w:hAnsiTheme="minorHAnsi" w:cstheme="minorHAnsi"/>
          <w:sz w:val="22"/>
          <w:szCs w:val="22"/>
        </w:rPr>
        <w:t>Providers will be required to have an Equity Plan to be eligible for future grants under the ‘Higher Education Continuity Guarantee – Equity’ program.</w:t>
      </w:r>
      <w:r w:rsidRPr="00C1118E">
        <w:rPr>
          <w:rFonts w:cstheme="minorBidi"/>
          <w:sz w:val="22"/>
          <w:szCs w:val="22"/>
        </w:rPr>
        <w:t xml:space="preserve"> </w:t>
      </w:r>
      <w:r w:rsidRPr="00C1118E">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45FEB945" w14:textId="77777777" w:rsidR="004F59B5" w:rsidRPr="00C1118E" w:rsidRDefault="004F59B5" w:rsidP="004F59B5">
      <w:pPr>
        <w:widowControl w:val="0"/>
        <w:numPr>
          <w:ilvl w:val="0"/>
          <w:numId w:val="54"/>
        </w:numPr>
        <w:tabs>
          <w:tab w:val="left" w:pos="567"/>
          <w:tab w:val="left" w:pos="8222"/>
        </w:tabs>
        <w:spacing w:before="120" w:after="120"/>
        <w:rPr>
          <w:rFonts w:asciiTheme="minorHAnsi" w:hAnsiTheme="minorHAnsi" w:cstheme="minorHAnsi"/>
          <w:sz w:val="22"/>
          <w:szCs w:val="22"/>
        </w:rPr>
      </w:pPr>
      <w:r w:rsidRPr="00C1118E">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Nuclear Powered Submarine Student Pathways.  </w:t>
      </w:r>
    </w:p>
    <w:p w14:paraId="581654F8" w14:textId="77777777" w:rsidR="004F59B5" w:rsidRPr="004C1DE5" w:rsidRDefault="004F59B5" w:rsidP="004F59B5">
      <w:pPr>
        <w:widowControl w:val="0"/>
        <w:numPr>
          <w:ilvl w:val="0"/>
          <w:numId w:val="54"/>
        </w:numPr>
        <w:tabs>
          <w:tab w:val="left" w:pos="567"/>
          <w:tab w:val="left" w:pos="8222"/>
        </w:tabs>
        <w:spacing w:before="120" w:after="120"/>
        <w:rPr>
          <w:rFonts w:asciiTheme="minorHAnsi" w:hAnsiTheme="minorHAnsi" w:cstheme="minorHAnsi"/>
          <w:sz w:val="22"/>
          <w:szCs w:val="22"/>
        </w:rPr>
      </w:pPr>
      <w:r w:rsidRPr="004C1DE5">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BC6A42E" w14:textId="77777777" w:rsidR="004F59B5" w:rsidRPr="007B5678" w:rsidRDefault="004F59B5" w:rsidP="004F59B5">
      <w:pPr>
        <w:widowControl w:val="0"/>
        <w:numPr>
          <w:ilvl w:val="0"/>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lang w:val="en-US"/>
        </w:rPr>
        <w:t>Providers will be required to adhere to any Departmental requests in relation to the preparation of Equity Plans.</w:t>
      </w:r>
    </w:p>
    <w:p w14:paraId="3E955CBE" w14:textId="77777777" w:rsidR="004F59B5" w:rsidRPr="007B5678" w:rsidRDefault="004F59B5" w:rsidP="004F59B5">
      <w:pPr>
        <w:widowControl w:val="0"/>
        <w:numPr>
          <w:ilvl w:val="0"/>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Providers will also be required to provide information to the Department in relation to their Equity Plans, which may include:</w:t>
      </w:r>
    </w:p>
    <w:p w14:paraId="0313AB63" w14:textId="77777777" w:rsidR="004F59B5" w:rsidRPr="007B5678" w:rsidRDefault="004F59B5" w:rsidP="004F59B5">
      <w:pPr>
        <w:widowControl w:val="0"/>
        <w:numPr>
          <w:ilvl w:val="1"/>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itemised information on the activities or initiatives to be funded, including amounts spent per item and the timing of the spending;</w:t>
      </w:r>
    </w:p>
    <w:p w14:paraId="24A29795" w14:textId="77777777" w:rsidR="004F59B5" w:rsidRPr="007B5678" w:rsidRDefault="004F59B5" w:rsidP="004F59B5">
      <w:pPr>
        <w:widowControl w:val="0"/>
        <w:numPr>
          <w:ilvl w:val="1"/>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data which may provide an indication of the impact of the proposed spending, particularly in relation to outcomes for disadvantaged or under-represented students;</w:t>
      </w:r>
    </w:p>
    <w:p w14:paraId="0C9E05D4" w14:textId="77777777" w:rsidR="004F59B5" w:rsidRPr="007B5678" w:rsidRDefault="004F59B5" w:rsidP="004F59B5">
      <w:pPr>
        <w:widowControl w:val="0"/>
        <w:numPr>
          <w:ilvl w:val="1"/>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any requests for financial information associated with the Provider.</w:t>
      </w:r>
    </w:p>
    <w:bookmarkEnd w:id="5"/>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18E3559B" w14:textId="2F87431A" w:rsidR="00B7665C" w:rsidRPr="00CD725B" w:rsidRDefault="00B7665C" w:rsidP="00B7665C">
      <w:pPr>
        <w:spacing w:after="200" w:line="276" w:lineRule="auto"/>
      </w:pPr>
      <w:r w:rsidRPr="00CD725B">
        <w:rPr>
          <w:rFonts w:ascii="Calibri" w:hAnsi="Calibri" w:cs="Arial"/>
          <w:b/>
          <w:sz w:val="20"/>
          <w:szCs w:val="20"/>
        </w:rPr>
        <w:t xml:space="preserve">Table </w:t>
      </w:r>
      <w:r w:rsidR="009226BC">
        <w:rPr>
          <w:rFonts w:ascii="Calibri" w:hAnsi="Calibri" w:cs="Arial"/>
          <w:b/>
          <w:sz w:val="20"/>
          <w:szCs w:val="20"/>
        </w:rPr>
        <w:t>2</w:t>
      </w:r>
      <w:r w:rsidRPr="00CD725B">
        <w:rPr>
          <w:rFonts w:ascii="Calibri" w:hAnsi="Calibri" w:cs="Arial"/>
          <w:b/>
          <w:sz w:val="20"/>
          <w:szCs w:val="20"/>
        </w:rPr>
        <w:t>a: Allocation of Commonwealth supported places to deliver Equity Places in 202</w:t>
      </w:r>
      <w:r w:rsidR="009226BC">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5977EE52"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9226BC">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0A4FE78D"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9226BC">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59D3FEB0"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2162E68" w14:textId="597F2871"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61B82257"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0</w:t>
            </w:r>
          </w:p>
        </w:tc>
      </w:tr>
      <w:tr w:rsidR="005B1BAF"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73261289" w:rsidR="005B1BAF" w:rsidRPr="009226BC" w:rsidRDefault="00F566E7" w:rsidP="005B1BAF">
            <w:pPr>
              <w:jc w:val="right"/>
              <w:rPr>
                <w:rFonts w:ascii="Calibri" w:hAnsi="Calibri" w:cs="Calibri"/>
                <w:sz w:val="20"/>
                <w:szCs w:val="20"/>
              </w:rPr>
            </w:pPr>
            <w:r>
              <w:rPr>
                <w:rFonts w:ascii="Calibri" w:hAnsi="Calibri" w:cs="Arial"/>
                <w:bCs/>
                <w:sz w:val="20"/>
                <w:szCs w:val="20"/>
              </w:rPr>
              <w:t>107</w:t>
            </w:r>
          </w:p>
        </w:tc>
        <w:tc>
          <w:tcPr>
            <w:tcW w:w="1222" w:type="pct"/>
            <w:tcBorders>
              <w:top w:val="single" w:sz="4" w:space="0" w:color="auto"/>
              <w:left w:val="single" w:sz="4" w:space="0" w:color="auto"/>
              <w:bottom w:val="single" w:sz="4" w:space="0" w:color="auto"/>
              <w:right w:val="single" w:sz="4" w:space="0" w:color="auto"/>
            </w:tcBorders>
            <w:hideMark/>
          </w:tcPr>
          <w:p w14:paraId="49960413" w14:textId="0EEF54A6"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B273C19" w14:textId="16A206A9" w:rsidR="005B1BAF" w:rsidRPr="009226BC" w:rsidRDefault="00F566E7" w:rsidP="005B1BAF">
            <w:pPr>
              <w:jc w:val="right"/>
              <w:rPr>
                <w:rFonts w:ascii="Calibri" w:hAnsi="Calibri" w:cs="Calibri"/>
                <w:sz w:val="20"/>
                <w:szCs w:val="20"/>
              </w:rPr>
            </w:pPr>
            <w:r>
              <w:rPr>
                <w:rFonts w:ascii="Calibri" w:hAnsi="Calibri" w:cs="Calibri"/>
                <w:sz w:val="20"/>
                <w:szCs w:val="20"/>
              </w:rPr>
              <w:t>107</w:t>
            </w:r>
          </w:p>
        </w:tc>
      </w:tr>
      <w:tr w:rsidR="005B1BAF"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60E642A8"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1</w:t>
            </w:r>
            <w:r w:rsidR="00F566E7">
              <w:rPr>
                <w:rFonts w:ascii="Calibri" w:hAnsi="Calibri" w:cs="Arial"/>
                <w:bCs/>
                <w:sz w:val="20"/>
                <w:szCs w:val="20"/>
              </w:rPr>
              <w:t>9</w:t>
            </w:r>
          </w:p>
        </w:tc>
        <w:tc>
          <w:tcPr>
            <w:tcW w:w="1222" w:type="pct"/>
            <w:tcBorders>
              <w:top w:val="single" w:sz="4" w:space="0" w:color="auto"/>
              <w:left w:val="single" w:sz="4" w:space="0" w:color="auto"/>
              <w:bottom w:val="single" w:sz="4" w:space="0" w:color="auto"/>
              <w:right w:val="single" w:sz="4" w:space="0" w:color="auto"/>
            </w:tcBorders>
            <w:hideMark/>
          </w:tcPr>
          <w:p w14:paraId="6E0DB72F" w14:textId="3ABB8F2B"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7C9808E2"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1</w:t>
            </w:r>
            <w:r w:rsidR="00F566E7">
              <w:rPr>
                <w:rFonts w:ascii="Calibri" w:hAnsi="Calibri" w:cs="Arial"/>
                <w:bCs/>
                <w:sz w:val="20"/>
                <w:szCs w:val="20"/>
              </w:rPr>
              <w:t>9</w:t>
            </w:r>
          </w:p>
        </w:tc>
      </w:tr>
      <w:tr w:rsidR="005B1BAF"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6F99CED8" w:rsidR="005B1BAF" w:rsidRPr="009226BC" w:rsidRDefault="00F566E7" w:rsidP="005B1BAF">
            <w:pPr>
              <w:jc w:val="right"/>
              <w:rPr>
                <w:rFonts w:ascii="Calibri" w:hAnsi="Calibri" w:cs="Calibri"/>
                <w:b/>
                <w:sz w:val="20"/>
                <w:szCs w:val="20"/>
              </w:rPr>
            </w:pPr>
            <w:r>
              <w:rPr>
                <w:rFonts w:ascii="Calibri" w:hAnsi="Calibri" w:cs="Arial"/>
                <w:b/>
                <w:sz w:val="20"/>
                <w:szCs w:val="20"/>
              </w:rPr>
              <w:t>127</w:t>
            </w:r>
          </w:p>
        </w:tc>
        <w:tc>
          <w:tcPr>
            <w:tcW w:w="1222" w:type="pct"/>
            <w:tcBorders>
              <w:top w:val="single" w:sz="4" w:space="0" w:color="auto"/>
              <w:left w:val="single" w:sz="4" w:space="0" w:color="auto"/>
              <w:bottom w:val="single" w:sz="4" w:space="0" w:color="auto"/>
              <w:right w:val="single" w:sz="4" w:space="0" w:color="auto"/>
            </w:tcBorders>
            <w:hideMark/>
          </w:tcPr>
          <w:p w14:paraId="7D89F595" w14:textId="79DFC8AE" w:rsidR="005B1BAF" w:rsidRPr="009226BC" w:rsidRDefault="009226BC" w:rsidP="005B1BAF">
            <w:pPr>
              <w:jc w:val="right"/>
              <w:rPr>
                <w:rFonts w:ascii="Calibri" w:hAnsi="Calibri" w:cs="Calibri"/>
                <w:b/>
                <w:sz w:val="20"/>
                <w:szCs w:val="20"/>
              </w:rPr>
            </w:pPr>
            <w:r w:rsidRPr="009226BC">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7AA12156" w:rsidR="005B1BAF" w:rsidRPr="009226BC" w:rsidRDefault="00F566E7" w:rsidP="005B1BAF">
            <w:pPr>
              <w:jc w:val="right"/>
              <w:rPr>
                <w:rFonts w:ascii="Calibri" w:hAnsi="Calibri" w:cs="Calibri"/>
                <w:b/>
                <w:sz w:val="20"/>
                <w:szCs w:val="20"/>
              </w:rPr>
            </w:pPr>
            <w:r>
              <w:rPr>
                <w:rFonts w:ascii="Calibri" w:hAnsi="Calibri" w:cs="Arial"/>
                <w:b/>
                <w:sz w:val="20"/>
                <w:szCs w:val="20"/>
              </w:rPr>
              <w:t>127</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Figures are rounded for display, however they may contain underlying decimal places.</w:t>
      </w:r>
    </w:p>
    <w:p w14:paraId="4FFCFE7D" w14:textId="7B80399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285BCD20"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29210CD0" w14:textId="232E49AA" w:rsidR="00F566E7" w:rsidRPr="00CD725B" w:rsidRDefault="00F566E7" w:rsidP="00F566E7">
      <w:pPr>
        <w:spacing w:after="200" w:line="276" w:lineRule="auto"/>
      </w:pPr>
      <w:r w:rsidRPr="00CD725B">
        <w:rPr>
          <w:rFonts w:ascii="Calibri" w:hAnsi="Calibri" w:cs="Arial"/>
          <w:b/>
          <w:sz w:val="20"/>
          <w:szCs w:val="20"/>
        </w:rPr>
        <w:t xml:space="preserve">Table </w:t>
      </w:r>
      <w:r>
        <w:rPr>
          <w:rFonts w:ascii="Calibri" w:hAnsi="Calibri" w:cs="Arial"/>
          <w:b/>
          <w:sz w:val="20"/>
          <w:szCs w:val="20"/>
        </w:rPr>
        <w:t>2b</w:t>
      </w:r>
      <w:r w:rsidRPr="00CD725B">
        <w:rPr>
          <w:rFonts w:ascii="Calibri" w:hAnsi="Calibri" w:cs="Arial"/>
          <w:b/>
          <w:sz w:val="20"/>
          <w:szCs w:val="20"/>
        </w:rPr>
        <w:t>: Allocation of Commonwealth supported places to deliver Equity Places in 202</w:t>
      </w:r>
      <w:r>
        <w:rPr>
          <w:rFonts w:ascii="Calibri" w:hAnsi="Calibri" w:cs="Arial"/>
          <w:b/>
          <w:sz w:val="20"/>
          <w:szCs w:val="20"/>
        </w:rPr>
        <w:t>5</w:t>
      </w:r>
    </w:p>
    <w:p w14:paraId="73F55423" w14:textId="77777777" w:rsidR="00F566E7" w:rsidRPr="00CD725B" w:rsidRDefault="00F566E7" w:rsidP="00F566E7">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F566E7" w:rsidRPr="00CD725B" w14:paraId="79B83755" w14:textId="77777777" w:rsidTr="00E92252">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25A9B4FC" w14:textId="77777777" w:rsidR="00F566E7" w:rsidRPr="00CD725B" w:rsidRDefault="00F566E7" w:rsidP="00E92252">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7A90DB2B" w14:textId="77777777" w:rsidR="00F566E7" w:rsidRPr="00CD725B" w:rsidRDefault="00F566E7" w:rsidP="00E92252">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22350698" w14:textId="77777777" w:rsidR="00F566E7" w:rsidRPr="00CD725B" w:rsidRDefault="00F566E7" w:rsidP="00E92252">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74AC65D" w14:textId="77777777" w:rsidR="00F566E7" w:rsidRPr="00CD725B" w:rsidRDefault="00F566E7"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A8D320" w14:textId="77777777" w:rsidR="00F566E7" w:rsidRPr="00CD725B" w:rsidRDefault="00F566E7"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F566E7" w:rsidRPr="00CD725B" w14:paraId="45EA844F" w14:textId="77777777" w:rsidTr="00E92252">
        <w:trPr>
          <w:trHeight w:val="493"/>
        </w:trPr>
        <w:tc>
          <w:tcPr>
            <w:tcW w:w="546" w:type="pct"/>
            <w:tcBorders>
              <w:top w:val="single" w:sz="4" w:space="0" w:color="auto"/>
              <w:left w:val="single" w:sz="4" w:space="0" w:color="auto"/>
              <w:bottom w:val="single" w:sz="4" w:space="0" w:color="auto"/>
              <w:right w:val="single" w:sz="4" w:space="0" w:color="auto"/>
            </w:tcBorders>
            <w:hideMark/>
          </w:tcPr>
          <w:p w14:paraId="2B2FA760" w14:textId="77777777" w:rsidR="00F566E7" w:rsidRPr="00CD725B" w:rsidRDefault="00F566E7" w:rsidP="00E92252">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5E34CC24" w14:textId="77777777" w:rsidR="00F566E7" w:rsidRPr="00CD725B" w:rsidRDefault="00F566E7"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2A8858BF" w14:textId="77777777" w:rsidR="00F566E7" w:rsidRPr="009226BC" w:rsidRDefault="00F566E7" w:rsidP="00E92252">
            <w:pPr>
              <w:jc w:val="right"/>
              <w:rPr>
                <w:rFonts w:ascii="Calibri" w:hAnsi="Calibri" w:cs="Calibri"/>
                <w:sz w:val="20"/>
                <w:szCs w:val="20"/>
              </w:rPr>
            </w:pPr>
            <w:r w:rsidRPr="009226BC">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4BC15ECB" w14:textId="77777777" w:rsidR="00F566E7" w:rsidRPr="009226BC" w:rsidRDefault="00F566E7" w:rsidP="00E92252">
            <w:pPr>
              <w:jc w:val="right"/>
              <w:rPr>
                <w:rFonts w:ascii="Calibri" w:hAnsi="Calibri" w:cs="Calibri"/>
                <w:sz w:val="20"/>
                <w:szCs w:val="20"/>
              </w:rPr>
            </w:pPr>
            <w:r w:rsidRPr="009226B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545E6F8E" w14:textId="77777777" w:rsidR="00F566E7" w:rsidRPr="009226BC" w:rsidRDefault="00F566E7" w:rsidP="00E92252">
            <w:pPr>
              <w:jc w:val="right"/>
              <w:rPr>
                <w:rFonts w:ascii="Calibri" w:hAnsi="Calibri" w:cs="Calibri"/>
                <w:sz w:val="20"/>
                <w:szCs w:val="20"/>
              </w:rPr>
            </w:pPr>
            <w:r w:rsidRPr="009226BC">
              <w:rPr>
                <w:rFonts w:ascii="Calibri" w:hAnsi="Calibri" w:cs="Arial"/>
                <w:bCs/>
                <w:sz w:val="20"/>
                <w:szCs w:val="20"/>
              </w:rPr>
              <w:t>0</w:t>
            </w:r>
          </w:p>
        </w:tc>
      </w:tr>
      <w:tr w:rsidR="00F566E7" w:rsidRPr="00CD725B" w14:paraId="442117A3" w14:textId="77777777" w:rsidTr="00E92252">
        <w:trPr>
          <w:trHeight w:val="521"/>
        </w:trPr>
        <w:tc>
          <w:tcPr>
            <w:tcW w:w="546" w:type="pct"/>
            <w:tcBorders>
              <w:top w:val="single" w:sz="4" w:space="0" w:color="auto"/>
              <w:left w:val="single" w:sz="4" w:space="0" w:color="auto"/>
              <w:bottom w:val="single" w:sz="4" w:space="0" w:color="auto"/>
              <w:right w:val="single" w:sz="4" w:space="0" w:color="auto"/>
            </w:tcBorders>
            <w:hideMark/>
          </w:tcPr>
          <w:p w14:paraId="50E2AFDA" w14:textId="77777777" w:rsidR="00F566E7" w:rsidRPr="00CD725B" w:rsidRDefault="00F566E7" w:rsidP="00E92252">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23812047" w14:textId="77777777" w:rsidR="00F566E7" w:rsidRPr="00CD725B" w:rsidRDefault="00F566E7"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BC014B8" w14:textId="229DC76D" w:rsidR="00F566E7" w:rsidRPr="009226BC" w:rsidRDefault="00F566E7" w:rsidP="00E92252">
            <w:pPr>
              <w:jc w:val="right"/>
              <w:rPr>
                <w:rFonts w:ascii="Calibri" w:hAnsi="Calibri" w:cs="Calibri"/>
                <w:sz w:val="20"/>
                <w:szCs w:val="20"/>
              </w:rPr>
            </w:pPr>
            <w:r>
              <w:rPr>
                <w:rFonts w:ascii="Calibri" w:hAnsi="Calibri" w:cs="Arial"/>
                <w:bCs/>
                <w:sz w:val="20"/>
                <w:szCs w:val="20"/>
              </w:rPr>
              <w:t>61</w:t>
            </w:r>
          </w:p>
        </w:tc>
        <w:tc>
          <w:tcPr>
            <w:tcW w:w="1222" w:type="pct"/>
            <w:tcBorders>
              <w:top w:val="single" w:sz="4" w:space="0" w:color="auto"/>
              <w:left w:val="single" w:sz="4" w:space="0" w:color="auto"/>
              <w:bottom w:val="single" w:sz="4" w:space="0" w:color="auto"/>
              <w:right w:val="single" w:sz="4" w:space="0" w:color="auto"/>
            </w:tcBorders>
            <w:hideMark/>
          </w:tcPr>
          <w:p w14:paraId="02E790EB" w14:textId="77777777" w:rsidR="00F566E7" w:rsidRPr="009226BC" w:rsidRDefault="00F566E7" w:rsidP="00E92252">
            <w:pPr>
              <w:jc w:val="right"/>
              <w:rPr>
                <w:rFonts w:ascii="Calibri" w:hAnsi="Calibri" w:cs="Calibri"/>
                <w:sz w:val="20"/>
                <w:szCs w:val="20"/>
              </w:rPr>
            </w:pPr>
            <w:r w:rsidRPr="009226B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8AF3215" w14:textId="105F8C58" w:rsidR="00F566E7" w:rsidRPr="009226BC" w:rsidRDefault="00F566E7" w:rsidP="00E92252">
            <w:pPr>
              <w:jc w:val="right"/>
              <w:rPr>
                <w:rFonts w:ascii="Calibri" w:hAnsi="Calibri" w:cs="Calibri"/>
                <w:sz w:val="20"/>
                <w:szCs w:val="20"/>
              </w:rPr>
            </w:pPr>
            <w:r>
              <w:rPr>
                <w:rFonts w:ascii="Calibri" w:hAnsi="Calibri" w:cs="Calibri"/>
                <w:sz w:val="20"/>
                <w:szCs w:val="20"/>
              </w:rPr>
              <w:t>61</w:t>
            </w:r>
          </w:p>
        </w:tc>
      </w:tr>
      <w:tr w:rsidR="00F566E7" w:rsidRPr="00CD725B" w14:paraId="09E81EDC" w14:textId="77777777" w:rsidTr="00E92252">
        <w:trPr>
          <w:trHeight w:val="445"/>
        </w:trPr>
        <w:tc>
          <w:tcPr>
            <w:tcW w:w="546" w:type="pct"/>
            <w:tcBorders>
              <w:top w:val="single" w:sz="4" w:space="0" w:color="auto"/>
              <w:left w:val="single" w:sz="4" w:space="0" w:color="auto"/>
              <w:bottom w:val="single" w:sz="4" w:space="0" w:color="auto"/>
              <w:right w:val="single" w:sz="4" w:space="0" w:color="auto"/>
            </w:tcBorders>
            <w:hideMark/>
          </w:tcPr>
          <w:p w14:paraId="4494A80A" w14:textId="77777777" w:rsidR="00F566E7" w:rsidRPr="00CD725B" w:rsidRDefault="00F566E7" w:rsidP="00E92252">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15FF5E67" w14:textId="77777777" w:rsidR="00F566E7" w:rsidRPr="00CD725B" w:rsidRDefault="00F566E7"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00D555EF" w14:textId="565C36BE" w:rsidR="00F566E7" w:rsidRPr="009226BC" w:rsidRDefault="00F566E7" w:rsidP="00E92252">
            <w:pPr>
              <w:jc w:val="right"/>
              <w:rPr>
                <w:rFonts w:ascii="Calibri" w:hAnsi="Calibri" w:cs="Calibri"/>
                <w:sz w:val="20"/>
                <w:szCs w:val="20"/>
              </w:rPr>
            </w:pPr>
            <w:r w:rsidRPr="009226BC">
              <w:rPr>
                <w:rFonts w:ascii="Calibri" w:hAnsi="Calibri" w:cs="Arial"/>
                <w:bCs/>
                <w:sz w:val="20"/>
                <w:szCs w:val="20"/>
              </w:rPr>
              <w:t>1</w:t>
            </w:r>
            <w:r>
              <w:rPr>
                <w:rFonts w:ascii="Calibri" w:hAnsi="Calibri" w:cs="Arial"/>
                <w:bCs/>
                <w:sz w:val="20"/>
                <w:szCs w:val="20"/>
              </w:rPr>
              <w:t>4</w:t>
            </w:r>
          </w:p>
        </w:tc>
        <w:tc>
          <w:tcPr>
            <w:tcW w:w="1222" w:type="pct"/>
            <w:tcBorders>
              <w:top w:val="single" w:sz="4" w:space="0" w:color="auto"/>
              <w:left w:val="single" w:sz="4" w:space="0" w:color="auto"/>
              <w:bottom w:val="single" w:sz="4" w:space="0" w:color="auto"/>
              <w:right w:val="single" w:sz="4" w:space="0" w:color="auto"/>
            </w:tcBorders>
            <w:hideMark/>
          </w:tcPr>
          <w:p w14:paraId="134E745D" w14:textId="77777777" w:rsidR="00F566E7" w:rsidRPr="009226BC" w:rsidRDefault="00F566E7" w:rsidP="00E92252">
            <w:pPr>
              <w:jc w:val="right"/>
              <w:rPr>
                <w:rFonts w:ascii="Calibri" w:hAnsi="Calibri" w:cs="Calibri"/>
                <w:sz w:val="20"/>
                <w:szCs w:val="20"/>
              </w:rPr>
            </w:pPr>
            <w:r w:rsidRPr="009226B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43D2D2A7" w14:textId="07EF98DC" w:rsidR="00F566E7" w:rsidRPr="009226BC" w:rsidRDefault="00F566E7" w:rsidP="00E92252">
            <w:pPr>
              <w:jc w:val="right"/>
              <w:rPr>
                <w:rFonts w:ascii="Calibri" w:hAnsi="Calibri" w:cs="Calibri"/>
                <w:sz w:val="20"/>
                <w:szCs w:val="20"/>
              </w:rPr>
            </w:pPr>
            <w:r w:rsidRPr="009226BC">
              <w:rPr>
                <w:rFonts w:ascii="Calibri" w:hAnsi="Calibri" w:cs="Arial"/>
                <w:bCs/>
                <w:sz w:val="20"/>
                <w:szCs w:val="20"/>
              </w:rPr>
              <w:t>1</w:t>
            </w:r>
            <w:r>
              <w:rPr>
                <w:rFonts w:ascii="Calibri" w:hAnsi="Calibri" w:cs="Arial"/>
                <w:bCs/>
                <w:sz w:val="20"/>
                <w:szCs w:val="20"/>
              </w:rPr>
              <w:t>4</w:t>
            </w:r>
          </w:p>
        </w:tc>
      </w:tr>
      <w:tr w:rsidR="00F566E7" w:rsidRPr="00CD725B" w14:paraId="0C44F579" w14:textId="77777777" w:rsidTr="00E92252">
        <w:trPr>
          <w:trHeight w:val="123"/>
        </w:trPr>
        <w:tc>
          <w:tcPr>
            <w:tcW w:w="546" w:type="pct"/>
            <w:tcBorders>
              <w:top w:val="single" w:sz="4" w:space="0" w:color="auto"/>
              <w:left w:val="single" w:sz="4" w:space="0" w:color="auto"/>
              <w:bottom w:val="single" w:sz="4" w:space="0" w:color="auto"/>
              <w:right w:val="single" w:sz="4" w:space="0" w:color="auto"/>
            </w:tcBorders>
          </w:tcPr>
          <w:p w14:paraId="28F492F9" w14:textId="77777777" w:rsidR="00F566E7" w:rsidRPr="00CD725B" w:rsidRDefault="00F566E7" w:rsidP="00E9225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49B72503" w14:textId="77777777" w:rsidR="00F566E7" w:rsidRPr="00CD725B" w:rsidRDefault="00F566E7" w:rsidP="00E92252">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1213B3AB" w14:textId="735928A3" w:rsidR="00F566E7" w:rsidRPr="009226BC" w:rsidRDefault="00F566E7" w:rsidP="00E92252">
            <w:pPr>
              <w:jc w:val="right"/>
              <w:rPr>
                <w:rFonts w:ascii="Calibri" w:hAnsi="Calibri" w:cs="Calibri"/>
                <w:b/>
                <w:sz w:val="20"/>
                <w:szCs w:val="20"/>
              </w:rPr>
            </w:pPr>
            <w:r>
              <w:rPr>
                <w:rFonts w:ascii="Calibri" w:hAnsi="Calibri" w:cs="Arial"/>
                <w:b/>
                <w:sz w:val="20"/>
                <w:szCs w:val="20"/>
              </w:rPr>
              <w:t>76</w:t>
            </w:r>
          </w:p>
        </w:tc>
        <w:tc>
          <w:tcPr>
            <w:tcW w:w="1222" w:type="pct"/>
            <w:tcBorders>
              <w:top w:val="single" w:sz="4" w:space="0" w:color="auto"/>
              <w:left w:val="single" w:sz="4" w:space="0" w:color="auto"/>
              <w:bottom w:val="single" w:sz="4" w:space="0" w:color="auto"/>
              <w:right w:val="single" w:sz="4" w:space="0" w:color="auto"/>
            </w:tcBorders>
            <w:hideMark/>
          </w:tcPr>
          <w:p w14:paraId="18E056DA" w14:textId="77777777" w:rsidR="00F566E7" w:rsidRPr="009226BC" w:rsidRDefault="00F566E7" w:rsidP="00E92252">
            <w:pPr>
              <w:jc w:val="right"/>
              <w:rPr>
                <w:rFonts w:ascii="Calibri" w:hAnsi="Calibri" w:cs="Calibri"/>
                <w:b/>
                <w:sz w:val="20"/>
                <w:szCs w:val="20"/>
              </w:rPr>
            </w:pPr>
            <w:r w:rsidRPr="009226BC">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7170B7B8" w14:textId="3D0ADBF9" w:rsidR="00F566E7" w:rsidRPr="009226BC" w:rsidRDefault="00F566E7" w:rsidP="00E92252">
            <w:pPr>
              <w:jc w:val="right"/>
              <w:rPr>
                <w:rFonts w:ascii="Calibri" w:hAnsi="Calibri" w:cs="Calibri"/>
                <w:b/>
                <w:sz w:val="20"/>
                <w:szCs w:val="20"/>
              </w:rPr>
            </w:pPr>
            <w:r>
              <w:rPr>
                <w:rFonts w:ascii="Calibri" w:hAnsi="Calibri" w:cs="Calibri"/>
                <w:b/>
                <w:sz w:val="20"/>
                <w:szCs w:val="20"/>
              </w:rPr>
              <w:t>76</w:t>
            </w:r>
          </w:p>
        </w:tc>
      </w:tr>
    </w:tbl>
    <w:p w14:paraId="4C89DE86" w14:textId="77777777" w:rsidR="00F566E7" w:rsidRPr="00CD725B" w:rsidRDefault="00F566E7" w:rsidP="00F566E7">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602AA407" w14:textId="77777777" w:rsidR="00F566E7" w:rsidRPr="00CD725B" w:rsidRDefault="00F566E7" w:rsidP="00F566E7">
      <w:pPr>
        <w:tabs>
          <w:tab w:val="left" w:pos="567"/>
          <w:tab w:val="left" w:pos="8222"/>
        </w:tabs>
        <w:rPr>
          <w:rFonts w:ascii="Calibri" w:hAnsi="Calibri" w:cs="Arial"/>
          <w:bCs/>
          <w:sz w:val="16"/>
          <w:szCs w:val="16"/>
        </w:rPr>
      </w:pPr>
      <w:r w:rsidRPr="00CD725B">
        <w:rPr>
          <w:rFonts w:ascii="Calibri" w:hAnsi="Calibri" w:cs="Arial"/>
          <w:bCs/>
          <w:sz w:val="16"/>
          <w:szCs w:val="16"/>
        </w:rPr>
        <w:t>1. Figures are rounded for display, however they may contain underlying decimal places.</w:t>
      </w:r>
    </w:p>
    <w:p w14:paraId="5EE38937" w14:textId="77777777" w:rsidR="00F566E7" w:rsidRPr="00CD725B" w:rsidRDefault="00F566E7" w:rsidP="00F566E7">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5A13F9AA" w14:textId="77777777" w:rsidR="00F566E7" w:rsidRPr="00CD725B" w:rsidRDefault="00F566E7" w:rsidP="00F566E7">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0783052F" w14:textId="77777777" w:rsidR="00F566E7" w:rsidRDefault="00F566E7">
      <w:pPr>
        <w:spacing w:after="200" w:line="276" w:lineRule="auto"/>
        <w:rPr>
          <w:rFonts w:ascii="Calibri" w:hAnsi="Calibri" w:cs="Arial"/>
          <w:b/>
          <w:sz w:val="20"/>
          <w:szCs w:val="20"/>
        </w:rPr>
      </w:pPr>
      <w:r>
        <w:rPr>
          <w:rFonts w:ascii="Calibri" w:hAnsi="Calibri" w:cs="Arial"/>
          <w:b/>
          <w:sz w:val="20"/>
          <w:szCs w:val="20"/>
        </w:rPr>
        <w:br w:type="page"/>
      </w:r>
    </w:p>
    <w:p w14:paraId="3B91550B" w14:textId="27AA0C14"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lastRenderedPageBreak/>
        <w:t xml:space="preserve">Table </w:t>
      </w:r>
      <w:r w:rsidR="00F566E7">
        <w:rPr>
          <w:rFonts w:ascii="Calibri" w:hAnsi="Calibri" w:cs="Arial"/>
          <w:b/>
          <w:sz w:val="20"/>
          <w:szCs w:val="20"/>
        </w:rPr>
        <w:t>2c</w:t>
      </w:r>
      <w:r w:rsidRPr="00CD725B">
        <w:rPr>
          <w:rFonts w:ascii="Calibri" w:hAnsi="Calibri" w:cs="Arial"/>
          <w:b/>
          <w:sz w:val="20"/>
          <w:szCs w:val="20"/>
        </w:rPr>
        <w:t>(i): Allocated funding for Equity Places for 202</w:t>
      </w:r>
      <w:r w:rsidR="009226BC">
        <w:rPr>
          <w:rFonts w:ascii="Calibri" w:hAnsi="Calibri" w:cs="Arial"/>
          <w:b/>
          <w:sz w:val="20"/>
          <w:szCs w:val="20"/>
        </w:rPr>
        <w:t>4</w:t>
      </w:r>
      <w:r w:rsidR="00F566E7">
        <w:rPr>
          <w:rFonts w:ascii="Calibri" w:hAnsi="Calibri" w:cs="Arial"/>
          <w:b/>
          <w:sz w:val="20"/>
          <w:szCs w:val="20"/>
        </w:rPr>
        <w:t xml:space="preserve"> and 2025</w:t>
      </w:r>
    </w:p>
    <w:tbl>
      <w:tblPr>
        <w:tblStyle w:val="TableGrid"/>
        <w:tblW w:w="5000" w:type="pct"/>
        <w:tblLook w:val="04A0" w:firstRow="1" w:lastRow="0" w:firstColumn="1" w:lastColumn="0" w:noHBand="0" w:noVBand="1"/>
      </w:tblPr>
      <w:tblGrid>
        <w:gridCol w:w="1925"/>
        <w:gridCol w:w="1925"/>
        <w:gridCol w:w="1926"/>
        <w:gridCol w:w="1926"/>
        <w:gridCol w:w="1926"/>
      </w:tblGrid>
      <w:tr w:rsidR="009226BC" w:rsidRPr="00CD725B" w14:paraId="732572C6" w14:textId="77777777" w:rsidTr="00B04A85">
        <w:tc>
          <w:tcPr>
            <w:tcW w:w="1000" w:type="pct"/>
          </w:tcPr>
          <w:p w14:paraId="48303EAB" w14:textId="77777777" w:rsidR="009226BC" w:rsidRPr="00CD725B" w:rsidRDefault="009226BC" w:rsidP="00B04A85">
            <w:pPr>
              <w:rPr>
                <w:rFonts w:asciiTheme="minorHAnsi" w:hAnsiTheme="minorHAnsi" w:cstheme="minorHAnsi"/>
                <w:b/>
                <w:bCs/>
                <w:sz w:val="20"/>
                <w:szCs w:val="20"/>
              </w:rPr>
            </w:pPr>
            <w:bookmarkStart w:id="6" w:name="_Hlk153218792"/>
            <w:bookmarkStart w:id="7" w:name="_Hlk120196329"/>
            <w:r w:rsidRPr="00CD725B">
              <w:rPr>
                <w:rFonts w:asciiTheme="minorHAnsi" w:hAnsiTheme="minorHAnsi" w:cstheme="minorHAnsi"/>
                <w:b/>
                <w:bCs/>
                <w:sz w:val="20"/>
                <w:szCs w:val="20"/>
              </w:rPr>
              <w:t>Priority Area</w:t>
            </w:r>
          </w:p>
        </w:tc>
        <w:tc>
          <w:tcPr>
            <w:tcW w:w="1000" w:type="pct"/>
          </w:tcPr>
          <w:p w14:paraId="7DE11323" w14:textId="77777777" w:rsidR="009226BC" w:rsidRPr="00CD725B" w:rsidRDefault="009226BC" w:rsidP="00B04A85">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1000" w:type="pct"/>
          </w:tcPr>
          <w:p w14:paraId="3EA830EF" w14:textId="77777777" w:rsidR="009226BC" w:rsidRPr="00CD725B" w:rsidRDefault="009226BC" w:rsidP="00B04A85">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1000" w:type="pct"/>
          </w:tcPr>
          <w:p w14:paraId="556A072E" w14:textId="77777777" w:rsidR="009226BC" w:rsidRPr="00CD725B" w:rsidRDefault="009226BC" w:rsidP="00B04A85">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1000" w:type="pct"/>
          </w:tcPr>
          <w:p w14:paraId="5FA25F0E" w14:textId="77777777" w:rsidR="009226BC" w:rsidRPr="00CD725B" w:rsidRDefault="009226BC" w:rsidP="00B04A85">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9226BC" w:rsidRPr="00CD725B" w14:paraId="3A984FFF" w14:textId="77777777" w:rsidTr="00B04A85">
        <w:tc>
          <w:tcPr>
            <w:tcW w:w="1000" w:type="pct"/>
          </w:tcPr>
          <w:p w14:paraId="7EB11C33" w14:textId="544E7A03" w:rsidR="009226BC" w:rsidRPr="00CD725B" w:rsidRDefault="009226BC" w:rsidP="009226BC">
            <w:pPr>
              <w:rPr>
                <w:rFonts w:asciiTheme="minorHAnsi" w:hAnsiTheme="minorHAnsi" w:cstheme="minorHAnsi"/>
                <w:color w:val="000000" w:themeColor="text1"/>
                <w:sz w:val="20"/>
                <w:szCs w:val="20"/>
              </w:rPr>
            </w:pPr>
            <w:r w:rsidRPr="00F54AE1">
              <w:rPr>
                <w:rFonts w:asciiTheme="minorHAnsi" w:hAnsiTheme="minorHAnsi" w:cstheme="minorHAnsi"/>
                <w:color w:val="000000" w:themeColor="text1"/>
                <w:sz w:val="20"/>
                <w:szCs w:val="20"/>
              </w:rPr>
              <w:t>Nursing</w:t>
            </w:r>
          </w:p>
        </w:tc>
        <w:tc>
          <w:tcPr>
            <w:tcW w:w="1000" w:type="pct"/>
          </w:tcPr>
          <w:p w14:paraId="6B93BD8C" w14:textId="2D785073" w:rsidR="009226BC" w:rsidRPr="00634C40" w:rsidRDefault="009226BC" w:rsidP="009226BC">
            <w:pPr>
              <w:jc w:val="right"/>
              <w:rPr>
                <w:rFonts w:ascii="Calibri" w:hAnsi="Calibri" w:cs="Arial"/>
                <w:bCs/>
                <w:sz w:val="20"/>
                <w:szCs w:val="20"/>
              </w:rPr>
            </w:pPr>
            <w:r>
              <w:rPr>
                <w:rFonts w:ascii="Calibri" w:hAnsi="Calibri" w:cs="Arial"/>
                <w:bCs/>
                <w:sz w:val="20"/>
                <w:szCs w:val="20"/>
              </w:rPr>
              <w:t>12</w:t>
            </w:r>
          </w:p>
        </w:tc>
        <w:tc>
          <w:tcPr>
            <w:tcW w:w="1000" w:type="pct"/>
          </w:tcPr>
          <w:p w14:paraId="1DDB88CA" w14:textId="56BB8339" w:rsidR="009226BC" w:rsidRPr="00634C40" w:rsidRDefault="009226BC" w:rsidP="009226BC">
            <w:pPr>
              <w:jc w:val="right"/>
              <w:rPr>
                <w:rFonts w:asciiTheme="minorHAnsi" w:hAnsiTheme="minorHAnsi" w:cstheme="minorHAnsi"/>
                <w:sz w:val="20"/>
                <w:szCs w:val="20"/>
              </w:rPr>
            </w:pPr>
            <w:r>
              <w:rPr>
                <w:rFonts w:asciiTheme="minorHAnsi" w:hAnsiTheme="minorHAnsi" w:cstheme="minorHAnsi"/>
                <w:sz w:val="20"/>
                <w:szCs w:val="20"/>
              </w:rPr>
              <w:t>10</w:t>
            </w:r>
          </w:p>
        </w:tc>
        <w:tc>
          <w:tcPr>
            <w:tcW w:w="1000" w:type="pct"/>
          </w:tcPr>
          <w:p w14:paraId="0A1B7AA3" w14:textId="0B5E36CA" w:rsidR="009226BC" w:rsidRPr="00634C40" w:rsidRDefault="009226BC" w:rsidP="009226BC">
            <w:pPr>
              <w:jc w:val="right"/>
              <w:rPr>
                <w:rFonts w:asciiTheme="minorHAnsi" w:hAnsiTheme="minorHAnsi" w:cstheme="minorHAnsi"/>
                <w:sz w:val="20"/>
                <w:szCs w:val="20"/>
              </w:rPr>
            </w:pPr>
            <w:r w:rsidRPr="009226BC">
              <w:rPr>
                <w:rFonts w:asciiTheme="minorHAnsi" w:hAnsiTheme="minorHAnsi" w:cstheme="minorHAnsi"/>
                <w:sz w:val="20"/>
                <w:szCs w:val="20"/>
              </w:rPr>
              <w:t>$352,595</w:t>
            </w:r>
          </w:p>
        </w:tc>
        <w:tc>
          <w:tcPr>
            <w:tcW w:w="1000" w:type="pct"/>
          </w:tcPr>
          <w:p w14:paraId="5B3C7D1B" w14:textId="419E1868" w:rsidR="009226BC" w:rsidRPr="00634C40" w:rsidRDefault="00F566E7" w:rsidP="009226BC">
            <w:pPr>
              <w:jc w:val="right"/>
              <w:rPr>
                <w:rFonts w:ascii="Calibri" w:hAnsi="Calibri" w:cs="Arial"/>
                <w:bCs/>
                <w:sz w:val="20"/>
                <w:szCs w:val="20"/>
              </w:rPr>
            </w:pPr>
            <w:r w:rsidRPr="00F566E7">
              <w:rPr>
                <w:rFonts w:ascii="Calibri" w:hAnsi="Calibri" w:cs="Arial"/>
                <w:bCs/>
                <w:sz w:val="20"/>
                <w:szCs w:val="20"/>
              </w:rPr>
              <w:t>$275,275</w:t>
            </w:r>
          </w:p>
        </w:tc>
      </w:tr>
      <w:tr w:rsidR="009226BC" w:rsidRPr="00CD725B" w14:paraId="05C1FA47" w14:textId="77777777" w:rsidTr="00B04A85">
        <w:tc>
          <w:tcPr>
            <w:tcW w:w="1000" w:type="pct"/>
          </w:tcPr>
          <w:p w14:paraId="0F6CACC1" w14:textId="61AB9842" w:rsidR="009226BC" w:rsidRDefault="009226BC" w:rsidP="009226B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Computing</w:t>
            </w:r>
          </w:p>
        </w:tc>
        <w:tc>
          <w:tcPr>
            <w:tcW w:w="1000" w:type="pct"/>
          </w:tcPr>
          <w:p w14:paraId="572C1D3D" w14:textId="2277B2EB" w:rsidR="009226BC" w:rsidRPr="00634C40" w:rsidRDefault="009226BC" w:rsidP="009226BC">
            <w:pPr>
              <w:jc w:val="right"/>
              <w:rPr>
                <w:rFonts w:ascii="Calibri" w:hAnsi="Calibri" w:cs="Arial"/>
                <w:bCs/>
                <w:sz w:val="20"/>
                <w:szCs w:val="20"/>
              </w:rPr>
            </w:pPr>
            <w:r>
              <w:rPr>
                <w:rFonts w:ascii="Calibri" w:hAnsi="Calibri" w:cs="Arial"/>
                <w:bCs/>
                <w:sz w:val="20"/>
                <w:szCs w:val="20"/>
              </w:rPr>
              <w:t>73</w:t>
            </w:r>
          </w:p>
        </w:tc>
        <w:tc>
          <w:tcPr>
            <w:tcW w:w="1000" w:type="pct"/>
          </w:tcPr>
          <w:p w14:paraId="526A8A2F" w14:textId="68701056" w:rsidR="009226BC" w:rsidRPr="00634C40" w:rsidRDefault="009226BC" w:rsidP="009226BC">
            <w:pPr>
              <w:jc w:val="right"/>
              <w:rPr>
                <w:rFonts w:ascii="Calibri" w:hAnsi="Calibri" w:cs="Arial"/>
                <w:bCs/>
                <w:sz w:val="20"/>
                <w:szCs w:val="20"/>
              </w:rPr>
            </w:pPr>
            <w:r>
              <w:rPr>
                <w:rFonts w:ascii="Calibri" w:hAnsi="Calibri" w:cs="Arial"/>
                <w:bCs/>
                <w:sz w:val="20"/>
                <w:szCs w:val="20"/>
              </w:rPr>
              <w:t>53</w:t>
            </w:r>
          </w:p>
        </w:tc>
        <w:tc>
          <w:tcPr>
            <w:tcW w:w="1000" w:type="pct"/>
          </w:tcPr>
          <w:p w14:paraId="5C440723" w14:textId="4D10D058" w:rsidR="009226BC" w:rsidRPr="00634C40" w:rsidRDefault="009226BC" w:rsidP="009226BC">
            <w:pPr>
              <w:jc w:val="right"/>
              <w:rPr>
                <w:rFonts w:ascii="Calibri" w:hAnsi="Calibri" w:cs="Arial"/>
                <w:bCs/>
                <w:sz w:val="20"/>
                <w:szCs w:val="20"/>
              </w:rPr>
            </w:pPr>
            <w:r w:rsidRPr="009226BC">
              <w:rPr>
                <w:rFonts w:ascii="Calibri" w:hAnsi="Calibri" w:cs="Arial"/>
                <w:bCs/>
                <w:sz w:val="20"/>
                <w:szCs w:val="20"/>
              </w:rPr>
              <w:t>$1,602,017</w:t>
            </w:r>
          </w:p>
        </w:tc>
        <w:tc>
          <w:tcPr>
            <w:tcW w:w="1000" w:type="pct"/>
          </w:tcPr>
          <w:p w14:paraId="38D2B04B" w14:textId="691B3003" w:rsidR="009226BC" w:rsidRPr="00634C40" w:rsidRDefault="00F566E7" w:rsidP="009226BC">
            <w:pPr>
              <w:jc w:val="right"/>
              <w:rPr>
                <w:rFonts w:ascii="Calibri" w:hAnsi="Calibri" w:cs="Arial"/>
                <w:bCs/>
                <w:sz w:val="20"/>
                <w:szCs w:val="20"/>
              </w:rPr>
            </w:pPr>
            <w:r w:rsidRPr="00F566E7">
              <w:rPr>
                <w:rFonts w:ascii="Calibri" w:hAnsi="Calibri" w:cs="Arial"/>
                <w:bCs/>
                <w:sz w:val="20"/>
                <w:szCs w:val="20"/>
              </w:rPr>
              <w:t>$953,799</w:t>
            </w:r>
          </w:p>
        </w:tc>
      </w:tr>
      <w:tr w:rsidR="009226BC" w:rsidRPr="00CD725B" w14:paraId="251C843F" w14:textId="77777777" w:rsidTr="00B04A85">
        <w:tc>
          <w:tcPr>
            <w:tcW w:w="1000" w:type="pct"/>
          </w:tcPr>
          <w:p w14:paraId="0041C5A7" w14:textId="77777777" w:rsidR="009226BC" w:rsidRPr="00CD725B" w:rsidRDefault="009226BC" w:rsidP="00B04A85">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1000" w:type="pct"/>
          </w:tcPr>
          <w:p w14:paraId="76484D3D" w14:textId="325972E9" w:rsidR="009226BC" w:rsidRPr="009226BC" w:rsidRDefault="009226BC" w:rsidP="00B04A85">
            <w:pPr>
              <w:jc w:val="right"/>
              <w:rPr>
                <w:rFonts w:ascii="Calibri" w:hAnsi="Calibri" w:cs="Arial"/>
                <w:b/>
                <w:sz w:val="20"/>
                <w:szCs w:val="20"/>
              </w:rPr>
            </w:pPr>
            <w:r w:rsidRPr="009226BC">
              <w:rPr>
                <w:rFonts w:ascii="Calibri" w:hAnsi="Calibri" w:cs="Arial"/>
                <w:b/>
                <w:sz w:val="20"/>
                <w:szCs w:val="20"/>
              </w:rPr>
              <w:t>85</w:t>
            </w:r>
          </w:p>
        </w:tc>
        <w:tc>
          <w:tcPr>
            <w:tcW w:w="1000" w:type="pct"/>
          </w:tcPr>
          <w:p w14:paraId="4EC8187E" w14:textId="71E5290E" w:rsidR="009226BC" w:rsidRPr="009226BC" w:rsidRDefault="009226BC" w:rsidP="00B04A85">
            <w:pPr>
              <w:jc w:val="right"/>
              <w:rPr>
                <w:rFonts w:asciiTheme="minorHAnsi" w:hAnsiTheme="minorHAnsi" w:cstheme="minorHAnsi"/>
                <w:b/>
                <w:sz w:val="20"/>
                <w:szCs w:val="20"/>
              </w:rPr>
            </w:pPr>
            <w:r w:rsidRPr="009226BC">
              <w:rPr>
                <w:rFonts w:asciiTheme="minorHAnsi" w:hAnsiTheme="minorHAnsi" w:cstheme="minorHAnsi"/>
                <w:b/>
                <w:sz w:val="20"/>
                <w:szCs w:val="20"/>
              </w:rPr>
              <w:t>63</w:t>
            </w:r>
          </w:p>
        </w:tc>
        <w:tc>
          <w:tcPr>
            <w:tcW w:w="1000" w:type="pct"/>
          </w:tcPr>
          <w:p w14:paraId="6D60813F" w14:textId="405A9ED0" w:rsidR="009226BC" w:rsidRPr="009226BC" w:rsidRDefault="009226BC" w:rsidP="00B04A85">
            <w:pPr>
              <w:jc w:val="right"/>
              <w:rPr>
                <w:rFonts w:asciiTheme="minorHAnsi" w:hAnsiTheme="minorHAnsi" w:cstheme="minorHAnsi"/>
                <w:b/>
                <w:sz w:val="20"/>
                <w:szCs w:val="20"/>
              </w:rPr>
            </w:pPr>
            <w:r w:rsidRPr="009226BC">
              <w:rPr>
                <w:rFonts w:asciiTheme="minorHAnsi" w:hAnsiTheme="minorHAnsi" w:cstheme="minorHAnsi"/>
                <w:b/>
                <w:sz w:val="20"/>
                <w:szCs w:val="20"/>
              </w:rPr>
              <w:t>$1,954,612</w:t>
            </w:r>
          </w:p>
        </w:tc>
        <w:tc>
          <w:tcPr>
            <w:tcW w:w="1000" w:type="pct"/>
          </w:tcPr>
          <w:p w14:paraId="2A4B482C" w14:textId="530DC1F3" w:rsidR="009226BC" w:rsidRPr="009226BC" w:rsidRDefault="00F566E7" w:rsidP="00B04A85">
            <w:pPr>
              <w:jc w:val="right"/>
              <w:rPr>
                <w:rFonts w:ascii="Calibri" w:hAnsi="Calibri" w:cs="Arial"/>
                <w:b/>
                <w:sz w:val="20"/>
                <w:szCs w:val="20"/>
              </w:rPr>
            </w:pPr>
            <w:r w:rsidRPr="00F566E7">
              <w:rPr>
                <w:rFonts w:ascii="Calibri" w:hAnsi="Calibri" w:cs="Arial"/>
                <w:b/>
                <w:sz w:val="20"/>
                <w:szCs w:val="20"/>
              </w:rPr>
              <w:t>$1,229,073</w:t>
            </w:r>
          </w:p>
        </w:tc>
      </w:tr>
    </w:tbl>
    <w:bookmarkEnd w:id="6"/>
    <w:p w14:paraId="10425554" w14:textId="618C3879" w:rsidR="00F566E7" w:rsidRDefault="00F566E7" w:rsidP="00F566E7">
      <w:pPr>
        <w:tabs>
          <w:tab w:val="left" w:pos="567"/>
          <w:tab w:val="left" w:pos="8222"/>
        </w:tabs>
        <w:rPr>
          <w:rFonts w:ascii="Calibri" w:hAnsi="Calibri" w:cs="Arial"/>
          <w:bCs/>
          <w:sz w:val="16"/>
          <w:szCs w:val="16"/>
        </w:rPr>
      </w:pPr>
      <w:r w:rsidRPr="009D134B">
        <w:rPr>
          <w:rFonts w:ascii="Calibri" w:hAnsi="Calibri" w:cs="Arial"/>
          <w:bCs/>
          <w:sz w:val="16"/>
          <w:szCs w:val="16"/>
        </w:rPr>
        <w:t xml:space="preserve">Note: </w:t>
      </w:r>
      <w:r w:rsidRPr="0081616C">
        <w:rPr>
          <w:rFonts w:ascii="Calibri" w:hAnsi="Calibri" w:cs="Arial"/>
          <w:bCs/>
          <w:sz w:val="16"/>
          <w:szCs w:val="16"/>
        </w:rPr>
        <w:t xml:space="preserve">Allocated funding figures shown in Table </w:t>
      </w:r>
      <w:r>
        <w:rPr>
          <w:rFonts w:ascii="Calibri" w:hAnsi="Calibri" w:cs="Arial"/>
          <w:bCs/>
          <w:sz w:val="16"/>
          <w:szCs w:val="16"/>
        </w:rPr>
        <w:t>2c(i)</w:t>
      </w:r>
      <w:r w:rsidRPr="0081616C">
        <w:rPr>
          <w:rFonts w:ascii="Calibri" w:hAnsi="Calibri" w:cs="Arial"/>
          <w:bCs/>
          <w:sz w:val="16"/>
          <w:szCs w:val="16"/>
        </w:rPr>
        <w:t xml:space="preserve"> indicate funding to be used for Equity Places commencing in 2023 and 2024. </w:t>
      </w:r>
      <w:r w:rsidRPr="009D134B">
        <w:rPr>
          <w:rFonts w:ascii="Calibri" w:hAnsi="Calibri" w:cs="Arial"/>
          <w:bCs/>
          <w:sz w:val="16"/>
          <w:szCs w:val="16"/>
        </w:rPr>
        <w:t>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r>
        <w:rPr>
          <w:rFonts w:ascii="Calibri" w:hAnsi="Calibri" w:cs="Arial"/>
          <w:bCs/>
          <w:sz w:val="16"/>
          <w:szCs w:val="16"/>
        </w:rPr>
        <w:br/>
      </w:r>
      <w:r w:rsidRPr="0081616C">
        <w:rPr>
          <w:rFonts w:ascii="Calibri" w:hAnsi="Calibri" w:cs="Arial"/>
          <w:bCs/>
          <w:sz w:val="16"/>
          <w:szCs w:val="16"/>
        </w:rPr>
        <w:t>2024 and 2025 funding amounts include pipeline funding for places that commenced in 2023 and 2024</w:t>
      </w:r>
      <w:r>
        <w:rPr>
          <w:rFonts w:ascii="Calibri" w:hAnsi="Calibri" w:cs="Arial"/>
          <w:bCs/>
          <w:sz w:val="16"/>
          <w:szCs w:val="16"/>
        </w:rPr>
        <w:t>.</w:t>
      </w:r>
    </w:p>
    <w:bookmarkEnd w:id="7"/>
    <w:p w14:paraId="7E9E3AB7" w14:textId="7E05348E" w:rsidR="009226BC" w:rsidRPr="005651CB" w:rsidRDefault="00B7665C" w:rsidP="009226B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r>
      <w:r w:rsidR="009226BC" w:rsidRPr="005651CB">
        <w:rPr>
          <w:rFonts w:ascii="Calibri" w:hAnsi="Calibri" w:cs="Arial"/>
          <w:b/>
          <w:sz w:val="20"/>
          <w:szCs w:val="20"/>
        </w:rPr>
        <w:t xml:space="preserve">Table </w:t>
      </w:r>
      <w:r w:rsidR="00F566E7">
        <w:rPr>
          <w:rFonts w:ascii="Calibri" w:hAnsi="Calibri" w:cs="Arial"/>
          <w:b/>
          <w:sz w:val="20"/>
          <w:szCs w:val="20"/>
        </w:rPr>
        <w:t>2c</w:t>
      </w:r>
      <w:r w:rsidR="009226BC" w:rsidRPr="005651CB">
        <w:rPr>
          <w:rFonts w:ascii="Calibri" w:hAnsi="Calibri" w:cs="Arial"/>
          <w:b/>
          <w:sz w:val="20"/>
          <w:szCs w:val="20"/>
        </w:rPr>
        <w:t xml:space="preserve">(ii): Approved </w:t>
      </w:r>
      <w:r w:rsidR="009226BC">
        <w:rPr>
          <w:rFonts w:ascii="Calibri" w:hAnsi="Calibri" w:cs="Arial"/>
          <w:b/>
          <w:sz w:val="20"/>
          <w:szCs w:val="20"/>
        </w:rPr>
        <w:t>courses to be delivered with allocated funding for Equity Places in 2024</w:t>
      </w:r>
    </w:p>
    <w:tbl>
      <w:tblPr>
        <w:tblStyle w:val="TableGrid1"/>
        <w:tblW w:w="5000" w:type="pct"/>
        <w:tblLook w:val="04A0" w:firstRow="1" w:lastRow="0" w:firstColumn="1" w:lastColumn="0" w:noHBand="0" w:noVBand="1"/>
      </w:tblPr>
      <w:tblGrid>
        <w:gridCol w:w="2166"/>
        <w:gridCol w:w="2825"/>
        <w:gridCol w:w="4637"/>
      </w:tblGrid>
      <w:tr w:rsidR="009226BC" w:rsidRPr="001A1D49" w14:paraId="354D2E50" w14:textId="77777777" w:rsidTr="00B04A85">
        <w:tc>
          <w:tcPr>
            <w:tcW w:w="1125" w:type="pct"/>
          </w:tcPr>
          <w:p w14:paraId="173F7DB6" w14:textId="77777777" w:rsidR="009226BC" w:rsidRPr="005651CB" w:rsidRDefault="009226BC" w:rsidP="00B04A85">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79C67313" w14:textId="77777777" w:rsidR="009226BC" w:rsidRPr="005651CB" w:rsidRDefault="009226BC" w:rsidP="00B04A85">
            <w:pPr>
              <w:spacing w:before="120" w:after="120"/>
              <w:rPr>
                <w:rFonts w:ascii="Calibri" w:hAnsi="Calibri"/>
                <w:b/>
                <w:bCs/>
                <w:sz w:val="20"/>
                <w:szCs w:val="22"/>
              </w:rPr>
            </w:pPr>
            <w:r>
              <w:rPr>
                <w:rFonts w:ascii="Calibri" w:hAnsi="Calibri"/>
                <w:b/>
                <w:bCs/>
                <w:sz w:val="20"/>
                <w:szCs w:val="22"/>
              </w:rPr>
              <w:t>Priority Area</w:t>
            </w:r>
          </w:p>
        </w:tc>
        <w:tc>
          <w:tcPr>
            <w:tcW w:w="2408" w:type="pct"/>
          </w:tcPr>
          <w:p w14:paraId="4D399670" w14:textId="77777777" w:rsidR="009226BC" w:rsidRPr="005651CB" w:rsidRDefault="009226BC" w:rsidP="00B04A85">
            <w:pPr>
              <w:spacing w:before="120" w:after="120"/>
              <w:rPr>
                <w:rFonts w:ascii="Calibri" w:hAnsi="Calibri"/>
                <w:b/>
                <w:bCs/>
                <w:sz w:val="20"/>
                <w:szCs w:val="22"/>
              </w:rPr>
            </w:pPr>
            <w:r w:rsidRPr="005651CB">
              <w:rPr>
                <w:rFonts w:ascii="Calibri" w:hAnsi="Calibri"/>
                <w:b/>
                <w:bCs/>
                <w:sz w:val="20"/>
                <w:szCs w:val="22"/>
              </w:rPr>
              <w:t>Course Name</w:t>
            </w:r>
          </w:p>
        </w:tc>
      </w:tr>
      <w:tr w:rsidR="009226BC" w14:paraId="6C5FD9AD" w14:textId="77777777" w:rsidTr="00B04A85">
        <w:tc>
          <w:tcPr>
            <w:tcW w:w="1125" w:type="pct"/>
          </w:tcPr>
          <w:p w14:paraId="6CF694EB" w14:textId="77777777" w:rsidR="009226BC" w:rsidRPr="00F54AE1" w:rsidRDefault="009226BC" w:rsidP="00B04A85">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4ABBDDC0" w14:textId="77777777" w:rsidR="009226BC" w:rsidRDefault="009226BC"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Nursing</w:t>
            </w:r>
          </w:p>
        </w:tc>
        <w:tc>
          <w:tcPr>
            <w:tcW w:w="2408" w:type="pct"/>
            <w:vAlign w:val="bottom"/>
          </w:tcPr>
          <w:p w14:paraId="2436FB9F" w14:textId="77777777" w:rsidR="009226BC" w:rsidRPr="00F54AE1" w:rsidRDefault="009226BC" w:rsidP="00B04A85">
            <w:pPr>
              <w:rPr>
                <w:rFonts w:ascii="Calibri" w:hAnsi="Calibri" w:cs="Calibri"/>
                <w:color w:val="000000"/>
                <w:sz w:val="20"/>
                <w:szCs w:val="20"/>
              </w:rPr>
            </w:pPr>
            <w:r>
              <w:rPr>
                <w:rFonts w:ascii="Calibri" w:hAnsi="Calibri" w:cs="Calibri"/>
                <w:color w:val="000000"/>
                <w:sz w:val="20"/>
                <w:szCs w:val="20"/>
              </w:rPr>
              <w:t>Bachelor of Nursing</w:t>
            </w:r>
          </w:p>
        </w:tc>
      </w:tr>
      <w:tr w:rsidR="009226BC" w14:paraId="685EF912" w14:textId="77777777" w:rsidTr="00B04A85">
        <w:tc>
          <w:tcPr>
            <w:tcW w:w="1125" w:type="pct"/>
          </w:tcPr>
          <w:p w14:paraId="342EB6A9" w14:textId="77777777" w:rsidR="009226BC" w:rsidRPr="00F54AE1" w:rsidRDefault="009226BC" w:rsidP="00B04A85">
            <w:pPr>
              <w:rPr>
                <w:rFonts w:asciiTheme="minorHAnsi" w:hAnsiTheme="minorHAnsi" w:cstheme="minorHAnsi"/>
                <w:color w:val="000000"/>
                <w:sz w:val="20"/>
                <w:szCs w:val="22"/>
              </w:rPr>
            </w:pPr>
            <w:r w:rsidRPr="00F54AE1">
              <w:rPr>
                <w:rFonts w:asciiTheme="minorHAnsi" w:hAnsiTheme="minorHAnsi" w:cstheme="minorHAnsi"/>
                <w:color w:val="000000"/>
                <w:sz w:val="20"/>
                <w:szCs w:val="22"/>
              </w:rPr>
              <w:t>Bachelor Degree</w:t>
            </w:r>
          </w:p>
        </w:tc>
        <w:tc>
          <w:tcPr>
            <w:tcW w:w="1467" w:type="pct"/>
          </w:tcPr>
          <w:p w14:paraId="7F225220" w14:textId="77777777" w:rsidR="009226BC" w:rsidRPr="00F54AE1" w:rsidRDefault="009226BC" w:rsidP="00B04A85">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62B58292" w14:textId="77777777" w:rsidR="009226BC" w:rsidRPr="00F54AE1" w:rsidRDefault="009226BC" w:rsidP="00B04A85">
            <w:pPr>
              <w:rPr>
                <w:rFonts w:asciiTheme="minorHAnsi" w:hAnsiTheme="minorHAnsi" w:cstheme="minorHAnsi"/>
                <w:color w:val="000000"/>
                <w:sz w:val="20"/>
                <w:szCs w:val="20"/>
                <w:highlight w:val="green"/>
              </w:rPr>
            </w:pPr>
            <w:r w:rsidRPr="00F54AE1">
              <w:rPr>
                <w:rFonts w:ascii="Calibri" w:hAnsi="Calibri" w:cs="Calibri"/>
                <w:color w:val="000000"/>
                <w:sz w:val="20"/>
                <w:szCs w:val="20"/>
              </w:rPr>
              <w:t>Bachelor of Information Technology</w:t>
            </w:r>
          </w:p>
        </w:tc>
      </w:tr>
      <w:tr w:rsidR="009226BC" w14:paraId="222FDE0E" w14:textId="77777777" w:rsidTr="00B04A85">
        <w:tc>
          <w:tcPr>
            <w:tcW w:w="1125" w:type="pct"/>
          </w:tcPr>
          <w:p w14:paraId="1E86262C" w14:textId="77777777" w:rsidR="009226BC" w:rsidRPr="00F54AE1" w:rsidRDefault="009226BC" w:rsidP="00B04A85">
            <w:pPr>
              <w:rPr>
                <w:rFonts w:asciiTheme="minorHAnsi" w:hAnsiTheme="minorHAnsi" w:cstheme="minorHAnsi"/>
                <w:color w:val="000000"/>
                <w:sz w:val="20"/>
                <w:szCs w:val="22"/>
              </w:rPr>
            </w:pPr>
            <w:r w:rsidRPr="00F54AE1">
              <w:rPr>
                <w:rFonts w:asciiTheme="minorHAnsi" w:hAnsiTheme="minorHAnsi" w:cstheme="minorHAnsi"/>
                <w:color w:val="000000"/>
                <w:sz w:val="20"/>
                <w:szCs w:val="22"/>
              </w:rPr>
              <w:t>Diploma</w:t>
            </w:r>
          </w:p>
        </w:tc>
        <w:tc>
          <w:tcPr>
            <w:tcW w:w="1467" w:type="pct"/>
          </w:tcPr>
          <w:p w14:paraId="1B73186A" w14:textId="77777777" w:rsidR="009226BC" w:rsidRPr="00F54AE1" w:rsidRDefault="009226BC" w:rsidP="00B04A85">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297C575A" w14:textId="77777777" w:rsidR="009226BC" w:rsidRPr="00F54AE1" w:rsidRDefault="009226BC" w:rsidP="00B04A85">
            <w:pPr>
              <w:rPr>
                <w:rFonts w:asciiTheme="minorHAnsi" w:hAnsiTheme="minorHAnsi" w:cstheme="minorHAnsi"/>
                <w:color w:val="000000"/>
                <w:sz w:val="20"/>
                <w:szCs w:val="20"/>
                <w:highlight w:val="green"/>
              </w:rPr>
            </w:pPr>
            <w:r w:rsidRPr="00F54AE1">
              <w:rPr>
                <w:rFonts w:ascii="Calibri" w:hAnsi="Calibri" w:cs="Calibri"/>
                <w:color w:val="000000"/>
                <w:sz w:val="20"/>
                <w:szCs w:val="20"/>
              </w:rPr>
              <w:t>Diploma of Information Technology</w:t>
            </w:r>
          </w:p>
        </w:tc>
      </w:tr>
      <w:tr w:rsidR="009226BC" w14:paraId="65EBE29B" w14:textId="77777777" w:rsidTr="00B04A85">
        <w:trPr>
          <w:trHeight w:val="70"/>
        </w:trPr>
        <w:tc>
          <w:tcPr>
            <w:tcW w:w="1125" w:type="pct"/>
          </w:tcPr>
          <w:p w14:paraId="21668811" w14:textId="77777777" w:rsidR="009226BC" w:rsidRPr="00F54AE1" w:rsidRDefault="009226BC" w:rsidP="00B04A85">
            <w:pPr>
              <w:rPr>
                <w:rFonts w:asciiTheme="minorHAnsi" w:hAnsiTheme="minorHAnsi" w:cstheme="minorHAnsi"/>
                <w:color w:val="000000"/>
                <w:sz w:val="20"/>
                <w:szCs w:val="22"/>
              </w:rPr>
            </w:pPr>
            <w:r w:rsidRPr="00F54AE1">
              <w:rPr>
                <w:rFonts w:asciiTheme="minorHAnsi" w:hAnsiTheme="minorHAnsi" w:cstheme="minorHAnsi"/>
                <w:color w:val="000000"/>
                <w:sz w:val="20"/>
                <w:szCs w:val="22"/>
              </w:rPr>
              <w:t>Bachelor Degree</w:t>
            </w:r>
          </w:p>
        </w:tc>
        <w:tc>
          <w:tcPr>
            <w:tcW w:w="1467" w:type="pct"/>
          </w:tcPr>
          <w:p w14:paraId="757ECADD" w14:textId="77777777" w:rsidR="009226BC" w:rsidRPr="00F54AE1" w:rsidRDefault="009226BC" w:rsidP="00B04A85">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1C39868F" w14:textId="77777777" w:rsidR="009226BC" w:rsidRPr="00F54AE1" w:rsidRDefault="009226BC" w:rsidP="00B04A85">
            <w:pPr>
              <w:rPr>
                <w:rFonts w:asciiTheme="minorHAnsi" w:hAnsiTheme="minorHAnsi" w:cstheme="minorHAnsi"/>
                <w:color w:val="000000"/>
                <w:sz w:val="20"/>
                <w:szCs w:val="20"/>
                <w:highlight w:val="green"/>
              </w:rPr>
            </w:pPr>
            <w:r w:rsidRPr="00F54AE1">
              <w:rPr>
                <w:rFonts w:ascii="Calibri" w:hAnsi="Calibri" w:cs="Calibri"/>
                <w:color w:val="000000"/>
                <w:sz w:val="20"/>
                <w:szCs w:val="20"/>
              </w:rPr>
              <w:t>Bachelor Cybersecurity</w:t>
            </w:r>
          </w:p>
        </w:tc>
      </w:tr>
      <w:tr w:rsidR="009226BC" w14:paraId="3344E026" w14:textId="77777777" w:rsidTr="00B04A85">
        <w:trPr>
          <w:trHeight w:val="70"/>
        </w:trPr>
        <w:tc>
          <w:tcPr>
            <w:tcW w:w="1125" w:type="pct"/>
          </w:tcPr>
          <w:p w14:paraId="2561392A" w14:textId="77777777" w:rsidR="009226BC" w:rsidRPr="00F54AE1" w:rsidRDefault="009226BC" w:rsidP="00B04A85">
            <w:pPr>
              <w:rPr>
                <w:rFonts w:asciiTheme="minorHAnsi" w:hAnsiTheme="minorHAnsi" w:cstheme="minorHAnsi"/>
                <w:color w:val="000000"/>
                <w:sz w:val="20"/>
                <w:szCs w:val="22"/>
              </w:rPr>
            </w:pPr>
            <w:r w:rsidRPr="00F54AE1">
              <w:rPr>
                <w:rFonts w:asciiTheme="minorHAnsi" w:hAnsiTheme="minorHAnsi" w:cstheme="minorHAnsi"/>
                <w:color w:val="000000"/>
                <w:sz w:val="20"/>
                <w:szCs w:val="22"/>
              </w:rPr>
              <w:t>Diploma</w:t>
            </w:r>
          </w:p>
        </w:tc>
        <w:tc>
          <w:tcPr>
            <w:tcW w:w="1467" w:type="pct"/>
          </w:tcPr>
          <w:p w14:paraId="1DDAC678" w14:textId="77777777" w:rsidR="009226BC" w:rsidRPr="00F54AE1" w:rsidRDefault="009226BC" w:rsidP="00B04A85">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6CFCA4A3" w14:textId="77777777" w:rsidR="009226BC" w:rsidRPr="00F54AE1" w:rsidRDefault="009226BC" w:rsidP="00B04A85">
            <w:pPr>
              <w:rPr>
                <w:rFonts w:asciiTheme="minorHAnsi" w:hAnsiTheme="minorHAnsi" w:cstheme="minorHAnsi"/>
                <w:color w:val="000000"/>
                <w:sz w:val="20"/>
                <w:szCs w:val="20"/>
                <w:highlight w:val="green"/>
              </w:rPr>
            </w:pPr>
            <w:r w:rsidRPr="00F54AE1">
              <w:rPr>
                <w:rFonts w:ascii="Calibri" w:hAnsi="Calibri" w:cs="Calibri"/>
                <w:color w:val="000000"/>
                <w:sz w:val="20"/>
                <w:szCs w:val="20"/>
              </w:rPr>
              <w:t>Diploma of Cybersecurity</w:t>
            </w:r>
          </w:p>
        </w:tc>
      </w:tr>
    </w:tbl>
    <w:p w14:paraId="3815F5D6" w14:textId="6BF68D5A" w:rsidR="00CC7117" w:rsidRDefault="00CC7117" w:rsidP="009226BC">
      <w:pPr>
        <w:widowControl w:val="0"/>
        <w:tabs>
          <w:tab w:val="left" w:pos="567"/>
          <w:tab w:val="left" w:pos="8222"/>
        </w:tabs>
        <w:spacing w:before="120" w:after="120"/>
        <w:rPr>
          <w:rFonts w:asciiTheme="minorHAnsi" w:hAnsiTheme="minorHAnsi" w:cstheme="minorHAnsi"/>
          <w:sz w:val="22"/>
          <w:szCs w:val="22"/>
        </w:rPr>
      </w:pPr>
    </w:p>
    <w:p w14:paraId="6C99936E" w14:textId="77777777" w:rsidR="00CC7117" w:rsidRDefault="00CC711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7534947" w14:textId="77777777" w:rsidR="00CC7117" w:rsidRPr="00E35403" w:rsidRDefault="00CC7117" w:rsidP="00CC7117">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112F045C" w14:textId="77777777" w:rsidR="00CC7117" w:rsidRPr="000268A4" w:rsidRDefault="00CC7117" w:rsidP="00CC7117">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CC7117" w:rsidRPr="000268A4" w14:paraId="75880D6D" w14:textId="77777777" w:rsidTr="00762C2B">
        <w:tc>
          <w:tcPr>
            <w:tcW w:w="4705" w:type="dxa"/>
          </w:tcPr>
          <w:p w14:paraId="53C6EF8C"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11E0BB8F"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Details</w:t>
            </w:r>
          </w:p>
        </w:tc>
      </w:tr>
      <w:tr w:rsidR="00CC7117" w:rsidRPr="000268A4" w14:paraId="29E58D84" w14:textId="77777777" w:rsidTr="00762C2B">
        <w:trPr>
          <w:trHeight w:val="2246"/>
        </w:trPr>
        <w:tc>
          <w:tcPr>
            <w:tcW w:w="9628" w:type="dxa"/>
            <w:gridSpan w:val="2"/>
          </w:tcPr>
          <w:p w14:paraId="7F77FC70"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CC7117" w:rsidRPr="000268A4" w14:paraId="7F69EC59" w14:textId="77777777" w:rsidTr="00762C2B">
              <w:tc>
                <w:tcPr>
                  <w:tcW w:w="2717" w:type="dxa"/>
                </w:tcPr>
                <w:p w14:paraId="391C5FFB" w14:textId="77777777" w:rsidR="00CC7117" w:rsidRPr="000268A4" w:rsidRDefault="00CC7117" w:rsidP="00762C2B">
                  <w:pPr>
                    <w:tabs>
                      <w:tab w:val="left" w:pos="8222"/>
                    </w:tabs>
                    <w:spacing w:before="120" w:after="120"/>
                    <w:rPr>
                      <w:rFonts w:ascii="Calibri" w:hAnsi="Calibri"/>
                      <w:b/>
                      <w:bCs/>
                      <w:sz w:val="22"/>
                    </w:rPr>
                  </w:pPr>
                </w:p>
              </w:tc>
              <w:tc>
                <w:tcPr>
                  <w:tcW w:w="1332" w:type="dxa"/>
                </w:tcPr>
                <w:p w14:paraId="109AED70"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22939F95"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145DCBF5"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6D662BA6"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03A5819C"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2024</w:t>
                  </w:r>
                </w:p>
              </w:tc>
            </w:tr>
            <w:tr w:rsidR="00CC7117" w:rsidRPr="000268A4" w14:paraId="74ECFA41" w14:textId="77777777" w:rsidTr="00762C2B">
              <w:tc>
                <w:tcPr>
                  <w:tcW w:w="2717" w:type="dxa"/>
                </w:tcPr>
                <w:p w14:paraId="1D9D18C1"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2ECB78DC"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4EE8541B" w14:textId="77777777" w:rsidR="00CC7117" w:rsidRPr="000268A4" w:rsidRDefault="00CC7117" w:rsidP="00762C2B">
                  <w:pPr>
                    <w:tabs>
                      <w:tab w:val="left" w:pos="8222"/>
                    </w:tabs>
                    <w:spacing w:before="120" w:after="120"/>
                    <w:rPr>
                      <w:rFonts w:ascii="Calibri" w:hAnsi="Calibri"/>
                      <w:b/>
                      <w:bCs/>
                      <w:sz w:val="22"/>
                    </w:rPr>
                  </w:pPr>
                </w:p>
              </w:tc>
              <w:tc>
                <w:tcPr>
                  <w:tcW w:w="1332" w:type="dxa"/>
                </w:tcPr>
                <w:p w14:paraId="41EF74E3"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1A640395"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09EA19D0"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3C73E583" w14:textId="77777777" w:rsidTr="00762C2B">
              <w:tc>
                <w:tcPr>
                  <w:tcW w:w="2717" w:type="dxa"/>
                </w:tcPr>
                <w:p w14:paraId="42498A92"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1A55DFBA"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6B74B07E" w14:textId="77777777" w:rsidR="00CC7117" w:rsidRPr="000268A4" w:rsidRDefault="00CC7117" w:rsidP="00762C2B">
                  <w:pPr>
                    <w:tabs>
                      <w:tab w:val="left" w:pos="8222"/>
                    </w:tabs>
                    <w:spacing w:before="120" w:after="120"/>
                    <w:rPr>
                      <w:rFonts w:ascii="Calibri" w:hAnsi="Calibri"/>
                      <w:b/>
                      <w:bCs/>
                      <w:sz w:val="22"/>
                    </w:rPr>
                  </w:pPr>
                </w:p>
              </w:tc>
              <w:tc>
                <w:tcPr>
                  <w:tcW w:w="1332" w:type="dxa"/>
                </w:tcPr>
                <w:p w14:paraId="76A3CE60"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05313BC7"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4CCF015B" w14:textId="77777777" w:rsidR="00CC7117" w:rsidRPr="000268A4" w:rsidRDefault="00CC7117" w:rsidP="00762C2B">
                  <w:pPr>
                    <w:tabs>
                      <w:tab w:val="left" w:pos="8222"/>
                    </w:tabs>
                    <w:spacing w:before="120" w:after="120"/>
                    <w:rPr>
                      <w:rFonts w:ascii="Calibri" w:hAnsi="Calibri"/>
                      <w:b/>
                      <w:bCs/>
                      <w:sz w:val="22"/>
                    </w:rPr>
                  </w:pPr>
                </w:p>
              </w:tc>
            </w:tr>
          </w:tbl>
          <w:p w14:paraId="4538AA2E"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3EE0196F" w14:textId="77777777" w:rsidTr="00762C2B">
        <w:tc>
          <w:tcPr>
            <w:tcW w:w="4705" w:type="dxa"/>
          </w:tcPr>
          <w:p w14:paraId="6672BC85"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5AB723AA"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318717AC" w14:textId="77777777" w:rsidTr="00762C2B">
        <w:tc>
          <w:tcPr>
            <w:tcW w:w="4705" w:type="dxa"/>
          </w:tcPr>
          <w:p w14:paraId="363C87A6" w14:textId="77777777" w:rsidR="00CC7117" w:rsidRPr="000268A4" w:rsidRDefault="00CC7117"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4B2CBA5B" w14:textId="77777777" w:rsidR="00CC7117" w:rsidRPr="000268A4" w:rsidRDefault="00CC7117"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0DF600BD"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0FED42C5" w14:textId="77777777" w:rsidTr="00762C2B">
        <w:tc>
          <w:tcPr>
            <w:tcW w:w="4705" w:type="dxa"/>
          </w:tcPr>
          <w:p w14:paraId="26A3E020" w14:textId="77777777" w:rsidR="00CC7117" w:rsidRPr="000268A4" w:rsidRDefault="00CC7117"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77D9FFC4" w14:textId="77777777" w:rsidR="00CC7117" w:rsidRPr="000268A4" w:rsidRDefault="00CC7117"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013601BC"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43699FFD" w14:textId="77777777" w:rsidTr="00762C2B">
        <w:tc>
          <w:tcPr>
            <w:tcW w:w="4705" w:type="dxa"/>
          </w:tcPr>
          <w:p w14:paraId="1C273F42" w14:textId="77777777" w:rsidR="00CC7117" w:rsidRPr="000268A4" w:rsidRDefault="00CC7117"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28B29517" w14:textId="77777777" w:rsidR="00CC7117" w:rsidRPr="000268A4" w:rsidRDefault="00CC7117"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660E67D6" w14:textId="77777777" w:rsidR="00CC7117" w:rsidRPr="000268A4" w:rsidRDefault="00CC7117"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51B26215"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11F312C6" w14:textId="77777777" w:rsidTr="00762C2B">
        <w:tc>
          <w:tcPr>
            <w:tcW w:w="4705" w:type="dxa"/>
          </w:tcPr>
          <w:p w14:paraId="462B7704" w14:textId="77777777" w:rsidR="00CC7117" w:rsidRPr="000268A4" w:rsidRDefault="00CC7117"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0C81A095" w14:textId="77777777" w:rsidR="00CC7117" w:rsidRPr="000268A4" w:rsidRDefault="00CC7117"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63FA3C95"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173BA14F" w14:textId="77777777" w:rsidTr="00762C2B">
        <w:tc>
          <w:tcPr>
            <w:tcW w:w="4705" w:type="dxa"/>
          </w:tcPr>
          <w:p w14:paraId="3523E5F6" w14:textId="14171434" w:rsidR="00CC7117" w:rsidRPr="000268A4" w:rsidRDefault="00CC7117"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2a(ii)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3D39D267" w14:textId="77777777" w:rsidR="00CC7117" w:rsidRPr="000268A4" w:rsidRDefault="00CC7117"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6E49908F" w14:textId="77777777" w:rsidR="00CC7117" w:rsidRPr="000268A4" w:rsidRDefault="00CC7117" w:rsidP="00762C2B">
            <w:pPr>
              <w:tabs>
                <w:tab w:val="left" w:pos="8222"/>
              </w:tabs>
              <w:spacing w:before="120" w:after="120"/>
              <w:rPr>
                <w:rFonts w:ascii="Calibri" w:hAnsi="Calibri"/>
                <w:b/>
                <w:bCs/>
                <w:sz w:val="22"/>
              </w:rPr>
            </w:pPr>
          </w:p>
        </w:tc>
      </w:tr>
      <w:tr w:rsidR="00CC7117" w14:paraId="6BD3A013" w14:textId="77777777" w:rsidTr="00762C2B">
        <w:tc>
          <w:tcPr>
            <w:tcW w:w="4705" w:type="dxa"/>
          </w:tcPr>
          <w:p w14:paraId="65A801C7" w14:textId="77777777" w:rsidR="00CC7117" w:rsidRDefault="00CC7117"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79592454" w14:textId="77777777" w:rsidR="00CC7117" w:rsidRDefault="00CC7117" w:rsidP="00762C2B">
            <w:pPr>
              <w:tabs>
                <w:tab w:val="left" w:pos="8222"/>
              </w:tabs>
              <w:spacing w:before="120" w:after="120"/>
              <w:rPr>
                <w:rFonts w:ascii="Calibri" w:hAnsi="Calibri"/>
                <w:b/>
                <w:bCs/>
                <w:sz w:val="22"/>
              </w:rPr>
            </w:pPr>
          </w:p>
        </w:tc>
      </w:tr>
    </w:tbl>
    <w:p w14:paraId="30B0F8F5" w14:textId="77777777" w:rsidR="00CC7117" w:rsidRPr="007B5678" w:rsidRDefault="00CC7117" w:rsidP="00CC7117">
      <w:pPr>
        <w:widowControl w:val="0"/>
        <w:tabs>
          <w:tab w:val="left" w:pos="567"/>
          <w:tab w:val="left" w:pos="8222"/>
        </w:tabs>
        <w:spacing w:before="120" w:after="120"/>
        <w:rPr>
          <w:rFonts w:asciiTheme="minorHAnsi" w:hAnsiTheme="minorHAnsi" w:cstheme="minorHAnsi"/>
          <w:sz w:val="22"/>
          <w:szCs w:val="22"/>
        </w:rPr>
      </w:pPr>
    </w:p>
    <w:p w14:paraId="0C2469AB" w14:textId="77777777" w:rsidR="00456AD8" w:rsidRPr="007B5678" w:rsidRDefault="00456AD8" w:rsidP="009226BC">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07ED" w14:textId="302E95C4" w:rsidR="00BB6CD8" w:rsidRPr="0088616E" w:rsidRDefault="00221DD6" w:rsidP="00736EFC">
    <w:pPr>
      <w:pStyle w:val="Header"/>
      <w:pBdr>
        <w:bottom w:val="single" w:sz="4" w:space="0" w:color="auto"/>
      </w:pBdr>
      <w:rPr>
        <w:rFonts w:ascii="Calibri" w:hAnsi="Calibri"/>
      </w:rPr>
    </w:pPr>
    <w:r w:rsidRPr="00221DD6">
      <w:rPr>
        <w:rFonts w:ascii="Calibri" w:hAnsi="Calibri" w:cs="Arial"/>
        <w:noProof/>
        <w:sz w:val="16"/>
        <w:szCs w:val="16"/>
      </w:rPr>
      <w:t>Torrens University Australia Limited</w:t>
    </w:r>
    <w:r>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2165" w14:textId="77777777" w:rsidR="00221DD6" w:rsidRPr="0088616E" w:rsidRDefault="00221DD6" w:rsidP="00221DD6">
    <w:pPr>
      <w:pStyle w:val="Header"/>
      <w:pBdr>
        <w:bottom w:val="single" w:sz="4" w:space="0" w:color="auto"/>
      </w:pBdr>
      <w:rPr>
        <w:rFonts w:ascii="Calibri" w:hAnsi="Calibri"/>
      </w:rPr>
    </w:pPr>
    <w:r w:rsidRPr="00221DD6">
      <w:rPr>
        <w:rFonts w:ascii="Calibri" w:hAnsi="Calibri" w:cs="Arial"/>
        <w:noProof/>
        <w:sz w:val="16"/>
        <w:szCs w:val="16"/>
      </w:rPr>
      <w:t>Torrens University Australia Limited</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24-25 CGS</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5DD271A2" w14:textId="77777777" w:rsidR="00BB6CD8" w:rsidRPr="00221DD6" w:rsidRDefault="00BB6CD8" w:rsidP="00221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D783" w14:textId="77777777" w:rsidR="00221DD6" w:rsidRPr="0088616E" w:rsidRDefault="00221DD6" w:rsidP="00221DD6">
    <w:pPr>
      <w:pStyle w:val="Header"/>
      <w:pBdr>
        <w:bottom w:val="single" w:sz="4" w:space="0" w:color="auto"/>
      </w:pBdr>
      <w:rPr>
        <w:rFonts w:ascii="Calibri" w:hAnsi="Calibri"/>
      </w:rPr>
    </w:pPr>
    <w:r w:rsidRPr="00221DD6">
      <w:rPr>
        <w:rFonts w:ascii="Calibri" w:hAnsi="Calibri" w:cs="Arial"/>
        <w:noProof/>
        <w:sz w:val="16"/>
        <w:szCs w:val="16"/>
      </w:rPr>
      <w:t>Torrens University Australia Limited</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24-25 CGS</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320FB97E" w14:textId="77777777" w:rsidR="00BB6CD8" w:rsidRPr="00221DD6" w:rsidRDefault="00BB6CD8" w:rsidP="00221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212423254">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101"/>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236"/>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4BDF"/>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065"/>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375B"/>
    <w:rsid w:val="00204909"/>
    <w:rsid w:val="0020501D"/>
    <w:rsid w:val="00205420"/>
    <w:rsid w:val="002058AC"/>
    <w:rsid w:val="00206F08"/>
    <w:rsid w:val="0021117C"/>
    <w:rsid w:val="00211972"/>
    <w:rsid w:val="0021236D"/>
    <w:rsid w:val="002137EC"/>
    <w:rsid w:val="00214084"/>
    <w:rsid w:val="0021621F"/>
    <w:rsid w:val="002174F0"/>
    <w:rsid w:val="002205CF"/>
    <w:rsid w:val="00221706"/>
    <w:rsid w:val="00221B81"/>
    <w:rsid w:val="00221DD6"/>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3D4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3D3D"/>
    <w:rsid w:val="002842C8"/>
    <w:rsid w:val="00287E50"/>
    <w:rsid w:val="00291606"/>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56B"/>
    <w:rsid w:val="003476F7"/>
    <w:rsid w:val="003477A4"/>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4AA"/>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4CF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976F1"/>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59B5"/>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8E4"/>
    <w:rsid w:val="00575BE7"/>
    <w:rsid w:val="005764D1"/>
    <w:rsid w:val="005772CE"/>
    <w:rsid w:val="00580325"/>
    <w:rsid w:val="00580AD6"/>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1C78"/>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862"/>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D06"/>
    <w:rsid w:val="00725306"/>
    <w:rsid w:val="0072653D"/>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57B15"/>
    <w:rsid w:val="00762257"/>
    <w:rsid w:val="007628FB"/>
    <w:rsid w:val="00762F3F"/>
    <w:rsid w:val="00764635"/>
    <w:rsid w:val="00764D33"/>
    <w:rsid w:val="00770A9C"/>
    <w:rsid w:val="00770DB1"/>
    <w:rsid w:val="00771A4B"/>
    <w:rsid w:val="00771D5F"/>
    <w:rsid w:val="00772915"/>
    <w:rsid w:val="00773184"/>
    <w:rsid w:val="00774281"/>
    <w:rsid w:val="007750F7"/>
    <w:rsid w:val="00776A98"/>
    <w:rsid w:val="00776E23"/>
    <w:rsid w:val="0078004E"/>
    <w:rsid w:val="00780F18"/>
    <w:rsid w:val="00782980"/>
    <w:rsid w:val="00783F29"/>
    <w:rsid w:val="00784535"/>
    <w:rsid w:val="00785FA7"/>
    <w:rsid w:val="007875BE"/>
    <w:rsid w:val="00787F45"/>
    <w:rsid w:val="0079122F"/>
    <w:rsid w:val="007924A4"/>
    <w:rsid w:val="00793A16"/>
    <w:rsid w:val="00794125"/>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9D"/>
    <w:rsid w:val="007B18F0"/>
    <w:rsid w:val="007B3598"/>
    <w:rsid w:val="007B3A1D"/>
    <w:rsid w:val="007B4CA2"/>
    <w:rsid w:val="007B4E22"/>
    <w:rsid w:val="007B5678"/>
    <w:rsid w:val="007B67CE"/>
    <w:rsid w:val="007C0CC0"/>
    <w:rsid w:val="007C1376"/>
    <w:rsid w:val="007C161C"/>
    <w:rsid w:val="007C1A1B"/>
    <w:rsid w:val="007C3AED"/>
    <w:rsid w:val="007C4835"/>
    <w:rsid w:val="007C57B0"/>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47E08"/>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6BC"/>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34D"/>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1E41"/>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3C26"/>
    <w:rsid w:val="00BB6197"/>
    <w:rsid w:val="00BB6CD8"/>
    <w:rsid w:val="00BB779A"/>
    <w:rsid w:val="00BC0CA6"/>
    <w:rsid w:val="00BC110B"/>
    <w:rsid w:val="00BC24F9"/>
    <w:rsid w:val="00BC3041"/>
    <w:rsid w:val="00BC3FD3"/>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18E"/>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117"/>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6E5"/>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0B4F"/>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227"/>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0C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566E7"/>
    <w:rsid w:val="00F601CE"/>
    <w:rsid w:val="00F6275A"/>
    <w:rsid w:val="00F64636"/>
    <w:rsid w:val="00F64D93"/>
    <w:rsid w:val="00F64E58"/>
    <w:rsid w:val="00F652F2"/>
    <w:rsid w:val="00F65EC1"/>
    <w:rsid w:val="00F67FA1"/>
    <w:rsid w:val="00F723A8"/>
    <w:rsid w:val="00F72446"/>
    <w:rsid w:val="00F74ACB"/>
    <w:rsid w:val="00F7545E"/>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6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5717">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109965">
      <w:bodyDiv w:val="1"/>
      <w:marLeft w:val="0"/>
      <w:marRight w:val="0"/>
      <w:marTop w:val="0"/>
      <w:marBottom w:val="0"/>
      <w:divBdr>
        <w:top w:val="none" w:sz="0" w:space="0" w:color="auto"/>
        <w:left w:val="none" w:sz="0" w:space="0" w:color="auto"/>
        <w:bottom w:val="none" w:sz="0" w:space="0" w:color="auto"/>
        <w:right w:val="none" w:sz="0" w:space="0" w:color="auto"/>
      </w:divBdr>
      <w:divsChild>
        <w:div w:id="629676106">
          <w:marLeft w:val="0"/>
          <w:marRight w:val="0"/>
          <w:marTop w:val="0"/>
          <w:marBottom w:val="0"/>
          <w:divBdr>
            <w:top w:val="none" w:sz="0" w:space="0" w:color="auto"/>
            <w:left w:val="none" w:sz="0" w:space="0" w:color="auto"/>
            <w:bottom w:val="none" w:sz="0" w:space="0" w:color="auto"/>
            <w:right w:val="none" w:sz="0" w:space="0" w:color="auto"/>
          </w:divBdr>
        </w:div>
        <w:div w:id="1808082344">
          <w:marLeft w:val="0"/>
          <w:marRight w:val="0"/>
          <w:marTop w:val="0"/>
          <w:marBottom w:val="0"/>
          <w:divBdr>
            <w:top w:val="none" w:sz="0" w:space="0" w:color="auto"/>
            <w:left w:val="none" w:sz="0" w:space="0" w:color="auto"/>
            <w:bottom w:val="none" w:sz="0" w:space="0" w:color="auto"/>
            <w:right w:val="none" w:sz="0" w:space="0" w:color="auto"/>
          </w:divBdr>
        </w:div>
        <w:div w:id="512767125">
          <w:marLeft w:val="0"/>
          <w:marRight w:val="0"/>
          <w:marTop w:val="0"/>
          <w:marBottom w:val="0"/>
          <w:divBdr>
            <w:top w:val="none" w:sz="0" w:space="0" w:color="auto"/>
            <w:left w:val="none" w:sz="0" w:space="0" w:color="auto"/>
            <w:bottom w:val="none" w:sz="0" w:space="0" w:color="auto"/>
            <w:right w:val="none" w:sz="0" w:space="0" w:color="auto"/>
          </w:divBdr>
        </w:div>
        <w:div w:id="1550260658">
          <w:marLeft w:val="0"/>
          <w:marRight w:val="0"/>
          <w:marTop w:val="0"/>
          <w:marBottom w:val="0"/>
          <w:divBdr>
            <w:top w:val="none" w:sz="0" w:space="0" w:color="auto"/>
            <w:left w:val="none" w:sz="0" w:space="0" w:color="auto"/>
            <w:bottom w:val="none" w:sz="0" w:space="0" w:color="auto"/>
            <w:right w:val="none" w:sz="0" w:space="0" w:color="auto"/>
          </w:divBdr>
        </w:div>
        <w:div w:id="1525246285">
          <w:marLeft w:val="0"/>
          <w:marRight w:val="0"/>
          <w:marTop w:val="0"/>
          <w:marBottom w:val="0"/>
          <w:divBdr>
            <w:top w:val="none" w:sz="0" w:space="0" w:color="auto"/>
            <w:left w:val="none" w:sz="0" w:space="0" w:color="auto"/>
            <w:bottom w:val="none" w:sz="0" w:space="0" w:color="auto"/>
            <w:right w:val="none" w:sz="0" w:space="0" w:color="auto"/>
          </w:divBdr>
        </w:div>
        <w:div w:id="1589927722">
          <w:marLeft w:val="0"/>
          <w:marRight w:val="0"/>
          <w:marTop w:val="0"/>
          <w:marBottom w:val="0"/>
          <w:divBdr>
            <w:top w:val="none" w:sz="0" w:space="0" w:color="auto"/>
            <w:left w:val="none" w:sz="0" w:space="0" w:color="auto"/>
            <w:bottom w:val="none" w:sz="0" w:space="0" w:color="auto"/>
            <w:right w:val="none" w:sz="0" w:space="0" w:color="auto"/>
          </w:divBdr>
        </w:div>
        <w:div w:id="1925913897">
          <w:marLeft w:val="0"/>
          <w:marRight w:val="0"/>
          <w:marTop w:val="0"/>
          <w:marBottom w:val="0"/>
          <w:divBdr>
            <w:top w:val="none" w:sz="0" w:space="0" w:color="auto"/>
            <w:left w:val="none" w:sz="0" w:space="0" w:color="auto"/>
            <w:bottom w:val="none" w:sz="0" w:space="0" w:color="auto"/>
            <w:right w:val="none" w:sz="0" w:space="0" w:color="auto"/>
          </w:divBdr>
        </w:div>
      </w:divsChild>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4956726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260483068">
      <w:bodyDiv w:val="1"/>
      <w:marLeft w:val="0"/>
      <w:marRight w:val="0"/>
      <w:marTop w:val="0"/>
      <w:marBottom w:val="0"/>
      <w:divBdr>
        <w:top w:val="none" w:sz="0" w:space="0" w:color="auto"/>
        <w:left w:val="none" w:sz="0" w:space="0" w:color="auto"/>
        <w:bottom w:val="none" w:sz="0" w:space="0" w:color="auto"/>
        <w:right w:val="none" w:sz="0" w:space="0" w:color="auto"/>
      </w:divBdr>
    </w:div>
    <w:div w:id="1289582787">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362564">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brown@laureate.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Props1.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F4ED384C-304E-4858-B689-6566CFEFBB7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31</cp:revision>
  <cp:lastPrinted>2024-01-03T00:21:00Z</cp:lastPrinted>
  <dcterms:created xsi:type="dcterms:W3CDTF">2023-12-11T06:55:00Z</dcterms:created>
  <dcterms:modified xsi:type="dcterms:W3CDTF">2025-01-08T02:06:00Z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